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auto"/>
          <w:sz w:val="48"/>
          <w:szCs w:val="48"/>
          <w:highlight w:val="none"/>
          <w:u w:val="single"/>
        </w:rPr>
      </w:pPr>
      <w:bookmarkStart w:id="0" w:name="_Toc43085998"/>
    </w:p>
    <w:p>
      <w:pPr>
        <w:spacing w:line="360" w:lineRule="auto"/>
        <w:jc w:val="center"/>
        <w:rPr>
          <w:rFonts w:ascii="宋体" w:hAnsi="宋体"/>
          <w:b/>
          <w:color w:val="auto"/>
          <w:sz w:val="48"/>
          <w:szCs w:val="48"/>
          <w:highlight w:val="none"/>
          <w:u w:val="single"/>
        </w:rPr>
      </w:pPr>
    </w:p>
    <w:p>
      <w:pPr>
        <w:spacing w:line="360" w:lineRule="auto"/>
        <w:jc w:val="center"/>
        <w:rPr>
          <w:color w:val="auto"/>
          <w:sz w:val="56"/>
          <w:szCs w:val="56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0"/>
          <w:sz w:val="56"/>
          <w:szCs w:val="56"/>
          <w:highlight w:val="none"/>
        </w:rPr>
        <w:t>海湾小区N地块项目（</w:t>
      </w:r>
      <w:r>
        <w:rPr>
          <w:rFonts w:hint="eastAsia" w:cs="宋体" w:asciiTheme="minorEastAsia" w:hAnsiTheme="minorEastAsia" w:eastAsiaTheme="minorEastAsia"/>
          <w:b/>
          <w:color w:val="auto"/>
          <w:kern w:val="0"/>
          <w:sz w:val="56"/>
          <w:szCs w:val="56"/>
          <w:highlight w:val="none"/>
          <w:lang w:eastAsia="zh-CN"/>
        </w:rPr>
        <w:t>领航科技大楼</w:t>
      </w:r>
      <w:r>
        <w:rPr>
          <w:rFonts w:hint="eastAsia" w:cs="宋体" w:asciiTheme="minorEastAsia" w:hAnsiTheme="minorEastAsia" w:eastAsiaTheme="minorEastAsia"/>
          <w:b/>
          <w:color w:val="auto"/>
          <w:kern w:val="0"/>
          <w:sz w:val="56"/>
          <w:szCs w:val="56"/>
          <w:highlight w:val="none"/>
        </w:rPr>
        <w:t>）</w:t>
      </w:r>
      <w:r>
        <w:rPr>
          <w:rStyle w:val="25"/>
          <w:b/>
          <w:color w:val="auto"/>
          <w:sz w:val="56"/>
          <w:szCs w:val="56"/>
          <w:highlight w:val="none"/>
        </w:rPr>
        <w:t>临时用电设施租赁服务</w:t>
      </w:r>
    </w:p>
    <w:p>
      <w:pPr>
        <w:spacing w:line="360" w:lineRule="auto"/>
        <w:jc w:val="center"/>
        <w:rPr>
          <w:color w:val="auto"/>
          <w:sz w:val="36"/>
          <w:highlight w:val="none"/>
          <w:u w:val="single"/>
        </w:rPr>
      </w:pPr>
    </w:p>
    <w:p>
      <w:pPr>
        <w:spacing w:line="360" w:lineRule="auto"/>
        <w:jc w:val="center"/>
        <w:rPr>
          <w:rFonts w:eastAsia="楷体_GB2312"/>
          <w:b/>
          <w:bCs/>
          <w:color w:val="auto"/>
          <w:spacing w:val="26"/>
          <w:sz w:val="110"/>
          <w:szCs w:val="110"/>
          <w:highlight w:val="none"/>
        </w:rPr>
      </w:pPr>
    </w:p>
    <w:p>
      <w:pPr>
        <w:spacing w:line="360" w:lineRule="auto"/>
        <w:jc w:val="center"/>
        <w:rPr>
          <w:rFonts w:hint="eastAsia" w:eastAsia="楷体_GB2312"/>
          <w:b/>
          <w:bCs/>
          <w:color w:val="auto"/>
          <w:spacing w:val="26"/>
          <w:sz w:val="110"/>
          <w:szCs w:val="110"/>
          <w:highlight w:val="none"/>
          <w:lang w:eastAsia="zh-CN"/>
        </w:rPr>
      </w:pPr>
      <w:r>
        <w:rPr>
          <w:rFonts w:hint="eastAsia" w:eastAsia="楷体_GB2312"/>
          <w:b/>
          <w:bCs/>
          <w:color w:val="auto"/>
          <w:spacing w:val="26"/>
          <w:sz w:val="110"/>
          <w:szCs w:val="110"/>
          <w:highlight w:val="none"/>
        </w:rPr>
        <w:t>招标</w:t>
      </w:r>
      <w:r>
        <w:rPr>
          <w:rFonts w:hint="eastAsia" w:eastAsia="楷体_GB2312"/>
          <w:b/>
          <w:bCs/>
          <w:color w:val="auto"/>
          <w:spacing w:val="26"/>
          <w:sz w:val="110"/>
          <w:szCs w:val="110"/>
          <w:highlight w:val="none"/>
          <w:lang w:eastAsia="zh-CN"/>
        </w:rPr>
        <w:t>公告</w:t>
      </w:r>
    </w:p>
    <w:p>
      <w:pPr>
        <w:spacing w:line="360" w:lineRule="auto"/>
        <w:jc w:val="center"/>
        <w:rPr>
          <w:color w:val="auto"/>
          <w:sz w:val="32"/>
          <w:highlight w:val="none"/>
        </w:rPr>
      </w:pPr>
    </w:p>
    <w:p>
      <w:pPr>
        <w:spacing w:line="360" w:lineRule="auto"/>
        <w:ind w:firstLine="2560" w:firstLineChars="800"/>
        <w:rPr>
          <w:color w:val="auto"/>
          <w:sz w:val="32"/>
          <w:highlight w:val="none"/>
        </w:rPr>
      </w:pPr>
    </w:p>
    <w:p>
      <w:pPr>
        <w:spacing w:line="360" w:lineRule="auto"/>
        <w:rPr>
          <w:color w:val="auto"/>
          <w:sz w:val="52"/>
          <w:highlight w:val="none"/>
        </w:rPr>
      </w:pPr>
    </w:p>
    <w:p>
      <w:pPr>
        <w:spacing w:line="360" w:lineRule="auto"/>
        <w:rPr>
          <w:color w:val="auto"/>
          <w:sz w:val="52"/>
          <w:highlight w:val="none"/>
        </w:rPr>
      </w:pPr>
    </w:p>
    <w:p>
      <w:pPr>
        <w:spacing w:line="360" w:lineRule="auto"/>
        <w:rPr>
          <w:color w:val="auto"/>
          <w:sz w:val="5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color w:val="auto"/>
          <w:sz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016" w:leftChars="0" w:hanging="4016" w:hangingChars="1250"/>
        <w:jc w:val="both"/>
        <w:textAlignment w:val="auto"/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招标人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016" w:leftChars="0" w:hanging="4016" w:hangingChars="1250"/>
        <w:jc w:val="both"/>
        <w:textAlignment w:val="auto"/>
        <w:rPr>
          <w:rFonts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广州南沙经济技术开发区港宏房地产开发有限公司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  <w:u w:val="single"/>
          <w:lang w:eastAsia="zh-CN"/>
        </w:rPr>
        <w:t>业主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  <w:u w:val="single"/>
        </w:rPr>
        <w:t>单位）</w:t>
      </w:r>
    </w:p>
    <w:p>
      <w:pPr>
        <w:widowControl/>
        <w:spacing w:line="660" w:lineRule="exact"/>
        <w:jc w:val="both"/>
        <w:rPr>
          <w:rFonts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  <w:u w:val="single"/>
        </w:rPr>
        <w:t>广州南沙建设维护管理有限公司（建设管理单位）</w:t>
      </w:r>
    </w:p>
    <w:p>
      <w:pPr>
        <w:spacing w:line="360" w:lineRule="auto"/>
        <w:jc w:val="center"/>
        <w:rPr>
          <w:b/>
          <w:bCs w:val="0"/>
          <w:color w:val="auto"/>
          <w:sz w:val="30"/>
          <w:szCs w:val="30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endnotePr>
            <w:numFmt w:val="decimal"/>
          </w:endnotePr>
          <w:type w:val="oddPage"/>
          <w:pgSz w:w="11906" w:h="16838"/>
          <w:pgMar w:top="1247" w:right="1418" w:bottom="1134" w:left="1418" w:header="851" w:footer="907" w:gutter="0"/>
          <w:cols w:space="720" w:num="1"/>
          <w:titlePg/>
          <w:docGrid w:type="lines" w:linePitch="312" w:charSpace="0"/>
        </w:sectPr>
      </w:pPr>
      <w:r>
        <w:rPr>
          <w:rFonts w:hint="eastAsia"/>
          <w:b/>
          <w:bCs w:val="0"/>
          <w:color w:val="auto"/>
          <w:sz w:val="30"/>
          <w:szCs w:val="30"/>
          <w:highlight w:val="none"/>
        </w:rPr>
        <w:t>日期：202</w:t>
      </w:r>
      <w:r>
        <w:rPr>
          <w:rFonts w:hint="eastAsia"/>
          <w:b/>
          <w:bCs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/>
          <w:b/>
          <w:bCs w:val="0"/>
          <w:color w:val="auto"/>
          <w:sz w:val="30"/>
          <w:szCs w:val="30"/>
          <w:highlight w:val="none"/>
        </w:rPr>
        <w:t>年</w:t>
      </w:r>
      <w:r>
        <w:rPr>
          <w:rFonts w:hint="eastAsia"/>
          <w:b/>
          <w:bCs w:val="0"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/>
          <w:b/>
          <w:bCs w:val="0"/>
          <w:color w:val="auto"/>
          <w:sz w:val="30"/>
          <w:szCs w:val="30"/>
          <w:highlight w:val="none"/>
        </w:rPr>
        <w:t>月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1、工程名称：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海湾小区N地块项目（领航科技大楼）</w:t>
      </w:r>
      <w:r>
        <w:rPr>
          <w:rStyle w:val="25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临时用电设施租赁服务</w:t>
      </w:r>
    </w:p>
    <w:p>
      <w:pPr>
        <w:widowControl/>
        <w:spacing w:line="660" w:lineRule="exact"/>
        <w:ind w:left="4667" w:leftChars="310" w:hanging="4016" w:hangingChars="1250"/>
        <w:jc w:val="left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2、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  <w:lang w:eastAsia="zh-CN"/>
        </w:rPr>
        <w:t>招标人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：</w:t>
      </w:r>
    </w:p>
    <w:p>
      <w:pPr>
        <w:widowControl/>
        <w:spacing w:line="660" w:lineRule="exact"/>
        <w:ind w:left="4640" w:hanging="4640" w:hangingChars="145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single"/>
          <w:lang w:eastAsia="zh-CN"/>
        </w:rPr>
        <w:t>广州南沙经济技术开发区港宏房地产开发有限公司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业主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单位）</w:t>
      </w:r>
    </w:p>
    <w:p>
      <w:pPr>
        <w:widowControl/>
        <w:spacing w:line="6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single"/>
        </w:rPr>
        <w:t>广州南沙建设维护管理有限公司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</w:rPr>
        <w:t>（建设管理单位）</w:t>
      </w:r>
    </w:p>
    <w:p>
      <w:pPr>
        <w:widowControl/>
        <w:spacing w:line="660" w:lineRule="exact"/>
        <w:ind w:firstLine="465"/>
        <w:jc w:val="left"/>
        <w:rPr>
          <w:rFonts w:ascii="仿宋_GB2312" w:eastAsia="仿宋_GB2312" w:cs="宋体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(1)联系人：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single"/>
        </w:rPr>
        <w:t xml:space="preserve"> 李工 </w:t>
      </w:r>
    </w:p>
    <w:p>
      <w:pPr>
        <w:widowControl/>
        <w:spacing w:line="660" w:lineRule="exact"/>
        <w:ind w:firstLine="465"/>
        <w:jc w:val="left"/>
        <w:rPr>
          <w:rFonts w:hint="default" w:ascii="仿宋_GB2312" w:eastAsia="仿宋_GB2312" w:cs="宋体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(2)联系电话：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single"/>
        </w:rPr>
        <w:t xml:space="preserve"> 020-66806279</w:t>
      </w:r>
    </w:p>
    <w:p>
      <w:pPr>
        <w:ind w:left="525" w:leftChars="25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(3)建设地点：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南沙区南沙街进港大道与港前大道交叉口西北部</w:t>
      </w:r>
    </w:p>
    <w:p>
      <w:pPr>
        <w:ind w:firstLine="643" w:firstLineChars="200"/>
        <w:rPr>
          <w:rFonts w:ascii="仿宋_GB2312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、项目概况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项目地块位于南沙区南沙街进港大道与港前大道交叉口西北部，占地面积为10820㎡，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计划建设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14层塔楼（高度59m）配备3座独栋裙楼（高度24m），总建筑面积24114.93㎡，总计容面积14903.81㎡（以实际图纸为准）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4、项目工期：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中标人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</w:rPr>
        <w:t>向招标人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提供</w:t>
      </w:r>
      <w:r>
        <w:rPr>
          <w:rStyle w:val="25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临时用电设施租赁服务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，计费日期以开始送电之日起计算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widowControl/>
        <w:spacing w:line="660" w:lineRule="exact"/>
        <w:ind w:firstLine="643" w:firstLineChars="200"/>
        <w:jc w:val="left"/>
        <w:rPr>
          <w:rFonts w:ascii="仿宋_GB2312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5、招标内容：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根据项目实际情况，以满足施工用电高峰期为原则向招标人提供临时用电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设施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租赁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服务，包括但不限于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代招标人办理用电报装，提供设计（需提供有资质的设计单位出具的图纸）、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设施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租赁服务，完成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设施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安装及箱变基础、电缆沟等工程施工、验收，使项目具备送电条件；临时用电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设施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使用完毕后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拆除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设施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并清理现场；临时用电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设施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租赁期间提供维护和抢修服务。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本项目临时用电变压器容量630kVA。</w:t>
      </w:r>
    </w:p>
    <w:p>
      <w:pPr>
        <w:pStyle w:val="9"/>
        <w:tabs>
          <w:tab w:val="right" w:leader="dot" w:pos="13948"/>
        </w:tabs>
        <w:ind w:left="0" w:leftChars="0" w:firstLine="643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6、投标人资格要求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广州南沙开发区建设和管理局小型工程建设施工企业库（供电设施施工及运行维护项目）入库单位（名单见附表）</w:t>
      </w:r>
    </w:p>
    <w:p>
      <w:pPr>
        <w:ind w:firstLine="643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7、项目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val="en-US" w:eastAsia="zh-CN"/>
        </w:rPr>
        <w:t>临时用电设施租赁（2年）服务费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招标控制价：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人民币693000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。若需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续租，则租期按月计算，租赁费用招标控制价为每月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12元/kVA。以上两项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投标报价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均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不能超过招标控制价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否则按废标处理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60" w:lineRule="exact"/>
        <w:ind w:firstLine="643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8、评标方式：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通过符合性审查的总投标报价最低价的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中标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60" w:lineRule="exact"/>
        <w:ind w:firstLine="643" w:firstLineChars="200"/>
        <w:rPr>
          <w:rFonts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9、招标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的获取</w:t>
      </w:r>
    </w:p>
    <w:p>
      <w:pPr>
        <w:spacing w:line="660" w:lineRule="exact"/>
        <w:ind w:firstLine="321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各投标人在广州南沙资产经营集团有限公司网站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（www.gnao.com.cn）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自行下载招标公告、招标文件等资料。</w:t>
      </w:r>
    </w:p>
    <w:p>
      <w:pPr>
        <w:spacing w:line="660" w:lineRule="exact"/>
        <w:ind w:firstLine="643" w:firstLineChars="200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10、投标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的递交</w:t>
      </w:r>
    </w:p>
    <w:p>
      <w:pPr>
        <w:spacing w:line="6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递交资料时间及地点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：202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（星期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分至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（星期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前，投标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整理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送达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single"/>
        </w:rPr>
        <w:t>广州市南沙区海滨路171号金融大厦1807室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，逾期送达或未送达指定地点的投标文件，招标人不予受理。</w:t>
      </w:r>
    </w:p>
    <w:p>
      <w:pPr>
        <w:spacing w:line="660" w:lineRule="exact"/>
        <w:ind w:firstLine="643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11、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开标地点：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single"/>
        </w:rPr>
        <w:t>广州市南沙区海滨路171号金融大厦1807室</w:t>
      </w:r>
    </w:p>
    <w:p>
      <w:pPr>
        <w:spacing w:line="660" w:lineRule="exact"/>
        <w:ind w:firstLine="643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12、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开标时间：202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（星期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分</w:t>
      </w:r>
    </w:p>
    <w:p>
      <w:pPr>
        <w:widowControl/>
        <w:spacing w:line="660" w:lineRule="exact"/>
        <w:ind w:firstLine="643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招标人对本招标公告拥有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最终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解释权。</w:t>
      </w:r>
    </w:p>
    <w:p>
      <w:pPr>
        <w:widowControl/>
        <w:spacing w:line="6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660" w:lineRule="exact"/>
        <w:ind w:left="4640" w:hanging="4640" w:hangingChars="145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招标人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广州南沙经济技术开发区港宏房地产开发有限公司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 xml:space="preserve"> 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业主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单位）</w:t>
      </w:r>
    </w:p>
    <w:p>
      <w:pPr>
        <w:widowControl/>
        <w:spacing w:line="660" w:lineRule="exact"/>
        <w:ind w:firstLine="1760" w:firstLineChars="55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广州南沙建设维护管理有限公司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  <w:highlight w:val="none"/>
          <w:u w:val="none"/>
        </w:rPr>
        <w:t>（建设管理单位）</w:t>
      </w:r>
    </w:p>
    <w:p>
      <w:pPr>
        <w:widowControl/>
        <w:spacing w:line="660" w:lineRule="exact"/>
        <w:jc w:val="center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                   202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  <w:bookmarkEnd w:id="0"/>
    </w:p>
    <w:p>
      <w:pPr>
        <w:widowControl/>
        <w:jc w:val="left"/>
        <w:rPr>
          <w:rFonts w:ascii="仿宋_GB2312" w:hAnsi="仿宋" w:eastAsia="仿宋_GB2312"/>
          <w:color w:val="auto"/>
          <w:sz w:val="32"/>
          <w:szCs w:val="32"/>
          <w:highlight w:val="none"/>
        </w:rPr>
        <w:sectPr>
          <w:headerReference r:id="rId10" w:type="first"/>
          <w:headerReference r:id="rId9" w:type="default"/>
          <w:footerReference r:id="rId11" w:type="default"/>
          <w:footerReference r:id="rId12" w:type="even"/>
          <w:type w:val="oddPage"/>
          <w:pgSz w:w="11906" w:h="16838"/>
          <w:pgMar w:top="1134" w:right="1134" w:bottom="1134" w:left="1418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br w:type="page"/>
      </w:r>
      <w:bookmarkStart w:id="2" w:name="_GoBack"/>
      <w:bookmarkEnd w:id="2"/>
    </w:p>
    <w:p>
      <w:pPr>
        <w:pStyle w:val="2"/>
        <w:rPr>
          <w:rFonts w:hint="eastAsia" w:ascii="Times New Roman" w:hAnsi="Times New Roman"/>
          <w:color w:val="auto"/>
          <w:kern w:val="0"/>
          <w:highlight w:val="none"/>
        </w:rPr>
      </w:pPr>
      <w:bookmarkStart w:id="1" w:name="_Toc357448062"/>
      <w:r>
        <w:rPr>
          <w:rFonts w:hint="eastAsia" w:ascii="Times New Roman" w:hAnsi="Times New Roman"/>
          <w:color w:val="auto"/>
          <w:kern w:val="0"/>
          <w:highlight w:val="none"/>
        </w:rPr>
        <w:t>附表</w:t>
      </w:r>
    </w:p>
    <w:p>
      <w:pPr>
        <w:pStyle w:val="2"/>
        <w:jc w:val="center"/>
        <w:rPr>
          <w:rFonts w:ascii="Times New Roman" w:hAnsi="Times New Roman"/>
          <w:color w:val="auto"/>
          <w:kern w:val="0"/>
          <w:highlight w:val="none"/>
        </w:rPr>
      </w:pPr>
      <w:r>
        <w:rPr>
          <w:rFonts w:ascii="Times New Roman" w:hAnsi="Times New Roman"/>
          <w:color w:val="auto"/>
          <w:kern w:val="0"/>
          <w:highlight w:val="none"/>
        </w:rPr>
        <w:t>广州南沙开发区建设和管理局小型工程建设施工（供电设施施工及运行维护项目）企业库</w:t>
      </w:r>
      <w:bookmarkEnd w:id="1"/>
    </w:p>
    <w:p>
      <w:pPr>
        <w:rPr>
          <w:rFonts w:eastAsia="仿宋_GB2312"/>
          <w:color w:val="auto"/>
          <w:sz w:val="32"/>
          <w:szCs w:val="32"/>
          <w:highlight w:val="none"/>
        </w:rPr>
      </w:pPr>
    </w:p>
    <w:tbl>
      <w:tblPr>
        <w:tblStyle w:val="10"/>
        <w:tblW w:w="1352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160"/>
        <w:gridCol w:w="2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6"/>
                <w:szCs w:val="26"/>
                <w:highlight w:val="none"/>
              </w:rPr>
              <w:t>序号</w:t>
            </w:r>
          </w:p>
        </w:tc>
        <w:tc>
          <w:tcPr>
            <w:tcW w:w="10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6"/>
                <w:szCs w:val="26"/>
                <w:highlight w:val="none"/>
              </w:rPr>
              <w:t>单位名称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eastAsia="仿宋_GB2312"/>
                <w:b/>
                <w:color w:val="auto"/>
                <w:kern w:val="0"/>
                <w:sz w:val="26"/>
                <w:szCs w:val="26"/>
                <w:highlight w:val="none"/>
              </w:rPr>
              <w:t>资质等级及类别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广州耀能电力工程有限公司</w:t>
            </w:r>
          </w:p>
        </w:tc>
        <w:tc>
          <w:tcPr>
            <w:tcW w:w="2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①具有送变电工程专业承包三级或以上资质、或电力工程施工总承包三级或以上资质，②持有《安全生产许可证》，③具有能进入供电局管辖的运行变电作业的证明。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广州市南电电力工程有限公司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广州番电电力建设集团有限公司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从化输变电工程有限公司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增城市联电供用电工程有限公司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0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广州市花都耀华供用电工程有限公司 更名为：广州城北电力工程有限公司</w:t>
            </w:r>
          </w:p>
        </w:tc>
        <w:tc>
          <w:tcPr>
            <w:tcW w:w="2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 xml:space="preserve">     </w:t>
      </w:r>
      <w:r>
        <w:rPr>
          <w:rFonts w:hint="eastAsia"/>
          <w:color w:val="auto"/>
          <w:highlight w:val="none"/>
        </w:rPr>
        <w:t>注：</w:t>
      </w:r>
    </w:p>
    <w:p>
      <w:pPr>
        <w:numPr>
          <w:ilvl w:val="0"/>
          <w:numId w:val="1"/>
        </w:numPr>
        <w:ind w:firstLine="315" w:firstLineChars="15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投标人企业名称如有变更，须及时更新相关企业信息，确保其有效性，在办理投标登记手续时须提供工商行政管理部门的变更证明材料。否则，由此引起的一切后果由投标人自行承担。</w:t>
      </w:r>
    </w:p>
    <w:p>
      <w:pPr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2.因吸收合并，广州市花都耀华供用电工程有限公司自</w:t>
      </w:r>
      <w:r>
        <w:rPr>
          <w:rFonts w:hint="eastAsia" w:ascii="宋体" w:hAnsi="宋体" w:cs="宋体"/>
          <w:color w:val="auto"/>
          <w:highlight w:val="none"/>
          <w:lang w:eastAsia="zh-CN"/>
        </w:rPr>
        <w:t>2021</w:t>
      </w:r>
      <w:r>
        <w:rPr>
          <w:rFonts w:hint="eastAsia" w:ascii="宋体" w:hAnsi="宋体" w:cs="宋体"/>
          <w:color w:val="auto"/>
          <w:highlight w:val="none"/>
        </w:rPr>
        <w:t>年12月2日起更名为广州城北电力工程有限公司。</w:t>
      </w:r>
    </w:p>
    <w:p>
      <w:pPr>
        <w:rPr>
          <w:color w:val="auto"/>
          <w:highlight w:val="none"/>
        </w:rPr>
      </w:pPr>
    </w:p>
    <w:p>
      <w:pPr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sectPr>
      <w:type w:val="oddPage"/>
      <w:pgSz w:w="16838" w:h="11906" w:orient="landscape"/>
      <w:pgMar w:top="1247" w:right="1440" w:bottom="124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2"/>
      <w:jc w:val="center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  <w:framePr w:wrap="around" w:vAnchor="text" w:hAnchor="margin" w:xAlign="outside" w:y="2"/>
      <w:ind w:left="-4410" w:leftChars="-2100" w:right="-4439" w:rightChars="-2114"/>
      <w:rPr>
        <w:rStyle w:val="12"/>
      </w:rPr>
    </w:pPr>
  </w:p>
  <w:p>
    <w:pPr>
      <w:pStyle w:val="7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2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rFonts w:hint="eastAsia"/>
      </w:rPr>
      <w:t>一–2</w:t>
    </w:r>
    <w:r>
      <w:fldChar w:fldCharType="end"/>
    </w:r>
  </w:p>
  <w:p>
    <w:pPr>
      <w:pStyle w:val="7"/>
      <w:ind w:right="360" w:firstLine="360"/>
      <w:jc w:val="center"/>
    </w:pPr>
    <w:r>
      <w:rPr>
        <w:kern w:val="0"/>
        <w:sz w:val="20"/>
      </w:rPr>
      <w:t>--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</w:p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21</w:t>
    </w:r>
    <w:r>
      <w:rPr>
        <w:rStyle w:val="12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right"/>
      <w:rPr>
        <w:i/>
        <w:iCs/>
      </w:rPr>
    </w:pPr>
    <w:r>
      <w:rPr>
        <w:rFonts w:hint="eastAsia"/>
        <w:i/>
        <w:iCs/>
      </w:rPr>
      <w:t>横枝岗路道路排水改造工程招标文件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right"/>
      <w:rPr>
        <w:i/>
        <w:i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D41DB"/>
    <w:multiLevelType w:val="singleLevel"/>
    <w:tmpl w:val="5FFD41D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D54"/>
    <w:rsid w:val="000029D6"/>
    <w:rsid w:val="00011300"/>
    <w:rsid w:val="00041C1C"/>
    <w:rsid w:val="00071325"/>
    <w:rsid w:val="00074956"/>
    <w:rsid w:val="0008350E"/>
    <w:rsid w:val="000D5AC4"/>
    <w:rsid w:val="000E64E4"/>
    <w:rsid w:val="00135883"/>
    <w:rsid w:val="00153000"/>
    <w:rsid w:val="0016525A"/>
    <w:rsid w:val="00172A27"/>
    <w:rsid w:val="001901EC"/>
    <w:rsid w:val="001B102C"/>
    <w:rsid w:val="001C1544"/>
    <w:rsid w:val="00215820"/>
    <w:rsid w:val="00217A90"/>
    <w:rsid w:val="00224868"/>
    <w:rsid w:val="002312C5"/>
    <w:rsid w:val="002440AF"/>
    <w:rsid w:val="00256D75"/>
    <w:rsid w:val="002A61D2"/>
    <w:rsid w:val="002B153E"/>
    <w:rsid w:val="002B175B"/>
    <w:rsid w:val="002C0397"/>
    <w:rsid w:val="002C3F7B"/>
    <w:rsid w:val="002C5F3A"/>
    <w:rsid w:val="002D5376"/>
    <w:rsid w:val="002D5967"/>
    <w:rsid w:val="002D7D60"/>
    <w:rsid w:val="0030049D"/>
    <w:rsid w:val="003434A1"/>
    <w:rsid w:val="0035130B"/>
    <w:rsid w:val="00356781"/>
    <w:rsid w:val="00363CFE"/>
    <w:rsid w:val="00363E78"/>
    <w:rsid w:val="00380570"/>
    <w:rsid w:val="003D51DA"/>
    <w:rsid w:val="003D528D"/>
    <w:rsid w:val="003F58A5"/>
    <w:rsid w:val="00440351"/>
    <w:rsid w:val="00483D89"/>
    <w:rsid w:val="00484E8D"/>
    <w:rsid w:val="004870BA"/>
    <w:rsid w:val="00492F29"/>
    <w:rsid w:val="004933E8"/>
    <w:rsid w:val="004C0D3C"/>
    <w:rsid w:val="004E2505"/>
    <w:rsid w:val="004E2920"/>
    <w:rsid w:val="004F2A9F"/>
    <w:rsid w:val="005330F8"/>
    <w:rsid w:val="005369D9"/>
    <w:rsid w:val="005F0A4B"/>
    <w:rsid w:val="005F3639"/>
    <w:rsid w:val="00603927"/>
    <w:rsid w:val="006133B9"/>
    <w:rsid w:val="00613C83"/>
    <w:rsid w:val="00635726"/>
    <w:rsid w:val="006478BF"/>
    <w:rsid w:val="00652B79"/>
    <w:rsid w:val="0066326B"/>
    <w:rsid w:val="006A364A"/>
    <w:rsid w:val="006A6E26"/>
    <w:rsid w:val="006B2C18"/>
    <w:rsid w:val="006F7972"/>
    <w:rsid w:val="00745A76"/>
    <w:rsid w:val="00760E81"/>
    <w:rsid w:val="007711DA"/>
    <w:rsid w:val="00793631"/>
    <w:rsid w:val="007C3BC6"/>
    <w:rsid w:val="007C54B7"/>
    <w:rsid w:val="00821AB8"/>
    <w:rsid w:val="00844320"/>
    <w:rsid w:val="00846235"/>
    <w:rsid w:val="0084695F"/>
    <w:rsid w:val="008502BA"/>
    <w:rsid w:val="00850AAB"/>
    <w:rsid w:val="00864FDC"/>
    <w:rsid w:val="00867C63"/>
    <w:rsid w:val="0088775E"/>
    <w:rsid w:val="008A16C5"/>
    <w:rsid w:val="008D0AF9"/>
    <w:rsid w:val="008E3C6C"/>
    <w:rsid w:val="00914D9F"/>
    <w:rsid w:val="00916CF0"/>
    <w:rsid w:val="00924A64"/>
    <w:rsid w:val="00941FF1"/>
    <w:rsid w:val="00950577"/>
    <w:rsid w:val="00994BC4"/>
    <w:rsid w:val="009B4A68"/>
    <w:rsid w:val="009C1E5E"/>
    <w:rsid w:val="00A04B54"/>
    <w:rsid w:val="00A05339"/>
    <w:rsid w:val="00A07AD3"/>
    <w:rsid w:val="00A123CB"/>
    <w:rsid w:val="00A52C97"/>
    <w:rsid w:val="00A5506E"/>
    <w:rsid w:val="00A62587"/>
    <w:rsid w:val="00A94FF4"/>
    <w:rsid w:val="00A9741F"/>
    <w:rsid w:val="00AB2244"/>
    <w:rsid w:val="00AC7422"/>
    <w:rsid w:val="00AC7ED2"/>
    <w:rsid w:val="00B10950"/>
    <w:rsid w:val="00B32B31"/>
    <w:rsid w:val="00B35AEB"/>
    <w:rsid w:val="00B74755"/>
    <w:rsid w:val="00B96C45"/>
    <w:rsid w:val="00BD753F"/>
    <w:rsid w:val="00BD7E6E"/>
    <w:rsid w:val="00BF04B6"/>
    <w:rsid w:val="00BF4C6D"/>
    <w:rsid w:val="00C24065"/>
    <w:rsid w:val="00C55617"/>
    <w:rsid w:val="00C61E03"/>
    <w:rsid w:val="00C8052C"/>
    <w:rsid w:val="00CB3602"/>
    <w:rsid w:val="00CF334A"/>
    <w:rsid w:val="00D35D08"/>
    <w:rsid w:val="00D4069A"/>
    <w:rsid w:val="00D639DC"/>
    <w:rsid w:val="00D6592D"/>
    <w:rsid w:val="00E02209"/>
    <w:rsid w:val="00E3188D"/>
    <w:rsid w:val="00E321F5"/>
    <w:rsid w:val="00E57C9A"/>
    <w:rsid w:val="00E7664D"/>
    <w:rsid w:val="00E95DB3"/>
    <w:rsid w:val="00EB5752"/>
    <w:rsid w:val="00EB5B3B"/>
    <w:rsid w:val="00EE33FA"/>
    <w:rsid w:val="00EE53A0"/>
    <w:rsid w:val="00F4280F"/>
    <w:rsid w:val="00F74204"/>
    <w:rsid w:val="00F924AF"/>
    <w:rsid w:val="00FC5B9A"/>
    <w:rsid w:val="00FD2639"/>
    <w:rsid w:val="00FF0F39"/>
    <w:rsid w:val="00FF32FF"/>
    <w:rsid w:val="023202BA"/>
    <w:rsid w:val="025E55A8"/>
    <w:rsid w:val="02A243D0"/>
    <w:rsid w:val="069A1636"/>
    <w:rsid w:val="07C10562"/>
    <w:rsid w:val="08233123"/>
    <w:rsid w:val="11B207A0"/>
    <w:rsid w:val="12942CC5"/>
    <w:rsid w:val="1A355CD4"/>
    <w:rsid w:val="1A7F64A8"/>
    <w:rsid w:val="1F3856E5"/>
    <w:rsid w:val="205751EE"/>
    <w:rsid w:val="20CD0D7B"/>
    <w:rsid w:val="22683104"/>
    <w:rsid w:val="23404254"/>
    <w:rsid w:val="23CF42AD"/>
    <w:rsid w:val="24F17BED"/>
    <w:rsid w:val="2650078F"/>
    <w:rsid w:val="27C47AF6"/>
    <w:rsid w:val="2A50141F"/>
    <w:rsid w:val="2BC36763"/>
    <w:rsid w:val="2CAF1637"/>
    <w:rsid w:val="2D8D7ECA"/>
    <w:rsid w:val="2E581EDA"/>
    <w:rsid w:val="3018417E"/>
    <w:rsid w:val="30626D20"/>
    <w:rsid w:val="33186DE3"/>
    <w:rsid w:val="39927502"/>
    <w:rsid w:val="39CE5012"/>
    <w:rsid w:val="3FE1050E"/>
    <w:rsid w:val="45980D21"/>
    <w:rsid w:val="4C035D26"/>
    <w:rsid w:val="51F33C92"/>
    <w:rsid w:val="53917A16"/>
    <w:rsid w:val="55AF369D"/>
    <w:rsid w:val="587A503B"/>
    <w:rsid w:val="5F4D27C7"/>
    <w:rsid w:val="62920584"/>
    <w:rsid w:val="633D4B26"/>
    <w:rsid w:val="646342B7"/>
    <w:rsid w:val="648E4874"/>
    <w:rsid w:val="67036563"/>
    <w:rsid w:val="67BD6988"/>
    <w:rsid w:val="6B0A75FA"/>
    <w:rsid w:val="6BFB0EF6"/>
    <w:rsid w:val="6E023585"/>
    <w:rsid w:val="7247619E"/>
    <w:rsid w:val="73071763"/>
    <w:rsid w:val="7372087B"/>
    <w:rsid w:val="774C2DC0"/>
    <w:rsid w:val="777A2237"/>
    <w:rsid w:val="7897686F"/>
    <w:rsid w:val="7D1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4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qFormat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2"/>
    <w:basedOn w:val="1"/>
    <w:next w:val="1"/>
    <w:qFormat/>
    <w:locked/>
    <w:uiPriority w:val="0"/>
    <w:pPr>
      <w:ind w:left="420" w:leftChars="200"/>
    </w:p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3 Char"/>
    <w:basedOn w:val="11"/>
    <w:link w:val="3"/>
    <w:semiHidden/>
    <w:qFormat/>
    <w:locked/>
    <w:uiPriority w:val="99"/>
    <w:rPr>
      <w:rFonts w:cs="Times New Roman"/>
      <w:b/>
      <w:bCs/>
      <w:kern w:val="2"/>
      <w:sz w:val="32"/>
      <w:szCs w:val="32"/>
    </w:rPr>
  </w:style>
  <w:style w:type="paragraph" w:customStyle="1" w:styleId="15">
    <w:name w:val="文书"/>
    <w:basedOn w:val="1"/>
    <w:qFormat/>
    <w:uiPriority w:val="99"/>
    <w:pPr>
      <w:ind w:firstLine="560" w:firstLineChars="200"/>
    </w:pPr>
    <w:rPr>
      <w:sz w:val="28"/>
    </w:rPr>
  </w:style>
  <w:style w:type="character" w:customStyle="1" w:styleId="16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locked/>
    <w:uiPriority w:val="99"/>
    <w:rPr>
      <w:kern w:val="2"/>
      <w:sz w:val="24"/>
    </w:rPr>
  </w:style>
  <w:style w:type="character" w:customStyle="1" w:styleId="18">
    <w:name w:val="日期 Char"/>
    <w:basedOn w:val="11"/>
    <w:link w:val="5"/>
    <w:semiHidden/>
    <w:qFormat/>
    <w:uiPriority w:val="99"/>
    <w:rPr>
      <w:szCs w:val="24"/>
    </w:rPr>
  </w:style>
  <w:style w:type="character" w:customStyle="1" w:styleId="19">
    <w:name w:val="纯文本 Char"/>
    <w:basedOn w:val="11"/>
    <w:link w:val="4"/>
    <w:semiHidden/>
    <w:qFormat/>
    <w:uiPriority w:val="99"/>
    <w:rPr>
      <w:rFonts w:ascii="宋体" w:hAnsi="Courier New" w:cs="Courier New"/>
      <w:szCs w:val="21"/>
    </w:rPr>
  </w:style>
  <w:style w:type="paragraph" w:customStyle="1" w:styleId="20">
    <w:name w:val="公文正文"/>
    <w:qFormat/>
    <w:uiPriority w:val="99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21">
    <w:name w:val="公文标题"/>
    <w:basedOn w:val="3"/>
    <w:qFormat/>
    <w:uiPriority w:val="99"/>
    <w:pPr>
      <w:spacing w:line="240" w:lineRule="auto"/>
      <w:ind w:left="1469" w:right="1542"/>
      <w:jc w:val="center"/>
    </w:pPr>
    <w:rPr>
      <w:bCs w:val="0"/>
      <w:sz w:val="44"/>
      <w:szCs w:val="24"/>
    </w:rPr>
  </w:style>
  <w:style w:type="paragraph" w:customStyle="1" w:styleId="22">
    <w:name w:val="发文落款"/>
    <w:basedOn w:val="20"/>
    <w:qFormat/>
    <w:uiPriority w:val="99"/>
    <w:pPr>
      <w:ind w:left="4094" w:right="607" w:firstLine="0"/>
      <w:jc w:val="center"/>
    </w:pPr>
  </w:style>
  <w:style w:type="character" w:customStyle="1" w:styleId="23">
    <w:name w:val="批注框文本 Char"/>
    <w:basedOn w:val="11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标题 2 Char"/>
    <w:basedOn w:val="11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160</Words>
  <Characters>912</Characters>
  <Lines>7</Lines>
  <Paragraphs>2</Paragraphs>
  <TotalTime>1</TotalTime>
  <ScaleCrop>false</ScaleCrop>
  <LinksUpToDate>false</LinksUpToDate>
  <CharactersWithSpaces>1070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2019-09-06T07:34:00Z</dcterms:created>
  <dc:creator>USER</dc:creator>
  <cp:lastModifiedBy>路心</cp:lastModifiedBy>
  <dcterms:modified xsi:type="dcterms:W3CDTF">2021-10-21T00:58:53Z</dcterms:modified>
  <dc:title>广州南沙物流A地块规划设计项目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665FC9D69D7C46BEB0F6675584F42607</vt:lpwstr>
  </property>
</Properties>
</file>