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黑体" w:hAnsi="Times New Roman" w:eastAsia="黑体"/>
          <w:sz w:val="36"/>
          <w:szCs w:val="36"/>
          <w:lang w:val="en-US" w:eastAsia="zh-CN"/>
        </w:rPr>
      </w:pPr>
      <w:r>
        <w:rPr>
          <w:rFonts w:hint="eastAsia" w:ascii="黑体" w:hAnsi="Times New Roman" w:eastAsia="黑体"/>
          <w:sz w:val="52"/>
          <w:szCs w:val="52"/>
          <w:lang w:val="en-US" w:eastAsia="zh-CN"/>
        </w:rPr>
        <w:t>科技兴海深蓝智谷孵化基地多媒体设备采购安装项目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026"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FoHHSAAAABwEAAA8AAAAAAAAAAQAgAAAAIgAAAGRycy9kb3ducmV2LnhtbFBLAQIUABQAAAAI&#10;AIdO4kBx9VB88wEAAOYDAAAOAAAAAAAAAAEAIAAAACEBAABkcnMvZTJvRG9jLnhtbFBLBQYAAAAA&#10;BgAGAFkBAACGBQAAAAA=&#10;">
                <v:fill on="f" focussize="0,0"/>
                <v:stroke weight="2.5pt" color="#000000" joinstyle="round"/>
                <v:imagedata o:title=""/>
                <o:lock v:ext="edit" aspectratio="f"/>
              </v:line>
            </w:pict>
          </mc:Fallback>
        </mc:AlternateContent>
      </w:r>
    </w:p>
    <w:p>
      <w:pPr>
        <w:tabs>
          <w:tab w:val="left" w:pos="2160"/>
        </w:tabs>
        <w:spacing w:line="300" w:lineRule="auto"/>
        <w:jc w:val="center"/>
        <w:outlineLvl w:val="9"/>
        <w:rPr>
          <w:rFonts w:ascii="黑体" w:hAnsi="Times New Roman" w:eastAsia="黑体"/>
          <w:b/>
          <w:spacing w:val="120"/>
          <w:sz w:val="84"/>
          <w:szCs w:val="84"/>
        </w:rPr>
      </w:pPr>
      <w:r>
        <w:rPr>
          <w:rFonts w:hint="eastAsia" w:ascii="黑体" w:hAnsi="Times New Roman" w:eastAsia="黑体"/>
          <w:b/>
          <w:spacing w:val="120"/>
          <w:position w:val="-2"/>
          <w:sz w:val="84"/>
          <w:szCs w:val="84"/>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1027"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gV+LdEAAAAEAQAADwAAAAAAAAABACAAAAAiAAAAZHJzL2Rvd25yZXYueG1sUEsBAhQAFAAAAAgA&#10;h07iQAU9DALzAQAA5gMAAA4AAAAAAAAAAQAgAAAAIAEAAGRycy9lMm9Eb2MueG1sUEsFBgAAAAAG&#10;AAYAWQEAAIUFA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outlineLvl w:val="9"/>
        <w:rPr>
          <w:rFonts w:hint="eastAsia" w:ascii="黑体" w:hAnsi="Times New Roman" w:eastAsia="黑体"/>
          <w:b/>
          <w:bCs/>
          <w:kern w:val="44"/>
          <w:sz w:val="44"/>
          <w:szCs w:val="44"/>
          <w:lang w:eastAsia="zh-CN"/>
        </w:rPr>
      </w:pPr>
      <w:r>
        <w:rPr>
          <w:rFonts w:hint="eastAsia" w:ascii="黑体" w:hAnsi="Times New Roman" w:eastAsia="黑体"/>
          <w:b/>
          <w:bCs/>
          <w:kern w:val="44"/>
          <w:sz w:val="44"/>
          <w:szCs w:val="44"/>
          <w:lang w:eastAsia="zh-CN"/>
        </w:rPr>
        <w:t>广州市乾信经济发展有限公司</w:t>
      </w:r>
    </w:p>
    <w:p>
      <w:pPr>
        <w:ind w:firstLine="3092" w:firstLineChars="700"/>
        <w:outlineLvl w:val="9"/>
        <w:rPr>
          <w:rFonts w:hint="eastAsia" w:ascii="黑体" w:hAnsi="Times New Roman" w:eastAsia="黑体"/>
          <w:b/>
          <w:bCs/>
          <w:sz w:val="44"/>
          <w:szCs w:val="44"/>
          <w:lang w:val="en-US" w:eastAsia="zh-CN"/>
        </w:rPr>
      </w:pPr>
    </w:p>
    <w:p>
      <w:pPr>
        <w:ind w:firstLine="0" w:firstLineChars="0"/>
        <w:jc w:val="center"/>
        <w:outlineLvl w:val="9"/>
        <w:rPr>
          <w:rFonts w:hint="default"/>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黑体" w:hAnsi="Times New Roman" w:eastAsia="黑体"/>
          <w:b/>
          <w:bCs/>
          <w:sz w:val="44"/>
          <w:szCs w:val="44"/>
          <w:lang w:val="en-US" w:eastAsia="zh-CN"/>
        </w:rPr>
        <w:t xml:space="preserve">2021年    月   </w:t>
      </w:r>
    </w:p>
    <w:p>
      <w:pPr>
        <w:pStyle w:val="2"/>
        <w:spacing w:line="360" w:lineRule="auto"/>
        <w:ind w:firstLine="321" w:firstLineChars="100"/>
        <w:jc w:val="center"/>
        <w:outlineLvl w:val="0"/>
        <w:rPr>
          <w:rFonts w:hint="eastAsia" w:ascii="黑体" w:hAnsi="黑体" w:eastAsia="黑体" w:cs="Times New Roman"/>
          <w:b/>
          <w:sz w:val="32"/>
          <w:szCs w:val="32"/>
        </w:rPr>
      </w:pPr>
      <w:bookmarkStart w:id="0" w:name="_Toc651"/>
      <w:bookmarkStart w:id="1" w:name="_Toc3608"/>
      <w:bookmarkStart w:id="2" w:name="_Toc24008"/>
      <w:r>
        <w:rPr>
          <w:rFonts w:hint="eastAsia" w:ascii="黑体" w:hAnsi="黑体" w:eastAsia="黑体" w:cs="Times New Roman"/>
          <w:b/>
          <w:sz w:val="32"/>
          <w:szCs w:val="32"/>
        </w:rPr>
        <w:t>第一部分  投 标 邀 请 函</w:t>
      </w:r>
      <w:bookmarkEnd w:id="0"/>
      <w:bookmarkEnd w:id="1"/>
      <w:bookmarkEnd w:id="2"/>
    </w:p>
    <w:p>
      <w:pPr>
        <w:spacing w:line="360" w:lineRule="auto"/>
        <w:ind w:firstLine="640" w:firstLineChars="200"/>
        <w:rPr>
          <w:rFonts w:ascii="宋体" w:hAnsi="宋体"/>
          <w:sz w:val="32"/>
          <w:szCs w:val="32"/>
        </w:rPr>
      </w:pPr>
      <w:r>
        <w:rPr>
          <w:rFonts w:hint="eastAsia" w:ascii="仿宋_GB2312" w:hAnsi="Calibri" w:eastAsia="仿宋_GB2312" w:cs="Times New Roman"/>
          <w:sz w:val="32"/>
          <w:szCs w:val="32"/>
          <w:lang w:eastAsia="zh-CN"/>
        </w:rPr>
        <w:t>广州市乾信经济发展有限公司现对</w:t>
      </w:r>
      <w:r>
        <w:rPr>
          <w:rFonts w:hint="eastAsia" w:ascii="仿宋_GB2312" w:eastAsia="仿宋_GB2312" w:cs="Times New Roman"/>
          <w:sz w:val="32"/>
          <w:szCs w:val="32"/>
          <w:lang w:eastAsia="zh-CN"/>
        </w:rPr>
        <w:t>科技兴海深蓝智谷孵化基地多媒体设备采购安装</w:t>
      </w:r>
      <w:r>
        <w:rPr>
          <w:rFonts w:hint="eastAsia" w:ascii="仿宋_GB2312" w:hAnsi="Calibri" w:eastAsia="仿宋_GB2312" w:cs="Times New Roman"/>
          <w:sz w:val="32"/>
          <w:szCs w:val="32"/>
          <w:lang w:eastAsia="zh-CN"/>
        </w:rPr>
        <w:t>项目进行邀请招标，欢迎符合资格条件的供应商投标。</w:t>
      </w:r>
    </w:p>
    <w:p>
      <w:pPr>
        <w:spacing w:line="360" w:lineRule="auto"/>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一、项目管理单位：广州市乾信经济发展</w:t>
      </w:r>
      <w:r>
        <w:rPr>
          <w:rFonts w:hint="eastAsia" w:ascii="黑体" w:hAnsi="黑体" w:eastAsia="黑体" w:cs="黑体"/>
          <w:sz w:val="32"/>
          <w:szCs w:val="32"/>
          <w:lang w:eastAsia="zh-CN"/>
        </w:rPr>
        <w:t xml:space="preserve">有限公司    </w:t>
      </w:r>
    </w:p>
    <w:p>
      <w:pPr>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二、项目名称：</w:t>
      </w:r>
      <w:r>
        <w:rPr>
          <w:rFonts w:hint="eastAsia" w:ascii="黑体" w:hAnsi="黑体" w:eastAsia="黑体" w:cs="黑体"/>
          <w:sz w:val="32"/>
          <w:szCs w:val="32"/>
          <w:lang w:eastAsia="zh-CN"/>
        </w:rPr>
        <w:t>科技兴海深蓝智谷孵化基地多媒体设备采购安装</w:t>
      </w:r>
      <w:r>
        <w:rPr>
          <w:rFonts w:hint="eastAsia" w:ascii="黑体" w:hAnsi="黑体" w:eastAsia="黑体" w:cs="黑体"/>
          <w:sz w:val="32"/>
          <w:szCs w:val="32"/>
        </w:rPr>
        <w:t>项目</w:t>
      </w:r>
    </w:p>
    <w:p>
      <w:pPr>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三、招标内容：</w:t>
      </w:r>
    </w:p>
    <w:p>
      <w:pPr>
        <w:spacing w:line="360" w:lineRule="auto"/>
        <w:ind w:firstLine="640" w:firstLineChars="200"/>
        <w:rPr>
          <w:rFonts w:ascii="宋体" w:hAnsi="宋体"/>
          <w:sz w:val="32"/>
          <w:szCs w:val="32"/>
        </w:rPr>
      </w:pPr>
      <w:r>
        <w:rPr>
          <w:rFonts w:hint="eastAsia" w:ascii="仿宋_GB2312" w:eastAsia="仿宋_GB2312" w:cs="Times New Roman"/>
          <w:sz w:val="32"/>
          <w:szCs w:val="32"/>
          <w:highlight w:val="none"/>
          <w:lang w:eastAsia="zh-CN"/>
        </w:rPr>
        <w:t>科技兴海深蓝智谷孵化基地一楼路演厅显示系统及扩音发言系统采购及安装，大会议室会议一体机采购及安装，大堂智能电视采购及安装，满足共创空间会议服务需求，项目</w:t>
      </w:r>
      <w:r>
        <w:rPr>
          <w:rFonts w:hint="eastAsia" w:ascii="仿宋_GB2312" w:hAnsi="Calibri" w:eastAsia="仿宋_GB2312" w:cs="Times New Roman"/>
          <w:sz w:val="32"/>
          <w:szCs w:val="32"/>
          <w:highlight w:val="none"/>
        </w:rPr>
        <w:t>竣工验收合格后</w:t>
      </w:r>
      <w:r>
        <w:rPr>
          <w:rFonts w:hint="eastAsia" w:ascii="仿宋_GB2312" w:eastAsia="仿宋_GB2312" w:cs="Times New Roman"/>
          <w:sz w:val="32"/>
          <w:szCs w:val="32"/>
          <w:highlight w:val="none"/>
          <w:lang w:val="en-US" w:eastAsia="zh-CN"/>
        </w:rPr>
        <w:t>1</w:t>
      </w:r>
      <w:r>
        <w:rPr>
          <w:rFonts w:hint="eastAsia" w:ascii="仿宋_GB2312" w:hAnsi="Calibri" w:eastAsia="仿宋_GB2312" w:cs="Times New Roman"/>
          <w:sz w:val="32"/>
          <w:szCs w:val="32"/>
          <w:highlight w:val="none"/>
        </w:rPr>
        <w:t xml:space="preserve">年的质保期。        </w:t>
      </w:r>
      <w:r>
        <w:rPr>
          <w:rFonts w:hint="eastAsia" w:ascii="仿宋_GB2312" w:hAnsi="Calibri" w:eastAsia="仿宋_GB2312" w:cs="Times New Roman"/>
          <w:sz w:val="32"/>
          <w:szCs w:val="32"/>
        </w:rPr>
        <w:t xml:space="preserve">    </w:t>
      </w:r>
      <w:bookmarkStart w:id="78" w:name="_GoBack"/>
      <w:bookmarkEnd w:id="78"/>
      <w:r>
        <w:rPr>
          <w:rFonts w:hint="eastAsia" w:ascii="仿宋_GB2312" w:hAnsi="Calibri" w:eastAsia="仿宋_GB2312" w:cs="Times New Roman"/>
          <w:sz w:val="32"/>
          <w:szCs w:val="32"/>
        </w:rPr>
        <w:t xml:space="preserve">  </w:t>
      </w:r>
      <w:r>
        <w:rPr>
          <w:rFonts w:hint="eastAsia" w:ascii="宋体" w:hAnsi="宋体"/>
          <w:sz w:val="32"/>
          <w:szCs w:val="32"/>
        </w:rPr>
        <w:t xml:space="preserve">                </w:t>
      </w:r>
    </w:p>
    <w:p>
      <w:pPr>
        <w:rPr>
          <w:rFonts w:hint="eastAsia" w:ascii="黑体" w:hAnsi="黑体" w:eastAsia="黑体" w:cs="黑体"/>
          <w:sz w:val="32"/>
          <w:szCs w:val="32"/>
        </w:rPr>
      </w:pPr>
      <w:r>
        <w:rPr>
          <w:rFonts w:hint="eastAsia" w:ascii="宋体" w:hAnsi="宋体" w:cs="黑体"/>
          <w:b/>
          <w:bCs/>
          <w:sz w:val="28"/>
          <w:szCs w:val="28"/>
        </w:rPr>
        <w:t xml:space="preserve">   </w:t>
      </w:r>
      <w:r>
        <w:rPr>
          <w:rFonts w:hint="eastAsia" w:ascii="宋体" w:hAnsi="宋体" w:cs="黑体"/>
          <w:sz w:val="28"/>
          <w:szCs w:val="28"/>
        </w:rPr>
        <w:t xml:space="preserve"> </w:t>
      </w:r>
      <w:r>
        <w:rPr>
          <w:rFonts w:hint="eastAsia" w:ascii="黑体" w:hAnsi="黑体" w:eastAsia="黑体" w:cs="黑体"/>
          <w:sz w:val="32"/>
          <w:szCs w:val="32"/>
        </w:rPr>
        <w:t>四、工期：</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合同签订后正式进场施工30个日历天内完成深化设计、实施和竣工验收。</w:t>
      </w:r>
    </w:p>
    <w:p>
      <w:pPr>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五、投标单位</w:t>
      </w:r>
      <w:r>
        <w:rPr>
          <w:rFonts w:hint="eastAsia" w:ascii="黑体" w:hAnsi="黑体" w:eastAsia="黑体" w:cs="黑体"/>
          <w:sz w:val="32"/>
          <w:szCs w:val="32"/>
          <w:lang w:eastAsia="zh-CN"/>
        </w:rPr>
        <w:t>须</w:t>
      </w:r>
      <w:r>
        <w:rPr>
          <w:rFonts w:hint="eastAsia" w:ascii="黑体" w:hAnsi="黑体" w:eastAsia="黑体" w:cs="黑体"/>
          <w:sz w:val="32"/>
          <w:szCs w:val="32"/>
        </w:rPr>
        <w:t>报送的资料：</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1、在有效期内的《营业执照》。</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2、法定代表人证明书、法定代表人委托授权书。</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3、法定代表人、受委托人身份证。</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4、评分细则提及所需的各项产品性能证明材料。</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5、提供近两年</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2019年10月1日至今</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与本项目相同或类似项目业绩（不低于本项目预算金额）证明材料（合同）。</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为本项目设定的施工方案（含</w:t>
      </w:r>
      <w:r>
        <w:rPr>
          <w:rFonts w:hint="eastAsia" w:ascii="仿宋_GB2312" w:hAnsi="Calibri" w:eastAsia="仿宋_GB2312" w:cs="Times New Roman"/>
          <w:sz w:val="32"/>
          <w:szCs w:val="32"/>
          <w:lang w:eastAsia="zh-CN"/>
        </w:rPr>
        <w:t>施工进度计划</w:t>
      </w:r>
      <w:r>
        <w:rPr>
          <w:rFonts w:hint="eastAsia" w:ascii="仿宋_GB2312" w:hAnsi="Calibri" w:eastAsia="仿宋_GB2312" w:cs="Times New Roman"/>
          <w:sz w:val="32"/>
          <w:szCs w:val="32"/>
        </w:rPr>
        <w:t>、走线图等）。</w:t>
      </w:r>
    </w:p>
    <w:p>
      <w:pPr>
        <w:spacing w:line="360" w:lineRule="auto"/>
        <w:ind w:firstLine="640" w:firstLineChars="200"/>
        <w:rPr>
          <w:rFonts w:hint="default" w:eastAsia="仿宋_GB2312"/>
          <w:lang w:val="en-US" w:eastAsia="zh-CN"/>
        </w:rPr>
      </w:pPr>
      <w:r>
        <w:rPr>
          <w:rFonts w:hint="eastAsia" w:ascii="仿宋_GB2312" w:hAnsi="宋体" w:eastAsia="仿宋_GB2312" w:cs="Times New Roman"/>
          <w:bCs/>
          <w:sz w:val="32"/>
          <w:szCs w:val="32"/>
          <w:lang w:val="en-US" w:eastAsia="zh-CN"/>
        </w:rPr>
        <w:t>7、缴纳投标保证金的银行转账单复印件。</w:t>
      </w:r>
    </w:p>
    <w:p>
      <w:pPr>
        <w:spacing w:line="360" w:lineRule="auto"/>
        <w:ind w:firstLine="640" w:firstLineChars="200"/>
        <w:rPr>
          <w:rFonts w:hint="eastAsia"/>
        </w:rPr>
      </w:pPr>
      <w:r>
        <w:rPr>
          <w:rFonts w:hint="eastAsia" w:ascii="仿宋_GB2312" w:eastAsia="仿宋_GB2312" w:cs="Times New Roman"/>
          <w:sz w:val="32"/>
          <w:szCs w:val="32"/>
          <w:lang w:val="en-US" w:eastAsia="zh-CN"/>
        </w:rPr>
        <w:t>8</w:t>
      </w:r>
      <w:r>
        <w:rPr>
          <w:rFonts w:hint="eastAsia" w:ascii="仿宋_GB2312" w:hAnsi="Calibri" w:eastAsia="仿宋_GB2312" w:cs="Times New Roman"/>
          <w:sz w:val="32"/>
          <w:szCs w:val="32"/>
        </w:rPr>
        <w:t>、以上证件均为复印件（原件备查），复印件须加盖本单位公章，涉及设备的证明资料须加盖制造商单位公章。</w:t>
      </w:r>
    </w:p>
    <w:p>
      <w:pPr>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六、投标报价：</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项目最高限价为218129.70元。本项目采取总价包干，包一切税费以及明示或暗示的所有一切风险、责任和义务等所有费用。请各投标单位按本项目招标计价汇总表（详见附件）结合项目状况、自身实力和市场因素进行报价。报价不得超过该项投标的最高限价，否则按废标处理。</w:t>
      </w:r>
    </w:p>
    <w:p>
      <w:pPr>
        <w:pStyle w:val="7"/>
        <w:spacing w:line="360" w:lineRule="auto"/>
        <w:ind w:firstLine="608"/>
        <w:rPr>
          <w:rFonts w:hAnsi="宋体" w:cs="黑体"/>
          <w:bCs/>
          <w:color w:val="000000"/>
          <w:kern w:val="0"/>
          <w:sz w:val="32"/>
          <w:szCs w:val="32"/>
          <w:shd w:val="clear" w:color="auto" w:fill="FFFFFF"/>
        </w:rPr>
      </w:pPr>
      <w:r>
        <w:rPr>
          <w:rFonts w:hint="eastAsia" w:ascii="黑体" w:hAnsi="黑体" w:eastAsia="黑体" w:cs="黑体"/>
          <w:kern w:val="2"/>
          <w:sz w:val="32"/>
          <w:szCs w:val="32"/>
          <w:lang w:val="en-US" w:eastAsia="zh-CN" w:bidi="ar-SA"/>
        </w:rPr>
        <w:t>七、招标文件领取：</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广州南沙资产经营集团有限公司网站（http://www.gnao.com.cn）下载。</w:t>
      </w:r>
    </w:p>
    <w:p>
      <w:pPr>
        <w:pStyle w:val="7"/>
        <w:spacing w:line="360" w:lineRule="auto"/>
        <w:ind w:firstLine="608"/>
        <w:rPr>
          <w:rFonts w:hAnsi="宋体" w:cs="黑体"/>
          <w:bCs/>
          <w:color w:val="000000"/>
          <w:kern w:val="0"/>
          <w:sz w:val="32"/>
          <w:szCs w:val="32"/>
          <w:shd w:val="clear" w:color="auto" w:fill="FFFFFF"/>
        </w:rPr>
      </w:pPr>
      <w:r>
        <w:rPr>
          <w:rFonts w:hint="eastAsia" w:ascii="黑体" w:hAnsi="黑体" w:eastAsia="黑体" w:cs="黑体"/>
          <w:kern w:val="2"/>
          <w:sz w:val="32"/>
          <w:szCs w:val="32"/>
          <w:lang w:val="en-US" w:eastAsia="zh-CN" w:bidi="ar-SA"/>
        </w:rPr>
        <w:t>八、招标信息发布及结果公告网站：</w:t>
      </w:r>
    </w:p>
    <w:p>
      <w:pPr>
        <w:spacing w:line="360" w:lineRule="auto"/>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广州南沙资产经营集团有限公司网站（http://www.gnao.com.cn）。</w:t>
      </w:r>
    </w:p>
    <w:p>
      <w:pPr>
        <w:spacing w:line="360" w:lineRule="auto"/>
        <w:ind w:firstLine="640" w:firstLineChars="200"/>
        <w:rPr>
          <w:rFonts w:hint="eastAsia" w:ascii="仿宋_GB2312" w:hAnsi="Calibri" w:eastAsia="仿宋_GB2312" w:cs="Times New Roman"/>
          <w:sz w:val="32"/>
          <w:szCs w:val="32"/>
          <w:lang w:eastAsia="zh-CN"/>
        </w:rPr>
      </w:pPr>
      <w:r>
        <w:rPr>
          <w:rFonts w:hint="eastAsia" w:ascii="黑体" w:hAnsi="黑体" w:eastAsia="黑体" w:cs="黑体"/>
          <w:kern w:val="2"/>
          <w:sz w:val="32"/>
          <w:szCs w:val="32"/>
          <w:lang w:val="en-US" w:eastAsia="zh-CN" w:bidi="ar-SA"/>
        </w:rPr>
        <w:t>九、付款方式：</w:t>
      </w:r>
      <w:r>
        <w:rPr>
          <w:rFonts w:hint="eastAsia" w:ascii="仿宋_GB2312" w:hAnsi="Calibri" w:eastAsia="仿宋_GB2312" w:cs="Times New Roman"/>
          <w:sz w:val="32"/>
          <w:szCs w:val="32"/>
          <w:lang w:eastAsia="zh-CN"/>
        </w:rPr>
        <w:t>本项目合同签订后，</w:t>
      </w:r>
      <w:r>
        <w:rPr>
          <w:rFonts w:hint="eastAsia" w:ascii="仿宋_GB2312" w:hAnsi="Calibri" w:eastAsia="仿宋_GB2312" w:cs="Times New Roman"/>
          <w:sz w:val="32"/>
          <w:szCs w:val="32"/>
          <w:highlight w:val="none"/>
          <w:lang w:eastAsia="zh-CN"/>
        </w:rPr>
        <w:t>在收到等额合格的增值税专用发票之日起10个工作日内支付合同承包金额的</w:t>
      </w:r>
      <w:r>
        <w:rPr>
          <w:rFonts w:hint="eastAsia" w:ascii="仿宋_GB2312" w:hAnsi="Calibri" w:eastAsia="仿宋_GB2312" w:cs="Times New Roman"/>
          <w:sz w:val="32"/>
          <w:szCs w:val="32"/>
          <w:highlight w:val="none"/>
          <w:lang w:val="en-US" w:eastAsia="zh-CN"/>
        </w:rPr>
        <w:t>3</w:t>
      </w:r>
      <w:r>
        <w:rPr>
          <w:rFonts w:hint="eastAsia" w:ascii="仿宋_GB2312" w:hAnsi="Calibri" w:eastAsia="仿宋_GB2312" w:cs="Times New Roman"/>
          <w:sz w:val="32"/>
          <w:szCs w:val="32"/>
          <w:highlight w:val="none"/>
          <w:lang w:eastAsia="zh-CN"/>
        </w:rPr>
        <w:t>0%，</w:t>
      </w:r>
      <w:r>
        <w:rPr>
          <w:rFonts w:hint="eastAsia" w:ascii="仿宋_GB2312" w:hAnsi="Calibri" w:eastAsia="仿宋_GB2312" w:cs="Times New Roman"/>
          <w:sz w:val="32"/>
          <w:szCs w:val="32"/>
          <w:lang w:eastAsia="zh-CN"/>
        </w:rPr>
        <w:t>设备到货并验收合格后，在收到等额合格的增值税专用发票之日起10个工作日内支付合同承包金额的</w:t>
      </w:r>
      <w:r>
        <w:rPr>
          <w:rFonts w:hint="eastAsia" w:ascii="仿宋_GB2312" w:hAnsi="Calibri" w:eastAsia="仿宋_GB2312" w:cs="Times New Roman"/>
          <w:sz w:val="32"/>
          <w:szCs w:val="32"/>
          <w:lang w:val="en-US" w:eastAsia="zh-CN"/>
        </w:rPr>
        <w:t>30</w:t>
      </w:r>
      <w:r>
        <w:rPr>
          <w:rFonts w:hint="eastAsia" w:ascii="仿宋_GB2312" w:hAnsi="Calibri" w:eastAsia="仿宋_GB2312" w:cs="Times New Roman"/>
          <w:sz w:val="32"/>
          <w:szCs w:val="32"/>
          <w:lang w:eastAsia="zh-CN"/>
        </w:rPr>
        <w:t>%；安装调试完毕且验收合格，并对甲方人员（</w:t>
      </w:r>
      <w:r>
        <w:rPr>
          <w:rFonts w:hint="eastAsia" w:ascii="仿宋_GB2312" w:hAnsi="Calibri" w:eastAsia="仿宋_GB2312" w:cs="Times New Roman"/>
          <w:sz w:val="32"/>
          <w:szCs w:val="32"/>
          <w:lang w:val="en-US" w:eastAsia="zh-CN"/>
        </w:rPr>
        <w:t>2人以上</w:t>
      </w:r>
      <w:r>
        <w:rPr>
          <w:rFonts w:hint="eastAsia" w:ascii="仿宋_GB2312" w:hAnsi="Calibri" w:eastAsia="仿宋_GB2312" w:cs="Times New Roman"/>
          <w:sz w:val="32"/>
          <w:szCs w:val="32"/>
          <w:lang w:eastAsia="zh-CN"/>
        </w:rPr>
        <w:t>）进行操作培训合格后，在收到等额合格的增值税专用发票之日起10个工作日内支付合同承包金额的</w:t>
      </w:r>
      <w:r>
        <w:rPr>
          <w:rFonts w:hint="eastAsia" w:ascii="仿宋_GB2312" w:hAnsi="Calibri" w:eastAsia="仿宋_GB2312" w:cs="Times New Roman"/>
          <w:sz w:val="32"/>
          <w:szCs w:val="32"/>
          <w:lang w:val="en-US" w:eastAsia="zh-CN"/>
        </w:rPr>
        <w:t>3</w:t>
      </w:r>
      <w:r>
        <w:rPr>
          <w:rFonts w:hint="eastAsia" w:ascii="仿宋_GB2312" w:eastAsia="仿宋_GB2312" w:cs="Times New Roman"/>
          <w:sz w:val="32"/>
          <w:szCs w:val="32"/>
          <w:lang w:val="en-US" w:eastAsia="zh-CN"/>
        </w:rPr>
        <w:t>7</w:t>
      </w:r>
      <w:r>
        <w:rPr>
          <w:rFonts w:hint="eastAsia" w:ascii="仿宋_GB2312" w:hAnsi="Calibri" w:eastAsia="仿宋_GB2312" w:cs="Times New Roman"/>
          <w:sz w:val="32"/>
          <w:szCs w:val="32"/>
          <w:lang w:eastAsia="zh-CN"/>
        </w:rPr>
        <w:t>%，剩余</w:t>
      </w:r>
      <w:r>
        <w:rPr>
          <w:rFonts w:hint="eastAsia" w:ascii="仿宋_GB2312" w:eastAsia="仿宋_GB2312" w:cs="Times New Roman"/>
          <w:sz w:val="32"/>
          <w:szCs w:val="32"/>
          <w:lang w:val="en-US" w:eastAsia="zh-CN"/>
        </w:rPr>
        <w:t>3</w:t>
      </w:r>
      <w:r>
        <w:rPr>
          <w:rFonts w:hint="eastAsia" w:ascii="仿宋_GB2312" w:hAnsi="Calibri" w:eastAsia="仿宋_GB2312" w:cs="Times New Roman"/>
          <w:sz w:val="32"/>
          <w:szCs w:val="32"/>
          <w:lang w:eastAsia="zh-CN"/>
        </w:rPr>
        <w:t>%将在保修期满且收到等额合格的增值税专用发票之日起10个工作日内支付。</w:t>
      </w:r>
    </w:p>
    <w:p>
      <w:pPr>
        <w:spacing w:line="360" w:lineRule="auto"/>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十、开标安排：</w:t>
      </w:r>
    </w:p>
    <w:p>
      <w:pPr>
        <w:spacing w:line="360" w:lineRule="auto"/>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1、开标时间：2021年</w:t>
      </w:r>
      <w:r>
        <w:rPr>
          <w:rFonts w:hint="eastAsia" w:ascii="仿宋_GB2312" w:eastAsia="仿宋_GB2312" w:cs="Times New Roman"/>
          <w:sz w:val="32"/>
          <w:szCs w:val="32"/>
          <w:lang w:val="en-US" w:eastAsia="zh-CN"/>
        </w:rPr>
        <w:t>12</w:t>
      </w:r>
      <w:r>
        <w:rPr>
          <w:rFonts w:hint="eastAsia" w:ascii="仿宋_GB2312" w:hAnsi="Calibri" w:eastAsia="仿宋_GB2312" w:cs="Times New Roman"/>
          <w:sz w:val="32"/>
          <w:szCs w:val="32"/>
          <w:lang w:eastAsia="zh-CN"/>
        </w:rPr>
        <w:t>月</w:t>
      </w:r>
      <w:r>
        <w:rPr>
          <w:rFonts w:hint="eastAsia" w:ascii="仿宋_GB2312" w:eastAsia="仿宋_GB2312" w:cs="Times New Roman"/>
          <w:sz w:val="32"/>
          <w:szCs w:val="32"/>
          <w:lang w:val="en-US" w:eastAsia="zh-CN"/>
        </w:rPr>
        <w:t>24</w:t>
      </w:r>
      <w:r>
        <w:rPr>
          <w:rFonts w:hint="eastAsia" w:ascii="仿宋_GB2312" w:hAnsi="Calibri" w:eastAsia="仿宋_GB2312" w:cs="Times New Roman"/>
          <w:sz w:val="32"/>
          <w:szCs w:val="32"/>
          <w:lang w:eastAsia="zh-CN"/>
        </w:rPr>
        <w:t>日上午</w:t>
      </w:r>
      <w:r>
        <w:rPr>
          <w:rFonts w:hint="eastAsia" w:ascii="仿宋_GB2312" w:eastAsia="仿宋_GB2312" w:cs="Times New Roman"/>
          <w:sz w:val="32"/>
          <w:szCs w:val="32"/>
          <w:lang w:val="en-US" w:eastAsia="zh-CN"/>
        </w:rPr>
        <w:t>10</w:t>
      </w:r>
      <w:r>
        <w:rPr>
          <w:rFonts w:hint="eastAsia" w:ascii="仿宋_GB2312" w:hAnsi="Calibri" w:eastAsia="仿宋_GB2312" w:cs="Times New Roman"/>
          <w:sz w:val="32"/>
          <w:szCs w:val="32"/>
          <w:lang w:eastAsia="zh-CN"/>
        </w:rPr>
        <w:t>点</w:t>
      </w:r>
      <w:r>
        <w:rPr>
          <w:rFonts w:hint="eastAsia" w:ascii="仿宋_GB2312" w:eastAsia="仿宋_GB2312" w:cs="Times New Roman"/>
          <w:sz w:val="32"/>
          <w:szCs w:val="32"/>
          <w:lang w:val="en-US" w:eastAsia="zh-CN"/>
        </w:rPr>
        <w:t>00</w:t>
      </w:r>
      <w:r>
        <w:rPr>
          <w:rFonts w:hint="eastAsia" w:ascii="仿宋_GB2312" w:hAnsi="Calibri" w:eastAsia="仿宋_GB2312" w:cs="Times New Roman"/>
          <w:sz w:val="32"/>
          <w:szCs w:val="32"/>
          <w:lang w:eastAsia="zh-CN"/>
        </w:rPr>
        <w:t>分。</w:t>
      </w:r>
    </w:p>
    <w:p>
      <w:pPr>
        <w:spacing w:line="360" w:lineRule="auto"/>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2、开标地址：南沙区海滨路171号金融大厦</w:t>
      </w:r>
      <w:r>
        <w:rPr>
          <w:rFonts w:hint="eastAsia" w:ascii="仿宋_GB2312" w:hAnsi="Calibri" w:eastAsia="仿宋_GB2312" w:cs="Times New Roman"/>
          <w:sz w:val="32"/>
          <w:szCs w:val="32"/>
          <w:lang w:val="en-US" w:eastAsia="zh-CN"/>
        </w:rPr>
        <w:t>11</w:t>
      </w:r>
      <w:r>
        <w:rPr>
          <w:rFonts w:hint="eastAsia" w:ascii="仿宋_GB2312" w:hAnsi="Calibri" w:eastAsia="仿宋_GB2312" w:cs="Times New Roman"/>
          <w:sz w:val="32"/>
          <w:szCs w:val="32"/>
          <w:lang w:eastAsia="zh-CN"/>
        </w:rPr>
        <w:t>楼会议室。投标人参加开标会的须凭身份证入场，受委托人须持授权委托书和本人身份证入场。</w:t>
      </w:r>
    </w:p>
    <w:p>
      <w:pPr>
        <w:spacing w:line="360" w:lineRule="auto"/>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3、联系人：傅金城，咨询电话：</w:t>
      </w:r>
      <w:r>
        <w:rPr>
          <w:rFonts w:hint="eastAsia" w:ascii="仿宋_GB2312" w:hAnsi="Calibri" w:eastAsia="仿宋_GB2312" w:cs="Times New Roman"/>
          <w:sz w:val="32"/>
          <w:szCs w:val="32"/>
          <w:lang w:val="en-US" w:eastAsia="zh-CN"/>
        </w:rPr>
        <w:t>13512768967</w:t>
      </w:r>
      <w:r>
        <w:rPr>
          <w:rFonts w:hint="eastAsia" w:ascii="仿宋_GB2312" w:hAnsi="Calibri" w:eastAsia="仿宋_GB2312" w:cs="Times New Roman"/>
          <w:sz w:val="32"/>
          <w:szCs w:val="32"/>
          <w:lang w:eastAsia="zh-CN"/>
        </w:rPr>
        <w:t>。</w:t>
      </w:r>
    </w:p>
    <w:p>
      <w:pPr>
        <w:spacing w:line="360" w:lineRule="auto"/>
        <w:ind w:firstLine="640" w:firstLineChars="200"/>
        <w:rPr>
          <w:rFonts w:ascii="宋体" w:hAnsi="宋体"/>
          <w:b/>
          <w:bCs/>
          <w:sz w:val="32"/>
        </w:rPr>
      </w:pPr>
      <w:r>
        <w:rPr>
          <w:rFonts w:hint="eastAsia" w:ascii="仿宋_GB2312" w:hAnsi="Calibri" w:eastAsia="仿宋_GB2312" w:cs="Times New Roman"/>
          <w:sz w:val="32"/>
          <w:szCs w:val="32"/>
          <w:lang w:eastAsia="zh-CN"/>
        </w:rPr>
        <w:br w:type="page"/>
      </w:r>
    </w:p>
    <w:p>
      <w:pPr>
        <w:jc w:val="center"/>
        <w:outlineLvl w:val="0"/>
        <w:rPr>
          <w:rFonts w:hint="eastAsia" w:ascii="黑体" w:hAnsi="黑体" w:eastAsia="黑体" w:cs="Times New Roman"/>
          <w:b/>
          <w:bCs/>
          <w:sz w:val="32"/>
        </w:rPr>
      </w:pPr>
      <w:bookmarkStart w:id="3" w:name="_Toc30150"/>
      <w:bookmarkStart w:id="4" w:name="_Toc15157"/>
      <w:bookmarkStart w:id="5" w:name="_Toc21402"/>
      <w:r>
        <w:rPr>
          <w:rFonts w:hint="eastAsia" w:ascii="黑体" w:hAnsi="黑体" w:eastAsia="黑体" w:cs="Times New Roman"/>
          <w:b/>
          <w:bCs/>
          <w:sz w:val="32"/>
        </w:rPr>
        <w:t>第二部分  投 标 人 须 知</w:t>
      </w:r>
      <w:bookmarkEnd w:id="3"/>
      <w:bookmarkEnd w:id="4"/>
      <w:bookmarkEnd w:id="5"/>
    </w:p>
    <w:p>
      <w:pPr>
        <w:spacing w:line="360" w:lineRule="auto"/>
        <w:ind w:left="0" w:leftChars="0" w:firstLine="842" w:firstLineChars="262"/>
        <w:rPr>
          <w:rFonts w:hint="eastAsia" w:ascii="黑体" w:hAnsi="黑体" w:eastAsia="黑体" w:cs="黑体"/>
          <w:b/>
          <w:bCs/>
          <w:sz w:val="32"/>
          <w:szCs w:val="32"/>
        </w:rPr>
      </w:pPr>
      <w:r>
        <w:rPr>
          <w:rFonts w:hint="eastAsia" w:ascii="黑体" w:hAnsi="黑体" w:eastAsia="黑体" w:cs="黑体"/>
          <w:b/>
          <w:bCs/>
          <w:sz w:val="32"/>
          <w:szCs w:val="32"/>
        </w:rPr>
        <w:t>一、说明</w:t>
      </w:r>
    </w:p>
    <w:p>
      <w:pPr>
        <w:spacing w:line="360" w:lineRule="auto"/>
        <w:ind w:left="160" w:leftChars="76" w:firstLine="640" w:firstLineChars="200"/>
        <w:rPr>
          <w:rFonts w:hint="eastAsia" w:ascii="仿宋_GB2312" w:hAnsi="宋体" w:eastAsia="仿宋_GB2312" w:cs="Times New Roman"/>
          <w:bCs/>
          <w:sz w:val="32"/>
          <w:szCs w:val="32"/>
        </w:rPr>
      </w:pPr>
      <w:r>
        <w:rPr>
          <w:rFonts w:hint="eastAsia" w:ascii="仿宋_GB2312" w:hAnsi="宋体" w:eastAsia="仿宋_GB2312" w:cs="Times New Roman"/>
          <w:bCs/>
          <w:sz w:val="32"/>
          <w:szCs w:val="32"/>
        </w:rPr>
        <w:t xml:space="preserve">（一）投标前，投标人必须仔细阅读招标文件。若投标人认为招标文件有模糊或不清之处，立即与广州市乾信经济发展有限公司进行联系。 </w:t>
      </w:r>
    </w:p>
    <w:p>
      <w:pPr>
        <w:spacing w:line="360" w:lineRule="auto"/>
        <w:ind w:left="160" w:leftChars="76" w:firstLine="640"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rPr>
        <w:t>联系人：</w:t>
      </w:r>
      <w:r>
        <w:rPr>
          <w:rFonts w:hint="eastAsia" w:ascii="仿宋_GB2312" w:hAnsi="宋体" w:eastAsia="仿宋_GB2312" w:cs="Times New Roman"/>
          <w:bCs/>
          <w:sz w:val="32"/>
          <w:szCs w:val="32"/>
          <w:lang w:eastAsia="zh-CN"/>
        </w:rPr>
        <w:t>傅金城</w:t>
      </w:r>
      <w:r>
        <w:rPr>
          <w:rFonts w:hint="eastAsia" w:ascii="仿宋_GB2312" w:hAnsi="宋体" w:eastAsia="仿宋_GB2312" w:cs="Times New Roman"/>
          <w:bCs/>
          <w:sz w:val="32"/>
          <w:szCs w:val="32"/>
        </w:rPr>
        <w:t xml:space="preserve">   联系电话：</w:t>
      </w:r>
      <w:r>
        <w:rPr>
          <w:rFonts w:hint="eastAsia" w:ascii="仿宋_GB2312" w:hAnsi="宋体" w:eastAsia="仿宋_GB2312" w:cs="Times New Roman"/>
          <w:bCs/>
          <w:sz w:val="32"/>
          <w:szCs w:val="32"/>
          <w:lang w:val="en-US" w:eastAsia="zh-CN"/>
        </w:rPr>
        <w:t>020-39099085</w:t>
      </w:r>
    </w:p>
    <w:p>
      <w:pPr>
        <w:spacing w:line="360" w:lineRule="auto"/>
        <w:ind w:left="160" w:leftChars="76" w:firstLine="640"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rPr>
        <w:t>联系地址：</w:t>
      </w:r>
      <w:r>
        <w:rPr>
          <w:rFonts w:hint="eastAsia" w:ascii="仿宋_GB2312" w:hAnsi="宋体" w:eastAsia="仿宋_GB2312" w:cs="Times New Roman"/>
          <w:bCs/>
          <w:sz w:val="32"/>
          <w:szCs w:val="32"/>
          <w:lang w:eastAsia="zh-CN"/>
        </w:rPr>
        <w:t>广州市</w:t>
      </w:r>
      <w:r>
        <w:rPr>
          <w:rFonts w:hint="eastAsia" w:ascii="仿宋_GB2312" w:hAnsi="宋体" w:eastAsia="仿宋_GB2312" w:cs="Times New Roman"/>
          <w:bCs/>
          <w:sz w:val="32"/>
          <w:szCs w:val="32"/>
        </w:rPr>
        <w:t>南沙区海滨路171号金融大厦</w:t>
      </w:r>
      <w:r>
        <w:rPr>
          <w:rFonts w:hint="eastAsia" w:ascii="仿宋_GB2312" w:hAnsi="宋体" w:eastAsia="仿宋_GB2312" w:cs="Times New Roman"/>
          <w:bCs/>
          <w:sz w:val="32"/>
          <w:szCs w:val="32"/>
          <w:lang w:val="en-US" w:eastAsia="zh-CN"/>
        </w:rPr>
        <w:t>11楼1102室</w:t>
      </w:r>
    </w:p>
    <w:p>
      <w:pPr>
        <w:numPr>
          <w:ilvl w:val="0"/>
          <w:numId w:val="1"/>
        </w:numPr>
        <w:spacing w:line="360" w:lineRule="auto"/>
        <w:ind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投标前，投标人需要缴纳投标保证金转账到以下指定账户。</w:t>
      </w:r>
    </w:p>
    <w:p>
      <w:pPr>
        <w:spacing w:line="360" w:lineRule="auto"/>
        <w:rPr>
          <w:rFonts w:hint="eastAsia" w:ascii="仿宋_GB2312" w:hAnsi="宋体" w:eastAsia="仿宋_GB2312" w:cs="Times New Roman"/>
          <w:bCs/>
          <w:sz w:val="32"/>
          <w:szCs w:val="32"/>
          <w:lang w:eastAsia="zh-CN"/>
        </w:rPr>
      </w:pPr>
      <w:r>
        <w:rPr>
          <w:rFonts w:hint="eastAsia" w:ascii="宋体" w:hAnsi="宋体"/>
          <w:bCs/>
          <w:sz w:val="32"/>
          <w:szCs w:val="32"/>
        </w:rPr>
        <w:t xml:space="preserve">     </w:t>
      </w:r>
      <w:r>
        <w:rPr>
          <w:rFonts w:hint="eastAsia" w:ascii="仿宋_GB2312" w:hAnsi="宋体" w:eastAsia="仿宋_GB2312" w:cs="Times New Roman"/>
          <w:bCs/>
          <w:sz w:val="32"/>
          <w:szCs w:val="32"/>
          <w:lang w:eastAsia="zh-CN"/>
        </w:rPr>
        <w:t>公司名称： 广州市乾信经济发展有限公司</w:t>
      </w:r>
    </w:p>
    <w:p>
      <w:pPr>
        <w:spacing w:line="360" w:lineRule="auto"/>
        <w:rPr>
          <w:rFonts w:hint="eastAsia" w:ascii="宋体" w:hAnsi="宋体"/>
          <w:bCs/>
          <w:sz w:val="32"/>
          <w:szCs w:val="32"/>
        </w:rPr>
      </w:pPr>
      <w:r>
        <w:rPr>
          <w:rFonts w:hint="eastAsia" w:ascii="宋体" w:hAnsi="宋体"/>
          <w:bCs/>
          <w:sz w:val="32"/>
          <w:szCs w:val="32"/>
        </w:rPr>
        <w:t xml:space="preserve">     </w:t>
      </w:r>
      <w:r>
        <w:rPr>
          <w:rFonts w:hint="eastAsia" w:ascii="仿宋_GB2312" w:hAnsi="宋体" w:eastAsia="仿宋_GB2312" w:cs="Times New Roman"/>
          <w:bCs/>
          <w:sz w:val="32"/>
          <w:szCs w:val="32"/>
          <w:lang w:eastAsia="zh-CN"/>
        </w:rPr>
        <w:t>开户行名称：</w:t>
      </w:r>
      <w:r>
        <w:rPr>
          <w:rFonts w:hint="eastAsia" w:ascii="仿宋_GB2312" w:hAnsi="宋体" w:eastAsia="仿宋_GB2312"/>
          <w:bCs/>
          <w:sz w:val="32"/>
          <w:szCs w:val="32"/>
          <w:lang w:val="en-US" w:eastAsia="zh-CN"/>
        </w:rPr>
        <w:t>中国银行广州南沙金州支行</w:t>
      </w:r>
    </w:p>
    <w:p>
      <w:pPr>
        <w:spacing w:line="360" w:lineRule="auto"/>
        <w:ind w:left="1156" w:leftChars="-1" w:hanging="1158" w:hangingChars="362"/>
        <w:rPr>
          <w:rFonts w:hint="default" w:ascii="仿宋_GB2312" w:hAnsi="宋体" w:eastAsia="仿宋_GB2312"/>
          <w:bCs/>
          <w:sz w:val="32"/>
          <w:szCs w:val="32"/>
          <w:lang w:val="en-US" w:eastAsia="zh-CN"/>
        </w:rPr>
      </w:pPr>
      <w:r>
        <w:rPr>
          <w:rFonts w:hint="eastAsia" w:ascii="宋体" w:hAnsi="宋体"/>
          <w:bCs/>
          <w:sz w:val="32"/>
          <w:szCs w:val="32"/>
        </w:rPr>
        <w:t xml:space="preserve">     </w:t>
      </w:r>
      <w:r>
        <w:rPr>
          <w:rFonts w:hint="eastAsia" w:ascii="仿宋_GB2312" w:hAnsi="宋体" w:eastAsia="仿宋_GB2312" w:cs="Times New Roman"/>
          <w:bCs/>
          <w:sz w:val="32"/>
          <w:szCs w:val="32"/>
          <w:lang w:eastAsia="zh-CN"/>
        </w:rPr>
        <w:t>银行账号：</w:t>
      </w:r>
      <w:r>
        <w:rPr>
          <w:rFonts w:hint="eastAsia" w:ascii="仿宋_GB2312" w:hAnsi="宋体" w:eastAsia="仿宋_GB2312"/>
          <w:bCs/>
          <w:sz w:val="32"/>
          <w:szCs w:val="32"/>
          <w:lang w:val="en-US" w:eastAsia="zh-CN"/>
        </w:rPr>
        <w:t>6652 7475 3737</w:t>
      </w:r>
    </w:p>
    <w:p>
      <w:pPr>
        <w:spacing w:line="360" w:lineRule="auto"/>
        <w:rPr>
          <w:rFonts w:hint="default" w:ascii="宋体" w:hAnsi="宋体"/>
          <w:bCs/>
          <w:sz w:val="32"/>
          <w:szCs w:val="32"/>
          <w:lang w:val="en-US"/>
        </w:rPr>
      </w:pPr>
      <w:r>
        <w:rPr>
          <w:rFonts w:hint="eastAsia" w:ascii="宋体" w:hAnsi="宋体"/>
          <w:bCs/>
          <w:sz w:val="32"/>
          <w:szCs w:val="32"/>
        </w:rPr>
        <w:t xml:space="preserve">     </w:t>
      </w:r>
      <w:r>
        <w:rPr>
          <w:rFonts w:hint="eastAsia" w:ascii="仿宋_GB2312" w:hAnsi="宋体" w:eastAsia="仿宋_GB2312" w:cs="Times New Roman"/>
          <w:bCs/>
          <w:sz w:val="32"/>
          <w:szCs w:val="32"/>
          <w:lang w:eastAsia="zh-CN"/>
        </w:rPr>
        <w:t>联系人：傅金城   联系电话：</w:t>
      </w:r>
      <w:r>
        <w:rPr>
          <w:rFonts w:hint="eastAsia" w:ascii="仿宋_GB2312" w:hAnsi="宋体" w:eastAsia="仿宋_GB2312" w:cs="Times New Roman"/>
          <w:bCs/>
          <w:sz w:val="32"/>
          <w:szCs w:val="32"/>
          <w:lang w:val="en-US" w:eastAsia="zh-CN"/>
        </w:rPr>
        <w:t>13512768967</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投标保证金：</w:t>
      </w:r>
      <w:r>
        <w:rPr>
          <w:rFonts w:hint="eastAsia" w:ascii="仿宋_GB2312" w:hAnsi="宋体" w:eastAsia="仿宋_GB2312" w:cs="Times New Roman"/>
          <w:bCs/>
          <w:sz w:val="32"/>
          <w:szCs w:val="32"/>
          <w:lang w:val="en-US" w:eastAsia="zh-CN"/>
        </w:rPr>
        <w:t>4</w:t>
      </w:r>
      <w:r>
        <w:rPr>
          <w:rFonts w:hint="eastAsia" w:ascii="仿宋_GB2312" w:hAnsi="宋体" w:eastAsia="仿宋_GB2312" w:cs="Times New Roman"/>
          <w:bCs/>
          <w:sz w:val="32"/>
          <w:szCs w:val="32"/>
          <w:lang w:eastAsia="zh-CN"/>
        </w:rPr>
        <w:t>000元。</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转账时投标人应注明投标人名称、拟投标的项目名称，投标保证金缴纳时间为：</w:t>
      </w:r>
      <w:r>
        <w:rPr>
          <w:rFonts w:hint="eastAsia" w:ascii="仿宋_GB2312" w:hAnsi="宋体" w:eastAsia="仿宋_GB2312" w:cs="Times New Roman"/>
          <w:bCs/>
          <w:sz w:val="32"/>
          <w:szCs w:val="32"/>
          <w:highlight w:val="none"/>
          <w:lang w:eastAsia="zh-CN"/>
        </w:rPr>
        <w:t>2021年</w:t>
      </w:r>
      <w:r>
        <w:rPr>
          <w:rFonts w:hint="eastAsia" w:ascii="仿宋_GB2312" w:hAnsi="宋体" w:eastAsia="仿宋_GB2312" w:cs="Times New Roman"/>
          <w:bCs/>
          <w:sz w:val="32"/>
          <w:szCs w:val="32"/>
          <w:highlight w:val="none"/>
          <w:lang w:val="en-US" w:eastAsia="zh-CN"/>
        </w:rPr>
        <w:t>12</w:t>
      </w:r>
      <w:r>
        <w:rPr>
          <w:rFonts w:hint="eastAsia" w:ascii="仿宋_GB2312" w:hAnsi="宋体" w:eastAsia="仿宋_GB2312" w:cs="Times New Roman"/>
          <w:bCs/>
          <w:sz w:val="32"/>
          <w:szCs w:val="32"/>
          <w:highlight w:val="none"/>
          <w:lang w:eastAsia="zh-CN"/>
        </w:rPr>
        <w:t>月</w:t>
      </w:r>
      <w:r>
        <w:rPr>
          <w:rFonts w:hint="eastAsia" w:ascii="仿宋_GB2312" w:hAnsi="宋体" w:eastAsia="仿宋_GB2312" w:cs="Times New Roman"/>
          <w:bCs/>
          <w:sz w:val="32"/>
          <w:szCs w:val="32"/>
          <w:highlight w:val="none"/>
          <w:lang w:val="en-US" w:eastAsia="zh-CN"/>
        </w:rPr>
        <w:t>23</w:t>
      </w:r>
      <w:r>
        <w:rPr>
          <w:rFonts w:hint="eastAsia" w:ascii="仿宋_GB2312" w:hAnsi="宋体" w:eastAsia="仿宋_GB2312" w:cs="Times New Roman"/>
          <w:bCs/>
          <w:sz w:val="32"/>
          <w:szCs w:val="32"/>
          <w:highlight w:val="none"/>
          <w:lang w:eastAsia="zh-CN"/>
        </w:rPr>
        <w:t>日17点00分前，</w:t>
      </w:r>
      <w:r>
        <w:rPr>
          <w:rFonts w:hint="eastAsia" w:ascii="仿宋_GB2312" w:hAnsi="宋体" w:eastAsia="仿宋_GB2312" w:cs="Times New Roman"/>
          <w:bCs/>
          <w:sz w:val="32"/>
          <w:szCs w:val="32"/>
          <w:lang w:eastAsia="zh-CN"/>
        </w:rPr>
        <w:t>对投标保证金的确认以银行实际到账时间为准。投标人缴纳投标保证金后才有资格参加投标。</w:t>
      </w:r>
    </w:p>
    <w:p>
      <w:pPr>
        <w:spacing w:line="360" w:lineRule="auto"/>
        <w:ind w:left="0" w:leftChars="0"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 xml:space="preserve">（三）未中标人的投标保证金于中标候选人公示结束后5个工作日内，原路径无息退还；中标人的投标保证金于签订项目合同后5个工作日内，原路径无息退还。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（四）投标人应承担其编制与递交投标文件所涉及的一切费用，无论投标结果如何，招标人将不对上述费用负任何责任。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（五）项目内容：科技兴海深蓝智谷孵化基地多媒体设备采购安装项目，见附件《招标计价汇总表》。</w:t>
      </w:r>
    </w:p>
    <w:p>
      <w:pPr>
        <w:spacing w:line="360" w:lineRule="auto"/>
        <w:ind w:firstLine="157" w:firstLineChars="49"/>
        <w:rPr>
          <w:rFonts w:hint="eastAsia" w:ascii="黑体" w:hAnsi="黑体" w:eastAsia="黑体" w:cs="黑体"/>
          <w:b/>
          <w:bCs/>
          <w:sz w:val="32"/>
        </w:rPr>
      </w:pPr>
      <w:r>
        <w:rPr>
          <w:rFonts w:hint="eastAsia" w:ascii="黑体" w:hAnsi="黑体" w:eastAsia="黑体" w:cs="黑体"/>
          <w:b/>
          <w:bCs/>
          <w:sz w:val="32"/>
          <w:szCs w:val="32"/>
        </w:rPr>
        <w:t xml:space="preserve"> </w:t>
      </w:r>
      <w:r>
        <w:rPr>
          <w:rFonts w:hint="eastAsia" w:ascii="黑体" w:hAnsi="黑体" w:eastAsia="黑体" w:cs="黑体"/>
          <w:b/>
          <w:bCs/>
          <w:sz w:val="32"/>
        </w:rPr>
        <w:t>二、投标人资格要求</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（一）投标人必须是中华人民共和国境内注册合法运作的法人，具有独立承担民事责任的能力，具备合法有效的营业执照。</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（二）</w:t>
      </w:r>
      <w:r>
        <w:rPr>
          <w:rFonts w:hint="eastAsia" w:ascii="仿宋_GB2312" w:hAnsi="宋体" w:eastAsia="仿宋_GB2312" w:cs="Times New Roman"/>
          <w:bCs/>
          <w:sz w:val="32"/>
          <w:szCs w:val="32"/>
          <w:lang w:val="en-US" w:eastAsia="zh-CN"/>
        </w:rPr>
        <w:t>投标人未被列入“信用中国”网站(www.creditchina.gov.cn)“记录失信被执行人或企业经营异常名录或重大税收违法案件当事人名单”（提供以上信用信息查询记录其中一项截图，加盖本单位公章）。如相关失信记录已失效，投标人需提供相关证明资料。</w:t>
      </w:r>
    </w:p>
    <w:p>
      <w:pPr>
        <w:spacing w:line="360" w:lineRule="auto"/>
        <w:ind w:left="160" w:leftChars="76" w:firstLine="640" w:firstLineChars="200"/>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lang w:eastAsia="zh-CN"/>
        </w:rPr>
        <w:t>（三）</w:t>
      </w:r>
      <w:r>
        <w:rPr>
          <w:rFonts w:hint="eastAsia" w:ascii="仿宋_GB2312" w:hAnsi="宋体" w:eastAsia="仿宋_GB2312" w:cs="Times New Roman"/>
          <w:bCs/>
          <w:sz w:val="32"/>
          <w:szCs w:val="32"/>
          <w:highlight w:val="none"/>
          <w:lang w:eastAsia="zh-CN"/>
        </w:rPr>
        <w:t>投标人须提供响应本次招标的核心硬件设备制造商授权函及售后服务承诺函，并盖制造商公章。</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（四）近两年有类似业绩。近两年（2019年10月1日至今）与本项目相同或类似项目业绩（不低于本项目预算金额）证明材料。</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（五）投标人应在招标公告公示之日起，</w:t>
      </w:r>
      <w:r>
        <w:rPr>
          <w:rFonts w:hint="eastAsia" w:ascii="仿宋_GB2312" w:hAnsi="宋体" w:eastAsia="仿宋_GB2312" w:cs="Times New Roman"/>
          <w:bCs/>
          <w:sz w:val="32"/>
          <w:szCs w:val="32"/>
          <w:lang w:val="en-US" w:eastAsia="zh-CN"/>
        </w:rPr>
        <w:t>3</w:t>
      </w:r>
      <w:r>
        <w:rPr>
          <w:rFonts w:hint="eastAsia" w:ascii="仿宋_GB2312" w:hAnsi="宋体" w:eastAsia="仿宋_GB2312" w:cs="Times New Roman"/>
          <w:bCs/>
          <w:sz w:val="32"/>
          <w:szCs w:val="32"/>
          <w:lang w:eastAsia="zh-CN"/>
        </w:rPr>
        <w:t>个工作日内到科技兴海深蓝智谷孵化基地进行现场勘查。未按时到现场勘查的投标人，招标人有权拒收其投标文件。</w:t>
      </w:r>
    </w:p>
    <w:p>
      <w:pPr>
        <w:spacing w:line="360" w:lineRule="auto"/>
        <w:ind w:left="160" w:leftChars="76" w:firstLine="640"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eastAsia="zh-CN"/>
        </w:rPr>
        <w:t>现场勘查联系人：傅金城  联系电话：</w:t>
      </w:r>
      <w:r>
        <w:rPr>
          <w:rFonts w:hint="eastAsia" w:ascii="仿宋_GB2312" w:hAnsi="宋体" w:eastAsia="仿宋_GB2312" w:cs="Times New Roman"/>
          <w:bCs/>
          <w:sz w:val="32"/>
          <w:szCs w:val="32"/>
          <w:lang w:val="en-US" w:eastAsia="zh-CN"/>
        </w:rPr>
        <w:t>13512768967</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三、投标文件的递交</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（一）在投标时，投标人应视为已检阅过招标文件，且同意招标文件中所要求的条款。</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（二）所有投标文件必须封入密封的信封或包装，在封口上加盖投标单位的公章。在信封或包装的封面上写明：</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收件人名称及地址:</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项目名称:</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投标人名称、地址:</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本公司不接受未按规定密封的投标文件。</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（三）本公司对不可抗力事件造成的投标文件的损坏、丢失不承担任何责任。</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（四）本公司不接受电报、电话、电子邮件、传真投标。</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四、投标截止日期</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（一）投标人完成标书并按规定做了密封和标记后必须在</w:t>
      </w:r>
      <w:r>
        <w:rPr>
          <w:rFonts w:hint="eastAsia" w:ascii="仿宋_GB2312" w:hAnsi="宋体" w:eastAsia="仿宋_GB2312" w:cs="Times New Roman"/>
          <w:bCs/>
          <w:sz w:val="32"/>
          <w:szCs w:val="32"/>
          <w:highlight w:val="none"/>
          <w:lang w:eastAsia="zh-CN"/>
        </w:rPr>
        <w:t>2021年</w:t>
      </w:r>
      <w:r>
        <w:rPr>
          <w:rFonts w:hint="eastAsia" w:ascii="仿宋_GB2312" w:hAnsi="宋体" w:eastAsia="仿宋_GB2312" w:cs="Times New Roman"/>
          <w:bCs/>
          <w:sz w:val="32"/>
          <w:szCs w:val="32"/>
          <w:highlight w:val="none"/>
          <w:lang w:val="en-US" w:eastAsia="zh-CN"/>
        </w:rPr>
        <w:t>12月24日</w:t>
      </w:r>
      <w:r>
        <w:rPr>
          <w:rFonts w:hint="eastAsia" w:ascii="仿宋_GB2312" w:hAnsi="宋体" w:eastAsia="仿宋_GB2312" w:cs="Times New Roman"/>
          <w:bCs/>
          <w:sz w:val="32"/>
          <w:szCs w:val="32"/>
          <w:highlight w:val="none"/>
          <w:lang w:eastAsia="zh-CN"/>
        </w:rPr>
        <w:t>上午</w:t>
      </w:r>
      <w:r>
        <w:rPr>
          <w:rFonts w:hint="eastAsia" w:ascii="仿宋_GB2312" w:hAnsi="宋体" w:eastAsia="仿宋_GB2312" w:cs="Times New Roman"/>
          <w:bCs/>
          <w:sz w:val="32"/>
          <w:szCs w:val="32"/>
          <w:highlight w:val="none"/>
          <w:lang w:val="en-US" w:eastAsia="zh-CN"/>
        </w:rPr>
        <w:t>10</w:t>
      </w:r>
      <w:r>
        <w:rPr>
          <w:rFonts w:hint="eastAsia" w:ascii="仿宋_GB2312" w:hAnsi="宋体" w:eastAsia="仿宋_GB2312" w:cs="Times New Roman"/>
          <w:bCs/>
          <w:sz w:val="32"/>
          <w:szCs w:val="32"/>
          <w:highlight w:val="none"/>
          <w:lang w:eastAsia="zh-CN"/>
        </w:rPr>
        <w:t>点</w:t>
      </w:r>
      <w:r>
        <w:rPr>
          <w:rFonts w:hint="eastAsia" w:ascii="仿宋_GB2312" w:hAnsi="宋体" w:eastAsia="仿宋_GB2312" w:cs="Times New Roman"/>
          <w:bCs/>
          <w:sz w:val="32"/>
          <w:szCs w:val="32"/>
          <w:highlight w:val="none"/>
          <w:lang w:val="en-US" w:eastAsia="zh-CN"/>
        </w:rPr>
        <w:t>00</w:t>
      </w:r>
      <w:r>
        <w:rPr>
          <w:rFonts w:hint="eastAsia" w:ascii="仿宋_GB2312" w:hAnsi="宋体" w:eastAsia="仿宋_GB2312" w:cs="Times New Roman"/>
          <w:bCs/>
          <w:sz w:val="32"/>
          <w:szCs w:val="32"/>
          <w:highlight w:val="none"/>
          <w:lang w:eastAsia="zh-CN"/>
        </w:rPr>
        <w:t>分前携相应的法定代表人证书或委托授权书等原件将投标书壹式伍份</w:t>
      </w:r>
      <w:r>
        <w:rPr>
          <w:rFonts w:hint="eastAsia" w:ascii="仿宋_GB2312" w:hAnsi="宋体" w:eastAsia="仿宋_GB2312" w:cs="Times New Roman"/>
          <w:bCs/>
          <w:sz w:val="32"/>
          <w:szCs w:val="32"/>
          <w:highlight w:val="none"/>
          <w:lang w:val="en-US" w:eastAsia="zh-CN"/>
        </w:rPr>
        <w:t>(正本1份，副本4份）及复制有盖章后投标书扫描件的光盘或U盘1份</w:t>
      </w:r>
      <w:r>
        <w:rPr>
          <w:rFonts w:hint="eastAsia" w:ascii="仿宋_GB2312" w:hAnsi="宋体" w:eastAsia="仿宋_GB2312" w:cs="Times New Roman"/>
          <w:bCs/>
          <w:sz w:val="32"/>
          <w:szCs w:val="32"/>
          <w:highlight w:val="none"/>
          <w:lang w:eastAsia="zh-CN"/>
        </w:rPr>
        <w:t>（与正本一同密封）递交到南沙金融大厦</w:t>
      </w:r>
      <w:r>
        <w:rPr>
          <w:rFonts w:hint="eastAsia" w:ascii="仿宋_GB2312" w:hAnsi="宋体" w:eastAsia="仿宋_GB2312" w:cs="Times New Roman"/>
          <w:bCs/>
          <w:sz w:val="32"/>
          <w:szCs w:val="32"/>
          <w:highlight w:val="none"/>
          <w:lang w:val="en-US" w:eastAsia="zh-CN"/>
        </w:rPr>
        <w:t>11</w:t>
      </w:r>
      <w:r>
        <w:rPr>
          <w:rFonts w:hint="eastAsia" w:ascii="仿宋_GB2312" w:hAnsi="宋体" w:eastAsia="仿宋_GB2312" w:cs="Times New Roman"/>
          <w:bCs/>
          <w:sz w:val="32"/>
          <w:szCs w:val="32"/>
          <w:lang w:val="en-US" w:eastAsia="zh-CN"/>
        </w:rPr>
        <w:t>楼1102室</w:t>
      </w:r>
      <w:r>
        <w:rPr>
          <w:rFonts w:hint="eastAsia" w:ascii="仿宋_GB2312" w:hAnsi="宋体" w:eastAsia="仿宋_GB2312" w:cs="Times New Roman"/>
          <w:bCs/>
          <w:sz w:val="32"/>
          <w:szCs w:val="32"/>
          <w:lang w:eastAsia="zh-CN"/>
        </w:rPr>
        <w:t>（联系人傅金城；联系电话：</w:t>
      </w:r>
      <w:r>
        <w:rPr>
          <w:rFonts w:hint="eastAsia" w:ascii="仿宋_GB2312" w:hAnsi="宋体" w:eastAsia="仿宋_GB2312" w:cs="Times New Roman"/>
          <w:bCs/>
          <w:sz w:val="32"/>
          <w:szCs w:val="32"/>
          <w:lang w:val="en-US" w:eastAsia="zh-CN"/>
        </w:rPr>
        <w:t>13512768967</w:t>
      </w:r>
      <w:r>
        <w:rPr>
          <w:rFonts w:hint="eastAsia" w:ascii="仿宋_GB2312" w:hAnsi="宋体" w:eastAsia="仿宋_GB2312" w:cs="Times New Roman"/>
          <w:bCs/>
          <w:sz w:val="32"/>
          <w:szCs w:val="32"/>
          <w:lang w:eastAsia="zh-CN"/>
        </w:rPr>
        <w:t>）。</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（二）开标时间和地点：2021年</w:t>
      </w:r>
      <w:r>
        <w:rPr>
          <w:rFonts w:hint="eastAsia" w:ascii="仿宋_GB2312" w:hAnsi="宋体" w:eastAsia="仿宋_GB2312" w:cs="Times New Roman"/>
          <w:bCs/>
          <w:sz w:val="32"/>
          <w:szCs w:val="32"/>
          <w:lang w:val="en-US" w:eastAsia="zh-CN"/>
        </w:rPr>
        <w:t>12</w:t>
      </w:r>
      <w:r>
        <w:rPr>
          <w:rFonts w:hint="eastAsia" w:ascii="仿宋_GB2312" w:hAnsi="宋体" w:eastAsia="仿宋_GB2312" w:cs="Times New Roman"/>
          <w:bCs/>
          <w:sz w:val="32"/>
          <w:szCs w:val="32"/>
          <w:lang w:eastAsia="zh-CN"/>
        </w:rPr>
        <w:t>月</w:t>
      </w:r>
      <w:r>
        <w:rPr>
          <w:rFonts w:hint="eastAsia" w:ascii="仿宋_GB2312" w:hAnsi="宋体" w:eastAsia="仿宋_GB2312" w:cs="Times New Roman"/>
          <w:bCs/>
          <w:sz w:val="32"/>
          <w:szCs w:val="32"/>
          <w:lang w:val="en-US" w:eastAsia="zh-CN"/>
        </w:rPr>
        <w:t>24</w:t>
      </w:r>
      <w:r>
        <w:rPr>
          <w:rFonts w:hint="eastAsia" w:ascii="仿宋_GB2312" w:hAnsi="宋体" w:eastAsia="仿宋_GB2312" w:cs="Times New Roman"/>
          <w:bCs/>
          <w:sz w:val="32"/>
          <w:szCs w:val="32"/>
          <w:lang w:eastAsia="zh-CN"/>
        </w:rPr>
        <w:t>日上午</w:t>
      </w:r>
      <w:r>
        <w:rPr>
          <w:rFonts w:hint="eastAsia" w:ascii="仿宋_GB2312" w:hAnsi="宋体" w:eastAsia="仿宋_GB2312" w:cs="Times New Roman"/>
          <w:bCs/>
          <w:sz w:val="32"/>
          <w:szCs w:val="32"/>
          <w:lang w:val="en-US" w:eastAsia="zh-CN"/>
        </w:rPr>
        <w:t>10</w:t>
      </w:r>
      <w:r>
        <w:rPr>
          <w:rFonts w:hint="eastAsia" w:ascii="仿宋_GB2312" w:hAnsi="宋体" w:eastAsia="仿宋_GB2312" w:cs="Times New Roman"/>
          <w:bCs/>
          <w:sz w:val="32"/>
          <w:szCs w:val="32"/>
          <w:lang w:eastAsia="zh-CN"/>
        </w:rPr>
        <w:t>点</w:t>
      </w:r>
      <w:r>
        <w:rPr>
          <w:rFonts w:hint="eastAsia" w:ascii="仿宋_GB2312" w:hAnsi="宋体" w:eastAsia="仿宋_GB2312" w:cs="Times New Roman"/>
          <w:bCs/>
          <w:sz w:val="32"/>
          <w:szCs w:val="32"/>
          <w:lang w:val="en-US" w:eastAsia="zh-CN"/>
        </w:rPr>
        <w:t>00</w:t>
      </w:r>
      <w:r>
        <w:rPr>
          <w:rFonts w:hint="eastAsia" w:ascii="仿宋_GB2312" w:hAnsi="宋体" w:eastAsia="仿宋_GB2312" w:cs="Times New Roman"/>
          <w:bCs/>
          <w:sz w:val="32"/>
          <w:szCs w:val="32"/>
          <w:lang w:eastAsia="zh-CN"/>
        </w:rPr>
        <w:t>分；地点：南沙金融大厦</w:t>
      </w:r>
      <w:r>
        <w:rPr>
          <w:rFonts w:hint="eastAsia" w:ascii="仿宋_GB2312" w:hAnsi="宋体" w:eastAsia="仿宋_GB2312" w:cs="Times New Roman"/>
          <w:bCs/>
          <w:sz w:val="32"/>
          <w:szCs w:val="32"/>
          <w:lang w:val="en-US" w:eastAsia="zh-CN"/>
        </w:rPr>
        <w:t>11楼1102室</w:t>
      </w:r>
      <w:r>
        <w:rPr>
          <w:rFonts w:hint="eastAsia" w:ascii="仿宋_GB2312" w:hAnsi="宋体" w:eastAsia="仿宋_GB2312" w:cs="Times New Roman"/>
          <w:bCs/>
          <w:sz w:val="32"/>
          <w:szCs w:val="32"/>
          <w:lang w:eastAsia="zh-CN"/>
        </w:rPr>
        <w:t>。</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（三）评标由招标人成立专门评标小组负责本项目的评标工作。评委在资产公司评标专家库中随机抽取。</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五、投标评审</w:t>
      </w:r>
    </w:p>
    <w:p>
      <w:pPr>
        <w:spacing w:line="360" w:lineRule="auto"/>
        <w:ind w:left="0" w:leftChars="0" w:firstLine="640" w:firstLineChars="200"/>
        <w:rPr>
          <w:rFonts w:hint="eastAsia"/>
          <w:lang w:eastAsia="zh-CN"/>
        </w:rPr>
      </w:pPr>
      <w:r>
        <w:rPr>
          <w:rFonts w:hint="eastAsia" w:ascii="仿宋_GB2312" w:hAnsi="宋体" w:eastAsia="仿宋_GB2312" w:cs="Times New Roman"/>
          <w:bCs/>
          <w:sz w:val="32"/>
          <w:szCs w:val="32"/>
          <w:lang w:eastAsia="zh-CN"/>
        </w:rPr>
        <w:t xml:space="preserve"> （</w:t>
      </w:r>
      <w:r>
        <w:rPr>
          <w:rFonts w:hint="eastAsia" w:ascii="仿宋_GB2312" w:hAnsi="宋体" w:eastAsia="仿宋_GB2312" w:cs="Times New Roman"/>
          <w:bCs/>
          <w:sz w:val="32"/>
          <w:szCs w:val="32"/>
          <w:lang w:val="en-US" w:eastAsia="zh-CN"/>
        </w:rPr>
        <w:t>一</w:t>
      </w:r>
      <w:r>
        <w:rPr>
          <w:rFonts w:hint="eastAsia" w:ascii="仿宋_GB2312" w:hAnsi="宋体" w:eastAsia="仿宋_GB2312" w:cs="Times New Roman"/>
          <w:bCs/>
          <w:sz w:val="32"/>
          <w:szCs w:val="32"/>
          <w:lang w:eastAsia="zh-CN"/>
        </w:rPr>
        <w:t>）对投标文件进行符合性审查，若符合要求，则进入下一阶段评审；若不符合要求，则不得进入下一阶段评审。</w:t>
      </w:r>
    </w:p>
    <w:p>
      <w:pPr>
        <w:spacing w:line="580" w:lineRule="exact"/>
        <w:ind w:left="0" w:leftChars="0"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lang w:val="en-US" w:eastAsia="zh-CN"/>
        </w:rPr>
        <w:t>二</w:t>
      </w:r>
      <w:r>
        <w:rPr>
          <w:rFonts w:hint="eastAsia" w:ascii="仿宋_GB2312" w:hAnsi="宋体" w:eastAsia="仿宋_GB2312" w:cs="Times New Roman"/>
          <w:bCs/>
          <w:sz w:val="32"/>
          <w:szCs w:val="32"/>
          <w:lang w:eastAsia="zh-CN"/>
        </w:rPr>
        <w:t>）本项目采用综合评分办法，综合考虑价格、设备技术符合度、施工方案、业绩条件等，从通过符合性审查的投标人中按计分办法给出相应的综合评分（见附表</w:t>
      </w:r>
      <w:r>
        <w:rPr>
          <w:rFonts w:hint="eastAsia" w:ascii="仿宋_GB2312" w:hAnsi="宋体" w:eastAsia="仿宋_GB2312" w:cs="Times New Roman"/>
          <w:bCs/>
          <w:sz w:val="32"/>
          <w:szCs w:val="32"/>
          <w:highlight w:val="none"/>
          <w:lang w:eastAsia="zh-CN"/>
        </w:rPr>
        <w:t>《科技兴海深蓝智谷孵化基地多媒体设备采购安装项目招标评分表》）。评标委员会将按 “公正、公平、诚信、科学、择优”的原则，根据评标办法，</w:t>
      </w:r>
      <w:r>
        <w:rPr>
          <w:rFonts w:hint="eastAsia" w:ascii="仿宋_GB2312" w:hAnsi="宋体" w:eastAsia="仿宋_GB2312" w:cs="Times New Roman"/>
          <w:bCs/>
          <w:sz w:val="32"/>
          <w:szCs w:val="32"/>
          <w:lang w:eastAsia="zh-CN"/>
        </w:rPr>
        <w:t>对投标文件进行认真评审，完成评标报告；向招标人报告评审意见，推荐综合得分由高至低排序的前1～3名为第一中标候选人、第二中标候选人、第三中标候选人；</w:t>
      </w:r>
      <w:r>
        <w:rPr>
          <w:rFonts w:hint="eastAsia" w:ascii="仿宋_GB2312" w:hAnsi="仿宋_GB2312" w:eastAsia="仿宋_GB2312" w:cs="仿宋_GB2312"/>
          <w:sz w:val="32"/>
          <w:szCs w:val="32"/>
        </w:rPr>
        <w:t>综合评分最高分出现两个或两个以上相同分数时，通过摇珠方式确定中标</w:t>
      </w:r>
      <w:r>
        <w:rPr>
          <w:rFonts w:hint="eastAsia" w:ascii="仿宋_GB2312" w:hAnsi="仿宋_GB2312" w:eastAsia="仿宋_GB2312" w:cs="仿宋_GB2312"/>
          <w:sz w:val="32"/>
          <w:szCs w:val="32"/>
          <w:lang w:eastAsia="zh-CN"/>
        </w:rPr>
        <w:t>候选人排序</w:t>
      </w:r>
      <w:r>
        <w:rPr>
          <w:rFonts w:hint="eastAsia" w:ascii="仿宋_GB2312" w:hAnsi="仿宋_GB2312" w:eastAsia="仿宋_GB2312" w:cs="仿宋_GB2312"/>
          <w:sz w:val="32"/>
          <w:szCs w:val="32"/>
        </w:rPr>
        <w:t>。</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（四）招标人有权利拒绝并原封退回在其规定的截止日期后收到的任何投标书。</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六、投标的修改</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在投标截止时间前投标人可以修改其投标，但必须以书面形式通知本公司，投标截止后不得修改其投标。</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七、投标有效期</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（一）投标书应在截标</w:t>
      </w:r>
      <w:r>
        <w:rPr>
          <w:rFonts w:hint="eastAsia" w:ascii="仿宋_GB2312" w:hAnsi="宋体" w:eastAsia="仿宋_GB2312" w:cs="Times New Roman"/>
          <w:bCs/>
          <w:sz w:val="32"/>
          <w:szCs w:val="32"/>
          <w:highlight w:val="none"/>
          <w:lang w:eastAsia="zh-CN"/>
        </w:rPr>
        <w:t>90</w:t>
      </w:r>
      <w:r>
        <w:rPr>
          <w:rFonts w:hint="eastAsia" w:ascii="仿宋_GB2312" w:hAnsi="宋体" w:eastAsia="仿宋_GB2312" w:cs="Times New Roman"/>
          <w:bCs/>
          <w:sz w:val="32"/>
          <w:szCs w:val="32"/>
          <w:lang w:eastAsia="zh-CN"/>
        </w:rPr>
        <w:t>天内保持有效。投标有效期比规定时间短的，将被视为非响应而予以拒绝。</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（二）特殊情况下在原有投标有效期截止之前，招标人可征求投标人同意延长投标有效期。接受投标有效期延长的投标人将不会被要求和允许修正其投标书。</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八、选取结果</w:t>
      </w:r>
    </w:p>
    <w:p>
      <w:pPr>
        <w:spacing w:line="360" w:lineRule="auto"/>
        <w:rPr>
          <w:rFonts w:hint="eastAsia" w:ascii="仿宋_GB2312" w:hAnsi="宋体" w:eastAsia="仿宋_GB2312" w:cs="Times New Roman"/>
          <w:bCs/>
          <w:sz w:val="32"/>
          <w:szCs w:val="32"/>
          <w:lang w:eastAsia="zh-CN"/>
        </w:rPr>
      </w:pPr>
      <w:r>
        <w:rPr>
          <w:rFonts w:hint="eastAsia" w:ascii="宋体" w:hAnsi="宋体"/>
          <w:bCs/>
          <w:sz w:val="32"/>
          <w:szCs w:val="32"/>
        </w:rPr>
        <w:t xml:space="preserve">    </w:t>
      </w:r>
      <w:r>
        <w:rPr>
          <w:rFonts w:hint="eastAsia" w:ascii="仿宋_GB2312" w:hAnsi="宋体" w:eastAsia="仿宋_GB2312" w:cs="Times New Roman"/>
          <w:bCs/>
          <w:sz w:val="32"/>
          <w:szCs w:val="32"/>
          <w:lang w:eastAsia="zh-CN"/>
        </w:rPr>
        <w:t>（一）评标小组将只对确定为实质上响应招标文件要求的投标进行评价和比较。</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6" w:name="_Toc32570"/>
      <w:bookmarkStart w:id="7" w:name="_Toc12665"/>
      <w:r>
        <w:rPr>
          <w:rFonts w:hint="eastAsia" w:ascii="仿宋_GB2312" w:hAnsi="宋体" w:eastAsia="仿宋_GB2312" w:cs="Times New Roman"/>
          <w:bCs/>
          <w:sz w:val="32"/>
          <w:szCs w:val="32"/>
          <w:lang w:eastAsia="zh-CN"/>
        </w:rPr>
        <w:t>1.超出经营范围投标;</w:t>
      </w:r>
      <w:bookmarkEnd w:id="6"/>
      <w:bookmarkEnd w:id="7"/>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8" w:name="_Toc24835"/>
      <w:bookmarkStart w:id="9" w:name="_Toc27977"/>
      <w:r>
        <w:rPr>
          <w:rFonts w:hint="eastAsia" w:ascii="仿宋_GB2312" w:hAnsi="宋体" w:eastAsia="仿宋_GB2312" w:cs="Times New Roman"/>
          <w:bCs/>
          <w:sz w:val="32"/>
          <w:szCs w:val="32"/>
          <w:lang w:eastAsia="zh-CN"/>
        </w:rPr>
        <w:t>2.投标人资格证明文件不全的;</w:t>
      </w:r>
      <w:bookmarkEnd w:id="8"/>
      <w:bookmarkEnd w:id="9"/>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10" w:name="_Toc22645"/>
      <w:bookmarkStart w:id="11" w:name="_Toc26155"/>
      <w:r>
        <w:rPr>
          <w:rFonts w:hint="eastAsia" w:ascii="仿宋_GB2312" w:hAnsi="宋体" w:eastAsia="仿宋_GB2312" w:cs="Times New Roman"/>
          <w:bCs/>
          <w:sz w:val="32"/>
          <w:szCs w:val="32"/>
          <w:lang w:eastAsia="zh-CN"/>
        </w:rPr>
        <w:t>3.投标文件无法人代表签字，或签字者无法人代表有效委托书的;</w:t>
      </w:r>
      <w:bookmarkEnd w:id="10"/>
      <w:bookmarkEnd w:id="11"/>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12" w:name="_Toc10331"/>
      <w:bookmarkStart w:id="13" w:name="_Toc3020"/>
      <w:r>
        <w:rPr>
          <w:rFonts w:hint="eastAsia" w:ascii="仿宋_GB2312" w:hAnsi="宋体" w:eastAsia="仿宋_GB2312" w:cs="Times New Roman"/>
          <w:bCs/>
          <w:sz w:val="32"/>
          <w:szCs w:val="32"/>
          <w:lang w:eastAsia="zh-CN"/>
        </w:rPr>
        <w:t>4.其他情况不满足招标文件要求;</w:t>
      </w:r>
      <w:bookmarkEnd w:id="12"/>
      <w:bookmarkEnd w:id="13"/>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14" w:name="_Toc14659"/>
      <w:bookmarkStart w:id="15" w:name="_Toc24869"/>
      <w:r>
        <w:rPr>
          <w:rFonts w:hint="eastAsia" w:ascii="仿宋_GB2312" w:hAnsi="宋体" w:eastAsia="仿宋_GB2312" w:cs="Times New Roman"/>
          <w:bCs/>
          <w:sz w:val="32"/>
          <w:szCs w:val="32"/>
          <w:lang w:eastAsia="zh-CN"/>
        </w:rPr>
        <w:t>5.投标有效期不足的;</w:t>
      </w:r>
      <w:bookmarkEnd w:id="14"/>
      <w:bookmarkEnd w:id="15"/>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16" w:name="_Toc23255"/>
      <w:bookmarkStart w:id="17" w:name="_Toc26925"/>
      <w:r>
        <w:rPr>
          <w:rFonts w:hint="eastAsia" w:ascii="仿宋_GB2312" w:hAnsi="宋体" w:eastAsia="仿宋_GB2312" w:cs="Times New Roman"/>
          <w:bCs/>
          <w:sz w:val="32"/>
          <w:szCs w:val="32"/>
          <w:lang w:eastAsia="zh-CN"/>
        </w:rPr>
        <w:t>6.未按要求密封的投标文件。</w:t>
      </w:r>
      <w:bookmarkEnd w:id="16"/>
      <w:bookmarkEnd w:id="17"/>
    </w:p>
    <w:p>
      <w:pPr>
        <w:spacing w:line="360" w:lineRule="auto"/>
        <w:ind w:firstLine="643" w:firstLineChars="200"/>
        <w:rPr>
          <w:rFonts w:hint="eastAsia" w:ascii="仿宋_GB2312" w:hAnsi="宋体" w:eastAsia="仿宋_GB2312" w:cs="Times New Roman"/>
          <w:bCs/>
          <w:sz w:val="32"/>
          <w:szCs w:val="32"/>
          <w:lang w:eastAsia="zh-CN"/>
        </w:rPr>
      </w:pPr>
      <w:r>
        <w:rPr>
          <w:rFonts w:hint="eastAsia" w:ascii="黑体" w:hAnsi="黑体" w:eastAsia="黑体" w:cs="黑体"/>
          <w:b/>
          <w:bCs/>
          <w:sz w:val="32"/>
          <w:szCs w:val="32"/>
        </w:rPr>
        <w:t>九、计分方法（100分）：</w:t>
      </w:r>
      <w:r>
        <w:rPr>
          <w:rFonts w:hint="eastAsia" w:ascii="仿宋_GB2312" w:hAnsi="宋体" w:eastAsia="仿宋_GB2312" w:cs="Times New Roman"/>
          <w:bCs/>
          <w:sz w:val="32"/>
          <w:szCs w:val="32"/>
          <w:lang w:eastAsia="zh-CN"/>
        </w:rPr>
        <w:t>计分办法细则详见附件《科技兴海深蓝智谷孵化基地多媒体设备采购安装项目招标评分表》。</w:t>
      </w:r>
    </w:p>
    <w:p>
      <w:pPr>
        <w:spacing w:line="360" w:lineRule="auto"/>
        <w:ind w:firstLine="643" w:firstLineChars="200"/>
        <w:rPr>
          <w:rFonts w:hint="eastAsia" w:ascii="仿宋_GB2312" w:hAnsi="宋体" w:eastAsia="仿宋_GB2312" w:cs="Times New Roman"/>
          <w:bCs/>
          <w:sz w:val="32"/>
          <w:szCs w:val="32"/>
          <w:lang w:eastAsia="zh-CN"/>
        </w:rPr>
      </w:pPr>
      <w:r>
        <w:rPr>
          <w:rFonts w:hint="eastAsia" w:ascii="黑体" w:hAnsi="黑体" w:eastAsia="黑体" w:cs="黑体"/>
          <w:b/>
          <w:bCs/>
          <w:sz w:val="32"/>
          <w:szCs w:val="32"/>
        </w:rPr>
        <w:t>十、</w:t>
      </w:r>
      <w:r>
        <w:rPr>
          <w:rFonts w:hint="eastAsia" w:ascii="仿宋_GB2312" w:hAnsi="宋体" w:eastAsia="仿宋_GB2312" w:cs="Times New Roman"/>
          <w:bCs/>
          <w:sz w:val="32"/>
          <w:szCs w:val="32"/>
          <w:lang w:eastAsia="zh-CN"/>
        </w:rPr>
        <w:t>对投标文件中的任何疑义或表达不清的内容，评标小组有权要求投标人予以澄清。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十一、 授予合同</w:t>
      </w:r>
    </w:p>
    <w:p>
      <w:pPr>
        <w:spacing w:line="360" w:lineRule="auto"/>
        <w:ind w:firstLine="640" w:firstLineChars="200"/>
        <w:rPr>
          <w:rFonts w:hint="eastAsia" w:ascii="仿宋_GB2312" w:hAnsi="宋体" w:eastAsia="仿宋_GB2312" w:cs="Times New Roman"/>
          <w:bCs/>
          <w:sz w:val="32"/>
          <w:szCs w:val="32"/>
          <w:lang w:eastAsia="zh-CN"/>
        </w:rPr>
      </w:pPr>
      <w:bookmarkStart w:id="18" w:name="_Toc10537"/>
      <w:bookmarkStart w:id="19" w:name="_Toc30291"/>
      <w:r>
        <w:rPr>
          <w:rFonts w:hint="eastAsia" w:ascii="仿宋_GB2312" w:hAnsi="宋体" w:eastAsia="仿宋_GB2312" w:cs="Times New Roman"/>
          <w:bCs/>
          <w:sz w:val="32"/>
          <w:szCs w:val="32"/>
          <w:lang w:eastAsia="zh-CN"/>
        </w:rPr>
        <w:t>（一）授标范围</w:t>
      </w:r>
      <w:bookmarkEnd w:id="18"/>
      <w:bookmarkEnd w:id="19"/>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招标人保留在授标之前宣布招标无效的权利，并将不对受影响的投标人承担任何责任，也无义务向受影响的投标人解释。</w:t>
      </w:r>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20" w:name="_Toc26326"/>
      <w:bookmarkStart w:id="21" w:name="_Toc21815"/>
      <w:r>
        <w:rPr>
          <w:rFonts w:hint="eastAsia" w:ascii="仿宋_GB2312" w:hAnsi="宋体" w:eastAsia="仿宋_GB2312" w:cs="Times New Roman"/>
          <w:bCs/>
          <w:sz w:val="32"/>
          <w:szCs w:val="32"/>
          <w:lang w:eastAsia="zh-CN"/>
        </w:rPr>
        <w:t>（二）中标通知书</w:t>
      </w:r>
      <w:bookmarkEnd w:id="20"/>
      <w:bookmarkEnd w:id="21"/>
    </w:p>
    <w:p>
      <w:pPr>
        <w:spacing w:line="360" w:lineRule="auto"/>
        <w:ind w:left="160" w:leftChars="76" w:firstLine="640" w:firstLineChars="200"/>
        <w:rPr>
          <w:rFonts w:ascii="宋体" w:hAnsi="宋体"/>
          <w:bCs/>
          <w:sz w:val="32"/>
          <w:szCs w:val="32"/>
        </w:rPr>
      </w:pPr>
      <w:r>
        <w:rPr>
          <w:rFonts w:hint="eastAsia" w:ascii="仿宋_GB2312" w:hAnsi="宋体" w:eastAsia="仿宋_GB2312" w:cs="Times New Roman"/>
          <w:bCs/>
          <w:sz w:val="32"/>
          <w:szCs w:val="32"/>
          <w:lang w:eastAsia="zh-CN"/>
        </w:rPr>
        <w:t>投标结果公示后，如无异议，评分第一的中标人确定为中标人。招标方将及时向中标人发出中标通知书，中标人接到中标通知书后应在</w:t>
      </w:r>
      <w:r>
        <w:rPr>
          <w:rFonts w:hint="eastAsia" w:ascii="仿宋_GB2312" w:hAnsi="宋体" w:eastAsia="仿宋_GB2312" w:cs="Times New Roman"/>
          <w:bCs/>
          <w:sz w:val="32"/>
          <w:szCs w:val="32"/>
          <w:lang w:val="en-US" w:eastAsia="zh-CN"/>
        </w:rPr>
        <w:t>24小时以内予以书面确认。</w:t>
      </w:r>
      <w:r>
        <w:rPr>
          <w:rFonts w:hint="eastAsia" w:ascii="仿宋_GB2312" w:hAnsi="宋体" w:eastAsia="仿宋_GB2312" w:cs="Times New Roman"/>
          <w:bCs/>
          <w:sz w:val="32"/>
          <w:szCs w:val="32"/>
          <w:lang w:eastAsia="zh-CN"/>
        </w:rPr>
        <w:t>无论双方有无签订正式的合同，中标通知书将是招标人和中标人签订合同的一个组成部分。此中标通知书将视同招标人和中标人签订的合同，并具有同等法律效力。</w:t>
      </w:r>
    </w:p>
    <w:p>
      <w:pPr>
        <w:spacing w:line="360" w:lineRule="auto"/>
        <w:ind w:left="160" w:leftChars="76" w:firstLine="640" w:firstLineChars="200"/>
        <w:rPr>
          <w:rFonts w:hint="eastAsia" w:ascii="仿宋_GB2312" w:hAnsi="宋体" w:eastAsia="仿宋_GB2312" w:cs="Times New Roman"/>
          <w:bCs/>
          <w:sz w:val="32"/>
          <w:szCs w:val="32"/>
          <w:lang w:eastAsia="zh-CN"/>
        </w:rPr>
      </w:pPr>
      <w:bookmarkStart w:id="22" w:name="_Toc15214"/>
      <w:bookmarkStart w:id="23" w:name="_Toc30300"/>
      <w:r>
        <w:rPr>
          <w:rFonts w:hint="eastAsia" w:ascii="仿宋_GB2312" w:hAnsi="宋体" w:eastAsia="仿宋_GB2312" w:cs="Times New Roman"/>
          <w:bCs/>
          <w:sz w:val="32"/>
          <w:szCs w:val="32"/>
          <w:lang w:eastAsia="zh-CN"/>
        </w:rPr>
        <w:t>（三）签订合同</w:t>
      </w:r>
      <w:bookmarkEnd w:id="22"/>
      <w:bookmarkEnd w:id="23"/>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 xml:space="preserve">    中标人必须与招标人签订由招标人所准备的合同。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宋体" w:eastAsia="楷体_GB2312" w:cs="Times New Roman"/>
          <w:b w:val="0"/>
          <w:bCs w:val="0"/>
          <w:sz w:val="32"/>
          <w:szCs w:val="32"/>
        </w:rPr>
      </w:pPr>
      <w:r>
        <w:rPr>
          <w:rFonts w:hint="eastAsia" w:ascii="黑体" w:hAnsi="黑体" w:eastAsia="黑体" w:cs="黑体"/>
          <w:b/>
          <w:bCs/>
          <w:sz w:val="32"/>
          <w:szCs w:val="32"/>
        </w:rPr>
        <w:t>十二、</w:t>
      </w:r>
      <w:r>
        <w:rPr>
          <w:rFonts w:hint="eastAsia" w:ascii="楷体_GB2312" w:hAnsi="宋体" w:eastAsia="楷体_GB2312" w:cs="Times New Roman"/>
          <w:b w:val="0"/>
          <w:bCs w:val="0"/>
          <w:sz w:val="32"/>
          <w:szCs w:val="32"/>
        </w:rPr>
        <w:t>招标单位不接受非中标单位查询和解释。</w:t>
      </w:r>
    </w:p>
    <w:p>
      <w:pPr>
        <w:spacing w:line="360" w:lineRule="auto"/>
        <w:ind w:firstLine="643" w:firstLineChars="200"/>
        <w:rPr>
          <w:rFonts w:hint="eastAsia" w:ascii="仿宋_GB2312" w:hAnsi="宋体" w:eastAsia="仿宋_GB2312" w:cs="Times New Roman"/>
          <w:bCs/>
          <w:sz w:val="32"/>
          <w:szCs w:val="32"/>
          <w:lang w:eastAsia="zh-CN"/>
        </w:rPr>
      </w:pPr>
      <w:r>
        <w:rPr>
          <w:rFonts w:hint="eastAsia" w:ascii="黑体" w:hAnsi="黑体" w:eastAsia="黑体" w:cs="黑体"/>
          <w:b/>
          <w:bCs/>
          <w:sz w:val="32"/>
          <w:szCs w:val="32"/>
        </w:rPr>
        <w:t>十三、</w:t>
      </w:r>
      <w:r>
        <w:rPr>
          <w:rFonts w:hint="eastAsia" w:ascii="宋体" w:hAnsi="宋体"/>
          <w:bCs/>
          <w:sz w:val="32"/>
          <w:szCs w:val="32"/>
        </w:rPr>
        <w:t>本</w:t>
      </w:r>
      <w:r>
        <w:rPr>
          <w:rFonts w:hint="eastAsia" w:ascii="仿宋_GB2312" w:hAnsi="宋体" w:eastAsia="仿宋_GB2312" w:cs="Times New Roman"/>
          <w:bCs/>
          <w:sz w:val="32"/>
          <w:szCs w:val="32"/>
          <w:lang w:eastAsia="zh-CN"/>
        </w:rPr>
        <w:t>次选取科技兴海深蓝智谷孵化基地多媒体设备采购安装项目采购单位后将给予书面通知评定结果，确定后将作为招标人科技兴海深蓝智谷孵化基地多媒体设备采购安装项目采购单位。</w:t>
      </w:r>
    </w:p>
    <w:p>
      <w:pPr>
        <w:ind w:firstLine="482" w:firstLineChars="150"/>
        <w:rPr>
          <w:rFonts w:hint="eastAsia" w:ascii="黑体" w:hAnsi="黑体" w:eastAsia="黑体" w:cs="黑体"/>
          <w:b/>
          <w:bCs/>
          <w:sz w:val="32"/>
          <w:szCs w:val="32"/>
        </w:rPr>
      </w:pPr>
      <w:r>
        <w:rPr>
          <w:rFonts w:hint="eastAsia" w:ascii="黑体" w:hAnsi="黑体" w:eastAsia="黑体" w:cs="黑体"/>
          <w:b/>
          <w:bCs/>
          <w:sz w:val="32"/>
          <w:szCs w:val="32"/>
        </w:rPr>
        <w:t>十四、选取过程监督</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t>为确保选取过程公开透明，本次设计施工总承包单位的选取工作，全程接受招标人纪检人员的监督。</w:t>
      </w:r>
    </w:p>
    <w:p>
      <w:pPr>
        <w:spacing w:line="360" w:lineRule="auto"/>
        <w:ind w:left="160" w:leftChars="76" w:firstLine="640" w:firstLineChars="200"/>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lang w:eastAsia="zh-CN"/>
        </w:rPr>
        <w:br w:type="page"/>
      </w:r>
    </w:p>
    <w:p>
      <w:pPr>
        <w:ind w:firstLine="482" w:firstLineChars="150"/>
        <w:jc w:val="center"/>
        <w:outlineLvl w:val="0"/>
        <w:rPr>
          <w:rFonts w:hint="eastAsia" w:ascii="黑体" w:hAnsi="黑体" w:eastAsia="黑体" w:cs="黑体"/>
          <w:b/>
          <w:bCs/>
          <w:sz w:val="32"/>
          <w:szCs w:val="32"/>
        </w:rPr>
      </w:pPr>
      <w:bookmarkStart w:id="24" w:name="_Toc27082"/>
      <w:bookmarkStart w:id="25" w:name="_Toc31575"/>
      <w:bookmarkStart w:id="26" w:name="_Toc26913"/>
      <w:r>
        <w:rPr>
          <w:rFonts w:hint="eastAsia" w:ascii="黑体" w:hAnsi="黑体" w:eastAsia="黑体" w:cs="黑体"/>
          <w:b/>
          <w:bCs/>
          <w:sz w:val="32"/>
          <w:szCs w:val="32"/>
        </w:rPr>
        <w:t>第三部分  投 标 文 件 格 式</w:t>
      </w:r>
      <w:bookmarkEnd w:id="24"/>
      <w:bookmarkEnd w:id="25"/>
      <w:bookmarkEnd w:id="26"/>
    </w:p>
    <w:p>
      <w:pPr>
        <w:pStyle w:val="4"/>
        <w:bidi w:val="0"/>
        <w:spacing w:line="360" w:lineRule="auto"/>
        <w:ind w:firstLine="720" w:firstLineChars="225"/>
        <w:rPr>
          <w:rFonts w:ascii="宋体" w:hAnsi="宋体"/>
          <w:b/>
          <w:sz w:val="24"/>
          <w:szCs w:val="24"/>
        </w:rPr>
      </w:pPr>
      <w:bookmarkStart w:id="27" w:name="_Toc101843134"/>
      <w:bookmarkStart w:id="28" w:name="_Toc101771381"/>
      <w:bookmarkStart w:id="29" w:name="_Toc101951272"/>
      <w:bookmarkStart w:id="30" w:name="_Toc42394520"/>
      <w:bookmarkStart w:id="31" w:name="_Toc101775134"/>
      <w:bookmarkStart w:id="32" w:name="_Toc38947809"/>
      <w:bookmarkStart w:id="33" w:name="_Toc38947810"/>
      <w:bookmarkStart w:id="34" w:name="_Toc98579071"/>
      <w:bookmarkStart w:id="35" w:name="_Toc98580295"/>
      <w:bookmarkStart w:id="36" w:name="_Toc98579013"/>
      <w:bookmarkStart w:id="37" w:name="_Toc98579612"/>
      <w:bookmarkStart w:id="38" w:name="_Toc42394519"/>
      <w:bookmarkStart w:id="39" w:name="_Toc41884710"/>
      <w:bookmarkStart w:id="40" w:name="_Toc50276167"/>
      <w:bookmarkStart w:id="41" w:name="_Toc50276168"/>
      <w:bookmarkStart w:id="42" w:name="_Toc42394676"/>
      <w:bookmarkStart w:id="43" w:name="_Toc41723940"/>
      <w:bookmarkStart w:id="44" w:name="_Toc42394675"/>
      <w:bookmarkStart w:id="45" w:name="_Toc42313176"/>
      <w:bookmarkStart w:id="46" w:name="_Toc40762378"/>
      <w:bookmarkStart w:id="47" w:name="_Toc175644396"/>
      <w:bookmarkStart w:id="48" w:name="_Toc41723939"/>
      <w:bookmarkStart w:id="49" w:name="_Toc40762377"/>
      <w:bookmarkStart w:id="50" w:name="_Toc42313175"/>
      <w:bookmarkStart w:id="51" w:name="_Toc41884709"/>
      <w:bookmarkStart w:id="52" w:name="_Toc175106977"/>
      <w:bookmarkStart w:id="53" w:name="_Toc3810"/>
      <w:bookmarkStart w:id="54" w:name="_Toc6636"/>
      <w:bookmarkStart w:id="55" w:name="_Toc9817"/>
      <w:r>
        <w:rPr>
          <w:rFonts w:hint="eastAsia" w:ascii="仿宋_GB2312" w:hAnsi="仿宋_GB2312" w:eastAsia="仿宋_GB2312" w:cs="仿宋_GB2312"/>
          <w:sz w:val="32"/>
          <w:szCs w:val="32"/>
          <w:highlight w:val="white"/>
        </w:rPr>
        <w:t>投标文件</w:t>
      </w:r>
      <w:r>
        <w:rPr>
          <w:rFonts w:hint="eastAsia" w:ascii="仿宋_GB2312" w:hAnsi="仿宋_GB2312" w:eastAsia="仿宋_GB2312" w:cs="仿宋_GB2312"/>
          <w:sz w:val="32"/>
          <w:szCs w:val="32"/>
          <w:highlight w:val="white"/>
          <w:lang w:val="zh-CN"/>
        </w:rPr>
        <w:t>包括但不限于以下组成内容，请按要求制作，有提供格式文件的请按格式要求提交。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bl>
      <w:tblPr>
        <w:tblStyle w:val="10"/>
        <w:tblW w:w="5071"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950"/>
        <w:gridCol w:w="7076"/>
        <w:gridCol w:w="153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序号</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内容</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封面（格式）</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商务文件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投标书（格式）</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法定代表人证明书（格式）</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line="240" w:lineRule="auto"/>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法定代表人授权委托书（法定代表人亲自办理投标事宜的，则无需提交本证明书）（格式）</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企业法人营业执照</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“信用中国”网站（www. creditchina. gov. cn）“失信被执行人或企业经营异常名录或重大税收违法案件当事人名单”（提供以上信用信息查询记录其中一项截图）</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报价表（格式）</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证书资料</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业绩证明</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tabs>
                <w:tab w:val="left" w:pos="335"/>
              </w:tabs>
              <w:bidi w:val="0"/>
              <w:spacing w:after="0" w:afterAutospacing="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10</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投标保证金银行转账凭据复印件</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投标人认为有必要说明的其他商务文件资料</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核心设备参数偏离表（格式）</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设计及集成技术方案</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实施方案</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售后服务方案</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7"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w:t>
            </w:r>
          </w:p>
        </w:tc>
        <w:tc>
          <w:tcPr>
            <w:tcW w:w="3700"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投标人认为有必要说明的其他服务文件资料</w:t>
            </w:r>
          </w:p>
        </w:tc>
        <w:tc>
          <w:tcPr>
            <w:tcW w:w="802" w:type="pct"/>
            <w:tcBorders>
              <w:top w:val="single" w:color="auto" w:sz="6" w:space="0"/>
              <w:left w:val="single" w:color="auto" w:sz="6" w:space="0"/>
              <w:bottom w:val="single" w:color="auto" w:sz="6" w:space="0"/>
              <w:right w:val="single" w:color="auto" w:sz="6" w:space="0"/>
            </w:tcBorders>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公章</w:t>
            </w:r>
          </w:p>
        </w:tc>
      </w:tr>
    </w:tbl>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ind w:firstLine="0" w:firstLineChars="0"/>
        <w:jc w:val="both"/>
        <w:outlineLvl w:val="0"/>
        <w:rPr>
          <w:rFonts w:hint="eastAsia" w:ascii="黑体" w:hAnsi="黑体" w:eastAsia="黑体" w:cs="黑体"/>
          <w:b/>
          <w:bCs/>
          <w:sz w:val="32"/>
        </w:rPr>
      </w:pPr>
    </w:p>
    <w:p>
      <w:pPr>
        <w:spacing w:line="360" w:lineRule="auto"/>
        <w:rPr>
          <w:color w:val="000000"/>
        </w:rPr>
      </w:pPr>
      <w:r>
        <w:rPr>
          <w:rFonts w:hint="eastAsia"/>
          <w:color w:val="000000"/>
          <w:sz w:val="28"/>
          <w:szCs w:val="28"/>
        </w:rPr>
        <w:t>一、封面（格式）</w:t>
      </w:r>
    </w:p>
    <w:p>
      <w:pPr>
        <w:rPr>
          <w:color w:val="000000"/>
        </w:rPr>
      </w:pPr>
    </w:p>
    <w:p>
      <w:pPr>
        <w:pStyle w:val="6"/>
        <w:spacing w:after="0"/>
        <w:jc w:val="center"/>
        <w:rPr>
          <w:rFonts w:hAnsi="宋体"/>
          <w:b/>
          <w:color w:val="000000"/>
          <w:spacing w:val="6"/>
          <w:sz w:val="36"/>
          <w:szCs w:val="36"/>
        </w:rPr>
      </w:pPr>
    </w:p>
    <w:p>
      <w:pPr>
        <w:jc w:val="center"/>
        <w:rPr>
          <w:rFonts w:hint="eastAsia" w:hAnsi="宋体" w:eastAsia="宋体"/>
          <w:b/>
          <w:color w:val="000000"/>
          <w:spacing w:val="6"/>
          <w:sz w:val="36"/>
          <w:szCs w:val="36"/>
          <w:lang w:val="en-US" w:eastAsia="zh-CN"/>
        </w:rPr>
      </w:pPr>
      <w:r>
        <w:rPr>
          <w:rFonts w:hint="eastAsia" w:hAnsi="宋体"/>
          <w:b/>
          <w:color w:val="000000"/>
          <w:spacing w:val="6"/>
          <w:sz w:val="36"/>
          <w:szCs w:val="36"/>
          <w:lang w:val="en-US" w:eastAsia="zh-CN"/>
        </w:rPr>
        <w:t>科技兴海深蓝智谷孵化基地多媒体设备采购安装项目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color w:val="000000"/>
          <w:sz w:val="28"/>
          <w:szCs w:val="28"/>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56" w:name="_Toc79399453"/>
      <w:bookmarkStart w:id="57" w:name="_Toc79834503"/>
      <w:bookmarkStart w:id="58" w:name="_Toc79822206"/>
      <w:r>
        <w:rPr>
          <w:rFonts w:hint="eastAsia" w:ascii="宋体" w:hAnsi="宋体"/>
          <w:b/>
          <w:bCs/>
          <w:color w:val="000000"/>
          <w:sz w:val="36"/>
          <w:szCs w:val="36"/>
        </w:rPr>
        <w:t>投  标  书</w:t>
      </w:r>
      <w:bookmarkEnd w:id="56"/>
      <w:bookmarkEnd w:id="57"/>
      <w:bookmarkEnd w:id="58"/>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w:t>
      </w:r>
      <w:r>
        <w:rPr>
          <w:rFonts w:hint="eastAsia" w:ascii="宋体" w:hAnsi="宋体"/>
          <w:color w:val="000000"/>
          <w:sz w:val="24"/>
          <w:lang w:eastAsia="zh-CN"/>
        </w:rPr>
        <w:t>并同意</w:t>
      </w:r>
      <w:r>
        <w:rPr>
          <w:rFonts w:hint="eastAsia" w:ascii="宋体" w:hAnsi="宋体"/>
          <w:color w:val="000000"/>
          <w:sz w:val="24"/>
        </w:rPr>
        <w:t>，贵方可选择任何部分或全部项目与投标人签约，接受</w:t>
      </w:r>
      <w:r>
        <w:rPr>
          <w:rFonts w:hint="eastAsia" w:ascii="宋体" w:hAnsi="宋体"/>
          <w:color w:val="000000"/>
          <w:sz w:val="24"/>
          <w:lang w:eastAsia="zh-CN"/>
        </w:rPr>
        <w:t>或不接受</w:t>
      </w:r>
      <w:r>
        <w:rPr>
          <w:rFonts w:hint="eastAsia" w:ascii="宋体" w:hAnsi="宋体"/>
          <w:color w:val="000000"/>
          <w:sz w:val="24"/>
        </w:rPr>
        <w:t>最低标价的投标。</w:t>
      </w:r>
      <w:r>
        <w:rPr>
          <w:rFonts w:hint="eastAsia"/>
          <w:color w:val="000000"/>
          <w:sz w:val="24"/>
        </w:rPr>
        <w:t>同时也理解</w:t>
      </w:r>
      <w:r>
        <w:rPr>
          <w:rFonts w:hint="eastAsia"/>
          <w:color w:val="000000"/>
          <w:sz w:val="24"/>
          <w:lang w:eastAsia="zh-CN"/>
        </w:rPr>
        <w:t>并同意</w:t>
      </w:r>
      <w:r>
        <w:rPr>
          <w:rFonts w:hint="eastAsia"/>
          <w:color w:val="000000"/>
          <w:sz w:val="24"/>
        </w:rPr>
        <w:t>，你单位不负担我们的任何投标费用。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0"/>
        <w:tblW w:w="9287" w:type="dxa"/>
        <w:tblInd w:w="0" w:type="dxa"/>
        <w:tblLayout w:type="fixed"/>
        <w:tblCellMar>
          <w:top w:w="0" w:type="dxa"/>
          <w:left w:w="108" w:type="dxa"/>
          <w:bottom w:w="0" w:type="dxa"/>
          <w:right w:w="108" w:type="dxa"/>
        </w:tblCellMar>
      </w:tblPr>
      <w:tblGrid>
        <w:gridCol w:w="4643"/>
        <w:gridCol w:w="4644"/>
      </w:tblGrid>
      <w:tr>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hint="eastAsia" w:ascii="Times New Roman" w:hAnsi="Times New Roman" w:eastAsia="宋体"/>
          <w:sz w:val="28"/>
          <w:szCs w:val="28"/>
          <w:lang w:eastAsia="zh-CN"/>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r>
        <w:rPr>
          <w:rFonts w:hint="eastAsia" w:ascii="Times New Roman" w:hAnsi="Times New Roman"/>
          <w:sz w:val="28"/>
          <w:szCs w:val="28"/>
          <w:lang w:eastAsia="zh-CN"/>
        </w:rPr>
        <w:t>（格式）</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0" distR="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28" name="组合 8"/>
                <wp:cNvGraphicFramePr/>
                <a:graphic xmlns:a="http://schemas.openxmlformats.org/drawingml/2006/main">
                  <a:graphicData uri="http://schemas.microsoft.com/office/word/2010/wordprocessingGroup">
                    <wpg:wgp>
                      <wpg:cNvGrpSpPr/>
                      <wpg:grpSpPr>
                        <a:xfrm rot="0">
                          <a:off x="0" y="0"/>
                          <a:ext cx="5553075" cy="1748789"/>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MxZN27YAgAAmAgAAA4AAAAAAAAAAQAgAAAAKAEAAGRycy9lMm9Eb2MueG1s&#10;UEsFBgAAAAAGAAYAWQEAAHIGAAAA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ind w:firstLine="643" w:firstLineChars="200"/>
        <w:jc w:val="center"/>
        <w:outlineLvl w:val="0"/>
        <w:rPr>
          <w:rFonts w:hint="eastAsia" w:ascii="黑体" w:hAnsi="黑体" w:eastAsia="黑体" w:cs="黑体"/>
          <w:b/>
          <w:bCs/>
          <w:sz w:val="32"/>
        </w:rPr>
      </w:pPr>
    </w:p>
    <w:p>
      <w:pPr>
        <w:spacing w:line="360" w:lineRule="auto"/>
        <w:ind w:firstLine="643" w:firstLineChars="200"/>
        <w:jc w:val="center"/>
        <w:outlineLvl w:val="0"/>
        <w:rPr>
          <w:rFonts w:hint="eastAsia" w:ascii="黑体" w:hAnsi="黑体" w:eastAsia="黑体" w:cs="黑体"/>
          <w:b/>
          <w:bCs/>
          <w:sz w:val="32"/>
        </w:rPr>
      </w:pPr>
    </w:p>
    <w:p>
      <w:pPr>
        <w:spacing w:line="360" w:lineRule="auto"/>
        <w:ind w:firstLine="643" w:firstLineChars="200"/>
        <w:jc w:val="center"/>
        <w:outlineLvl w:val="0"/>
        <w:rPr>
          <w:rFonts w:hint="eastAsia" w:ascii="黑体" w:hAnsi="黑体" w:eastAsia="黑体" w:cs="黑体"/>
          <w:b/>
          <w:bCs/>
          <w:sz w:val="32"/>
        </w:rPr>
      </w:pPr>
    </w:p>
    <w:p>
      <w:pPr>
        <w:spacing w:line="360" w:lineRule="auto"/>
        <w:ind w:firstLine="643" w:firstLineChars="200"/>
        <w:jc w:val="center"/>
        <w:outlineLvl w:val="0"/>
        <w:rPr>
          <w:rFonts w:hint="eastAsia" w:ascii="黑体" w:hAnsi="黑体" w:eastAsia="黑体" w:cs="黑体"/>
          <w:b/>
          <w:bCs/>
          <w:sz w:val="32"/>
        </w:rPr>
      </w:pPr>
    </w:p>
    <w:p>
      <w:pPr>
        <w:spacing w:line="360" w:lineRule="auto"/>
        <w:ind w:firstLine="643" w:firstLineChars="200"/>
        <w:jc w:val="center"/>
        <w:outlineLvl w:val="0"/>
        <w:rPr>
          <w:rFonts w:hint="eastAsia" w:ascii="黑体" w:hAnsi="黑体" w:eastAsia="黑体" w:cs="黑体"/>
          <w:b/>
          <w:bCs/>
          <w:sz w:val="32"/>
        </w:rPr>
      </w:pPr>
    </w:p>
    <w:p>
      <w:pPr>
        <w:spacing w:line="360" w:lineRule="auto"/>
        <w:rPr>
          <w:rFonts w:hint="eastAsia" w:ascii="Times New Roman" w:hAnsi="Times New Roman" w:eastAsia="宋体"/>
          <w:sz w:val="28"/>
          <w:szCs w:val="28"/>
          <w:lang w:eastAsia="zh-CN"/>
        </w:rPr>
      </w:pPr>
      <w:r>
        <w:rPr>
          <w:rFonts w:hint="eastAsia" w:ascii="Times New Roman" w:hAnsi="Times New Roman"/>
          <w:sz w:val="28"/>
          <w:szCs w:val="28"/>
        </w:rPr>
        <w:t>四、法定代表人授权委托书</w:t>
      </w:r>
      <w:r>
        <w:rPr>
          <w:rFonts w:hint="eastAsia" w:ascii="Times New Roman" w:hAnsi="Times New Roman"/>
          <w:sz w:val="28"/>
          <w:szCs w:val="28"/>
          <w:lang w:eastAsia="zh-CN"/>
        </w:rPr>
        <w:t>（格式）</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0" distR="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31" name="组合 17"/>
                <wp:cNvGraphicFramePr/>
                <a:graphic xmlns:a="http://schemas.openxmlformats.org/drawingml/2006/main">
                  <a:graphicData uri="http://schemas.microsoft.com/office/word/2010/wordprocessingGroup">
                    <wpg:wgp>
                      <wpg:cNvGrpSpPr/>
                      <wpg:grpSpPr>
                        <a:xfrm rot="0">
                          <a:off x="0" y="0"/>
                          <a:ext cx="5486400" cy="1751965"/>
                          <a:chOff x="1350" y="9286"/>
                          <a:chExt cx="8640" cy="2759"/>
                        </a:xfrm>
                      </wpg:grpSpPr>
                      <wps:wsp>
                        <wps:cNvPr id="3" name="矩形 3"/>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4" name="矩形 4"/>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17"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7l8cD2AAAAAkBAAAPAAAAAAAAAAEAIAAAACIAAABkcnMvZG93bnJldi54bWxQSwEC&#10;FAAUAAAACACHTuJAGbp0uNgCAACZCAAADgAAAAAAAAABACAAAAAnAQAAZHJzL2Uyb0RvYy54bWxQ&#10;SwUGAAAAAAYABgBZAQAAcQYAAAAA&#10;">
                <o:lock v:ext="edit" aspectratio="f"/>
                <v:rect id="_x0000_s1026" o:spid="_x0000_s1026" o:spt="1" style="position:absolute;left:1350;top:9286;height:2759;width:426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_x0000_s1026" o:spid="_x0000_s1026" o:spt="1" style="position:absolute;left:5754;top:9286;height:2759;width:423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pStyle w:val="3"/>
        <w:numPr>
          <w:ilvl w:val="-1"/>
          <w:numId w:val="0"/>
        </w:numPr>
        <w:spacing w:line="240" w:lineRule="auto"/>
        <w:ind w:firstLine="0" w:firstLineChars="0"/>
        <w:jc w:val="both"/>
        <w:outlineLvl w:val="0"/>
        <w:rPr>
          <w:rFonts w:hint="eastAsia" w:ascii="Times New Roman" w:hAnsi="Times New Roman" w:eastAsia="宋体" w:cs="Times New Roman"/>
          <w:b w:val="0"/>
          <w:bCs w:val="0"/>
          <w:color w:val="auto"/>
          <w:sz w:val="28"/>
          <w:szCs w:val="28"/>
          <w:lang w:eastAsia="zh-CN"/>
        </w:rPr>
      </w:pPr>
      <w:bookmarkStart w:id="59" w:name="_Toc1529"/>
      <w:bookmarkStart w:id="60" w:name="_Toc18605"/>
      <w:r>
        <w:rPr>
          <w:rFonts w:hint="eastAsia" w:ascii="Times New Roman" w:hAnsi="Times New Roman" w:eastAsia="宋体" w:cs="Times New Roman"/>
          <w:b w:val="0"/>
          <w:bCs w:val="0"/>
          <w:sz w:val="28"/>
          <w:szCs w:val="28"/>
          <w:lang w:eastAsia="zh-CN"/>
        </w:rPr>
        <w:t>五、</w:t>
      </w:r>
      <w:r>
        <w:rPr>
          <w:rFonts w:hint="eastAsia" w:ascii="Times New Roman" w:hAnsi="Times New Roman" w:eastAsia="宋体" w:cs="Times New Roman"/>
          <w:b w:val="0"/>
          <w:bCs w:val="0"/>
          <w:color w:val="auto"/>
          <w:sz w:val="28"/>
          <w:szCs w:val="28"/>
          <w:lang w:eastAsia="zh-CN"/>
        </w:rPr>
        <w:t>科技兴海深蓝智谷孵化基地多媒体设备采购安装</w:t>
      </w:r>
      <w:r>
        <w:rPr>
          <w:rFonts w:hint="eastAsia" w:ascii="Times New Roman" w:hAnsi="Times New Roman" w:eastAsia="宋体" w:cs="Times New Roman"/>
          <w:b w:val="0"/>
          <w:bCs w:val="0"/>
          <w:color w:val="auto"/>
          <w:sz w:val="28"/>
          <w:szCs w:val="28"/>
        </w:rPr>
        <w:t>项目招标报价</w:t>
      </w:r>
      <w:bookmarkEnd w:id="59"/>
      <w:bookmarkEnd w:id="60"/>
      <w:bookmarkStart w:id="61" w:name="_Toc30573"/>
      <w:bookmarkStart w:id="62" w:name="_Toc9402"/>
      <w:r>
        <w:rPr>
          <w:rFonts w:hint="eastAsia" w:ascii="Times New Roman" w:hAnsi="Times New Roman" w:eastAsia="宋体" w:cs="Times New Roman"/>
          <w:b w:val="0"/>
          <w:bCs w:val="0"/>
          <w:color w:val="auto"/>
          <w:sz w:val="28"/>
          <w:szCs w:val="28"/>
        </w:rPr>
        <w:t>表</w:t>
      </w:r>
      <w:bookmarkEnd w:id="61"/>
      <w:bookmarkEnd w:id="62"/>
      <w:r>
        <w:rPr>
          <w:rFonts w:hint="eastAsia" w:ascii="Times New Roman" w:hAnsi="Times New Roman" w:eastAsia="宋体" w:cs="Times New Roman"/>
          <w:b w:val="0"/>
          <w:bCs w:val="0"/>
          <w:color w:val="auto"/>
          <w:sz w:val="28"/>
          <w:szCs w:val="28"/>
          <w:lang w:eastAsia="zh-CN"/>
        </w:rPr>
        <w:t>（格式）</w:t>
      </w:r>
    </w:p>
    <w:p>
      <w:pPr>
        <w:spacing w:line="240" w:lineRule="auto"/>
        <w:ind w:firstLine="0" w:firstLineChars="0"/>
        <w:jc w:val="center"/>
        <w:rPr>
          <w:rFonts w:hint="eastAsia"/>
          <w:b/>
          <w:bCs/>
          <w:lang w:eastAsia="zh-CN"/>
        </w:rPr>
      </w:pPr>
      <w:r>
        <w:rPr>
          <w:rFonts w:hint="eastAsia" w:eastAsia="宋体" w:cs="Times New Roman"/>
          <w:b/>
          <w:bCs/>
          <w:color w:val="000000"/>
          <w:sz w:val="28"/>
          <w:szCs w:val="28"/>
          <w:lang w:eastAsia="zh-CN"/>
        </w:rPr>
        <w:t>报价明细表</w:t>
      </w:r>
    </w:p>
    <w:tbl>
      <w:tblPr>
        <w:tblStyle w:val="10"/>
        <w:tblW w:w="9070" w:type="dxa"/>
        <w:tblInd w:w="0" w:type="dxa"/>
        <w:tblLayout w:type="fixed"/>
        <w:tblCellMar>
          <w:top w:w="0" w:type="dxa"/>
          <w:left w:w="108" w:type="dxa"/>
          <w:bottom w:w="0" w:type="dxa"/>
          <w:right w:w="108" w:type="dxa"/>
        </w:tblCellMar>
      </w:tblPr>
      <w:tblGrid>
        <w:gridCol w:w="698"/>
        <w:gridCol w:w="1361"/>
        <w:gridCol w:w="3651"/>
        <w:gridCol w:w="690"/>
        <w:gridCol w:w="699"/>
        <w:gridCol w:w="981"/>
        <w:gridCol w:w="990"/>
      </w:tblGrid>
      <w:tr>
        <w:tblPrEx>
          <w:tblCellMar>
            <w:top w:w="0" w:type="dxa"/>
            <w:left w:w="108" w:type="dxa"/>
            <w:bottom w:w="0" w:type="dxa"/>
            <w:right w:w="108" w:type="dxa"/>
          </w:tblCellMar>
        </w:tblPrEx>
        <w:trPr>
          <w:trHeight w:val="3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名称</w:t>
            </w:r>
          </w:p>
        </w:tc>
        <w:tc>
          <w:tcPr>
            <w:tcW w:w="3651"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数量</w:t>
            </w:r>
          </w:p>
        </w:tc>
        <w:tc>
          <w:tcPr>
            <w:tcW w:w="699"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hint="eastAsia" w:ascii="微软雅黑" w:hAnsi="微软雅黑" w:eastAsia="微软雅黑" w:cs="宋体"/>
                <w:b/>
                <w:bCs/>
                <w:color w:val="000000"/>
                <w:kern w:val="0"/>
                <w:sz w:val="20"/>
                <w:szCs w:val="20"/>
                <w:lang w:eastAsia="zh-CN"/>
              </w:rPr>
            </w:pPr>
            <w:r>
              <w:rPr>
                <w:rFonts w:hint="eastAsia" w:ascii="微软雅黑" w:hAnsi="微软雅黑" w:eastAsia="微软雅黑" w:cs="宋体"/>
                <w:b/>
                <w:bCs/>
                <w:color w:val="000000"/>
                <w:kern w:val="0"/>
                <w:sz w:val="20"/>
                <w:szCs w:val="20"/>
                <w:lang w:eastAsia="zh-CN"/>
              </w:rPr>
              <w:t>单价</w:t>
            </w:r>
          </w:p>
        </w:tc>
        <w:tc>
          <w:tcPr>
            <w:tcW w:w="990" w:type="dxa"/>
            <w:tcBorders>
              <w:top w:val="single" w:color="000000" w:sz="4" w:space="0"/>
              <w:left w:val="single" w:color="000000" w:sz="4" w:space="0"/>
              <w:bottom w:val="single" w:color="000000" w:sz="4" w:space="0"/>
              <w:right w:val="single" w:color="000000" w:sz="4" w:space="0"/>
            </w:tcBorders>
            <w:shd w:val="clear" w:color="auto" w:fill="D8D8D8"/>
            <w:noWrap/>
          </w:tcPr>
          <w:p>
            <w:pPr>
              <w:widowControl/>
              <w:jc w:val="center"/>
              <w:rPr>
                <w:rFonts w:hint="eastAsia" w:ascii="微软雅黑" w:hAnsi="微软雅黑" w:eastAsia="微软雅黑" w:cs="宋体"/>
                <w:b/>
                <w:bCs/>
                <w:color w:val="000000"/>
                <w:kern w:val="0"/>
                <w:sz w:val="20"/>
                <w:szCs w:val="20"/>
                <w:lang w:eastAsia="zh-CN"/>
              </w:rPr>
            </w:pPr>
            <w:r>
              <w:rPr>
                <w:rFonts w:hint="eastAsia" w:ascii="微软雅黑" w:hAnsi="微软雅黑" w:eastAsia="微软雅黑" w:cs="宋体"/>
                <w:b/>
                <w:bCs/>
                <w:color w:val="000000"/>
                <w:kern w:val="0"/>
                <w:sz w:val="20"/>
                <w:szCs w:val="20"/>
                <w:lang w:eastAsia="zh-CN"/>
              </w:rPr>
              <w:t>合价</w:t>
            </w: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P2.5LED显示屏</w:t>
            </w:r>
          </w:p>
        </w:tc>
        <w:tc>
          <w:tcPr>
            <w:tcW w:w="3651"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7.99</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M²</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控制电脑</w:t>
            </w:r>
          </w:p>
        </w:tc>
        <w:tc>
          <w:tcPr>
            <w:tcW w:w="3651"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I5-9500 8G 1TB GT730 2G显卡,显示器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视频处理器</w:t>
            </w:r>
          </w:p>
        </w:tc>
        <w:tc>
          <w:tcPr>
            <w:tcW w:w="3651"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内置发送卡，带载260万像素点，4网口</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钢结构支架及安装服务</w:t>
            </w:r>
          </w:p>
        </w:tc>
        <w:tc>
          <w:tcPr>
            <w:tcW w:w="3651"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rPr>
              <w:t>1、保钢结构施工安全性和屏体安装工艺，钢结构由LED制造商安装并提供原厂安装服务</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 钢结构安装、屏幕调试</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7.99</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M²</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包边</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LED全彩屏及条形屏的外周包边不含装饰墙</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备件</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4个相关模组4个电源等备品备件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33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75寸会议一体机</w:t>
            </w:r>
          </w:p>
        </w:tc>
        <w:tc>
          <w:tcPr>
            <w:tcW w:w="3651"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无线一拖四</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辅助音箱</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主扩音箱</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辅助功放</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主扩功放</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13</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支架</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rPr>
              <w:t>全金属音箱壁架，材料：钢材，承重30公斤</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重：3.6KG/对</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14</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无线话筒</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1：波段范围（UHF）：632MHz～695MHz；</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2：PLL双频道锁相环回路设计；</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3：UHF200频道PLL数字锁定自动通讯功能；</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4：显示屏显示功能(显示频率、频道、静噪、电平等)；</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5：每通道有音量调节功能；</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6：AF输出（采用“XLR”型插座分别输出，混合输出）；</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7:发射功率调节，高功率14dBm; 低功率6dBm；</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8:发射机采用2节5号1.5V碱性电池；</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9：动态范围：88dB;</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无线麦克风增强型天线</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全频段 500MHz~1GHz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有效角度 100度</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天线增益 6dB典型  最大值10dB</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16</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天线分配器</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频率范围 687~820MHz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RF增益 -0.5~3dB</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隔离度 ≥25dB</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阻抗 50Ω</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输入直流电压 DC12V</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17</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电源时序器</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独立的八路大功率电源输出，万能插座，可满足多种三极的电源插座，如国标插座、美标插座以及欧标插座等；还可满足二极欧式的圆头插座；</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单路最大输出为 10A，总输入电流容量 16A；</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八路通道开关状态可由面板控制操作和显示；通过面板一键开关，可时序关启通道，实现时序功能；</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调音台</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16路XLR平衡单声通道输入、超低噪音线路设计，动态余量大。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每通道带3段均衡调节，MUTE静音开关，60MM平滑推子衰减器。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1组立体声母线，2组AUX母线输出（包括FX)。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1组返回，1组RAC输出。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内置48V幻象电源供电。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内置16种DSP数字效果器。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USB音频播放MP3；USB录音。 </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内置蓝牙接收播放MP3。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19</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数字音频处理器</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自动反馈抑制器</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详见“核心设备技术要求”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会议室机柜</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标准化模式，以满足各种需求；</w:t>
            </w:r>
          </w:p>
          <w:p>
            <w:pPr>
              <w:widowControl/>
              <w:spacing w:line="36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采用高强度钢制可拆装式机柜，最大承载重量达500公斤；</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尺寸（高×宽×深）：1850×535×485mm</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22</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75寸电视</w:t>
            </w:r>
          </w:p>
        </w:tc>
        <w:tc>
          <w:tcPr>
            <w:tcW w:w="3651"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rPr>
              <w:t>产品定位 LED电视，全面屏电视，智能电视，超高清电视，屏幕尺寸 75英寸，分辨率 4K（3840*2160）</w:t>
            </w:r>
          </w:p>
          <w:p>
            <w:pPr>
              <w:widowControl/>
              <w:spacing w:line="360" w:lineRule="exact"/>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屏幕比例 16:9，背光源 LED纠错，背光方式 直下式（D-LED）</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6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23</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综合布线</w:t>
            </w:r>
          </w:p>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设备安装调试</w:t>
            </w:r>
          </w:p>
        </w:tc>
        <w:tc>
          <w:tcPr>
            <w:tcW w:w="36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设备安装/整体调试/现场培训/施工辅材等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微软雅黑" w:hAnsi="微软雅黑" w:eastAsia="微软雅黑" w:cs="宋体"/>
                <w:color w:val="000000"/>
                <w:kern w:val="0"/>
                <w:sz w:val="20"/>
                <w:szCs w:val="20"/>
              </w:rPr>
            </w:pPr>
          </w:p>
        </w:tc>
      </w:tr>
      <w:tr>
        <w:tblPrEx>
          <w:tblCellMar>
            <w:top w:w="0" w:type="dxa"/>
            <w:left w:w="108" w:type="dxa"/>
            <w:bottom w:w="0" w:type="dxa"/>
            <w:right w:w="108" w:type="dxa"/>
          </w:tblCellMar>
        </w:tblPrEx>
        <w:trPr>
          <w:trHeight w:val="746" w:hRule="atLeast"/>
        </w:trPr>
        <w:tc>
          <w:tcPr>
            <w:tcW w:w="7099" w:type="dxa"/>
            <w:gridSpan w:val="5"/>
            <w:tcBorders>
              <w:top w:val="single" w:color="000000" w:sz="4" w:space="0"/>
              <w:left w:val="single" w:color="000000" w:sz="4" w:space="0"/>
              <w:bottom w:val="single" w:color="000000" w:sz="4" w:space="0"/>
              <w:right w:val="single" w:color="000000" w:sz="4" w:space="0"/>
            </w:tcBorders>
            <w:noWrap/>
            <w:vAlign w:val="center"/>
          </w:tcPr>
          <w:p/>
          <w:p>
            <w:pPr>
              <w:widowControl/>
              <w:spacing w:line="360" w:lineRule="auto"/>
              <w:ind w:firstLine="0" w:firstLineChars="0"/>
              <w:jc w:val="righ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b/>
                <w:bCs/>
                <w:color w:val="000000"/>
                <w:kern w:val="0"/>
                <w:sz w:val="24"/>
                <w:szCs w:val="24"/>
                <w:lang w:eastAsia="zh-CN"/>
              </w:rPr>
              <w:t>总报价：</w:t>
            </w:r>
          </w:p>
        </w:tc>
        <w:tc>
          <w:tcPr>
            <w:tcW w:w="19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849" w:hRule="atLeast"/>
        </w:trPr>
        <w:tc>
          <w:tcPr>
            <w:tcW w:w="907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kern w:val="0"/>
                <w:sz w:val="24"/>
              </w:rPr>
            </w:pPr>
            <w:r>
              <w:rPr>
                <w:rFonts w:hint="eastAsia" w:ascii="宋体" w:hAnsi="宋体" w:cs="宋体"/>
                <w:kern w:val="0"/>
                <w:sz w:val="24"/>
              </w:rPr>
              <w:t>备注：</w:t>
            </w:r>
          </w:p>
          <w:p>
            <w:pPr>
              <w:widowControl/>
              <w:jc w:val="left"/>
              <w:textAlignment w:val="center"/>
              <w:rPr>
                <w:rFonts w:ascii="宋体" w:hAnsi="宋体" w:cs="宋体"/>
                <w:kern w:val="0"/>
                <w:sz w:val="24"/>
              </w:rPr>
            </w:pPr>
            <w:r>
              <w:rPr>
                <w:rFonts w:hint="eastAsia" w:ascii="宋体" w:hAnsi="宋体" w:cs="宋体"/>
                <w:kern w:val="0"/>
                <w:sz w:val="24"/>
              </w:rPr>
              <w:t>1、报价包含但不限于运输费、安装费、检测费、税费等为完成本合同义务所需的全部费用；</w:t>
            </w:r>
          </w:p>
          <w:p>
            <w:pPr>
              <w:widowControl/>
              <w:jc w:val="left"/>
              <w:rPr>
                <w:rFonts w:hint="eastAsia" w:ascii="宋体" w:hAnsi="宋体" w:cs="宋体"/>
                <w:kern w:val="0"/>
                <w:sz w:val="24"/>
              </w:rPr>
            </w:pPr>
            <w:r>
              <w:rPr>
                <w:rFonts w:hint="eastAsia" w:ascii="宋体" w:hAnsi="宋体" w:cs="宋体"/>
                <w:kern w:val="0"/>
                <w:sz w:val="24"/>
              </w:rPr>
              <w:t>2、本次评标以参考数量的总价进行评分。</w:t>
            </w:r>
          </w:p>
        </w:tc>
      </w:tr>
      <w:bookmarkEnd w:id="53"/>
      <w:bookmarkEnd w:id="54"/>
      <w:bookmarkEnd w:id="55"/>
    </w:tbl>
    <w:p>
      <w:pPr>
        <w:pStyle w:val="3"/>
        <w:shd w:val="clear" w:color="auto" w:fill="FFFFFF"/>
        <w:snapToGrid w:val="0"/>
        <w:spacing w:after="150" w:line="432" w:lineRule="auto"/>
        <w:jc w:val="left"/>
        <w:outlineLvl w:val="0"/>
        <w:rPr>
          <w:rFonts w:ascii="宋体" w:hAnsi="宋体" w:cs="宋体"/>
          <w:kern w:val="0"/>
          <w:sz w:val="32"/>
          <w:szCs w:val="32"/>
        </w:rPr>
        <w:sectPr>
          <w:footerReference r:id="rId4" w:type="default"/>
          <w:pgSz w:w="11906" w:h="16838"/>
          <w:pgMar w:top="851" w:right="1247" w:bottom="851" w:left="1247" w:header="851" w:footer="992" w:gutter="0"/>
          <w:cols w:space="720" w:num="1"/>
          <w:docGrid w:type="lines" w:linePitch="312" w:charSpace="0"/>
        </w:sectPr>
      </w:pPr>
    </w:p>
    <w:p>
      <w:pPr>
        <w:widowControl/>
        <w:spacing w:line="500" w:lineRule="exact"/>
        <w:ind w:firstLine="0" w:firstLineChars="0"/>
        <w:jc w:val="center"/>
        <w:rPr>
          <w:rFonts w:hint="eastAsia" w:ascii="宋体" w:hAnsi="宋体" w:cs="宋体"/>
          <w:b/>
          <w:bCs/>
          <w:kern w:val="0"/>
          <w:sz w:val="32"/>
          <w:szCs w:val="32"/>
        </w:rPr>
      </w:pPr>
    </w:p>
    <w:p>
      <w:pPr>
        <w:widowControl/>
        <w:spacing w:line="500" w:lineRule="exact"/>
        <w:ind w:firstLine="0" w:firstLineChars="0"/>
        <w:jc w:val="center"/>
        <w:rPr>
          <w:rFonts w:ascii="宋体" w:hAnsi="宋体" w:cs="宋体"/>
          <w:b/>
          <w:bCs/>
          <w:kern w:val="0"/>
          <w:sz w:val="32"/>
          <w:szCs w:val="32"/>
        </w:rPr>
      </w:pPr>
      <w:r>
        <w:rPr>
          <w:rFonts w:hint="eastAsia" w:ascii="宋体" w:hAnsi="宋体" w:cs="宋体"/>
          <w:b/>
          <w:bCs/>
          <w:kern w:val="0"/>
          <w:sz w:val="32"/>
          <w:szCs w:val="32"/>
        </w:rPr>
        <w:t>报价表</w:t>
      </w:r>
    </w:p>
    <w:p>
      <w:pPr>
        <w:widowControl/>
        <w:spacing w:line="500" w:lineRule="exact"/>
        <w:ind w:firstLine="643" w:firstLineChars="200"/>
        <w:jc w:val="center"/>
        <w:rPr>
          <w:rFonts w:ascii="宋体" w:hAnsi="宋体" w:cs="宋体"/>
          <w:b/>
          <w:bCs/>
          <w:kern w:val="0"/>
          <w:sz w:val="32"/>
          <w:szCs w:val="32"/>
        </w:rPr>
      </w:pPr>
    </w:p>
    <w:tbl>
      <w:tblPr>
        <w:tblStyle w:val="10"/>
        <w:tblW w:w="9180" w:type="dxa"/>
        <w:tblInd w:w="0" w:type="dxa"/>
        <w:tblLayout w:type="fixed"/>
        <w:tblCellMar>
          <w:top w:w="0" w:type="dxa"/>
          <w:left w:w="108" w:type="dxa"/>
          <w:bottom w:w="0" w:type="dxa"/>
          <w:right w:w="108" w:type="dxa"/>
        </w:tblCellMar>
      </w:tblPr>
      <w:tblGrid>
        <w:gridCol w:w="1342"/>
        <w:gridCol w:w="3731"/>
        <w:gridCol w:w="1245"/>
        <w:gridCol w:w="2862"/>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科技兴海深蓝智谷孵化基地多媒体设备采购安装项目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Pr>
        <w:rPr>
          <w:rFonts w:ascii="宋体" w:hAnsi="宋体"/>
          <w:b/>
          <w:bCs/>
          <w:sz w:val="28"/>
          <w:szCs w:val="28"/>
        </w:rPr>
      </w:pPr>
    </w:p>
    <w:p>
      <w:pPr>
        <w:rPr>
          <w:rFonts w:hint="eastAsia" w:ascii="宋体" w:hAnsi="宋体" w:eastAsia="宋体"/>
          <w:b w:val="0"/>
          <w:bCs w:val="0"/>
          <w:sz w:val="28"/>
          <w:szCs w:val="28"/>
          <w:lang w:eastAsia="zh-CN"/>
        </w:rPr>
      </w:pPr>
      <w:r>
        <w:rPr>
          <w:rFonts w:hint="eastAsia" w:ascii="宋体" w:hAnsi="宋体"/>
          <w:b/>
          <w:bCs/>
          <w:sz w:val="28"/>
          <w:szCs w:val="28"/>
        </w:rPr>
        <w:br w:type="page"/>
      </w:r>
      <w:r>
        <w:rPr>
          <w:rFonts w:hint="eastAsia" w:ascii="宋体" w:hAnsi="宋体"/>
          <w:b w:val="0"/>
          <w:bCs w:val="0"/>
          <w:sz w:val="28"/>
          <w:szCs w:val="28"/>
          <w:lang w:eastAsia="zh-CN"/>
        </w:rPr>
        <w:t>六、核心设备参数偏离表（格式）</w:t>
      </w:r>
    </w:p>
    <w:p>
      <w:pPr>
        <w:jc w:val="center"/>
        <w:outlineLvl w:val="0"/>
        <w:rPr>
          <w:rFonts w:hint="eastAsia" w:ascii="黑体" w:hAnsi="黑体" w:eastAsia="黑体" w:cs="黑体"/>
          <w:color w:val="000000"/>
          <w:sz w:val="32"/>
          <w:szCs w:val="32"/>
        </w:rPr>
      </w:pPr>
      <w:bookmarkStart w:id="63" w:name="_Toc6719"/>
      <w:bookmarkStart w:id="64" w:name="_Toc8287"/>
      <w:bookmarkStart w:id="65" w:name="_Toc15739"/>
      <w:r>
        <w:rPr>
          <w:rFonts w:hint="eastAsia" w:ascii="黑体" w:hAnsi="黑体" w:eastAsia="黑体" w:cs="黑体"/>
          <w:color w:val="000000"/>
          <w:sz w:val="32"/>
          <w:szCs w:val="32"/>
          <w:lang w:eastAsia="zh-CN"/>
        </w:rPr>
        <w:t>科技兴海深蓝智谷孵化基地多媒体设备采购安装</w:t>
      </w:r>
      <w:r>
        <w:rPr>
          <w:rFonts w:hint="eastAsia" w:ascii="黑体" w:hAnsi="黑体" w:eastAsia="黑体" w:cs="黑体"/>
          <w:color w:val="000000"/>
          <w:sz w:val="32"/>
          <w:szCs w:val="32"/>
        </w:rPr>
        <w:t>项目</w:t>
      </w:r>
      <w:bookmarkEnd w:id="63"/>
    </w:p>
    <w:p>
      <w:pPr>
        <w:pStyle w:val="3"/>
        <w:jc w:val="center"/>
        <w:rPr>
          <w:rFonts w:hint="eastAsia" w:ascii="黑体" w:hAnsi="黑体" w:eastAsia="黑体" w:cs="黑体"/>
          <w:color w:val="000000"/>
          <w:lang w:eastAsia="zh-CN"/>
        </w:rPr>
      </w:pPr>
      <w:bookmarkStart w:id="66" w:name="_Toc24378"/>
      <w:r>
        <w:rPr>
          <w:rFonts w:hint="eastAsia" w:ascii="黑体" w:hAnsi="黑体" w:eastAsia="黑体" w:cs="黑体"/>
          <w:color w:val="000000"/>
        </w:rPr>
        <w:t>核心设备参数偏离表</w:t>
      </w:r>
      <w:bookmarkEnd w:id="64"/>
      <w:bookmarkEnd w:id="65"/>
      <w:bookmarkEnd w:id="66"/>
      <w:bookmarkStart w:id="67" w:name="_Toc9579"/>
      <w:bookmarkStart w:id="68" w:name="_Toc24845"/>
    </w:p>
    <w:p>
      <w:pPr>
        <w:spacing w:before="156" w:beforeLines="50" w:after="156" w:afterLines="50"/>
        <w:rPr>
          <w:rFonts w:ascii="宋体" w:hAnsi="宋体" w:cs="宋体"/>
          <w:b/>
          <w:bCs/>
          <w:color w:val="000000"/>
          <w:sz w:val="32"/>
          <w:szCs w:val="32"/>
        </w:rPr>
      </w:pPr>
      <w:r>
        <w:rPr>
          <w:rFonts w:hint="eastAsia" w:ascii="宋体" w:hAnsi="宋体"/>
          <w:b/>
          <w:bCs/>
        </w:rPr>
        <w:t>1）</w:t>
      </w:r>
      <w:bookmarkEnd w:id="67"/>
      <w:bookmarkEnd w:id="68"/>
      <w:r>
        <w:rPr>
          <w:rFonts w:hint="eastAsia" w:ascii="微软雅黑" w:hAnsi="微软雅黑" w:eastAsia="微软雅黑" w:cs="宋体"/>
          <w:color w:val="000000"/>
          <w:kern w:val="0"/>
          <w:sz w:val="20"/>
          <w:szCs w:val="20"/>
        </w:rPr>
        <w:t>P2.5LED显示屏</w:t>
      </w:r>
    </w:p>
    <w:tbl>
      <w:tblPr>
        <w:tblStyle w:val="10"/>
        <w:tblW w:w="10034" w:type="dxa"/>
        <w:jc w:val="center"/>
        <w:tblLayout w:type="fixed"/>
        <w:tblCellMar>
          <w:top w:w="15" w:type="dxa"/>
          <w:left w:w="15" w:type="dxa"/>
          <w:bottom w:w="15" w:type="dxa"/>
          <w:right w:w="15" w:type="dxa"/>
        </w:tblCellMar>
      </w:tblPr>
      <w:tblGrid>
        <w:gridCol w:w="500"/>
        <w:gridCol w:w="6634"/>
        <w:gridCol w:w="966"/>
        <w:gridCol w:w="1100"/>
        <w:gridCol w:w="834"/>
      </w:tblGrid>
      <w:tr>
        <w:tblPrEx>
          <w:tblCellMar>
            <w:top w:w="15" w:type="dxa"/>
            <w:left w:w="15" w:type="dxa"/>
            <w:bottom w:w="15" w:type="dxa"/>
            <w:right w:w="15" w:type="dxa"/>
          </w:tblCellMar>
        </w:tblPrEx>
        <w:trPr>
          <w:trHeight w:val="286" w:hRule="atLeast"/>
          <w:jc w:val="center"/>
        </w:trPr>
        <w:tc>
          <w:tcPr>
            <w:tcW w:w="500"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34"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500"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p>
        </w:tc>
        <w:tc>
          <w:tcPr>
            <w:tcW w:w="6634"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（正偏离/负偏离/无偏离）</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例：投标文件第（）页</w:t>
            </w:r>
          </w:p>
        </w:tc>
      </w:tr>
      <w:tr>
        <w:tblPrEx>
          <w:tblCellMar>
            <w:top w:w="15" w:type="dxa"/>
            <w:left w:w="15" w:type="dxa"/>
            <w:bottom w:w="15" w:type="dxa"/>
            <w:right w:w="15" w:type="dxa"/>
          </w:tblCellMar>
        </w:tblPrEx>
        <w:trPr>
          <w:trHeight w:val="6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913"/>
              </w:tabs>
              <w:jc w:val="left"/>
              <w:rPr>
                <w:rFonts w:hint="eastAsia" w:ascii="宋体" w:hAnsi="宋体"/>
              </w:rPr>
            </w:pPr>
            <w:r>
              <w:rPr>
                <w:rFonts w:hint="eastAsia" w:ascii="宋体" w:hAnsi="宋体"/>
              </w:rPr>
              <w:t>▲像素点间距：≤</w:t>
            </w:r>
            <w:r>
              <w:rPr>
                <w:rFonts w:ascii="宋体" w:hAnsi="宋体"/>
              </w:rPr>
              <w:t>2.5mm</w:t>
            </w:r>
            <w:r>
              <w:rPr>
                <w:rFonts w:hint="eastAsia" w:ascii="宋体" w:hAnsi="宋体"/>
              </w:rPr>
              <w:t>，尺寸不少于</w:t>
            </w:r>
            <w:r>
              <w:rPr>
                <w:rFonts w:ascii="宋体" w:hAnsi="宋体"/>
              </w:rPr>
              <w:t>3.84m*2.08</w:t>
            </w:r>
            <w:r>
              <w:rPr>
                <w:rFonts w:hint="eastAsia" w:ascii="宋体" w:hAnsi="宋体"/>
              </w:rPr>
              <w:t>，分辨率不低于</w:t>
            </w:r>
            <w:r>
              <w:rPr>
                <w:rFonts w:ascii="宋体" w:hAnsi="宋体"/>
              </w:rPr>
              <w:t>1536*832</w:t>
            </w:r>
            <w:r>
              <w:rPr>
                <w:rFonts w:hint="eastAsia" w:ascii="宋体" w:hAnsi="宋体"/>
              </w:rPr>
              <w:t>，</w:t>
            </w:r>
            <w:r>
              <w:rPr>
                <w:rFonts w:ascii="宋体" w:hAnsi="宋体"/>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9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ascii="宋体" w:hAnsi="宋体" w:cs="宋体"/>
                <w:color w:val="000000"/>
                <w:sz w:val="20"/>
                <w:szCs w:val="20"/>
              </w:rPr>
              <w:t>2</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rPr>
            </w:pPr>
            <w:r>
              <w:rPr>
                <w:rFonts w:hint="eastAsia" w:ascii="宋体" w:hAnsi="宋体"/>
              </w:rPr>
              <w:t>▲屏幕亮度</w:t>
            </w:r>
            <w:r>
              <w:rPr>
                <w:rFonts w:ascii="宋体" w:hAnsi="宋体"/>
              </w:rPr>
              <w:t>：</w:t>
            </w:r>
            <w:r>
              <w:rPr>
                <w:rFonts w:hint="eastAsia" w:ascii="宋体" w:hAnsi="宋体"/>
              </w:rPr>
              <w:t>屏幕亮度（校正后）：≥</w:t>
            </w:r>
            <w:r>
              <w:rPr>
                <w:rFonts w:ascii="宋体" w:hAnsi="宋体"/>
              </w:rPr>
              <w:t>6</w:t>
            </w:r>
            <w:r>
              <w:rPr>
                <w:rFonts w:hint="eastAsia" w:ascii="宋体" w:hAnsi="宋体"/>
              </w:rPr>
              <w:t>00cd/㎡，平整度≤0.</w:t>
            </w:r>
            <w:r>
              <w:rPr>
                <w:rFonts w:ascii="宋体" w:hAnsi="宋体"/>
              </w:rPr>
              <w:t>15</w:t>
            </w:r>
            <w:r>
              <w:rPr>
                <w:rFonts w:hint="eastAsia" w:ascii="宋体" w:hAnsi="宋体"/>
              </w:rPr>
              <w:t>mm，刷新频率≥</w:t>
            </w:r>
            <w:r>
              <w:rPr>
                <w:rFonts w:ascii="宋体" w:hAnsi="宋体"/>
              </w:rPr>
              <w:t>384</w:t>
            </w:r>
            <w:r>
              <w:rPr>
                <w:rFonts w:hint="eastAsia" w:ascii="宋体" w:hAnsi="宋体"/>
              </w:rPr>
              <w:t>0Hz，水平视角≥1</w:t>
            </w:r>
            <w:r>
              <w:rPr>
                <w:rFonts w:ascii="宋体" w:hAnsi="宋体"/>
              </w:rPr>
              <w:t>65</w:t>
            </w:r>
            <w:r>
              <w:rPr>
                <w:rFonts w:hint="eastAsia" w:ascii="宋体" w:hAnsi="宋体"/>
              </w:rPr>
              <w:t>度，垂直视角≥1</w:t>
            </w:r>
            <w:r>
              <w:rPr>
                <w:rFonts w:ascii="宋体" w:hAnsi="宋体"/>
              </w:rPr>
              <w:t>60</w:t>
            </w:r>
            <w:r>
              <w:rPr>
                <w:rFonts w:hint="eastAsia" w:ascii="宋体" w:hAnsi="宋体"/>
              </w:rPr>
              <w:t>度；功耗（W/㎡）峰值≤</w:t>
            </w:r>
            <w:r>
              <w:rPr>
                <w:rFonts w:ascii="宋体" w:hAnsi="宋体"/>
              </w:rPr>
              <w:t>450</w:t>
            </w:r>
            <w:r>
              <w:rPr>
                <w:rFonts w:hint="eastAsia" w:ascii="宋体" w:hAnsi="宋体"/>
              </w:rPr>
              <w:t>，平均≤</w:t>
            </w:r>
            <w:r>
              <w:rPr>
                <w:rFonts w:ascii="宋体" w:hAnsi="宋体"/>
              </w:rPr>
              <w:t>150</w:t>
            </w:r>
            <w:r>
              <w:rPr>
                <w:rFonts w:hint="eastAsia" w:ascii="宋体" w:hAnsi="宋体"/>
              </w:rPr>
              <w:t>；对比度≥5000:1，发光点中心距 偏差</w:t>
            </w:r>
            <w:r>
              <w:rPr>
                <w:rFonts w:ascii="宋体" w:hAnsi="宋体"/>
              </w:rPr>
              <w:t>&lt;2%</w:t>
            </w:r>
            <w:r>
              <w:rPr>
                <w:rFonts w:hint="eastAsia" w:ascii="宋体" w:hAnsi="宋体"/>
              </w:rPr>
              <w:t>提供封面具有CNAS认证标识的第三方检测机构出具的检测报告复印件，并加盖制造商公章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ascii="宋体" w:hAnsi="宋体" w:cs="宋体"/>
                <w:color w:val="000000"/>
                <w:sz w:val="20"/>
                <w:szCs w:val="20"/>
              </w:rPr>
              <w:t>3</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rPr>
            </w:pPr>
            <w:r>
              <w:rPr>
                <w:rFonts w:hint="eastAsia" w:ascii="宋体" w:hAnsi="宋体"/>
              </w:rPr>
              <w:t>亮度均匀性：≥9</w:t>
            </w:r>
            <w:r>
              <w:rPr>
                <w:rFonts w:ascii="宋体" w:hAnsi="宋体"/>
              </w:rPr>
              <w:t>8%</w:t>
            </w:r>
            <w:r>
              <w:rPr>
                <w:rFonts w:hint="eastAsia" w:ascii="宋体" w:hAnsi="宋体"/>
              </w:rPr>
              <w:t>；色域覆盖率≥</w:t>
            </w:r>
            <w:r>
              <w:rPr>
                <w:rFonts w:ascii="宋体" w:hAnsi="宋体"/>
              </w:rPr>
              <w:t>120%</w:t>
            </w:r>
            <w:r>
              <w:rPr>
                <w:rFonts w:hint="eastAsia" w:ascii="宋体" w:hAnsi="宋体"/>
              </w:rPr>
              <w:t>，像素失控率≤</w:t>
            </w:r>
            <w:r>
              <w:rPr>
                <w:rFonts w:ascii="宋体" w:hAnsi="宋体"/>
              </w:rPr>
              <w:t>0.00001</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ascii="宋体" w:hAnsi="宋体" w:cs="宋体"/>
                <w:color w:val="000000"/>
                <w:sz w:val="20"/>
                <w:szCs w:val="20"/>
              </w:rPr>
              <w:t>4</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rPr>
            </w:pPr>
            <w:r>
              <w:rPr>
                <w:rFonts w:ascii="宋体" w:hAnsi="宋体"/>
              </w:rPr>
              <w:t>100%</w:t>
            </w:r>
            <w:r>
              <w:rPr>
                <w:rFonts w:hint="eastAsia" w:ascii="宋体" w:hAnsi="宋体"/>
              </w:rPr>
              <w:t>亮度时，</w:t>
            </w:r>
            <w:r>
              <w:rPr>
                <w:rFonts w:ascii="宋体" w:hAnsi="宋体"/>
              </w:rPr>
              <w:t xml:space="preserve">16bits </w:t>
            </w:r>
            <w:r>
              <w:rPr>
                <w:rFonts w:hint="eastAsia" w:ascii="宋体" w:hAnsi="宋体"/>
              </w:rPr>
              <w:t>灰度；</w:t>
            </w:r>
            <w:r>
              <w:rPr>
                <w:rFonts w:ascii="宋体" w:hAnsi="宋体"/>
              </w:rPr>
              <w:t>20%</w:t>
            </w:r>
            <w:r>
              <w:rPr>
                <w:rFonts w:hint="eastAsia" w:ascii="宋体" w:hAnsi="宋体"/>
              </w:rPr>
              <w:t>亮度时，</w:t>
            </w:r>
            <w:r>
              <w:rPr>
                <w:rFonts w:ascii="宋体" w:hAnsi="宋体"/>
              </w:rPr>
              <w:t xml:space="preserve">12bits </w:t>
            </w:r>
            <w:r>
              <w:rPr>
                <w:rFonts w:hint="eastAsia" w:ascii="宋体" w:hAnsi="宋体"/>
              </w:rPr>
              <w:t>灰度</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ascii="宋体" w:hAnsi="宋体" w:cs="宋体"/>
                <w:color w:val="000000"/>
                <w:sz w:val="20"/>
                <w:szCs w:val="20"/>
              </w:rPr>
              <w:t>5</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rPr>
            </w:pPr>
            <w:r>
              <w:rPr>
                <w:rFonts w:ascii="宋体" w:hAnsi="宋体"/>
              </w:rPr>
              <w:t>LED</w:t>
            </w:r>
            <w:r>
              <w:rPr>
                <w:rFonts w:hint="eastAsia" w:ascii="宋体" w:hAnsi="宋体"/>
              </w:rPr>
              <w:t>显示单元支持单点亮度校正功能；支持前拆前维护和后拆后维护功能；</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6</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rPr>
            </w:pPr>
            <w:r>
              <w:rPr>
                <w:rFonts w:hint="eastAsia" w:ascii="宋体" w:hAnsi="宋体"/>
              </w:rPr>
              <w:t>产品具备一键调节亮、暗线功能；</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7</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rPr>
            </w:pPr>
            <w:r>
              <w:rPr>
                <w:rFonts w:hint="eastAsia" w:ascii="宋体" w:hAnsi="宋体"/>
              </w:rPr>
              <w:t>产品带有智能(黑屏)节电功能，开启智能节电功能比没有开启节能40%以上 ；</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8</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kern w:val="0"/>
                <w:sz w:val="24"/>
              </w:rPr>
            </w:pPr>
            <w:r>
              <w:rPr>
                <w:rFonts w:hint="eastAsia" w:ascii="宋体" w:hAnsi="宋体"/>
              </w:rPr>
              <w:t>▲</w:t>
            </w:r>
            <w:r>
              <w:rPr>
                <w:rFonts w:hint="eastAsia"/>
              </w:rPr>
              <w:t>模组电源接口采用 4P 接插头，免工具维护，同时有防呆设计，预防接错电源线短路而导致的烧毁模组行为；采 用集成 HUB 接收卡控制，支持通讯状态监测，软件具备一键调节亮、暗线功能。提供封面具有CNAS认证标识的第三方检测机构出具的检测报告复印件，并加盖制造商公章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9</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rPr>
            </w:pPr>
            <w:r>
              <w:rPr>
                <w:rFonts w:hint="eastAsia" w:ascii="宋体" w:hAnsi="宋体"/>
              </w:rPr>
              <w:t>▲</w:t>
            </w:r>
            <w:r>
              <w:rPr>
                <w:rFonts w:hint="eastAsia"/>
              </w:rPr>
              <w:t>图像有降噪、增强、运动补偿、色坐 标变换处理、钝化处理、无几何失真和非线性失真现象、消鬼影拖尾，无“毛毛虫”“鬼影”跟随现象，提供封面具有CNAS认证标识的第三方检测机构出具的检测报告复印件，并加盖制造商公章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10</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913"/>
              </w:tabs>
              <w:jc w:val="left"/>
              <w:rPr>
                <w:rFonts w:hint="eastAsia" w:ascii="宋体" w:hAnsi="宋体"/>
              </w:rPr>
            </w:pPr>
            <w:r>
              <w:rPr>
                <w:rFonts w:hint="eastAsia" w:ascii="宋体" w:hAnsi="宋体"/>
              </w:rPr>
              <w:t>▲蓝光安全：蓝光对皮肤和眼睛紫外线危害、宽波段的光源对视网膜危害、蓝光对皮肤表面及角膜和视网膜的曝辐射值检测无危害；提</w:t>
            </w:r>
            <w:r>
              <w:rPr>
                <w:rFonts w:hint="eastAsia"/>
              </w:rPr>
              <w:t>供封面具有CNAS认证标识的第三方检测机构出具的检测报告复印件，并加盖制造商公章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11</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rPr>
            </w:pPr>
            <w:r>
              <w:rPr>
                <w:rFonts w:hint="eastAsia" w:ascii="宋体" w:hAnsi="宋体"/>
              </w:rPr>
              <w:t>▲显示屏具有防潮、防尘、防腐蚀、防 电磁干扰、防静电等功能，并具有过流、短路、过压、欠压保护等功能。提</w:t>
            </w:r>
            <w:r>
              <w:rPr>
                <w:rFonts w:hint="eastAsia"/>
              </w:rPr>
              <w:t>供封面具有CNAS认证标识的第三方检测机构出具的检测报告复印件，并加盖制造商公章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12</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r>
              <w:rPr>
                <w:rFonts w:hint="eastAsia" w:ascii="宋体" w:hAnsi="宋体"/>
              </w:rPr>
              <w:t>▲</w:t>
            </w:r>
            <w:r>
              <w:t xml:space="preserve">LED </w:t>
            </w:r>
            <w:r>
              <w:rPr>
                <w:rFonts w:hint="eastAsia"/>
              </w:rPr>
              <w:t xml:space="preserve">显示屏可实时监控显示屏工作状态，具有故障自动告警功能，发 </w:t>
            </w:r>
          </w:p>
          <w:p>
            <w:pPr>
              <w:widowControl/>
              <w:jc w:val="left"/>
              <w:rPr>
                <w:rFonts w:hint="eastAsia"/>
              </w:rPr>
            </w:pPr>
            <w:r>
              <w:rPr>
                <w:rFonts w:hint="eastAsia"/>
              </w:rPr>
              <w:t>生故障立即发消息到指定邮箱，及时 处理。</w:t>
            </w:r>
            <w:r>
              <w:t>2</w:t>
            </w:r>
            <w:r>
              <w:rPr>
                <w:rFonts w:hint="eastAsia"/>
              </w:rPr>
              <w:t>、</w:t>
            </w:r>
            <w:r>
              <w:t xml:space="preserve">LED </w:t>
            </w:r>
            <w:r>
              <w:rPr>
                <w:rFonts w:hint="eastAsia"/>
              </w:rPr>
              <w:t xml:space="preserve">显示屏具有多点测温 系统，均衡散热，防止局部温度过高 造成色彩漂移，并提高显示屏寿命。 </w:t>
            </w:r>
            <w:r>
              <w:t>3</w:t>
            </w:r>
            <w:r>
              <w:rPr>
                <w:rFonts w:hint="eastAsia"/>
              </w:rPr>
              <w:t>、</w:t>
            </w:r>
            <w:r>
              <w:t xml:space="preserve">LED </w:t>
            </w:r>
            <w:r>
              <w:rPr>
                <w:rFonts w:hint="eastAsia"/>
              </w:rPr>
              <w:t>显示屏具有电源温度控制系 统，提供电源实时温度监控，超出设 定温度自动报警，防止过温失效。提供封面具有CNAS认证标识的第三方检测机构出具的检测报告复印件，并加盖制造商公章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13</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913"/>
              </w:tabs>
              <w:jc w:val="left"/>
              <w:rPr>
                <w:rFonts w:hint="eastAsia" w:ascii="宋体" w:hAnsi="宋体"/>
              </w:rPr>
            </w:pPr>
            <w:r>
              <w:rPr>
                <w:rFonts w:hint="eastAsia" w:ascii="宋体" w:hAnsi="宋体"/>
              </w:rPr>
              <w:t>▲为确保产品稳定性和安全性，LED产品制造商须通过质量管理体系（I</w:t>
            </w:r>
            <w:r>
              <w:rPr>
                <w:rFonts w:ascii="宋体" w:hAnsi="宋体"/>
              </w:rPr>
              <w:t>SO</w:t>
            </w:r>
            <w:r>
              <w:rPr>
                <w:rFonts w:hint="eastAsia" w:ascii="宋体" w:hAnsi="宋体"/>
              </w:rPr>
              <w:t>9001：2015）、高新技术企业证书：提供体系证书复印件加盖制造商公章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14</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913"/>
              </w:tabs>
              <w:jc w:val="left"/>
              <w:rPr>
                <w:rFonts w:hint="eastAsia" w:ascii="宋体" w:hAnsi="宋体"/>
              </w:rPr>
            </w:pPr>
            <w:r>
              <w:rPr>
                <w:rFonts w:hint="eastAsia" w:ascii="宋体" w:hAnsi="宋体"/>
              </w:rPr>
              <w:t>▲LED产品制造商C</w:t>
            </w:r>
            <w:r>
              <w:rPr>
                <w:rFonts w:ascii="宋体" w:hAnsi="宋体"/>
              </w:rPr>
              <w:t>CC</w:t>
            </w:r>
            <w:r>
              <w:rPr>
                <w:rFonts w:hint="eastAsia" w:ascii="宋体" w:hAnsi="宋体"/>
              </w:rPr>
              <w:t>证书，H</w:t>
            </w:r>
            <w:r>
              <w:rPr>
                <w:rFonts w:ascii="宋体" w:hAnsi="宋体"/>
              </w:rPr>
              <w:t>DR</w:t>
            </w:r>
            <w:r>
              <w:rPr>
                <w:rFonts w:hint="eastAsia" w:ascii="宋体" w:hAnsi="宋体"/>
              </w:rPr>
              <w:t>产品认证证书，视觉健康认证证书，逐点调校软件的软件著作权登记证书，主控系统软件的软件著作权登记证书，提供证书复印件加盖制造商公章</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bl>
    <w:p>
      <w:pPr>
        <w:spacing w:before="156" w:beforeLines="50" w:after="156" w:afterLines="50"/>
        <w:rPr>
          <w:rFonts w:ascii="宋体" w:hAnsi="宋体"/>
          <w:b/>
          <w:bCs/>
        </w:rPr>
      </w:pPr>
    </w:p>
    <w:p>
      <w:pPr>
        <w:spacing w:before="156" w:beforeLines="50" w:after="156" w:afterLines="50"/>
        <w:rPr>
          <w:rFonts w:ascii="宋体" w:hAnsi="宋体" w:cs="宋体"/>
          <w:b/>
          <w:bCs/>
          <w:color w:val="000000"/>
          <w:sz w:val="32"/>
          <w:szCs w:val="32"/>
        </w:rPr>
      </w:pPr>
      <w:r>
        <w:rPr>
          <w:rFonts w:ascii="宋体" w:hAnsi="宋体"/>
          <w:b/>
          <w:bCs/>
        </w:rPr>
        <w:t>2</w:t>
      </w:r>
      <w:r>
        <w:rPr>
          <w:rFonts w:hint="eastAsia" w:ascii="宋体" w:hAnsi="宋体"/>
          <w:b/>
          <w:bCs/>
        </w:rPr>
        <w:t>）</w:t>
      </w:r>
      <w:r>
        <w:rPr>
          <w:rFonts w:hint="eastAsia" w:ascii="微软雅黑" w:hAnsi="微软雅黑" w:eastAsia="微软雅黑" w:cs="宋体"/>
          <w:color w:val="000000"/>
          <w:kern w:val="0"/>
          <w:sz w:val="20"/>
          <w:szCs w:val="20"/>
        </w:rPr>
        <w:t>75寸会议一体机</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整机外壳采用超窄边框金属材质, 1</w:t>
            </w:r>
            <w:r>
              <w:rPr>
                <w:rFonts w:ascii="宋体" w:hAnsi="宋体" w:cs="宋体"/>
                <w:color w:val="000000"/>
                <w:sz w:val="20"/>
                <w:szCs w:val="20"/>
              </w:rPr>
              <w:t>20</w:t>
            </w:r>
            <w:r>
              <w:rPr>
                <w:rFonts w:hint="eastAsia" w:ascii="宋体" w:hAnsi="宋体" w:cs="宋体"/>
                <w:color w:val="000000"/>
                <w:sz w:val="20"/>
                <w:szCs w:val="20"/>
              </w:rPr>
              <w:t>目超细腻喷砂工艺设计，抗撞抗划抗腐蚀，显示尺寸：≥7</w:t>
            </w:r>
            <w:r>
              <w:rPr>
                <w:rFonts w:ascii="宋体" w:hAnsi="宋体" w:cs="宋体"/>
                <w:color w:val="000000"/>
                <w:sz w:val="20"/>
                <w:szCs w:val="20"/>
              </w:rPr>
              <w:t>5</w:t>
            </w:r>
            <w:r>
              <w:rPr>
                <w:rFonts w:hint="eastAsia" w:ascii="宋体" w:hAnsi="宋体" w:cs="宋体"/>
                <w:color w:val="000000"/>
                <w:sz w:val="20"/>
                <w:szCs w:val="20"/>
              </w:rPr>
              <w:t>英寸</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cs="宋体"/>
                <w:color w:val="000000"/>
                <w:sz w:val="20"/>
                <w:szCs w:val="20"/>
              </w:rPr>
            </w:pPr>
            <w:r>
              <w:rPr>
                <w:rFonts w:ascii="宋体" w:hAnsi="宋体" w:cs="宋体"/>
                <w:color w:val="000000"/>
                <w:sz w:val="20"/>
                <w:szCs w:val="20"/>
              </w:rPr>
              <w:t>超薄窄边框设计，整机最薄位置≤30mm以下，屏占比≥85%以上</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6644" w:type="dxa"/>
            <w:tcBorders>
              <w:top w:val="single" w:color="000000" w:sz="4" w:space="0"/>
              <w:left w:val="single" w:color="000000" w:sz="4" w:space="0"/>
              <w:bottom w:val="single" w:color="000000" w:sz="4" w:space="0"/>
              <w:right w:val="single" w:color="000000" w:sz="4" w:space="0"/>
            </w:tcBorders>
            <w:shd w:val="clear" w:color="auto" w:fill="FFFFFF"/>
          </w:tcPr>
          <w:p>
            <w:pPr>
              <w:jc w:val="left"/>
              <w:textAlignment w:val="center"/>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整机屏幕触摸有效识别高度不大于3.5mm，即触摸物体距离玻璃外表面高度不大于3.5mm时，触摸屏识别为点击操作，保证触摸精准</w:t>
            </w:r>
            <w:r>
              <w:rPr>
                <w:rFonts w:hint="eastAsia" w:ascii="宋体" w:hAnsi="宋体" w:cs="宋体"/>
                <w:color w:val="000000"/>
                <w:sz w:val="20"/>
                <w:szCs w:val="20"/>
              </w:rPr>
              <w:t>, 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4mm全钢化防眩光玻璃交互平板表面钢化玻璃,硬度不低于7H, 保障使用安全</w:t>
            </w:r>
            <w:r>
              <w:rPr>
                <w:rFonts w:hint="eastAsia" w:ascii="宋体" w:hAnsi="宋体" w:cs="宋体"/>
                <w:color w:val="000000"/>
                <w:sz w:val="20"/>
                <w:szCs w:val="20"/>
              </w:rPr>
              <w:t>，提供封面具有CNAS认证标识的第三方检测机构出具的检测报告复印件，并加盖制造商公章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全内置摄像头800W像素，位置上边框居中，视场角73度扬声器： 2×10W （中高音）+15W（低音）</w:t>
            </w:r>
            <w:r>
              <w:rPr>
                <w:rFonts w:hint="eastAsia" w:ascii="宋体" w:hAnsi="宋体" w:cs="宋体"/>
                <w:color w:val="000000"/>
                <w:sz w:val="20"/>
                <w:szCs w:val="20"/>
              </w:rPr>
              <w:t>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在屏幕两侧均可通过手势滑动拉出侧拉拦，可实现设置、计时器、截图、拍照、快传、录屏、投票器等常用系统工具</w:t>
            </w:r>
            <w:r>
              <w:rPr>
                <w:rFonts w:hint="eastAsia" w:ascii="宋体" w:hAnsi="宋体" w:cs="宋体"/>
                <w:color w:val="000000"/>
                <w:sz w:val="20"/>
                <w:szCs w:val="20"/>
              </w:rPr>
              <w:t>,</w:t>
            </w:r>
            <w:r>
              <w:rPr>
                <w:rFonts w:ascii="宋体" w:hAnsi="宋体" w:cs="宋体"/>
                <w:color w:val="000000"/>
                <w:sz w:val="20"/>
                <w:szCs w:val="20"/>
              </w:rPr>
              <w:t xml:space="preserve"> 在屏幕两侧有可收缩/展开/移动的侧 工具栏，功能包含主页, 返回、批注、呼出、信号源、音量调节侧边栏等最常用的系统功能键</w:t>
            </w:r>
            <w:r>
              <w:rPr>
                <w:rFonts w:hint="eastAsia" w:ascii="宋体" w:hAnsi="宋体" w:cs="宋体"/>
                <w:color w:val="000000"/>
                <w:sz w:val="20"/>
                <w:szCs w:val="20"/>
              </w:rPr>
              <w:t>, 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ascii="宋体" w:hAnsi="宋体" w:cs="宋体"/>
                <w:color w:val="000000"/>
                <w:sz w:val="20"/>
                <w:szCs w:val="20"/>
              </w:rPr>
              <w:t>7</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cs="宋体"/>
                <w:color w:val="000000"/>
                <w:sz w:val="20"/>
                <w:szCs w:val="20"/>
              </w:rPr>
            </w:pPr>
            <w:r>
              <w:rPr>
                <w:rFonts w:hint="eastAsia" w:ascii="宋体" w:hAnsi="宋体" w:cs="宋体"/>
                <w:color w:val="000000"/>
                <w:sz w:val="20"/>
                <w:szCs w:val="20"/>
              </w:rPr>
              <w:t>▲整机支持移动设备无线投屏功能，不需要外接设备。安卓设备、iPhone/iPad等设备通过无线WIFI热点进行传输。用户可快速将文档、图片、音乐、视频、桌面等内容投到会议平板上，手机投屏软件支持文稿扫描智能校正上传，文档展示更清晰、更便捷。并且支持手机投屏软件操控大屏，小屏控大屏满足近端操控需求。手机和电脑支持混合投屏展示，最多支持四画面电脑同屏展示，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ascii="宋体" w:hAnsi="宋体" w:cs="宋体"/>
                <w:color w:val="000000"/>
                <w:sz w:val="20"/>
                <w:szCs w:val="20"/>
              </w:rPr>
              <w:t>8</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兼容常用的PPT播放软件，搭配PC模块后无需调用PPT播放软件的批注功能，即可对PPT播放状态下进行连续多页批注，擦除，批注内容与原文件扫码分享保存。</w:t>
            </w:r>
            <w:r>
              <w:rPr>
                <w:rFonts w:hint="eastAsia" w:ascii="宋体" w:hAnsi="宋体" w:cs="宋体"/>
                <w:color w:val="000000"/>
                <w:sz w:val="20"/>
                <w:szCs w:val="20"/>
              </w:rPr>
              <w:t>，提供封面具有CNAS认证标识的第三方检测机构出具的检测报告复印件，并加盖制造商公章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sz w:val="20"/>
                <w:szCs w:val="20"/>
              </w:rPr>
            </w:pPr>
          </w:p>
        </w:tc>
      </w:tr>
    </w:tbl>
    <w:p>
      <w:pPr>
        <w:rPr>
          <w:rFonts w:ascii="宋体" w:hAnsi="宋体"/>
        </w:rPr>
      </w:pPr>
    </w:p>
    <w:p>
      <w:pPr>
        <w:spacing w:before="156" w:beforeLines="50" w:after="156" w:afterLines="50"/>
        <w:rPr>
          <w:rFonts w:hint="eastAsia" w:ascii="宋体" w:hAnsi="宋体"/>
          <w:b/>
          <w:bCs/>
        </w:rPr>
      </w:pPr>
      <w:r>
        <w:rPr>
          <w:rFonts w:hint="eastAsia" w:ascii="宋体" w:hAnsi="宋体"/>
          <w:b/>
          <w:bCs/>
        </w:rPr>
        <w:t>3）无线一拖四</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PLL四频道锁相环回路设计；</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UHF200频道PLL数字锁定自动通讯功能；</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采用红外线对频；话筒和接收机可自动调频或手动调频；</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LCD液晶显示功能。频率范围 600-800MHz</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调制方式 宽带FM,可调范围 50MHz</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信道数目 200,信道间隔 250KHz</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频率稳定度 ±0.005%以内,动态范围 100dB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最大频偏 ±45KHz,音频响应 80Hz-18KHz(±3dB)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综合信噪比 &gt;105dB</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ascii="宋体" w:hAnsi="宋体"/>
          <w:b/>
          <w:bCs/>
        </w:rPr>
      </w:pPr>
      <w:r>
        <w:rPr>
          <w:rFonts w:hint="eastAsia" w:ascii="宋体" w:hAnsi="宋体"/>
          <w:b/>
          <w:bCs/>
        </w:rPr>
        <w:t>4</w:t>
      </w:r>
      <w:r>
        <w:rPr>
          <w:rFonts w:ascii="宋体" w:hAnsi="宋体"/>
          <w:b/>
          <w:bCs/>
        </w:rPr>
        <w:t>)</w:t>
      </w:r>
      <w:r>
        <w:rPr>
          <w:rFonts w:hint="eastAsia" w:ascii="宋体" w:hAnsi="宋体"/>
          <w:b/>
          <w:bCs/>
        </w:rPr>
        <w:t>辅助音箱</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箱体采用大斑点水性油漆喷涂处理技术，前面采用有孔金属网背贴声学透声棉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单元结构LF:10"低音×1，HF:1"高音×1</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频响范围(±3dB)：48 Hz -18,000Hz</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灵敏度（折算到1m，1W）：96dB±2dB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最大声压级：≧119dB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输入阻抗8Ω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额定功率250W</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指向性（H×V）90°H×40°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▲为了保证音响系统的稳定性，所投产品制造商须获得消音室校准证书（提供相关证书复印件并加盖原厂公章）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3</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▲该产品依据国际IEC标准及中国国家GB标准进行全向高精度检测并收入德国 EASE 扬声器数据库中。（投标时需提供EASE官网相关截图）</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ascii="宋体" w:hAnsi="宋体"/>
          <w:b/>
          <w:bCs/>
        </w:rPr>
      </w:pPr>
      <w:r>
        <w:rPr>
          <w:rFonts w:hint="eastAsia" w:ascii="宋体" w:hAnsi="宋体"/>
          <w:b/>
          <w:bCs/>
        </w:rPr>
        <w:t>5）主扩音箱</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箱体采用大斑点水性油漆喷涂处理技术，前面采用有孔金属网背贴声学透声棉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单元结构LF:12"低音×1，HF:1"高音×1</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频响范围：50Hz-18,000Hz</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灵敏度：≧98dB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最大声压级≧123dB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输入阻抗8Ω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额定功率≧350W</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指向性（H×V）90°H×40°V</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总波谐失真度：≦4%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▲提供封面具有CNAS认证标识的第三方检测机构出具的检测报告复印件，并加盖制造商公章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3</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▲所投产品制造商获得“一种防潮防腐蚀防氧化的音圈”的实用新型证明文件以保证产品具有防潮防腐蚀防氧化的音圈，提供证书复印件，并加盖制造商公章。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ascii="宋体" w:hAnsi="宋体"/>
          <w:b/>
          <w:bCs/>
        </w:rPr>
      </w:pPr>
      <w:r>
        <w:rPr>
          <w:rFonts w:ascii="宋体" w:hAnsi="宋体"/>
          <w:b/>
          <w:bCs/>
        </w:rPr>
        <w:t>6</w:t>
      </w:r>
      <w:r>
        <w:rPr>
          <w:rFonts w:hint="eastAsia" w:ascii="宋体" w:hAnsi="宋体"/>
          <w:b/>
          <w:bCs/>
        </w:rPr>
        <w:t>）辅助功放</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双声道平衡专业功率放大器,每声道音量单独可调；</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支持2路XLR接口信号输入，2路6.35mm接口信号输入，使用更方便和灵活；</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支持三种输出方式可选选：双声道、单声道和BTL桥接；支持常用接线柱和专业SPEAKON扬声器插座（仅限于立体声工作模式）两种方式功率输出；</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采用温度补偿技术和低噪声设计，左右两侧各配置一个散热窗口，保障良好的通风散热,高温下仍然维持稳定的工作状态；</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支持整机模拟限幅式保护，即使在过载失真时也不会对您的扬声器系统造成损害；</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支持LED指示灯显示各通道工作状态，显示内容包括:电源“power”,削顶“clip”,信号“signal”,直流保护“DC”,高温“TEMP”等；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采用先进的防冲击保护设计，即使功率再大也不会对交流电网电压及音响产生冲击；</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多个功率级别的设计满足于不同场合的应用需求,额定输出/每声道,8Ω≥400W，额定输出/每声道,4Ω≥700W，额定输出/桥接,8Ω≥1400W；输入灵敏度≥1.2dBV；</w:t>
            </w:r>
          </w:p>
          <w:p>
            <w:pPr>
              <w:jc w:val="left"/>
              <w:textAlignment w:val="center"/>
              <w:rPr>
                <w:rFonts w:ascii="宋体" w:hAnsi="宋体" w:cs="宋体"/>
                <w:color w:val="000000"/>
                <w:sz w:val="20"/>
                <w:szCs w:val="20"/>
              </w:rPr>
            </w:pPr>
            <w:r>
              <w:rPr>
                <w:rFonts w:hint="eastAsia" w:ascii="宋体" w:hAnsi="宋体" w:cs="宋体"/>
                <w:color w:val="000000"/>
                <w:sz w:val="20"/>
                <w:szCs w:val="20"/>
              </w:rPr>
              <w:t>通道阻抗</w:t>
            </w:r>
            <w:r>
              <w:rPr>
                <w:rFonts w:ascii="宋体" w:hAnsi="宋体" w:cs="宋体"/>
                <w:color w:val="000000"/>
                <w:sz w:val="20"/>
                <w:szCs w:val="20"/>
              </w:rPr>
              <w:t>4-16</w:t>
            </w:r>
            <w:r>
              <w:rPr>
                <w:rFonts w:hint="eastAsia" w:ascii="微软雅黑" w:hAnsi="微软雅黑" w:eastAsia="微软雅黑" w:cs="微软雅黑"/>
                <w:color w:val="000000"/>
                <w:sz w:val="20"/>
                <w:szCs w:val="20"/>
              </w:rPr>
              <w:t>Ω</w:t>
            </w:r>
            <w:r>
              <w:rPr>
                <w:rFonts w:ascii="宋体" w:hAnsi="宋体" w:cs="宋体"/>
                <w:color w:val="000000"/>
                <w:sz w:val="20"/>
                <w:szCs w:val="20"/>
              </w:rPr>
              <w:t xml:space="preserve"> </w:t>
            </w:r>
            <w:r>
              <w:rPr>
                <w:rFonts w:hint="eastAsia" w:ascii="宋体" w:hAnsi="宋体" w:cs="宋体"/>
                <w:color w:val="000000"/>
                <w:sz w:val="20"/>
                <w:szCs w:val="20"/>
              </w:rPr>
              <w:t>；</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信噪比≥100dB；</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▲支持智能保护模式，具有短路保护、直流保护、电源通断多种保护和告警功能提供功放保护电路证书与功放故障自恢复电路证书复印件，并加盖制造商公章。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ascii="宋体" w:hAnsi="宋体" w:cs="宋体"/>
                <w:color w:val="000000"/>
                <w:sz w:val="20"/>
                <w:szCs w:val="20"/>
              </w:rPr>
              <w:t>3</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▲提供第三方检测机构出具的检测报告复印件，并加盖制造商公章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hint="eastAsia" w:ascii="宋体" w:hAnsi="宋体"/>
          <w:b/>
          <w:bCs/>
        </w:rPr>
      </w:pPr>
    </w:p>
    <w:p>
      <w:pPr>
        <w:spacing w:before="156" w:beforeLines="50" w:after="156" w:afterLines="50"/>
        <w:rPr>
          <w:rFonts w:ascii="宋体" w:hAnsi="宋体"/>
          <w:b/>
          <w:bCs/>
        </w:rPr>
      </w:pPr>
      <w:r>
        <w:rPr>
          <w:rFonts w:hint="eastAsia" w:ascii="宋体" w:hAnsi="宋体"/>
          <w:b/>
          <w:bCs/>
        </w:rPr>
        <w:t>6）主扩功放</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双声道立体声专业功率放大器，具有2两路输入电平调节旋钮，每声道音量单独可调；</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支持LED指示灯显示各通道工作状态，显示内容包括:电源“power”,削顶“clip”,信号“signal”,直流保护“DC”,高温“TEMP”等；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支持2路XLR接口音频信号输入，2路XLR接口音频信号输出；</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支持常用接线柱和专业SPEAKON扬声器插座（仅限于立体声工作模式）两种方式功率输出；</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支持三种输出方式供选择：双声道、单声道和BTL桥接，支持开关选择输出方式；</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内置高通滤波器，支持保护低音喇叭受过重的震动破坏；</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支持低频激励功能，可控制调节低频信号的量；</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支持短路保护、直流保护、电源通断多种保护和告警功能；</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立体声工作最小负载阻抗为4Ω，BTL工作最小负载阻抗为8Ω；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额定输出/每声道,8Ω≥650W</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额定输出/每声道,4Ω≥950W</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额定输出/桥接,8Ω≥1900W</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输入灵敏度:0.77V</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信噪比:≥98dB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频率响应:20Hz-20kHz（±0.5dB）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谐波失真系数4Ω/1kHz:≦0.1%</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通道阻抗:4-16Ω</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▲提供3C证书复印件，并加盖制造商公章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hint="eastAsia" w:ascii="宋体" w:hAnsi="宋体"/>
          <w:b/>
          <w:bCs/>
        </w:rPr>
      </w:pPr>
    </w:p>
    <w:p>
      <w:pPr>
        <w:spacing w:before="156" w:beforeLines="50" w:after="156" w:afterLines="50"/>
        <w:rPr>
          <w:rFonts w:ascii="宋体" w:hAnsi="宋体"/>
          <w:b/>
          <w:bCs/>
        </w:rPr>
      </w:pPr>
      <w:r>
        <w:rPr>
          <w:rFonts w:ascii="宋体" w:hAnsi="宋体"/>
          <w:b/>
          <w:bCs/>
        </w:rPr>
        <w:t>7</w:t>
      </w:r>
      <w:r>
        <w:rPr>
          <w:rFonts w:hint="eastAsia" w:ascii="宋体" w:hAnsi="宋体"/>
          <w:b/>
          <w:bCs/>
        </w:rPr>
        <w:t>）调音台</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16路XLR平衡单声通道输入、超低噪音线路设计，动态余量大。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每通道带3段均衡调节，MUTE静音开关，60MM平滑推子衰减器。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1组立体声母线，2组AUX母线输出（包括FX)。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1组返回，1组RAC输出。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内置48V幻象电源供电。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内置16种DSP数字效果器。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USB音频播放MP3；USB录音。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内置蓝牙接收播放MP3。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LED显示屏清淅显示播放状态。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十段三色电平灯显示。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XLR平衡输入话放噪声极低。 </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适用全球供电电压功率30瓦；使用灵活。具有无噪声、瞬间反应好、电耗低的特性。</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hint="eastAsia" w:ascii="宋体" w:hAnsi="宋体"/>
          <w:b/>
          <w:bCs/>
        </w:rPr>
      </w:pPr>
    </w:p>
    <w:p>
      <w:pPr>
        <w:spacing w:before="156" w:beforeLines="50" w:after="156" w:afterLines="50"/>
        <w:rPr>
          <w:rFonts w:hint="eastAsia" w:ascii="宋体" w:hAnsi="宋体"/>
          <w:b/>
          <w:bCs/>
        </w:rPr>
      </w:pPr>
    </w:p>
    <w:p>
      <w:pPr>
        <w:spacing w:before="156" w:beforeLines="50" w:after="156" w:afterLines="50"/>
        <w:rPr>
          <w:rFonts w:ascii="宋体" w:hAnsi="宋体"/>
          <w:b/>
          <w:bCs/>
        </w:rPr>
      </w:pPr>
      <w:r>
        <w:rPr>
          <w:rFonts w:ascii="宋体" w:hAnsi="宋体"/>
          <w:b/>
          <w:bCs/>
        </w:rPr>
        <w:t>8</w:t>
      </w:r>
      <w:r>
        <w:rPr>
          <w:rFonts w:hint="eastAsia" w:ascii="宋体" w:hAnsi="宋体"/>
          <w:b/>
          <w:bCs/>
        </w:rPr>
        <w:t>）数字音频处理器</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1.支持8路平衡式话筒/线路输入，8路平衡式输出，采用裸线接口端子。</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2.内置DSP音频处理，每个输入通道均包含：前级放大、信号发生器、扩展器、压缩器、5段参量均衡、自动混音台、AFC、AEC、ANC；每个输出通道均包含：8段参量均衡器、延时器、分频器、高低通滤波器、限幅器。</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3.内置高速DSP处理芯片Ti450MHzFLOPSDSP处理内核，支持120db的A/D与D/A转换，最高可达96kHz/48K采样率；</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4.支持1路RS-232双向串行控制接口，用于控制外部其它设备如：视频矩阵等RS-232设备或接收第三方RS－232控制.</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5.支持8组GPIO控制接口，可自定义编程输入输出；</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6.支持1路RJ45接口，用于数据传输及控制端口，支持平板界面操作控制；</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7.支持通道拷贝、粘贴、联控功能；</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8.支持自动混音台功能，可实现全功能矩阵混音功能。</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9.支持最少8~100组场景预设功能；</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10.支持在WindowsNT4.0／2000／XP/Windows7系统环境下安装控制软件，软件控制界面图形化设计，直观明了；</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▲需提供《数字音频处理器控制软件著作权》证书，并加盖制造商公章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3</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▲需提供中国质量认证中心出具的（CQC）检验报告复印件；并加盖制造商公章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4</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▲需提供“一种音频处理装置”技术证书，并加盖制造商公章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hint="eastAsia" w:ascii="宋体" w:hAnsi="宋体"/>
          <w:b/>
          <w:bCs/>
        </w:rPr>
      </w:pPr>
    </w:p>
    <w:p>
      <w:pPr>
        <w:spacing w:before="156" w:beforeLines="50" w:after="156" w:afterLines="50"/>
        <w:rPr>
          <w:rFonts w:ascii="宋体" w:hAnsi="宋体"/>
          <w:b/>
          <w:bCs/>
        </w:rPr>
      </w:pPr>
      <w:r>
        <w:rPr>
          <w:rFonts w:ascii="宋体" w:hAnsi="宋体"/>
          <w:b/>
          <w:bCs/>
        </w:rPr>
        <w:t>9</w:t>
      </w:r>
      <w:r>
        <w:rPr>
          <w:rFonts w:hint="eastAsia" w:ascii="宋体" w:hAnsi="宋体"/>
          <w:b/>
          <w:bCs/>
        </w:rPr>
        <w:t>）自动反馈抑制器</w:t>
      </w:r>
    </w:p>
    <w:tbl>
      <w:tblPr>
        <w:tblStyle w:val="10"/>
        <w:tblW w:w="10052" w:type="dxa"/>
        <w:jc w:val="center"/>
        <w:tblLayout w:type="fixed"/>
        <w:tblCellMar>
          <w:top w:w="15" w:type="dxa"/>
          <w:left w:w="15" w:type="dxa"/>
          <w:bottom w:w="15" w:type="dxa"/>
          <w:right w:w="15" w:type="dxa"/>
        </w:tblCellMar>
      </w:tblPr>
      <w:tblGrid>
        <w:gridCol w:w="475"/>
        <w:gridCol w:w="6644"/>
        <w:gridCol w:w="950"/>
        <w:gridCol w:w="1100"/>
        <w:gridCol w:w="883"/>
      </w:tblGrid>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技术规格要求</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偏离情况</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情况说明</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证明材料</w:t>
            </w: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采用高质量贴片元件和贴片自动焊接和在线检测工艺，内置24-bit高性能DSP处理器，保证了信号的解析度和动态范围；</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支持2×16 字符背光 LCD 显示，可同时观察到滤波器各种参数；</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支持输入或输出电平指示，2×8 个发光二极管可显示左、右声道输入或输出电平；</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支持两路输入接口和两路输出接口，提供1路XLR和1路TRS输入接口，1路XLR和≥1路TRS输出接口；</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支持64/128超取样24-bitA/D和D/A转换，可以储存≥10组数据，能满足≥10种不同情况音质控制的需要，抑制时衰减范围可低至《-48dB；</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支持每个声道≥12个频道反馈自动搜寻；单点模式自动搜寻并处理和锁定陷波频点，直到手动复位或重新设置；</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支持手动模式设置≥2×12个滤波器的所有参数，包括频率、Q值等；</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每个滤波器均有单点、自动两种模式，单点模式下可以调整频率和Q值，在自动模式下只能显示不能调整频率和Q值</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内置两个并行处理块，左右声道可单独或并联调整；</w:t>
            </w:r>
          </w:p>
          <w:p>
            <w:pPr>
              <w:jc w:val="left"/>
              <w:textAlignment w:val="center"/>
              <w:rPr>
                <w:rFonts w:hint="eastAsia" w:ascii="宋体" w:hAnsi="宋体" w:cs="宋体"/>
                <w:color w:val="000000"/>
                <w:sz w:val="20"/>
                <w:szCs w:val="20"/>
              </w:rPr>
            </w:pPr>
            <w:r>
              <w:rPr>
                <w:rFonts w:hint="eastAsia" w:ascii="宋体" w:hAnsi="宋体" w:cs="宋体"/>
                <w:color w:val="000000"/>
                <w:sz w:val="20"/>
                <w:szCs w:val="20"/>
              </w:rPr>
              <w:t>线路最大输入电平:+16dB(在+4dB额定电平时)，+2dB(在-20dB额定电平时)；线路最大输出电平:+16dB(在+4dB额定电平时),+2dB(在-20dB额定电平时)</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▲提供第三方检测机构出具的检测报告复印件，并加盖制造商公章</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r>
        <w:tblPrEx>
          <w:tblCellMar>
            <w:top w:w="15" w:type="dxa"/>
            <w:left w:w="15" w:type="dxa"/>
            <w:bottom w:w="15" w:type="dxa"/>
            <w:right w:w="15" w:type="dxa"/>
          </w:tblCellMar>
        </w:tblPrEx>
        <w:trPr>
          <w:trHeight w:val="286"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3</w:t>
            </w:r>
          </w:p>
        </w:tc>
        <w:tc>
          <w:tcPr>
            <w:tcW w:w="6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eastAsia" w:ascii="宋体" w:hAnsi="宋体" w:cs="宋体"/>
                <w:color w:val="000000"/>
                <w:sz w:val="20"/>
                <w:szCs w:val="20"/>
              </w:rPr>
            </w:pPr>
            <w:r>
              <w:rPr>
                <w:rFonts w:hint="eastAsia" w:ascii="宋体" w:hAnsi="宋体" w:cs="宋体"/>
                <w:color w:val="000000"/>
                <w:sz w:val="20"/>
                <w:szCs w:val="20"/>
              </w:rPr>
              <w:t>▲为确保产品系统的适配性以下产品：无线一拖四、辅助音箱、主扩音箱、辅助功放、主扩功放、无线话筒、无线麦克风增强型天线、天线分配器、电源时序器、调音台、数字音频处理器、自动反馈抑制器需为同一品牌。</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szCs w:val="21"/>
              </w:rPr>
            </w:pPr>
          </w:p>
        </w:tc>
      </w:tr>
    </w:tbl>
    <w:p>
      <w:pPr>
        <w:spacing w:before="156" w:beforeLines="50" w:after="156" w:afterLines="50"/>
        <w:rPr>
          <w:rFonts w:hint="eastAsia" w:ascii="宋体" w:hAnsi="宋体"/>
          <w:b/>
          <w:bCs/>
        </w:rPr>
      </w:pPr>
    </w:p>
    <w:p>
      <w:pPr>
        <w:rPr>
          <w:rFonts w:ascii="宋体" w:hAnsi="宋体" w:cs="仿宋"/>
          <w:color w:val="000000"/>
          <w:sz w:val="20"/>
          <w:szCs w:val="20"/>
        </w:rPr>
      </w:pPr>
      <w:r>
        <w:rPr>
          <w:rFonts w:hint="eastAsia" w:ascii="宋体" w:hAnsi="宋体" w:cs="仿宋"/>
          <w:color w:val="000000"/>
          <w:sz w:val="20"/>
          <w:szCs w:val="20"/>
        </w:rPr>
        <w:t>注：设备参数偏离表偏离情况栏用“正偏离”或“负偏离”或“无偏离”表示, 出现“正偏离”“负偏离”的须进行情况说明。</w:t>
      </w:r>
    </w:p>
    <w:p>
      <w:pPr>
        <w:rPr>
          <w:rFonts w:ascii="宋体" w:hAnsi="宋体" w:cs="仿宋"/>
          <w:color w:val="000000"/>
          <w:sz w:val="20"/>
          <w:szCs w:val="20"/>
        </w:rPr>
      </w:pPr>
    </w:p>
    <w:p>
      <w:pPr>
        <w:rPr>
          <w:rFonts w:ascii="宋体" w:hAnsi="宋体" w:cs="仿宋"/>
          <w:color w:val="000000"/>
          <w:sz w:val="20"/>
          <w:szCs w:val="20"/>
        </w:rPr>
      </w:pPr>
    </w:p>
    <w:p>
      <w:pPr>
        <w:jc w:val="center"/>
        <w:rPr>
          <w:rFonts w:ascii="宋体" w:hAnsi="宋体" w:cs="仿宋"/>
          <w:color w:val="000000"/>
          <w:sz w:val="20"/>
          <w:szCs w:val="20"/>
        </w:rPr>
      </w:pPr>
      <w:r>
        <w:rPr>
          <w:rFonts w:hint="eastAsia" w:ascii="宋体" w:hAnsi="宋体" w:cs="仿宋"/>
          <w:color w:val="000000"/>
          <w:sz w:val="20"/>
          <w:szCs w:val="20"/>
        </w:rPr>
        <w:t xml:space="preserve">法定代表人或全权代表签字（盖章）：________________________ </w:t>
      </w:r>
    </w:p>
    <w:p>
      <w:pPr>
        <w:pStyle w:val="3"/>
        <w:numPr>
          <w:ilvl w:val="0"/>
          <w:numId w:val="2"/>
        </w:numPr>
        <w:jc w:val="left"/>
        <w:outlineLvl w:val="0"/>
        <w:rPr>
          <w:rFonts w:hint="eastAsia" w:ascii="黑体" w:hAnsi="黑体" w:eastAsia="黑体" w:cs="黑体"/>
          <w:color w:val="000000"/>
          <w:lang w:eastAsia="zh-CN"/>
        </w:rPr>
      </w:pPr>
      <w:r>
        <w:rPr>
          <w:rFonts w:hint="eastAsia" w:ascii="宋体" w:hAnsi="宋体" w:cs="仿宋"/>
          <w:color w:val="000000"/>
          <w:sz w:val="20"/>
          <w:szCs w:val="20"/>
        </w:rPr>
        <w:br w:type="page"/>
      </w:r>
      <w:bookmarkStart w:id="69" w:name="_Toc24555"/>
      <w:bookmarkStart w:id="70" w:name="_Toc24936"/>
      <w:bookmarkStart w:id="71" w:name="_Toc13771"/>
      <w:r>
        <w:rPr>
          <w:rFonts w:hint="eastAsia" w:ascii="黑体" w:hAnsi="黑体" w:eastAsia="黑体" w:cs="黑体"/>
          <w:color w:val="000000"/>
          <w:lang w:eastAsia="zh-CN"/>
        </w:rPr>
        <w:t>科技兴海深蓝智谷孵化基地多媒体设备采购安装</w:t>
      </w:r>
      <w:r>
        <w:rPr>
          <w:rFonts w:hint="eastAsia" w:ascii="黑体" w:hAnsi="黑体" w:eastAsia="黑体" w:cs="黑体"/>
          <w:color w:val="000000"/>
        </w:rPr>
        <w:t>项目</w:t>
      </w:r>
      <w:r>
        <w:rPr>
          <w:rFonts w:hint="eastAsia" w:ascii="黑体" w:hAnsi="黑体" w:eastAsia="黑体" w:cs="黑体"/>
          <w:color w:val="000000"/>
          <w:lang w:eastAsia="zh-CN"/>
        </w:rPr>
        <w:t>评审表</w:t>
      </w:r>
      <w:bookmarkEnd w:id="69"/>
      <w:bookmarkEnd w:id="70"/>
      <w:bookmarkEnd w:id="71"/>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技术评审表</w:t>
      </w:r>
    </w:p>
    <w:tbl>
      <w:tblPr>
        <w:tblStyle w:val="10"/>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93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69" w:type="dxa"/>
            <w:shd w:val="clear" w:color="auto" w:fill="D7D7D7"/>
            <w:vAlign w:val="center"/>
          </w:tcPr>
          <w:p>
            <w:pPr>
              <w:autoSpaceDE w:val="0"/>
              <w:autoSpaceDN w:val="0"/>
              <w:spacing w:line="400" w:lineRule="atLeast"/>
              <w:jc w:val="center"/>
              <w:rPr>
                <w:rFonts w:hint="eastAsia" w:ascii="宋体" w:hAnsi="宋体" w:cs="宋体"/>
                <w:b/>
                <w:bCs/>
                <w:sz w:val="24"/>
              </w:rPr>
            </w:pPr>
            <w:r>
              <w:rPr>
                <w:rFonts w:hint="eastAsia" w:ascii="宋体" w:hAnsi="宋体" w:cs="宋体"/>
                <w:b/>
                <w:bCs/>
                <w:sz w:val="24"/>
              </w:rPr>
              <w:t>评审因素</w:t>
            </w:r>
          </w:p>
        </w:tc>
        <w:tc>
          <w:tcPr>
            <w:tcW w:w="936" w:type="dxa"/>
            <w:shd w:val="clear" w:color="auto" w:fill="D7D7D7"/>
            <w:vAlign w:val="center"/>
          </w:tcPr>
          <w:p>
            <w:pPr>
              <w:autoSpaceDE w:val="0"/>
              <w:autoSpaceDN w:val="0"/>
              <w:spacing w:line="400" w:lineRule="atLeast"/>
              <w:jc w:val="center"/>
              <w:rPr>
                <w:rFonts w:hint="eastAsia" w:ascii="宋体" w:hAnsi="宋体" w:cs="宋体"/>
                <w:b/>
                <w:bCs/>
                <w:sz w:val="24"/>
              </w:rPr>
            </w:pPr>
            <w:r>
              <w:rPr>
                <w:rFonts w:hint="eastAsia" w:ascii="宋体" w:hAnsi="宋体" w:cs="宋体"/>
                <w:b/>
                <w:bCs/>
                <w:sz w:val="24"/>
              </w:rPr>
              <w:t>分值</w:t>
            </w:r>
          </w:p>
        </w:tc>
        <w:tc>
          <w:tcPr>
            <w:tcW w:w="5088" w:type="dxa"/>
            <w:shd w:val="clear" w:color="auto" w:fill="D7D7D7"/>
            <w:vAlign w:val="center"/>
          </w:tcPr>
          <w:p>
            <w:pPr>
              <w:autoSpaceDE w:val="0"/>
              <w:autoSpaceDN w:val="0"/>
              <w:spacing w:line="400" w:lineRule="atLeast"/>
              <w:rPr>
                <w:rFonts w:hint="eastAsia" w:ascii="宋体" w:hAnsi="宋体" w:cs="宋体"/>
                <w:b/>
                <w:bCs/>
                <w:sz w:val="24"/>
              </w:rPr>
            </w:pPr>
            <w:r>
              <w:rPr>
                <w:rFonts w:hint="eastAsia" w:ascii="宋体" w:hAnsi="宋体" w:cs="宋体"/>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pPr>
              <w:pStyle w:val="15"/>
              <w:adjustRightInd/>
              <w:spacing w:before="194" w:line="400" w:lineRule="atLeast"/>
              <w:ind w:left="96"/>
              <w:jc w:val="center"/>
              <w:rPr>
                <w:rFonts w:hint="eastAsia" w:hAnsi="宋体"/>
                <w:i/>
              </w:rPr>
            </w:pPr>
            <w:r>
              <w:rPr>
                <w:rFonts w:hint="eastAsia" w:hAnsi="宋体"/>
              </w:rPr>
              <w:t>设计及集成技术方案情况</w:t>
            </w:r>
          </w:p>
        </w:tc>
        <w:tc>
          <w:tcPr>
            <w:tcW w:w="936" w:type="dxa"/>
            <w:vAlign w:val="center"/>
          </w:tcPr>
          <w:p>
            <w:pPr>
              <w:autoSpaceDE w:val="0"/>
              <w:autoSpaceDN w:val="0"/>
              <w:spacing w:line="400" w:lineRule="atLeast"/>
              <w:jc w:val="center"/>
              <w:rPr>
                <w:rFonts w:hint="eastAsia" w:ascii="宋体" w:hAnsi="宋体" w:cs="宋体"/>
                <w:i/>
                <w:sz w:val="24"/>
              </w:rPr>
            </w:pPr>
            <w:r>
              <w:rPr>
                <w:rFonts w:hint="eastAsia" w:ascii="宋体" w:hAnsi="宋体" w:cs="宋体"/>
                <w:sz w:val="24"/>
              </w:rPr>
              <w:t>8</w:t>
            </w:r>
            <w:r>
              <w:rPr>
                <w:rFonts w:hint="eastAsia" w:ascii="宋体" w:hAnsi="宋体" w:cs="宋体"/>
                <w:w w:val="110"/>
                <w:sz w:val="24"/>
              </w:rPr>
              <w:t>分</w:t>
            </w:r>
          </w:p>
        </w:tc>
        <w:tc>
          <w:tcPr>
            <w:tcW w:w="5088" w:type="dxa"/>
            <w:vAlign w:val="center"/>
          </w:tcPr>
          <w:p>
            <w:pPr>
              <w:numPr>
                <w:ilvl w:val="0"/>
                <w:numId w:val="3"/>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方案对项目理解深入透彻，对建设重点难点掌握充分，集成及应用考虑周全，阐述框架清晰分明，满足且优于用户需求的得8分；</w:t>
            </w:r>
          </w:p>
          <w:p>
            <w:pPr>
              <w:numPr>
                <w:ilvl w:val="0"/>
                <w:numId w:val="3"/>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集成方案对项目理解较为深入，对建设重点难点较为掌握，集成及应用设计较详细周全，阐述框架较清晰分明，完全满足用户需求的得4分；</w:t>
            </w:r>
          </w:p>
          <w:p>
            <w:pPr>
              <w:numPr>
                <w:ilvl w:val="0"/>
                <w:numId w:val="3"/>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集成方案对项目基本理解，对建设重点难点基本掌握，集成及应用设计基本满足，阐述框架基本清晰分明，不完全满足用户需求的得2分；</w:t>
            </w:r>
          </w:p>
          <w:p>
            <w:pPr>
              <w:numPr>
                <w:ilvl w:val="0"/>
                <w:numId w:val="3"/>
              </w:numPr>
              <w:autoSpaceDE w:val="0"/>
              <w:autoSpaceDN w:val="0"/>
              <w:spacing w:line="400" w:lineRule="atLeast"/>
              <w:ind w:left="240" w:hanging="240" w:hangingChars="100"/>
              <w:rPr>
                <w:rFonts w:hint="eastAsia" w:ascii="宋体" w:hAnsi="宋体" w:cs="宋体"/>
                <w:i/>
                <w:sz w:val="24"/>
              </w:rPr>
            </w:pPr>
            <w:r>
              <w:rPr>
                <w:rFonts w:hint="eastAsia" w:ascii="宋体" w:hAnsi="宋体" w:cs="宋体"/>
                <w:sz w:val="24"/>
                <w:lang w:eastAsia="zh-CN"/>
              </w:rPr>
              <w:t>无相关方案</w:t>
            </w:r>
            <w:r>
              <w:rPr>
                <w:rFonts w:hint="eastAsia" w:ascii="宋体" w:hAnsi="宋体" w:cs="宋体"/>
                <w:sz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pPr>
              <w:pStyle w:val="16"/>
              <w:spacing w:line="400" w:lineRule="atLeast"/>
              <w:jc w:val="center"/>
              <w:rPr>
                <w:rFonts w:hint="eastAsia" w:hAnsi="宋体" w:cs="宋体"/>
                <w:i/>
              </w:rPr>
            </w:pPr>
            <w:r>
              <w:rPr>
                <w:rStyle w:val="17"/>
                <w:rFonts w:hAnsi="宋体"/>
                <w:spacing w:val="1"/>
              </w:rPr>
              <w:t>设备技术性能指标</w:t>
            </w:r>
          </w:p>
        </w:tc>
        <w:tc>
          <w:tcPr>
            <w:tcW w:w="936" w:type="dxa"/>
            <w:vAlign w:val="center"/>
          </w:tcPr>
          <w:p>
            <w:pPr>
              <w:spacing w:line="400" w:lineRule="atLeast"/>
              <w:jc w:val="center"/>
              <w:rPr>
                <w:rFonts w:hint="eastAsia" w:ascii="宋体" w:hAnsi="宋体" w:cs="宋体"/>
                <w:i/>
                <w:sz w:val="24"/>
              </w:rPr>
            </w:pPr>
            <w:r>
              <w:rPr>
                <w:rStyle w:val="17"/>
                <w:rFonts w:ascii="宋体" w:hAnsi="宋体"/>
                <w:sz w:val="24"/>
              </w:rPr>
              <w:t>30分</w:t>
            </w:r>
          </w:p>
        </w:tc>
        <w:tc>
          <w:tcPr>
            <w:tcW w:w="5088" w:type="dxa"/>
            <w:vAlign w:val="center"/>
          </w:tcPr>
          <w:p>
            <w:pPr>
              <w:pStyle w:val="18"/>
              <w:spacing w:line="400" w:lineRule="atLeast"/>
              <w:ind w:firstLine="0" w:firstLineChars="0"/>
              <w:rPr>
                <w:rStyle w:val="17"/>
                <w:rFonts w:ascii="宋体" w:hAnsi="宋体"/>
                <w:kern w:val="0"/>
                <w:sz w:val="24"/>
              </w:rPr>
            </w:pPr>
            <w:r>
              <w:rPr>
                <w:rStyle w:val="17"/>
                <w:rFonts w:hint="eastAsia" w:ascii="宋体" w:hAnsi="宋体"/>
                <w:kern w:val="0"/>
                <w:sz w:val="24"/>
              </w:rPr>
              <w:t>根据各投标人所投产品对</w:t>
            </w:r>
            <w:r>
              <w:rPr>
                <w:rStyle w:val="17"/>
                <w:rFonts w:hint="eastAsia" w:ascii="宋体" w:hAnsi="宋体"/>
                <w:kern w:val="0"/>
                <w:sz w:val="24"/>
                <w:lang w:eastAsia="zh-CN"/>
              </w:rPr>
              <w:t>“核心技术参数偏离表”</w:t>
            </w:r>
            <w:r>
              <w:rPr>
                <w:rStyle w:val="17"/>
                <w:rFonts w:hint="eastAsia" w:ascii="宋体" w:hAnsi="宋体"/>
                <w:kern w:val="0"/>
                <w:sz w:val="24"/>
              </w:rPr>
              <w:t>的对应响应情况进行综合评审：</w:t>
            </w:r>
          </w:p>
          <w:p>
            <w:pPr>
              <w:pStyle w:val="18"/>
              <w:numPr>
                <w:ilvl w:val="0"/>
                <w:numId w:val="4"/>
              </w:numPr>
              <w:spacing w:line="400" w:lineRule="atLeast"/>
              <w:ind w:firstLineChars="0"/>
              <w:rPr>
                <w:rStyle w:val="17"/>
                <w:rFonts w:ascii="宋体" w:hAnsi="宋体"/>
                <w:kern w:val="0"/>
                <w:sz w:val="24"/>
              </w:rPr>
            </w:pPr>
            <w:r>
              <w:rPr>
                <w:rStyle w:val="17"/>
                <w:rFonts w:ascii="宋体" w:hAnsi="宋体"/>
                <w:kern w:val="0"/>
                <w:sz w:val="24"/>
              </w:rPr>
              <w:t>对带“▲”的技术要求进行逐一响应，本小项共20</w:t>
            </w:r>
            <w:r>
              <w:rPr>
                <w:rStyle w:val="17"/>
                <w:rFonts w:hint="eastAsia" w:ascii="宋体" w:hAnsi="宋体"/>
                <w:kern w:val="0"/>
                <w:sz w:val="24"/>
              </w:rPr>
              <w:t>分：</w:t>
            </w:r>
          </w:p>
          <w:p>
            <w:pPr>
              <w:pStyle w:val="18"/>
              <w:spacing w:line="400" w:lineRule="atLeast"/>
              <w:ind w:left="248" w:firstLine="0" w:firstLineChars="0"/>
              <w:rPr>
                <w:rStyle w:val="17"/>
                <w:rFonts w:ascii="宋体" w:hAnsi="宋体"/>
                <w:kern w:val="0"/>
                <w:sz w:val="24"/>
              </w:rPr>
            </w:pPr>
            <w:r>
              <w:rPr>
                <w:rStyle w:val="17"/>
                <w:rFonts w:hint="eastAsia" w:ascii="宋体" w:hAnsi="宋体"/>
                <w:kern w:val="0"/>
                <w:sz w:val="24"/>
              </w:rPr>
              <w:t>无负偏离则得满分；</w:t>
            </w:r>
          </w:p>
          <w:p>
            <w:pPr>
              <w:pStyle w:val="18"/>
              <w:spacing w:line="400" w:lineRule="atLeast"/>
              <w:ind w:left="248" w:firstLine="0" w:firstLineChars="0"/>
              <w:rPr>
                <w:rStyle w:val="17"/>
                <w:rFonts w:ascii="宋体" w:hAnsi="宋体"/>
                <w:kern w:val="0"/>
                <w:sz w:val="24"/>
              </w:rPr>
            </w:pPr>
            <w:r>
              <w:rPr>
                <w:rStyle w:val="17"/>
                <w:rFonts w:hint="eastAsia" w:ascii="宋体" w:hAnsi="宋体"/>
                <w:kern w:val="0"/>
                <w:sz w:val="24"/>
              </w:rPr>
              <w:t>负偏离</w:t>
            </w:r>
            <w:r>
              <w:rPr>
                <w:rStyle w:val="17"/>
                <w:rFonts w:ascii="宋体" w:hAnsi="宋体"/>
                <w:kern w:val="0"/>
                <w:sz w:val="24"/>
              </w:rPr>
              <w:t>1</w:t>
            </w:r>
            <w:r>
              <w:rPr>
                <w:rStyle w:val="17"/>
                <w:rFonts w:hint="eastAsia" w:ascii="宋体" w:hAnsi="宋体"/>
                <w:kern w:val="0"/>
                <w:sz w:val="24"/>
              </w:rPr>
              <w:t>-</w:t>
            </w:r>
            <w:r>
              <w:rPr>
                <w:rStyle w:val="17"/>
                <w:rFonts w:ascii="宋体" w:hAnsi="宋体"/>
                <w:kern w:val="0"/>
                <w:sz w:val="24"/>
              </w:rPr>
              <w:t>3</w:t>
            </w:r>
            <w:r>
              <w:rPr>
                <w:rStyle w:val="17"/>
                <w:rFonts w:hint="eastAsia" w:ascii="宋体" w:hAnsi="宋体"/>
                <w:kern w:val="0"/>
                <w:sz w:val="24"/>
              </w:rPr>
              <w:t>项的，得</w:t>
            </w:r>
            <w:r>
              <w:rPr>
                <w:rStyle w:val="17"/>
                <w:rFonts w:ascii="宋体" w:hAnsi="宋体"/>
                <w:kern w:val="0"/>
                <w:sz w:val="24"/>
              </w:rPr>
              <w:t>1</w:t>
            </w:r>
            <w:r>
              <w:rPr>
                <w:rStyle w:val="17"/>
                <w:rFonts w:hint="eastAsia" w:ascii="宋体" w:hAnsi="宋体"/>
                <w:kern w:val="0"/>
                <w:sz w:val="24"/>
              </w:rPr>
              <w:t>2分；</w:t>
            </w:r>
          </w:p>
          <w:p>
            <w:pPr>
              <w:pStyle w:val="18"/>
              <w:spacing w:line="400" w:lineRule="atLeast"/>
              <w:ind w:left="248" w:firstLine="0" w:firstLineChars="0"/>
              <w:rPr>
                <w:rStyle w:val="17"/>
                <w:rFonts w:ascii="宋体" w:hAnsi="宋体"/>
                <w:kern w:val="0"/>
                <w:sz w:val="24"/>
              </w:rPr>
            </w:pPr>
            <w:r>
              <w:rPr>
                <w:rStyle w:val="17"/>
                <w:rFonts w:hint="eastAsia" w:ascii="宋体" w:hAnsi="宋体"/>
                <w:kern w:val="0"/>
                <w:sz w:val="24"/>
              </w:rPr>
              <w:t>负偏离</w:t>
            </w:r>
            <w:r>
              <w:rPr>
                <w:rStyle w:val="17"/>
                <w:rFonts w:ascii="宋体" w:hAnsi="宋体"/>
                <w:kern w:val="0"/>
                <w:sz w:val="24"/>
              </w:rPr>
              <w:t>4</w:t>
            </w:r>
            <w:r>
              <w:rPr>
                <w:rStyle w:val="17"/>
                <w:rFonts w:hint="eastAsia" w:ascii="宋体" w:hAnsi="宋体"/>
                <w:kern w:val="0"/>
                <w:sz w:val="24"/>
              </w:rPr>
              <w:t>-</w:t>
            </w:r>
            <w:r>
              <w:rPr>
                <w:rStyle w:val="17"/>
                <w:rFonts w:ascii="宋体" w:hAnsi="宋体"/>
                <w:kern w:val="0"/>
                <w:sz w:val="24"/>
              </w:rPr>
              <w:t>6</w:t>
            </w:r>
            <w:r>
              <w:rPr>
                <w:rStyle w:val="17"/>
                <w:rFonts w:hint="eastAsia" w:ascii="宋体" w:hAnsi="宋体"/>
                <w:kern w:val="0"/>
                <w:sz w:val="24"/>
              </w:rPr>
              <w:t>项的，得7分；</w:t>
            </w:r>
          </w:p>
          <w:p>
            <w:pPr>
              <w:pStyle w:val="18"/>
              <w:spacing w:line="400" w:lineRule="atLeast"/>
              <w:ind w:left="248" w:firstLine="0" w:firstLineChars="0"/>
              <w:rPr>
                <w:rStyle w:val="17"/>
                <w:rFonts w:ascii="宋体" w:hAnsi="宋体"/>
                <w:kern w:val="0"/>
                <w:sz w:val="24"/>
              </w:rPr>
            </w:pPr>
            <w:r>
              <w:rPr>
                <w:rStyle w:val="17"/>
                <w:rFonts w:hint="eastAsia" w:ascii="宋体" w:hAnsi="宋体"/>
                <w:kern w:val="0"/>
                <w:sz w:val="24"/>
              </w:rPr>
              <w:t>负偏离</w:t>
            </w:r>
            <w:r>
              <w:rPr>
                <w:rStyle w:val="17"/>
                <w:rFonts w:ascii="宋体" w:hAnsi="宋体"/>
                <w:kern w:val="0"/>
                <w:sz w:val="24"/>
              </w:rPr>
              <w:t>7</w:t>
            </w:r>
            <w:r>
              <w:rPr>
                <w:rStyle w:val="17"/>
                <w:rFonts w:hint="eastAsia" w:ascii="宋体" w:hAnsi="宋体"/>
                <w:kern w:val="0"/>
                <w:sz w:val="24"/>
              </w:rPr>
              <w:t>项或以上的，不得分。</w:t>
            </w:r>
          </w:p>
          <w:p>
            <w:pPr>
              <w:pStyle w:val="18"/>
              <w:numPr>
                <w:ilvl w:val="0"/>
                <w:numId w:val="4"/>
              </w:numPr>
              <w:spacing w:line="400" w:lineRule="atLeast"/>
              <w:ind w:firstLineChars="0"/>
              <w:rPr>
                <w:rStyle w:val="17"/>
                <w:rFonts w:ascii="宋体" w:hAnsi="宋体"/>
                <w:i/>
                <w:color w:val="000000"/>
                <w:sz w:val="24"/>
              </w:rPr>
            </w:pPr>
            <w:r>
              <w:rPr>
                <w:rStyle w:val="17"/>
                <w:rFonts w:hint="eastAsia" w:ascii="宋体" w:hAnsi="宋体"/>
                <w:kern w:val="0"/>
                <w:sz w:val="24"/>
              </w:rPr>
              <w:t>对非带“▲”的技术要求进行逐一响应，本小项共10分：</w:t>
            </w:r>
          </w:p>
          <w:p>
            <w:pPr>
              <w:pStyle w:val="18"/>
              <w:spacing w:line="400" w:lineRule="atLeast"/>
              <w:ind w:left="248" w:firstLine="0" w:firstLineChars="0"/>
              <w:rPr>
                <w:rStyle w:val="17"/>
                <w:rFonts w:hint="eastAsia" w:ascii="宋体" w:hAnsi="宋体"/>
                <w:kern w:val="0"/>
                <w:sz w:val="24"/>
              </w:rPr>
            </w:pPr>
            <w:r>
              <w:rPr>
                <w:rStyle w:val="17"/>
                <w:rFonts w:hint="eastAsia" w:ascii="宋体" w:hAnsi="宋体"/>
                <w:kern w:val="0"/>
                <w:sz w:val="24"/>
              </w:rPr>
              <w:t>无负偏离则得满分；</w:t>
            </w:r>
          </w:p>
          <w:p>
            <w:pPr>
              <w:pStyle w:val="18"/>
              <w:spacing w:line="400" w:lineRule="atLeast"/>
              <w:ind w:firstLine="240" w:firstLineChars="100"/>
              <w:rPr>
                <w:rStyle w:val="17"/>
                <w:rFonts w:hint="eastAsia" w:ascii="宋体" w:hAnsi="宋体"/>
                <w:kern w:val="0"/>
                <w:sz w:val="24"/>
              </w:rPr>
            </w:pPr>
            <w:r>
              <w:rPr>
                <w:rStyle w:val="17"/>
                <w:rFonts w:hint="eastAsia" w:ascii="宋体" w:hAnsi="宋体"/>
                <w:kern w:val="0"/>
                <w:sz w:val="24"/>
              </w:rPr>
              <w:t>负偏离1-4项的，得7分；</w:t>
            </w:r>
          </w:p>
          <w:p>
            <w:pPr>
              <w:pStyle w:val="18"/>
              <w:spacing w:line="400" w:lineRule="atLeast"/>
              <w:ind w:firstLine="240" w:firstLineChars="100"/>
              <w:rPr>
                <w:rStyle w:val="17"/>
                <w:rFonts w:hint="eastAsia" w:ascii="宋体" w:hAnsi="宋体"/>
                <w:kern w:val="0"/>
                <w:sz w:val="24"/>
              </w:rPr>
            </w:pPr>
            <w:r>
              <w:rPr>
                <w:rStyle w:val="17"/>
                <w:rFonts w:hint="eastAsia" w:ascii="宋体" w:hAnsi="宋体"/>
                <w:kern w:val="0"/>
                <w:sz w:val="24"/>
              </w:rPr>
              <w:t>负偏离5-9项的，得5分；</w:t>
            </w:r>
          </w:p>
          <w:p>
            <w:pPr>
              <w:pStyle w:val="18"/>
              <w:spacing w:line="400" w:lineRule="atLeast"/>
              <w:ind w:firstLine="240" w:firstLineChars="100"/>
              <w:rPr>
                <w:rStyle w:val="17"/>
                <w:rFonts w:hint="eastAsia" w:ascii="宋体" w:hAnsi="宋体"/>
                <w:kern w:val="0"/>
                <w:sz w:val="24"/>
              </w:rPr>
            </w:pPr>
            <w:r>
              <w:rPr>
                <w:rStyle w:val="17"/>
                <w:rFonts w:hint="eastAsia" w:ascii="宋体" w:hAnsi="宋体"/>
                <w:kern w:val="0"/>
                <w:sz w:val="24"/>
              </w:rPr>
              <w:t>负偏离10-15项的，得3分；</w:t>
            </w:r>
          </w:p>
          <w:p>
            <w:pPr>
              <w:pStyle w:val="18"/>
              <w:spacing w:line="400" w:lineRule="atLeast"/>
              <w:ind w:firstLine="240" w:firstLineChars="100"/>
              <w:rPr>
                <w:rFonts w:hint="eastAsia" w:ascii="宋体" w:hAnsi="宋体" w:cs="宋体"/>
                <w:i/>
                <w:sz w:val="24"/>
              </w:rPr>
            </w:pPr>
            <w:r>
              <w:rPr>
                <w:rStyle w:val="17"/>
                <w:rFonts w:hint="eastAsia" w:ascii="宋体" w:hAnsi="宋体"/>
                <w:kern w:val="0"/>
                <w:sz w:val="24"/>
              </w:rPr>
              <w:t>负偏离16项或以上的，不得分。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pPr>
              <w:pStyle w:val="16"/>
              <w:spacing w:line="400" w:lineRule="atLeast"/>
              <w:jc w:val="center"/>
              <w:rPr>
                <w:rFonts w:hint="eastAsia" w:hAnsi="宋体" w:cs="宋体"/>
                <w:i/>
              </w:rPr>
            </w:pPr>
            <w:r>
              <w:rPr>
                <w:rStyle w:val="17"/>
                <w:rFonts w:hAnsi="宋体"/>
                <w:spacing w:val="1"/>
              </w:rPr>
              <w:t>实施方案</w:t>
            </w:r>
          </w:p>
        </w:tc>
        <w:tc>
          <w:tcPr>
            <w:tcW w:w="936" w:type="dxa"/>
            <w:vAlign w:val="center"/>
          </w:tcPr>
          <w:p>
            <w:pPr>
              <w:spacing w:line="400" w:lineRule="atLeast"/>
              <w:jc w:val="center"/>
              <w:rPr>
                <w:rFonts w:hint="eastAsia" w:ascii="宋体" w:hAnsi="宋体" w:cs="宋体"/>
                <w:i/>
                <w:sz w:val="24"/>
              </w:rPr>
            </w:pPr>
            <w:r>
              <w:rPr>
                <w:rStyle w:val="17"/>
                <w:rFonts w:ascii="宋体" w:hAnsi="宋体"/>
                <w:sz w:val="24"/>
              </w:rPr>
              <w:t>8分</w:t>
            </w:r>
          </w:p>
        </w:tc>
        <w:tc>
          <w:tcPr>
            <w:tcW w:w="5088" w:type="dxa"/>
            <w:vAlign w:val="center"/>
          </w:tcPr>
          <w:p>
            <w:pPr>
              <w:pStyle w:val="16"/>
              <w:spacing w:before="58" w:line="400" w:lineRule="atLeast"/>
              <w:ind w:right="255"/>
              <w:jc w:val="both"/>
              <w:rPr>
                <w:rStyle w:val="17"/>
                <w:rFonts w:hAnsi="宋体"/>
              </w:rPr>
            </w:pPr>
            <w:r>
              <w:rPr>
                <w:rStyle w:val="17"/>
                <w:rFonts w:hAnsi="宋体"/>
              </w:rPr>
              <w:t>根据项目实际情况制定实施方案（考核建设实施重点难点、实施方案的合理性；工期安排的合理性；</w:t>
            </w:r>
            <w:r>
              <w:rPr>
                <w:rStyle w:val="17"/>
                <w:rFonts w:hint="eastAsia" w:hAnsi="宋体"/>
              </w:rPr>
              <w:t>实施</w:t>
            </w:r>
            <w:r>
              <w:rPr>
                <w:rStyle w:val="17"/>
                <w:rFonts w:hAnsi="宋体"/>
              </w:rPr>
              <w:t>组织的科学性；验收的可操作性）进行综合评审。</w:t>
            </w:r>
          </w:p>
          <w:p>
            <w:pPr>
              <w:numPr>
                <w:ilvl w:val="0"/>
                <w:numId w:val="5"/>
              </w:numPr>
              <w:spacing w:line="400" w:lineRule="atLeast"/>
              <w:ind w:left="240" w:hanging="240"/>
              <w:rPr>
                <w:rStyle w:val="17"/>
                <w:rFonts w:ascii="宋体" w:hAnsi="宋体"/>
                <w:sz w:val="24"/>
              </w:rPr>
            </w:pPr>
            <w:r>
              <w:rPr>
                <w:rStyle w:val="17"/>
                <w:rFonts w:ascii="宋体" w:hAnsi="宋体"/>
                <w:sz w:val="24"/>
              </w:rPr>
              <w:t>实施方案考虑周全，对现场有充分评估和考虑，进度计划安排合理，科学组织，验收可操作性强，满足且优于用户需求的得8分；</w:t>
            </w:r>
          </w:p>
          <w:p>
            <w:pPr>
              <w:numPr>
                <w:ilvl w:val="0"/>
                <w:numId w:val="5"/>
              </w:numPr>
              <w:spacing w:line="400" w:lineRule="atLeast"/>
              <w:ind w:left="240" w:hanging="240"/>
              <w:rPr>
                <w:rStyle w:val="17"/>
                <w:rFonts w:ascii="宋体" w:hAnsi="宋体"/>
                <w:sz w:val="24"/>
              </w:rPr>
            </w:pPr>
            <w:r>
              <w:rPr>
                <w:rStyle w:val="17"/>
                <w:rFonts w:ascii="宋体" w:hAnsi="宋体"/>
                <w:sz w:val="24"/>
              </w:rPr>
              <w:t>实施方案考虑较为周全，对现场有较好评估和考虑，进度计划安排较为合理，科学组织，验收可操作性较好，完全满足用户需求的得5分；</w:t>
            </w:r>
          </w:p>
          <w:p>
            <w:pPr>
              <w:numPr>
                <w:ilvl w:val="0"/>
                <w:numId w:val="5"/>
              </w:numPr>
              <w:spacing w:line="400" w:lineRule="atLeast"/>
              <w:ind w:left="240" w:hanging="240"/>
              <w:rPr>
                <w:rStyle w:val="17"/>
                <w:rFonts w:ascii="宋体" w:hAnsi="宋体"/>
                <w:sz w:val="24"/>
              </w:rPr>
            </w:pPr>
            <w:r>
              <w:rPr>
                <w:rStyle w:val="17"/>
                <w:rFonts w:ascii="宋体" w:hAnsi="宋体"/>
                <w:sz w:val="24"/>
              </w:rPr>
              <w:t>实施方案考虑一般，对现场评估和考虑一般，进度计划安排合理性一般，验收可操作性一般，不完全满足用户需求的2分；</w:t>
            </w:r>
          </w:p>
          <w:p>
            <w:pPr>
              <w:numPr>
                <w:ilvl w:val="0"/>
                <w:numId w:val="5"/>
              </w:numPr>
              <w:spacing w:line="400" w:lineRule="atLeast"/>
              <w:ind w:left="240" w:hanging="240"/>
              <w:rPr>
                <w:rFonts w:hint="eastAsia" w:ascii="宋体" w:hAnsi="宋体" w:cs="宋体"/>
                <w:i/>
                <w:sz w:val="24"/>
              </w:rPr>
            </w:pPr>
            <w:r>
              <w:rPr>
                <w:rStyle w:val="17"/>
                <w:rFonts w:ascii="宋体" w:hAnsi="宋体"/>
                <w:sz w:val="24"/>
              </w:rPr>
              <w:t>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pPr>
              <w:pStyle w:val="15"/>
              <w:adjustRightInd/>
              <w:spacing w:line="400" w:lineRule="atLeast"/>
              <w:jc w:val="center"/>
              <w:rPr>
                <w:rFonts w:hint="eastAsia" w:hAnsi="宋体"/>
              </w:rPr>
            </w:pPr>
            <w:r>
              <w:rPr>
                <w:rFonts w:hint="eastAsia" w:hAnsi="宋体"/>
              </w:rPr>
              <w:t>售后服务方案</w:t>
            </w:r>
          </w:p>
        </w:tc>
        <w:tc>
          <w:tcPr>
            <w:tcW w:w="936" w:type="dxa"/>
            <w:vAlign w:val="center"/>
          </w:tcPr>
          <w:p>
            <w:pPr>
              <w:autoSpaceDE w:val="0"/>
              <w:autoSpaceDN w:val="0"/>
              <w:spacing w:line="400" w:lineRule="atLeast"/>
              <w:jc w:val="center"/>
              <w:rPr>
                <w:rFonts w:hint="eastAsia" w:ascii="宋体" w:hAnsi="宋体" w:cs="宋体"/>
                <w:sz w:val="24"/>
              </w:rPr>
            </w:pPr>
            <w:r>
              <w:rPr>
                <w:rFonts w:hint="eastAsia" w:ascii="宋体" w:hAnsi="宋体" w:cs="宋体"/>
                <w:sz w:val="24"/>
              </w:rPr>
              <w:t>4分</w:t>
            </w:r>
          </w:p>
        </w:tc>
        <w:tc>
          <w:tcPr>
            <w:tcW w:w="5088" w:type="dxa"/>
            <w:vAlign w:val="center"/>
          </w:tcPr>
          <w:p>
            <w:pPr>
              <w:numPr>
                <w:ilvl w:val="0"/>
                <w:numId w:val="6"/>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满足用户需求书中的要求，技术服务响应内容切合实际，有完善的售后服务网络，提供针对性、优异的售后服务方案；技术服务的保证措施、质保期、培训等能力强，重点产品提供制造商本项目售后服务承诺函，满足且优于用户需求的得4分；</w:t>
            </w:r>
          </w:p>
          <w:p>
            <w:pPr>
              <w:numPr>
                <w:ilvl w:val="0"/>
                <w:numId w:val="6"/>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技术服务响应内容较切合实际，有较完善的售后服务网络，提供较有针对性、优异的售后服务方案；安装调试、技术服务的保证措施、质保期、培训等能力较强，重点产品提供制造商本项目售后服务承诺函，完全满足用户需求的得2分；</w:t>
            </w:r>
          </w:p>
          <w:p>
            <w:pPr>
              <w:numPr>
                <w:ilvl w:val="0"/>
                <w:numId w:val="6"/>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技术服务响应内容基本切合实际，售后服务网络和服务方案较一般；安装调试、技术服务的保证措施、质保期、培训等能力较一般，不完全满足用户需求的得0.5分；</w:t>
            </w:r>
          </w:p>
          <w:p>
            <w:pPr>
              <w:numPr>
                <w:ilvl w:val="0"/>
                <w:numId w:val="6"/>
              </w:numPr>
              <w:autoSpaceDE w:val="0"/>
              <w:autoSpaceDN w:val="0"/>
              <w:spacing w:line="400" w:lineRule="atLeast"/>
              <w:ind w:left="240" w:hanging="240" w:hangingChars="100"/>
              <w:rPr>
                <w:rFonts w:hint="eastAsia" w:ascii="宋体" w:hAnsi="宋体" w:cs="宋体"/>
                <w:sz w:val="24"/>
              </w:rPr>
            </w:pPr>
            <w:r>
              <w:rPr>
                <w:rFonts w:hint="eastAsia" w:ascii="宋体" w:hAnsi="宋体" w:cs="宋体"/>
                <w:sz w:val="24"/>
              </w:rPr>
              <w:t>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9" w:type="dxa"/>
            <w:vAlign w:val="center"/>
          </w:tcPr>
          <w:p>
            <w:pPr>
              <w:autoSpaceDE w:val="0"/>
              <w:autoSpaceDN w:val="0"/>
              <w:spacing w:line="400" w:lineRule="atLeast"/>
              <w:jc w:val="center"/>
              <w:rPr>
                <w:rFonts w:hint="eastAsia" w:ascii="宋体" w:hAnsi="宋体"/>
                <w:sz w:val="24"/>
              </w:rPr>
            </w:pPr>
            <w:r>
              <w:rPr>
                <w:rFonts w:hint="eastAsia" w:ascii="宋体" w:hAnsi="宋体"/>
                <w:sz w:val="24"/>
              </w:rPr>
              <w:t>合计</w:t>
            </w:r>
          </w:p>
        </w:tc>
        <w:tc>
          <w:tcPr>
            <w:tcW w:w="936" w:type="dxa"/>
            <w:vAlign w:val="center"/>
          </w:tcPr>
          <w:p>
            <w:pPr>
              <w:autoSpaceDE w:val="0"/>
              <w:autoSpaceDN w:val="0"/>
              <w:spacing w:line="400" w:lineRule="atLeast"/>
              <w:jc w:val="center"/>
              <w:rPr>
                <w:rFonts w:ascii="宋体" w:hAnsi="宋体"/>
                <w:sz w:val="24"/>
              </w:rPr>
            </w:pPr>
            <w:r>
              <w:rPr>
                <w:rFonts w:hint="eastAsia" w:ascii="宋体" w:hAnsi="宋体"/>
                <w:sz w:val="24"/>
              </w:rPr>
              <w:t>50分</w:t>
            </w:r>
          </w:p>
        </w:tc>
        <w:tc>
          <w:tcPr>
            <w:tcW w:w="5088" w:type="dxa"/>
            <w:vAlign w:val="center"/>
          </w:tcPr>
          <w:p>
            <w:pPr>
              <w:autoSpaceDE w:val="0"/>
              <w:autoSpaceDN w:val="0"/>
              <w:spacing w:line="400" w:lineRule="atLeast"/>
              <w:rPr>
                <w:rFonts w:hint="eastAsia" w:ascii="宋体" w:hAnsi="宋体"/>
                <w:sz w:val="24"/>
              </w:rPr>
            </w:pPr>
          </w:p>
        </w:tc>
      </w:tr>
    </w:tbl>
    <w:p>
      <w:pPr>
        <w:pStyle w:val="19"/>
        <w:spacing w:line="360" w:lineRule="auto"/>
        <w:rPr>
          <w:rFonts w:hint="eastAsia" w:ascii="宋体" w:hAnsi="宋体"/>
          <w:sz w:val="24"/>
          <w:szCs w:val="24"/>
        </w:rPr>
      </w:pPr>
      <w:r>
        <w:rPr>
          <w:rFonts w:hint="eastAsia" w:ascii="宋体" w:hAnsi="宋体"/>
          <w:sz w:val="24"/>
          <w:szCs w:val="24"/>
        </w:rPr>
        <w:t>备注：</w:t>
      </w:r>
    </w:p>
    <w:p>
      <w:pPr>
        <w:pStyle w:val="19"/>
        <w:spacing w:line="360" w:lineRule="auto"/>
        <w:ind w:firstLine="480" w:firstLineChars="200"/>
        <w:rPr>
          <w:rFonts w:ascii="宋体" w:hAnsi="宋体"/>
          <w:bCs/>
          <w:sz w:val="24"/>
          <w:szCs w:val="24"/>
        </w:rPr>
      </w:pPr>
      <w:r>
        <w:rPr>
          <w:rFonts w:hint="eastAsia" w:ascii="宋体" w:hAnsi="宋体"/>
          <w:sz w:val="24"/>
          <w:szCs w:val="24"/>
        </w:rPr>
        <w:t>1.</w:t>
      </w:r>
      <w:r>
        <w:rPr>
          <w:rFonts w:hint="eastAsia" w:ascii="宋体" w:hAnsi="宋体"/>
          <w:bCs/>
          <w:sz w:val="24"/>
          <w:szCs w:val="24"/>
        </w:rPr>
        <w:t>供应商应根据评审项目或内容提交相关的证明材料。</w:t>
      </w:r>
    </w:p>
    <w:p>
      <w:pPr>
        <w:pStyle w:val="19"/>
        <w:spacing w:line="360" w:lineRule="auto"/>
        <w:ind w:left="719" w:leftChars="228" w:hanging="240" w:hangingChars="100"/>
        <w:rPr>
          <w:rFonts w:hint="eastAsia" w:ascii="宋体" w:hAnsi="宋体"/>
          <w:sz w:val="24"/>
          <w:szCs w:val="24"/>
        </w:rPr>
      </w:pPr>
      <w:r>
        <w:rPr>
          <w:rFonts w:hint="eastAsia" w:ascii="宋体" w:hAnsi="宋体" w:cs="宋体"/>
          <w:bCs/>
          <w:sz w:val="24"/>
          <w:szCs w:val="24"/>
        </w:rPr>
        <w:t>2.</w:t>
      </w:r>
      <w:r>
        <w:rPr>
          <w:rFonts w:hint="eastAsia" w:ascii="宋体" w:hAnsi="宋体"/>
          <w:bCs/>
          <w:sz w:val="24"/>
          <w:szCs w:val="24"/>
        </w:rPr>
        <w:t>供应商</w:t>
      </w:r>
      <w:r>
        <w:rPr>
          <w:rFonts w:hint="eastAsia" w:ascii="宋体" w:hAnsi="宋体"/>
          <w:sz w:val="24"/>
          <w:szCs w:val="24"/>
        </w:rPr>
        <w:t>未提供各项评审的相关内容证明文件或证明文件模糊不清，以致评委无法做出准确评判时，该项得分为0分。</w:t>
      </w:r>
    </w:p>
    <w:p>
      <w:pPr>
        <w:rPr>
          <w:rFonts w:hint="eastAsia"/>
          <w:i/>
          <w:sz w:val="24"/>
        </w:rPr>
      </w:pPr>
    </w:p>
    <w:p>
      <w:pPr>
        <w:jc w:val="center"/>
        <w:rPr>
          <w:rFonts w:hint="eastAsia" w:ascii="黑体" w:hAnsi="黑体" w:eastAsia="黑体" w:cs="黑体"/>
          <w:sz w:val="32"/>
          <w:szCs w:val="32"/>
        </w:rPr>
      </w:pPr>
      <w:bookmarkStart w:id="72" w:name="_Toc54335433"/>
      <w:bookmarkStart w:id="73" w:name="_Toc22806167"/>
      <w:r>
        <w:rPr>
          <w:rFonts w:hint="eastAsia" w:ascii="宋体" w:hAnsi="宋体"/>
          <w:sz w:val="24"/>
        </w:rPr>
        <w:br w:type="page"/>
      </w:r>
      <w:r>
        <w:rPr>
          <w:rFonts w:hint="eastAsia" w:ascii="黑体" w:hAnsi="黑体" w:eastAsia="黑体" w:cs="黑体"/>
          <w:color w:val="000000"/>
          <w:sz w:val="32"/>
          <w:szCs w:val="32"/>
        </w:rPr>
        <w:t>商务评审表</w:t>
      </w:r>
      <w:bookmarkEnd w:id="72"/>
      <w:bookmarkEnd w:id="73"/>
    </w:p>
    <w:tbl>
      <w:tblPr>
        <w:tblStyle w:val="10"/>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6"/>
        <w:gridCol w:w="851"/>
        <w:gridCol w:w="6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400" w:lineRule="atLeast"/>
              <w:jc w:val="center"/>
              <w:rPr>
                <w:rStyle w:val="17"/>
                <w:rFonts w:ascii="宋体" w:hAnsi="宋体" w:cs="宋体"/>
                <w:b/>
                <w:bCs/>
                <w:color w:val="000000"/>
                <w:sz w:val="24"/>
              </w:rPr>
            </w:pPr>
            <w:r>
              <w:rPr>
                <w:rStyle w:val="17"/>
                <w:rFonts w:ascii="宋体" w:hAnsi="宋体" w:cs="宋体"/>
                <w:b/>
                <w:bCs/>
                <w:color w:val="000000"/>
                <w:sz w:val="24"/>
              </w:rPr>
              <w:t>评审因素</w:t>
            </w:r>
          </w:p>
        </w:tc>
        <w:tc>
          <w:tcPr>
            <w:tcW w:w="851" w:type="dxa"/>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400" w:lineRule="atLeast"/>
              <w:jc w:val="center"/>
              <w:rPr>
                <w:rStyle w:val="17"/>
                <w:rFonts w:ascii="宋体" w:hAnsi="宋体" w:cs="宋体"/>
                <w:b/>
                <w:bCs/>
                <w:color w:val="000000"/>
                <w:sz w:val="24"/>
              </w:rPr>
            </w:pPr>
            <w:r>
              <w:rPr>
                <w:rStyle w:val="17"/>
                <w:rFonts w:ascii="宋体" w:hAnsi="宋体" w:cs="宋体"/>
                <w:b/>
                <w:bCs/>
                <w:color w:val="000000"/>
                <w:sz w:val="24"/>
              </w:rPr>
              <w:t>分值</w:t>
            </w:r>
          </w:p>
        </w:tc>
        <w:tc>
          <w:tcPr>
            <w:tcW w:w="6647" w:type="dxa"/>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400" w:lineRule="atLeast"/>
              <w:jc w:val="center"/>
              <w:rPr>
                <w:rStyle w:val="17"/>
                <w:rFonts w:ascii="宋体" w:hAnsi="宋体" w:cs="宋体"/>
                <w:b/>
                <w:bCs/>
                <w:color w:val="000000"/>
                <w:sz w:val="24"/>
              </w:rPr>
            </w:pPr>
            <w:r>
              <w:rPr>
                <w:rStyle w:val="17"/>
                <w:rFonts w:ascii="宋体" w:hAnsi="宋体" w:cs="宋体"/>
                <w:b/>
                <w:bCs/>
                <w:color w:val="00000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16" w:type="dxa"/>
            <w:tcBorders>
              <w:top w:val="single" w:color="000000" w:sz="4" w:space="0"/>
              <w:left w:val="single" w:color="000000" w:sz="4" w:space="0"/>
              <w:bottom w:val="single" w:color="000000" w:sz="4" w:space="0"/>
              <w:right w:val="single" w:color="000000" w:sz="4" w:space="0"/>
            </w:tcBorders>
            <w:vAlign w:val="center"/>
          </w:tcPr>
          <w:p>
            <w:pPr>
              <w:pStyle w:val="16"/>
              <w:spacing w:line="400" w:lineRule="atLeast"/>
              <w:jc w:val="center"/>
              <w:rPr>
                <w:rStyle w:val="17"/>
                <w:rFonts w:hAnsi="宋体"/>
                <w:color w:val="000000"/>
              </w:rPr>
            </w:pPr>
            <w:r>
              <w:rPr>
                <w:rStyle w:val="17"/>
                <w:rFonts w:hAnsi="宋体"/>
                <w:spacing w:val="1"/>
              </w:rPr>
              <w:t>技术团队</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r>
              <w:rPr>
                <w:rStyle w:val="17"/>
                <w:rFonts w:hint="eastAsia" w:ascii="宋体" w:hAnsi="宋体"/>
                <w:color w:val="000000"/>
                <w:sz w:val="24"/>
                <w:highlight w:val="none"/>
                <w:lang w:val="en-US" w:eastAsia="zh-CN"/>
              </w:rPr>
              <w:t>6</w:t>
            </w:r>
            <w:r>
              <w:rPr>
                <w:rStyle w:val="17"/>
                <w:rFonts w:ascii="宋体" w:hAnsi="宋体"/>
                <w:color w:val="000000"/>
                <w:sz w:val="24"/>
                <w:highlight w:val="none"/>
              </w:rPr>
              <w:t>分</w:t>
            </w:r>
          </w:p>
        </w:tc>
        <w:tc>
          <w:tcPr>
            <w:tcW w:w="6647" w:type="dxa"/>
            <w:tcBorders>
              <w:top w:val="single" w:color="000000" w:sz="4" w:space="0"/>
              <w:left w:val="single" w:color="000000" w:sz="4" w:space="0"/>
              <w:bottom w:val="single" w:color="000000" w:sz="4" w:space="0"/>
              <w:right w:val="single" w:color="000000" w:sz="4" w:space="0"/>
            </w:tcBorders>
            <w:vAlign w:val="center"/>
          </w:tcPr>
          <w:p>
            <w:pPr>
              <w:numPr>
                <w:ilvl w:val="0"/>
                <w:numId w:val="7"/>
              </w:numPr>
              <w:spacing w:line="400" w:lineRule="atLeast"/>
              <w:rPr>
                <w:rStyle w:val="17"/>
                <w:rFonts w:hint="eastAsia" w:ascii="宋体" w:hAnsi="宋体"/>
                <w:sz w:val="24"/>
              </w:rPr>
            </w:pPr>
            <w:r>
              <w:rPr>
                <w:rStyle w:val="17"/>
                <w:rFonts w:hint="eastAsia" w:ascii="宋体" w:hAnsi="宋体"/>
                <w:sz w:val="24"/>
              </w:rPr>
              <w:t>本项目的项目经理1名，具备信息系统项目管理师、ITIL Foundation资质，满足1项得1分，共</w:t>
            </w:r>
            <w:r>
              <w:rPr>
                <w:rStyle w:val="17"/>
                <w:rFonts w:hint="eastAsia" w:ascii="宋体" w:hAnsi="宋体"/>
                <w:sz w:val="24"/>
                <w:lang w:val="en-US" w:eastAsia="zh-CN"/>
              </w:rPr>
              <w:t>2</w:t>
            </w:r>
            <w:r>
              <w:rPr>
                <w:rStyle w:val="17"/>
                <w:rFonts w:hint="eastAsia" w:ascii="宋体" w:hAnsi="宋体"/>
                <w:sz w:val="24"/>
              </w:rPr>
              <w:t>分；</w:t>
            </w:r>
          </w:p>
          <w:p>
            <w:pPr>
              <w:numPr>
                <w:ilvl w:val="0"/>
                <w:numId w:val="7"/>
              </w:numPr>
              <w:spacing w:line="400" w:lineRule="atLeast"/>
              <w:rPr>
                <w:rStyle w:val="17"/>
                <w:rFonts w:hint="eastAsia" w:ascii="宋体" w:hAnsi="宋体"/>
                <w:sz w:val="24"/>
              </w:rPr>
            </w:pPr>
            <w:r>
              <w:rPr>
                <w:rStyle w:val="17"/>
                <w:rFonts w:hint="eastAsia" w:ascii="宋体" w:hAnsi="宋体"/>
                <w:sz w:val="24"/>
              </w:rPr>
              <w:t>技术服务团队配备信息通信网络运行管理员（工业和信息化部颁发）1名，所投智能应用平台原厂认证工程师1名，系统集成项目管理工程师</w:t>
            </w:r>
            <w:r>
              <w:rPr>
                <w:rStyle w:val="17"/>
                <w:rFonts w:hint="eastAsia" w:ascii="宋体" w:hAnsi="宋体"/>
                <w:sz w:val="24"/>
                <w:lang w:val="en-US" w:eastAsia="zh-CN"/>
              </w:rPr>
              <w:t>1</w:t>
            </w:r>
            <w:r>
              <w:rPr>
                <w:rStyle w:val="17"/>
                <w:rFonts w:hint="eastAsia" w:ascii="宋体" w:hAnsi="宋体"/>
                <w:sz w:val="24"/>
              </w:rPr>
              <w:t>名，电工证技术人员1名，每有一人对应满足以上要求得1分，共</w:t>
            </w:r>
            <w:r>
              <w:rPr>
                <w:rStyle w:val="17"/>
                <w:rFonts w:hint="eastAsia" w:ascii="宋体" w:hAnsi="宋体"/>
                <w:sz w:val="24"/>
                <w:lang w:val="en-US" w:eastAsia="zh-CN"/>
              </w:rPr>
              <w:t>4</w:t>
            </w:r>
            <w:r>
              <w:rPr>
                <w:rStyle w:val="17"/>
                <w:rFonts w:hint="eastAsia" w:ascii="宋体" w:hAnsi="宋体"/>
                <w:sz w:val="24"/>
              </w:rPr>
              <w:t>分。</w:t>
            </w:r>
          </w:p>
          <w:p>
            <w:pPr>
              <w:spacing w:line="400" w:lineRule="atLeast"/>
              <w:rPr>
                <w:rStyle w:val="17"/>
                <w:rFonts w:ascii="宋体" w:hAnsi="宋体"/>
                <w:i/>
                <w:color w:val="000000"/>
                <w:sz w:val="24"/>
              </w:rPr>
            </w:pPr>
            <w:r>
              <w:rPr>
                <w:rStyle w:val="17"/>
                <w:rFonts w:ascii="宋体" w:hAnsi="宋体" w:cs="宋体"/>
                <w:b/>
                <w:bCs/>
                <w:sz w:val="24"/>
              </w:rPr>
              <w:t>注：以上所有人员不可重复，如重复仅按一条符合计分，投标须提供人员名单、资质证书复印件、同时提供开标前连续3个月的社保证明材料复印件，如因新设立企业不足3个月，则提供自公司成立以来投标人为其缴纳的社保的证明材料复印件即可，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16" w:type="dxa"/>
            <w:tcBorders>
              <w:top w:val="single" w:color="000000" w:sz="4" w:space="0"/>
              <w:left w:val="single" w:color="000000" w:sz="4" w:space="0"/>
              <w:bottom w:val="single" w:color="000000" w:sz="4" w:space="0"/>
              <w:right w:val="single" w:color="000000" w:sz="4" w:space="0"/>
            </w:tcBorders>
            <w:vAlign w:val="center"/>
          </w:tcPr>
          <w:p>
            <w:pPr>
              <w:pStyle w:val="16"/>
              <w:spacing w:line="400" w:lineRule="atLeast"/>
              <w:jc w:val="center"/>
              <w:rPr>
                <w:rStyle w:val="17"/>
                <w:rFonts w:hAnsi="宋体"/>
                <w:color w:val="000000"/>
              </w:rPr>
            </w:pPr>
            <w:r>
              <w:rPr>
                <w:rStyle w:val="17"/>
                <w:rFonts w:hAnsi="宋体"/>
              </w:rPr>
              <w:t>投标人能力资质</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r>
              <w:rPr>
                <w:rStyle w:val="17"/>
                <w:rFonts w:ascii="宋体" w:hAnsi="宋体"/>
                <w:color w:val="000000"/>
                <w:sz w:val="24"/>
              </w:rPr>
              <w:t>8分</w:t>
            </w:r>
          </w:p>
        </w:tc>
        <w:tc>
          <w:tcPr>
            <w:tcW w:w="6647"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400" w:lineRule="atLeast"/>
              <w:ind w:left="240" w:hanging="240"/>
              <w:rPr>
                <w:rStyle w:val="17"/>
                <w:rFonts w:ascii="宋体" w:hAnsi="宋体"/>
                <w:sz w:val="24"/>
              </w:rPr>
            </w:pPr>
            <w:r>
              <w:rPr>
                <w:rStyle w:val="17"/>
                <w:rFonts w:ascii="宋体" w:hAnsi="宋体"/>
                <w:sz w:val="24"/>
              </w:rPr>
              <w:t>提供ISO9001质量管理体系标准认证证书，满足得1分；</w:t>
            </w:r>
          </w:p>
          <w:p>
            <w:pPr>
              <w:numPr>
                <w:ilvl w:val="0"/>
                <w:numId w:val="8"/>
              </w:numPr>
              <w:spacing w:line="400" w:lineRule="atLeast"/>
              <w:ind w:left="240" w:hanging="240"/>
              <w:rPr>
                <w:rStyle w:val="17"/>
                <w:rFonts w:ascii="宋体" w:hAnsi="宋体"/>
                <w:sz w:val="24"/>
              </w:rPr>
            </w:pPr>
            <w:r>
              <w:rPr>
                <w:rStyle w:val="17"/>
                <w:rFonts w:ascii="宋体" w:hAnsi="宋体"/>
                <w:sz w:val="24"/>
              </w:rPr>
              <w:t>提供ISO14001环境管理体系认证证书，满足得1分；</w:t>
            </w:r>
          </w:p>
          <w:p>
            <w:pPr>
              <w:numPr>
                <w:ilvl w:val="0"/>
                <w:numId w:val="8"/>
              </w:numPr>
              <w:spacing w:line="400" w:lineRule="atLeast"/>
              <w:ind w:left="240" w:hanging="240"/>
              <w:rPr>
                <w:rStyle w:val="17"/>
                <w:rFonts w:ascii="宋体" w:hAnsi="宋体"/>
                <w:sz w:val="24"/>
              </w:rPr>
            </w:pPr>
            <w:r>
              <w:rPr>
                <w:rStyle w:val="17"/>
                <w:rFonts w:ascii="宋体" w:hAnsi="宋体"/>
                <w:sz w:val="24"/>
              </w:rPr>
              <w:t>提供职业健康安全管理体系认证证书，满足得1分；</w:t>
            </w:r>
          </w:p>
          <w:p>
            <w:pPr>
              <w:numPr>
                <w:ilvl w:val="0"/>
                <w:numId w:val="8"/>
              </w:numPr>
              <w:spacing w:line="400" w:lineRule="atLeast"/>
              <w:ind w:left="240" w:hanging="240"/>
              <w:rPr>
                <w:rStyle w:val="17"/>
                <w:rFonts w:ascii="宋体" w:hAnsi="宋体"/>
                <w:sz w:val="24"/>
              </w:rPr>
            </w:pPr>
            <w:r>
              <w:rPr>
                <w:rStyle w:val="17"/>
                <w:rFonts w:ascii="宋体" w:hAnsi="宋体"/>
                <w:sz w:val="24"/>
              </w:rPr>
              <w:t>提供ISO27001信息安全管理体系认证证书，满足得2分；</w:t>
            </w:r>
          </w:p>
          <w:p>
            <w:pPr>
              <w:numPr>
                <w:ilvl w:val="0"/>
                <w:numId w:val="8"/>
              </w:numPr>
              <w:spacing w:line="400" w:lineRule="atLeast"/>
              <w:ind w:left="240" w:hanging="240"/>
              <w:rPr>
                <w:rStyle w:val="17"/>
                <w:rFonts w:ascii="宋体" w:hAnsi="宋体"/>
                <w:sz w:val="24"/>
              </w:rPr>
            </w:pPr>
            <w:r>
              <w:rPr>
                <w:rStyle w:val="17"/>
                <w:rFonts w:ascii="宋体" w:hAnsi="宋体"/>
                <w:sz w:val="24"/>
              </w:rPr>
              <w:t>提供ISO/IEC 20000信息技术服务管理体系认证证书，满足得2分；</w:t>
            </w:r>
          </w:p>
          <w:p>
            <w:pPr>
              <w:numPr>
                <w:ilvl w:val="0"/>
                <w:numId w:val="8"/>
              </w:numPr>
              <w:spacing w:line="400" w:lineRule="atLeast"/>
              <w:rPr>
                <w:rStyle w:val="17"/>
                <w:rFonts w:hint="eastAsia" w:ascii="宋体" w:hAnsi="宋体"/>
                <w:sz w:val="24"/>
              </w:rPr>
            </w:pPr>
            <w:r>
              <w:rPr>
                <w:rStyle w:val="17"/>
                <w:rFonts w:ascii="宋体" w:hAnsi="宋体"/>
                <w:sz w:val="24"/>
              </w:rPr>
              <w:t>投标人具有信息系统建设和服务能力等级证书，</w:t>
            </w:r>
            <w:r>
              <w:rPr>
                <w:rStyle w:val="17"/>
                <w:rFonts w:hint="eastAsia" w:ascii="宋体" w:hAnsi="宋体"/>
                <w:sz w:val="24"/>
              </w:rPr>
              <w:t>达到基本级（CS2）或以上</w:t>
            </w:r>
            <w:r>
              <w:rPr>
                <w:rStyle w:val="17"/>
                <w:rFonts w:ascii="宋体" w:hAnsi="宋体"/>
                <w:sz w:val="24"/>
              </w:rPr>
              <w:t>，满足得1分</w:t>
            </w:r>
            <w:r>
              <w:rPr>
                <w:rStyle w:val="17"/>
                <w:rFonts w:hint="eastAsia" w:ascii="宋体" w:hAnsi="宋体"/>
                <w:sz w:val="24"/>
              </w:rPr>
              <w:t>。</w:t>
            </w:r>
          </w:p>
          <w:p>
            <w:pPr>
              <w:spacing w:line="400" w:lineRule="atLeast"/>
              <w:rPr>
                <w:rStyle w:val="17"/>
                <w:rFonts w:ascii="宋体" w:hAnsi="宋体"/>
                <w:i/>
                <w:color w:val="000000"/>
                <w:sz w:val="24"/>
              </w:rPr>
            </w:pPr>
            <w:r>
              <w:rPr>
                <w:rStyle w:val="17"/>
                <w:rFonts w:ascii="宋体" w:hAnsi="宋体" w:cs="宋体"/>
                <w:b/>
                <w:bCs/>
                <w:sz w:val="24"/>
              </w:rPr>
              <w:t>注：要求提供证书复印件，加盖投标人公章。</w:t>
            </w:r>
            <w:r>
              <w:rPr>
                <w:rStyle w:val="17"/>
                <w:rFonts w:hint="eastAsia" w:ascii="宋体" w:hAnsi="宋体" w:cs="宋体"/>
                <w:b/>
                <w:bCs/>
                <w:sz w:val="24"/>
              </w:rPr>
              <w:t>1</w:t>
            </w:r>
            <w:r>
              <w:rPr>
                <w:rFonts w:hint="eastAsia" w:ascii="宋体" w:hAnsi="宋体" w:cs="宋体"/>
                <w:b/>
                <w:bCs/>
                <w:sz w:val="24"/>
              </w:rPr>
              <w:t>、2、3、4、5</w:t>
            </w:r>
            <w:r>
              <w:rPr>
                <w:rStyle w:val="17"/>
                <w:rFonts w:ascii="宋体" w:hAnsi="宋体" w:cs="宋体"/>
                <w:b/>
                <w:bCs/>
                <w:sz w:val="24"/>
              </w:rPr>
              <w:t>须同时提供在“全国认证认可信息公共服务平台”对体系证书的信息查询截图作为评审依据，已失效或撤销的不得分。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16" w:type="dxa"/>
            <w:tcBorders>
              <w:top w:val="single" w:color="000000" w:sz="4" w:space="0"/>
              <w:left w:val="single" w:color="000000" w:sz="4" w:space="0"/>
              <w:bottom w:val="single" w:color="000000" w:sz="4" w:space="0"/>
              <w:right w:val="single" w:color="000000" w:sz="4" w:space="0"/>
            </w:tcBorders>
            <w:vAlign w:val="center"/>
          </w:tcPr>
          <w:p>
            <w:pPr>
              <w:pStyle w:val="16"/>
              <w:spacing w:before="190" w:line="400" w:lineRule="atLeast"/>
              <w:jc w:val="center"/>
              <w:rPr>
                <w:rStyle w:val="17"/>
                <w:rFonts w:hAnsi="宋体"/>
              </w:rPr>
            </w:pPr>
            <w:r>
              <w:rPr>
                <w:rStyle w:val="17"/>
                <w:rFonts w:hAnsi="宋体"/>
                <w:spacing w:val="1"/>
              </w:rPr>
              <w:t>企业信用</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sz w:val="24"/>
              </w:rPr>
            </w:pPr>
            <w:r>
              <w:rPr>
                <w:rStyle w:val="17"/>
                <w:rFonts w:ascii="宋体" w:hAnsi="宋体"/>
                <w:sz w:val="24"/>
              </w:rPr>
              <w:t>1分</w:t>
            </w:r>
          </w:p>
        </w:tc>
        <w:tc>
          <w:tcPr>
            <w:tcW w:w="6647" w:type="dxa"/>
            <w:tcBorders>
              <w:top w:val="single" w:color="000000" w:sz="4" w:space="0"/>
              <w:left w:val="single" w:color="000000" w:sz="4" w:space="0"/>
              <w:bottom w:val="single" w:color="000000" w:sz="4" w:space="0"/>
              <w:right w:val="single" w:color="000000" w:sz="4" w:space="0"/>
            </w:tcBorders>
            <w:vAlign w:val="center"/>
          </w:tcPr>
          <w:p>
            <w:pPr>
              <w:pStyle w:val="16"/>
              <w:spacing w:before="58" w:line="400" w:lineRule="atLeast"/>
              <w:rPr>
                <w:rStyle w:val="17"/>
                <w:rFonts w:hAnsi="宋体"/>
              </w:rPr>
            </w:pPr>
            <w:r>
              <w:rPr>
                <w:rStyle w:val="17"/>
                <w:rFonts w:hAnsi="宋体"/>
              </w:rPr>
              <w:t>投标人2020年度纳税信用等级评定符合下列情况之一的得1分：评定为A级；新设立企业取得M级的；经营的年限未达3年导致未能评定为A级；根据相关规定不需要进行纳税信用等级评定的非企业组织。</w:t>
            </w:r>
          </w:p>
          <w:p>
            <w:pPr>
              <w:pStyle w:val="16"/>
              <w:spacing w:before="58" w:line="400" w:lineRule="atLeast"/>
              <w:rPr>
                <w:rStyle w:val="17"/>
                <w:rFonts w:hAnsi="宋体"/>
              </w:rPr>
            </w:pPr>
            <w:r>
              <w:rPr>
                <w:rStyle w:val="17"/>
                <w:rFonts w:hAnsi="宋体"/>
              </w:rPr>
              <w:t>评定为B级的得0.5分，非新设立企业取得M级的得0.5分；</w:t>
            </w:r>
          </w:p>
          <w:p>
            <w:pPr>
              <w:pStyle w:val="16"/>
              <w:spacing w:before="58" w:line="400" w:lineRule="atLeast"/>
              <w:rPr>
                <w:rStyle w:val="17"/>
                <w:rFonts w:hAnsi="宋体"/>
              </w:rPr>
            </w:pPr>
            <w:r>
              <w:rPr>
                <w:rStyle w:val="17"/>
                <w:rFonts w:hint="eastAsia" w:hAnsi="宋体"/>
              </w:rPr>
              <w:t>其他情况</w:t>
            </w:r>
            <w:r>
              <w:rPr>
                <w:rStyle w:val="17"/>
                <w:rFonts w:hAnsi="宋体"/>
              </w:rPr>
              <w:t>或未提供资料的不得分。</w:t>
            </w:r>
          </w:p>
          <w:p>
            <w:pPr>
              <w:pStyle w:val="16"/>
              <w:spacing w:before="58" w:line="400" w:lineRule="atLeast"/>
              <w:rPr>
                <w:rStyle w:val="17"/>
                <w:rFonts w:hAnsi="宋体"/>
                <w:i/>
              </w:rPr>
            </w:pPr>
            <w:r>
              <w:rPr>
                <w:rStyle w:val="17"/>
                <w:rFonts w:hAnsi="宋体" w:cs="宋体"/>
                <w:b/>
                <w:bCs/>
              </w:rPr>
              <w:t>注：需提供证书复印件或税务系统査询截图作为证明资料。属于不需要进行纳税信用等级评定的非企业组织，提供相关政策规定及证明文件。“新设立企业”指从首次在税务机关办理涉税事宜之日起时间不满一个评价年度的企业。评价年度是指公历年度，即1月1日至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16" w:type="dxa"/>
            <w:tcBorders>
              <w:top w:val="single" w:color="000000" w:sz="4" w:space="0"/>
              <w:left w:val="single" w:color="000000" w:sz="4" w:space="0"/>
              <w:bottom w:val="single" w:color="000000" w:sz="4" w:space="0"/>
              <w:right w:val="single" w:color="000000" w:sz="4" w:space="0"/>
            </w:tcBorders>
            <w:vAlign w:val="center"/>
          </w:tcPr>
          <w:p>
            <w:pPr>
              <w:pStyle w:val="16"/>
              <w:spacing w:before="184" w:line="400" w:lineRule="atLeast"/>
              <w:jc w:val="center"/>
              <w:rPr>
                <w:rStyle w:val="17"/>
                <w:rFonts w:hAnsi="宋体"/>
                <w:color w:val="000000"/>
              </w:rPr>
            </w:pPr>
            <w:r>
              <w:rPr>
                <w:rStyle w:val="17"/>
                <w:rFonts w:hAnsi="宋体"/>
                <w:spacing w:val="1"/>
              </w:rPr>
              <w:t>供货业绩</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r>
              <w:rPr>
                <w:rStyle w:val="17"/>
                <w:rFonts w:hint="eastAsia" w:ascii="宋体" w:hAnsi="宋体"/>
                <w:sz w:val="24"/>
                <w:highlight w:val="none"/>
                <w:lang w:val="en-US" w:eastAsia="zh-CN"/>
              </w:rPr>
              <w:t>5</w:t>
            </w:r>
            <w:r>
              <w:rPr>
                <w:rStyle w:val="17"/>
                <w:rFonts w:ascii="宋体" w:hAnsi="宋体"/>
                <w:sz w:val="24"/>
                <w:highlight w:val="none"/>
              </w:rPr>
              <w:t>分</w:t>
            </w:r>
          </w:p>
        </w:tc>
        <w:tc>
          <w:tcPr>
            <w:tcW w:w="6647"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17"/>
                <w:rFonts w:ascii="宋体" w:hAnsi="宋体"/>
                <w:sz w:val="24"/>
              </w:rPr>
            </w:pPr>
            <w:r>
              <w:rPr>
                <w:rStyle w:val="17"/>
                <w:rFonts w:hint="eastAsia" w:ascii="宋体" w:hAnsi="宋体"/>
                <w:sz w:val="24"/>
                <w:lang w:eastAsia="zh-CN"/>
              </w:rPr>
              <w:t>2019年10月1日</w:t>
            </w:r>
            <w:r>
              <w:rPr>
                <w:rStyle w:val="17"/>
                <w:rFonts w:hint="eastAsia" w:ascii="宋体" w:hAnsi="宋体"/>
                <w:sz w:val="24"/>
                <w:lang w:val="en-US" w:eastAsia="zh-CN"/>
              </w:rPr>
              <w:t>至</w:t>
            </w:r>
            <w:r>
              <w:rPr>
                <w:rStyle w:val="17"/>
                <w:rFonts w:ascii="宋体" w:hAnsi="宋体"/>
                <w:sz w:val="24"/>
              </w:rPr>
              <w:t>今（以合同签订时间为准）取得类似采购项目业绩，每提供一个有效的项目业绩得</w:t>
            </w:r>
            <w:r>
              <w:rPr>
                <w:rStyle w:val="17"/>
                <w:rFonts w:hint="eastAsia" w:ascii="宋体" w:hAnsi="宋体"/>
                <w:sz w:val="24"/>
                <w:lang w:val="en-US" w:eastAsia="zh-CN"/>
              </w:rPr>
              <w:t>1</w:t>
            </w:r>
            <w:r>
              <w:rPr>
                <w:rStyle w:val="17"/>
                <w:rFonts w:ascii="宋体" w:hAnsi="宋体"/>
                <w:sz w:val="24"/>
              </w:rPr>
              <w:t>分，此项最高得</w:t>
            </w:r>
            <w:r>
              <w:rPr>
                <w:rStyle w:val="17"/>
                <w:rFonts w:hint="eastAsia" w:ascii="宋体" w:hAnsi="宋体"/>
                <w:sz w:val="24"/>
                <w:lang w:val="en-US" w:eastAsia="zh-CN"/>
              </w:rPr>
              <w:t>5</w:t>
            </w:r>
            <w:r>
              <w:rPr>
                <w:rStyle w:val="17"/>
                <w:rFonts w:ascii="宋体" w:hAnsi="宋体"/>
                <w:sz w:val="24"/>
              </w:rPr>
              <w:t>分。</w:t>
            </w:r>
          </w:p>
          <w:p>
            <w:pPr>
              <w:spacing w:line="400" w:lineRule="atLeast"/>
              <w:rPr>
                <w:rStyle w:val="17"/>
                <w:rFonts w:ascii="宋体" w:hAnsi="宋体"/>
                <w:color w:val="000000"/>
                <w:sz w:val="24"/>
              </w:rPr>
            </w:pPr>
            <w:r>
              <w:rPr>
                <w:rStyle w:val="17"/>
                <w:rFonts w:ascii="宋体" w:hAnsi="宋体" w:cs="宋体"/>
                <w:b/>
                <w:bCs/>
                <w:sz w:val="24"/>
              </w:rPr>
              <w:t>注：业绩证明材料须提供合同关键页（首页、清单页、签字盖章页）和验收证明复印件。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r>
              <w:rPr>
                <w:rStyle w:val="17"/>
                <w:rFonts w:ascii="宋体" w:hAnsi="宋体"/>
                <w:color w:val="000000"/>
                <w:sz w:val="24"/>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r>
              <w:rPr>
                <w:rStyle w:val="17"/>
                <w:rFonts w:ascii="宋体" w:hAnsi="宋体"/>
                <w:color w:val="000000"/>
                <w:sz w:val="24"/>
              </w:rPr>
              <w:t>20分</w:t>
            </w:r>
          </w:p>
        </w:tc>
        <w:tc>
          <w:tcPr>
            <w:tcW w:w="664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p>
        </w:tc>
      </w:tr>
    </w:tbl>
    <w:p>
      <w:pPr>
        <w:pStyle w:val="19"/>
        <w:spacing w:line="360" w:lineRule="auto"/>
        <w:rPr>
          <w:rFonts w:hint="eastAsia" w:ascii="宋体" w:hAnsi="宋体"/>
          <w:sz w:val="24"/>
          <w:szCs w:val="24"/>
        </w:rPr>
      </w:pPr>
      <w:r>
        <w:rPr>
          <w:rFonts w:hint="eastAsia" w:ascii="宋体" w:hAnsi="宋体"/>
          <w:sz w:val="24"/>
          <w:szCs w:val="24"/>
        </w:rPr>
        <w:t>备注：</w:t>
      </w:r>
    </w:p>
    <w:p>
      <w:pPr>
        <w:pStyle w:val="19"/>
        <w:spacing w:line="360" w:lineRule="auto"/>
        <w:ind w:firstLine="480" w:firstLineChars="200"/>
        <w:rPr>
          <w:rFonts w:ascii="宋体" w:hAnsi="宋体"/>
          <w:bCs/>
          <w:sz w:val="24"/>
          <w:szCs w:val="24"/>
        </w:rPr>
      </w:pPr>
      <w:r>
        <w:rPr>
          <w:rFonts w:hint="eastAsia" w:ascii="宋体" w:hAnsi="宋体"/>
          <w:sz w:val="24"/>
          <w:szCs w:val="24"/>
        </w:rPr>
        <w:t>1.</w:t>
      </w:r>
      <w:r>
        <w:rPr>
          <w:rFonts w:hint="eastAsia" w:ascii="宋体" w:hAnsi="宋体"/>
          <w:bCs/>
          <w:sz w:val="24"/>
          <w:szCs w:val="24"/>
        </w:rPr>
        <w:t>供应商应根据评审项目或内容提交相关的证明材料。</w:t>
      </w:r>
    </w:p>
    <w:p>
      <w:pPr>
        <w:pStyle w:val="19"/>
        <w:spacing w:line="360" w:lineRule="auto"/>
        <w:ind w:left="719" w:leftChars="228" w:hanging="240" w:hangingChars="100"/>
        <w:rPr>
          <w:rFonts w:hint="eastAsia" w:ascii="宋体" w:hAnsi="宋体"/>
          <w:sz w:val="24"/>
          <w:szCs w:val="24"/>
        </w:rPr>
      </w:pPr>
      <w:r>
        <w:rPr>
          <w:rFonts w:hint="eastAsia" w:ascii="宋体" w:hAnsi="宋体" w:cs="宋体"/>
          <w:bCs/>
          <w:sz w:val="24"/>
          <w:szCs w:val="24"/>
        </w:rPr>
        <w:t>2.</w:t>
      </w:r>
      <w:r>
        <w:rPr>
          <w:rFonts w:hint="eastAsia" w:ascii="宋体" w:hAnsi="宋体"/>
          <w:bCs/>
          <w:sz w:val="24"/>
          <w:szCs w:val="24"/>
        </w:rPr>
        <w:t>供应商</w:t>
      </w:r>
      <w:r>
        <w:rPr>
          <w:rFonts w:hint="eastAsia" w:ascii="宋体" w:hAnsi="宋体"/>
          <w:sz w:val="24"/>
          <w:szCs w:val="24"/>
        </w:rPr>
        <w:t>未提供各项评审的相关内容证明文件或证明文件模糊不清，以致评</w:t>
      </w:r>
      <w:r>
        <w:rPr>
          <w:rFonts w:hint="eastAsia" w:ascii="宋体" w:hAnsi="宋体"/>
          <w:sz w:val="24"/>
          <w:szCs w:val="24"/>
          <w:lang w:val="en-US" w:eastAsia="zh-CN"/>
        </w:rPr>
        <w:t xml:space="preserve"> </w:t>
      </w:r>
      <w:r>
        <w:rPr>
          <w:rFonts w:hint="eastAsia" w:ascii="宋体" w:hAnsi="宋体"/>
          <w:sz w:val="24"/>
          <w:szCs w:val="24"/>
        </w:rPr>
        <w:t>委无法做出准确评判时，该项得分为0分。</w:t>
      </w:r>
    </w:p>
    <w:p>
      <w:pPr>
        <w:autoSpaceDE w:val="0"/>
        <w:autoSpaceDN w:val="0"/>
        <w:rPr>
          <w:rFonts w:hint="eastAsia" w:ascii="宋体" w:hAnsi="宋体"/>
          <w:sz w:val="24"/>
        </w:rPr>
      </w:pPr>
      <w:r>
        <w:rPr>
          <w:rFonts w:ascii="宋体" w:hAnsi="宋体" w:cs="宋体"/>
          <w:b/>
          <w:bCs/>
          <w:szCs w:val="21"/>
        </w:rPr>
        <w:br w:type="page"/>
      </w:r>
    </w:p>
    <w:p>
      <w:pPr>
        <w:jc w:val="center"/>
        <w:rPr>
          <w:rFonts w:hint="eastAsia" w:ascii="宋体" w:hAnsi="宋体" w:cs="黑体"/>
          <w:color w:val="000000"/>
          <w:sz w:val="36"/>
          <w:szCs w:val="36"/>
        </w:rPr>
      </w:pPr>
    </w:p>
    <w:p>
      <w:pPr>
        <w:jc w:val="center"/>
        <w:rPr>
          <w:rFonts w:hint="eastAsia" w:ascii="黑体" w:hAnsi="黑体" w:eastAsia="黑体" w:cs="黑体"/>
          <w:sz w:val="32"/>
          <w:szCs w:val="32"/>
        </w:rPr>
      </w:pPr>
      <w:r>
        <w:rPr>
          <w:rFonts w:hint="eastAsia" w:ascii="黑体" w:hAnsi="黑体" w:eastAsia="黑体" w:cs="黑体"/>
          <w:color w:val="000000"/>
          <w:sz w:val="32"/>
          <w:szCs w:val="32"/>
        </w:rPr>
        <w:t>价格评审表</w:t>
      </w:r>
    </w:p>
    <w:tbl>
      <w:tblPr>
        <w:tblStyle w:val="10"/>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6"/>
        <w:gridCol w:w="851"/>
        <w:gridCol w:w="6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400" w:lineRule="atLeast"/>
              <w:jc w:val="center"/>
              <w:rPr>
                <w:rStyle w:val="17"/>
                <w:rFonts w:ascii="宋体" w:hAnsi="宋体" w:cs="宋体"/>
                <w:b/>
                <w:bCs/>
                <w:color w:val="000000"/>
                <w:sz w:val="24"/>
              </w:rPr>
            </w:pPr>
            <w:r>
              <w:rPr>
                <w:rStyle w:val="17"/>
                <w:rFonts w:ascii="宋体" w:hAnsi="宋体" w:cs="宋体"/>
                <w:b/>
                <w:bCs/>
                <w:color w:val="000000"/>
                <w:sz w:val="24"/>
              </w:rPr>
              <w:t>评审因素</w:t>
            </w:r>
          </w:p>
        </w:tc>
        <w:tc>
          <w:tcPr>
            <w:tcW w:w="851" w:type="dxa"/>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400" w:lineRule="atLeast"/>
              <w:jc w:val="center"/>
              <w:rPr>
                <w:rStyle w:val="17"/>
                <w:rFonts w:ascii="宋体" w:hAnsi="宋体" w:cs="宋体"/>
                <w:b/>
                <w:bCs/>
                <w:color w:val="000000"/>
                <w:sz w:val="24"/>
              </w:rPr>
            </w:pPr>
            <w:r>
              <w:rPr>
                <w:rStyle w:val="17"/>
                <w:rFonts w:ascii="宋体" w:hAnsi="宋体" w:cs="宋体"/>
                <w:b/>
                <w:bCs/>
                <w:color w:val="000000"/>
                <w:sz w:val="24"/>
              </w:rPr>
              <w:t>分值</w:t>
            </w:r>
          </w:p>
        </w:tc>
        <w:tc>
          <w:tcPr>
            <w:tcW w:w="6647" w:type="dxa"/>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400" w:lineRule="atLeast"/>
              <w:jc w:val="center"/>
              <w:rPr>
                <w:rStyle w:val="17"/>
                <w:rFonts w:ascii="宋体" w:hAnsi="宋体" w:cs="宋体"/>
                <w:b/>
                <w:bCs/>
                <w:color w:val="000000"/>
                <w:sz w:val="24"/>
              </w:rPr>
            </w:pPr>
            <w:r>
              <w:rPr>
                <w:rStyle w:val="17"/>
                <w:rFonts w:ascii="宋体" w:hAnsi="宋体" w:cs="宋体"/>
                <w:b/>
                <w:bCs/>
                <w:color w:val="00000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16" w:type="dxa"/>
            <w:tcBorders>
              <w:top w:val="single" w:color="000000" w:sz="4" w:space="0"/>
              <w:left w:val="single" w:color="000000" w:sz="4" w:space="0"/>
              <w:bottom w:val="single" w:color="000000" w:sz="4" w:space="0"/>
              <w:right w:val="single" w:color="000000" w:sz="4" w:space="0"/>
            </w:tcBorders>
            <w:vAlign w:val="center"/>
          </w:tcPr>
          <w:p>
            <w:pPr>
              <w:pStyle w:val="16"/>
              <w:spacing w:line="400" w:lineRule="atLeast"/>
              <w:jc w:val="center"/>
              <w:rPr>
                <w:rStyle w:val="17"/>
                <w:rFonts w:hint="eastAsia" w:hAnsi="宋体" w:eastAsia="宋体"/>
                <w:color w:val="000000"/>
                <w:lang w:eastAsia="zh-CN"/>
              </w:rPr>
            </w:pPr>
            <w:r>
              <w:rPr>
                <w:rStyle w:val="17"/>
                <w:rFonts w:hint="eastAsia" w:hAnsi="宋体"/>
                <w:color w:val="000000"/>
                <w:lang w:eastAsia="zh-CN"/>
              </w:rPr>
              <w:t>投标报价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17"/>
                <w:rFonts w:ascii="宋体" w:hAnsi="宋体"/>
                <w:color w:val="000000"/>
                <w:sz w:val="24"/>
              </w:rPr>
            </w:pPr>
            <w:r>
              <w:rPr>
                <w:rStyle w:val="17"/>
                <w:rFonts w:hint="eastAsia" w:ascii="宋体" w:hAnsi="宋体"/>
                <w:color w:val="000000"/>
                <w:sz w:val="24"/>
                <w:highlight w:val="none"/>
                <w:lang w:val="en-US" w:eastAsia="zh-CN"/>
              </w:rPr>
              <w:t>30</w:t>
            </w:r>
            <w:r>
              <w:rPr>
                <w:rStyle w:val="17"/>
                <w:rFonts w:ascii="宋体" w:hAnsi="宋体"/>
                <w:color w:val="000000"/>
                <w:sz w:val="24"/>
                <w:highlight w:val="none"/>
              </w:rPr>
              <w:t>分</w:t>
            </w:r>
          </w:p>
        </w:tc>
        <w:tc>
          <w:tcPr>
            <w:tcW w:w="6647"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400" w:lineRule="atLeast"/>
              <w:rPr>
                <w:rFonts w:hint="eastAsia"/>
                <w:b w:val="0"/>
                <w:bCs w:val="0"/>
              </w:rPr>
            </w:pPr>
            <w:r>
              <w:rPr>
                <w:rFonts w:hint="eastAsia"/>
                <w:b w:val="0"/>
                <w:bCs w:val="0"/>
              </w:rPr>
              <w:t>所有投标人报价的最低值为基准价，报价等于基准价得</w:t>
            </w:r>
            <w:r>
              <w:rPr>
                <w:rFonts w:hint="eastAsia"/>
                <w:b w:val="0"/>
                <w:bCs w:val="0"/>
                <w:lang w:val="en-US" w:eastAsia="zh-CN"/>
              </w:rPr>
              <w:t>3</w:t>
            </w:r>
            <w:r>
              <w:rPr>
                <w:rFonts w:hint="eastAsia"/>
                <w:b w:val="0"/>
                <w:bCs w:val="0"/>
              </w:rPr>
              <w:t>0分。</w:t>
            </w:r>
          </w:p>
          <w:p>
            <w:pPr>
              <w:numPr>
                <w:ilvl w:val="0"/>
                <w:numId w:val="9"/>
              </w:numPr>
              <w:spacing w:line="400" w:lineRule="atLeast"/>
            </w:pPr>
            <w:r>
              <w:rPr>
                <w:rFonts w:hint="eastAsia" w:ascii="宋体" w:hAnsi="宋体" w:cs="宋体"/>
                <w:b w:val="0"/>
                <w:bCs w:val="0"/>
                <w:sz w:val="21"/>
                <w:szCs w:val="21"/>
              </w:rPr>
              <w:t>报价与基准价相比较，差率每高1%扣</w:t>
            </w:r>
            <w:r>
              <w:rPr>
                <w:rFonts w:hint="eastAsia" w:ascii="宋体" w:hAnsi="宋体" w:cs="宋体"/>
                <w:b w:val="0"/>
                <w:bCs w:val="0"/>
                <w:sz w:val="21"/>
                <w:szCs w:val="21"/>
                <w:lang w:val="en-US" w:eastAsia="zh-CN"/>
              </w:rPr>
              <w:t>0.3</w:t>
            </w:r>
            <w:r>
              <w:rPr>
                <w:rFonts w:hint="eastAsia" w:ascii="宋体" w:hAnsi="宋体" w:cs="宋体"/>
                <w:b w:val="0"/>
                <w:bCs w:val="0"/>
                <w:sz w:val="21"/>
                <w:szCs w:val="21"/>
              </w:rPr>
              <w:t>分，扣分最高不超过</w:t>
            </w:r>
            <w:r>
              <w:rPr>
                <w:rFonts w:hint="eastAsia" w:ascii="宋体" w:hAnsi="宋体" w:cs="宋体"/>
                <w:b w:val="0"/>
                <w:bCs w:val="0"/>
                <w:sz w:val="21"/>
                <w:szCs w:val="21"/>
                <w:lang w:val="en-US" w:eastAsia="zh-CN"/>
              </w:rPr>
              <w:t>3</w:t>
            </w:r>
            <w:r>
              <w:rPr>
                <w:rFonts w:hint="eastAsia" w:ascii="宋体" w:hAnsi="宋体" w:cs="宋体"/>
                <w:b w:val="0"/>
                <w:bCs w:val="0"/>
                <w:sz w:val="21"/>
                <w:szCs w:val="21"/>
              </w:rPr>
              <w:t>0分。非整百分比差率采用插入法计分,保留小数点后两位,差率=(投标报价-基准价)/基准</w:t>
            </w:r>
            <w:r>
              <w:rPr>
                <w:rFonts w:ascii="宋体" w:hAnsi="宋体" w:cs="宋体"/>
                <w:b w:val="0"/>
                <w:bCs w:val="0"/>
                <w:sz w:val="21"/>
                <w:szCs w:val="21"/>
              </w:rPr>
              <w:t>价</w:t>
            </w:r>
            <w:r>
              <w:rPr>
                <w:rFonts w:hint="eastAsia" w:ascii="宋体" w:hAnsi="宋体" w:cs="宋体"/>
                <w:b w:val="0"/>
                <w:bCs w:val="0"/>
                <w:sz w:val="21"/>
                <w:szCs w:val="21"/>
                <w:lang w:val="en-US" w:eastAsia="zh-CN"/>
              </w:rPr>
              <w:t>*100%</w:t>
            </w:r>
            <w:r>
              <w:rPr>
                <w:rFonts w:ascii="宋体" w:hAnsi="宋体" w:cs="宋体"/>
                <w:b w:val="0"/>
                <w:bCs w:val="0"/>
                <w:sz w:val="21"/>
                <w:szCs w:val="21"/>
              </w:rPr>
              <w:t>。</w:t>
            </w:r>
          </w:p>
        </w:tc>
      </w:tr>
    </w:tbl>
    <w:p>
      <w:pPr>
        <w:rPr>
          <w:rFonts w:hint="eastAsia" w:ascii="宋体" w:hAnsi="宋体"/>
          <w:b/>
          <w:bCs/>
          <w:sz w:val="28"/>
          <w:szCs w:val="28"/>
        </w:rPr>
      </w:pPr>
    </w:p>
    <w:p>
      <w:pPr>
        <w:pStyle w:val="2"/>
        <w:rPr>
          <w:rFonts w:hint="eastAsia" w:ascii="宋体" w:hAnsi="宋体"/>
          <w:b w:val="0"/>
          <w:bCs/>
          <w:sz w:val="28"/>
          <w:szCs w:val="28"/>
        </w:rPr>
      </w:pPr>
    </w:p>
    <w:p>
      <w:pPr>
        <w:rPr>
          <w:rFonts w:hint="eastAsia" w:ascii="宋体" w:hAnsi="宋体"/>
          <w:b/>
          <w:bCs/>
          <w:sz w:val="28"/>
          <w:szCs w:val="28"/>
        </w:rPr>
      </w:pPr>
    </w:p>
    <w:p>
      <w:pPr>
        <w:pStyle w:val="2"/>
        <w:rPr>
          <w:rFonts w:hint="eastAsia" w:ascii="宋体" w:hAnsi="宋体"/>
          <w:b w:val="0"/>
          <w:bCs/>
          <w:sz w:val="28"/>
          <w:szCs w:val="28"/>
        </w:rPr>
      </w:pPr>
    </w:p>
    <w:p>
      <w:pPr>
        <w:rPr>
          <w:rFonts w:hint="eastAsia" w:ascii="宋体" w:hAnsi="宋体"/>
          <w:b/>
          <w:bCs/>
          <w:sz w:val="28"/>
          <w:szCs w:val="28"/>
        </w:rPr>
      </w:pPr>
    </w:p>
    <w:p>
      <w:pPr>
        <w:pStyle w:val="2"/>
        <w:rPr>
          <w:rFonts w:hint="eastAsia" w:ascii="宋体" w:hAnsi="宋体"/>
          <w:b w:val="0"/>
          <w:bCs/>
          <w:sz w:val="28"/>
          <w:szCs w:val="28"/>
        </w:rPr>
      </w:pPr>
    </w:p>
    <w:p>
      <w:pPr>
        <w:rPr>
          <w:rFonts w:hint="eastAsia" w:ascii="宋体" w:hAnsi="宋体"/>
          <w:b/>
          <w:bCs/>
          <w:sz w:val="28"/>
          <w:szCs w:val="28"/>
        </w:rPr>
      </w:pPr>
    </w:p>
    <w:p>
      <w:pPr>
        <w:pStyle w:val="2"/>
        <w:rPr>
          <w:rFonts w:hint="eastAsia" w:ascii="宋体" w:hAnsi="宋体"/>
          <w:b w:val="0"/>
          <w:bCs/>
          <w:sz w:val="28"/>
          <w:szCs w:val="28"/>
        </w:rPr>
      </w:pPr>
    </w:p>
    <w:p>
      <w:pPr>
        <w:rPr>
          <w:rFonts w:hint="eastAsia" w:ascii="宋体" w:hAnsi="宋体"/>
          <w:b/>
          <w:bCs/>
          <w:sz w:val="28"/>
          <w:szCs w:val="28"/>
        </w:rPr>
      </w:pPr>
    </w:p>
    <w:p>
      <w:pPr>
        <w:pStyle w:val="2"/>
        <w:rPr>
          <w:rFonts w:hint="eastAsia" w:ascii="宋体" w:hAnsi="宋体"/>
          <w:b w:val="0"/>
          <w:bCs/>
          <w:sz w:val="28"/>
          <w:szCs w:val="28"/>
        </w:rPr>
      </w:pPr>
    </w:p>
    <w:p>
      <w:pPr>
        <w:rPr>
          <w:rFonts w:hint="eastAsia" w:ascii="宋体" w:hAnsi="宋体"/>
          <w:b/>
          <w:bCs/>
          <w:sz w:val="28"/>
          <w:szCs w:val="28"/>
        </w:rPr>
      </w:pPr>
    </w:p>
    <w:p>
      <w:pPr>
        <w:pStyle w:val="2"/>
        <w:rPr>
          <w:rFonts w:hint="eastAsia" w:ascii="宋体" w:hAnsi="宋体"/>
          <w:b w:val="0"/>
          <w:bCs/>
          <w:sz w:val="28"/>
          <w:szCs w:val="28"/>
        </w:rPr>
      </w:pPr>
    </w:p>
    <w:p>
      <w:pPr>
        <w:pStyle w:val="2"/>
        <w:rPr>
          <w:rFonts w:hint="eastAsia"/>
        </w:rPr>
        <w:sectPr>
          <w:footerReference r:id="rId5" w:type="default"/>
          <w:pgSz w:w="11906" w:h="16838"/>
          <w:pgMar w:top="1134" w:right="1797" w:bottom="1134" w:left="1797" w:header="851" w:footer="992" w:gutter="0"/>
          <w:cols w:space="720" w:num="1"/>
          <w:docGrid w:type="lines" w:linePitch="312" w:charSpace="0"/>
        </w:sectPr>
      </w:pPr>
    </w:p>
    <w:tbl>
      <w:tblPr>
        <w:tblStyle w:val="10"/>
        <w:tblpPr w:leftFromText="180" w:rightFromText="180" w:vertAnchor="text" w:horzAnchor="page" w:tblpX="1135" w:tblpY="58"/>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4160"/>
        <w:gridCol w:w="1345"/>
        <w:gridCol w:w="1455"/>
        <w:gridCol w:w="139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95" w:type="dxa"/>
            <w:gridSpan w:val="6"/>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74" w:name="_Toc18170"/>
            <w:bookmarkStart w:id="75" w:name="_Toc8818"/>
            <w:bookmarkStart w:id="76" w:name="_Toc27124"/>
            <w:r>
              <w:rPr>
                <w:rFonts w:hint="default" w:ascii="方正小标宋简体" w:hAnsi="方正小标宋简体" w:eastAsia="方正小标宋简体" w:cs="方正小标宋简体"/>
                <w:i w:val="0"/>
                <w:iCs w:val="0"/>
                <w:color w:val="000000"/>
                <w:kern w:val="0"/>
                <w:sz w:val="32"/>
                <w:szCs w:val="32"/>
                <w:u w:val="none"/>
                <w:lang w:val="en-US" w:eastAsia="zh-CN"/>
              </w:rPr>
              <w:t>资格符合性审查表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095" w:type="dxa"/>
            <w:gridSpan w:val="6"/>
            <w:tcBorders>
              <w:top w:val="nil"/>
              <w:left w:val="nil"/>
              <w:bottom w:val="nil"/>
              <w:right w:val="nil"/>
            </w:tcBorders>
            <w:vAlign w:val="center"/>
          </w:tcPr>
          <w:p>
            <w:pPr>
              <w:keepNext w:val="0"/>
              <w:keepLines w:val="0"/>
              <w:widowControl/>
              <w:suppressLineNumbers w:val="0"/>
              <w:ind w:right="1103" w:rightChars="525"/>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项目名称：</w:t>
            </w:r>
            <w:r>
              <w:rPr>
                <w:rFonts w:hint="eastAsia"/>
                <w:lang w:eastAsia="zh-CN"/>
              </w:rPr>
              <w:t>科技兴海深蓝智谷孵化基地多媒体设备采购安装</w:t>
            </w:r>
            <w:r>
              <w:rPr>
                <w:rFonts w:hint="eastAsia"/>
              </w:rPr>
              <w:t>项目</w:t>
            </w:r>
            <w:r>
              <w:rPr>
                <w:rFonts w:hint="eastAsia" w:ascii="宋体" w:hAnsi="宋体" w:eastAsia="宋体" w:cs="宋体"/>
                <w:i w:val="0"/>
                <w:iCs w:val="0"/>
                <w:color w:val="000000"/>
                <w:kern w:val="0"/>
                <w:sz w:val="28"/>
                <w:szCs w:val="28"/>
                <w:u w:val="none"/>
                <w:lang w:val="en-US" w:eastAsia="zh-CN"/>
              </w:rPr>
              <w:t xml:space="preserve">  </w:t>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8"/>
                <w:szCs w:val="28"/>
                <w:u w:val="none"/>
                <w:lang w:val="en-US" w:eastAsia="zh-CN"/>
              </w:rPr>
              <w:t>日期</w:t>
            </w:r>
            <w:r>
              <w:rPr>
                <w:rFonts w:hint="eastAsia" w:ascii="宋体" w:hAnsi="宋体" w:eastAsia="宋体" w:cs="宋体"/>
                <w:i w:val="0"/>
                <w:iCs w:val="0"/>
                <w:color w:val="000000"/>
                <w:kern w:val="0"/>
                <w:sz w:val="24"/>
                <w:szCs w:val="24"/>
                <w:u w:val="none"/>
                <w:lang w:val="en-US" w:eastAsia="zh-CN"/>
              </w:rPr>
              <w:t>：2021年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41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审查</w:t>
            </w:r>
            <w:r>
              <w:rPr>
                <w:rFonts w:hint="eastAsia" w:ascii="宋体" w:hAnsi="宋体" w:eastAsia="宋体" w:cs="宋体"/>
                <w:i w:val="0"/>
                <w:iCs w:val="0"/>
                <w:color w:val="000000"/>
                <w:kern w:val="0"/>
                <w:sz w:val="28"/>
                <w:szCs w:val="28"/>
                <w:u w:val="none"/>
                <w:lang w:val="en-US" w:eastAsia="zh-CN"/>
              </w:rPr>
              <w:t xml:space="preserve">项目     </w:t>
            </w:r>
          </w:p>
        </w:tc>
        <w:tc>
          <w:tcPr>
            <w:tcW w:w="41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投标人名称</w:t>
            </w:r>
          </w:p>
        </w:tc>
        <w:tc>
          <w:tcPr>
            <w:tcW w:w="10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1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投标文件密封性完好。</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提供营业执照复印件（加盖公司公章）。</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法定代表人证明书、法人授权委托书原件，被委托人身份证、法人代表身份证复印件。</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rPr>
              <w:t>交纳投标保证金的银行转账单复印件。</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kern w:val="0"/>
                <w:sz w:val="24"/>
                <w:szCs w:val="24"/>
                <w:highlight w:val="none"/>
              </w:rPr>
              <w:t>投标人须提供响应本次招标的硬件厂家授权的复印文件，并盖公章。</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近两年</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2019年10月1日至今</w:t>
            </w:r>
            <w:r>
              <w:rPr>
                <w:rFonts w:hint="eastAsia" w:ascii="宋体" w:hAnsi="宋体" w:cs="宋体"/>
                <w:kern w:val="0"/>
                <w:sz w:val="24"/>
                <w:szCs w:val="24"/>
                <w:lang w:eastAsia="zh-CN"/>
              </w:rPr>
              <w:t>）</w:t>
            </w:r>
            <w:r>
              <w:rPr>
                <w:rFonts w:hint="eastAsia" w:ascii="宋体" w:hAnsi="宋体" w:eastAsia="宋体" w:cs="宋体"/>
                <w:kern w:val="0"/>
                <w:sz w:val="24"/>
                <w:szCs w:val="24"/>
              </w:rPr>
              <w:t>有类似业绩。</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投标人未被列入“信用中国”网站(www.creditchina.gov.cn)“失信被执行人或企业经营异常名录或重大税收违法案件当事人名单”(提供以上信用信息查询记录其中一项截图，加盖本单位公章)</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投标人应在招标公告</w:t>
            </w:r>
            <w:r>
              <w:rPr>
                <w:rFonts w:hint="eastAsia" w:ascii="宋体" w:hAnsi="宋体" w:cs="宋体"/>
                <w:i w:val="0"/>
                <w:iCs w:val="0"/>
                <w:color w:val="000000"/>
                <w:kern w:val="0"/>
                <w:sz w:val="24"/>
                <w:szCs w:val="24"/>
                <w:u w:val="none"/>
                <w:lang w:val="en-US" w:eastAsia="zh-CN"/>
              </w:rPr>
              <w:t>公示之日起</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3</w:t>
            </w:r>
            <w:r>
              <w:rPr>
                <w:rFonts w:hint="eastAsia" w:ascii="宋体" w:hAnsi="宋体" w:eastAsia="宋体" w:cs="宋体"/>
                <w:i w:val="0"/>
                <w:iCs w:val="0"/>
                <w:color w:val="000000"/>
                <w:kern w:val="0"/>
                <w:sz w:val="24"/>
                <w:szCs w:val="24"/>
                <w:u w:val="none"/>
                <w:lang w:val="en-US" w:eastAsia="zh-CN"/>
              </w:rPr>
              <w:t>个工作日内到科技兴海深蓝智谷孵化基地进行现场勘查。</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4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不超最高限价。</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8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009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备注：每一项目符合的打“</w:t>
            </w:r>
            <w:r>
              <w:rPr>
                <w:rFonts w:hint="eastAsia" w:ascii="宋体" w:hAnsi="宋体" w:eastAsia="宋体" w:cs="宋体"/>
                <w:b/>
                <w:bCs/>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”，不符合的打“</w:t>
            </w:r>
            <w:r>
              <w:rPr>
                <w:rFonts w:hint="eastAsia" w:ascii="宋体" w:hAnsi="宋体" w:eastAsia="宋体" w:cs="宋体"/>
                <w:b/>
                <w:bCs/>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”；所有项目符合为</w:t>
            </w:r>
            <w:r>
              <w:rPr>
                <w:rFonts w:hint="eastAsia" w:ascii="宋体" w:hAnsi="宋体" w:eastAsia="宋体" w:cs="宋体"/>
                <w:b/>
                <w:bCs/>
                <w:i w:val="0"/>
                <w:iCs w:val="0"/>
                <w:color w:val="000000"/>
                <w:kern w:val="0"/>
                <w:sz w:val="24"/>
                <w:szCs w:val="24"/>
                <w:u w:val="none"/>
                <w:lang w:val="en-US" w:eastAsia="zh-CN"/>
              </w:rPr>
              <w:t>通过</w:t>
            </w:r>
            <w:r>
              <w:rPr>
                <w:rFonts w:hint="eastAsia" w:ascii="宋体" w:hAnsi="宋体" w:eastAsia="宋体" w:cs="宋体"/>
                <w:i w:val="0"/>
                <w:iCs w:val="0"/>
                <w:color w:val="000000"/>
                <w:kern w:val="0"/>
                <w:sz w:val="24"/>
                <w:szCs w:val="24"/>
                <w:u w:val="none"/>
                <w:lang w:val="en-US" w:eastAsia="zh-CN"/>
              </w:rPr>
              <w:t>，出现一个“</w:t>
            </w:r>
            <w:r>
              <w:rPr>
                <w:rFonts w:hint="eastAsia" w:ascii="宋体" w:hAnsi="宋体" w:eastAsia="宋体" w:cs="宋体"/>
                <w:b/>
                <w:bCs/>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”的结论为</w:t>
            </w:r>
            <w:r>
              <w:rPr>
                <w:rFonts w:hint="eastAsia" w:ascii="宋体" w:hAnsi="宋体" w:eastAsia="宋体" w:cs="宋体"/>
                <w:b/>
                <w:bCs/>
                <w:i w:val="0"/>
                <w:iCs w:val="0"/>
                <w:color w:val="000000"/>
                <w:kern w:val="0"/>
                <w:sz w:val="24"/>
                <w:szCs w:val="24"/>
                <w:u w:val="none"/>
                <w:lang w:val="en-US" w:eastAsia="zh-CN"/>
              </w:rPr>
              <w:t>不通过</w:t>
            </w:r>
            <w:r>
              <w:rPr>
                <w:rFonts w:hint="eastAsia" w:ascii="宋体" w:hAnsi="宋体" w:eastAsia="宋体" w:cs="宋体"/>
                <w:i w:val="0"/>
                <w:iCs w:val="0"/>
                <w:color w:val="000000"/>
                <w:kern w:val="0"/>
                <w:sz w:val="24"/>
                <w:szCs w:val="24"/>
                <w:u w:val="none"/>
                <w:lang w:val="en-US" w:eastAsia="zh-CN"/>
              </w:rPr>
              <w:t>。</w:t>
            </w:r>
          </w:p>
        </w:tc>
      </w:tr>
      <w:bookmarkEnd w:id="74"/>
      <w:bookmarkEnd w:id="75"/>
      <w:bookmarkEnd w:id="76"/>
    </w:tbl>
    <w:p>
      <w:pPr>
        <w:rPr>
          <w:rFonts w:hint="eastAsia"/>
        </w:rPr>
      </w:pPr>
    </w:p>
    <w:p>
      <w:pPr>
        <w:jc w:val="left"/>
        <w:outlineLvl w:val="0"/>
        <w:rPr>
          <w:rFonts w:hint="eastAsia" w:ascii="宋体" w:hAnsi="宋体" w:eastAsia="宋体" w:cs="宋体"/>
          <w:sz w:val="24"/>
          <w:szCs w:val="24"/>
        </w:rPr>
      </w:pPr>
      <w:bookmarkStart w:id="77" w:name="_Toc16974"/>
      <w:r>
        <w:rPr>
          <w:rFonts w:hint="eastAsia" w:ascii="宋体" w:hAnsi="宋体" w:eastAsia="宋体" w:cs="宋体"/>
          <w:color w:val="000000"/>
          <w:sz w:val="24"/>
          <w:szCs w:val="24"/>
        </w:rPr>
        <w:t>评委签名：                            日期：     年   月   日</w:t>
      </w:r>
      <w:bookmarkEnd w:id="77"/>
    </w:p>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000010101"/>
    <w:charset w:val="86"/>
    <w:family w:val="auto"/>
    <w:pitch w:val="default"/>
    <w:sig w:usb0="00000000" w:usb1="00000000" w:usb2="00000016" w:usb3="00000000" w:csb0="0004000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2010601030000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jc w:val="center"/>
                          </w:pPr>
                          <w:r>
                            <w:fldChar w:fldCharType="begin"/>
                          </w:r>
                          <w:r>
                            <w:instrText xml:space="preserve">PAGE   \* MERGEFORMAT</w:instrText>
                          </w:r>
                          <w:r>
                            <w:fldChar w:fldCharType="separate"/>
                          </w:r>
                          <w:r>
                            <w:rPr>
                              <w:lang w:val="zh-CN"/>
                            </w:rPr>
                            <w:t>9</w:t>
                          </w:r>
                          <w:r>
                            <w:fldChar w:fldCharType="end"/>
                          </w:r>
                        </w:p>
                        <w:p>
                          <w:pPr>
                            <w:pStyle w:val="2"/>
                          </w:pP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9</w:t>
                    </w:r>
                    <w:r>
                      <w:fldChar w:fldCharType="end"/>
                    </w:r>
                  </w:p>
                  <w:p>
                    <w:pPr>
                      <w:pStyle w:val="2"/>
                    </w:pPr>
                  </w:p>
                </w:txbxContent>
              </v:textbox>
            </v:rect>
          </w:pict>
        </mc:Fallback>
      </mc:AlternateContent>
    </w:r>
  </w:p>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60" w:firstLineChars="2200"/>
      <w:rPr>
        <w:kern w:val="0"/>
        <w:szCs w:val="21"/>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h+FuTEAQAAiA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mc:Fallback>
      </mc:AlternateContent>
    </w:r>
  </w:p>
  <w:p>
    <w:pPr>
      <w:pStyle w:val="8"/>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NODsMMBAACHAwAADgAAAAAAAAABACAAAAAfAQAAZHJzL2Uyb0RvYy54bWxQ&#10;SwUGAAAAAAYABgBZAQAAVA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7"/>
      <w:numFmt w:val="chineseCounting"/>
      <w:suff w:val="space"/>
      <w:lvlText w:val="%1、"/>
      <w:lvlJc w:val="left"/>
      <w:rPr>
        <w:rFonts w:hint="eastAsia"/>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2"/>
      <w:numFmt w:val="chineseCounting"/>
      <w:suff w:val="nothing"/>
      <w:lvlText w:val="（%1）"/>
      <w:lvlJc w:val="left"/>
      <w:rPr>
        <w:rFonts w:hint="eastAsia"/>
      </w:rPr>
    </w:lvl>
  </w:abstractNum>
  <w:abstractNum w:abstractNumId="7">
    <w:nsid w:val="00000007"/>
    <w:multiLevelType w:val="multilevel"/>
    <w:tmpl w:val="00000007"/>
    <w:lvl w:ilvl="0" w:tentative="0">
      <w:start w:val="1"/>
      <w:numFmt w:val="decimal"/>
      <w:lvlText w:val="%1."/>
      <w:lvlJc w:val="left"/>
      <w:pPr>
        <w:ind w:left="248" w:hanging="24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singleLevel"/>
    <w:tmpl w:val="00000008"/>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5"/>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A1AB4"/>
    <w:rsid w:val="16545AC8"/>
    <w:rsid w:val="203F6C59"/>
    <w:rsid w:val="256A3272"/>
    <w:rsid w:val="27AC50FC"/>
    <w:rsid w:val="2E9A7A8A"/>
    <w:rsid w:val="3B2A3AB9"/>
    <w:rsid w:val="3DBC0CB9"/>
    <w:rsid w:val="43A16FC7"/>
    <w:rsid w:val="45E92B8A"/>
    <w:rsid w:val="474572DE"/>
    <w:rsid w:val="48706167"/>
    <w:rsid w:val="531F09E0"/>
    <w:rsid w:val="568813B5"/>
    <w:rsid w:val="59516883"/>
    <w:rsid w:val="59F709E2"/>
    <w:rsid w:val="5EEE1870"/>
    <w:rsid w:val="5EF5261A"/>
    <w:rsid w:val="5FD11818"/>
    <w:rsid w:val="62C3441D"/>
    <w:rsid w:val="656E27C1"/>
    <w:rsid w:val="6726185B"/>
    <w:rsid w:val="6A314FCE"/>
    <w:rsid w:val="6E3B6C33"/>
    <w:rsid w:val="70ED5BC9"/>
    <w:rsid w:val="753F2B5F"/>
    <w:rsid w:val="7C0D4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2"/>
    <w:basedOn w:val="1"/>
    <w:next w:val="1"/>
    <w:qFormat/>
    <w:uiPriority w:val="0"/>
    <w:pPr>
      <w:ind w:left="520"/>
      <w:jc w:val="left"/>
    </w:pPr>
    <w:rPr>
      <w:rFonts w:ascii="Times New Roman" w:hAnsi="Times New Roman"/>
      <w:smallCaps/>
      <w:sz w:val="20"/>
      <w:szCs w:val="20"/>
    </w:rPr>
  </w:style>
  <w:style w:type="character" w:styleId="12">
    <w:name w:val="Hyperlink"/>
    <w:qFormat/>
    <w:uiPriority w:val="0"/>
    <w:rPr>
      <w:color w:val="777777"/>
      <w:u w:val="none"/>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Chars="200"/>
    </w:pPr>
    <w:rPr>
      <w:rFonts w:ascii="Times New Roman" w:hAnsi="Times New Roman" w:eastAsia="宋体" w:cs="Times New Roman"/>
      <w:lang w:val="en-US" w:eastAsia="zh-CN" w:bidi="ar-SA"/>
    </w:rPr>
  </w:style>
  <w:style w:type="paragraph" w:customStyle="1" w:styleId="15">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
    <w:name w:val="UserStyle_25"/>
    <w:basedOn w:val="1"/>
    <w:qFormat/>
    <w:uiPriority w:val="0"/>
    <w:pPr>
      <w:jc w:val="left"/>
    </w:pPr>
    <w:rPr>
      <w:rFonts w:ascii="宋体" w:hAnsi="Times New Roman"/>
      <w:kern w:val="0"/>
      <w:sz w:val="24"/>
    </w:rPr>
  </w:style>
  <w:style w:type="character" w:customStyle="1" w:styleId="17">
    <w:name w:val="NormalCharacter"/>
    <w:qFormat/>
    <w:uiPriority w:val="0"/>
  </w:style>
  <w:style w:type="paragraph" w:styleId="18">
    <w:name w:val="List Paragraph"/>
    <w:basedOn w:val="1"/>
    <w:qFormat/>
    <w:uiPriority w:val="34"/>
    <w:pPr>
      <w:ind w:firstLine="420" w:firstLineChars="200"/>
    </w:pPr>
    <w:rPr>
      <w:rFonts w:ascii="Calibri" w:hAnsi="Calibri" w:eastAsia="宋体" w:cs="Times New Roman"/>
    </w:rPr>
  </w:style>
  <w:style w:type="paragraph" w:customStyle="1" w:styleId="19">
    <w:name w:val="正文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959dc83-56e9-4d27-9496-9f59b0e17f36}">
  <ds:schemaRefs/>
</ds:datastoreItem>
</file>

<file path=customXml/itemProps11.xml><?xml version="1.0" encoding="utf-8"?>
<ds:datastoreItem xmlns:ds="http://schemas.openxmlformats.org/officeDocument/2006/customXml" ds:itemID="{30c35d1a-d85b-4c91-ade3-39814f89dbcc}">
  <ds:schemaRefs/>
</ds:datastoreItem>
</file>

<file path=customXml/itemProps12.xml><?xml version="1.0" encoding="utf-8"?>
<ds:datastoreItem xmlns:ds="http://schemas.openxmlformats.org/officeDocument/2006/customXml" ds:itemID="{223a67f5-78cc-4a63-8149-eadcb20f6a42}">
  <ds:schemaRefs/>
</ds:datastoreItem>
</file>

<file path=customXml/itemProps13.xml><?xml version="1.0" encoding="utf-8"?>
<ds:datastoreItem xmlns:ds="http://schemas.openxmlformats.org/officeDocument/2006/customXml" ds:itemID="{f1139b76-6887-450f-a127-d3673ca3f155}">
  <ds:schemaRefs/>
</ds:datastoreItem>
</file>

<file path=customXml/itemProps14.xml><?xml version="1.0" encoding="utf-8"?>
<ds:datastoreItem xmlns:ds="http://schemas.openxmlformats.org/officeDocument/2006/customXml" ds:itemID="{70ecdd14-5e7e-40e4-bbd0-0bc6c24fa679}">
  <ds:schemaRefs/>
</ds:datastoreItem>
</file>

<file path=customXml/itemProps2.xml><?xml version="1.0" encoding="utf-8"?>
<ds:datastoreItem xmlns:ds="http://schemas.openxmlformats.org/officeDocument/2006/customXml" ds:itemID="{2beb72ec-69ce-4d0d-815a-d58a1a865290}">
  <ds:schemaRefs/>
</ds:datastoreItem>
</file>

<file path=customXml/itemProps3.xml><?xml version="1.0" encoding="utf-8"?>
<ds:datastoreItem xmlns:ds="http://schemas.openxmlformats.org/officeDocument/2006/customXml" ds:itemID="{6661a47c-710d-4e1c-acef-4b3b24c6a75a}">
  <ds:schemaRefs/>
</ds:datastoreItem>
</file>

<file path=customXml/itemProps4.xml><?xml version="1.0" encoding="utf-8"?>
<ds:datastoreItem xmlns:ds="http://schemas.openxmlformats.org/officeDocument/2006/customXml" ds:itemID="{c2cb5065-9521-4e06-9646-83d4c273addd}">
  <ds:schemaRefs/>
</ds:datastoreItem>
</file>

<file path=customXml/itemProps5.xml><?xml version="1.0" encoding="utf-8"?>
<ds:datastoreItem xmlns:ds="http://schemas.openxmlformats.org/officeDocument/2006/customXml" ds:itemID="{a9bd123f-a3a0-4711-ba32-55fd44c38fdb}">
  <ds:schemaRefs/>
</ds:datastoreItem>
</file>

<file path=customXml/itemProps6.xml><?xml version="1.0" encoding="utf-8"?>
<ds:datastoreItem xmlns:ds="http://schemas.openxmlformats.org/officeDocument/2006/customXml" ds:itemID="{14c1abaf-7371-4699-937f-ca76a1654397}">
  <ds:schemaRefs/>
</ds:datastoreItem>
</file>

<file path=customXml/itemProps7.xml><?xml version="1.0" encoding="utf-8"?>
<ds:datastoreItem xmlns:ds="http://schemas.openxmlformats.org/officeDocument/2006/customXml" ds:itemID="{fe5dbb06-8a50-4122-8928-cc6b3f113da0}">
  <ds:schemaRefs/>
</ds:datastoreItem>
</file>

<file path=customXml/itemProps8.xml><?xml version="1.0" encoding="utf-8"?>
<ds:datastoreItem xmlns:ds="http://schemas.openxmlformats.org/officeDocument/2006/customXml" ds:itemID="{d5141277-f439-4930-afea-7eabf0171556}">
  <ds:schemaRefs/>
</ds:datastoreItem>
</file>

<file path=customXml/itemProps9.xml><?xml version="1.0" encoding="utf-8"?>
<ds:datastoreItem xmlns:ds="http://schemas.openxmlformats.org/officeDocument/2006/customXml" ds:itemID="{1532fb19-899a-407c-8998-d798d6affcae}">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13339</Words>
  <Characters>14638</Characters>
  <Paragraphs>1214</Paragraphs>
  <TotalTime>21</TotalTime>
  <ScaleCrop>false</ScaleCrop>
  <LinksUpToDate>false</LinksUpToDate>
  <CharactersWithSpaces>15770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2021-12-21T08:10:23Z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9BFA5A660BD04BE996AA43511777CF83</vt:lpwstr>
  </property>
</Properties>
</file>