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ind w:firstLine="400"/>
        <w:rPr>
          <w:color w:val="auto"/>
          <w:sz w:val="20"/>
          <w:szCs w:val="20"/>
          <w:highlight w:val="none"/>
        </w:rPr>
      </w:pP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adjustRightInd w:val="0"/>
        <w:snapToGrid w:val="0"/>
        <w:spacing w:line="360" w:lineRule="auto"/>
        <w:jc w:val="center"/>
        <w:rPr>
          <w:rFonts w:hint="eastAsia" w:ascii="宋体" w:hAnsi="宋体" w:eastAsia="黑体"/>
          <w:color w:val="auto"/>
          <w:sz w:val="44"/>
          <w:szCs w:val="44"/>
          <w:highlight w:val="none"/>
          <w:lang w:eastAsia="zh-CN"/>
        </w:rPr>
      </w:pPr>
      <w:r>
        <w:rPr>
          <w:rFonts w:hint="eastAsia" w:ascii="宋体" w:hAnsi="宋体" w:eastAsia="黑体"/>
          <w:color w:val="auto"/>
          <w:sz w:val="44"/>
          <w:szCs w:val="44"/>
          <w:highlight w:val="none"/>
          <w:lang w:eastAsia="zh-CN"/>
        </w:rPr>
        <w:t>南沙湿地二期“湿地景区公益植树林”项目</w:t>
      </w:r>
    </w:p>
    <w:p>
      <w:pPr>
        <w:adjustRightInd w:val="0"/>
        <w:snapToGrid w:val="0"/>
        <w:spacing w:line="360" w:lineRule="auto"/>
        <w:jc w:val="center"/>
        <w:rPr>
          <w:rFonts w:ascii="宋体" w:hAnsi="宋体" w:eastAsia="黑体"/>
          <w:color w:val="auto"/>
          <w:sz w:val="44"/>
          <w:szCs w:val="44"/>
          <w:highlight w:val="none"/>
        </w:rPr>
      </w:pPr>
      <w:r>
        <w:rPr>
          <w:rFonts w:hint="eastAsia" w:ascii="宋体" w:hAnsi="宋体" w:eastAsia="黑体"/>
          <w:color w:val="auto"/>
          <w:sz w:val="44"/>
          <w:szCs w:val="44"/>
          <w:highlight w:val="none"/>
        </w:rPr>
        <w:t>设计施工总承包</w:t>
      </w:r>
    </w:p>
    <w:p>
      <w:pPr>
        <w:adjustRightInd w:val="0"/>
        <w:snapToGrid w:val="0"/>
        <w:spacing w:line="360" w:lineRule="auto"/>
        <w:jc w:val="center"/>
        <w:rPr>
          <w:rFonts w:ascii="黑体" w:eastAsia="黑体"/>
          <w:color w:val="auto"/>
          <w:sz w:val="48"/>
          <w:szCs w:val="48"/>
          <w:highlight w:val="none"/>
        </w:rPr>
      </w:pPr>
    </w:p>
    <w:p>
      <w:pPr>
        <w:rPr>
          <w:color w:val="auto"/>
          <w:sz w:val="28"/>
          <w:szCs w:val="28"/>
          <w:highlight w:val="none"/>
        </w:rPr>
      </w:pPr>
    </w:p>
    <w:p>
      <w:pPr>
        <w:rPr>
          <w:color w:val="auto"/>
          <w:sz w:val="28"/>
          <w:szCs w:val="28"/>
          <w:highlight w:val="none"/>
        </w:rPr>
      </w:pPr>
    </w:p>
    <w:p>
      <w:pPr>
        <w:rPr>
          <w:color w:val="auto"/>
          <w:sz w:val="28"/>
          <w:szCs w:val="28"/>
          <w:highlight w:val="none"/>
        </w:rPr>
      </w:pPr>
    </w:p>
    <w:p>
      <w:pPr>
        <w:jc w:val="center"/>
        <w:rPr>
          <w:rFonts w:ascii="黑体" w:eastAsia="黑体"/>
          <w:color w:val="auto"/>
          <w:sz w:val="72"/>
          <w:szCs w:val="72"/>
          <w:highlight w:val="none"/>
        </w:rPr>
      </w:pPr>
      <w:r>
        <w:rPr>
          <w:rFonts w:hint="eastAsia" w:ascii="黑体" w:eastAsia="黑体"/>
          <w:color w:val="auto"/>
          <w:sz w:val="72"/>
          <w:szCs w:val="72"/>
          <w:highlight w:val="none"/>
        </w:rPr>
        <w:t>招标文件</w:t>
      </w: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tabs>
          <w:tab w:val="left" w:pos="7067"/>
        </w:tabs>
        <w:spacing w:line="360" w:lineRule="auto"/>
        <w:ind w:firstLine="1506" w:firstLineChars="500"/>
        <w:rPr>
          <w:rFonts w:hint="eastAsia" w:ascii="宋体" w:hAnsi="宋体" w:eastAsia="宋体" w:cs="宋体"/>
          <w:b/>
          <w:color w:val="auto"/>
          <w:sz w:val="30"/>
          <w:szCs w:val="30"/>
          <w:highlight w:val="none"/>
          <w:lang w:eastAsia="zh-CN"/>
        </w:rPr>
      </w:pPr>
      <w:bookmarkStart w:id="0" w:name="_Toc494371510"/>
      <w:bookmarkStart w:id="1" w:name="_Toc300834926"/>
      <w:bookmarkStart w:id="2" w:name="_Toc247527532"/>
      <w:bookmarkStart w:id="3" w:name="_Toc19474"/>
      <w:bookmarkStart w:id="4" w:name="_Toc24489"/>
      <w:bookmarkStart w:id="5" w:name="_Toc152042286"/>
      <w:bookmarkStart w:id="6" w:name="_Toc20398"/>
      <w:bookmarkStart w:id="7" w:name="_Toc23644"/>
      <w:bookmarkStart w:id="8" w:name="_Toc27659"/>
      <w:bookmarkStart w:id="9" w:name="_Toc144974478"/>
      <w:bookmarkStart w:id="10" w:name="_Toc24129"/>
      <w:bookmarkStart w:id="11" w:name="_Toc28091"/>
      <w:bookmarkStart w:id="12" w:name="_Toc17935"/>
      <w:bookmarkStart w:id="13" w:name="_Toc363"/>
      <w:bookmarkStart w:id="14" w:name="_Toc726"/>
      <w:r>
        <w:rPr>
          <w:rFonts w:hint="eastAsia" w:ascii="宋体" w:hAnsi="宋体" w:cs="宋体"/>
          <w:b/>
          <w:color w:val="auto"/>
          <w:sz w:val="30"/>
          <w:szCs w:val="30"/>
          <w:highlight w:val="none"/>
        </w:rPr>
        <w:t>招标单位：</w:t>
      </w:r>
      <w:r>
        <w:rPr>
          <w:rFonts w:hint="eastAsia" w:ascii="宋体" w:hAnsi="宋体" w:cs="宋体"/>
          <w:b/>
          <w:color w:val="auto"/>
          <w:sz w:val="30"/>
          <w:szCs w:val="30"/>
          <w:highlight w:val="none"/>
          <w:lang w:eastAsia="zh-CN"/>
        </w:rPr>
        <w:t>广州南沙湿地旅游发展有限公司</w:t>
      </w:r>
    </w:p>
    <w:p>
      <w:pPr>
        <w:tabs>
          <w:tab w:val="left" w:pos="7067"/>
        </w:tabs>
        <w:spacing w:line="360" w:lineRule="auto"/>
        <w:ind w:firstLine="1506" w:firstLineChars="500"/>
        <w:rPr>
          <w:rFonts w:ascii="宋体" w:hAnsi="宋体" w:cs="宋体"/>
          <w:b/>
          <w:color w:val="auto"/>
          <w:sz w:val="30"/>
          <w:szCs w:val="30"/>
          <w:highlight w:val="none"/>
        </w:rPr>
      </w:pPr>
      <w:r>
        <w:rPr>
          <w:rFonts w:hint="eastAsia" w:ascii="宋体" w:hAnsi="宋体" w:cs="宋体"/>
          <w:b/>
          <w:color w:val="auto"/>
          <w:sz w:val="30"/>
          <w:szCs w:val="30"/>
          <w:highlight w:val="none"/>
        </w:rPr>
        <w:t>建设管理单位：广州南沙建设维护管理有限公司</w:t>
      </w:r>
    </w:p>
    <w:p>
      <w:pPr>
        <w:tabs>
          <w:tab w:val="left" w:pos="7067"/>
        </w:tabs>
        <w:spacing w:line="360" w:lineRule="auto"/>
        <w:ind w:firstLine="1506" w:firstLineChars="500"/>
        <w:rPr>
          <w:rFonts w:ascii="宋体" w:hAnsi="宋体" w:cs="宋体"/>
          <w:b/>
          <w:color w:val="auto"/>
          <w:sz w:val="30"/>
          <w:szCs w:val="30"/>
          <w:highlight w:val="none"/>
        </w:rPr>
      </w:pPr>
      <w:r>
        <w:rPr>
          <w:rFonts w:hint="eastAsia" w:ascii="宋体" w:hAnsi="宋体" w:cs="宋体"/>
          <w:b/>
          <w:color w:val="auto"/>
          <w:sz w:val="30"/>
          <w:szCs w:val="30"/>
          <w:highlight w:val="none"/>
        </w:rPr>
        <w:t>日    期：</w:t>
      </w:r>
      <w:r>
        <w:rPr>
          <w:rFonts w:hint="eastAsia" w:ascii="宋体" w:hAnsi="宋体" w:cs="宋体"/>
          <w:b/>
          <w:color w:val="auto"/>
          <w:sz w:val="30"/>
          <w:szCs w:val="30"/>
          <w:highlight w:val="none"/>
          <w:lang w:val="en-US" w:eastAsia="zh-CN"/>
        </w:rPr>
        <w:t>2022</w:t>
      </w:r>
      <w:r>
        <w:rPr>
          <w:rFonts w:hint="eastAsia" w:ascii="宋体" w:hAnsi="宋体" w:cs="宋体"/>
          <w:b/>
          <w:color w:val="auto"/>
          <w:sz w:val="30"/>
          <w:szCs w:val="30"/>
          <w:highlight w:val="none"/>
        </w:rPr>
        <w:t>年</w:t>
      </w:r>
      <w:r>
        <w:rPr>
          <w:rFonts w:hint="eastAsia" w:ascii="宋体" w:hAnsi="宋体" w:cs="宋体"/>
          <w:b/>
          <w:color w:val="auto"/>
          <w:sz w:val="30"/>
          <w:szCs w:val="30"/>
          <w:highlight w:val="none"/>
          <w:lang w:val="en-US" w:eastAsia="zh-CN"/>
        </w:rPr>
        <w:t>2</w:t>
      </w:r>
      <w:r>
        <w:rPr>
          <w:rFonts w:hint="eastAsia" w:ascii="宋体" w:hAnsi="宋体" w:cs="宋体"/>
          <w:b/>
          <w:color w:val="auto"/>
          <w:sz w:val="30"/>
          <w:szCs w:val="30"/>
          <w:highlight w:val="none"/>
        </w:rPr>
        <w:t>月</w:t>
      </w:r>
    </w:p>
    <w:p>
      <w:pPr>
        <w:pStyle w:val="32"/>
        <w:ind w:firstLine="405"/>
        <w:jc w:val="center"/>
        <w:rPr>
          <w:b/>
          <w:color w:val="auto"/>
          <w:sz w:val="32"/>
          <w:szCs w:val="32"/>
          <w:highlight w:val="none"/>
        </w:rPr>
        <w:sectPr>
          <w:headerReference r:id="rId3" w:type="default"/>
          <w:endnotePr>
            <w:numFmt w:val="decimal"/>
          </w:endnotePr>
          <w:pgSz w:w="11906" w:h="16838"/>
          <w:pgMar w:top="1361" w:right="1304" w:bottom="1247" w:left="1304" w:header="851" w:footer="992" w:gutter="0"/>
          <w:cols w:space="720" w:num="1"/>
          <w:docGrid w:type="lines" w:linePitch="312" w:charSpace="0"/>
        </w:sectPr>
      </w:pPr>
    </w:p>
    <w:p>
      <w:pPr>
        <w:pStyle w:val="3"/>
        <w:jc w:val="center"/>
        <w:rPr>
          <w:color w:val="auto"/>
          <w:highlight w:val="none"/>
        </w:rPr>
      </w:pPr>
      <w:bookmarkStart w:id="15" w:name="_Toc816"/>
      <w:r>
        <w:rPr>
          <w:rFonts w:hint="eastAsia"/>
          <w:color w:val="auto"/>
          <w:highlight w:val="none"/>
        </w:rPr>
        <w:t>目录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pPr>
        <w:pStyle w:val="26"/>
        <w:tabs>
          <w:tab w:val="right" w:leader="dot" w:pos="9411"/>
        </w:tabs>
        <w:rPr>
          <w:color w:val="auto"/>
          <w:highlight w:val="none"/>
        </w:rPr>
      </w:pPr>
      <w:bookmarkStart w:id="16" w:name="_Toc247527533"/>
      <w:bookmarkStart w:id="17" w:name="_Toc247513932"/>
      <w:bookmarkStart w:id="18" w:name="_Toc144974479"/>
      <w:bookmarkStart w:id="19" w:name="_Toc152045511"/>
      <w:bookmarkStart w:id="20" w:name="_Toc152042287"/>
      <w:r>
        <w:rPr>
          <w:caps w:val="0"/>
          <w:color w:val="auto"/>
          <w:sz w:val="28"/>
          <w:szCs w:val="28"/>
          <w:highlight w:val="none"/>
        </w:rPr>
        <w:fldChar w:fldCharType="begin"/>
      </w:r>
      <w:r>
        <w:rPr>
          <w:caps w:val="0"/>
          <w:color w:val="auto"/>
          <w:sz w:val="28"/>
          <w:szCs w:val="28"/>
          <w:highlight w:val="none"/>
        </w:rPr>
        <w:instrText xml:space="preserve">TOC \o "1-2" \h \u </w:instrText>
      </w:r>
      <w:r>
        <w:rPr>
          <w:caps w:val="0"/>
          <w:color w:val="auto"/>
          <w:sz w:val="28"/>
          <w:szCs w:val="28"/>
          <w:highlight w:val="none"/>
        </w:rPr>
        <w:fldChar w:fldCharType="separate"/>
      </w:r>
      <w:r>
        <w:rPr>
          <w:color w:val="auto"/>
          <w:highlight w:val="none"/>
        </w:rPr>
        <w:fldChar w:fldCharType="begin"/>
      </w:r>
      <w:r>
        <w:rPr>
          <w:color w:val="auto"/>
          <w:highlight w:val="none"/>
        </w:rPr>
        <w:instrText xml:space="preserve"> HYPERLINK \l "_Toc816" </w:instrText>
      </w:r>
      <w:r>
        <w:rPr>
          <w:color w:val="auto"/>
          <w:highlight w:val="none"/>
        </w:rPr>
        <w:fldChar w:fldCharType="separate"/>
      </w:r>
      <w:r>
        <w:rPr>
          <w:rFonts w:hint="eastAsia"/>
          <w:color w:val="auto"/>
          <w:highlight w:val="none"/>
        </w:rPr>
        <w:t>目录</w:t>
      </w:r>
      <w:r>
        <w:rPr>
          <w:color w:val="auto"/>
          <w:highlight w:val="none"/>
        </w:rPr>
        <w:tab/>
      </w:r>
      <w:r>
        <w:rPr>
          <w:color w:val="auto"/>
          <w:highlight w:val="none"/>
        </w:rPr>
        <w:fldChar w:fldCharType="begin"/>
      </w:r>
      <w:r>
        <w:rPr>
          <w:color w:val="auto"/>
          <w:highlight w:val="none"/>
        </w:rPr>
        <w:instrText xml:space="preserve"> PAGEREF _Toc816 </w:instrText>
      </w:r>
      <w:r>
        <w:rPr>
          <w:color w:val="auto"/>
          <w:highlight w:val="none"/>
        </w:rPr>
        <w:fldChar w:fldCharType="separate"/>
      </w:r>
      <w:r>
        <w:rPr>
          <w:color w:val="auto"/>
          <w:highlight w:val="none"/>
        </w:rPr>
        <w:t>I</w:t>
      </w:r>
      <w:r>
        <w:rPr>
          <w:color w:val="auto"/>
          <w:highlight w:val="none"/>
        </w:rPr>
        <w:fldChar w:fldCharType="end"/>
      </w:r>
      <w:r>
        <w:rPr>
          <w:color w:val="auto"/>
          <w:highlight w:val="none"/>
        </w:rPr>
        <w:fldChar w:fldCharType="end"/>
      </w:r>
    </w:p>
    <w:p>
      <w:pPr>
        <w:pStyle w:val="26"/>
        <w:tabs>
          <w:tab w:val="right" w:leader="dot" w:pos="9411"/>
        </w:tabs>
        <w:rPr>
          <w:color w:val="auto"/>
          <w:highlight w:val="none"/>
        </w:rPr>
      </w:pPr>
      <w:r>
        <w:rPr>
          <w:color w:val="auto"/>
          <w:highlight w:val="none"/>
        </w:rPr>
        <w:fldChar w:fldCharType="begin"/>
      </w:r>
      <w:r>
        <w:rPr>
          <w:color w:val="auto"/>
          <w:highlight w:val="none"/>
        </w:rPr>
        <w:instrText xml:space="preserve"> HYPERLINK \l "_Toc9829" </w:instrText>
      </w:r>
      <w:r>
        <w:rPr>
          <w:color w:val="auto"/>
          <w:highlight w:val="none"/>
        </w:rPr>
        <w:fldChar w:fldCharType="separate"/>
      </w:r>
      <w:r>
        <w:rPr>
          <w:rFonts w:hint="eastAsia"/>
          <w:color w:val="auto"/>
          <w:highlight w:val="none"/>
        </w:rPr>
        <w:t>第一卷</w:t>
      </w:r>
      <w:r>
        <w:rPr>
          <w:color w:val="auto"/>
          <w:highlight w:val="none"/>
        </w:rPr>
        <w:tab/>
      </w:r>
      <w:r>
        <w:rPr>
          <w:color w:val="auto"/>
          <w:highlight w:val="none"/>
        </w:rPr>
        <w:fldChar w:fldCharType="begin"/>
      </w:r>
      <w:r>
        <w:rPr>
          <w:color w:val="auto"/>
          <w:highlight w:val="none"/>
        </w:rPr>
        <w:instrText xml:space="preserve"> PAGEREF _Toc9829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26"/>
        <w:tabs>
          <w:tab w:val="right" w:leader="dot" w:pos="9411"/>
        </w:tabs>
        <w:rPr>
          <w:color w:val="auto"/>
          <w:highlight w:val="none"/>
        </w:rPr>
      </w:pPr>
      <w:r>
        <w:rPr>
          <w:color w:val="auto"/>
          <w:highlight w:val="none"/>
        </w:rPr>
        <w:fldChar w:fldCharType="begin"/>
      </w:r>
      <w:r>
        <w:rPr>
          <w:color w:val="auto"/>
          <w:highlight w:val="none"/>
        </w:rPr>
        <w:instrText xml:space="preserve"> HYPERLINK \l "_Toc16845" </w:instrText>
      </w:r>
      <w:r>
        <w:rPr>
          <w:color w:val="auto"/>
          <w:highlight w:val="none"/>
        </w:rPr>
        <w:fldChar w:fldCharType="separate"/>
      </w:r>
      <w:r>
        <w:rPr>
          <w:rFonts w:hint="eastAsia"/>
          <w:color w:val="auto"/>
          <w:kern w:val="44"/>
          <w:szCs w:val="44"/>
          <w:highlight w:val="none"/>
        </w:rPr>
        <w:t>第一章招标公告（另册）</w:t>
      </w:r>
      <w:r>
        <w:rPr>
          <w:color w:val="auto"/>
          <w:highlight w:val="none"/>
        </w:rPr>
        <w:tab/>
      </w:r>
      <w:r>
        <w:rPr>
          <w:color w:val="auto"/>
          <w:highlight w:val="none"/>
        </w:rPr>
        <w:fldChar w:fldCharType="begin"/>
      </w:r>
      <w:r>
        <w:rPr>
          <w:color w:val="auto"/>
          <w:highlight w:val="none"/>
        </w:rPr>
        <w:instrText xml:space="preserve"> PAGEREF _Toc16845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26"/>
        <w:tabs>
          <w:tab w:val="right" w:leader="dot" w:pos="9411"/>
        </w:tabs>
        <w:rPr>
          <w:color w:val="auto"/>
          <w:highlight w:val="none"/>
        </w:rPr>
      </w:pPr>
      <w:r>
        <w:rPr>
          <w:color w:val="auto"/>
          <w:highlight w:val="none"/>
        </w:rPr>
        <w:fldChar w:fldCharType="begin"/>
      </w:r>
      <w:r>
        <w:rPr>
          <w:color w:val="auto"/>
          <w:highlight w:val="none"/>
        </w:rPr>
        <w:instrText xml:space="preserve"> HYPERLINK \l "_Toc29549" </w:instrText>
      </w:r>
      <w:r>
        <w:rPr>
          <w:color w:val="auto"/>
          <w:highlight w:val="none"/>
        </w:rPr>
        <w:fldChar w:fldCharType="separate"/>
      </w:r>
      <w:r>
        <w:rPr>
          <w:rFonts w:hint="eastAsia"/>
          <w:color w:val="auto"/>
          <w:kern w:val="44"/>
          <w:szCs w:val="44"/>
          <w:highlight w:val="none"/>
        </w:rPr>
        <w:t>第二章投标人须知</w:t>
      </w:r>
      <w:r>
        <w:rPr>
          <w:color w:val="auto"/>
          <w:highlight w:val="none"/>
        </w:rPr>
        <w:tab/>
      </w:r>
      <w:r>
        <w:rPr>
          <w:color w:val="auto"/>
          <w:highlight w:val="none"/>
        </w:rPr>
        <w:fldChar w:fldCharType="begin"/>
      </w:r>
      <w:r>
        <w:rPr>
          <w:color w:val="auto"/>
          <w:highlight w:val="none"/>
        </w:rPr>
        <w:instrText xml:space="preserve"> PAGEREF _Toc29549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30"/>
        <w:tabs>
          <w:tab w:val="right" w:leader="dot" w:pos="9411"/>
        </w:tabs>
        <w:rPr>
          <w:color w:val="auto"/>
          <w:highlight w:val="none"/>
        </w:rPr>
      </w:pPr>
      <w:r>
        <w:rPr>
          <w:color w:val="auto"/>
          <w:highlight w:val="none"/>
        </w:rPr>
        <w:fldChar w:fldCharType="begin"/>
      </w:r>
      <w:r>
        <w:rPr>
          <w:color w:val="auto"/>
          <w:highlight w:val="none"/>
        </w:rPr>
        <w:instrText xml:space="preserve"> HYPERLINK \l "_Toc23094" </w:instrText>
      </w:r>
      <w:r>
        <w:rPr>
          <w:color w:val="auto"/>
          <w:highlight w:val="none"/>
        </w:rPr>
        <w:fldChar w:fldCharType="separate"/>
      </w:r>
      <w:r>
        <w:rPr>
          <w:rFonts w:hint="eastAsia"/>
          <w:color w:val="auto"/>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_Toc23094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30"/>
        <w:tabs>
          <w:tab w:val="right" w:leader="dot" w:pos="9411"/>
        </w:tabs>
        <w:rPr>
          <w:color w:val="auto"/>
          <w:highlight w:val="none"/>
        </w:rPr>
      </w:pPr>
      <w:r>
        <w:rPr>
          <w:color w:val="auto"/>
          <w:highlight w:val="none"/>
        </w:rPr>
        <w:fldChar w:fldCharType="begin"/>
      </w:r>
      <w:r>
        <w:rPr>
          <w:color w:val="auto"/>
          <w:highlight w:val="none"/>
        </w:rPr>
        <w:instrText xml:space="preserve"> HYPERLINK \l "_Toc23892" </w:instrText>
      </w:r>
      <w:r>
        <w:rPr>
          <w:color w:val="auto"/>
          <w:highlight w:val="none"/>
        </w:rPr>
        <w:fldChar w:fldCharType="separate"/>
      </w:r>
      <w:r>
        <w:rPr>
          <w:color w:val="auto"/>
          <w:highlight w:val="none"/>
        </w:rPr>
        <w:t xml:space="preserve">1. </w:t>
      </w:r>
      <w:r>
        <w:rPr>
          <w:rFonts w:hint="eastAsia"/>
          <w:color w:val="auto"/>
          <w:highlight w:val="none"/>
        </w:rPr>
        <w:t>总则</w:t>
      </w:r>
      <w:r>
        <w:rPr>
          <w:color w:val="auto"/>
          <w:highlight w:val="none"/>
        </w:rPr>
        <w:tab/>
      </w:r>
      <w:r>
        <w:rPr>
          <w:color w:val="auto"/>
          <w:highlight w:val="none"/>
        </w:rPr>
        <w:fldChar w:fldCharType="begin"/>
      </w:r>
      <w:r>
        <w:rPr>
          <w:color w:val="auto"/>
          <w:highlight w:val="none"/>
        </w:rPr>
        <w:instrText xml:space="preserve"> PAGEREF _Toc23892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30"/>
        <w:tabs>
          <w:tab w:val="right" w:leader="dot" w:pos="9411"/>
        </w:tabs>
        <w:rPr>
          <w:color w:val="auto"/>
          <w:highlight w:val="none"/>
        </w:rPr>
      </w:pPr>
      <w:r>
        <w:rPr>
          <w:color w:val="auto"/>
          <w:highlight w:val="none"/>
        </w:rPr>
        <w:fldChar w:fldCharType="begin"/>
      </w:r>
      <w:r>
        <w:rPr>
          <w:color w:val="auto"/>
          <w:highlight w:val="none"/>
        </w:rPr>
        <w:instrText xml:space="preserve"> HYPERLINK \l "_Toc28224" </w:instrText>
      </w:r>
      <w:r>
        <w:rPr>
          <w:color w:val="auto"/>
          <w:highlight w:val="none"/>
        </w:rPr>
        <w:fldChar w:fldCharType="separate"/>
      </w:r>
      <w:r>
        <w:rPr>
          <w:color w:val="auto"/>
          <w:highlight w:val="none"/>
        </w:rPr>
        <w:t xml:space="preserve">2. </w:t>
      </w:r>
      <w:r>
        <w:rPr>
          <w:rFonts w:hint="eastAsia"/>
          <w:color w:val="auto"/>
          <w:highlight w:val="none"/>
        </w:rPr>
        <w:t>招标文件</w:t>
      </w:r>
      <w:r>
        <w:rPr>
          <w:color w:val="auto"/>
          <w:highlight w:val="none"/>
        </w:rPr>
        <w:tab/>
      </w:r>
      <w:r>
        <w:rPr>
          <w:color w:val="auto"/>
          <w:highlight w:val="none"/>
        </w:rPr>
        <w:fldChar w:fldCharType="begin"/>
      </w:r>
      <w:r>
        <w:rPr>
          <w:color w:val="auto"/>
          <w:highlight w:val="none"/>
        </w:rPr>
        <w:instrText xml:space="preserve"> PAGEREF _Toc28224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30"/>
        <w:tabs>
          <w:tab w:val="right" w:leader="dot" w:pos="9411"/>
        </w:tabs>
        <w:rPr>
          <w:color w:val="auto"/>
          <w:highlight w:val="none"/>
        </w:rPr>
      </w:pPr>
      <w:r>
        <w:rPr>
          <w:color w:val="auto"/>
          <w:highlight w:val="none"/>
        </w:rPr>
        <w:fldChar w:fldCharType="begin"/>
      </w:r>
      <w:r>
        <w:rPr>
          <w:color w:val="auto"/>
          <w:highlight w:val="none"/>
        </w:rPr>
        <w:instrText xml:space="preserve"> HYPERLINK \l "_Toc27286" </w:instrText>
      </w:r>
      <w:r>
        <w:rPr>
          <w:color w:val="auto"/>
          <w:highlight w:val="none"/>
        </w:rPr>
        <w:fldChar w:fldCharType="separate"/>
      </w:r>
      <w:r>
        <w:rPr>
          <w:color w:val="auto"/>
          <w:highlight w:val="none"/>
        </w:rPr>
        <w:t xml:space="preserve">3. </w:t>
      </w:r>
      <w:r>
        <w:rPr>
          <w:rFonts w:hint="eastAsia"/>
          <w:color w:val="auto"/>
          <w:highlight w:val="none"/>
        </w:rPr>
        <w:t>投标文件</w:t>
      </w:r>
      <w:r>
        <w:rPr>
          <w:color w:val="auto"/>
          <w:highlight w:val="none"/>
        </w:rPr>
        <w:tab/>
      </w:r>
      <w:r>
        <w:rPr>
          <w:color w:val="auto"/>
          <w:highlight w:val="none"/>
        </w:rPr>
        <w:fldChar w:fldCharType="begin"/>
      </w:r>
      <w:r>
        <w:rPr>
          <w:color w:val="auto"/>
          <w:highlight w:val="none"/>
        </w:rPr>
        <w:instrText xml:space="preserve"> PAGEREF _Toc27286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30"/>
        <w:tabs>
          <w:tab w:val="right" w:leader="dot" w:pos="9411"/>
        </w:tabs>
        <w:rPr>
          <w:color w:val="auto"/>
          <w:highlight w:val="none"/>
        </w:rPr>
      </w:pPr>
      <w:r>
        <w:rPr>
          <w:color w:val="auto"/>
          <w:highlight w:val="none"/>
        </w:rPr>
        <w:fldChar w:fldCharType="begin"/>
      </w:r>
      <w:r>
        <w:rPr>
          <w:color w:val="auto"/>
          <w:highlight w:val="none"/>
        </w:rPr>
        <w:instrText xml:space="preserve"> HYPERLINK \l "_Toc11889" </w:instrText>
      </w:r>
      <w:r>
        <w:rPr>
          <w:color w:val="auto"/>
          <w:highlight w:val="none"/>
        </w:rPr>
        <w:fldChar w:fldCharType="separate"/>
      </w:r>
      <w:r>
        <w:rPr>
          <w:color w:val="auto"/>
          <w:highlight w:val="none"/>
        </w:rPr>
        <w:t xml:space="preserve">4. </w:t>
      </w:r>
      <w:r>
        <w:rPr>
          <w:rFonts w:hint="eastAsia"/>
          <w:color w:val="auto"/>
          <w:highlight w:val="none"/>
        </w:rPr>
        <w:t>投标</w:t>
      </w:r>
      <w:r>
        <w:rPr>
          <w:color w:val="auto"/>
          <w:highlight w:val="none"/>
        </w:rPr>
        <w:tab/>
      </w:r>
      <w:r>
        <w:rPr>
          <w:color w:val="auto"/>
          <w:highlight w:val="none"/>
        </w:rPr>
        <w:fldChar w:fldCharType="begin"/>
      </w:r>
      <w:r>
        <w:rPr>
          <w:color w:val="auto"/>
          <w:highlight w:val="none"/>
        </w:rPr>
        <w:instrText xml:space="preserve"> PAGEREF _Toc11889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30"/>
        <w:tabs>
          <w:tab w:val="right" w:leader="dot" w:pos="9411"/>
        </w:tabs>
        <w:rPr>
          <w:color w:val="auto"/>
          <w:highlight w:val="none"/>
        </w:rPr>
      </w:pPr>
      <w:r>
        <w:rPr>
          <w:color w:val="auto"/>
          <w:highlight w:val="none"/>
        </w:rPr>
        <w:fldChar w:fldCharType="begin"/>
      </w:r>
      <w:r>
        <w:rPr>
          <w:color w:val="auto"/>
          <w:highlight w:val="none"/>
        </w:rPr>
        <w:instrText xml:space="preserve"> HYPERLINK \l "_Toc9659" </w:instrText>
      </w:r>
      <w:r>
        <w:rPr>
          <w:color w:val="auto"/>
          <w:highlight w:val="none"/>
        </w:rPr>
        <w:fldChar w:fldCharType="separate"/>
      </w:r>
      <w:r>
        <w:rPr>
          <w:color w:val="auto"/>
          <w:highlight w:val="none"/>
        </w:rPr>
        <w:t xml:space="preserve">5. </w:t>
      </w:r>
      <w:r>
        <w:rPr>
          <w:rFonts w:hint="eastAsia"/>
          <w:color w:val="auto"/>
          <w:highlight w:val="none"/>
        </w:rPr>
        <w:t>开标</w:t>
      </w:r>
      <w:r>
        <w:rPr>
          <w:color w:val="auto"/>
          <w:highlight w:val="none"/>
        </w:rPr>
        <w:tab/>
      </w:r>
      <w:r>
        <w:rPr>
          <w:color w:val="auto"/>
          <w:highlight w:val="none"/>
        </w:rPr>
        <w:fldChar w:fldCharType="begin"/>
      </w:r>
      <w:r>
        <w:rPr>
          <w:color w:val="auto"/>
          <w:highlight w:val="none"/>
        </w:rPr>
        <w:instrText xml:space="preserve"> PAGEREF _Toc9659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30"/>
        <w:tabs>
          <w:tab w:val="right" w:leader="dot" w:pos="9411"/>
        </w:tabs>
        <w:rPr>
          <w:color w:val="auto"/>
          <w:highlight w:val="none"/>
        </w:rPr>
      </w:pPr>
      <w:r>
        <w:rPr>
          <w:color w:val="auto"/>
          <w:highlight w:val="none"/>
        </w:rPr>
        <w:fldChar w:fldCharType="begin"/>
      </w:r>
      <w:r>
        <w:rPr>
          <w:color w:val="auto"/>
          <w:highlight w:val="none"/>
        </w:rPr>
        <w:instrText xml:space="preserve"> HYPERLINK \l "_Toc28414" </w:instrText>
      </w:r>
      <w:r>
        <w:rPr>
          <w:color w:val="auto"/>
          <w:highlight w:val="none"/>
        </w:rPr>
        <w:fldChar w:fldCharType="separate"/>
      </w:r>
      <w:r>
        <w:rPr>
          <w:color w:val="auto"/>
          <w:highlight w:val="none"/>
        </w:rPr>
        <w:t xml:space="preserve">6. </w:t>
      </w:r>
      <w:r>
        <w:rPr>
          <w:rFonts w:hint="eastAsia"/>
          <w:color w:val="auto"/>
          <w:highlight w:val="none"/>
        </w:rPr>
        <w:t>评标</w:t>
      </w:r>
      <w:r>
        <w:rPr>
          <w:color w:val="auto"/>
          <w:highlight w:val="none"/>
        </w:rPr>
        <w:tab/>
      </w:r>
      <w:r>
        <w:rPr>
          <w:color w:val="auto"/>
          <w:highlight w:val="none"/>
        </w:rPr>
        <w:fldChar w:fldCharType="begin"/>
      </w:r>
      <w:r>
        <w:rPr>
          <w:color w:val="auto"/>
          <w:highlight w:val="none"/>
        </w:rPr>
        <w:instrText xml:space="preserve"> PAGEREF _Toc28414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30"/>
        <w:tabs>
          <w:tab w:val="right" w:leader="dot" w:pos="9411"/>
        </w:tabs>
        <w:rPr>
          <w:color w:val="auto"/>
          <w:highlight w:val="none"/>
        </w:rPr>
      </w:pPr>
      <w:r>
        <w:rPr>
          <w:color w:val="auto"/>
          <w:highlight w:val="none"/>
        </w:rPr>
        <w:fldChar w:fldCharType="begin"/>
      </w:r>
      <w:r>
        <w:rPr>
          <w:color w:val="auto"/>
          <w:highlight w:val="none"/>
        </w:rPr>
        <w:instrText xml:space="preserve"> HYPERLINK \l "_Toc24255" </w:instrText>
      </w:r>
      <w:r>
        <w:rPr>
          <w:color w:val="auto"/>
          <w:highlight w:val="none"/>
        </w:rPr>
        <w:fldChar w:fldCharType="separate"/>
      </w:r>
      <w:r>
        <w:rPr>
          <w:color w:val="auto"/>
          <w:highlight w:val="none"/>
        </w:rPr>
        <w:t xml:space="preserve">7. </w:t>
      </w:r>
      <w:r>
        <w:rPr>
          <w:rFonts w:hint="eastAsia"/>
          <w:color w:val="auto"/>
          <w:highlight w:val="none"/>
        </w:rPr>
        <w:t>合同授予</w:t>
      </w:r>
      <w:r>
        <w:rPr>
          <w:color w:val="auto"/>
          <w:highlight w:val="none"/>
        </w:rPr>
        <w:tab/>
      </w:r>
      <w:r>
        <w:rPr>
          <w:color w:val="auto"/>
          <w:highlight w:val="none"/>
        </w:rPr>
        <w:fldChar w:fldCharType="begin"/>
      </w:r>
      <w:r>
        <w:rPr>
          <w:color w:val="auto"/>
          <w:highlight w:val="none"/>
        </w:rPr>
        <w:instrText xml:space="preserve"> PAGEREF _Toc24255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30"/>
        <w:tabs>
          <w:tab w:val="right" w:leader="dot" w:pos="9411"/>
        </w:tabs>
        <w:rPr>
          <w:color w:val="auto"/>
          <w:highlight w:val="none"/>
        </w:rPr>
      </w:pPr>
      <w:r>
        <w:rPr>
          <w:color w:val="auto"/>
          <w:highlight w:val="none"/>
        </w:rPr>
        <w:fldChar w:fldCharType="begin"/>
      </w:r>
      <w:r>
        <w:rPr>
          <w:color w:val="auto"/>
          <w:highlight w:val="none"/>
        </w:rPr>
        <w:instrText xml:space="preserve"> HYPERLINK \l "_Toc25097" </w:instrText>
      </w:r>
      <w:r>
        <w:rPr>
          <w:color w:val="auto"/>
          <w:highlight w:val="none"/>
        </w:rPr>
        <w:fldChar w:fldCharType="separate"/>
      </w:r>
      <w:r>
        <w:rPr>
          <w:color w:val="auto"/>
          <w:highlight w:val="none"/>
        </w:rPr>
        <w:t>8</w:t>
      </w:r>
      <w:r>
        <w:rPr>
          <w:rFonts w:hint="eastAsia"/>
          <w:color w:val="auto"/>
          <w:highlight w:val="none"/>
        </w:rPr>
        <w:t>. 纪律和监督</w:t>
      </w:r>
      <w:r>
        <w:rPr>
          <w:color w:val="auto"/>
          <w:highlight w:val="none"/>
        </w:rPr>
        <w:tab/>
      </w:r>
      <w:r>
        <w:rPr>
          <w:color w:val="auto"/>
          <w:highlight w:val="none"/>
        </w:rPr>
        <w:fldChar w:fldCharType="begin"/>
      </w:r>
      <w:r>
        <w:rPr>
          <w:color w:val="auto"/>
          <w:highlight w:val="none"/>
        </w:rPr>
        <w:instrText xml:space="preserve"> PAGEREF _Toc25097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30"/>
        <w:tabs>
          <w:tab w:val="right" w:leader="dot" w:pos="9411"/>
        </w:tabs>
        <w:rPr>
          <w:color w:val="auto"/>
          <w:highlight w:val="none"/>
        </w:rPr>
      </w:pPr>
      <w:r>
        <w:rPr>
          <w:color w:val="auto"/>
          <w:highlight w:val="none"/>
        </w:rPr>
        <w:fldChar w:fldCharType="begin"/>
      </w:r>
      <w:r>
        <w:rPr>
          <w:color w:val="auto"/>
          <w:highlight w:val="none"/>
        </w:rPr>
        <w:instrText xml:space="preserve"> HYPERLINK \l "_Toc2189" </w:instrText>
      </w:r>
      <w:r>
        <w:rPr>
          <w:color w:val="auto"/>
          <w:highlight w:val="none"/>
        </w:rPr>
        <w:fldChar w:fldCharType="separate"/>
      </w:r>
      <w:r>
        <w:rPr>
          <w:color w:val="auto"/>
          <w:highlight w:val="none"/>
        </w:rPr>
        <w:t xml:space="preserve">9. </w:t>
      </w:r>
      <w:r>
        <w:rPr>
          <w:rFonts w:hint="eastAsia"/>
          <w:color w:val="auto"/>
          <w:highlight w:val="none"/>
        </w:rPr>
        <w:t>需要补充的其他内容</w:t>
      </w:r>
      <w:r>
        <w:rPr>
          <w:color w:val="auto"/>
          <w:highlight w:val="none"/>
        </w:rPr>
        <w:tab/>
      </w:r>
      <w:r>
        <w:rPr>
          <w:color w:val="auto"/>
          <w:highlight w:val="none"/>
        </w:rPr>
        <w:fldChar w:fldCharType="begin"/>
      </w:r>
      <w:r>
        <w:rPr>
          <w:color w:val="auto"/>
          <w:highlight w:val="none"/>
        </w:rPr>
        <w:instrText xml:space="preserve"> PAGEREF _Toc2189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26"/>
        <w:tabs>
          <w:tab w:val="right" w:leader="dot" w:pos="9411"/>
        </w:tabs>
        <w:rPr>
          <w:color w:val="auto"/>
          <w:highlight w:val="none"/>
        </w:rPr>
      </w:pPr>
      <w:r>
        <w:rPr>
          <w:color w:val="auto"/>
          <w:highlight w:val="none"/>
        </w:rPr>
        <w:fldChar w:fldCharType="begin"/>
      </w:r>
      <w:r>
        <w:rPr>
          <w:color w:val="auto"/>
          <w:highlight w:val="none"/>
        </w:rPr>
        <w:instrText xml:space="preserve"> HYPERLINK \l "_Toc26793" </w:instrText>
      </w:r>
      <w:r>
        <w:rPr>
          <w:color w:val="auto"/>
          <w:highlight w:val="none"/>
        </w:rPr>
        <w:fldChar w:fldCharType="separate"/>
      </w:r>
      <w:r>
        <w:rPr>
          <w:rFonts w:hint="eastAsia" w:ascii="宋体" w:hAnsi="宋体"/>
          <w:color w:val="auto"/>
          <w:highlight w:val="none"/>
        </w:rPr>
        <w:t>第三章评标办法（综合评估法）</w:t>
      </w:r>
      <w:r>
        <w:rPr>
          <w:color w:val="auto"/>
          <w:highlight w:val="none"/>
        </w:rPr>
        <w:tab/>
      </w:r>
      <w:r>
        <w:rPr>
          <w:color w:val="auto"/>
          <w:highlight w:val="none"/>
        </w:rPr>
        <w:fldChar w:fldCharType="begin"/>
      </w:r>
      <w:r>
        <w:rPr>
          <w:color w:val="auto"/>
          <w:highlight w:val="none"/>
        </w:rPr>
        <w:instrText xml:space="preserve"> PAGEREF _Toc26793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30"/>
        <w:tabs>
          <w:tab w:val="right" w:leader="dot" w:pos="9411"/>
        </w:tabs>
        <w:rPr>
          <w:color w:val="auto"/>
          <w:highlight w:val="none"/>
        </w:rPr>
      </w:pPr>
      <w:r>
        <w:rPr>
          <w:color w:val="auto"/>
          <w:highlight w:val="none"/>
        </w:rPr>
        <w:fldChar w:fldCharType="begin"/>
      </w:r>
      <w:r>
        <w:rPr>
          <w:color w:val="auto"/>
          <w:highlight w:val="none"/>
        </w:rPr>
        <w:instrText xml:space="preserve"> HYPERLINK \l "_Toc14287" </w:instrText>
      </w:r>
      <w:r>
        <w:rPr>
          <w:color w:val="auto"/>
          <w:highlight w:val="none"/>
        </w:rPr>
        <w:fldChar w:fldCharType="separate"/>
      </w:r>
      <w:r>
        <w:rPr>
          <w:rFonts w:hint="eastAsia" w:ascii="宋体" w:hAnsi="宋体"/>
          <w:color w:val="auto"/>
          <w:highlight w:val="none"/>
        </w:rPr>
        <w:t>评标办法前附表</w:t>
      </w:r>
      <w:r>
        <w:rPr>
          <w:color w:val="auto"/>
          <w:highlight w:val="none"/>
        </w:rPr>
        <w:tab/>
      </w:r>
      <w:r>
        <w:rPr>
          <w:color w:val="auto"/>
          <w:highlight w:val="none"/>
        </w:rPr>
        <w:fldChar w:fldCharType="begin"/>
      </w:r>
      <w:r>
        <w:rPr>
          <w:color w:val="auto"/>
          <w:highlight w:val="none"/>
        </w:rPr>
        <w:instrText xml:space="preserve"> PAGEREF _Toc14287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30"/>
        <w:tabs>
          <w:tab w:val="right" w:leader="dot" w:pos="9411"/>
        </w:tabs>
        <w:rPr>
          <w:color w:val="auto"/>
          <w:highlight w:val="none"/>
        </w:rPr>
      </w:pPr>
      <w:r>
        <w:rPr>
          <w:color w:val="auto"/>
          <w:highlight w:val="none"/>
        </w:rPr>
        <w:fldChar w:fldCharType="begin"/>
      </w:r>
      <w:r>
        <w:rPr>
          <w:color w:val="auto"/>
          <w:highlight w:val="none"/>
        </w:rPr>
        <w:instrText xml:space="preserve"> HYPERLINK \l "_Toc16222" </w:instrText>
      </w:r>
      <w:r>
        <w:rPr>
          <w:color w:val="auto"/>
          <w:highlight w:val="none"/>
        </w:rPr>
        <w:fldChar w:fldCharType="separate"/>
      </w:r>
      <w:r>
        <w:rPr>
          <w:rFonts w:ascii="宋体" w:hAnsi="宋体"/>
          <w:color w:val="auto"/>
          <w:highlight w:val="none"/>
        </w:rPr>
        <w:t xml:space="preserve">1. </w:t>
      </w:r>
      <w:r>
        <w:rPr>
          <w:rFonts w:hint="eastAsia" w:ascii="宋体" w:hAnsi="宋体"/>
          <w:color w:val="auto"/>
          <w:highlight w:val="none"/>
        </w:rPr>
        <w:t>评标方法</w:t>
      </w:r>
      <w:r>
        <w:rPr>
          <w:color w:val="auto"/>
          <w:highlight w:val="none"/>
        </w:rPr>
        <w:tab/>
      </w:r>
      <w:r>
        <w:rPr>
          <w:color w:val="auto"/>
          <w:highlight w:val="none"/>
        </w:rPr>
        <w:fldChar w:fldCharType="begin"/>
      </w:r>
      <w:r>
        <w:rPr>
          <w:color w:val="auto"/>
          <w:highlight w:val="none"/>
        </w:rPr>
        <w:instrText xml:space="preserve"> PAGEREF _Toc16222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30"/>
        <w:tabs>
          <w:tab w:val="right" w:leader="dot" w:pos="9411"/>
        </w:tabs>
        <w:rPr>
          <w:color w:val="auto"/>
          <w:highlight w:val="none"/>
        </w:rPr>
      </w:pPr>
      <w:r>
        <w:rPr>
          <w:color w:val="auto"/>
          <w:highlight w:val="none"/>
        </w:rPr>
        <w:fldChar w:fldCharType="begin"/>
      </w:r>
      <w:r>
        <w:rPr>
          <w:color w:val="auto"/>
          <w:highlight w:val="none"/>
        </w:rPr>
        <w:instrText xml:space="preserve"> HYPERLINK \l "_Toc16219" </w:instrText>
      </w:r>
      <w:r>
        <w:rPr>
          <w:color w:val="auto"/>
          <w:highlight w:val="none"/>
        </w:rPr>
        <w:fldChar w:fldCharType="separate"/>
      </w:r>
      <w:r>
        <w:rPr>
          <w:rFonts w:ascii="宋体" w:hAnsi="宋体"/>
          <w:color w:val="auto"/>
          <w:highlight w:val="none"/>
        </w:rPr>
        <w:t xml:space="preserve">2. </w:t>
      </w:r>
      <w:r>
        <w:rPr>
          <w:rFonts w:hint="eastAsia" w:ascii="宋体" w:hAnsi="宋体"/>
          <w:color w:val="auto"/>
          <w:highlight w:val="none"/>
        </w:rPr>
        <w:t>评审标准</w:t>
      </w:r>
      <w:r>
        <w:rPr>
          <w:color w:val="auto"/>
          <w:highlight w:val="none"/>
        </w:rPr>
        <w:tab/>
      </w:r>
      <w:r>
        <w:rPr>
          <w:color w:val="auto"/>
          <w:highlight w:val="none"/>
        </w:rPr>
        <w:fldChar w:fldCharType="begin"/>
      </w:r>
      <w:r>
        <w:rPr>
          <w:color w:val="auto"/>
          <w:highlight w:val="none"/>
        </w:rPr>
        <w:instrText xml:space="preserve"> PAGEREF _Toc16219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30"/>
        <w:tabs>
          <w:tab w:val="right" w:leader="dot" w:pos="9411"/>
        </w:tabs>
        <w:rPr>
          <w:color w:val="auto"/>
          <w:highlight w:val="none"/>
        </w:rPr>
      </w:pPr>
      <w:r>
        <w:rPr>
          <w:color w:val="auto"/>
          <w:highlight w:val="none"/>
        </w:rPr>
        <w:fldChar w:fldCharType="begin"/>
      </w:r>
      <w:r>
        <w:rPr>
          <w:color w:val="auto"/>
          <w:highlight w:val="none"/>
        </w:rPr>
        <w:instrText xml:space="preserve"> HYPERLINK \l "_Toc23123" </w:instrText>
      </w:r>
      <w:r>
        <w:rPr>
          <w:color w:val="auto"/>
          <w:highlight w:val="none"/>
        </w:rPr>
        <w:fldChar w:fldCharType="separate"/>
      </w:r>
      <w:r>
        <w:rPr>
          <w:rFonts w:ascii="宋体" w:hAnsi="宋体"/>
          <w:color w:val="auto"/>
          <w:highlight w:val="none"/>
        </w:rPr>
        <w:t xml:space="preserve">3. </w:t>
      </w:r>
      <w:r>
        <w:rPr>
          <w:rFonts w:hint="eastAsia" w:ascii="宋体" w:hAnsi="宋体"/>
          <w:color w:val="auto"/>
          <w:highlight w:val="none"/>
        </w:rPr>
        <w:t>评标程序</w:t>
      </w:r>
      <w:r>
        <w:rPr>
          <w:color w:val="auto"/>
          <w:highlight w:val="none"/>
        </w:rPr>
        <w:tab/>
      </w:r>
      <w:r>
        <w:rPr>
          <w:color w:val="auto"/>
          <w:highlight w:val="none"/>
        </w:rPr>
        <w:fldChar w:fldCharType="begin"/>
      </w:r>
      <w:r>
        <w:rPr>
          <w:color w:val="auto"/>
          <w:highlight w:val="none"/>
        </w:rPr>
        <w:instrText xml:space="preserve"> PAGEREF _Toc23123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30"/>
        <w:tabs>
          <w:tab w:val="right" w:leader="dot" w:pos="9411"/>
        </w:tabs>
        <w:rPr>
          <w:color w:val="auto"/>
          <w:highlight w:val="none"/>
        </w:rPr>
      </w:pPr>
      <w:r>
        <w:rPr>
          <w:color w:val="auto"/>
          <w:highlight w:val="none"/>
        </w:rPr>
        <w:fldChar w:fldCharType="begin"/>
      </w:r>
      <w:r>
        <w:rPr>
          <w:color w:val="auto"/>
          <w:highlight w:val="none"/>
        </w:rPr>
        <w:instrText xml:space="preserve"> HYPERLINK \l "_Toc23502" </w:instrText>
      </w:r>
      <w:r>
        <w:rPr>
          <w:color w:val="auto"/>
          <w:highlight w:val="none"/>
        </w:rPr>
        <w:fldChar w:fldCharType="separate"/>
      </w:r>
      <w:r>
        <w:rPr>
          <w:rFonts w:ascii="宋体" w:hAnsi="宋体"/>
          <w:color w:val="auto"/>
          <w:highlight w:val="none"/>
        </w:rPr>
        <w:t xml:space="preserve">4. </w:t>
      </w:r>
      <w:r>
        <w:rPr>
          <w:rFonts w:hint="eastAsia" w:ascii="宋体" w:hAnsi="宋体"/>
          <w:color w:val="auto"/>
          <w:highlight w:val="none"/>
        </w:rPr>
        <w:t>评标表格</w:t>
      </w:r>
      <w:r>
        <w:rPr>
          <w:color w:val="auto"/>
          <w:highlight w:val="none"/>
        </w:rPr>
        <w:tab/>
      </w:r>
      <w:r>
        <w:rPr>
          <w:color w:val="auto"/>
          <w:highlight w:val="none"/>
        </w:rPr>
        <w:fldChar w:fldCharType="begin"/>
      </w:r>
      <w:r>
        <w:rPr>
          <w:color w:val="auto"/>
          <w:highlight w:val="none"/>
        </w:rPr>
        <w:instrText xml:space="preserve"> PAGEREF _Toc23502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26"/>
        <w:tabs>
          <w:tab w:val="right" w:leader="dot" w:pos="9411"/>
        </w:tabs>
        <w:rPr>
          <w:color w:val="auto"/>
          <w:highlight w:val="none"/>
        </w:rPr>
      </w:pPr>
      <w:r>
        <w:rPr>
          <w:color w:val="auto"/>
          <w:highlight w:val="none"/>
        </w:rPr>
        <w:fldChar w:fldCharType="begin"/>
      </w:r>
      <w:r>
        <w:rPr>
          <w:color w:val="auto"/>
          <w:highlight w:val="none"/>
        </w:rPr>
        <w:instrText xml:space="preserve"> HYPERLINK \l "_Toc13990" </w:instrText>
      </w:r>
      <w:r>
        <w:rPr>
          <w:color w:val="auto"/>
          <w:highlight w:val="none"/>
        </w:rPr>
        <w:fldChar w:fldCharType="separate"/>
      </w:r>
      <w:r>
        <w:rPr>
          <w:rFonts w:hint="eastAsia"/>
          <w:color w:val="auto"/>
          <w:highlight w:val="none"/>
        </w:rPr>
        <w:t>第四章合同条款及格式（另册）</w:t>
      </w:r>
      <w:r>
        <w:rPr>
          <w:color w:val="auto"/>
          <w:highlight w:val="none"/>
        </w:rPr>
        <w:tab/>
      </w:r>
      <w:r>
        <w:rPr>
          <w:color w:val="auto"/>
          <w:highlight w:val="none"/>
        </w:rPr>
        <w:fldChar w:fldCharType="begin"/>
      </w:r>
      <w:r>
        <w:rPr>
          <w:color w:val="auto"/>
          <w:highlight w:val="none"/>
        </w:rPr>
        <w:instrText xml:space="preserve"> PAGEREF _Toc13990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pPr>
        <w:pStyle w:val="26"/>
        <w:tabs>
          <w:tab w:val="right" w:leader="dot" w:pos="9411"/>
        </w:tabs>
        <w:rPr>
          <w:color w:val="auto"/>
          <w:highlight w:val="none"/>
        </w:rPr>
      </w:pPr>
      <w:r>
        <w:rPr>
          <w:color w:val="auto"/>
          <w:highlight w:val="none"/>
        </w:rPr>
        <w:fldChar w:fldCharType="begin"/>
      </w:r>
      <w:r>
        <w:rPr>
          <w:color w:val="auto"/>
          <w:highlight w:val="none"/>
        </w:rPr>
        <w:instrText xml:space="preserve"> HYPERLINK \l "_Toc17655" </w:instrText>
      </w:r>
      <w:r>
        <w:rPr>
          <w:color w:val="auto"/>
          <w:highlight w:val="none"/>
        </w:rPr>
        <w:fldChar w:fldCharType="separate"/>
      </w:r>
      <w:r>
        <w:rPr>
          <w:rFonts w:hint="eastAsia"/>
          <w:color w:val="auto"/>
          <w:highlight w:val="none"/>
        </w:rPr>
        <w:t>第二卷</w:t>
      </w:r>
      <w:r>
        <w:rPr>
          <w:color w:val="auto"/>
          <w:highlight w:val="none"/>
        </w:rPr>
        <w:tab/>
      </w:r>
      <w:r>
        <w:rPr>
          <w:color w:val="auto"/>
          <w:highlight w:val="none"/>
        </w:rPr>
        <w:fldChar w:fldCharType="begin"/>
      </w:r>
      <w:r>
        <w:rPr>
          <w:color w:val="auto"/>
          <w:highlight w:val="none"/>
        </w:rPr>
        <w:instrText xml:space="preserve"> PAGEREF _Toc17655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pPr>
        <w:pStyle w:val="26"/>
        <w:tabs>
          <w:tab w:val="right" w:leader="dot" w:pos="9411"/>
        </w:tabs>
        <w:rPr>
          <w:color w:val="auto"/>
          <w:highlight w:val="none"/>
        </w:rPr>
      </w:pPr>
      <w:r>
        <w:rPr>
          <w:color w:val="auto"/>
          <w:highlight w:val="none"/>
        </w:rPr>
        <w:fldChar w:fldCharType="begin"/>
      </w:r>
      <w:r>
        <w:rPr>
          <w:color w:val="auto"/>
          <w:highlight w:val="none"/>
        </w:rPr>
        <w:instrText xml:space="preserve"> HYPERLINK \l "_Toc18278" </w:instrText>
      </w:r>
      <w:r>
        <w:rPr>
          <w:color w:val="auto"/>
          <w:highlight w:val="none"/>
        </w:rPr>
        <w:fldChar w:fldCharType="separate"/>
      </w:r>
      <w:r>
        <w:rPr>
          <w:rFonts w:hint="eastAsia"/>
          <w:color w:val="auto"/>
          <w:highlight w:val="none"/>
        </w:rPr>
        <w:t xml:space="preserve">第五章 </w:t>
      </w:r>
      <w:r>
        <w:rPr>
          <w:rFonts w:hint="eastAsia" w:ascii="Times New Roman" w:hAnsi="Times New Roman"/>
          <w:color w:val="auto"/>
          <w:highlight w:val="none"/>
        </w:rPr>
        <w:t>发包人要求（另册）</w:t>
      </w:r>
      <w:r>
        <w:rPr>
          <w:color w:val="auto"/>
          <w:highlight w:val="none"/>
        </w:rPr>
        <w:tab/>
      </w:r>
      <w:r>
        <w:rPr>
          <w:color w:val="auto"/>
          <w:highlight w:val="none"/>
        </w:rPr>
        <w:fldChar w:fldCharType="begin"/>
      </w:r>
      <w:r>
        <w:rPr>
          <w:color w:val="auto"/>
          <w:highlight w:val="none"/>
        </w:rPr>
        <w:instrText xml:space="preserve"> PAGEREF _Toc18278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pPr>
        <w:pStyle w:val="26"/>
        <w:tabs>
          <w:tab w:val="right" w:leader="dot" w:pos="9411"/>
        </w:tabs>
        <w:rPr>
          <w:color w:val="auto"/>
          <w:highlight w:val="none"/>
        </w:rPr>
      </w:pPr>
      <w:r>
        <w:rPr>
          <w:color w:val="auto"/>
          <w:highlight w:val="none"/>
        </w:rPr>
        <w:fldChar w:fldCharType="begin"/>
      </w:r>
      <w:r>
        <w:rPr>
          <w:color w:val="auto"/>
          <w:highlight w:val="none"/>
        </w:rPr>
        <w:instrText xml:space="preserve"> HYPERLINK \l "_Toc23074" </w:instrText>
      </w:r>
      <w:r>
        <w:rPr>
          <w:color w:val="auto"/>
          <w:highlight w:val="none"/>
        </w:rPr>
        <w:fldChar w:fldCharType="separate"/>
      </w:r>
      <w:r>
        <w:rPr>
          <w:rFonts w:hint="eastAsia" w:ascii="Times New Roman" w:hAnsi="Times New Roman"/>
          <w:color w:val="auto"/>
          <w:highlight w:val="none"/>
        </w:rPr>
        <w:t>第六章 第六章发包人提供的资料（另册）</w:t>
      </w:r>
      <w:r>
        <w:rPr>
          <w:color w:val="auto"/>
          <w:highlight w:val="none"/>
        </w:rPr>
        <w:tab/>
      </w:r>
      <w:r>
        <w:rPr>
          <w:color w:val="auto"/>
          <w:highlight w:val="none"/>
        </w:rPr>
        <w:fldChar w:fldCharType="begin"/>
      </w:r>
      <w:r>
        <w:rPr>
          <w:color w:val="auto"/>
          <w:highlight w:val="none"/>
        </w:rPr>
        <w:instrText xml:space="preserve"> PAGEREF _Toc23074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pPr>
        <w:pStyle w:val="26"/>
        <w:tabs>
          <w:tab w:val="right" w:leader="dot" w:pos="9411"/>
        </w:tabs>
        <w:rPr>
          <w:color w:val="auto"/>
          <w:highlight w:val="none"/>
        </w:rPr>
      </w:pPr>
      <w:r>
        <w:rPr>
          <w:color w:val="auto"/>
          <w:highlight w:val="none"/>
        </w:rPr>
        <w:fldChar w:fldCharType="begin"/>
      </w:r>
      <w:r>
        <w:rPr>
          <w:color w:val="auto"/>
          <w:highlight w:val="none"/>
        </w:rPr>
        <w:instrText xml:space="preserve"> HYPERLINK \l "_Toc11589" </w:instrText>
      </w:r>
      <w:r>
        <w:rPr>
          <w:color w:val="auto"/>
          <w:highlight w:val="none"/>
        </w:rPr>
        <w:fldChar w:fldCharType="separate"/>
      </w:r>
      <w:r>
        <w:rPr>
          <w:rFonts w:hint="eastAsia"/>
          <w:color w:val="auto"/>
          <w:highlight w:val="none"/>
        </w:rPr>
        <w:t>第三卷</w:t>
      </w:r>
      <w:r>
        <w:rPr>
          <w:color w:val="auto"/>
          <w:highlight w:val="none"/>
        </w:rPr>
        <w:tab/>
      </w:r>
      <w:r>
        <w:rPr>
          <w:color w:val="auto"/>
          <w:highlight w:val="none"/>
        </w:rPr>
        <w:fldChar w:fldCharType="begin"/>
      </w:r>
      <w:r>
        <w:rPr>
          <w:color w:val="auto"/>
          <w:highlight w:val="none"/>
        </w:rPr>
        <w:instrText xml:space="preserve"> PAGEREF _Toc11589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pPr>
        <w:pStyle w:val="26"/>
        <w:tabs>
          <w:tab w:val="right" w:leader="dot" w:pos="9411"/>
        </w:tabs>
        <w:rPr>
          <w:color w:val="auto"/>
          <w:highlight w:val="none"/>
        </w:rPr>
      </w:pPr>
      <w:r>
        <w:rPr>
          <w:color w:val="auto"/>
          <w:highlight w:val="none"/>
        </w:rPr>
        <w:fldChar w:fldCharType="begin"/>
      </w:r>
      <w:r>
        <w:rPr>
          <w:color w:val="auto"/>
          <w:highlight w:val="none"/>
        </w:rPr>
        <w:instrText xml:space="preserve"> HYPERLINK \l "_Toc17793" </w:instrText>
      </w:r>
      <w:r>
        <w:rPr>
          <w:color w:val="auto"/>
          <w:highlight w:val="none"/>
        </w:rPr>
        <w:fldChar w:fldCharType="separate"/>
      </w:r>
      <w:r>
        <w:rPr>
          <w:rFonts w:hint="eastAsia"/>
          <w:color w:val="auto"/>
          <w:highlight w:val="none"/>
        </w:rPr>
        <w:t>第七章投标文件格式</w:t>
      </w:r>
      <w:r>
        <w:rPr>
          <w:color w:val="auto"/>
          <w:highlight w:val="none"/>
        </w:rPr>
        <w:tab/>
      </w:r>
      <w:r>
        <w:rPr>
          <w:color w:val="auto"/>
          <w:highlight w:val="none"/>
        </w:rPr>
        <w:fldChar w:fldCharType="begin"/>
      </w:r>
      <w:r>
        <w:rPr>
          <w:color w:val="auto"/>
          <w:highlight w:val="none"/>
        </w:rPr>
        <w:instrText xml:space="preserve"> PAGEREF _Toc17793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pPr>
        <w:pStyle w:val="3"/>
        <w:rPr>
          <w:color w:val="auto"/>
          <w:highlight w:val="none"/>
        </w:rPr>
        <w:sectPr>
          <w:headerReference r:id="rId4" w:type="default"/>
          <w:footerReference r:id="rId5" w:type="default"/>
          <w:pgSz w:w="11906" w:h="16838"/>
          <w:pgMar w:top="1247" w:right="1134" w:bottom="1247" w:left="1361" w:header="851" w:footer="992" w:gutter="0"/>
          <w:pgNumType w:fmt="upperRoman" w:start="1"/>
          <w:cols w:space="720" w:num="1"/>
          <w:docGrid w:type="lines" w:linePitch="312" w:charSpace="0"/>
        </w:sectPr>
      </w:pPr>
      <w:r>
        <w:rPr>
          <w:caps/>
          <w:color w:val="auto"/>
          <w:szCs w:val="28"/>
          <w:highlight w:val="none"/>
        </w:rPr>
        <w:fldChar w:fldCharType="end"/>
      </w: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pStyle w:val="3"/>
        <w:jc w:val="center"/>
        <w:rPr>
          <w:color w:val="auto"/>
          <w:highlight w:val="none"/>
        </w:rPr>
      </w:pPr>
      <w:bookmarkStart w:id="21" w:name="_Toc6648"/>
      <w:bookmarkStart w:id="22" w:name="_Toc9829"/>
      <w:bookmarkStart w:id="23" w:name="_Toc1856"/>
      <w:bookmarkStart w:id="24" w:name="_Toc5664"/>
      <w:bookmarkStart w:id="25" w:name="_Toc494371511"/>
      <w:bookmarkStart w:id="26" w:name="_Toc24226"/>
      <w:bookmarkStart w:id="27" w:name="_Toc23631"/>
      <w:bookmarkStart w:id="28" w:name="_Toc11431"/>
      <w:bookmarkStart w:id="29" w:name="_Toc11363"/>
      <w:bookmarkStart w:id="30" w:name="_Toc20772"/>
      <w:bookmarkStart w:id="31" w:name="_Toc3317"/>
      <w:bookmarkStart w:id="32" w:name="_Toc14632"/>
      <w:bookmarkStart w:id="33" w:name="_Toc300834927"/>
      <w:r>
        <w:rPr>
          <w:rFonts w:hint="eastAsia"/>
          <w:color w:val="auto"/>
          <w:highlight w:val="none"/>
        </w:rPr>
        <w:t>第一卷</w:t>
      </w:r>
      <w:bookmarkEnd w:id="16"/>
      <w:bookmarkEnd w:id="17"/>
      <w:bookmarkEnd w:id="21"/>
      <w:bookmarkEnd w:id="22"/>
      <w:bookmarkEnd w:id="23"/>
      <w:bookmarkEnd w:id="24"/>
      <w:bookmarkEnd w:id="25"/>
      <w:bookmarkEnd w:id="26"/>
      <w:bookmarkEnd w:id="27"/>
      <w:bookmarkEnd w:id="28"/>
      <w:bookmarkEnd w:id="29"/>
      <w:bookmarkEnd w:id="30"/>
      <w:bookmarkEnd w:id="31"/>
      <w:bookmarkEnd w:id="32"/>
      <w:bookmarkEnd w:id="33"/>
    </w:p>
    <w:p>
      <w:pPr>
        <w:spacing w:line="360" w:lineRule="auto"/>
        <w:jc w:val="center"/>
        <w:rPr>
          <w:rFonts w:ascii="宋体" w:hAnsi="宋体" w:cs="宋体"/>
          <w:color w:val="auto"/>
          <w:sz w:val="24"/>
          <w:highlight w:val="none"/>
        </w:rPr>
      </w:pPr>
      <w:bookmarkStart w:id="34" w:name="_Toc247513933"/>
      <w:bookmarkStart w:id="35" w:name="_Toc300834928"/>
      <w:bookmarkStart w:id="36" w:name="_Toc247527534"/>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jc w:val="center"/>
        <w:outlineLvl w:val="0"/>
        <w:rPr>
          <w:b/>
          <w:bCs/>
          <w:color w:val="auto"/>
          <w:kern w:val="44"/>
          <w:sz w:val="44"/>
          <w:szCs w:val="44"/>
          <w:highlight w:val="none"/>
        </w:rPr>
      </w:pPr>
      <w:bookmarkStart w:id="37" w:name="_Toc7616"/>
      <w:bookmarkStart w:id="38" w:name="_Toc9002"/>
      <w:bookmarkStart w:id="39" w:name="_Toc494371512"/>
      <w:bookmarkStart w:id="40" w:name="_Toc28981"/>
      <w:bookmarkStart w:id="41" w:name="_Toc16845"/>
      <w:bookmarkStart w:id="42" w:name="_Toc7717"/>
      <w:bookmarkStart w:id="43" w:name="_Toc7403"/>
      <w:r>
        <w:rPr>
          <w:rFonts w:hint="eastAsia"/>
          <w:b/>
          <w:bCs/>
          <w:color w:val="auto"/>
          <w:kern w:val="44"/>
          <w:sz w:val="44"/>
          <w:szCs w:val="44"/>
          <w:highlight w:val="none"/>
        </w:rPr>
        <w:t>第一章招标公告（另册）</w:t>
      </w:r>
      <w:bookmarkEnd w:id="37"/>
      <w:bookmarkEnd w:id="38"/>
      <w:bookmarkEnd w:id="39"/>
      <w:bookmarkEnd w:id="40"/>
      <w:bookmarkEnd w:id="41"/>
      <w:bookmarkEnd w:id="42"/>
      <w:bookmarkEnd w:id="43"/>
    </w:p>
    <w:bookmarkEnd w:id="18"/>
    <w:bookmarkEnd w:id="19"/>
    <w:bookmarkEnd w:id="20"/>
    <w:bookmarkEnd w:id="34"/>
    <w:bookmarkEnd w:id="35"/>
    <w:bookmarkEnd w:id="36"/>
    <w:p>
      <w:pPr>
        <w:jc w:val="center"/>
        <w:outlineLvl w:val="0"/>
        <w:rPr>
          <w:b/>
          <w:bCs/>
          <w:color w:val="auto"/>
          <w:kern w:val="44"/>
          <w:sz w:val="44"/>
          <w:szCs w:val="44"/>
          <w:highlight w:val="none"/>
        </w:rPr>
      </w:pPr>
      <w:bookmarkStart w:id="44" w:name="_Toc300834947"/>
      <w:bookmarkStart w:id="45" w:name="_Toc247527551"/>
      <w:bookmarkStart w:id="46" w:name="_Toc247513950"/>
      <w:bookmarkStart w:id="47" w:name="_Toc20453"/>
      <w:bookmarkStart w:id="48" w:name="_Toc18861"/>
      <w:bookmarkStart w:id="49" w:name="_Toc1178"/>
      <w:bookmarkStart w:id="50" w:name="_Toc152045527"/>
      <w:bookmarkStart w:id="51" w:name="_Toc152042303"/>
      <w:bookmarkStart w:id="52" w:name="_Toc144974495"/>
      <w:r>
        <w:rPr>
          <w:b/>
          <w:bCs/>
          <w:color w:val="auto"/>
          <w:kern w:val="44"/>
          <w:sz w:val="44"/>
          <w:szCs w:val="44"/>
          <w:highlight w:val="none"/>
        </w:rPr>
        <w:br w:type="page"/>
      </w:r>
      <w:bookmarkStart w:id="53" w:name="_Toc15284"/>
      <w:bookmarkStart w:id="54" w:name="_Toc25745"/>
      <w:bookmarkStart w:id="55" w:name="_Toc27217"/>
      <w:bookmarkStart w:id="56" w:name="_Toc21868"/>
      <w:bookmarkStart w:id="57" w:name="_Toc29549"/>
      <w:bookmarkStart w:id="58" w:name="_Toc9024"/>
      <w:bookmarkStart w:id="59" w:name="_Toc494371513"/>
      <w:bookmarkStart w:id="60" w:name="_Toc3615"/>
      <w:bookmarkStart w:id="61" w:name="_Toc8440"/>
      <w:r>
        <w:rPr>
          <w:rFonts w:hint="eastAsia"/>
          <w:b/>
          <w:bCs/>
          <w:color w:val="auto"/>
          <w:kern w:val="44"/>
          <w:sz w:val="44"/>
          <w:szCs w:val="44"/>
          <w:highlight w:val="none"/>
        </w:rPr>
        <w:t>第二章投标人须知</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pPr>
        <w:pStyle w:val="4"/>
        <w:spacing w:line="240" w:lineRule="auto"/>
        <w:jc w:val="center"/>
        <w:rPr>
          <w:color w:val="auto"/>
          <w:highlight w:val="none"/>
        </w:rPr>
      </w:pPr>
      <w:bookmarkStart w:id="62" w:name="_Toc20316"/>
      <w:bookmarkStart w:id="63" w:name="_Toc247513951"/>
      <w:bookmarkStart w:id="64" w:name="_Toc24688"/>
      <w:bookmarkStart w:id="65" w:name="_Toc152042304"/>
      <w:bookmarkStart w:id="66" w:name="_Toc152045528"/>
      <w:bookmarkStart w:id="67" w:name="_Toc15181"/>
      <w:bookmarkStart w:id="68" w:name="_Toc24123"/>
      <w:bookmarkStart w:id="69" w:name="_Toc494371514"/>
      <w:bookmarkStart w:id="70" w:name="_Toc300834948"/>
      <w:bookmarkStart w:id="71" w:name="_Toc19769"/>
      <w:bookmarkStart w:id="72" w:name="_Toc3039"/>
      <w:bookmarkStart w:id="73" w:name="_Toc247527552"/>
      <w:bookmarkStart w:id="74" w:name="_Toc16066"/>
      <w:bookmarkStart w:id="75" w:name="_Toc25706"/>
      <w:bookmarkStart w:id="76" w:name="_Toc23877"/>
      <w:bookmarkStart w:id="77" w:name="_Toc12687"/>
      <w:bookmarkStart w:id="78" w:name="_Toc2677"/>
      <w:bookmarkStart w:id="79" w:name="_Toc23094"/>
      <w:bookmarkStart w:id="80" w:name="_Toc144974496"/>
      <w:r>
        <w:rPr>
          <w:rFonts w:hint="eastAsia"/>
          <w:color w:val="auto"/>
          <w:highlight w:val="none"/>
        </w:rPr>
        <w:t>投标人须知前附表</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tbl>
      <w:tblPr>
        <w:tblStyle w:val="38"/>
        <w:tblW w:w="988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2816"/>
        <w:gridCol w:w="59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165" w:type="dxa"/>
            <w:tcBorders>
              <w:bottom w:val="double" w:color="auto" w:sz="4" w:space="0"/>
            </w:tcBorders>
            <w:vAlign w:val="center"/>
          </w:tcPr>
          <w:p>
            <w:pPr>
              <w:adjustRightInd w:val="0"/>
              <w:snapToGrid w:val="0"/>
              <w:spacing w:before="156" w:beforeLines="50"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2816" w:type="dxa"/>
            <w:tcBorders>
              <w:bottom w:val="double" w:color="auto" w:sz="4" w:space="0"/>
            </w:tcBorders>
            <w:vAlign w:val="center"/>
          </w:tcPr>
          <w:p>
            <w:pPr>
              <w:adjustRightInd w:val="0"/>
              <w:snapToGrid w:val="0"/>
              <w:spacing w:before="156" w:beforeLines="50"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条款名称</w:t>
            </w:r>
          </w:p>
        </w:tc>
        <w:tc>
          <w:tcPr>
            <w:tcW w:w="5908" w:type="dxa"/>
            <w:tcBorders>
              <w:bottom w:val="double" w:color="auto" w:sz="4" w:space="0"/>
            </w:tcBorders>
            <w:vAlign w:val="center"/>
          </w:tcPr>
          <w:p>
            <w:pPr>
              <w:adjustRightInd w:val="0"/>
              <w:snapToGrid w:val="0"/>
              <w:spacing w:before="156" w:beforeLines="50" w:line="360" w:lineRule="auto"/>
              <w:jc w:val="center"/>
              <w:rPr>
                <w:rFonts w:ascii="宋体" w:hAnsi="宋体" w:cs="宋体"/>
                <w:b/>
                <w:color w:val="auto"/>
                <w:szCs w:val="21"/>
                <w:highlight w:val="none"/>
              </w:rPr>
            </w:pPr>
            <w:r>
              <w:rPr>
                <w:rFonts w:hint="eastAsia" w:ascii="宋体" w:hAnsi="宋体" w:cs="宋体"/>
                <w:b/>
                <w:color w:val="auto"/>
                <w:szCs w:val="21"/>
                <w:highlight w:val="none"/>
              </w:rPr>
              <w:t>编列内容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tcBorders>
              <w:top w:val="double" w:color="auto" w:sz="4" w:space="0"/>
            </w:tcBorders>
            <w:vAlign w:val="center"/>
          </w:tcPr>
          <w:p>
            <w:pPr>
              <w:adjustRightInd w:val="0"/>
              <w:snapToGrid w:val="0"/>
              <w:spacing w:before="156"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2816" w:type="dxa"/>
            <w:tcBorders>
              <w:top w:val="double" w:color="auto" w:sz="4" w:space="0"/>
            </w:tcBorders>
            <w:vAlign w:val="center"/>
          </w:tcPr>
          <w:p>
            <w:pPr>
              <w:adjustRightInd w:val="0"/>
              <w:snapToGrid w:val="0"/>
              <w:spacing w:before="156" w:beforeLines="50" w:line="360" w:lineRule="auto"/>
              <w:jc w:val="center"/>
              <w:rPr>
                <w:rFonts w:ascii="宋体" w:hAnsi="宋体" w:cs="宋体"/>
                <w:color w:val="auto"/>
                <w:szCs w:val="21"/>
                <w:highlight w:val="none"/>
              </w:rPr>
            </w:pPr>
            <w:r>
              <w:rPr>
                <w:rFonts w:hint="eastAsia"/>
                <w:color w:val="auto"/>
                <w:highlight w:val="none"/>
              </w:rPr>
              <w:t>招标单位、建设管理单位、招标代理机构</w:t>
            </w:r>
          </w:p>
        </w:tc>
        <w:tc>
          <w:tcPr>
            <w:tcW w:w="5908" w:type="dxa"/>
            <w:tcBorders>
              <w:top w:val="double" w:color="auto" w:sz="4" w:space="0"/>
            </w:tcBorders>
            <w:vAlign w:val="center"/>
          </w:tcPr>
          <w:p>
            <w:pPr>
              <w:widowControl/>
              <w:snapToGrid w:val="0"/>
              <w:spacing w:before="156" w:beforeLines="50" w:line="360" w:lineRule="auto"/>
              <w:jc w:val="left"/>
              <w:rPr>
                <w:color w:val="auto"/>
                <w:highlight w:val="none"/>
              </w:rPr>
            </w:pPr>
            <w:r>
              <w:rPr>
                <w:rFonts w:hint="eastAsia"/>
                <w:color w:val="auto"/>
                <w:highlight w:val="none"/>
              </w:rPr>
              <w:t>招标单位：</w:t>
            </w:r>
            <w:r>
              <w:rPr>
                <w:rFonts w:hint="eastAsia"/>
                <w:color w:val="auto"/>
                <w:highlight w:val="none"/>
                <w:lang w:eastAsia="zh-CN"/>
              </w:rPr>
              <w:t>广州南沙湿地旅游发展有限公司</w:t>
            </w:r>
            <w:r>
              <w:rPr>
                <w:color w:val="auto"/>
                <w:highlight w:val="none"/>
              </w:rPr>
              <w:t xml:space="preserve"> </w:t>
            </w:r>
          </w:p>
          <w:p>
            <w:pPr>
              <w:widowControl/>
              <w:snapToGrid w:val="0"/>
              <w:spacing w:before="156" w:beforeLines="50" w:line="360" w:lineRule="auto"/>
              <w:jc w:val="left"/>
              <w:rPr>
                <w:color w:val="auto"/>
                <w:highlight w:val="none"/>
              </w:rPr>
            </w:pPr>
            <w:r>
              <w:rPr>
                <w:rFonts w:hint="eastAsia"/>
                <w:color w:val="auto"/>
                <w:highlight w:val="none"/>
              </w:rPr>
              <w:t>联系人：</w:t>
            </w:r>
            <w:r>
              <w:rPr>
                <w:rFonts w:hint="eastAsia"/>
                <w:color w:val="auto"/>
                <w:highlight w:val="none"/>
                <w:lang w:val="en-US" w:eastAsia="zh-CN"/>
              </w:rPr>
              <w:t>杜工</w:t>
            </w:r>
            <w:r>
              <w:rPr>
                <w:rFonts w:hint="eastAsia"/>
                <w:color w:val="auto"/>
                <w:highlight w:val="none"/>
              </w:rPr>
              <w:t xml:space="preserve">    联</w:t>
            </w:r>
            <w:r>
              <w:rPr>
                <w:rFonts w:hint="eastAsia"/>
                <w:color w:val="auto"/>
                <w:highlight w:val="none"/>
                <w:lang w:val="en-US" w:eastAsia="zh-CN"/>
              </w:rPr>
              <w:t>系电话：13143366799</w:t>
            </w:r>
          </w:p>
          <w:p>
            <w:pPr>
              <w:widowControl/>
              <w:snapToGrid w:val="0"/>
              <w:spacing w:before="156" w:beforeLines="50" w:line="360" w:lineRule="auto"/>
              <w:jc w:val="left"/>
              <w:rPr>
                <w:color w:val="auto"/>
                <w:highlight w:val="none"/>
              </w:rPr>
            </w:pPr>
            <w:r>
              <w:rPr>
                <w:rFonts w:hint="eastAsia"/>
                <w:color w:val="auto"/>
                <w:highlight w:val="none"/>
              </w:rPr>
              <w:t>建设管理单位：广州南沙建设维护管理有限公司</w:t>
            </w:r>
          </w:p>
          <w:p>
            <w:pPr>
              <w:widowControl/>
              <w:snapToGrid w:val="0"/>
              <w:spacing w:before="156" w:beforeLines="50" w:line="360" w:lineRule="auto"/>
              <w:jc w:val="left"/>
              <w:rPr>
                <w:color w:val="auto"/>
                <w:highlight w:val="none"/>
              </w:rPr>
            </w:pPr>
            <w:r>
              <w:rPr>
                <w:rFonts w:hint="eastAsia"/>
                <w:color w:val="auto"/>
                <w:highlight w:val="none"/>
              </w:rPr>
              <w:t>联系人：李工       联系电话：020-66806279</w:t>
            </w:r>
            <w:r>
              <w:rPr>
                <w:rFonts w:hint="eastAsia"/>
                <w:color w:val="auto"/>
                <w:highlight w:val="none"/>
                <w:lang w:val="en-US" w:eastAsia="zh-CN"/>
              </w:rPr>
              <w:t>;  13560426055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2816" w:type="dxa"/>
            <w:vAlign w:val="center"/>
          </w:tcPr>
          <w:p>
            <w:pPr>
              <w:adjustRightInd w:val="0"/>
              <w:snapToGrid w:val="0"/>
              <w:spacing w:before="156"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5908" w:type="dxa"/>
            <w:vAlign w:val="center"/>
          </w:tcPr>
          <w:p>
            <w:pPr>
              <w:adjustRightInd w:val="0"/>
              <w:snapToGrid w:val="0"/>
              <w:spacing w:before="156" w:beforeLines="50" w:line="360" w:lineRule="auto"/>
              <w:rPr>
                <w:rFonts w:ascii="宋体" w:hAnsi="宋体" w:cs="宋体"/>
                <w:color w:val="auto"/>
                <w:szCs w:val="21"/>
                <w:highlight w:val="none"/>
              </w:rPr>
            </w:pPr>
            <w:r>
              <w:rPr>
                <w:rFonts w:hint="eastAsia" w:ascii="宋体" w:hAnsi="宋体" w:cs="宋体"/>
                <w:color w:val="auto"/>
                <w:szCs w:val="21"/>
                <w:highlight w:val="none"/>
                <w:lang w:eastAsia="zh-CN"/>
              </w:rPr>
              <w:t>南沙湿地二期“湿地景区公益植树林”项目</w:t>
            </w:r>
            <w:r>
              <w:rPr>
                <w:rFonts w:hint="eastAsia" w:ascii="宋体" w:hAnsi="宋体" w:cs="宋体"/>
                <w:color w:val="auto"/>
                <w:szCs w:val="21"/>
                <w:highlight w:val="none"/>
              </w:rPr>
              <w:t>设计施工总承包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2816" w:type="dxa"/>
            <w:vAlign w:val="center"/>
          </w:tcPr>
          <w:p>
            <w:pPr>
              <w:adjustRightInd w:val="0"/>
              <w:snapToGrid w:val="0"/>
              <w:spacing w:before="156"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建设地点</w:t>
            </w:r>
          </w:p>
        </w:tc>
        <w:tc>
          <w:tcPr>
            <w:tcW w:w="5908" w:type="dxa"/>
            <w:vAlign w:val="center"/>
          </w:tcPr>
          <w:p>
            <w:pPr>
              <w:adjustRightInd w:val="0"/>
              <w:snapToGrid w:val="0"/>
              <w:spacing w:before="156" w:beforeLines="50" w:line="360" w:lineRule="auto"/>
              <w:rPr>
                <w:rFonts w:hint="eastAsia" w:ascii="宋体" w:hAnsi="宋体" w:eastAsia="宋体" w:cs="宋体"/>
                <w:color w:val="auto"/>
                <w:szCs w:val="21"/>
                <w:highlight w:val="none"/>
                <w:lang w:eastAsia="zh-CN"/>
              </w:rPr>
            </w:pPr>
            <w:r>
              <w:rPr>
                <w:rFonts w:hint="eastAsia" w:ascii="宋体" w:hAnsi="宋体" w:cs="Calibri"/>
                <w:color w:val="auto"/>
                <w:szCs w:val="21"/>
                <w:highlight w:val="none"/>
              </w:rPr>
              <w:t>南沙</w:t>
            </w:r>
            <w:r>
              <w:rPr>
                <w:rFonts w:hint="eastAsia" w:ascii="宋体" w:hAnsi="宋体" w:cs="Calibri"/>
                <w:color w:val="auto"/>
                <w:szCs w:val="21"/>
                <w:highlight w:val="none"/>
                <w:lang w:eastAsia="zh-CN"/>
              </w:rPr>
              <w:t>湿地公园景区二期内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2816" w:type="dxa"/>
            <w:vAlign w:val="center"/>
          </w:tcPr>
          <w:p>
            <w:pPr>
              <w:adjustRightInd w:val="0"/>
              <w:snapToGrid w:val="0"/>
              <w:spacing w:before="156"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建设规模</w:t>
            </w:r>
          </w:p>
        </w:tc>
        <w:tc>
          <w:tcPr>
            <w:tcW w:w="5908" w:type="dxa"/>
            <w:vAlign w:val="center"/>
          </w:tcPr>
          <w:p>
            <w:pPr>
              <w:adjustRightInd w:val="0"/>
              <w:snapToGrid w:val="0"/>
              <w:spacing w:before="156" w:beforeLines="50" w:line="360" w:lineRule="auto"/>
              <w:rPr>
                <w:rFonts w:ascii="宋体" w:hAnsi="宋体" w:cs="Calibri"/>
                <w:color w:val="auto"/>
                <w:szCs w:val="21"/>
                <w:highlight w:val="none"/>
              </w:rPr>
            </w:pPr>
            <w:r>
              <w:rPr>
                <w:rFonts w:hint="eastAsia" w:ascii="宋体" w:hAnsi="宋体" w:cs="Calibri"/>
                <w:color w:val="auto"/>
                <w:szCs w:val="21"/>
                <w:highlight w:val="none"/>
              </w:rPr>
              <w:t>约</w:t>
            </w:r>
            <w:r>
              <w:rPr>
                <w:rFonts w:hint="eastAsia" w:ascii="宋体" w:hAnsi="宋体" w:cs="Calibri"/>
                <w:color w:val="auto"/>
                <w:szCs w:val="21"/>
                <w:highlight w:val="none"/>
                <w:lang w:val="en-US" w:eastAsia="zh-CN"/>
              </w:rPr>
              <w:t>380</w:t>
            </w:r>
            <w:r>
              <w:rPr>
                <w:rFonts w:hint="eastAsia" w:ascii="宋体" w:hAnsi="宋体" w:cs="Calibri"/>
                <w:color w:val="auto"/>
                <w:szCs w:val="21"/>
                <w:highlight w:val="none"/>
              </w:rPr>
              <w:t>万元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2816" w:type="dxa"/>
            <w:vAlign w:val="center"/>
          </w:tcPr>
          <w:p>
            <w:pPr>
              <w:adjustRightInd w:val="0"/>
              <w:snapToGrid w:val="0"/>
              <w:spacing w:before="156"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资金来源及比例</w:t>
            </w:r>
          </w:p>
        </w:tc>
        <w:tc>
          <w:tcPr>
            <w:tcW w:w="5908" w:type="dxa"/>
            <w:vAlign w:val="center"/>
          </w:tcPr>
          <w:p>
            <w:pPr>
              <w:adjustRightInd w:val="0"/>
              <w:snapToGrid w:val="0"/>
              <w:spacing w:before="156" w:beforeLines="50" w:line="360" w:lineRule="auto"/>
              <w:rPr>
                <w:rFonts w:ascii="宋体" w:hAnsi="宋体" w:cs="宋体"/>
                <w:color w:val="auto"/>
                <w:szCs w:val="21"/>
                <w:highlight w:val="none"/>
              </w:rPr>
            </w:pPr>
            <w:r>
              <w:rPr>
                <w:rFonts w:hint="eastAsia" w:ascii="宋体" w:hAnsi="宋体" w:cs="Calibri"/>
                <w:color w:val="auto"/>
                <w:szCs w:val="21"/>
                <w:highlight w:val="none"/>
              </w:rPr>
              <w:t>企业自筹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65" w:type="dxa"/>
            <w:vAlign w:val="center"/>
          </w:tcPr>
          <w:p>
            <w:pPr>
              <w:adjustRightInd w:val="0"/>
              <w:snapToGrid w:val="0"/>
              <w:spacing w:before="156"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2816" w:type="dxa"/>
            <w:vAlign w:val="center"/>
          </w:tcPr>
          <w:p>
            <w:pPr>
              <w:adjustRightInd w:val="0"/>
              <w:snapToGrid w:val="0"/>
              <w:spacing w:before="156"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资金落实情况</w:t>
            </w:r>
          </w:p>
        </w:tc>
        <w:tc>
          <w:tcPr>
            <w:tcW w:w="5908" w:type="dxa"/>
            <w:vAlign w:val="center"/>
          </w:tcPr>
          <w:p>
            <w:pPr>
              <w:adjustRightInd w:val="0"/>
              <w:snapToGrid w:val="0"/>
              <w:spacing w:before="156" w:beforeLines="50" w:line="360" w:lineRule="auto"/>
              <w:rPr>
                <w:rFonts w:ascii="宋体" w:hAnsi="宋体" w:cs="宋体"/>
                <w:color w:val="auto"/>
                <w:szCs w:val="21"/>
                <w:highlight w:val="none"/>
              </w:rPr>
            </w:pPr>
            <w:r>
              <w:rPr>
                <w:rFonts w:hint="eastAsia" w:ascii="宋体" w:hAnsi="宋体" w:cs="宋体"/>
                <w:color w:val="auto"/>
                <w:szCs w:val="21"/>
                <w:highlight w:val="none"/>
              </w:rPr>
              <w:t>资金已落实</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2816" w:type="dxa"/>
            <w:vAlign w:val="center"/>
          </w:tcPr>
          <w:p>
            <w:pPr>
              <w:adjustRightInd w:val="0"/>
              <w:snapToGrid w:val="0"/>
              <w:spacing w:before="156"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承包方式</w:t>
            </w:r>
          </w:p>
        </w:tc>
        <w:tc>
          <w:tcPr>
            <w:tcW w:w="5908" w:type="dxa"/>
            <w:vAlign w:val="center"/>
          </w:tcPr>
          <w:p>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（1）设计部分：</w:t>
            </w:r>
            <w:r>
              <w:rPr>
                <w:rFonts w:hint="eastAsia" w:ascii="宋体" w:hAnsi="宋体"/>
                <w:color w:val="auto"/>
                <w:sz w:val="21"/>
                <w:szCs w:val="21"/>
                <w:highlight w:val="none"/>
                <w:u w:val="single"/>
                <w:lang w:val="en-US" w:eastAsia="zh-CN"/>
              </w:rPr>
              <w:t>以设计施工总承包中标价中的设计费中标价作为合同中设计部分暂定价，并实施限额设计，</w:t>
            </w:r>
            <w:r>
              <w:rPr>
                <w:rFonts w:hint="eastAsia" w:ascii="宋体" w:hAnsi="宋体" w:eastAsia="宋体" w:cs="宋体"/>
                <w:color w:val="auto"/>
                <w:sz w:val="21"/>
                <w:szCs w:val="21"/>
                <w:highlight w:val="none"/>
                <w:u w:val="single"/>
              </w:rPr>
              <w:t>包括但不限于完成本项目招标范围内的各相关专业的设计施工图（含电子版）、施工图深化设计成果文件（含电子版）、工程预算编制、施工过程设计控制及设计跟踪、工程设计变更、施工现场配合服务、配合审核竣工图及质量缺陷处理等后续服务等。</w:t>
            </w:r>
            <w:r>
              <w:rPr>
                <w:rFonts w:hint="eastAsia" w:ascii="宋体" w:hAnsi="宋体" w:eastAsia="宋体" w:cs="宋体"/>
                <w:color w:val="auto"/>
                <w:sz w:val="21"/>
                <w:szCs w:val="21"/>
                <w:highlight w:val="none"/>
                <w:u w:val="single"/>
                <w:lang w:val="en-US" w:eastAsia="zh-CN"/>
              </w:rPr>
              <w:t>设计费结算价按修正合同中的审定施工预算价为计费基数，结合投标下浮率计算得出（根据施工图设计阶段计费标准，设计费结算价按70%比例收取），系数为：（1）工程类别：园林绿化工程；（2）专业调整系数：1.10；（3）工程复杂程度调整系数：0.85；（4）附加调整系数：1.0</w:t>
            </w:r>
            <w:r>
              <w:rPr>
                <w:rFonts w:hint="eastAsia" w:ascii="宋体" w:hAnsi="宋体" w:eastAsia="宋体" w:cs="宋体"/>
                <w:color w:val="auto"/>
                <w:sz w:val="21"/>
                <w:szCs w:val="21"/>
                <w:highlight w:val="none"/>
                <w:u w:val="single"/>
              </w:rPr>
              <w:t>。</w:t>
            </w:r>
          </w:p>
          <w:p>
            <w:pPr>
              <w:spacing w:line="360" w:lineRule="auto"/>
              <w:ind w:firstLine="420" w:firstLineChars="200"/>
              <w:jc w:val="left"/>
              <w:rPr>
                <w:rFonts w:hint="default" w:eastAsia="宋体"/>
                <w:color w:val="auto"/>
                <w:highlight w:val="none"/>
                <w:lang w:val="en-US" w:eastAsia="zh-CN"/>
              </w:rPr>
            </w:pPr>
            <w:r>
              <w:rPr>
                <w:rFonts w:hint="eastAsia" w:ascii="宋体" w:hAnsi="宋体" w:cs="宋体"/>
                <w:color w:val="auto"/>
                <w:sz w:val="21"/>
                <w:szCs w:val="21"/>
                <w:highlight w:val="none"/>
                <w:u w:val="single"/>
              </w:rPr>
              <w:t>（2）施工部分：</w:t>
            </w:r>
            <w:r>
              <w:rPr>
                <w:rFonts w:hint="eastAsia" w:ascii="宋体" w:hAnsi="宋体"/>
                <w:color w:val="auto"/>
                <w:sz w:val="21"/>
                <w:szCs w:val="21"/>
                <w:highlight w:val="none"/>
                <w:u w:val="single"/>
                <w:lang w:val="en-US" w:eastAsia="zh-CN"/>
              </w:rPr>
              <w:t>以设计施工总承包中标价中的建安费中标价作为合同中施工部分暂定价</w:t>
            </w:r>
            <w:r>
              <w:rPr>
                <w:rFonts w:hint="eastAsia" w:ascii="宋体" w:hAnsi="宋体"/>
                <w:color w:val="auto"/>
                <w:sz w:val="21"/>
                <w:szCs w:val="21"/>
                <w:highlight w:val="none"/>
                <w:u w:val="single"/>
              </w:rPr>
              <w:t>，</w:t>
            </w:r>
            <w:r>
              <w:rPr>
                <w:rFonts w:hint="eastAsia" w:ascii="宋体" w:hAnsi="宋体" w:cs="宋体"/>
                <w:color w:val="auto"/>
                <w:sz w:val="21"/>
                <w:szCs w:val="21"/>
                <w:highlight w:val="none"/>
                <w:u w:val="single"/>
              </w:rPr>
              <w:t>但须以经审定的工程预算为基准，结合中标下浮率相应调整合同价，深化设计的建安预算价不得超过中标总价中的建安费费用，签订修正合同（其中施工图预算综合单价结合承包人投标时所报下浮率下浮后作为本工程的最终合同工程量清单综合单价，工程量以审定的施工图按实计量）。合同结算价最终以评审审定金额为准。完成本工程项目设计范围内所有建筑工程及设备安装工程，负责项目施工实施阶段采购、制作安装，直至项目竣工验收合格并移交</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rPr>
              <w:t>编制竣工图，包括但不限于包深化设计包工、包料、包设备、包质量、包安全生产、包文明施工、包工期、包承包范围内工程验收通过、包移交、包结算、包资料整</w:t>
            </w:r>
            <w:r>
              <w:rPr>
                <w:rFonts w:hint="eastAsia" w:ascii="宋体" w:hAnsi="宋体" w:eastAsia="宋体" w:cs="宋体"/>
                <w:color w:val="auto"/>
                <w:sz w:val="21"/>
                <w:szCs w:val="21"/>
                <w:highlight w:val="none"/>
                <w:u w:val="single"/>
              </w:rPr>
              <w:t>理、包施工总承包管理和现场整体组织、包专业协调及配合等。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其中：1、绿色安全文明措施费含施工便道及入口、围蔽、停车场与应急车道预留区碾压、临时排水等；2、</w:t>
            </w:r>
            <w:r>
              <w:rPr>
                <w:rFonts w:hint="eastAsia" w:ascii="宋体" w:hAnsi="宋体" w:eastAsia="宋体" w:cs="宋体"/>
                <w:bCs/>
                <w:color w:val="auto"/>
                <w:sz w:val="21"/>
                <w:szCs w:val="21"/>
                <w:highlight w:val="none"/>
                <w:lang w:val="en-US" w:eastAsia="zh-CN"/>
              </w:rPr>
              <w:t>土方、淤泥和废料外运的运输距离按15KM以内计算、如超出该公里数不作增加）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2816" w:type="dxa"/>
            <w:vAlign w:val="center"/>
          </w:tcPr>
          <w:p>
            <w:pPr>
              <w:adjustRightInd w:val="0"/>
              <w:snapToGrid w:val="0"/>
              <w:spacing w:before="156"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招标范围</w:t>
            </w:r>
          </w:p>
        </w:tc>
        <w:tc>
          <w:tcPr>
            <w:tcW w:w="5908" w:type="dxa"/>
            <w:vAlign w:val="center"/>
          </w:tcPr>
          <w:p>
            <w:pPr>
              <w:snapToGrid w:val="0"/>
              <w:spacing w:before="156" w:beforeLines="50" w:line="360" w:lineRule="auto"/>
              <w:rPr>
                <w:rFonts w:ascii="宋体" w:hAnsi="宋体" w:cs="宋体"/>
                <w:color w:val="auto"/>
                <w:szCs w:val="21"/>
                <w:highlight w:val="none"/>
              </w:rPr>
            </w:pPr>
            <w:r>
              <w:rPr>
                <w:rFonts w:hint="eastAsia"/>
                <w:color w:val="auto"/>
                <w:szCs w:val="21"/>
                <w:highlight w:val="none"/>
              </w:rPr>
              <w:t>详见公告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2816" w:type="dxa"/>
            <w:vAlign w:val="center"/>
          </w:tcPr>
          <w:p>
            <w:pPr>
              <w:adjustRightInd w:val="0"/>
              <w:snapToGrid w:val="0"/>
              <w:spacing w:before="156" w:beforeLines="5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工期要求</w:t>
            </w:r>
          </w:p>
        </w:tc>
        <w:tc>
          <w:tcPr>
            <w:tcW w:w="5908" w:type="dxa"/>
            <w:vAlign w:val="center"/>
          </w:tcPr>
          <w:p>
            <w:pPr>
              <w:adjustRightInd w:val="0"/>
              <w:snapToGrid w:val="0"/>
              <w:spacing w:before="156" w:beforeLines="50" w:line="360" w:lineRule="auto"/>
              <w:rPr>
                <w:rFonts w:hint="default" w:ascii="宋体" w:hAnsi="宋体" w:eastAsia="宋体" w:cs="宋体"/>
                <w:color w:val="auto"/>
                <w:highlight w:val="none"/>
                <w:lang w:val="en-US"/>
              </w:rPr>
            </w:pPr>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1</w:t>
            </w:r>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收到中标通知书后，5日内需出施工图纸；</w:t>
            </w:r>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2</w:t>
            </w:r>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2022年2月28日</w:t>
            </w:r>
            <w:r>
              <w:rPr>
                <w:rFonts w:hint="eastAsia" w:cs="宋体"/>
                <w:b w:val="0"/>
                <w:bCs/>
                <w:color w:val="auto"/>
                <w:sz w:val="21"/>
                <w:szCs w:val="21"/>
                <w:highlight w:val="none"/>
                <w:lang w:val="en-US" w:eastAsia="zh-CN"/>
              </w:rPr>
              <w:t>前</w:t>
            </w:r>
            <w:r>
              <w:rPr>
                <w:rFonts w:hint="eastAsia" w:ascii="宋体" w:hAnsi="宋体" w:eastAsia="宋体" w:cs="宋体"/>
                <w:b w:val="0"/>
                <w:bCs/>
                <w:color w:val="auto"/>
                <w:sz w:val="21"/>
                <w:szCs w:val="21"/>
                <w:highlight w:val="none"/>
                <w:lang w:val="en-US" w:eastAsia="zh-CN"/>
              </w:rPr>
              <w:t>需提供施工图预算上报；</w:t>
            </w:r>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3</w:t>
            </w:r>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2022年3月10日前完成公益植树林范围的施工</w:t>
            </w:r>
            <w:r>
              <w:rPr>
                <w:rFonts w:hint="eastAsia" w:ascii="宋体" w:hAnsi="宋体" w:cs="宋体"/>
                <w:b w:val="0"/>
                <w:bCs/>
                <w:color w:val="auto"/>
                <w:sz w:val="21"/>
                <w:szCs w:val="21"/>
                <w:highlight w:val="none"/>
                <w:lang w:val="en-US" w:eastAsia="zh-CN"/>
              </w:rPr>
              <w:t>，同时完成修正合同签订</w:t>
            </w:r>
            <w:r>
              <w:rPr>
                <w:rFonts w:hint="eastAsia" w:ascii="宋体" w:hAnsi="宋体" w:eastAsia="宋体" w:cs="宋体"/>
                <w:b w:val="0"/>
                <w:bCs/>
                <w:color w:val="auto"/>
                <w:sz w:val="21"/>
                <w:szCs w:val="21"/>
                <w:highlight w:val="none"/>
                <w:lang w:val="en-US" w:eastAsia="zh-CN"/>
              </w:rPr>
              <w:t>；</w:t>
            </w:r>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4</w:t>
            </w:r>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2022年6月15日前</w:t>
            </w:r>
            <w:r>
              <w:rPr>
                <w:rFonts w:hint="eastAsia" w:ascii="宋体" w:hAnsi="宋体" w:cs="宋体"/>
                <w:b w:val="0"/>
                <w:bCs/>
                <w:color w:val="auto"/>
                <w:sz w:val="21"/>
                <w:szCs w:val="21"/>
                <w:highlight w:val="none"/>
                <w:lang w:val="en-US" w:eastAsia="zh-CN"/>
              </w:rPr>
              <w:t>完成EPC范围内全部工程。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2816" w:type="dxa"/>
            <w:vAlign w:val="center"/>
          </w:tcPr>
          <w:p>
            <w:pPr>
              <w:adjustRightInd w:val="0"/>
              <w:snapToGrid w:val="0"/>
              <w:spacing w:before="156"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报价方式</w:t>
            </w:r>
          </w:p>
        </w:tc>
        <w:tc>
          <w:tcPr>
            <w:tcW w:w="5908" w:type="dxa"/>
            <w:vAlign w:val="center"/>
          </w:tcPr>
          <w:p>
            <w:pPr>
              <w:snapToGrid w:val="0"/>
              <w:spacing w:before="156" w:beforeLines="50" w:line="360" w:lineRule="auto"/>
              <w:rPr>
                <w:rFonts w:hint="default" w:eastAsia="宋体"/>
                <w:color w:val="auto"/>
                <w:szCs w:val="21"/>
                <w:highlight w:val="none"/>
                <w:lang w:val="en-US" w:eastAsia="zh-CN"/>
              </w:rPr>
            </w:pPr>
            <w:r>
              <w:rPr>
                <w:rFonts w:hint="eastAsia"/>
                <w:color w:val="auto"/>
                <w:szCs w:val="21"/>
                <w:highlight w:val="none"/>
                <w:lang w:val="en-US" w:eastAsia="zh-CN"/>
              </w:rPr>
              <w:t>限额设计施工</w:t>
            </w:r>
            <w:r>
              <w:rPr>
                <w:rFonts w:hint="eastAsia" w:ascii="Times New Roman" w:hAnsi="Times New Roman"/>
                <w:color w:val="auto"/>
                <w:szCs w:val="21"/>
                <w:highlight w:val="none"/>
              </w:rPr>
              <w:t>，</w:t>
            </w:r>
            <w:r>
              <w:rPr>
                <w:rFonts w:hint="eastAsia" w:ascii="Times New Roman" w:hAnsi="Times New Roman"/>
                <w:color w:val="auto"/>
                <w:szCs w:val="21"/>
                <w:highlight w:val="none"/>
                <w:lang w:val="en-US" w:eastAsia="zh-CN"/>
              </w:rPr>
              <w:t>该投标</w:t>
            </w:r>
            <w:r>
              <w:rPr>
                <w:rFonts w:hint="eastAsia" w:ascii="Times New Roman" w:hAnsi="Times New Roman"/>
                <w:color w:val="auto"/>
                <w:szCs w:val="21"/>
                <w:highlight w:val="none"/>
              </w:rPr>
              <w:t>报价包含本项目的设计费及</w:t>
            </w:r>
            <w:r>
              <w:rPr>
                <w:rFonts w:hint="eastAsia" w:ascii="Times New Roman" w:hAnsi="Times New Roman"/>
                <w:color w:val="auto"/>
                <w:szCs w:val="21"/>
                <w:highlight w:val="none"/>
                <w:lang w:val="en-US" w:eastAsia="zh-CN"/>
              </w:rPr>
              <w:t>建安</w:t>
            </w:r>
            <w:r>
              <w:rPr>
                <w:rFonts w:hint="eastAsia" w:ascii="Times New Roman" w:hAnsi="Times New Roman"/>
                <w:color w:val="auto"/>
                <w:szCs w:val="21"/>
                <w:highlight w:val="none"/>
              </w:rPr>
              <w:t>费</w:t>
            </w:r>
            <w:r>
              <w:rPr>
                <w:rFonts w:hint="eastAsia" w:ascii="Times New Roman" w:hAnsi="Times New Roman"/>
                <w:color w:val="auto"/>
                <w:szCs w:val="21"/>
                <w:highlight w:val="none"/>
                <w:lang w:eastAsia="zh-CN"/>
              </w:rPr>
              <w:t>，</w:t>
            </w:r>
            <w:r>
              <w:rPr>
                <w:rFonts w:hint="eastAsia" w:ascii="Times New Roman" w:hAnsi="Times New Roman"/>
                <w:color w:val="auto"/>
                <w:szCs w:val="21"/>
                <w:highlight w:val="none"/>
                <w:lang w:val="en-US" w:eastAsia="zh-CN"/>
              </w:rPr>
              <w:t>按照招标公告要求均不得超过相应的招标限价</w:t>
            </w:r>
            <w:r>
              <w:rPr>
                <w:rFonts w:hint="eastAsia" w:ascii="Times New Roman" w:hAnsi="Times New Roman"/>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11</w:t>
            </w:r>
          </w:p>
        </w:tc>
        <w:tc>
          <w:tcPr>
            <w:tcW w:w="2816" w:type="dxa"/>
            <w:vAlign w:val="center"/>
          </w:tcPr>
          <w:p>
            <w:pPr>
              <w:adjustRightInd w:val="0"/>
              <w:snapToGrid w:val="0"/>
              <w:spacing w:before="156"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质量标准</w:t>
            </w:r>
          </w:p>
        </w:tc>
        <w:tc>
          <w:tcPr>
            <w:tcW w:w="5908" w:type="dxa"/>
            <w:vAlign w:val="center"/>
          </w:tcPr>
          <w:p>
            <w:pPr>
              <w:adjustRightInd w:val="0"/>
              <w:snapToGrid w:val="0"/>
              <w:spacing w:before="156" w:beforeLines="50" w:line="360" w:lineRule="auto"/>
              <w:rPr>
                <w:rFonts w:ascii="宋体" w:hAnsi="宋体" w:cs="宋体"/>
                <w:color w:val="auto"/>
                <w:szCs w:val="21"/>
                <w:highlight w:val="none"/>
              </w:rPr>
            </w:pPr>
            <w:r>
              <w:rPr>
                <w:rFonts w:hint="eastAsia" w:ascii="宋体" w:hAnsi="宋体" w:cs="宋体"/>
                <w:color w:val="auto"/>
                <w:szCs w:val="21"/>
                <w:highlight w:val="none"/>
              </w:rPr>
              <w:t>设计质量标准：符合《建设工程质量管理条例》及《建设工程勘察设计管理条例》等国家及地方有关工程勘察设计管理法规和规章，达到招标方案图的效果。</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工程质量标准：合格。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12</w:t>
            </w:r>
          </w:p>
        </w:tc>
        <w:tc>
          <w:tcPr>
            <w:tcW w:w="2816" w:type="dxa"/>
            <w:vAlign w:val="center"/>
          </w:tcPr>
          <w:p>
            <w:pPr>
              <w:adjustRightInd w:val="0"/>
              <w:snapToGrid w:val="0"/>
              <w:spacing w:before="156"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5908" w:type="dxa"/>
            <w:vAlign w:val="center"/>
          </w:tcPr>
          <w:p>
            <w:pPr>
              <w:adjustRightInd w:val="0"/>
              <w:snapToGrid w:val="0"/>
              <w:spacing w:before="156" w:beforeLines="50" w:line="360" w:lineRule="auto"/>
              <w:rPr>
                <w:rFonts w:ascii="宋体" w:hAnsi="宋体" w:cs="宋体"/>
                <w:color w:val="auto"/>
                <w:szCs w:val="21"/>
                <w:highlight w:val="none"/>
              </w:rPr>
            </w:pPr>
            <w:r>
              <w:rPr>
                <w:rFonts w:hint="eastAsia" w:ascii="宋体" w:hAnsi="宋体" w:cs="宋体"/>
                <w:color w:val="auto"/>
                <w:szCs w:val="21"/>
                <w:highlight w:val="none"/>
              </w:rPr>
              <w:t>由投标人自行踏勘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olor w:val="auto"/>
                <w:szCs w:val="21"/>
                <w:highlight w:val="none"/>
              </w:rPr>
            </w:pPr>
            <w:r>
              <w:rPr>
                <w:rFonts w:hint="eastAsia" w:ascii="宋体" w:hAnsi="宋体"/>
                <w:color w:val="auto"/>
                <w:szCs w:val="21"/>
                <w:highlight w:val="none"/>
              </w:rPr>
              <w:t>13</w:t>
            </w:r>
          </w:p>
        </w:tc>
        <w:tc>
          <w:tcPr>
            <w:tcW w:w="2816" w:type="dxa"/>
            <w:vAlign w:val="center"/>
          </w:tcPr>
          <w:p>
            <w:pPr>
              <w:adjustRightInd w:val="0"/>
              <w:snapToGrid w:val="0"/>
              <w:spacing w:before="156"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投标人合格条件</w:t>
            </w:r>
          </w:p>
        </w:tc>
        <w:tc>
          <w:tcPr>
            <w:tcW w:w="5908" w:type="dxa"/>
            <w:vAlign w:val="center"/>
          </w:tcPr>
          <w:p>
            <w:pPr>
              <w:adjustRightInd w:val="0"/>
              <w:snapToGrid w:val="0"/>
              <w:spacing w:before="156" w:beforeLines="50" w:line="360" w:lineRule="auto"/>
              <w:rPr>
                <w:rFonts w:ascii="宋体" w:hAnsi="宋体" w:cs="宋体"/>
                <w:strike/>
                <w:color w:val="auto"/>
                <w:szCs w:val="21"/>
                <w:highlight w:val="none"/>
              </w:rPr>
            </w:pPr>
            <w:r>
              <w:rPr>
                <w:rFonts w:hint="eastAsia" w:ascii="宋体" w:hAnsi="宋体" w:cs="宋体"/>
                <w:color w:val="auto"/>
                <w:szCs w:val="21"/>
                <w:highlight w:val="none"/>
              </w:rPr>
              <w:t>详见本项目招标公告。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olor w:val="auto"/>
                <w:szCs w:val="21"/>
                <w:highlight w:val="none"/>
              </w:rPr>
            </w:pPr>
            <w:r>
              <w:rPr>
                <w:rFonts w:hint="eastAsia" w:ascii="宋体" w:hAnsi="宋体"/>
                <w:color w:val="auto"/>
                <w:szCs w:val="21"/>
                <w:highlight w:val="none"/>
              </w:rPr>
              <w:t>14</w:t>
            </w:r>
          </w:p>
        </w:tc>
        <w:tc>
          <w:tcPr>
            <w:tcW w:w="2816" w:type="dxa"/>
            <w:vAlign w:val="center"/>
          </w:tcPr>
          <w:p>
            <w:pPr>
              <w:adjustRightInd w:val="0"/>
              <w:snapToGrid w:val="0"/>
              <w:spacing w:before="156" w:beforeLines="50" w:line="360" w:lineRule="auto"/>
              <w:jc w:val="center"/>
              <w:rPr>
                <w:rFonts w:ascii="宋体" w:hAnsi="宋体"/>
                <w:color w:val="auto"/>
                <w:szCs w:val="21"/>
                <w:highlight w:val="none"/>
              </w:rPr>
            </w:pPr>
            <w:r>
              <w:rPr>
                <w:rFonts w:ascii="宋体" w:hAnsi="宋体"/>
                <w:color w:val="auto"/>
                <w:szCs w:val="21"/>
                <w:highlight w:val="none"/>
              </w:rPr>
              <w:t>是否接受联合体投标</w:t>
            </w:r>
          </w:p>
        </w:tc>
        <w:tc>
          <w:tcPr>
            <w:tcW w:w="5908" w:type="dxa"/>
            <w:vAlign w:val="center"/>
          </w:tcPr>
          <w:p>
            <w:pPr>
              <w:pStyle w:val="15"/>
              <w:topLinePunct/>
              <w:adjustRightInd w:val="0"/>
              <w:snapToGrid w:val="0"/>
              <w:spacing w:before="156" w:beforeLines="50" w:line="360" w:lineRule="auto"/>
              <w:rPr>
                <w:rFonts w:hAnsi="宋体"/>
                <w:color w:val="auto"/>
                <w:sz w:val="21"/>
                <w:szCs w:val="21"/>
                <w:highlight w:val="none"/>
              </w:rPr>
            </w:pPr>
            <w:r>
              <w:rPr>
                <w:rFonts w:hint="eastAsia" w:hAnsi="宋体" w:cs="宋体"/>
                <w:color w:val="auto"/>
                <w:sz w:val="21"/>
                <w:szCs w:val="21"/>
                <w:highlight w:val="none"/>
              </w:rPr>
              <w:t>□</w:t>
            </w:r>
            <w:r>
              <w:rPr>
                <w:rFonts w:hint="eastAsia" w:hAnsi="宋体"/>
                <w:color w:val="auto"/>
                <w:sz w:val="21"/>
                <w:szCs w:val="21"/>
                <w:highlight w:val="none"/>
              </w:rPr>
              <w:t>不接受</w:t>
            </w:r>
          </w:p>
          <w:p>
            <w:pPr>
              <w:pStyle w:val="15"/>
              <w:topLinePunct/>
              <w:adjustRightInd w:val="0"/>
              <w:snapToGrid w:val="0"/>
              <w:spacing w:before="156" w:beforeLines="50" w:line="360" w:lineRule="auto"/>
              <w:rPr>
                <w:rFonts w:hAnsi="宋体"/>
                <w:color w:val="auto"/>
                <w:sz w:val="21"/>
                <w:szCs w:val="21"/>
                <w:highlight w:val="none"/>
              </w:rPr>
            </w:pPr>
            <w:r>
              <w:rPr>
                <w:rFonts w:hint="eastAsia" w:hAnsi="宋体"/>
                <w:color w:val="auto"/>
                <w:kern w:val="0"/>
                <w:sz w:val="21"/>
                <w:szCs w:val="21"/>
                <w:highlight w:val="none"/>
              </w:rPr>
              <w:t>■</w:t>
            </w:r>
            <w:r>
              <w:rPr>
                <w:rFonts w:hint="eastAsia" w:hAnsi="宋体"/>
                <w:color w:val="auto"/>
                <w:sz w:val="21"/>
                <w:szCs w:val="21"/>
                <w:highlight w:val="none"/>
              </w:rPr>
              <w:t>接受，应满足下列要求：</w:t>
            </w:r>
            <w:r>
              <w:rPr>
                <w:rFonts w:hint="eastAsia" w:hAnsi="宋体" w:cs="宋体"/>
                <w:color w:val="auto"/>
                <w:sz w:val="21"/>
                <w:szCs w:val="21"/>
                <w:highlight w:val="none"/>
              </w:rPr>
              <w:t>详见本项目招标公告。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5" w:type="dxa"/>
            <w:vAlign w:val="center"/>
          </w:tcPr>
          <w:p>
            <w:pPr>
              <w:adjustRightInd w:val="0"/>
              <w:snapToGrid w:val="0"/>
              <w:spacing w:before="156" w:beforeLines="50" w:line="360" w:lineRule="auto"/>
              <w:jc w:val="center"/>
              <w:rPr>
                <w:rFonts w:ascii="宋体" w:hAnsi="宋体"/>
                <w:color w:val="auto"/>
                <w:szCs w:val="21"/>
                <w:highlight w:val="none"/>
              </w:rPr>
            </w:pPr>
            <w:r>
              <w:rPr>
                <w:rFonts w:hint="eastAsia" w:ascii="宋体" w:hAnsi="宋体"/>
                <w:color w:val="auto"/>
                <w:szCs w:val="21"/>
                <w:highlight w:val="none"/>
              </w:rPr>
              <w:t>15</w:t>
            </w:r>
          </w:p>
        </w:tc>
        <w:tc>
          <w:tcPr>
            <w:tcW w:w="2816" w:type="dxa"/>
            <w:vAlign w:val="center"/>
          </w:tcPr>
          <w:p>
            <w:pPr>
              <w:adjustRightInd w:val="0"/>
              <w:snapToGrid w:val="0"/>
              <w:spacing w:before="156" w:beforeLines="50" w:line="360" w:lineRule="auto"/>
              <w:jc w:val="center"/>
              <w:rPr>
                <w:rFonts w:ascii="宋体" w:hAnsi="宋体"/>
                <w:color w:val="auto"/>
                <w:szCs w:val="21"/>
                <w:highlight w:val="none"/>
              </w:rPr>
            </w:pPr>
            <w:r>
              <w:rPr>
                <w:rFonts w:hint="eastAsia" w:ascii="宋体" w:hAnsi="宋体"/>
                <w:color w:val="auto"/>
                <w:szCs w:val="21"/>
                <w:highlight w:val="none"/>
              </w:rPr>
              <w:t>最高投标限价或其计算方法</w:t>
            </w:r>
          </w:p>
        </w:tc>
        <w:tc>
          <w:tcPr>
            <w:tcW w:w="5908" w:type="dxa"/>
            <w:vAlign w:val="center"/>
          </w:tcPr>
          <w:p>
            <w:pPr>
              <w:adjustRightInd w:val="0"/>
              <w:snapToGrid w:val="0"/>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最高投标限价：¥</w:t>
            </w:r>
            <w:r>
              <w:rPr>
                <w:rFonts w:hint="eastAsia" w:ascii="宋体" w:hAnsi="宋体" w:eastAsia="宋体" w:cs="宋体"/>
                <w:color w:val="auto"/>
                <w:sz w:val="21"/>
                <w:szCs w:val="21"/>
                <w:highlight w:val="none"/>
                <w:u w:val="single"/>
                <w:lang w:val="en-US" w:eastAsia="zh-CN"/>
              </w:rPr>
              <w:t>3203534.97</w:t>
            </w:r>
            <w:r>
              <w:rPr>
                <w:rFonts w:hint="eastAsia" w:ascii="宋体" w:hAnsi="宋体" w:eastAsia="宋体" w:cs="宋体"/>
                <w:color w:val="auto"/>
                <w:sz w:val="21"/>
                <w:szCs w:val="21"/>
                <w:highlight w:val="none"/>
              </w:rPr>
              <w:t>元，其中：设计费最高投标限价¥</w:t>
            </w:r>
            <w:r>
              <w:rPr>
                <w:rFonts w:hint="eastAsia" w:ascii="宋体" w:hAnsi="宋体" w:eastAsia="宋体" w:cs="宋体"/>
                <w:color w:val="auto"/>
                <w:sz w:val="21"/>
                <w:szCs w:val="21"/>
                <w:highlight w:val="none"/>
                <w:u w:val="single"/>
                <w:lang w:val="en-US" w:eastAsia="zh-CN"/>
              </w:rPr>
              <w:t>73866.04</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建安工程费最高投标限价¥</w:t>
            </w:r>
            <w:r>
              <w:rPr>
                <w:rFonts w:hint="eastAsia" w:ascii="宋体" w:hAnsi="宋体" w:eastAsia="宋体" w:cs="宋体"/>
                <w:color w:val="auto"/>
                <w:sz w:val="21"/>
                <w:szCs w:val="21"/>
                <w:highlight w:val="none"/>
                <w:u w:val="single"/>
                <w:lang w:val="en-US" w:eastAsia="zh-CN"/>
              </w:rPr>
              <w:t>3129668.93</w:t>
            </w:r>
            <w:r>
              <w:rPr>
                <w:rFonts w:hint="eastAsia" w:ascii="宋体" w:hAnsi="宋体" w:eastAsia="宋体" w:cs="宋体"/>
                <w:color w:val="auto"/>
                <w:sz w:val="21"/>
                <w:szCs w:val="21"/>
                <w:highlight w:val="none"/>
              </w:rPr>
              <w:t>元（含安全文明施工措施费）</w:t>
            </w:r>
            <w:r>
              <w:rPr>
                <w:rFonts w:hint="eastAsia" w:ascii="宋体" w:hAnsi="宋体" w:cs="宋体"/>
                <w:color w:val="auto"/>
                <w:sz w:val="21"/>
                <w:szCs w:val="21"/>
                <w:highlight w:val="none"/>
                <w:lang w:eastAsia="zh-CN"/>
              </w:rPr>
              <w:t>。</w:t>
            </w:r>
          </w:p>
          <w:p>
            <w:pPr>
              <w:adjustRightInd w:val="0"/>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投标人的投标总报价、设计费报价、建安工程费报价超过对应最高投标限价的为无效标。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olor w:val="auto"/>
                <w:szCs w:val="21"/>
                <w:highlight w:val="none"/>
              </w:rPr>
            </w:pPr>
            <w:r>
              <w:rPr>
                <w:rFonts w:hint="eastAsia" w:ascii="宋体" w:hAnsi="宋体"/>
                <w:color w:val="auto"/>
                <w:szCs w:val="21"/>
                <w:highlight w:val="none"/>
              </w:rPr>
              <w:t>16</w:t>
            </w:r>
          </w:p>
        </w:tc>
        <w:tc>
          <w:tcPr>
            <w:tcW w:w="2816" w:type="dxa"/>
            <w:vAlign w:val="center"/>
          </w:tcPr>
          <w:p>
            <w:pPr>
              <w:adjustRightInd w:val="0"/>
              <w:snapToGrid w:val="0"/>
              <w:spacing w:before="156" w:beforeLines="50" w:line="360" w:lineRule="auto"/>
              <w:jc w:val="center"/>
              <w:rPr>
                <w:rFonts w:ascii="宋体" w:hAnsi="宋体"/>
                <w:color w:val="auto"/>
                <w:szCs w:val="21"/>
                <w:highlight w:val="none"/>
              </w:rPr>
            </w:pPr>
            <w:r>
              <w:rPr>
                <w:rFonts w:ascii="宋体" w:hAnsi="宋体"/>
                <w:color w:val="auto"/>
                <w:szCs w:val="21"/>
                <w:highlight w:val="none"/>
              </w:rPr>
              <w:t>投标有效期</w:t>
            </w:r>
          </w:p>
        </w:tc>
        <w:tc>
          <w:tcPr>
            <w:tcW w:w="5908" w:type="dxa"/>
            <w:vAlign w:val="center"/>
          </w:tcPr>
          <w:p>
            <w:pPr>
              <w:adjustRightInd w:val="0"/>
              <w:snapToGrid w:val="0"/>
              <w:spacing w:before="156" w:beforeLines="50" w:line="360" w:lineRule="auto"/>
              <w:rPr>
                <w:rFonts w:ascii="宋体" w:hAnsi="宋体"/>
                <w:color w:val="auto"/>
                <w:szCs w:val="21"/>
                <w:highlight w:val="none"/>
              </w:rPr>
            </w:pPr>
            <w:r>
              <w:rPr>
                <w:rFonts w:hint="eastAsia" w:ascii="宋体" w:hAnsi="宋体"/>
                <w:color w:val="auto"/>
                <w:szCs w:val="21"/>
                <w:highlight w:val="none"/>
                <w:u w:val="single"/>
              </w:rPr>
              <w:t>60</w:t>
            </w:r>
            <w:r>
              <w:rPr>
                <w:rFonts w:ascii="宋体" w:hAnsi="宋体"/>
                <w:color w:val="auto"/>
                <w:szCs w:val="21"/>
                <w:highlight w:val="none"/>
              </w:rPr>
              <w:t>日历天（从递交投标文件截止之日计起），如出现异议或投诉，则投标有效期自动延长至异议或投诉处理结束，确定中标人并发放中标通知书为止。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olor w:val="auto"/>
                <w:szCs w:val="21"/>
                <w:highlight w:val="none"/>
              </w:rPr>
            </w:pPr>
            <w:r>
              <w:rPr>
                <w:rFonts w:hint="eastAsia" w:ascii="宋体" w:hAnsi="宋体"/>
                <w:color w:val="auto"/>
                <w:szCs w:val="21"/>
                <w:highlight w:val="none"/>
              </w:rPr>
              <w:t>17</w:t>
            </w:r>
          </w:p>
        </w:tc>
        <w:tc>
          <w:tcPr>
            <w:tcW w:w="2816" w:type="dxa"/>
            <w:vAlign w:val="center"/>
          </w:tcPr>
          <w:p>
            <w:pPr>
              <w:adjustRightInd w:val="0"/>
              <w:snapToGrid w:val="0"/>
              <w:spacing w:before="156" w:beforeLines="50" w:line="360" w:lineRule="auto"/>
              <w:jc w:val="center"/>
              <w:rPr>
                <w:rFonts w:ascii="宋体" w:hAnsi="宋体"/>
                <w:color w:val="auto"/>
                <w:szCs w:val="21"/>
                <w:highlight w:val="none"/>
              </w:rPr>
            </w:pPr>
            <w:r>
              <w:rPr>
                <w:rFonts w:ascii="宋体" w:hAnsi="宋体"/>
                <w:color w:val="auto"/>
                <w:szCs w:val="21"/>
                <w:highlight w:val="none"/>
              </w:rPr>
              <w:t>投标文件份数</w:t>
            </w:r>
          </w:p>
        </w:tc>
        <w:tc>
          <w:tcPr>
            <w:tcW w:w="5908" w:type="dxa"/>
            <w:vAlign w:val="center"/>
          </w:tcPr>
          <w:p>
            <w:pPr>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资格审查文件：</w:t>
            </w:r>
            <w:r>
              <w:rPr>
                <w:rFonts w:hint="eastAsia" w:ascii="宋体" w:hAnsi="宋体" w:eastAsia="宋体" w:cs="宋体"/>
                <w:color w:val="auto"/>
                <w:sz w:val="21"/>
                <w:szCs w:val="21"/>
                <w:highlight w:val="none"/>
                <w:u w:val="single"/>
              </w:rPr>
              <w:t>1份正本（含电子文件一套），4份副本；</w:t>
            </w:r>
          </w:p>
          <w:p>
            <w:pPr>
              <w:jc w:val="left"/>
              <w:rPr>
                <w:rFonts w:hint="eastAsia" w:ascii="宋体" w:hAnsi="宋体" w:eastAsia="宋体" w:cs="宋体"/>
                <w:color w:val="auto"/>
                <w:sz w:val="21"/>
                <w:szCs w:val="21"/>
                <w:highlight w:val="none"/>
                <w:u w:val="single"/>
              </w:rPr>
            </w:pPr>
            <w:r>
              <w:rPr>
                <w:rFonts w:hint="eastAsia" w:ascii="宋体" w:hAnsi="宋体" w:eastAsia="宋体" w:cs="宋体"/>
                <w:b/>
                <w:bCs/>
                <w:color w:val="auto"/>
                <w:sz w:val="21"/>
                <w:szCs w:val="21"/>
                <w:highlight w:val="none"/>
              </w:rPr>
              <w:t>工程总承包实施方案（含资信部分）文件</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1份正本（含电子文件一套），4份副本；</w:t>
            </w:r>
          </w:p>
          <w:p>
            <w:pPr>
              <w:jc w:val="left"/>
              <w:rPr>
                <w:rFonts w:hint="eastAsia" w:ascii="宋体" w:hAnsi="宋体" w:eastAsia="宋体" w:cs="宋体"/>
                <w:color w:val="auto"/>
                <w:sz w:val="21"/>
                <w:szCs w:val="21"/>
                <w:highlight w:val="none"/>
                <w:u w:val="single"/>
              </w:rPr>
            </w:pPr>
            <w:r>
              <w:rPr>
                <w:rFonts w:hint="eastAsia" w:ascii="宋体" w:hAnsi="宋体" w:eastAsia="宋体" w:cs="宋体"/>
                <w:b/>
                <w:bCs/>
                <w:color w:val="auto"/>
                <w:sz w:val="21"/>
                <w:szCs w:val="21"/>
                <w:highlight w:val="none"/>
              </w:rPr>
              <w:t>投标报价文件</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1份正本（含电子文件一套），4份副本。</w:t>
            </w:r>
          </w:p>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独自分开的封包数共为</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包：</w:t>
            </w:r>
          </w:p>
          <w:p>
            <w:pPr>
              <w:jc w:val="left"/>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资格审查文件1包；</w:t>
            </w:r>
          </w:p>
          <w:p>
            <w:pPr>
              <w:jc w:val="left"/>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工程总承包实施方案（含资信部分）文件1包；</w:t>
            </w:r>
          </w:p>
          <w:p>
            <w:pPr>
              <w:jc w:val="left"/>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投标报价文件1包。</w:t>
            </w:r>
          </w:p>
          <w:p>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要求提供的电子文件光盘（或U盘）必须无病毒、无加密、可打开、可编辑。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olor w:val="auto"/>
                <w:szCs w:val="21"/>
                <w:highlight w:val="none"/>
              </w:rPr>
            </w:pPr>
          </w:p>
        </w:tc>
        <w:tc>
          <w:tcPr>
            <w:tcW w:w="2816" w:type="dxa"/>
            <w:vAlign w:val="center"/>
          </w:tcPr>
          <w:p>
            <w:pPr>
              <w:adjustRightInd w:val="0"/>
              <w:snapToGrid w:val="0"/>
              <w:spacing w:before="156" w:beforeLines="50" w:line="360" w:lineRule="auto"/>
              <w:jc w:val="center"/>
              <w:rPr>
                <w:rFonts w:ascii="宋体" w:hAnsi="宋体"/>
                <w:color w:val="auto"/>
                <w:szCs w:val="21"/>
                <w:highlight w:val="none"/>
              </w:rPr>
            </w:pPr>
            <w:r>
              <w:rPr>
                <w:rFonts w:ascii="宋体" w:hAnsi="宋体"/>
                <w:color w:val="auto"/>
                <w:szCs w:val="21"/>
                <w:highlight w:val="none"/>
              </w:rPr>
              <w:t>封套上</w:t>
            </w:r>
            <w:r>
              <w:rPr>
                <w:rFonts w:hint="eastAsia" w:ascii="宋体" w:hAnsi="宋体"/>
                <w:color w:val="auto"/>
                <w:szCs w:val="21"/>
                <w:highlight w:val="none"/>
              </w:rPr>
              <w:t>应载明的信息</w:t>
            </w:r>
          </w:p>
        </w:tc>
        <w:tc>
          <w:tcPr>
            <w:tcW w:w="5908" w:type="dxa"/>
            <w:vAlign w:val="center"/>
          </w:tcPr>
          <w:p>
            <w:pPr>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1、资格审查文件/工程总承包实施方案（含资信部分）文件/投标报价文件</w:t>
            </w:r>
          </w:p>
          <w:p>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招标人名称：</w:t>
            </w:r>
            <w:r>
              <w:rPr>
                <w:rFonts w:hint="eastAsia" w:ascii="宋体" w:hAnsi="宋体" w:eastAsia="宋体" w:cs="宋体"/>
                <w:color w:val="auto"/>
                <w:sz w:val="21"/>
                <w:szCs w:val="21"/>
                <w:highlight w:val="none"/>
                <w:u w:val="single"/>
                <w:lang w:eastAsia="zh-CN"/>
              </w:rPr>
              <w:t>广州南沙湿地旅游发展有限公司</w:t>
            </w:r>
          </w:p>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eastAsia="zh-CN"/>
              </w:rPr>
              <w:t>南沙湿地二期“湿地景区公益植树林”项目</w:t>
            </w:r>
            <w:r>
              <w:rPr>
                <w:rFonts w:hint="eastAsia" w:ascii="宋体" w:hAnsi="宋体" w:eastAsia="宋体" w:cs="宋体"/>
                <w:color w:val="auto"/>
                <w:sz w:val="21"/>
                <w:szCs w:val="21"/>
                <w:highlight w:val="none"/>
                <w:u w:val="single"/>
              </w:rPr>
              <w:t>设计施工总承包</w:t>
            </w:r>
            <w:r>
              <w:rPr>
                <w:rFonts w:hint="eastAsia" w:ascii="宋体" w:hAnsi="宋体" w:eastAsia="宋体" w:cs="宋体"/>
                <w:color w:val="auto"/>
                <w:sz w:val="21"/>
                <w:szCs w:val="21"/>
                <w:highlight w:val="none"/>
              </w:rPr>
              <w:t>投标文件（</w:t>
            </w:r>
            <w:r>
              <w:rPr>
                <w:rFonts w:hint="eastAsia" w:ascii="宋体" w:hAnsi="宋体" w:eastAsia="宋体" w:cs="宋体"/>
                <w:b/>
                <w:bCs/>
                <w:color w:val="auto"/>
                <w:sz w:val="21"/>
                <w:szCs w:val="21"/>
                <w:highlight w:val="none"/>
              </w:rPr>
              <w:t>资格审查文件/工程总承包实施方案（含资信部分）文件/投标报价文件</w:t>
            </w:r>
            <w:r>
              <w:rPr>
                <w:rFonts w:hint="eastAsia" w:ascii="宋体" w:hAnsi="宋体" w:eastAsia="宋体" w:cs="宋体"/>
                <w:color w:val="auto"/>
                <w:sz w:val="21"/>
                <w:szCs w:val="21"/>
                <w:highlight w:val="none"/>
              </w:rPr>
              <w:t>）</w:t>
            </w:r>
          </w:p>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eastAsia="zh-CN"/>
              </w:rPr>
              <w:t>2022</w:t>
            </w:r>
            <w:r>
              <w:rPr>
                <w:rFonts w:hint="eastAsia" w:ascii="宋体" w:hAnsi="宋体" w:eastAsia="宋体" w:cs="宋体"/>
                <w:color w:val="auto"/>
                <w:sz w:val="21"/>
                <w:szCs w:val="21"/>
                <w:highlight w:val="none"/>
                <w:u w:val="single"/>
              </w:rPr>
              <w:t>年</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月</w:t>
            </w:r>
            <w:r>
              <w:rPr>
                <w:rFonts w:hint="eastAsia" w:ascii="宋体" w:hAnsi="宋体" w:eastAsia="宋体" w:cs="宋体"/>
                <w:color w:val="auto"/>
                <w:sz w:val="21"/>
                <w:szCs w:val="21"/>
                <w:highlight w:val="none"/>
                <w:u w:val="single"/>
                <w:lang w:val="en-US" w:eastAsia="zh-CN"/>
              </w:rPr>
              <w:t>17</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u w:val="single"/>
                <w:lang w:val="en-US" w:eastAsia="zh-CN"/>
              </w:rPr>
              <w:t>09</w:t>
            </w:r>
            <w:r>
              <w:rPr>
                <w:rFonts w:hint="eastAsia" w:ascii="宋体" w:hAnsi="宋体" w:eastAsia="宋体" w:cs="宋体"/>
                <w:color w:val="auto"/>
                <w:sz w:val="21"/>
                <w:szCs w:val="21"/>
                <w:highlight w:val="none"/>
                <w:u w:val="single"/>
              </w:rPr>
              <w:t>时</w:t>
            </w:r>
            <w:r>
              <w:rPr>
                <w:rFonts w:hint="eastAsia" w:ascii="宋体" w:hAnsi="宋体" w:eastAsia="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single"/>
              </w:rPr>
              <w:t>分</w:t>
            </w:r>
            <w:r>
              <w:rPr>
                <w:rFonts w:hint="eastAsia" w:ascii="宋体" w:hAnsi="宋体" w:eastAsia="宋体" w:cs="宋体"/>
                <w:color w:val="auto"/>
                <w:sz w:val="21"/>
                <w:szCs w:val="21"/>
                <w:highlight w:val="none"/>
              </w:rPr>
              <w:t>前不得开启</w:t>
            </w:r>
          </w:p>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投标人名称：（并加盖公章。联合体投标的，主办方盖章即可）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olor w:val="auto"/>
                <w:szCs w:val="21"/>
                <w:highlight w:val="none"/>
              </w:rPr>
            </w:pPr>
            <w:r>
              <w:rPr>
                <w:rFonts w:hint="eastAsia" w:ascii="宋体" w:hAnsi="宋体"/>
                <w:color w:val="auto"/>
                <w:szCs w:val="21"/>
                <w:highlight w:val="none"/>
              </w:rPr>
              <w:t>19</w:t>
            </w:r>
          </w:p>
        </w:tc>
        <w:tc>
          <w:tcPr>
            <w:tcW w:w="2816" w:type="dxa"/>
            <w:vAlign w:val="center"/>
          </w:tcPr>
          <w:p>
            <w:pPr>
              <w:snapToGrid w:val="0"/>
              <w:spacing w:before="156" w:beforeLines="50" w:line="360" w:lineRule="auto"/>
              <w:jc w:val="center"/>
              <w:rPr>
                <w:rFonts w:ascii="宋体" w:hAnsi="宋体"/>
                <w:color w:val="auto"/>
                <w:szCs w:val="21"/>
                <w:highlight w:val="none"/>
              </w:rPr>
            </w:pPr>
            <w:r>
              <w:rPr>
                <w:rFonts w:hint="eastAsia"/>
                <w:color w:val="auto"/>
                <w:szCs w:val="21"/>
                <w:highlight w:val="none"/>
              </w:rPr>
              <w:t>报名</w:t>
            </w:r>
            <w:r>
              <w:rPr>
                <w:rFonts w:hint="eastAsia"/>
                <w:color w:val="auto"/>
                <w:szCs w:val="21"/>
                <w:highlight w:val="none"/>
                <w:lang w:eastAsia="zh-CN"/>
              </w:rPr>
              <w:t>登记</w:t>
            </w:r>
            <w:r>
              <w:rPr>
                <w:rFonts w:hint="eastAsia"/>
                <w:color w:val="auto"/>
                <w:szCs w:val="21"/>
                <w:highlight w:val="none"/>
              </w:rPr>
              <w:t>地点和时间</w:t>
            </w:r>
          </w:p>
        </w:tc>
        <w:tc>
          <w:tcPr>
            <w:tcW w:w="5908" w:type="dxa"/>
            <w:vAlign w:val="center"/>
          </w:tcPr>
          <w:p>
            <w:pPr>
              <w:snapToGrid w:val="0"/>
              <w:spacing w:before="156" w:before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地点：南沙</w:t>
            </w:r>
            <w:r>
              <w:rPr>
                <w:rFonts w:hint="eastAsia" w:ascii="宋体" w:hAnsi="宋体" w:eastAsia="宋体" w:cs="宋体"/>
                <w:color w:val="auto"/>
                <w:sz w:val="21"/>
                <w:szCs w:val="21"/>
                <w:highlight w:val="none"/>
                <w:lang w:eastAsia="zh-CN"/>
              </w:rPr>
              <w:t>区环市大道富汇街</w:t>
            </w:r>
            <w:r>
              <w:rPr>
                <w:rFonts w:hint="eastAsia" w:ascii="宋体" w:hAnsi="宋体" w:eastAsia="宋体" w:cs="宋体"/>
                <w:color w:val="auto"/>
                <w:sz w:val="21"/>
                <w:szCs w:val="21"/>
                <w:highlight w:val="none"/>
                <w:lang w:val="en-US" w:eastAsia="zh-CN"/>
              </w:rPr>
              <w:t>3号502</w:t>
            </w:r>
            <w:r>
              <w:rPr>
                <w:rFonts w:hint="eastAsia" w:ascii="宋体" w:hAnsi="宋体" w:eastAsia="宋体" w:cs="宋体"/>
                <w:color w:val="auto"/>
                <w:sz w:val="21"/>
                <w:szCs w:val="21"/>
                <w:highlight w:val="none"/>
              </w:rPr>
              <w:t>室</w:t>
            </w:r>
          </w:p>
          <w:p>
            <w:pPr>
              <w:snapToGrid w:val="0"/>
              <w:spacing w:before="156" w:before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u w:val="single"/>
                <w:lang w:eastAsia="zh-CN"/>
              </w:rPr>
              <w:t>2022</w:t>
            </w:r>
            <w:r>
              <w:rPr>
                <w:rFonts w:hint="eastAsia" w:ascii="宋体" w:hAnsi="宋体" w:eastAsia="宋体" w:cs="宋体"/>
                <w:color w:val="auto"/>
                <w:sz w:val="21"/>
                <w:szCs w:val="21"/>
                <w:highlight w:val="none"/>
                <w:u w:val="single"/>
              </w:rPr>
              <w:t>年</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月</w:t>
            </w:r>
            <w:r>
              <w:rPr>
                <w:rFonts w:hint="eastAsia" w:ascii="宋体" w:hAnsi="宋体" w:eastAsia="宋体" w:cs="宋体"/>
                <w:color w:val="auto"/>
                <w:sz w:val="21"/>
                <w:szCs w:val="21"/>
                <w:highlight w:val="none"/>
                <w:u w:val="single"/>
                <w:lang w:val="en-US" w:eastAsia="zh-CN"/>
              </w:rPr>
              <w:t>15</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u w:val="single"/>
                <w:lang w:val="en-US" w:eastAsia="zh-CN"/>
              </w:rPr>
              <w:t>09</w:t>
            </w:r>
            <w:r>
              <w:rPr>
                <w:rFonts w:hint="eastAsia" w:ascii="宋体" w:hAnsi="宋体" w:eastAsia="宋体" w:cs="宋体"/>
                <w:color w:val="auto"/>
                <w:sz w:val="21"/>
                <w:szCs w:val="21"/>
                <w:highlight w:val="none"/>
                <w:u w:val="single"/>
              </w:rPr>
              <w:t>时</w:t>
            </w:r>
            <w:r>
              <w:rPr>
                <w:rFonts w:hint="eastAsia" w:ascii="宋体" w:hAnsi="宋体" w:eastAsia="宋体" w:cs="宋体"/>
                <w:color w:val="auto"/>
                <w:sz w:val="21"/>
                <w:szCs w:val="21"/>
                <w:highlight w:val="none"/>
                <w:u w:val="single"/>
                <w:lang w:val="en-US" w:eastAsia="zh-CN"/>
              </w:rPr>
              <w:t>00</w:t>
            </w:r>
            <w:r>
              <w:rPr>
                <w:rFonts w:hint="eastAsia" w:ascii="宋体" w:hAnsi="宋体" w:eastAsia="宋体" w:cs="宋体"/>
                <w:color w:val="auto"/>
                <w:sz w:val="21"/>
                <w:szCs w:val="21"/>
                <w:highlight w:val="none"/>
                <w:u w:val="single"/>
              </w:rPr>
              <w:t>分至</w:t>
            </w:r>
            <w:r>
              <w:rPr>
                <w:rFonts w:hint="eastAsia" w:ascii="宋体" w:hAnsi="宋体" w:eastAsia="宋体" w:cs="宋体"/>
                <w:color w:val="auto"/>
                <w:sz w:val="21"/>
                <w:szCs w:val="21"/>
                <w:highlight w:val="none"/>
                <w:u w:val="single"/>
                <w:lang w:eastAsia="zh-CN"/>
              </w:rPr>
              <w:t>2022</w:t>
            </w:r>
            <w:r>
              <w:rPr>
                <w:rFonts w:hint="eastAsia" w:ascii="宋体" w:hAnsi="宋体" w:eastAsia="宋体" w:cs="宋体"/>
                <w:color w:val="auto"/>
                <w:sz w:val="21"/>
                <w:szCs w:val="21"/>
                <w:highlight w:val="none"/>
                <w:u w:val="single"/>
              </w:rPr>
              <w:t>年</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月</w:t>
            </w:r>
            <w:r>
              <w:rPr>
                <w:rFonts w:hint="eastAsia" w:ascii="宋体" w:hAnsi="宋体" w:eastAsia="宋体" w:cs="宋体"/>
                <w:color w:val="auto"/>
                <w:sz w:val="21"/>
                <w:szCs w:val="21"/>
                <w:highlight w:val="none"/>
                <w:u w:val="single"/>
                <w:lang w:val="en-US" w:eastAsia="zh-CN"/>
              </w:rPr>
              <w:t>16</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u w:val="single"/>
                <w:lang w:val="en-US" w:eastAsia="zh-CN"/>
              </w:rPr>
              <w:t>17</w:t>
            </w:r>
            <w:r>
              <w:rPr>
                <w:rFonts w:hint="eastAsia" w:ascii="宋体" w:hAnsi="宋体" w:eastAsia="宋体" w:cs="宋体"/>
                <w:color w:val="auto"/>
                <w:sz w:val="21"/>
                <w:szCs w:val="21"/>
                <w:highlight w:val="none"/>
                <w:u w:val="single"/>
              </w:rPr>
              <w:t>时</w:t>
            </w:r>
            <w:r>
              <w:rPr>
                <w:rFonts w:hint="eastAsia" w:ascii="宋体" w:hAnsi="宋体" w:eastAsia="宋体" w:cs="宋体"/>
                <w:color w:val="auto"/>
                <w:sz w:val="21"/>
                <w:szCs w:val="21"/>
                <w:highlight w:val="none"/>
                <w:u w:val="single"/>
                <w:lang w:val="en-US" w:eastAsia="zh-CN"/>
              </w:rPr>
              <w:t>00</w:t>
            </w:r>
            <w:r>
              <w:rPr>
                <w:rFonts w:hint="eastAsia" w:ascii="宋体" w:hAnsi="宋体" w:eastAsia="宋体" w:cs="宋体"/>
                <w:color w:val="auto"/>
                <w:sz w:val="21"/>
                <w:szCs w:val="21"/>
                <w:highlight w:val="none"/>
                <w:u w:val="single"/>
              </w:rPr>
              <w:t>分</w:t>
            </w:r>
            <w:r>
              <w:rPr>
                <w:rFonts w:hint="eastAsia" w:ascii="宋体" w:hAnsi="宋体" w:eastAsia="宋体" w:cs="宋体"/>
                <w:color w:val="auto"/>
                <w:sz w:val="21"/>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5" w:type="dxa"/>
            <w:vAlign w:val="center"/>
          </w:tcPr>
          <w:p>
            <w:pPr>
              <w:adjustRightInd w:val="0"/>
              <w:snapToGrid w:val="0"/>
              <w:spacing w:before="156" w:beforeLines="50" w:line="360" w:lineRule="auto"/>
              <w:jc w:val="center"/>
              <w:rPr>
                <w:rFonts w:ascii="宋体" w:hAnsi="宋体"/>
                <w:color w:val="auto"/>
                <w:szCs w:val="21"/>
                <w:highlight w:val="none"/>
              </w:rPr>
            </w:pPr>
            <w:r>
              <w:rPr>
                <w:rFonts w:hint="eastAsia" w:ascii="宋体" w:hAnsi="宋体"/>
                <w:color w:val="auto"/>
                <w:szCs w:val="21"/>
                <w:highlight w:val="none"/>
              </w:rPr>
              <w:t>20</w:t>
            </w:r>
          </w:p>
        </w:tc>
        <w:tc>
          <w:tcPr>
            <w:tcW w:w="2816" w:type="dxa"/>
            <w:vAlign w:val="center"/>
          </w:tcPr>
          <w:p>
            <w:pPr>
              <w:snapToGrid w:val="0"/>
              <w:spacing w:before="156" w:beforeLines="50" w:line="360" w:lineRule="auto"/>
              <w:jc w:val="center"/>
              <w:rPr>
                <w:color w:val="auto"/>
                <w:szCs w:val="21"/>
                <w:highlight w:val="none"/>
              </w:rPr>
            </w:pPr>
            <w:r>
              <w:rPr>
                <w:rFonts w:hint="eastAsia"/>
                <w:color w:val="auto"/>
                <w:szCs w:val="21"/>
                <w:highlight w:val="none"/>
              </w:rPr>
              <w:t>投标文件递交地点</w:t>
            </w:r>
          </w:p>
        </w:tc>
        <w:tc>
          <w:tcPr>
            <w:tcW w:w="5908" w:type="dxa"/>
            <w:vAlign w:val="center"/>
          </w:tcPr>
          <w:p>
            <w:pPr>
              <w:snapToGrid w:val="0"/>
              <w:spacing w:before="156" w:before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eastAsia="zh-CN"/>
              </w:rPr>
              <w:t>李</w:t>
            </w:r>
            <w:r>
              <w:rPr>
                <w:rFonts w:hint="eastAsia" w:ascii="宋体" w:hAnsi="宋体" w:eastAsia="宋体" w:cs="宋体"/>
                <w:color w:val="auto"/>
                <w:sz w:val="21"/>
                <w:szCs w:val="21"/>
                <w:highlight w:val="none"/>
              </w:rPr>
              <w:t>工            联系电话：</w:t>
            </w:r>
            <w:r>
              <w:rPr>
                <w:rFonts w:hint="eastAsia" w:ascii="宋体" w:hAnsi="宋体" w:eastAsia="宋体" w:cs="宋体"/>
                <w:color w:val="auto"/>
                <w:sz w:val="21"/>
                <w:szCs w:val="21"/>
                <w:highlight w:val="none"/>
                <w:lang w:val="en-US" w:eastAsia="zh-CN"/>
              </w:rPr>
              <w:t>13560426055</w:t>
            </w:r>
            <w:r>
              <w:rPr>
                <w:rFonts w:hint="eastAsia" w:ascii="宋体" w:hAnsi="宋体" w:eastAsia="宋体" w:cs="宋体"/>
                <w:color w:val="auto"/>
                <w:sz w:val="21"/>
                <w:szCs w:val="21"/>
                <w:highlight w:val="none"/>
              </w:rPr>
              <w:t xml:space="preserve">  </w:t>
            </w:r>
          </w:p>
          <w:p>
            <w:pPr>
              <w:snapToGrid w:val="0"/>
              <w:spacing w:before="156" w:before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点：南沙海滨路171号金融大厦180</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5" w:type="dxa"/>
            <w:vAlign w:val="center"/>
          </w:tcPr>
          <w:p>
            <w:pPr>
              <w:adjustRightInd w:val="0"/>
              <w:snapToGrid w:val="0"/>
              <w:spacing w:before="156" w:beforeLines="50" w:line="360" w:lineRule="auto"/>
              <w:jc w:val="center"/>
              <w:rPr>
                <w:rFonts w:ascii="宋体" w:hAnsi="宋体"/>
                <w:color w:val="auto"/>
                <w:szCs w:val="21"/>
                <w:highlight w:val="none"/>
              </w:rPr>
            </w:pPr>
            <w:r>
              <w:rPr>
                <w:rFonts w:hint="eastAsia" w:ascii="宋体" w:hAnsi="宋体"/>
                <w:color w:val="auto"/>
                <w:szCs w:val="21"/>
                <w:highlight w:val="none"/>
              </w:rPr>
              <w:t>21</w:t>
            </w:r>
          </w:p>
        </w:tc>
        <w:tc>
          <w:tcPr>
            <w:tcW w:w="2816" w:type="dxa"/>
            <w:vAlign w:val="center"/>
          </w:tcPr>
          <w:p>
            <w:pPr>
              <w:adjustRightInd w:val="0"/>
              <w:snapToGrid w:val="0"/>
              <w:spacing w:before="156"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投标截止时间</w:t>
            </w:r>
          </w:p>
        </w:tc>
        <w:tc>
          <w:tcPr>
            <w:tcW w:w="5908" w:type="dxa"/>
            <w:vAlign w:val="center"/>
          </w:tcPr>
          <w:p>
            <w:pPr>
              <w:adjustRightInd w:val="0"/>
              <w:snapToGrid w:val="0"/>
              <w:spacing w:before="156" w:beforeLines="50" w:line="360" w:lineRule="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开始接收投标文件时间：</w:t>
            </w:r>
            <w:r>
              <w:rPr>
                <w:rFonts w:hint="eastAsia" w:ascii="宋体" w:hAnsi="宋体" w:eastAsia="宋体" w:cs="宋体"/>
                <w:color w:val="auto"/>
                <w:sz w:val="21"/>
                <w:szCs w:val="21"/>
                <w:highlight w:val="none"/>
                <w:u w:val="single"/>
                <w:lang w:eastAsia="zh-CN"/>
              </w:rPr>
              <w:t>2022</w:t>
            </w:r>
            <w:r>
              <w:rPr>
                <w:rFonts w:hint="eastAsia" w:ascii="宋体" w:hAnsi="宋体" w:eastAsia="宋体" w:cs="宋体"/>
                <w:color w:val="auto"/>
                <w:sz w:val="21"/>
                <w:szCs w:val="21"/>
                <w:highlight w:val="none"/>
                <w:u w:val="single"/>
              </w:rPr>
              <w:t>年</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17</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u w:val="single"/>
                <w:lang w:val="en-US" w:eastAsia="zh-CN"/>
              </w:rPr>
              <w:t>09</w:t>
            </w:r>
            <w:r>
              <w:rPr>
                <w:rFonts w:hint="eastAsia" w:ascii="宋体" w:hAnsi="宋体" w:eastAsia="宋体" w:cs="宋体"/>
                <w:color w:val="auto"/>
                <w:sz w:val="21"/>
                <w:szCs w:val="21"/>
                <w:highlight w:val="none"/>
                <w:u w:val="single"/>
              </w:rPr>
              <w:t>时</w:t>
            </w:r>
            <w:r>
              <w:rPr>
                <w:rFonts w:hint="eastAsia" w:ascii="宋体" w:hAnsi="宋体" w:eastAsia="宋体" w:cs="宋体"/>
                <w:color w:val="auto"/>
                <w:sz w:val="21"/>
                <w:szCs w:val="21"/>
                <w:highlight w:val="none"/>
                <w:u w:val="single"/>
                <w:lang w:val="en-US" w:eastAsia="zh-CN"/>
              </w:rPr>
              <w:t>00</w:t>
            </w:r>
            <w:r>
              <w:rPr>
                <w:rFonts w:hint="eastAsia" w:ascii="宋体" w:hAnsi="宋体" w:eastAsia="宋体" w:cs="宋体"/>
                <w:color w:val="auto"/>
                <w:sz w:val="21"/>
                <w:szCs w:val="21"/>
                <w:highlight w:val="none"/>
                <w:u w:val="single"/>
              </w:rPr>
              <w:t>分</w:t>
            </w:r>
            <w:r>
              <w:rPr>
                <w:rFonts w:hint="eastAsia" w:ascii="宋体" w:hAnsi="宋体" w:eastAsia="宋体" w:cs="宋体"/>
                <w:color w:val="auto"/>
                <w:kern w:val="0"/>
                <w:sz w:val="21"/>
                <w:szCs w:val="21"/>
                <w:highlight w:val="none"/>
              </w:rPr>
              <w:t>。</w:t>
            </w:r>
          </w:p>
          <w:p>
            <w:pPr>
              <w:adjustRightInd w:val="0"/>
              <w:snapToGrid w:val="0"/>
              <w:spacing w:before="156" w:beforeLines="50"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投标截止时间：</w:t>
            </w:r>
            <w:r>
              <w:rPr>
                <w:rFonts w:hint="eastAsia" w:ascii="宋体" w:hAnsi="宋体" w:eastAsia="宋体" w:cs="宋体"/>
                <w:color w:val="auto"/>
                <w:sz w:val="21"/>
                <w:szCs w:val="21"/>
                <w:highlight w:val="none"/>
                <w:u w:val="single"/>
                <w:lang w:eastAsia="zh-CN"/>
              </w:rPr>
              <w:t>2022</w:t>
            </w:r>
            <w:r>
              <w:rPr>
                <w:rFonts w:hint="eastAsia" w:ascii="宋体" w:hAnsi="宋体" w:eastAsia="宋体" w:cs="宋体"/>
                <w:color w:val="auto"/>
                <w:sz w:val="21"/>
                <w:szCs w:val="21"/>
                <w:highlight w:val="none"/>
                <w:u w:val="single"/>
              </w:rPr>
              <w:t>年</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月</w:t>
            </w:r>
            <w:r>
              <w:rPr>
                <w:rFonts w:hint="eastAsia" w:ascii="宋体" w:hAnsi="宋体" w:eastAsia="宋体" w:cs="宋体"/>
                <w:color w:val="auto"/>
                <w:sz w:val="21"/>
                <w:szCs w:val="21"/>
                <w:highlight w:val="none"/>
                <w:u w:val="single"/>
                <w:lang w:val="en-US" w:eastAsia="zh-CN"/>
              </w:rPr>
              <w:t>1</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u w:val="single"/>
                <w:lang w:val="en-US" w:eastAsia="zh-CN"/>
              </w:rPr>
              <w:t>09</w:t>
            </w:r>
            <w:r>
              <w:rPr>
                <w:rFonts w:hint="eastAsia" w:ascii="宋体" w:hAnsi="宋体" w:eastAsia="宋体" w:cs="宋体"/>
                <w:color w:val="auto"/>
                <w:sz w:val="21"/>
                <w:szCs w:val="21"/>
                <w:highlight w:val="none"/>
                <w:u w:val="single"/>
              </w:rPr>
              <w:t>时</w:t>
            </w:r>
            <w:r>
              <w:rPr>
                <w:rFonts w:hint="eastAsia" w:ascii="宋体" w:hAnsi="宋体" w:eastAsia="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single"/>
              </w:rPr>
              <w:t>分</w:t>
            </w:r>
            <w:r>
              <w:rPr>
                <w:rFonts w:hint="eastAsia" w:ascii="宋体" w:hAnsi="宋体" w:eastAsia="宋体" w:cs="宋体"/>
                <w:color w:val="auto"/>
                <w:kern w:val="0"/>
                <w:sz w:val="21"/>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1165" w:type="dxa"/>
            <w:vAlign w:val="center"/>
          </w:tcPr>
          <w:p>
            <w:pPr>
              <w:adjustRightInd w:val="0"/>
              <w:snapToGrid w:val="0"/>
              <w:spacing w:before="156" w:beforeLines="50" w:line="360" w:lineRule="auto"/>
              <w:jc w:val="center"/>
              <w:rPr>
                <w:rFonts w:ascii="宋体" w:hAnsi="宋体"/>
                <w:color w:val="auto"/>
                <w:szCs w:val="21"/>
                <w:highlight w:val="none"/>
              </w:rPr>
            </w:pPr>
            <w:r>
              <w:rPr>
                <w:rFonts w:hint="eastAsia" w:ascii="宋体" w:hAnsi="宋体"/>
                <w:color w:val="auto"/>
                <w:szCs w:val="21"/>
                <w:highlight w:val="none"/>
              </w:rPr>
              <w:t>22</w:t>
            </w:r>
          </w:p>
        </w:tc>
        <w:tc>
          <w:tcPr>
            <w:tcW w:w="2816" w:type="dxa"/>
            <w:vAlign w:val="center"/>
          </w:tcPr>
          <w:p>
            <w:pPr>
              <w:adjustRightInd w:val="0"/>
              <w:snapToGrid w:val="0"/>
              <w:spacing w:before="156" w:beforeLines="50" w:line="360" w:lineRule="auto"/>
              <w:jc w:val="center"/>
              <w:rPr>
                <w:rFonts w:ascii="宋体" w:hAnsi="宋体"/>
                <w:color w:val="auto"/>
                <w:szCs w:val="21"/>
                <w:highlight w:val="none"/>
              </w:rPr>
            </w:pPr>
            <w:r>
              <w:rPr>
                <w:rFonts w:hint="eastAsia" w:ascii="宋体" w:hAnsi="宋体"/>
                <w:color w:val="auto"/>
                <w:szCs w:val="21"/>
                <w:highlight w:val="none"/>
              </w:rPr>
              <w:t>开标时间和地点</w:t>
            </w:r>
          </w:p>
        </w:tc>
        <w:tc>
          <w:tcPr>
            <w:tcW w:w="5908" w:type="dxa"/>
            <w:vAlign w:val="center"/>
          </w:tcPr>
          <w:p>
            <w:pPr>
              <w:snapToGrid w:val="0"/>
              <w:spacing w:before="156" w:before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本项目资格审查文件、工程总承包实施方案（含资信部分）文件、投标报价文件同时开启。</w:t>
            </w:r>
          </w:p>
          <w:p>
            <w:pPr>
              <w:snapToGrid w:val="0"/>
              <w:spacing w:before="156" w:before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w:t>
            </w:r>
            <w:r>
              <w:rPr>
                <w:rFonts w:hint="eastAsia" w:ascii="宋体" w:hAnsi="宋体" w:eastAsia="宋体" w:cs="宋体"/>
                <w:color w:val="auto"/>
                <w:sz w:val="21"/>
                <w:szCs w:val="21"/>
                <w:highlight w:val="none"/>
                <w:u w:val="single"/>
                <w:lang w:eastAsia="zh-CN"/>
              </w:rPr>
              <w:t>2022</w:t>
            </w:r>
            <w:r>
              <w:rPr>
                <w:rFonts w:hint="eastAsia" w:ascii="宋体" w:hAnsi="宋体" w:eastAsia="宋体" w:cs="宋体"/>
                <w:color w:val="auto"/>
                <w:sz w:val="21"/>
                <w:szCs w:val="21"/>
                <w:highlight w:val="none"/>
                <w:u w:val="single"/>
              </w:rPr>
              <w:t>年</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月</w:t>
            </w:r>
            <w:r>
              <w:rPr>
                <w:rFonts w:hint="eastAsia" w:ascii="宋体" w:hAnsi="宋体" w:eastAsia="宋体" w:cs="宋体"/>
                <w:color w:val="auto"/>
                <w:sz w:val="21"/>
                <w:szCs w:val="21"/>
                <w:highlight w:val="none"/>
                <w:u w:val="single"/>
                <w:lang w:val="en-US" w:eastAsia="zh-CN"/>
              </w:rPr>
              <w:t>1</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u w:val="single"/>
                <w:lang w:val="en-US" w:eastAsia="zh-CN"/>
              </w:rPr>
              <w:t>09</w:t>
            </w:r>
            <w:r>
              <w:rPr>
                <w:rFonts w:hint="eastAsia" w:ascii="宋体" w:hAnsi="宋体" w:eastAsia="宋体" w:cs="宋体"/>
                <w:color w:val="auto"/>
                <w:sz w:val="21"/>
                <w:szCs w:val="21"/>
                <w:highlight w:val="none"/>
                <w:u w:val="single"/>
              </w:rPr>
              <w:t>时</w:t>
            </w:r>
            <w:r>
              <w:rPr>
                <w:rFonts w:hint="eastAsia" w:ascii="宋体" w:hAnsi="宋体" w:eastAsia="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single"/>
              </w:rPr>
              <w:t>分</w:t>
            </w:r>
          </w:p>
          <w:p>
            <w:pPr>
              <w:pStyle w:val="20"/>
              <w:snapToGrid w:val="0"/>
              <w:spacing w:before="156" w:before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开标地点：南沙海滨路171号金融大厦1807室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olor w:val="auto"/>
                <w:szCs w:val="21"/>
                <w:highlight w:val="none"/>
              </w:rPr>
            </w:pPr>
            <w:r>
              <w:rPr>
                <w:rFonts w:hint="eastAsia" w:ascii="宋体" w:hAnsi="宋体"/>
                <w:color w:val="auto"/>
                <w:szCs w:val="21"/>
                <w:highlight w:val="none"/>
              </w:rPr>
              <w:t>23</w:t>
            </w:r>
          </w:p>
        </w:tc>
        <w:tc>
          <w:tcPr>
            <w:tcW w:w="2816" w:type="dxa"/>
            <w:vAlign w:val="center"/>
          </w:tcPr>
          <w:p>
            <w:pPr>
              <w:adjustRightInd w:val="0"/>
              <w:snapToGrid w:val="0"/>
              <w:spacing w:before="156"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开标评标办法</w:t>
            </w:r>
          </w:p>
        </w:tc>
        <w:tc>
          <w:tcPr>
            <w:tcW w:w="5908" w:type="dxa"/>
            <w:vAlign w:val="center"/>
          </w:tcPr>
          <w:p>
            <w:pPr>
              <w:snapToGrid w:val="0"/>
              <w:spacing w:before="156" w:before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rPr>
              <w:t>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hint="eastAsia" w:ascii="宋体" w:hAnsi="宋体" w:eastAsia="宋体"/>
                <w:bCs/>
                <w:color w:val="auto"/>
                <w:szCs w:val="21"/>
                <w:highlight w:val="none"/>
                <w:lang w:eastAsia="zh-CN"/>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4</w:t>
            </w:r>
          </w:p>
        </w:tc>
        <w:tc>
          <w:tcPr>
            <w:tcW w:w="2816" w:type="dxa"/>
            <w:vAlign w:val="center"/>
          </w:tcPr>
          <w:p>
            <w:pPr>
              <w:adjustRightInd w:val="0"/>
              <w:snapToGrid w:val="0"/>
              <w:spacing w:before="156" w:beforeLines="50" w:line="360" w:lineRule="auto"/>
              <w:jc w:val="center"/>
              <w:rPr>
                <w:rFonts w:ascii="宋体" w:hAnsi="宋体"/>
                <w:color w:val="auto"/>
                <w:szCs w:val="21"/>
                <w:highlight w:val="none"/>
              </w:rPr>
            </w:pPr>
            <w:r>
              <w:rPr>
                <w:rFonts w:ascii="宋体" w:hAnsi="宋体"/>
                <w:color w:val="auto"/>
                <w:szCs w:val="21"/>
                <w:highlight w:val="none"/>
              </w:rPr>
              <w:t>投标保证金</w:t>
            </w:r>
          </w:p>
        </w:tc>
        <w:tc>
          <w:tcPr>
            <w:tcW w:w="5908" w:type="dxa"/>
            <w:vAlign w:val="center"/>
          </w:tcPr>
          <w:p>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1、投标担保的金额：人民币</w:t>
            </w:r>
            <w:r>
              <w:rPr>
                <w:rFonts w:hint="eastAsia" w:ascii="宋体" w:hAnsi="宋体" w:eastAsia="宋体" w:cs="宋体"/>
                <w:color w:val="auto"/>
                <w:sz w:val="21"/>
                <w:szCs w:val="21"/>
                <w:highlight w:val="none"/>
                <w:u w:val="single"/>
              </w:rPr>
              <w:t>壹</w:t>
            </w:r>
            <w:r>
              <w:rPr>
                <w:rFonts w:hint="eastAsia" w:ascii="宋体" w:hAnsi="宋体" w:eastAsia="宋体" w:cs="宋体"/>
                <w:color w:val="auto"/>
                <w:sz w:val="21"/>
                <w:szCs w:val="21"/>
                <w:highlight w:val="none"/>
              </w:rPr>
              <w:t>万元。</w:t>
            </w:r>
          </w:p>
          <w:p>
            <w:pPr>
              <w:adjustRightInd w:val="0"/>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2、缴纳方式：</w:t>
            </w:r>
            <w:r>
              <w:rPr>
                <w:rFonts w:hint="eastAsia" w:ascii="宋体" w:hAnsi="宋体" w:eastAsia="宋体" w:cs="宋体"/>
                <w:color w:val="auto"/>
                <w:sz w:val="21"/>
                <w:szCs w:val="21"/>
                <w:highlight w:val="none"/>
                <w:lang w:val="en-US" w:eastAsia="zh-CN"/>
              </w:rPr>
              <w:t>缴纳保证金或提供银行保函</w:t>
            </w:r>
          </w:p>
          <w:p>
            <w:pPr>
              <w:pStyle w:val="2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账户名称：广州南沙建设维护管理有限公司</w:t>
            </w:r>
          </w:p>
          <w:p>
            <w:pPr>
              <w:pStyle w:val="2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开户银行：中国工商银行广东自由贸易试验区南沙分行</w:t>
            </w:r>
          </w:p>
          <w:p>
            <w:pPr>
              <w:pStyle w:val="2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账号：3602056909200030855</w:t>
            </w:r>
          </w:p>
          <w:p>
            <w:pPr>
              <w:numPr>
                <w:ilvl w:val="0"/>
                <w:numId w:val="1"/>
              </w:num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缴纳时间：投标单位须在</w:t>
            </w:r>
            <w:r>
              <w:rPr>
                <w:rFonts w:hint="eastAsia" w:ascii="宋体" w:hAnsi="宋体" w:eastAsia="宋体" w:cs="宋体"/>
                <w:color w:val="auto"/>
                <w:sz w:val="21"/>
                <w:szCs w:val="21"/>
                <w:highlight w:val="none"/>
                <w:u w:val="single"/>
                <w:lang w:eastAsia="zh-CN"/>
              </w:rPr>
              <w:t>2022</w:t>
            </w:r>
            <w:r>
              <w:rPr>
                <w:rFonts w:hint="eastAsia" w:ascii="宋体" w:hAnsi="宋体" w:eastAsia="宋体" w:cs="宋体"/>
                <w:color w:val="auto"/>
                <w:sz w:val="21"/>
                <w:szCs w:val="21"/>
                <w:highlight w:val="none"/>
                <w:u w:val="single"/>
              </w:rPr>
              <w:t>年</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月</w:t>
            </w:r>
            <w:r>
              <w:rPr>
                <w:rFonts w:hint="eastAsia" w:ascii="宋体" w:hAnsi="宋体" w:eastAsia="宋体" w:cs="宋体"/>
                <w:color w:val="auto"/>
                <w:sz w:val="21"/>
                <w:szCs w:val="21"/>
                <w:highlight w:val="none"/>
                <w:u w:val="single"/>
                <w:lang w:val="en-US" w:eastAsia="zh-CN"/>
              </w:rPr>
              <w:t>16</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u w:val="single"/>
                <w:lang w:val="en-US" w:eastAsia="zh-CN"/>
              </w:rPr>
              <w:t>17</w:t>
            </w:r>
            <w:r>
              <w:rPr>
                <w:rFonts w:hint="eastAsia" w:ascii="宋体" w:hAnsi="宋体" w:eastAsia="宋体" w:cs="宋体"/>
                <w:color w:val="auto"/>
                <w:sz w:val="21"/>
                <w:szCs w:val="21"/>
                <w:highlight w:val="none"/>
                <w:u w:val="single"/>
              </w:rPr>
              <w:t>时</w:t>
            </w:r>
            <w:r>
              <w:rPr>
                <w:rFonts w:hint="eastAsia" w:ascii="宋体" w:hAnsi="宋体" w:eastAsia="宋体" w:cs="宋体"/>
                <w:color w:val="auto"/>
                <w:sz w:val="21"/>
                <w:szCs w:val="21"/>
                <w:highlight w:val="none"/>
                <w:u w:val="single"/>
                <w:lang w:val="en-US" w:eastAsia="zh-CN"/>
              </w:rPr>
              <w:t>00</w:t>
            </w:r>
            <w:r>
              <w:rPr>
                <w:rFonts w:hint="eastAsia" w:ascii="宋体" w:hAnsi="宋体" w:eastAsia="宋体" w:cs="宋体"/>
                <w:color w:val="auto"/>
                <w:sz w:val="21"/>
                <w:szCs w:val="21"/>
                <w:highlight w:val="none"/>
                <w:u w:val="single"/>
              </w:rPr>
              <w:t>分</w:t>
            </w:r>
            <w:r>
              <w:rPr>
                <w:rFonts w:hint="eastAsia" w:ascii="宋体" w:hAnsi="宋体" w:eastAsia="宋体" w:cs="宋体"/>
                <w:color w:val="auto"/>
                <w:sz w:val="21"/>
                <w:szCs w:val="21"/>
                <w:highlight w:val="none"/>
                <w:u w:val="single"/>
                <w:lang w:eastAsia="zh-CN"/>
              </w:rPr>
              <w:t>前</w:t>
            </w:r>
            <w:r>
              <w:rPr>
                <w:rFonts w:hint="eastAsia" w:ascii="宋体" w:hAnsi="宋体" w:eastAsia="宋体" w:cs="宋体"/>
                <w:color w:val="auto"/>
                <w:sz w:val="21"/>
                <w:szCs w:val="21"/>
                <w:highlight w:val="none"/>
              </w:rPr>
              <w:t>以投标人（或联合体主办方）转出【以招标单位查询的信息为准，汇款时备注：</w:t>
            </w:r>
            <w:r>
              <w:rPr>
                <w:rFonts w:hint="eastAsia" w:ascii="宋体" w:hAnsi="宋体" w:eastAsia="宋体" w:cs="宋体"/>
                <w:color w:val="auto"/>
                <w:sz w:val="21"/>
                <w:szCs w:val="21"/>
                <w:highlight w:val="none"/>
                <w:lang w:eastAsia="zh-CN"/>
              </w:rPr>
              <w:t>南沙湿地二期“湿地景区公益植树林”项目</w:t>
            </w:r>
            <w:r>
              <w:rPr>
                <w:rFonts w:hint="eastAsia" w:ascii="宋体" w:hAnsi="宋体" w:eastAsia="宋体" w:cs="宋体"/>
                <w:color w:val="auto"/>
                <w:sz w:val="21"/>
                <w:szCs w:val="21"/>
                <w:highlight w:val="none"/>
              </w:rPr>
              <w:t>设计施工总承包投标保证金】</w:t>
            </w:r>
          </w:p>
          <w:p>
            <w:pPr>
              <w:numPr>
                <w:ilvl w:val="0"/>
                <w:numId w:val="1"/>
              </w:num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未按规定缴纳投标保证金的正式投标人将被视为自动放弃本工程的投标资格。若为联合体，以联合体主办方递交保证金为准。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hint="eastAsia" w:ascii="宋体" w:hAnsi="宋体" w:eastAsia="宋体"/>
                <w:bCs/>
                <w:color w:val="auto"/>
                <w:szCs w:val="21"/>
                <w:highlight w:val="none"/>
                <w:lang w:eastAsia="zh-CN"/>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5</w:t>
            </w:r>
          </w:p>
        </w:tc>
        <w:tc>
          <w:tcPr>
            <w:tcW w:w="2816" w:type="dxa"/>
            <w:vAlign w:val="center"/>
          </w:tcPr>
          <w:p>
            <w:pPr>
              <w:pStyle w:val="37"/>
              <w:adjustRightInd w:val="0"/>
              <w:snapToGrid w:val="0"/>
              <w:spacing w:before="156" w:beforeLines="50" w:after="0" w:line="360" w:lineRule="auto"/>
              <w:ind w:firstLine="0"/>
              <w:jc w:val="center"/>
              <w:rPr>
                <w:rFonts w:ascii="宋体" w:hAnsi="宋体"/>
                <w:bCs/>
                <w:color w:val="auto"/>
                <w:szCs w:val="21"/>
                <w:highlight w:val="none"/>
              </w:rPr>
            </w:pPr>
            <w:r>
              <w:rPr>
                <w:rFonts w:hint="eastAsia" w:ascii="宋体" w:hAnsi="宋体"/>
                <w:color w:val="auto"/>
                <w:szCs w:val="21"/>
                <w:highlight w:val="none"/>
              </w:rPr>
              <w:t>保修期</w:t>
            </w:r>
          </w:p>
        </w:tc>
        <w:tc>
          <w:tcPr>
            <w:tcW w:w="5908" w:type="dxa"/>
            <w:vAlign w:val="center"/>
          </w:tcPr>
          <w:p>
            <w:pPr>
              <w:adjustRightInd w:val="0"/>
              <w:snapToGrid w:val="0"/>
              <w:spacing w:before="156" w:beforeLines="50" w:line="360" w:lineRule="auto"/>
              <w:rPr>
                <w:rFonts w:ascii="宋体" w:hAnsi="宋体"/>
                <w:bCs/>
                <w:color w:val="auto"/>
                <w:szCs w:val="21"/>
                <w:highlight w:val="none"/>
              </w:rPr>
            </w:pPr>
            <w:r>
              <w:rPr>
                <w:rFonts w:hint="eastAsia" w:ascii="宋体" w:hAnsi="宋体"/>
                <w:color w:val="auto"/>
                <w:szCs w:val="21"/>
                <w:highlight w:val="none"/>
              </w:rPr>
              <w:t>按照《建设工程质量管理条例》规定。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165" w:type="dxa"/>
            <w:vAlign w:val="center"/>
          </w:tcPr>
          <w:p>
            <w:pPr>
              <w:adjustRightInd w:val="0"/>
              <w:snapToGrid w:val="0"/>
              <w:spacing w:before="156" w:beforeLines="50" w:line="360" w:lineRule="auto"/>
              <w:jc w:val="center"/>
              <w:rPr>
                <w:rFonts w:hint="eastAsia" w:ascii="宋体" w:hAnsi="宋体" w:eastAsia="宋体"/>
                <w:bCs/>
                <w:color w:val="auto"/>
                <w:szCs w:val="21"/>
                <w:highlight w:val="none"/>
                <w:lang w:eastAsia="zh-CN"/>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6</w:t>
            </w:r>
          </w:p>
        </w:tc>
        <w:tc>
          <w:tcPr>
            <w:tcW w:w="2816" w:type="dxa"/>
            <w:vAlign w:val="center"/>
          </w:tcPr>
          <w:p>
            <w:pPr>
              <w:adjustRightInd w:val="0"/>
              <w:snapToGrid w:val="0"/>
              <w:spacing w:before="156" w:beforeLines="50" w:line="360" w:lineRule="auto"/>
              <w:jc w:val="center"/>
              <w:rPr>
                <w:rFonts w:ascii="宋体" w:hAnsi="宋体"/>
                <w:bCs/>
                <w:color w:val="auto"/>
                <w:szCs w:val="21"/>
                <w:highlight w:val="none"/>
              </w:rPr>
            </w:pPr>
            <w:r>
              <w:rPr>
                <w:rFonts w:hint="eastAsia" w:ascii="宋体" w:hAnsi="宋体"/>
                <w:bCs/>
                <w:color w:val="auto"/>
                <w:szCs w:val="21"/>
                <w:highlight w:val="none"/>
              </w:rPr>
              <w:t>其他</w:t>
            </w:r>
          </w:p>
        </w:tc>
        <w:tc>
          <w:tcPr>
            <w:tcW w:w="5908" w:type="dxa"/>
            <w:vAlign w:val="center"/>
          </w:tcPr>
          <w:p>
            <w:pPr>
              <w:autoSpaceDE w:val="0"/>
              <w:autoSpaceDN w:val="0"/>
              <w:adjustRightInd w:val="0"/>
              <w:snapToGrid w:val="0"/>
              <w:spacing w:before="156" w:beforeLines="50" w:line="360" w:lineRule="auto"/>
              <w:jc w:val="left"/>
              <w:rPr>
                <w:rFonts w:ascii="宋体" w:hAnsi="宋体"/>
                <w:bCs/>
                <w:color w:val="auto"/>
                <w:szCs w:val="21"/>
                <w:highlight w:val="none"/>
              </w:rPr>
            </w:pPr>
            <w:r>
              <w:rPr>
                <w:rFonts w:hint="eastAsia" w:ascii="宋体" w:hAnsi="宋体"/>
                <w:color w:val="auto"/>
                <w:szCs w:val="21"/>
                <w:highlight w:val="none"/>
              </w:rPr>
              <w:t>/</w:t>
            </w:r>
          </w:p>
        </w:tc>
      </w:tr>
    </w:tbl>
    <w:p>
      <w:pPr>
        <w:adjustRightInd w:val="0"/>
        <w:spacing w:line="440" w:lineRule="exact"/>
        <w:textAlignment w:val="baseline"/>
        <w:rPr>
          <w:rFonts w:ascii="宋体" w:hAnsi="宋体" w:cs="宋体"/>
          <w:bCs/>
          <w:color w:val="auto"/>
          <w:kern w:val="0"/>
          <w:sz w:val="24"/>
          <w:highlight w:val="none"/>
        </w:rPr>
        <w:sectPr>
          <w:footerReference r:id="rId6" w:type="default"/>
          <w:pgSz w:w="11906" w:h="16838"/>
          <w:pgMar w:top="1247" w:right="1134" w:bottom="1247" w:left="1361" w:header="851" w:footer="992" w:gutter="0"/>
          <w:pgNumType w:start="1"/>
          <w:cols w:space="720" w:num="1"/>
          <w:docGrid w:type="lines" w:linePitch="312" w:charSpace="0"/>
        </w:sectPr>
      </w:pPr>
    </w:p>
    <w:p>
      <w:pPr>
        <w:adjustRightInd w:val="0"/>
        <w:spacing w:line="440" w:lineRule="exact"/>
        <w:textAlignment w:val="baseline"/>
        <w:rPr>
          <w:rFonts w:ascii="宋体" w:hAnsi="宋体" w:cs="宋体"/>
          <w:color w:val="auto"/>
          <w:kern w:val="0"/>
          <w:sz w:val="24"/>
          <w:highlight w:val="none"/>
        </w:rPr>
      </w:pPr>
    </w:p>
    <w:p>
      <w:pPr>
        <w:pStyle w:val="4"/>
        <w:jc w:val="center"/>
        <w:rPr>
          <w:color w:val="auto"/>
          <w:highlight w:val="none"/>
        </w:rPr>
      </w:pPr>
      <w:bookmarkStart w:id="81" w:name="_Toc2174"/>
      <w:bookmarkStart w:id="82" w:name="_Toc8466"/>
      <w:bookmarkStart w:id="83" w:name="_Toc300834949"/>
      <w:bookmarkStart w:id="84" w:name="_Toc5310"/>
      <w:bookmarkStart w:id="85" w:name="_Toc494371515"/>
      <w:bookmarkStart w:id="86" w:name="_Toc144974497"/>
      <w:bookmarkStart w:id="87" w:name="_Toc152045529"/>
      <w:bookmarkStart w:id="88" w:name="_Toc5556"/>
      <w:bookmarkStart w:id="89" w:name="_Toc493"/>
      <w:bookmarkStart w:id="90" w:name="_Toc247513952"/>
      <w:bookmarkStart w:id="91" w:name="_Toc14621"/>
      <w:bookmarkStart w:id="92" w:name="_Toc247527553"/>
      <w:bookmarkStart w:id="93" w:name="_Toc30938"/>
      <w:bookmarkStart w:id="94" w:name="_Toc23892"/>
      <w:bookmarkStart w:id="95" w:name="_Toc31351"/>
      <w:bookmarkStart w:id="96" w:name="_Toc376"/>
      <w:bookmarkStart w:id="97" w:name="_Toc152042305"/>
      <w:bookmarkStart w:id="98" w:name="_Toc19435"/>
      <w:bookmarkStart w:id="99" w:name="_Toc22983"/>
      <w:r>
        <w:rPr>
          <w:color w:val="auto"/>
          <w:highlight w:val="none"/>
        </w:rPr>
        <w:t xml:space="preserve">1. </w:t>
      </w:r>
      <w:r>
        <w:rPr>
          <w:rFonts w:hint="eastAsia"/>
          <w:color w:val="auto"/>
          <w:highlight w:val="none"/>
        </w:rPr>
        <w:t>总则</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pPr>
        <w:pStyle w:val="5"/>
        <w:rPr>
          <w:color w:val="auto"/>
          <w:highlight w:val="none"/>
        </w:rPr>
      </w:pPr>
      <w:bookmarkStart w:id="100" w:name="_Toc27599"/>
      <w:bookmarkStart w:id="101" w:name="_Toc6146"/>
      <w:bookmarkStart w:id="102" w:name="_Toc16499"/>
      <w:bookmarkStart w:id="103" w:name="_Toc12263"/>
      <w:bookmarkStart w:id="104" w:name="_Toc247513953"/>
      <w:bookmarkStart w:id="105" w:name="_Toc16159"/>
      <w:bookmarkStart w:id="106" w:name="_Toc3327"/>
      <w:bookmarkStart w:id="107" w:name="_Toc152042306"/>
      <w:bookmarkStart w:id="108" w:name="_Toc22928"/>
      <w:bookmarkStart w:id="109" w:name="_Toc144974498"/>
      <w:bookmarkStart w:id="110" w:name="_Toc8430"/>
      <w:bookmarkStart w:id="111" w:name="_Toc494371516"/>
      <w:bookmarkStart w:id="112" w:name="_Toc152045530"/>
      <w:bookmarkStart w:id="113" w:name="_Toc300834950"/>
      <w:bookmarkStart w:id="114" w:name="_Toc30762"/>
      <w:bookmarkStart w:id="115" w:name="_Toc23702"/>
      <w:bookmarkStart w:id="116" w:name="_Toc247527554"/>
      <w:r>
        <w:rPr>
          <w:rFonts w:ascii="Times New Roman" w:hAnsi="Times New Roman"/>
          <w:color w:val="auto"/>
          <w:highlight w:val="none"/>
        </w:rPr>
        <w:t>1.1</w:t>
      </w:r>
      <w:r>
        <w:rPr>
          <w:color w:val="auto"/>
          <w:highlight w:val="none"/>
        </w:rPr>
        <w:t xml:space="preserve"> 项目概况</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pPr>
        <w:spacing w:line="400" w:lineRule="exact"/>
        <w:ind w:firstLine="420" w:firstLineChars="200"/>
        <w:rPr>
          <w:color w:val="auto"/>
          <w:highlight w:val="none"/>
        </w:rPr>
      </w:pPr>
      <w:r>
        <w:rPr>
          <w:color w:val="auto"/>
          <w:highlight w:val="none"/>
        </w:rPr>
        <w:t>1.1.1</w:t>
      </w:r>
      <w:r>
        <w:rPr>
          <w:rFonts w:hint="eastAsia"/>
          <w:color w:val="auto"/>
          <w:highlight w:val="none"/>
        </w:rPr>
        <w:t>根据《中华人民共和国招标投标法》等有关法律、法规和规章的规定，本招标项目已具备招标条件，现对该项目设计施工进行总承包招标。</w:t>
      </w:r>
    </w:p>
    <w:p>
      <w:pPr>
        <w:spacing w:line="400" w:lineRule="exact"/>
        <w:ind w:firstLine="420" w:firstLineChars="200"/>
        <w:rPr>
          <w:color w:val="auto"/>
          <w:highlight w:val="none"/>
        </w:rPr>
      </w:pPr>
      <w:r>
        <w:rPr>
          <w:color w:val="auto"/>
          <w:highlight w:val="none"/>
        </w:rPr>
        <w:t xml:space="preserve">1.1.2 </w:t>
      </w:r>
      <w:r>
        <w:rPr>
          <w:rFonts w:hint="eastAsia"/>
          <w:color w:val="auto"/>
          <w:highlight w:val="none"/>
        </w:rPr>
        <w:t>招标单位、建设管理单位、招标代理机构：见投标人须知前附表。</w:t>
      </w:r>
    </w:p>
    <w:p>
      <w:pPr>
        <w:spacing w:line="400" w:lineRule="exact"/>
        <w:ind w:firstLine="420" w:firstLineChars="200"/>
        <w:rPr>
          <w:color w:val="auto"/>
          <w:highlight w:val="none"/>
        </w:rPr>
      </w:pPr>
      <w:r>
        <w:rPr>
          <w:color w:val="auto"/>
          <w:highlight w:val="none"/>
        </w:rPr>
        <w:t>1.1.</w:t>
      </w:r>
      <w:r>
        <w:rPr>
          <w:rFonts w:hint="eastAsia"/>
          <w:color w:val="auto"/>
          <w:highlight w:val="none"/>
        </w:rPr>
        <w:t>3</w:t>
      </w:r>
      <w:r>
        <w:rPr>
          <w:color w:val="auto"/>
          <w:highlight w:val="none"/>
        </w:rPr>
        <w:t xml:space="preserve"> </w:t>
      </w:r>
      <w:r>
        <w:rPr>
          <w:rFonts w:hint="eastAsia"/>
          <w:color w:val="auto"/>
          <w:highlight w:val="none"/>
        </w:rPr>
        <w:t>招标项目名称：见投标人须知前附表。</w:t>
      </w:r>
    </w:p>
    <w:p>
      <w:pPr>
        <w:spacing w:line="400" w:lineRule="exact"/>
        <w:ind w:firstLine="420" w:firstLineChars="200"/>
        <w:rPr>
          <w:color w:val="auto"/>
          <w:highlight w:val="none"/>
        </w:rPr>
      </w:pPr>
      <w:r>
        <w:rPr>
          <w:color w:val="auto"/>
          <w:highlight w:val="none"/>
        </w:rPr>
        <w:t>1.1.</w:t>
      </w:r>
      <w:r>
        <w:rPr>
          <w:rFonts w:hint="eastAsia"/>
          <w:color w:val="auto"/>
          <w:highlight w:val="none"/>
        </w:rPr>
        <w:t>4</w:t>
      </w:r>
      <w:r>
        <w:rPr>
          <w:color w:val="auto"/>
          <w:highlight w:val="none"/>
        </w:rPr>
        <w:t xml:space="preserve"> </w:t>
      </w:r>
      <w:r>
        <w:rPr>
          <w:rFonts w:hint="eastAsia"/>
          <w:color w:val="auto"/>
          <w:highlight w:val="none"/>
        </w:rPr>
        <w:t>项目建设地点：见投标人须知前附表。</w:t>
      </w:r>
    </w:p>
    <w:p>
      <w:pPr>
        <w:pStyle w:val="5"/>
        <w:rPr>
          <w:color w:val="auto"/>
          <w:highlight w:val="none"/>
        </w:rPr>
      </w:pPr>
      <w:bookmarkStart w:id="117" w:name="_Toc247527555"/>
      <w:bookmarkStart w:id="118" w:name="_Toc5082"/>
      <w:bookmarkStart w:id="119" w:name="_Toc300834951"/>
      <w:bookmarkStart w:id="120" w:name="_Toc10866"/>
      <w:bookmarkStart w:id="121" w:name="_Toc247513954"/>
      <w:bookmarkStart w:id="122" w:name="_Toc23335"/>
      <w:bookmarkStart w:id="123" w:name="_Toc22426"/>
      <w:bookmarkStart w:id="124" w:name="_Toc152045531"/>
      <w:bookmarkStart w:id="125" w:name="_Toc494371517"/>
      <w:bookmarkStart w:id="126" w:name="_Toc144974499"/>
      <w:bookmarkStart w:id="127" w:name="_Toc2014"/>
      <w:bookmarkStart w:id="128" w:name="_Toc152042307"/>
      <w:bookmarkStart w:id="129" w:name="_Toc6619"/>
      <w:bookmarkStart w:id="130" w:name="_Toc17611"/>
      <w:bookmarkStart w:id="131" w:name="_Toc28164"/>
      <w:bookmarkStart w:id="132" w:name="_Toc24580"/>
      <w:bookmarkStart w:id="133" w:name="_Toc21962"/>
      <w:r>
        <w:rPr>
          <w:rFonts w:ascii="Times New Roman" w:hAnsi="Times New Roman"/>
          <w:color w:val="auto"/>
          <w:highlight w:val="none"/>
        </w:rPr>
        <w:t xml:space="preserve">1.2 </w:t>
      </w:r>
      <w:r>
        <w:rPr>
          <w:rFonts w:hint="eastAsia"/>
          <w:color w:val="auto"/>
          <w:highlight w:val="none"/>
        </w:rPr>
        <w:t>项目的资金来源和落实情况</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pPr>
        <w:spacing w:line="400" w:lineRule="exact"/>
        <w:ind w:firstLine="420" w:firstLineChars="200"/>
        <w:rPr>
          <w:color w:val="auto"/>
          <w:highlight w:val="none"/>
        </w:rPr>
      </w:pPr>
      <w:r>
        <w:rPr>
          <w:color w:val="auto"/>
          <w:highlight w:val="none"/>
        </w:rPr>
        <w:t xml:space="preserve">1.2.1 </w:t>
      </w:r>
      <w:r>
        <w:rPr>
          <w:rFonts w:hint="eastAsia"/>
          <w:color w:val="auto"/>
          <w:highlight w:val="none"/>
        </w:rPr>
        <w:t>资金来源及比例：见投标人须知前附表。</w:t>
      </w:r>
    </w:p>
    <w:p>
      <w:pPr>
        <w:spacing w:line="400" w:lineRule="exact"/>
        <w:ind w:firstLine="420" w:firstLineChars="200"/>
        <w:rPr>
          <w:color w:val="auto"/>
          <w:highlight w:val="none"/>
        </w:rPr>
      </w:pPr>
      <w:r>
        <w:rPr>
          <w:color w:val="auto"/>
          <w:highlight w:val="none"/>
        </w:rPr>
        <w:t xml:space="preserve">1.2.2 </w:t>
      </w:r>
      <w:r>
        <w:rPr>
          <w:rFonts w:hint="eastAsia"/>
          <w:color w:val="auto"/>
          <w:highlight w:val="none"/>
        </w:rPr>
        <w:t>资金落实情况：见投标人须知前附表。</w:t>
      </w:r>
    </w:p>
    <w:p>
      <w:pPr>
        <w:pStyle w:val="5"/>
        <w:rPr>
          <w:color w:val="auto"/>
          <w:highlight w:val="none"/>
        </w:rPr>
      </w:pPr>
      <w:bookmarkStart w:id="134" w:name="_Toc247527556"/>
      <w:bookmarkStart w:id="135" w:name="_Toc152045532"/>
      <w:bookmarkStart w:id="136" w:name="_Toc144974500"/>
      <w:bookmarkStart w:id="137" w:name="_Toc152042308"/>
      <w:bookmarkStart w:id="138" w:name="_Toc247513955"/>
      <w:bookmarkStart w:id="139" w:name="_Toc494371518"/>
      <w:bookmarkStart w:id="140" w:name="_Toc12223"/>
      <w:bookmarkStart w:id="141" w:name="_Toc10055"/>
      <w:bookmarkStart w:id="142" w:name="_Toc12593"/>
      <w:bookmarkStart w:id="143" w:name="_Toc30791"/>
      <w:bookmarkStart w:id="144" w:name="_Toc8046"/>
      <w:bookmarkStart w:id="145" w:name="_Toc300834952"/>
      <w:bookmarkStart w:id="146" w:name="_Toc5144"/>
      <w:bookmarkStart w:id="147" w:name="_Toc6852"/>
      <w:bookmarkStart w:id="148" w:name="_Toc20564"/>
      <w:bookmarkStart w:id="149" w:name="_Toc21315"/>
      <w:bookmarkStart w:id="150" w:name="_Toc24250"/>
      <w:r>
        <w:rPr>
          <w:rFonts w:ascii="Times New Roman" w:hAnsi="Times New Roman"/>
          <w:color w:val="auto"/>
          <w:highlight w:val="none"/>
        </w:rPr>
        <w:t>1.3</w:t>
      </w:r>
      <w:r>
        <w:rPr>
          <w:color w:val="auto"/>
          <w:highlight w:val="none"/>
        </w:rPr>
        <w:t xml:space="preserve"> 招标范围、</w:t>
      </w:r>
      <w:r>
        <w:rPr>
          <w:rFonts w:hint="eastAsia"/>
          <w:color w:val="auto"/>
          <w:highlight w:val="none"/>
        </w:rPr>
        <w:t>工期要求</w:t>
      </w:r>
      <w:r>
        <w:rPr>
          <w:color w:val="auto"/>
          <w:highlight w:val="none"/>
        </w:rPr>
        <w:t>和</w:t>
      </w:r>
      <w:bookmarkEnd w:id="134"/>
      <w:bookmarkEnd w:id="135"/>
      <w:bookmarkEnd w:id="136"/>
      <w:bookmarkEnd w:id="137"/>
      <w:bookmarkEnd w:id="138"/>
      <w:r>
        <w:rPr>
          <w:rFonts w:hint="eastAsia"/>
          <w:color w:val="auto"/>
          <w:highlight w:val="none"/>
        </w:rPr>
        <w:t>质量标准</w:t>
      </w:r>
      <w:bookmarkEnd w:id="139"/>
      <w:bookmarkEnd w:id="140"/>
      <w:bookmarkEnd w:id="141"/>
      <w:bookmarkEnd w:id="142"/>
      <w:bookmarkEnd w:id="143"/>
      <w:bookmarkEnd w:id="144"/>
      <w:bookmarkEnd w:id="145"/>
      <w:bookmarkEnd w:id="146"/>
      <w:bookmarkEnd w:id="147"/>
      <w:bookmarkEnd w:id="148"/>
      <w:bookmarkEnd w:id="149"/>
      <w:bookmarkEnd w:id="150"/>
    </w:p>
    <w:p>
      <w:pPr>
        <w:spacing w:line="400" w:lineRule="exact"/>
        <w:ind w:firstLine="420" w:firstLineChars="200"/>
        <w:rPr>
          <w:color w:val="auto"/>
          <w:highlight w:val="none"/>
        </w:rPr>
      </w:pPr>
      <w:r>
        <w:rPr>
          <w:color w:val="auto"/>
          <w:highlight w:val="none"/>
        </w:rPr>
        <w:t xml:space="preserve">1.3.1 </w:t>
      </w:r>
      <w:r>
        <w:rPr>
          <w:rFonts w:hint="eastAsia"/>
          <w:color w:val="auto"/>
          <w:highlight w:val="none"/>
        </w:rPr>
        <w:t>招标范围：见投标人须知前附表。</w:t>
      </w:r>
    </w:p>
    <w:p>
      <w:pPr>
        <w:spacing w:line="400" w:lineRule="exact"/>
        <w:ind w:firstLine="420" w:firstLineChars="200"/>
        <w:rPr>
          <w:color w:val="auto"/>
          <w:highlight w:val="none"/>
        </w:rPr>
      </w:pPr>
      <w:r>
        <w:rPr>
          <w:color w:val="auto"/>
          <w:highlight w:val="none"/>
        </w:rPr>
        <w:t xml:space="preserve">1.3.2 </w:t>
      </w:r>
      <w:r>
        <w:rPr>
          <w:rFonts w:hint="eastAsia"/>
          <w:color w:val="auto"/>
          <w:highlight w:val="none"/>
        </w:rPr>
        <w:t>计划工期：见投标人须知前附表。</w:t>
      </w:r>
    </w:p>
    <w:p>
      <w:pPr>
        <w:spacing w:line="400" w:lineRule="exact"/>
        <w:ind w:firstLine="420" w:firstLineChars="200"/>
        <w:rPr>
          <w:color w:val="auto"/>
          <w:highlight w:val="none"/>
        </w:rPr>
      </w:pPr>
      <w:r>
        <w:rPr>
          <w:color w:val="auto"/>
          <w:highlight w:val="none"/>
        </w:rPr>
        <w:t xml:space="preserve">1.3.3 </w:t>
      </w:r>
      <w:r>
        <w:rPr>
          <w:rFonts w:hint="eastAsia"/>
          <w:color w:val="auto"/>
          <w:highlight w:val="none"/>
        </w:rPr>
        <w:t>质量标准：见投标人须知前附表。</w:t>
      </w:r>
    </w:p>
    <w:p>
      <w:pPr>
        <w:pStyle w:val="5"/>
        <w:rPr>
          <w:color w:val="auto"/>
          <w:highlight w:val="none"/>
        </w:rPr>
      </w:pPr>
      <w:bookmarkStart w:id="151" w:name="_Toc152045533"/>
      <w:bookmarkStart w:id="152" w:name="_Toc300834953"/>
      <w:bookmarkStart w:id="153" w:name="_Toc25165"/>
      <w:bookmarkStart w:id="154" w:name="_Toc247513956"/>
      <w:bookmarkStart w:id="155" w:name="_Toc247527557"/>
      <w:bookmarkStart w:id="156" w:name="_Toc30070"/>
      <w:bookmarkStart w:id="157" w:name="_Toc27548"/>
      <w:bookmarkStart w:id="158" w:name="_Toc15022"/>
      <w:bookmarkStart w:id="159" w:name="_Toc29837"/>
      <w:bookmarkStart w:id="160" w:name="_Toc16204"/>
      <w:bookmarkStart w:id="161" w:name="_Toc152042309"/>
      <w:bookmarkStart w:id="162" w:name="_Toc21278"/>
      <w:bookmarkStart w:id="163" w:name="_Toc9786"/>
      <w:bookmarkStart w:id="164" w:name="_Toc27436"/>
      <w:bookmarkStart w:id="165" w:name="_Toc494371519"/>
      <w:bookmarkStart w:id="166" w:name="_Toc144974501"/>
      <w:bookmarkStart w:id="167" w:name="_Toc10308"/>
      <w:r>
        <w:rPr>
          <w:rFonts w:ascii="Times New Roman" w:hAnsi="Times New Roman"/>
          <w:color w:val="auto"/>
          <w:highlight w:val="none"/>
        </w:rPr>
        <w:t>1.4</w:t>
      </w:r>
      <w:r>
        <w:rPr>
          <w:color w:val="auto"/>
          <w:highlight w:val="none"/>
        </w:rPr>
        <w:t xml:space="preserve"> 投标人</w:t>
      </w:r>
      <w:r>
        <w:rPr>
          <w:rFonts w:hint="eastAsia"/>
          <w:color w:val="auto"/>
          <w:highlight w:val="none"/>
        </w:rPr>
        <w:t>合格条件</w:t>
      </w:r>
      <w:r>
        <w:rPr>
          <w:color w:val="auto"/>
          <w:highlight w:val="none"/>
        </w:rPr>
        <w:t>（详见招标公告要求）</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pPr>
        <w:pStyle w:val="5"/>
        <w:tabs>
          <w:tab w:val="left" w:pos="5769"/>
        </w:tabs>
        <w:rPr>
          <w:color w:val="auto"/>
          <w:highlight w:val="none"/>
        </w:rPr>
      </w:pPr>
      <w:bookmarkStart w:id="168" w:name="_Toc247513959"/>
      <w:bookmarkStart w:id="169" w:name="_Toc15250"/>
      <w:bookmarkStart w:id="170" w:name="_Toc152045536"/>
      <w:bookmarkStart w:id="171" w:name="_Toc1809"/>
      <w:bookmarkStart w:id="172" w:name="_Toc152042312"/>
      <w:bookmarkStart w:id="173" w:name="_Toc494371521"/>
      <w:bookmarkStart w:id="174" w:name="_Toc13053"/>
      <w:bookmarkStart w:id="175" w:name="_Toc29204"/>
      <w:bookmarkStart w:id="176" w:name="_Toc300834956"/>
      <w:bookmarkStart w:id="177" w:name="_Toc247527560"/>
      <w:bookmarkStart w:id="178" w:name="_Toc144974504"/>
      <w:bookmarkStart w:id="179" w:name="_Toc31463"/>
      <w:bookmarkStart w:id="180" w:name="_Toc20208"/>
      <w:bookmarkStart w:id="181" w:name="_Toc29962"/>
      <w:bookmarkStart w:id="182" w:name="_Toc9983"/>
      <w:bookmarkStart w:id="183" w:name="_Toc17087"/>
      <w:bookmarkStart w:id="184" w:name="_Toc25667"/>
      <w:r>
        <w:rPr>
          <w:rFonts w:ascii="Times New Roman" w:hAnsi="Times New Roman"/>
          <w:color w:val="auto"/>
          <w:highlight w:val="none"/>
        </w:rPr>
        <w:t>1</w:t>
      </w:r>
      <w:r>
        <w:rPr>
          <w:rFonts w:hint="eastAsia" w:ascii="Times New Roman" w:hAnsi="Times New Roman"/>
          <w:color w:val="auto"/>
          <w:highlight w:val="none"/>
        </w:rPr>
        <w:t>.5</w:t>
      </w:r>
      <w:r>
        <w:rPr>
          <w:rFonts w:ascii="Times New Roman" w:hAnsi="Times New Roman"/>
          <w:color w:val="auto"/>
          <w:highlight w:val="none"/>
        </w:rPr>
        <w:t xml:space="preserve"> </w:t>
      </w:r>
      <w:r>
        <w:rPr>
          <w:rFonts w:hint="eastAsia"/>
          <w:color w:val="auto"/>
          <w:highlight w:val="none"/>
        </w:rPr>
        <w:t>保密</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color w:val="auto"/>
          <w:highlight w:val="none"/>
        </w:rPr>
        <w:tab/>
      </w:r>
    </w:p>
    <w:p>
      <w:pPr>
        <w:spacing w:line="400" w:lineRule="exact"/>
        <w:ind w:firstLine="420" w:firstLineChars="200"/>
        <w:rPr>
          <w:color w:val="auto"/>
          <w:highlight w:val="none"/>
        </w:rPr>
      </w:pPr>
      <w:r>
        <w:rPr>
          <w:rFonts w:hint="eastAsia"/>
          <w:color w:val="auto"/>
          <w:highlight w:val="none"/>
        </w:rPr>
        <w:t>参与招标投标活动的各方应对招标文件和投标文件中的商业和技术等秘密保密，否则应承担相应的法律责任。</w:t>
      </w:r>
    </w:p>
    <w:p>
      <w:pPr>
        <w:pStyle w:val="5"/>
        <w:rPr>
          <w:color w:val="auto"/>
          <w:highlight w:val="none"/>
        </w:rPr>
      </w:pPr>
      <w:bookmarkStart w:id="185" w:name="_Toc144974505"/>
      <w:bookmarkStart w:id="186" w:name="_Toc7984"/>
      <w:bookmarkStart w:id="187" w:name="_Toc29984"/>
      <w:bookmarkStart w:id="188" w:name="_Toc10710"/>
      <w:bookmarkStart w:id="189" w:name="_Toc27206"/>
      <w:bookmarkStart w:id="190" w:name="_Toc152042313"/>
      <w:bookmarkStart w:id="191" w:name="_Toc15952"/>
      <w:bookmarkStart w:id="192" w:name="_Toc12677"/>
      <w:bookmarkStart w:id="193" w:name="_Toc494371522"/>
      <w:bookmarkStart w:id="194" w:name="_Toc21141"/>
      <w:bookmarkStart w:id="195" w:name="_Toc300834957"/>
      <w:bookmarkStart w:id="196" w:name="_Toc11478"/>
      <w:bookmarkStart w:id="197" w:name="_Toc247527561"/>
      <w:bookmarkStart w:id="198" w:name="_Toc31702"/>
      <w:bookmarkStart w:id="199" w:name="_Toc152045537"/>
      <w:bookmarkStart w:id="200" w:name="_Toc247513960"/>
      <w:bookmarkStart w:id="201" w:name="_Toc15403"/>
      <w:r>
        <w:rPr>
          <w:rFonts w:ascii="Times New Roman" w:hAnsi="Times New Roman"/>
          <w:color w:val="auto"/>
          <w:highlight w:val="none"/>
        </w:rPr>
        <w:t>1.</w:t>
      </w:r>
      <w:r>
        <w:rPr>
          <w:rFonts w:hint="eastAsia" w:ascii="Times New Roman" w:hAnsi="Times New Roman"/>
          <w:color w:val="auto"/>
          <w:highlight w:val="none"/>
        </w:rPr>
        <w:t>6</w:t>
      </w:r>
      <w:r>
        <w:rPr>
          <w:color w:val="auto"/>
          <w:highlight w:val="none"/>
        </w:rPr>
        <w:t xml:space="preserve"> 语言</w:t>
      </w:r>
      <w:bookmarkEnd w:id="185"/>
      <w:r>
        <w:rPr>
          <w:rFonts w:hint="eastAsia"/>
          <w:color w:val="auto"/>
          <w:highlight w:val="none"/>
        </w:rPr>
        <w:t>文字</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pPr>
        <w:spacing w:line="400" w:lineRule="exact"/>
        <w:ind w:firstLine="420" w:firstLineChars="200"/>
        <w:rPr>
          <w:color w:val="auto"/>
          <w:highlight w:val="none"/>
        </w:rPr>
      </w:pPr>
      <w:r>
        <w:rPr>
          <w:rFonts w:hint="eastAsia"/>
          <w:color w:val="auto"/>
          <w:highlight w:val="none"/>
        </w:rPr>
        <w:t>招标投标文件使用的语言文字为中文。专用术语使用外文的，应附有中文注释。</w:t>
      </w:r>
    </w:p>
    <w:p>
      <w:pPr>
        <w:pStyle w:val="5"/>
        <w:rPr>
          <w:color w:val="auto"/>
          <w:highlight w:val="none"/>
        </w:rPr>
      </w:pPr>
      <w:bookmarkStart w:id="202" w:name="_Toc494371523"/>
      <w:bookmarkStart w:id="203" w:name="_Toc300834958"/>
      <w:bookmarkStart w:id="204" w:name="_Toc18979"/>
      <w:bookmarkStart w:id="205" w:name="_Toc152042314"/>
      <w:bookmarkStart w:id="206" w:name="_Toc3503"/>
      <w:bookmarkStart w:id="207" w:name="_Toc32144"/>
      <w:bookmarkStart w:id="208" w:name="_Toc144974506"/>
      <w:bookmarkStart w:id="209" w:name="_Toc13627"/>
      <w:bookmarkStart w:id="210" w:name="_Toc27006"/>
      <w:bookmarkStart w:id="211" w:name="_Toc31715"/>
      <w:bookmarkStart w:id="212" w:name="_Toc24995"/>
      <w:bookmarkStart w:id="213" w:name="_Toc27884"/>
      <w:bookmarkStart w:id="214" w:name="_Toc247527562"/>
      <w:bookmarkStart w:id="215" w:name="_Toc247513961"/>
      <w:bookmarkStart w:id="216" w:name="_Toc6208"/>
      <w:bookmarkStart w:id="217" w:name="_Toc28646"/>
      <w:bookmarkStart w:id="218" w:name="_Toc152045538"/>
      <w:r>
        <w:rPr>
          <w:rFonts w:ascii="Times New Roman" w:hAnsi="Times New Roman"/>
          <w:color w:val="auto"/>
          <w:highlight w:val="none"/>
        </w:rPr>
        <w:t>1.</w:t>
      </w:r>
      <w:r>
        <w:rPr>
          <w:rFonts w:hint="eastAsia" w:ascii="Times New Roman" w:hAnsi="Times New Roman"/>
          <w:color w:val="auto"/>
          <w:highlight w:val="none"/>
        </w:rPr>
        <w:t>7</w:t>
      </w:r>
      <w:r>
        <w:rPr>
          <w:rFonts w:ascii="Times New Roman" w:hAnsi="Times New Roman"/>
          <w:color w:val="auto"/>
          <w:highlight w:val="none"/>
        </w:rPr>
        <w:t xml:space="preserve"> </w:t>
      </w:r>
      <w:r>
        <w:rPr>
          <w:rFonts w:hint="eastAsia"/>
          <w:color w:val="auto"/>
          <w:highlight w:val="none"/>
        </w:rPr>
        <w:t>计量单位</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pPr>
        <w:spacing w:line="400" w:lineRule="exact"/>
        <w:ind w:firstLine="420" w:firstLineChars="200"/>
        <w:rPr>
          <w:color w:val="auto"/>
          <w:highlight w:val="none"/>
        </w:rPr>
      </w:pPr>
      <w:r>
        <w:rPr>
          <w:color w:val="auto"/>
          <w:highlight w:val="none"/>
        </w:rPr>
        <w:t>1.8.1</w:t>
      </w:r>
      <w:r>
        <w:rPr>
          <w:rFonts w:hint="eastAsia"/>
          <w:color w:val="auto"/>
          <w:highlight w:val="none"/>
        </w:rPr>
        <w:t>所有计量均采用中华人民共和国法定计量单位。</w:t>
      </w:r>
    </w:p>
    <w:p>
      <w:pPr>
        <w:spacing w:line="400" w:lineRule="exact"/>
        <w:ind w:firstLine="420" w:firstLineChars="200"/>
        <w:rPr>
          <w:color w:val="auto"/>
          <w:highlight w:val="none"/>
        </w:rPr>
      </w:pPr>
      <w:r>
        <w:rPr>
          <w:color w:val="auto"/>
          <w:highlight w:val="none"/>
        </w:rPr>
        <w:t xml:space="preserve">1.8.2 </w:t>
      </w:r>
      <w:r>
        <w:rPr>
          <w:rFonts w:hint="eastAsia"/>
          <w:color w:val="auto"/>
          <w:highlight w:val="none"/>
        </w:rPr>
        <w:t>本工程投标报价采用的的币种为人民币。</w:t>
      </w:r>
    </w:p>
    <w:p>
      <w:pPr>
        <w:pStyle w:val="5"/>
        <w:rPr>
          <w:color w:val="auto"/>
          <w:highlight w:val="none"/>
        </w:rPr>
      </w:pPr>
      <w:bookmarkStart w:id="219" w:name="_Toc16330"/>
      <w:bookmarkStart w:id="220" w:name="_Toc152045539"/>
      <w:bookmarkStart w:id="221" w:name="_Toc247527563"/>
      <w:bookmarkStart w:id="222" w:name="_Toc14018"/>
      <w:bookmarkStart w:id="223" w:name="_Toc24491"/>
      <w:bookmarkStart w:id="224" w:name="_Toc23415"/>
      <w:bookmarkStart w:id="225" w:name="_Toc21627"/>
      <w:bookmarkStart w:id="226" w:name="_Toc247513962"/>
      <w:bookmarkStart w:id="227" w:name="_Toc144974507"/>
      <w:bookmarkStart w:id="228" w:name="_Toc494371524"/>
      <w:bookmarkStart w:id="229" w:name="_Toc7578"/>
      <w:bookmarkStart w:id="230" w:name="_Toc21709"/>
      <w:bookmarkStart w:id="231" w:name="_Toc152042315"/>
      <w:bookmarkStart w:id="232" w:name="_Toc32089"/>
      <w:bookmarkStart w:id="233" w:name="_Toc26270"/>
      <w:bookmarkStart w:id="234" w:name="_Toc300834959"/>
      <w:bookmarkStart w:id="235" w:name="_Toc13153"/>
      <w:r>
        <w:rPr>
          <w:rFonts w:ascii="Times New Roman" w:hAnsi="Times New Roman"/>
          <w:color w:val="auto"/>
          <w:highlight w:val="none"/>
        </w:rPr>
        <w:t>1.</w:t>
      </w:r>
      <w:r>
        <w:rPr>
          <w:rFonts w:hint="eastAsia" w:ascii="Times New Roman" w:hAnsi="Times New Roman"/>
          <w:color w:val="auto"/>
          <w:highlight w:val="none"/>
        </w:rPr>
        <w:t>8</w:t>
      </w:r>
      <w:r>
        <w:rPr>
          <w:color w:val="auto"/>
          <w:highlight w:val="none"/>
        </w:rPr>
        <w:t xml:space="preserve"> 踏勘现场</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spacing w:line="400" w:lineRule="exact"/>
        <w:ind w:firstLine="420" w:firstLineChars="200"/>
        <w:rPr>
          <w:color w:val="auto"/>
          <w:highlight w:val="none"/>
        </w:rPr>
      </w:pPr>
      <w:r>
        <w:rPr>
          <w:color w:val="auto"/>
          <w:highlight w:val="none"/>
        </w:rPr>
        <w:t>1.</w:t>
      </w:r>
      <w:r>
        <w:rPr>
          <w:rFonts w:hint="eastAsia"/>
          <w:color w:val="auto"/>
          <w:highlight w:val="none"/>
        </w:rPr>
        <w:t>8</w:t>
      </w:r>
      <w:r>
        <w:rPr>
          <w:color w:val="auto"/>
          <w:highlight w:val="none"/>
        </w:rPr>
        <w:t xml:space="preserve">.1 </w:t>
      </w:r>
      <w:r>
        <w:rPr>
          <w:rFonts w:hint="eastAsia"/>
          <w:color w:val="auto"/>
          <w:highlight w:val="none"/>
        </w:rPr>
        <w:t>投标人须知前附表规定组织踏勘现场的，招标人按投标人须知前附表规定的时间、地点组织投标人踏勘项目现场。</w:t>
      </w:r>
    </w:p>
    <w:p>
      <w:pPr>
        <w:spacing w:line="400" w:lineRule="exact"/>
        <w:ind w:firstLine="420" w:firstLineChars="200"/>
        <w:rPr>
          <w:color w:val="auto"/>
          <w:highlight w:val="none"/>
        </w:rPr>
      </w:pPr>
      <w:r>
        <w:rPr>
          <w:color w:val="auto"/>
          <w:highlight w:val="none"/>
        </w:rPr>
        <w:t>1.</w:t>
      </w:r>
      <w:r>
        <w:rPr>
          <w:rFonts w:hint="eastAsia"/>
          <w:color w:val="auto"/>
          <w:highlight w:val="none"/>
        </w:rPr>
        <w:t>8</w:t>
      </w:r>
      <w:r>
        <w:rPr>
          <w:color w:val="auto"/>
          <w:highlight w:val="none"/>
        </w:rPr>
        <w:t xml:space="preserve">.2 </w:t>
      </w:r>
      <w:r>
        <w:rPr>
          <w:rFonts w:hint="eastAsia"/>
          <w:color w:val="auto"/>
          <w:highlight w:val="none"/>
        </w:rPr>
        <w:t>投标人踏勘现场发生的费用自理。</w:t>
      </w:r>
    </w:p>
    <w:p>
      <w:pPr>
        <w:spacing w:line="400" w:lineRule="exact"/>
        <w:ind w:firstLine="420" w:firstLineChars="200"/>
        <w:rPr>
          <w:color w:val="auto"/>
          <w:highlight w:val="none"/>
        </w:rPr>
      </w:pPr>
      <w:r>
        <w:rPr>
          <w:color w:val="auto"/>
          <w:highlight w:val="none"/>
        </w:rPr>
        <w:t>1.</w:t>
      </w:r>
      <w:r>
        <w:rPr>
          <w:rFonts w:hint="eastAsia"/>
          <w:color w:val="auto"/>
          <w:highlight w:val="none"/>
        </w:rPr>
        <w:t>8</w:t>
      </w:r>
      <w:r>
        <w:rPr>
          <w:color w:val="auto"/>
          <w:highlight w:val="none"/>
        </w:rPr>
        <w:t xml:space="preserve">.3 </w:t>
      </w:r>
      <w:r>
        <w:rPr>
          <w:rFonts w:hint="eastAsia"/>
          <w:color w:val="auto"/>
          <w:highlight w:val="none"/>
        </w:rPr>
        <w:t>除招标人的原因外，投标人自行负责在踏勘现场中所发生的人员伤亡和财产损失。</w:t>
      </w:r>
    </w:p>
    <w:p>
      <w:pPr>
        <w:spacing w:line="400" w:lineRule="exact"/>
        <w:ind w:firstLine="420" w:firstLineChars="200"/>
        <w:rPr>
          <w:color w:val="auto"/>
          <w:highlight w:val="none"/>
        </w:rPr>
      </w:pPr>
      <w:r>
        <w:rPr>
          <w:color w:val="auto"/>
          <w:highlight w:val="none"/>
        </w:rPr>
        <w:t>1.</w:t>
      </w:r>
      <w:r>
        <w:rPr>
          <w:rFonts w:hint="eastAsia"/>
          <w:color w:val="auto"/>
          <w:highlight w:val="none"/>
        </w:rPr>
        <w:t>8</w:t>
      </w:r>
      <w:r>
        <w:rPr>
          <w:color w:val="auto"/>
          <w:highlight w:val="none"/>
        </w:rPr>
        <w:t xml:space="preserve">.4 </w:t>
      </w:r>
      <w:r>
        <w:rPr>
          <w:rFonts w:hint="eastAsia"/>
          <w:color w:val="auto"/>
          <w:highlight w:val="none"/>
        </w:rPr>
        <w:t>现场由投标人自行踏勘，投标人不进行踏勘的，视为已熟知现场条件，自行承担相关风险。招标人不对投标人自行踏勘现场作出的判断和决策负责。</w:t>
      </w:r>
    </w:p>
    <w:p>
      <w:pPr>
        <w:pStyle w:val="4"/>
        <w:rPr>
          <w:color w:val="auto"/>
          <w:highlight w:val="none"/>
        </w:rPr>
      </w:pPr>
      <w:bookmarkStart w:id="236" w:name="_Toc25753"/>
      <w:bookmarkStart w:id="237" w:name="_Toc247527567"/>
      <w:bookmarkStart w:id="238" w:name="_Toc494371528"/>
      <w:bookmarkStart w:id="239" w:name="_Toc22361"/>
      <w:bookmarkStart w:id="240" w:name="_Toc300834963"/>
      <w:bookmarkStart w:id="241" w:name="_Toc9925"/>
      <w:bookmarkStart w:id="242" w:name="_Toc25933"/>
      <w:bookmarkStart w:id="243" w:name="_Toc28224"/>
      <w:bookmarkStart w:id="244" w:name="_Toc23852"/>
      <w:bookmarkStart w:id="245" w:name="_Toc20199"/>
      <w:bookmarkStart w:id="246" w:name="_Toc14358"/>
      <w:bookmarkStart w:id="247" w:name="_Toc152042318"/>
      <w:bookmarkStart w:id="248" w:name="_Toc22778"/>
      <w:bookmarkStart w:id="249" w:name="_Toc247513966"/>
      <w:bookmarkStart w:id="250" w:name="_Toc152045542"/>
      <w:bookmarkStart w:id="251" w:name="_Toc18406"/>
      <w:bookmarkStart w:id="252" w:name="_Toc13096"/>
      <w:bookmarkStart w:id="253" w:name="_Toc28780"/>
      <w:bookmarkStart w:id="254" w:name="_Toc144974510"/>
      <w:r>
        <w:rPr>
          <w:color w:val="auto"/>
          <w:highlight w:val="none"/>
        </w:rPr>
        <w:t xml:space="preserve">2. </w:t>
      </w:r>
      <w:r>
        <w:rPr>
          <w:rFonts w:hint="eastAsia"/>
          <w:color w:val="auto"/>
          <w:highlight w:val="none"/>
        </w:rPr>
        <w:t>招标文件</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pPr>
        <w:pStyle w:val="5"/>
        <w:rPr>
          <w:color w:val="auto"/>
          <w:highlight w:val="none"/>
        </w:rPr>
      </w:pPr>
      <w:bookmarkStart w:id="255" w:name="_Toc12130"/>
      <w:bookmarkStart w:id="256" w:name="_Toc22589"/>
      <w:bookmarkStart w:id="257" w:name="_Toc144974511"/>
      <w:bookmarkStart w:id="258" w:name="_Toc11154"/>
      <w:bookmarkStart w:id="259" w:name="_Toc300834964"/>
      <w:bookmarkStart w:id="260" w:name="_Toc494371529"/>
      <w:bookmarkStart w:id="261" w:name="_Toc18571"/>
      <w:bookmarkStart w:id="262" w:name="_Toc152045543"/>
      <w:bookmarkStart w:id="263" w:name="_Toc19518"/>
      <w:bookmarkStart w:id="264" w:name="_Toc247513967"/>
      <w:bookmarkStart w:id="265" w:name="_Toc644"/>
      <w:bookmarkStart w:id="266" w:name="_Toc244"/>
      <w:bookmarkStart w:id="267" w:name="_Toc152042319"/>
      <w:bookmarkStart w:id="268" w:name="_Toc247527568"/>
      <w:bookmarkStart w:id="269" w:name="_Toc14514"/>
      <w:bookmarkStart w:id="270" w:name="_Toc16384"/>
      <w:bookmarkStart w:id="271" w:name="_Toc27602"/>
      <w:r>
        <w:rPr>
          <w:rFonts w:ascii="Times New Roman" w:hAnsi="Times New Roman"/>
          <w:color w:val="auto"/>
          <w:highlight w:val="none"/>
        </w:rPr>
        <w:t>2.1</w:t>
      </w:r>
      <w:r>
        <w:rPr>
          <w:color w:val="auto"/>
          <w:highlight w:val="none"/>
        </w:rPr>
        <w:t xml:space="preserve"> 招标文件的组成</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pPr>
        <w:spacing w:line="400" w:lineRule="exact"/>
        <w:rPr>
          <w:color w:val="auto"/>
          <w:highlight w:val="none"/>
        </w:rPr>
      </w:pPr>
      <w:r>
        <w:rPr>
          <w:rFonts w:hint="eastAsia"/>
          <w:color w:val="auto"/>
          <w:highlight w:val="none"/>
        </w:rPr>
        <w:t>　　本招标文件包括：</w:t>
      </w:r>
    </w:p>
    <w:p>
      <w:pPr>
        <w:spacing w:line="400" w:lineRule="exact"/>
        <w:ind w:firstLine="359" w:firstLineChars="171"/>
        <w:rPr>
          <w:color w:val="auto"/>
          <w:highlight w:val="none"/>
        </w:rPr>
      </w:pPr>
      <w:r>
        <w:rPr>
          <w:rFonts w:hint="eastAsia"/>
          <w:color w:val="auto"/>
          <w:highlight w:val="none"/>
        </w:rPr>
        <w:t>（</w:t>
      </w:r>
      <w:r>
        <w:rPr>
          <w:color w:val="auto"/>
          <w:highlight w:val="none"/>
        </w:rPr>
        <w:t>1</w:t>
      </w:r>
      <w:r>
        <w:rPr>
          <w:rFonts w:hint="eastAsia"/>
          <w:color w:val="auto"/>
          <w:highlight w:val="none"/>
        </w:rPr>
        <w:t>）招标公告（或投标邀请书）；</w:t>
      </w:r>
    </w:p>
    <w:p>
      <w:pPr>
        <w:spacing w:line="400" w:lineRule="exact"/>
        <w:ind w:firstLine="359" w:firstLineChars="171"/>
        <w:rPr>
          <w:color w:val="auto"/>
          <w:highlight w:val="none"/>
        </w:rPr>
      </w:pPr>
      <w:r>
        <w:rPr>
          <w:rFonts w:hint="eastAsia"/>
          <w:color w:val="auto"/>
          <w:highlight w:val="none"/>
        </w:rPr>
        <w:t>（</w:t>
      </w:r>
      <w:r>
        <w:rPr>
          <w:color w:val="auto"/>
          <w:highlight w:val="none"/>
        </w:rPr>
        <w:t>2</w:t>
      </w:r>
      <w:r>
        <w:rPr>
          <w:rFonts w:hint="eastAsia"/>
          <w:color w:val="auto"/>
          <w:highlight w:val="none"/>
        </w:rPr>
        <w:t>）投标人须知；</w:t>
      </w:r>
    </w:p>
    <w:p>
      <w:pPr>
        <w:spacing w:line="400" w:lineRule="exact"/>
        <w:ind w:firstLine="359" w:firstLineChars="171"/>
        <w:rPr>
          <w:color w:val="auto"/>
          <w:highlight w:val="none"/>
        </w:rPr>
      </w:pPr>
      <w:r>
        <w:rPr>
          <w:rFonts w:hint="eastAsia"/>
          <w:color w:val="auto"/>
          <w:highlight w:val="none"/>
        </w:rPr>
        <w:t>（</w:t>
      </w:r>
      <w:r>
        <w:rPr>
          <w:color w:val="auto"/>
          <w:highlight w:val="none"/>
        </w:rPr>
        <w:t>3</w:t>
      </w:r>
      <w:r>
        <w:rPr>
          <w:rFonts w:hint="eastAsia"/>
          <w:color w:val="auto"/>
          <w:highlight w:val="none"/>
        </w:rPr>
        <w:t>）评标办法；</w:t>
      </w:r>
    </w:p>
    <w:p>
      <w:pPr>
        <w:spacing w:line="400" w:lineRule="exact"/>
        <w:ind w:firstLine="359" w:firstLineChars="171"/>
        <w:rPr>
          <w:color w:val="auto"/>
          <w:highlight w:val="none"/>
        </w:rPr>
      </w:pPr>
      <w:r>
        <w:rPr>
          <w:rFonts w:hint="eastAsia"/>
          <w:color w:val="auto"/>
          <w:highlight w:val="none"/>
        </w:rPr>
        <w:t>（</w:t>
      </w:r>
      <w:r>
        <w:rPr>
          <w:color w:val="auto"/>
          <w:highlight w:val="none"/>
        </w:rPr>
        <w:t>4</w:t>
      </w:r>
      <w:r>
        <w:rPr>
          <w:rFonts w:hint="eastAsia"/>
          <w:color w:val="auto"/>
          <w:highlight w:val="none"/>
        </w:rPr>
        <w:t>）合同条款及格式（另册）；</w:t>
      </w:r>
    </w:p>
    <w:p>
      <w:pPr>
        <w:spacing w:line="400" w:lineRule="exact"/>
        <w:ind w:firstLine="359" w:firstLineChars="171"/>
        <w:rPr>
          <w:color w:val="auto"/>
          <w:highlight w:val="none"/>
        </w:rPr>
      </w:pPr>
      <w:r>
        <w:rPr>
          <w:rFonts w:hint="eastAsia"/>
          <w:color w:val="auto"/>
          <w:highlight w:val="none"/>
        </w:rPr>
        <w:t>（</w:t>
      </w:r>
      <w:r>
        <w:rPr>
          <w:color w:val="auto"/>
          <w:highlight w:val="none"/>
        </w:rPr>
        <w:t>5</w:t>
      </w:r>
      <w:r>
        <w:rPr>
          <w:rFonts w:hint="eastAsia"/>
          <w:color w:val="auto"/>
          <w:highlight w:val="none"/>
        </w:rPr>
        <w:t>）项目方案效果图</w:t>
      </w:r>
      <w:r>
        <w:rPr>
          <w:rFonts w:hint="eastAsia"/>
          <w:color w:val="auto"/>
          <w:highlight w:val="none"/>
          <w:lang w:eastAsia="zh-CN"/>
        </w:rPr>
        <w:t>（</w:t>
      </w:r>
      <w:r>
        <w:rPr>
          <w:rFonts w:hint="eastAsia"/>
          <w:color w:val="auto"/>
          <w:highlight w:val="none"/>
          <w:lang w:val="en-US" w:eastAsia="zh-CN"/>
        </w:rPr>
        <w:t>另册</w:t>
      </w:r>
      <w:r>
        <w:rPr>
          <w:rFonts w:hint="eastAsia"/>
          <w:color w:val="auto"/>
          <w:highlight w:val="none"/>
          <w:lang w:eastAsia="zh-CN"/>
        </w:rPr>
        <w:t>）</w:t>
      </w:r>
      <w:r>
        <w:rPr>
          <w:rFonts w:hint="eastAsia"/>
          <w:color w:val="auto"/>
          <w:highlight w:val="none"/>
        </w:rPr>
        <w:t>；</w:t>
      </w:r>
    </w:p>
    <w:p>
      <w:pPr>
        <w:spacing w:line="400" w:lineRule="exact"/>
        <w:ind w:firstLine="359" w:firstLineChars="171"/>
        <w:rPr>
          <w:color w:val="auto"/>
          <w:highlight w:val="none"/>
        </w:rPr>
      </w:pPr>
      <w:r>
        <w:rPr>
          <w:rFonts w:hint="eastAsia"/>
          <w:color w:val="auto"/>
          <w:highlight w:val="none"/>
        </w:rPr>
        <w:t>（</w:t>
      </w:r>
      <w:r>
        <w:rPr>
          <w:rFonts w:hint="default"/>
          <w:color w:val="auto"/>
          <w:highlight w:val="none"/>
          <w:lang w:val="en-US"/>
        </w:rPr>
        <w:t>6</w:t>
      </w:r>
      <w:r>
        <w:rPr>
          <w:rFonts w:hint="eastAsia"/>
          <w:color w:val="auto"/>
          <w:highlight w:val="none"/>
        </w:rPr>
        <w:t>）发包人提供的资料（另册）；</w:t>
      </w:r>
    </w:p>
    <w:p>
      <w:pPr>
        <w:spacing w:line="400" w:lineRule="exact"/>
        <w:ind w:firstLine="359" w:firstLineChars="171"/>
        <w:rPr>
          <w:color w:val="auto"/>
          <w:highlight w:val="none"/>
        </w:rPr>
      </w:pPr>
      <w:r>
        <w:rPr>
          <w:rFonts w:hint="eastAsia"/>
          <w:color w:val="auto"/>
          <w:highlight w:val="none"/>
        </w:rPr>
        <w:t>（</w:t>
      </w:r>
      <w:r>
        <w:rPr>
          <w:rFonts w:hint="default"/>
          <w:color w:val="auto"/>
          <w:highlight w:val="none"/>
          <w:lang w:val="en-US"/>
        </w:rPr>
        <w:t>7</w:t>
      </w:r>
      <w:r>
        <w:rPr>
          <w:rFonts w:hint="eastAsia"/>
          <w:color w:val="auto"/>
          <w:highlight w:val="none"/>
        </w:rPr>
        <w:t>）投标文件格式；</w:t>
      </w:r>
    </w:p>
    <w:p>
      <w:pPr>
        <w:spacing w:line="400" w:lineRule="exact"/>
        <w:ind w:firstLine="359" w:firstLineChars="171"/>
        <w:rPr>
          <w:color w:val="auto"/>
          <w:highlight w:val="none"/>
        </w:rPr>
      </w:pPr>
      <w:r>
        <w:rPr>
          <w:rFonts w:hint="eastAsia"/>
          <w:color w:val="auto"/>
          <w:highlight w:val="none"/>
        </w:rPr>
        <w:t>（</w:t>
      </w:r>
      <w:r>
        <w:rPr>
          <w:rFonts w:hint="default"/>
          <w:color w:val="auto"/>
          <w:highlight w:val="none"/>
          <w:lang w:val="en-US"/>
        </w:rPr>
        <w:t>8</w:t>
      </w:r>
      <w:r>
        <w:rPr>
          <w:rFonts w:hint="eastAsia"/>
          <w:color w:val="auto"/>
          <w:highlight w:val="none"/>
        </w:rPr>
        <w:t>）投标人须知前附表规定的其他资料。</w:t>
      </w:r>
    </w:p>
    <w:p>
      <w:pPr>
        <w:pStyle w:val="5"/>
        <w:rPr>
          <w:color w:val="auto"/>
          <w:highlight w:val="none"/>
        </w:rPr>
      </w:pPr>
      <w:bookmarkStart w:id="272" w:name="_Toc24642"/>
      <w:bookmarkStart w:id="273" w:name="_Toc2920"/>
      <w:bookmarkStart w:id="274" w:name="_Toc152042320"/>
      <w:bookmarkStart w:id="275" w:name="_Toc10715"/>
      <w:bookmarkStart w:id="276" w:name="_Toc300834965"/>
      <w:bookmarkStart w:id="277" w:name="_Toc152045544"/>
      <w:bookmarkStart w:id="278" w:name="_Toc247527569"/>
      <w:bookmarkStart w:id="279" w:name="_Toc494371530"/>
      <w:bookmarkStart w:id="280" w:name="_Toc247513968"/>
      <w:bookmarkStart w:id="281" w:name="_Toc144974512"/>
      <w:bookmarkStart w:id="282" w:name="_Toc14693"/>
      <w:bookmarkStart w:id="283" w:name="_Toc24802"/>
      <w:bookmarkStart w:id="284" w:name="_Toc28374"/>
      <w:bookmarkStart w:id="285" w:name="_Toc13489"/>
      <w:bookmarkStart w:id="286" w:name="_Toc28197"/>
      <w:bookmarkStart w:id="287" w:name="_Toc3890"/>
      <w:bookmarkStart w:id="288" w:name="_Toc6072"/>
      <w:r>
        <w:rPr>
          <w:color w:val="auto"/>
          <w:highlight w:val="none"/>
        </w:rPr>
        <w:t xml:space="preserve">2.2 </w:t>
      </w:r>
      <w:r>
        <w:rPr>
          <w:rFonts w:hint="eastAsia"/>
          <w:color w:val="auto"/>
          <w:highlight w:val="none"/>
        </w:rPr>
        <w:t>招标文件的澄清</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pPr>
        <w:spacing w:line="400" w:lineRule="exact"/>
        <w:ind w:firstLine="420" w:firstLineChars="200"/>
        <w:rPr>
          <w:rFonts w:ascii="宋体" w:hAnsi="宋体"/>
          <w:color w:val="auto"/>
          <w:szCs w:val="21"/>
          <w:highlight w:val="none"/>
        </w:rPr>
      </w:pPr>
      <w:r>
        <w:rPr>
          <w:color w:val="auto"/>
          <w:highlight w:val="none"/>
        </w:rPr>
        <w:t xml:space="preserve">2.2.1 </w:t>
      </w:r>
      <w:r>
        <w:rPr>
          <w:rFonts w:hint="eastAsia"/>
          <w:color w:val="auto"/>
          <w:highlight w:val="none"/>
        </w:rPr>
        <w:t>投标人应仔细阅读和检查招标文件的全部内容。</w:t>
      </w:r>
      <w:r>
        <w:rPr>
          <w:rFonts w:hint="eastAsia" w:ascii="宋体" w:hAnsi="宋体"/>
          <w:color w:val="auto"/>
          <w:szCs w:val="21"/>
          <w:highlight w:val="none"/>
        </w:rPr>
        <w:t>如发现缺页或附件不全，应及时向招标人提出，以便补齐。</w:t>
      </w:r>
    </w:p>
    <w:p>
      <w:pPr>
        <w:spacing w:line="400" w:lineRule="exact"/>
        <w:ind w:firstLine="420" w:firstLineChars="200"/>
        <w:rPr>
          <w:rFonts w:ascii="宋体" w:hAnsi="宋体"/>
          <w:color w:val="auto"/>
          <w:szCs w:val="21"/>
          <w:highlight w:val="none"/>
        </w:rPr>
      </w:pPr>
      <w:r>
        <w:rPr>
          <w:color w:val="auto"/>
          <w:highlight w:val="none"/>
        </w:rPr>
        <w:t>2.2.</w:t>
      </w:r>
      <w:r>
        <w:rPr>
          <w:rFonts w:hint="eastAsia"/>
          <w:color w:val="auto"/>
          <w:highlight w:val="none"/>
        </w:rPr>
        <w:t>2</w:t>
      </w:r>
      <w:r>
        <w:rPr>
          <w:color w:val="auto"/>
          <w:highlight w:val="none"/>
        </w:rPr>
        <w:t xml:space="preserve"> </w:t>
      </w:r>
      <w:r>
        <w:rPr>
          <w:rFonts w:hint="eastAsia" w:ascii="宋体" w:hAnsi="宋体"/>
          <w:color w:val="auto"/>
          <w:szCs w:val="21"/>
          <w:highlight w:val="none"/>
        </w:rPr>
        <w:t>招标补充公告一经在广州南沙资产经营集团有限公司网站</w:t>
      </w:r>
      <w:r>
        <w:rPr>
          <w:rFonts w:hint="eastAsia" w:ascii="宋体" w:hAnsi="宋体" w:cs="宋体"/>
          <w:color w:val="auto"/>
          <w:sz w:val="24"/>
          <w:highlight w:val="none"/>
        </w:rPr>
        <w:t>（</w:t>
      </w:r>
      <w:r>
        <w:rPr>
          <w:rFonts w:ascii="宋体" w:hAnsi="宋体" w:cs="宋体"/>
          <w:color w:val="auto"/>
          <w:sz w:val="24"/>
          <w:highlight w:val="none"/>
        </w:rPr>
        <w:t>http://www.gnao.com.cn</w:t>
      </w:r>
      <w:r>
        <w:rPr>
          <w:rFonts w:hint="eastAsia" w:ascii="宋体" w:hAnsi="宋体" w:cs="宋体"/>
          <w:color w:val="auto"/>
          <w:sz w:val="24"/>
          <w:highlight w:val="none"/>
          <w:lang w:eastAsia="zh-CN"/>
        </w:rPr>
        <w:t>，下同</w:t>
      </w:r>
      <w:r>
        <w:rPr>
          <w:rFonts w:hint="eastAsia" w:ascii="宋体" w:hAnsi="宋体" w:cs="宋体"/>
          <w:color w:val="auto"/>
          <w:sz w:val="24"/>
          <w:highlight w:val="none"/>
        </w:rPr>
        <w:t>）</w:t>
      </w:r>
      <w:r>
        <w:rPr>
          <w:rFonts w:hint="eastAsia" w:ascii="宋体" w:hAnsi="宋体"/>
          <w:color w:val="auto"/>
          <w:szCs w:val="21"/>
          <w:highlight w:val="none"/>
        </w:rPr>
        <w:t>发布，视作已发放给所有投标人。</w:t>
      </w:r>
    </w:p>
    <w:p>
      <w:pPr>
        <w:pStyle w:val="5"/>
        <w:rPr>
          <w:color w:val="auto"/>
          <w:highlight w:val="none"/>
        </w:rPr>
      </w:pPr>
      <w:bookmarkStart w:id="289" w:name="_Toc5512"/>
      <w:bookmarkStart w:id="290" w:name="_Toc300834966"/>
      <w:bookmarkStart w:id="291" w:name="_Toc152042321"/>
      <w:bookmarkStart w:id="292" w:name="_Toc13973"/>
      <w:bookmarkStart w:id="293" w:name="_Toc3897"/>
      <w:bookmarkStart w:id="294" w:name="_Toc21917"/>
      <w:bookmarkStart w:id="295" w:name="_Toc24839"/>
      <w:bookmarkStart w:id="296" w:name="_Toc28122"/>
      <w:bookmarkStart w:id="297" w:name="_Toc1392"/>
      <w:bookmarkStart w:id="298" w:name="_Toc247513969"/>
      <w:bookmarkStart w:id="299" w:name="_Toc247527570"/>
      <w:bookmarkStart w:id="300" w:name="_Toc494371531"/>
      <w:bookmarkStart w:id="301" w:name="_Toc18567"/>
      <w:bookmarkStart w:id="302" w:name="_Toc144974513"/>
      <w:bookmarkStart w:id="303" w:name="_Toc2421"/>
      <w:bookmarkStart w:id="304" w:name="_Toc152045545"/>
      <w:bookmarkStart w:id="305" w:name="_Toc29656"/>
      <w:r>
        <w:rPr>
          <w:rFonts w:ascii="Times New Roman" w:hAnsi="Times New Roman"/>
          <w:color w:val="auto"/>
          <w:highlight w:val="none"/>
        </w:rPr>
        <w:t>2.3</w:t>
      </w:r>
      <w:r>
        <w:rPr>
          <w:color w:val="auto"/>
          <w:highlight w:val="none"/>
        </w:rPr>
        <w:t xml:space="preserve"> 招标文件的修改</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pPr>
        <w:pStyle w:val="37"/>
        <w:spacing w:line="420" w:lineRule="exact"/>
        <w:ind w:firstLineChars="200"/>
        <w:rPr>
          <w:rFonts w:ascii="宋体" w:hAnsi="宋体"/>
          <w:color w:val="auto"/>
          <w:szCs w:val="21"/>
          <w:highlight w:val="none"/>
        </w:rPr>
      </w:pPr>
      <w:r>
        <w:rPr>
          <w:rFonts w:ascii="宋体" w:hAnsi="宋体"/>
          <w:color w:val="auto"/>
          <w:szCs w:val="21"/>
          <w:highlight w:val="none"/>
        </w:rPr>
        <w:t>2.3.</w:t>
      </w:r>
      <w:r>
        <w:rPr>
          <w:rFonts w:hint="eastAsia" w:ascii="宋体" w:hAnsi="宋体"/>
          <w:color w:val="auto"/>
          <w:szCs w:val="21"/>
          <w:highlight w:val="none"/>
        </w:rPr>
        <w:t>1招标文件的澄清、修改均以在广州南沙资产经营集团有限公司网站进行发布。当招标文件的澄清、修改在同一内容的表述不一致时，以广州南沙资产经营集团有限公司网站最后发布的内容为准。</w:t>
      </w:r>
    </w:p>
    <w:p>
      <w:pPr>
        <w:spacing w:line="400" w:lineRule="exact"/>
        <w:ind w:firstLine="420" w:firstLineChars="200"/>
        <w:rPr>
          <w:strike/>
          <w:color w:val="auto"/>
          <w:highlight w:val="none"/>
        </w:rPr>
      </w:pPr>
      <w:r>
        <w:rPr>
          <w:rFonts w:ascii="宋体" w:hAnsi="宋体"/>
          <w:color w:val="auto"/>
          <w:szCs w:val="21"/>
          <w:highlight w:val="none"/>
        </w:rPr>
        <w:t>2.3.</w:t>
      </w:r>
      <w:r>
        <w:rPr>
          <w:rFonts w:hint="eastAsia" w:ascii="宋体" w:hAnsi="宋体"/>
          <w:color w:val="auto"/>
          <w:szCs w:val="21"/>
          <w:highlight w:val="none"/>
        </w:rPr>
        <w:t>2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p>
    <w:p>
      <w:pPr>
        <w:pStyle w:val="4"/>
        <w:rPr>
          <w:color w:val="auto"/>
          <w:highlight w:val="none"/>
        </w:rPr>
      </w:pPr>
      <w:bookmarkStart w:id="306" w:name="_Toc26021"/>
      <w:bookmarkStart w:id="307" w:name="_Toc247513970"/>
      <w:bookmarkStart w:id="308" w:name="_Toc5036"/>
      <w:bookmarkStart w:id="309" w:name="_Toc8312"/>
      <w:bookmarkStart w:id="310" w:name="_Toc29199"/>
      <w:bookmarkStart w:id="311" w:name="_Toc26603"/>
      <w:bookmarkStart w:id="312" w:name="_Toc152042322"/>
      <w:bookmarkStart w:id="313" w:name="_Toc300834967"/>
      <w:bookmarkStart w:id="314" w:name="_Toc494371532"/>
      <w:bookmarkStart w:id="315" w:name="_Toc5391"/>
      <w:bookmarkStart w:id="316" w:name="_Toc2051"/>
      <w:bookmarkStart w:id="317" w:name="_Toc152045546"/>
      <w:bookmarkStart w:id="318" w:name="_Toc31255"/>
      <w:bookmarkStart w:id="319" w:name="_Toc25826"/>
      <w:bookmarkStart w:id="320" w:name="_Toc3337"/>
      <w:bookmarkStart w:id="321" w:name="_Toc247527571"/>
      <w:bookmarkStart w:id="322" w:name="_Toc144974514"/>
      <w:bookmarkStart w:id="323" w:name="_Toc27286"/>
      <w:bookmarkStart w:id="324" w:name="_Toc28135"/>
      <w:r>
        <w:rPr>
          <w:color w:val="auto"/>
          <w:highlight w:val="none"/>
        </w:rPr>
        <w:t xml:space="preserve">3. </w:t>
      </w:r>
      <w:r>
        <w:rPr>
          <w:rFonts w:hint="eastAsia"/>
          <w:color w:val="auto"/>
          <w:highlight w:val="none"/>
        </w:rPr>
        <w:t>投标文件</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pPr>
        <w:pStyle w:val="5"/>
        <w:rPr>
          <w:color w:val="auto"/>
          <w:highlight w:val="none"/>
        </w:rPr>
      </w:pPr>
      <w:bookmarkStart w:id="325" w:name="_Toc2343"/>
      <w:bookmarkStart w:id="326" w:name="_Toc15668"/>
      <w:bookmarkStart w:id="327" w:name="_Toc16929"/>
      <w:bookmarkStart w:id="328" w:name="_Toc24076"/>
      <w:bookmarkStart w:id="329" w:name="_Toc247513971"/>
      <w:bookmarkStart w:id="330" w:name="_Toc26505"/>
      <w:bookmarkStart w:id="331" w:name="_Toc144974515"/>
      <w:bookmarkStart w:id="332" w:name="_Toc494371533"/>
      <w:bookmarkStart w:id="333" w:name="_Toc21128"/>
      <w:bookmarkStart w:id="334" w:name="_Toc247527572"/>
      <w:bookmarkStart w:id="335" w:name="_Toc4137"/>
      <w:bookmarkStart w:id="336" w:name="_Toc3199"/>
      <w:bookmarkStart w:id="337" w:name="_Toc152045547"/>
      <w:bookmarkStart w:id="338" w:name="_Toc152042323"/>
      <w:bookmarkStart w:id="339" w:name="_Toc300834968"/>
      <w:bookmarkStart w:id="340" w:name="_Toc10837"/>
      <w:bookmarkStart w:id="341" w:name="_Toc18809"/>
      <w:r>
        <w:rPr>
          <w:rFonts w:ascii="Times New Roman" w:hAnsi="Times New Roman"/>
          <w:color w:val="auto"/>
          <w:highlight w:val="none"/>
        </w:rPr>
        <w:t>3.1</w:t>
      </w:r>
      <w:r>
        <w:rPr>
          <w:color w:val="auto"/>
          <w:highlight w:val="none"/>
        </w:rPr>
        <w:t xml:space="preserve"> 投标文件的组成</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pPr>
        <w:spacing w:line="400" w:lineRule="exact"/>
        <w:ind w:firstLine="420" w:firstLineChars="200"/>
        <w:rPr>
          <w:color w:val="auto"/>
          <w:highlight w:val="none"/>
        </w:rPr>
      </w:pPr>
      <w:r>
        <w:rPr>
          <w:rFonts w:hint="eastAsia"/>
          <w:color w:val="auto"/>
          <w:highlight w:val="none"/>
        </w:rPr>
        <w:t>详见本招标文件第七章“投标文件格式”。</w:t>
      </w:r>
    </w:p>
    <w:p>
      <w:pPr>
        <w:pStyle w:val="5"/>
        <w:rPr>
          <w:color w:val="auto"/>
          <w:highlight w:val="none"/>
        </w:rPr>
      </w:pPr>
      <w:bookmarkStart w:id="342" w:name="_Toc152042324"/>
      <w:bookmarkStart w:id="343" w:name="_Toc7389"/>
      <w:bookmarkStart w:id="344" w:name="_Toc30945"/>
      <w:bookmarkStart w:id="345" w:name="_Toc18309"/>
      <w:bookmarkStart w:id="346" w:name="_Toc247527573"/>
      <w:bookmarkStart w:id="347" w:name="_Toc23649"/>
      <w:bookmarkStart w:id="348" w:name="_Toc1905"/>
      <w:bookmarkStart w:id="349" w:name="_Toc494371534"/>
      <w:bookmarkStart w:id="350" w:name="_Toc31604"/>
      <w:bookmarkStart w:id="351" w:name="_Toc152045548"/>
      <w:bookmarkStart w:id="352" w:name="_Toc247513972"/>
      <w:bookmarkStart w:id="353" w:name="_Toc300834969"/>
      <w:bookmarkStart w:id="354" w:name="_Toc16226"/>
      <w:bookmarkStart w:id="355" w:name="_Toc32538"/>
      <w:bookmarkStart w:id="356" w:name="_Toc144974516"/>
      <w:bookmarkStart w:id="357" w:name="_Toc18850"/>
      <w:bookmarkStart w:id="358" w:name="_Toc27324"/>
      <w:r>
        <w:rPr>
          <w:rFonts w:ascii="Times New Roman" w:hAnsi="Times New Roman"/>
          <w:color w:val="auto"/>
          <w:highlight w:val="none"/>
        </w:rPr>
        <w:t>3.2</w:t>
      </w:r>
      <w:r>
        <w:rPr>
          <w:color w:val="auto"/>
          <w:highlight w:val="none"/>
        </w:rPr>
        <w:t xml:space="preserve"> 投标报价</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pPr>
        <w:spacing w:line="400" w:lineRule="exact"/>
        <w:ind w:firstLine="420" w:firstLineChars="200"/>
        <w:rPr>
          <w:color w:val="auto"/>
          <w:highlight w:val="none"/>
        </w:rPr>
      </w:pPr>
      <w:r>
        <w:rPr>
          <w:color w:val="auto"/>
          <w:highlight w:val="none"/>
        </w:rPr>
        <w:t xml:space="preserve">3.2.1 </w:t>
      </w:r>
      <w:r>
        <w:rPr>
          <w:rFonts w:hint="eastAsia"/>
          <w:color w:val="auto"/>
          <w:highlight w:val="none"/>
        </w:rPr>
        <w:t>本工程的投标报价采用投标须知前附表第10款所规定的方式。</w:t>
      </w:r>
    </w:p>
    <w:p>
      <w:pPr>
        <w:spacing w:line="440" w:lineRule="exact"/>
        <w:ind w:firstLine="420" w:firstLineChars="200"/>
        <w:rPr>
          <w:color w:val="auto"/>
          <w:szCs w:val="21"/>
          <w:highlight w:val="none"/>
        </w:rPr>
      </w:pPr>
      <w:r>
        <w:rPr>
          <w:color w:val="auto"/>
          <w:highlight w:val="none"/>
        </w:rPr>
        <w:t xml:space="preserve">3.2.2 </w:t>
      </w:r>
      <w:r>
        <w:rPr>
          <w:rFonts w:hint="eastAsia"/>
          <w:color w:val="auto"/>
          <w:szCs w:val="21"/>
          <w:highlight w:val="none"/>
        </w:rPr>
        <w:t>投标人应充分了解施工场地的位置、周边环境、道路、装卸、保管、安装限制以及影响投标报价的其他要素。投标人根据投标设计，结合市场情况进行投标报价。</w:t>
      </w:r>
    </w:p>
    <w:p>
      <w:pPr>
        <w:spacing w:line="400" w:lineRule="exact"/>
        <w:ind w:firstLine="420" w:firstLineChars="200"/>
        <w:rPr>
          <w:color w:val="auto"/>
          <w:highlight w:val="none"/>
        </w:rPr>
      </w:pPr>
      <w:r>
        <w:rPr>
          <w:color w:val="auto"/>
          <w:highlight w:val="none"/>
        </w:rPr>
        <w:t xml:space="preserve">3.2.3 </w:t>
      </w:r>
      <w:r>
        <w:rPr>
          <w:rFonts w:hint="eastAsia"/>
          <w:color w:val="auto"/>
          <w:highlight w:val="none"/>
        </w:rPr>
        <w:t>招标人设有最高投标限价的，投标人的投标报价不得超过最高投标限价。</w:t>
      </w:r>
    </w:p>
    <w:p>
      <w:pPr>
        <w:spacing w:line="400" w:lineRule="exact"/>
        <w:ind w:firstLine="420" w:firstLineChars="200"/>
        <w:rPr>
          <w:color w:val="auto"/>
          <w:highlight w:val="none"/>
        </w:rPr>
      </w:pPr>
      <w:r>
        <w:rPr>
          <w:color w:val="auto"/>
          <w:highlight w:val="none"/>
        </w:rPr>
        <w:t xml:space="preserve">3.2.4 </w:t>
      </w:r>
      <w:r>
        <w:rPr>
          <w:rFonts w:hint="eastAsia"/>
          <w:color w:val="auto"/>
          <w:highlight w:val="none"/>
        </w:rPr>
        <w:t>投标报价的其他要求见投标人须知前附表。</w:t>
      </w:r>
    </w:p>
    <w:p>
      <w:pPr>
        <w:pStyle w:val="5"/>
        <w:rPr>
          <w:color w:val="auto"/>
          <w:highlight w:val="none"/>
        </w:rPr>
      </w:pPr>
      <w:bookmarkStart w:id="359" w:name="_Toc1581"/>
      <w:bookmarkStart w:id="360" w:name="_Toc494371535"/>
      <w:bookmarkStart w:id="361" w:name="_Toc300834970"/>
      <w:bookmarkStart w:id="362" w:name="_Toc144974517"/>
      <w:bookmarkStart w:id="363" w:name="_Toc29718"/>
      <w:bookmarkStart w:id="364" w:name="_Toc1280"/>
      <w:bookmarkStart w:id="365" w:name="_Toc152045549"/>
      <w:bookmarkStart w:id="366" w:name="_Toc3740"/>
      <w:bookmarkStart w:id="367" w:name="_Toc152042325"/>
      <w:bookmarkStart w:id="368" w:name="_Toc25305"/>
      <w:bookmarkStart w:id="369" w:name="_Toc5732"/>
      <w:bookmarkStart w:id="370" w:name="_Toc247513973"/>
      <w:bookmarkStart w:id="371" w:name="_Toc15196"/>
      <w:bookmarkStart w:id="372" w:name="_Toc22353"/>
      <w:bookmarkStart w:id="373" w:name="_Toc25744"/>
      <w:bookmarkStart w:id="374" w:name="_Toc247527574"/>
      <w:bookmarkStart w:id="375" w:name="_Toc32500"/>
      <w:r>
        <w:rPr>
          <w:rFonts w:ascii="Times New Roman" w:hAnsi="Times New Roman"/>
          <w:color w:val="auto"/>
          <w:highlight w:val="none"/>
        </w:rPr>
        <w:t>3.3</w:t>
      </w:r>
      <w:r>
        <w:rPr>
          <w:color w:val="auto"/>
          <w:highlight w:val="none"/>
        </w:rPr>
        <w:t xml:space="preserve"> 投标有效期</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pPr>
        <w:spacing w:line="400" w:lineRule="exact"/>
        <w:ind w:firstLine="420" w:firstLineChars="200"/>
        <w:rPr>
          <w:color w:val="auto"/>
          <w:highlight w:val="none"/>
        </w:rPr>
      </w:pPr>
      <w:r>
        <w:rPr>
          <w:color w:val="auto"/>
          <w:highlight w:val="none"/>
        </w:rPr>
        <w:t xml:space="preserve">3.3.1 </w:t>
      </w:r>
      <w:r>
        <w:rPr>
          <w:rFonts w:hint="eastAsia"/>
          <w:color w:val="auto"/>
          <w:highlight w:val="none"/>
        </w:rPr>
        <w:t>投标有效期按须知前附表的规定。</w:t>
      </w:r>
    </w:p>
    <w:p>
      <w:pPr>
        <w:spacing w:line="400" w:lineRule="exact"/>
        <w:ind w:firstLine="420" w:firstLineChars="200"/>
        <w:rPr>
          <w:color w:val="auto"/>
          <w:highlight w:val="none"/>
        </w:rPr>
      </w:pPr>
      <w:r>
        <w:rPr>
          <w:color w:val="auto"/>
          <w:highlight w:val="none"/>
        </w:rPr>
        <w:t xml:space="preserve">3.3.2 </w:t>
      </w:r>
      <w:r>
        <w:rPr>
          <w:rFonts w:hint="eastAsia"/>
          <w:color w:val="auto"/>
          <w:highlight w:val="none"/>
        </w:rPr>
        <w:t>在投标有效期内，投标人撤销或修改其投标文件的，应承担招标文件和法律规定的责任。</w:t>
      </w:r>
    </w:p>
    <w:p>
      <w:pPr>
        <w:spacing w:line="400" w:lineRule="exact"/>
        <w:ind w:firstLine="420" w:firstLineChars="200"/>
        <w:rPr>
          <w:color w:val="auto"/>
          <w:highlight w:val="none"/>
        </w:rPr>
      </w:pPr>
      <w:r>
        <w:rPr>
          <w:color w:val="auto"/>
          <w:highlight w:val="none"/>
        </w:rPr>
        <w:t xml:space="preserve">3.3.3 </w:t>
      </w:r>
      <w:r>
        <w:rPr>
          <w:rFonts w:hint="eastAsia"/>
          <w:color w:val="auto"/>
          <w:highlight w:val="none"/>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5"/>
        <w:rPr>
          <w:color w:val="auto"/>
          <w:highlight w:val="none"/>
        </w:rPr>
      </w:pPr>
      <w:bookmarkStart w:id="376" w:name="_Toc152042326"/>
      <w:bookmarkStart w:id="377" w:name="_Toc494371536"/>
      <w:bookmarkStart w:id="378" w:name="_Toc28691"/>
      <w:bookmarkStart w:id="379" w:name="_Toc204"/>
      <w:bookmarkStart w:id="380" w:name="_Toc24047"/>
      <w:bookmarkStart w:id="381" w:name="_Toc144974518"/>
      <w:bookmarkStart w:id="382" w:name="_Toc25607"/>
      <w:bookmarkStart w:id="383" w:name="_Toc300834971"/>
      <w:bookmarkStart w:id="384" w:name="_Toc31983"/>
      <w:bookmarkStart w:id="385" w:name="_Toc13372"/>
      <w:bookmarkStart w:id="386" w:name="_Toc28467"/>
      <w:bookmarkStart w:id="387" w:name="_Toc152045550"/>
      <w:bookmarkStart w:id="388" w:name="_Toc247527575"/>
      <w:bookmarkStart w:id="389" w:name="_Toc247513974"/>
      <w:bookmarkStart w:id="390" w:name="_Toc3081"/>
      <w:bookmarkStart w:id="391" w:name="_Toc31972"/>
      <w:bookmarkStart w:id="392" w:name="_Toc3863"/>
      <w:r>
        <w:rPr>
          <w:rFonts w:ascii="Times New Roman" w:hAnsi="Times New Roman"/>
          <w:color w:val="auto"/>
          <w:highlight w:val="none"/>
        </w:rPr>
        <w:t>3.4</w:t>
      </w:r>
      <w:r>
        <w:rPr>
          <w:color w:val="auto"/>
          <w:highlight w:val="none"/>
        </w:rPr>
        <w:t xml:space="preserve"> 投标保证金</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pPr>
        <w:spacing w:line="400" w:lineRule="exact"/>
        <w:ind w:firstLine="420" w:firstLineChars="200"/>
        <w:rPr>
          <w:color w:val="auto"/>
          <w:highlight w:val="none"/>
        </w:rPr>
      </w:pPr>
      <w:r>
        <w:rPr>
          <w:color w:val="auto"/>
          <w:highlight w:val="none"/>
        </w:rPr>
        <w:t xml:space="preserve">3.4.1 </w:t>
      </w:r>
      <w:r>
        <w:rPr>
          <w:rFonts w:hint="eastAsia"/>
          <w:color w:val="auto"/>
          <w:highlight w:val="none"/>
        </w:rPr>
        <w:t>投标人须在开标前按投标人须知前附表规定的金额、担保形式递交投标保证金。联合体投标的，其投标保证金由主办方递交，并应符合投标人须知前附表的规定。</w:t>
      </w:r>
    </w:p>
    <w:p>
      <w:pPr>
        <w:spacing w:line="400" w:lineRule="exact"/>
        <w:ind w:firstLine="420" w:firstLineChars="200"/>
        <w:rPr>
          <w:color w:val="auto"/>
          <w:highlight w:val="none"/>
        </w:rPr>
      </w:pPr>
      <w:r>
        <w:rPr>
          <w:color w:val="auto"/>
          <w:highlight w:val="none"/>
        </w:rPr>
        <w:t>3.4.</w:t>
      </w:r>
      <w:r>
        <w:rPr>
          <w:rFonts w:hint="eastAsia"/>
          <w:color w:val="auto"/>
          <w:highlight w:val="none"/>
        </w:rPr>
        <w:t>2</w:t>
      </w:r>
      <w:r>
        <w:rPr>
          <w:color w:val="auto"/>
          <w:highlight w:val="none"/>
        </w:rPr>
        <w:t xml:space="preserve"> </w:t>
      </w:r>
      <w:r>
        <w:rPr>
          <w:rFonts w:hint="eastAsia"/>
          <w:color w:val="auto"/>
          <w:highlight w:val="none"/>
        </w:rPr>
        <w:t>有下列情形之一的，投标保证金将不予退还：</w:t>
      </w:r>
    </w:p>
    <w:p>
      <w:pPr>
        <w:spacing w:line="400" w:lineRule="exact"/>
        <w:ind w:firstLine="315" w:firstLineChars="150"/>
        <w:rPr>
          <w:color w:val="auto"/>
          <w:highlight w:val="none"/>
        </w:rPr>
      </w:pPr>
      <w:r>
        <w:rPr>
          <w:rFonts w:hint="eastAsia"/>
          <w:color w:val="auto"/>
          <w:highlight w:val="none"/>
        </w:rPr>
        <w:t>（</w:t>
      </w:r>
      <w:r>
        <w:rPr>
          <w:color w:val="auto"/>
          <w:highlight w:val="none"/>
        </w:rPr>
        <w:t>1</w:t>
      </w:r>
      <w:r>
        <w:rPr>
          <w:rFonts w:hint="eastAsia"/>
          <w:color w:val="auto"/>
          <w:highlight w:val="none"/>
        </w:rPr>
        <w:t>）投标人在投标有效期内撤回投标标书；</w:t>
      </w:r>
    </w:p>
    <w:p>
      <w:pPr>
        <w:spacing w:line="400" w:lineRule="exact"/>
        <w:ind w:firstLine="315" w:firstLineChars="150"/>
        <w:rPr>
          <w:color w:val="auto"/>
          <w:highlight w:val="none"/>
        </w:rPr>
      </w:pPr>
      <w:r>
        <w:rPr>
          <w:rFonts w:hint="eastAsia"/>
          <w:color w:val="auto"/>
          <w:highlight w:val="none"/>
        </w:rPr>
        <w:t>（</w:t>
      </w:r>
      <w:r>
        <w:rPr>
          <w:color w:val="auto"/>
          <w:highlight w:val="none"/>
        </w:rPr>
        <w:t>2</w:t>
      </w:r>
      <w:r>
        <w:rPr>
          <w:rFonts w:hint="eastAsia"/>
          <w:color w:val="auto"/>
          <w:highlight w:val="none"/>
        </w:rPr>
        <w:t>）中标人未在规定期限内按要求递交履约担保；</w:t>
      </w:r>
    </w:p>
    <w:p>
      <w:pPr>
        <w:spacing w:line="400" w:lineRule="exact"/>
        <w:ind w:firstLine="315" w:firstLineChars="150"/>
        <w:rPr>
          <w:color w:val="auto"/>
          <w:highlight w:val="none"/>
        </w:rPr>
      </w:pPr>
      <w:r>
        <w:rPr>
          <w:rFonts w:hint="eastAsia"/>
          <w:color w:val="auto"/>
          <w:highlight w:val="none"/>
        </w:rPr>
        <w:t>（</w:t>
      </w:r>
      <w:r>
        <w:rPr>
          <w:color w:val="auto"/>
          <w:highlight w:val="none"/>
        </w:rPr>
        <w:t>3</w:t>
      </w:r>
      <w:r>
        <w:rPr>
          <w:rFonts w:hint="eastAsia"/>
          <w:color w:val="auto"/>
          <w:highlight w:val="none"/>
        </w:rPr>
        <w:t>）中标人未在规定期限内签署合同协议。</w:t>
      </w:r>
    </w:p>
    <w:p>
      <w:pPr>
        <w:spacing w:line="400" w:lineRule="exact"/>
        <w:ind w:firstLine="315" w:firstLineChars="150"/>
        <w:rPr>
          <w:color w:val="auto"/>
          <w:highlight w:val="none"/>
        </w:rPr>
      </w:pPr>
      <w:r>
        <w:rPr>
          <w:rFonts w:hint="eastAsia"/>
          <w:color w:val="auto"/>
          <w:highlight w:val="none"/>
        </w:rPr>
        <w:t>（</w:t>
      </w:r>
      <w:r>
        <w:rPr>
          <w:color w:val="auto"/>
          <w:highlight w:val="none"/>
        </w:rPr>
        <w:t>4</w:t>
      </w:r>
      <w:r>
        <w:rPr>
          <w:rFonts w:hint="eastAsia"/>
          <w:color w:val="auto"/>
          <w:highlight w:val="none"/>
        </w:rPr>
        <w:t>）投标人在本项目投标过程中有违法违规行为的。</w:t>
      </w:r>
    </w:p>
    <w:p>
      <w:pPr>
        <w:pStyle w:val="5"/>
        <w:rPr>
          <w:color w:val="auto"/>
          <w:highlight w:val="none"/>
        </w:rPr>
      </w:pPr>
      <w:bookmarkStart w:id="393" w:name="_Toc30108"/>
      <w:bookmarkStart w:id="394" w:name="_Toc28635"/>
      <w:bookmarkStart w:id="395" w:name="_Toc300834973"/>
      <w:bookmarkStart w:id="396" w:name="_Toc29993"/>
      <w:bookmarkStart w:id="397" w:name="_Toc494371537"/>
      <w:bookmarkStart w:id="398" w:name="_Toc11498"/>
      <w:bookmarkStart w:id="399" w:name="_Toc955"/>
      <w:bookmarkStart w:id="400" w:name="_Toc24365"/>
      <w:bookmarkStart w:id="401" w:name="_Toc247513976"/>
      <w:bookmarkStart w:id="402" w:name="_Toc152042328"/>
      <w:bookmarkStart w:id="403" w:name="_Toc152045552"/>
      <w:bookmarkStart w:id="404" w:name="_Toc5946"/>
      <w:bookmarkStart w:id="405" w:name="_Toc5908"/>
      <w:bookmarkStart w:id="406" w:name="_Toc247527577"/>
      <w:bookmarkStart w:id="407" w:name="_Toc26931"/>
      <w:bookmarkStart w:id="408" w:name="_Toc144974520"/>
      <w:bookmarkStart w:id="409" w:name="_Toc8480"/>
      <w:r>
        <w:rPr>
          <w:rFonts w:ascii="Times New Roman" w:hAnsi="Times New Roman"/>
          <w:color w:val="auto"/>
          <w:highlight w:val="none"/>
        </w:rPr>
        <w:t>3.5</w:t>
      </w:r>
      <w:r>
        <w:rPr>
          <w:color w:val="auto"/>
          <w:highlight w:val="none"/>
        </w:rPr>
        <w:t xml:space="preserve"> 资格审查资料</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shd w:val="clear" w:color="auto" w:fill="FFFFFF"/>
        </w:rPr>
        <w:t>本项目采用非电子化资格后审，由评标委员会负责对投标人的资格进行审查，</w:t>
      </w:r>
      <w:r>
        <w:rPr>
          <w:rFonts w:hint="eastAsia" w:ascii="宋体" w:hAnsi="宋体"/>
          <w:color w:val="auto"/>
          <w:szCs w:val="21"/>
          <w:highlight w:val="none"/>
        </w:rPr>
        <w:t>评标时只对通过资格审查的投标人进行下一阶段的评审。</w:t>
      </w:r>
    </w:p>
    <w:p>
      <w:pPr>
        <w:pStyle w:val="5"/>
        <w:rPr>
          <w:rFonts w:ascii="Times New Roman" w:hAnsi="Times New Roman"/>
          <w:color w:val="auto"/>
          <w:highlight w:val="none"/>
        </w:rPr>
      </w:pPr>
      <w:bookmarkStart w:id="410" w:name="_Toc300834974"/>
      <w:bookmarkStart w:id="411" w:name="_Toc152045553"/>
      <w:bookmarkStart w:id="412" w:name="_Toc247527578"/>
      <w:bookmarkStart w:id="413" w:name="_Toc247513977"/>
      <w:bookmarkStart w:id="414" w:name="_Toc144974521"/>
      <w:bookmarkStart w:id="415" w:name="_Toc152042329"/>
      <w:r>
        <w:rPr>
          <w:rFonts w:hint="eastAsia" w:ascii="Times New Roman" w:hAnsi="Times New Roman"/>
          <w:color w:val="auto"/>
          <w:highlight w:val="none"/>
        </w:rPr>
        <w:t>3.6 备选投标方案</w:t>
      </w:r>
      <w:bookmarkEnd w:id="410"/>
      <w:bookmarkEnd w:id="411"/>
      <w:bookmarkEnd w:id="412"/>
      <w:bookmarkEnd w:id="413"/>
      <w:bookmarkEnd w:id="414"/>
      <w:bookmarkEnd w:id="415"/>
    </w:p>
    <w:p>
      <w:pPr>
        <w:spacing w:line="360" w:lineRule="auto"/>
        <w:ind w:firstLine="420" w:firstLineChars="200"/>
        <w:rPr>
          <w:strike/>
          <w:color w:val="auto"/>
          <w:highlight w:val="none"/>
        </w:rPr>
      </w:pPr>
      <w:r>
        <w:rPr>
          <w:rFonts w:hint="eastAsia"/>
          <w:color w:val="auto"/>
          <w:highlight w:val="none"/>
        </w:rPr>
        <w:t>除投标人须知前附表另有规定外，投标人不得递交备选投标方案。</w:t>
      </w:r>
    </w:p>
    <w:p>
      <w:pPr>
        <w:pStyle w:val="5"/>
        <w:rPr>
          <w:color w:val="auto"/>
          <w:highlight w:val="none"/>
        </w:rPr>
      </w:pPr>
      <w:bookmarkStart w:id="416" w:name="_Toc32158"/>
      <w:bookmarkStart w:id="417" w:name="_Toc247513978"/>
      <w:bookmarkStart w:id="418" w:name="_Toc300834975"/>
      <w:bookmarkStart w:id="419" w:name="_Toc29948"/>
      <w:bookmarkStart w:id="420" w:name="_Toc247527579"/>
      <w:bookmarkStart w:id="421" w:name="_Toc12571"/>
      <w:bookmarkStart w:id="422" w:name="_Toc152045554"/>
      <w:bookmarkStart w:id="423" w:name="_Toc2595"/>
      <w:bookmarkStart w:id="424" w:name="_Toc1368"/>
      <w:bookmarkStart w:id="425" w:name="_Toc494371539"/>
      <w:bookmarkStart w:id="426" w:name="_Toc4267"/>
      <w:bookmarkStart w:id="427" w:name="_Toc1992"/>
      <w:bookmarkStart w:id="428" w:name="_Toc24511"/>
      <w:bookmarkStart w:id="429" w:name="_Toc152042330"/>
      <w:bookmarkStart w:id="430" w:name="_Toc8230"/>
      <w:bookmarkStart w:id="431" w:name="_Toc6939"/>
      <w:bookmarkStart w:id="432" w:name="_Toc144974522"/>
      <w:r>
        <w:rPr>
          <w:rFonts w:ascii="Times New Roman" w:hAnsi="Times New Roman"/>
          <w:color w:val="auto"/>
          <w:highlight w:val="none"/>
        </w:rPr>
        <w:t>3.7</w:t>
      </w:r>
      <w:r>
        <w:rPr>
          <w:color w:val="auto"/>
          <w:highlight w:val="none"/>
        </w:rPr>
        <w:t xml:space="preserve"> 投标文件的编制</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pPr>
        <w:spacing w:line="400" w:lineRule="exact"/>
        <w:ind w:firstLine="420" w:firstLineChars="200"/>
        <w:rPr>
          <w:color w:val="auto"/>
          <w:highlight w:val="none"/>
        </w:rPr>
      </w:pPr>
      <w:r>
        <w:rPr>
          <w:color w:val="auto"/>
          <w:highlight w:val="none"/>
        </w:rPr>
        <w:t xml:space="preserve">3.7.1 </w:t>
      </w:r>
      <w:r>
        <w:rPr>
          <w:rFonts w:hint="eastAsia"/>
          <w:color w:val="auto"/>
          <w:highlight w:val="none"/>
        </w:rPr>
        <w:t>投标文件应按“投标文件格式”进行编写，如有必要，可以增加附页，作为投标文件的组成部分。其中，投标函附录在满足招标文件实质性要求的基础上，可以提出比招标文件要求更有利于招标人的承诺。</w:t>
      </w:r>
    </w:p>
    <w:p>
      <w:pPr>
        <w:spacing w:line="400" w:lineRule="exact"/>
        <w:ind w:firstLine="420" w:firstLineChars="200"/>
        <w:rPr>
          <w:color w:val="auto"/>
          <w:szCs w:val="21"/>
          <w:highlight w:val="none"/>
        </w:rPr>
      </w:pPr>
      <w:r>
        <w:rPr>
          <w:color w:val="auto"/>
          <w:highlight w:val="none"/>
        </w:rPr>
        <w:t xml:space="preserve">3.7.2 </w:t>
      </w:r>
      <w:r>
        <w:rPr>
          <w:rFonts w:hint="eastAsia"/>
          <w:color w:val="auto"/>
          <w:highlight w:val="none"/>
        </w:rPr>
        <w:t>投标文件应当对招标文件有关</w:t>
      </w:r>
      <w:r>
        <w:rPr>
          <w:rFonts w:hint="eastAsia"/>
          <w:color w:val="auto"/>
          <w:szCs w:val="21"/>
          <w:highlight w:val="none"/>
        </w:rPr>
        <w:t>招标范围、投标有效期、工期、质量标准、发包人要求等实质性内容作出响应。</w:t>
      </w:r>
    </w:p>
    <w:p>
      <w:pPr>
        <w:spacing w:line="400" w:lineRule="exact"/>
        <w:ind w:firstLine="420" w:firstLineChars="200"/>
        <w:rPr>
          <w:color w:val="auto"/>
          <w:highlight w:val="none"/>
        </w:rPr>
      </w:pPr>
      <w:r>
        <w:rPr>
          <w:color w:val="auto"/>
          <w:highlight w:val="none"/>
        </w:rPr>
        <w:t xml:space="preserve">3.7.3 </w:t>
      </w:r>
      <w:r>
        <w:rPr>
          <w:rFonts w:hint="eastAsia"/>
          <w:color w:val="auto"/>
          <w:highlight w:val="none"/>
        </w:rPr>
        <w:t>投标文件编制要求：</w:t>
      </w:r>
    </w:p>
    <w:p>
      <w:pPr>
        <w:spacing w:line="400" w:lineRule="exact"/>
        <w:ind w:firstLine="420" w:firstLineChars="200"/>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1</w:t>
      </w:r>
      <w:r>
        <w:rPr>
          <w:rFonts w:hint="eastAsia" w:ascii="宋体" w:hAnsi="宋体"/>
          <w:color w:val="auto"/>
          <w:highlight w:val="none"/>
        </w:rPr>
        <w:t>）投标文件正本壹份，副本份数见投标人须知前附表。正本和副本的封面上应清楚地标记“正本”或“副本”的字样。当副本和正本不一致时，以正本为准。副本可为是正本签字盖章后的复印件。</w:t>
      </w:r>
    </w:p>
    <w:p>
      <w:pPr>
        <w:spacing w:line="400" w:lineRule="exact"/>
        <w:ind w:firstLine="420" w:firstLineChars="200"/>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2</w:t>
      </w:r>
      <w:r>
        <w:rPr>
          <w:rFonts w:hint="eastAsia" w:ascii="宋体" w:hAnsi="宋体"/>
          <w:color w:val="auto"/>
          <w:highlight w:val="none"/>
        </w:rPr>
        <w:t>）投标文件的正本与副本应分别装订成册，</w:t>
      </w:r>
      <w:r>
        <w:rPr>
          <w:rFonts w:hint="eastAsia" w:ascii="宋体" w:hAnsi="宋体"/>
          <w:color w:val="auto"/>
          <w:szCs w:val="21"/>
          <w:highlight w:val="none"/>
        </w:rPr>
        <w:t>各册独立装订的投标文件均采用不易松散的书式装订</w:t>
      </w:r>
      <w:r>
        <w:rPr>
          <w:rFonts w:hint="eastAsia" w:ascii="宋体" w:hAnsi="宋体"/>
          <w:color w:val="auto"/>
          <w:highlight w:val="none"/>
        </w:rPr>
        <w:t>。</w:t>
      </w:r>
    </w:p>
    <w:p>
      <w:pPr>
        <w:spacing w:line="400" w:lineRule="exact"/>
        <w:ind w:firstLine="420" w:firstLineChars="200"/>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）投标文件的规格：资格审查文件、工程总承包实施方案（含资信部分）文件、投标报价文件统一</w:t>
      </w:r>
      <w:r>
        <w:rPr>
          <w:rFonts w:ascii="宋体" w:hAnsi="宋体"/>
          <w:color w:val="auto"/>
          <w:highlight w:val="none"/>
        </w:rPr>
        <w:t>A4</w:t>
      </w:r>
      <w:r>
        <w:rPr>
          <w:rFonts w:hint="eastAsia" w:ascii="宋体" w:hAnsi="宋体"/>
          <w:color w:val="auto"/>
          <w:highlight w:val="none"/>
        </w:rPr>
        <w:t>印刷本，纸质封面，封面</w:t>
      </w:r>
      <w:r>
        <w:rPr>
          <w:rFonts w:hint="eastAsia" w:ascii="宋体" w:hAnsi="宋体"/>
          <w:color w:val="auto"/>
          <w:szCs w:val="21"/>
          <w:highlight w:val="none"/>
        </w:rPr>
        <w:t>格式见第七章</w:t>
      </w:r>
      <w:r>
        <w:rPr>
          <w:rFonts w:ascii="宋体" w:hAnsi="宋体"/>
          <w:color w:val="auto"/>
          <w:highlight w:val="none"/>
        </w:rPr>
        <w:t>,</w:t>
      </w:r>
      <w:r>
        <w:rPr>
          <w:rFonts w:hint="eastAsia" w:ascii="宋体" w:hAnsi="宋体"/>
          <w:color w:val="auto"/>
          <w:highlight w:val="none"/>
        </w:rPr>
        <w:t>使用书式装订。</w:t>
      </w:r>
    </w:p>
    <w:p>
      <w:pPr>
        <w:spacing w:line="400" w:lineRule="exact"/>
        <w:ind w:firstLine="420" w:firstLineChars="200"/>
        <w:rPr>
          <w:rFonts w:ascii="宋体" w:hAnsi="宋体"/>
          <w:color w:val="auto"/>
          <w:highlight w:val="none"/>
        </w:rPr>
      </w:pPr>
      <w:r>
        <w:rPr>
          <w:rFonts w:ascii="宋体" w:hAnsi="宋体"/>
          <w:color w:val="auto"/>
          <w:highlight w:val="none"/>
        </w:rPr>
        <w:t xml:space="preserve">3.7.4 </w:t>
      </w:r>
      <w:r>
        <w:rPr>
          <w:rFonts w:hint="eastAsia" w:ascii="宋体" w:hAnsi="宋体"/>
          <w:color w:val="auto"/>
          <w:highlight w:val="none"/>
        </w:rPr>
        <w:t>投标文件份数：按须知前附表的规定。</w:t>
      </w:r>
    </w:p>
    <w:p>
      <w:pPr>
        <w:spacing w:line="400" w:lineRule="exact"/>
        <w:ind w:firstLine="422" w:firstLineChars="200"/>
        <w:rPr>
          <w:b/>
          <w:bCs/>
          <w:color w:val="auto"/>
          <w:highlight w:val="none"/>
          <w:u w:val="single"/>
        </w:rPr>
      </w:pPr>
      <w:r>
        <w:rPr>
          <w:rFonts w:ascii="宋体" w:hAnsi="宋体"/>
          <w:b/>
          <w:bCs/>
          <w:color w:val="auto"/>
          <w:highlight w:val="none"/>
        </w:rPr>
        <w:t>3.7.5</w:t>
      </w:r>
      <w:r>
        <w:rPr>
          <w:rFonts w:hint="eastAsia" w:ascii="宋体" w:hAnsi="宋体"/>
          <w:b/>
          <w:bCs/>
          <w:color w:val="auto"/>
          <w:highlight w:val="none"/>
        </w:rPr>
        <w:t>联合体投标时，除联合体工作协议必须联合体各方分别按要求进行签字或盖章外，其他资料若需要签字或盖章的均可联由合体主办方签字或盖章；投标资料封面及其他内容及落款中的“投标人或投标单位”应填写联合体各方的单位全称【格式示例为：(主)XXXX公司(成)XXXX公司,XXXX公司】，由联合体主办方签字或盖章即可。</w:t>
      </w:r>
    </w:p>
    <w:p>
      <w:pPr>
        <w:pStyle w:val="4"/>
        <w:rPr>
          <w:color w:val="auto"/>
          <w:highlight w:val="none"/>
        </w:rPr>
      </w:pPr>
      <w:bookmarkStart w:id="433" w:name="_Toc24355"/>
      <w:bookmarkStart w:id="434" w:name="_Toc2578"/>
      <w:bookmarkStart w:id="435" w:name="_Toc9443"/>
      <w:bookmarkStart w:id="436" w:name="_Toc144974523"/>
      <w:bookmarkStart w:id="437" w:name="_Toc152045555"/>
      <w:bookmarkStart w:id="438" w:name="_Toc300834976"/>
      <w:bookmarkStart w:id="439" w:name="_Toc26855"/>
      <w:bookmarkStart w:id="440" w:name="_Toc247513979"/>
      <w:bookmarkStart w:id="441" w:name="_Toc494371540"/>
      <w:bookmarkStart w:id="442" w:name="_Toc152042331"/>
      <w:bookmarkStart w:id="443" w:name="_Toc16206"/>
      <w:bookmarkStart w:id="444" w:name="_Toc24913"/>
      <w:bookmarkStart w:id="445" w:name="_Toc28527"/>
      <w:bookmarkStart w:id="446" w:name="_Toc11889"/>
      <w:bookmarkStart w:id="447" w:name="_Toc28992"/>
      <w:bookmarkStart w:id="448" w:name="_Toc24077"/>
      <w:bookmarkStart w:id="449" w:name="_Toc247527580"/>
      <w:bookmarkStart w:id="450" w:name="_Toc10739"/>
      <w:bookmarkStart w:id="451" w:name="_Toc21390"/>
      <w:r>
        <w:rPr>
          <w:color w:val="auto"/>
          <w:highlight w:val="none"/>
        </w:rPr>
        <w:t xml:space="preserve">4. </w:t>
      </w:r>
      <w:r>
        <w:rPr>
          <w:rFonts w:hint="eastAsia"/>
          <w:color w:val="auto"/>
          <w:highlight w:val="none"/>
        </w:rPr>
        <w:t>投标</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pPr>
        <w:pStyle w:val="5"/>
        <w:spacing w:before="0" w:after="0" w:line="360" w:lineRule="auto"/>
        <w:rPr>
          <w:color w:val="auto"/>
          <w:highlight w:val="none"/>
        </w:rPr>
      </w:pPr>
      <w:bookmarkStart w:id="452" w:name="_Toc152042332"/>
      <w:bookmarkStart w:id="453" w:name="_Toc300834977"/>
      <w:bookmarkStart w:id="454" w:name="_Toc144974524"/>
      <w:bookmarkStart w:id="455" w:name="_Toc247527581"/>
      <w:bookmarkStart w:id="456" w:name="_Toc152045556"/>
      <w:bookmarkStart w:id="457" w:name="_Toc247513980"/>
      <w:bookmarkStart w:id="458" w:name="_Toc7700"/>
      <w:bookmarkStart w:id="459" w:name="_Toc300834978"/>
      <w:bookmarkStart w:id="460" w:name="_Toc2556"/>
      <w:bookmarkStart w:id="461" w:name="_Toc152042333"/>
      <w:bookmarkStart w:id="462" w:name="_Toc247513981"/>
      <w:bookmarkStart w:id="463" w:name="_Toc247527582"/>
      <w:bookmarkStart w:id="464" w:name="_Toc17435"/>
      <w:bookmarkStart w:id="465" w:name="_Toc152045557"/>
      <w:bookmarkStart w:id="466" w:name="_Toc144974525"/>
      <w:bookmarkStart w:id="467" w:name="_Toc20865"/>
      <w:bookmarkStart w:id="468" w:name="_Toc16217"/>
      <w:bookmarkStart w:id="469" w:name="_Toc17033"/>
      <w:r>
        <w:rPr>
          <w:rFonts w:hint="eastAsia" w:hAnsi="黑体" w:cs="黑体"/>
          <w:color w:val="auto"/>
          <w:highlight w:val="none"/>
        </w:rPr>
        <w:t>4.1 投标文件的密封和标记</w:t>
      </w:r>
      <w:bookmarkEnd w:id="452"/>
      <w:bookmarkEnd w:id="453"/>
      <w:bookmarkEnd w:id="454"/>
      <w:bookmarkEnd w:id="455"/>
      <w:bookmarkEnd w:id="456"/>
      <w:bookmarkEnd w:id="457"/>
    </w:p>
    <w:p>
      <w:pPr>
        <w:spacing w:line="400" w:lineRule="exact"/>
        <w:ind w:firstLine="420" w:firstLineChars="200"/>
        <w:rPr>
          <w:rFonts w:ascii="宋体" w:hAnsi="宋体"/>
          <w:color w:val="auto"/>
          <w:highlight w:val="none"/>
        </w:rPr>
      </w:pPr>
      <w:r>
        <w:rPr>
          <w:rFonts w:hint="eastAsia" w:ascii="宋体" w:hAnsi="宋体"/>
          <w:color w:val="auto"/>
          <w:highlight w:val="none"/>
        </w:rPr>
        <w:t>4.1.1 投标文件应进行包装、加贴封条，并在封套的封口处加盖投标人单位章。</w:t>
      </w:r>
    </w:p>
    <w:p>
      <w:pPr>
        <w:spacing w:line="400" w:lineRule="exact"/>
        <w:ind w:firstLine="420" w:firstLineChars="200"/>
        <w:rPr>
          <w:rFonts w:ascii="宋体" w:hAnsi="宋体"/>
          <w:color w:val="auto"/>
          <w:highlight w:val="none"/>
        </w:rPr>
      </w:pPr>
      <w:r>
        <w:rPr>
          <w:rFonts w:hint="eastAsia" w:ascii="宋体" w:hAnsi="宋体"/>
          <w:color w:val="auto"/>
          <w:highlight w:val="none"/>
        </w:rPr>
        <w:t>4.1.2 投标文件封套上应写明的内容见投标人须知前附表。</w:t>
      </w:r>
    </w:p>
    <w:p>
      <w:pPr>
        <w:spacing w:line="400" w:lineRule="exact"/>
        <w:ind w:firstLine="420" w:firstLineChars="200"/>
        <w:rPr>
          <w:rFonts w:ascii="宋体" w:hAnsi="宋体"/>
          <w:color w:val="auto"/>
          <w:highlight w:val="none"/>
        </w:rPr>
      </w:pPr>
      <w:r>
        <w:rPr>
          <w:rFonts w:hint="eastAsia" w:ascii="宋体" w:hAnsi="宋体"/>
          <w:color w:val="auto"/>
          <w:highlight w:val="none"/>
        </w:rPr>
        <w:t>4.1.3 未按本章第4.1.1项或第4.1.2项要求密封和加写标记的投标文件，招标人不予受理。</w:t>
      </w:r>
    </w:p>
    <w:p>
      <w:pPr>
        <w:pStyle w:val="5"/>
        <w:rPr>
          <w:rFonts w:ascii="Times New Roman" w:hAnsi="Times New Roman"/>
          <w:color w:val="auto"/>
          <w:highlight w:val="none"/>
        </w:rPr>
      </w:pPr>
      <w:r>
        <w:rPr>
          <w:rFonts w:ascii="Times New Roman" w:hAnsi="Times New Roman"/>
          <w:color w:val="auto"/>
          <w:highlight w:val="none"/>
        </w:rPr>
        <w:t xml:space="preserve">4.2 </w:t>
      </w:r>
      <w:r>
        <w:rPr>
          <w:rFonts w:hint="eastAsia" w:ascii="Times New Roman" w:hAnsi="Times New Roman"/>
          <w:color w:val="auto"/>
          <w:highlight w:val="none"/>
        </w:rPr>
        <w:t>投标文件的递交</w:t>
      </w:r>
      <w:bookmarkEnd w:id="458"/>
      <w:bookmarkEnd w:id="459"/>
      <w:bookmarkEnd w:id="460"/>
      <w:bookmarkEnd w:id="461"/>
      <w:bookmarkEnd w:id="462"/>
      <w:bookmarkEnd w:id="463"/>
      <w:bookmarkEnd w:id="464"/>
      <w:bookmarkEnd w:id="465"/>
      <w:bookmarkEnd w:id="466"/>
      <w:bookmarkEnd w:id="467"/>
      <w:bookmarkEnd w:id="468"/>
      <w:bookmarkEnd w:id="469"/>
    </w:p>
    <w:p>
      <w:pPr>
        <w:spacing w:line="400" w:lineRule="exact"/>
        <w:ind w:firstLine="420" w:firstLineChars="200"/>
        <w:rPr>
          <w:rFonts w:ascii="宋体" w:hAnsi="宋体"/>
          <w:color w:val="auto"/>
          <w:highlight w:val="none"/>
        </w:rPr>
      </w:pPr>
      <w:r>
        <w:rPr>
          <w:color w:val="auto"/>
          <w:highlight w:val="none"/>
        </w:rPr>
        <w:t xml:space="preserve">4.2.1 </w:t>
      </w:r>
      <w:r>
        <w:rPr>
          <w:rFonts w:hint="eastAsia" w:ascii="宋体" w:hAnsi="宋体"/>
          <w:color w:val="auto"/>
          <w:highlight w:val="none"/>
        </w:rPr>
        <w:t>投标人代表应按投标须知前附表所规定的时间和地点向招标人提交投标文件。</w:t>
      </w:r>
    </w:p>
    <w:p>
      <w:pPr>
        <w:spacing w:line="400" w:lineRule="exact"/>
        <w:ind w:firstLine="420" w:firstLineChars="200"/>
        <w:rPr>
          <w:rFonts w:ascii="宋体" w:hAnsi="宋体"/>
          <w:color w:val="auto"/>
          <w:highlight w:val="none"/>
        </w:rPr>
      </w:pPr>
      <w:r>
        <w:rPr>
          <w:rFonts w:hint="eastAsia" w:ascii="宋体" w:hAnsi="宋体"/>
          <w:color w:val="auto"/>
          <w:highlight w:val="none"/>
        </w:rPr>
        <w:t>投标人代表应由投标人法定代表人或法定代表人书面授权的委托代理人担任。法定代表人应凭本人身份证和法定代表人证明书原件</w:t>
      </w:r>
      <w:r>
        <w:rPr>
          <w:rFonts w:hint="eastAsia" w:ascii="宋体" w:hAnsi="宋体"/>
          <w:bCs/>
          <w:color w:val="auto"/>
          <w:highlight w:val="none"/>
        </w:rPr>
        <w:t>提交</w:t>
      </w:r>
      <w:r>
        <w:rPr>
          <w:rFonts w:hint="eastAsia" w:ascii="宋体" w:hAnsi="宋体"/>
          <w:color w:val="auto"/>
          <w:highlight w:val="none"/>
        </w:rPr>
        <w:t>投标文件。委托代理人应凭本人身份证、法定代表人证明书原件和法定代表人授权委托证明书原件</w:t>
      </w:r>
      <w:r>
        <w:rPr>
          <w:rFonts w:hint="eastAsia" w:ascii="宋体" w:hAnsi="宋体"/>
          <w:bCs/>
          <w:color w:val="auto"/>
          <w:highlight w:val="none"/>
        </w:rPr>
        <w:t>提交</w:t>
      </w:r>
      <w:r>
        <w:rPr>
          <w:rFonts w:hint="eastAsia" w:ascii="宋体" w:hAnsi="宋体"/>
          <w:color w:val="auto"/>
          <w:highlight w:val="none"/>
        </w:rPr>
        <w:t>投标文件。</w:t>
      </w:r>
    </w:p>
    <w:p>
      <w:pPr>
        <w:spacing w:line="400" w:lineRule="exact"/>
        <w:ind w:firstLine="420" w:firstLineChars="200"/>
        <w:rPr>
          <w:color w:val="auto"/>
          <w:highlight w:val="none"/>
        </w:rPr>
      </w:pPr>
      <w:r>
        <w:rPr>
          <w:color w:val="auto"/>
          <w:highlight w:val="none"/>
        </w:rPr>
        <w:t xml:space="preserve">4.2.2 </w:t>
      </w:r>
      <w:r>
        <w:rPr>
          <w:rFonts w:hint="eastAsia"/>
          <w:color w:val="auto"/>
          <w:highlight w:val="none"/>
        </w:rPr>
        <w:t>投标人递交投标文件的地点：见投标人须知前附表。</w:t>
      </w:r>
    </w:p>
    <w:p>
      <w:pPr>
        <w:spacing w:line="400" w:lineRule="exact"/>
        <w:ind w:firstLine="420" w:firstLineChars="200"/>
        <w:rPr>
          <w:color w:val="auto"/>
          <w:highlight w:val="none"/>
        </w:rPr>
      </w:pPr>
      <w:r>
        <w:rPr>
          <w:color w:val="auto"/>
          <w:highlight w:val="none"/>
        </w:rPr>
        <w:t xml:space="preserve">4.2.3 </w:t>
      </w:r>
      <w:r>
        <w:rPr>
          <w:rFonts w:hint="eastAsia"/>
          <w:color w:val="auto"/>
          <w:highlight w:val="none"/>
        </w:rPr>
        <w:t>除投标人须知前附表另有规定外，投标人所递交的投标文件不予退还。</w:t>
      </w:r>
    </w:p>
    <w:p>
      <w:pPr>
        <w:spacing w:line="400" w:lineRule="exact"/>
        <w:ind w:firstLine="420" w:firstLineChars="200"/>
        <w:rPr>
          <w:color w:val="auto"/>
          <w:highlight w:val="none"/>
        </w:rPr>
      </w:pPr>
      <w:r>
        <w:rPr>
          <w:color w:val="auto"/>
          <w:highlight w:val="none"/>
        </w:rPr>
        <w:t xml:space="preserve">4.2.4 </w:t>
      </w:r>
      <w:r>
        <w:rPr>
          <w:rFonts w:hint="eastAsia"/>
          <w:color w:val="auto"/>
          <w:highlight w:val="none"/>
        </w:rPr>
        <w:t>逾期送达的或者未送达指定地点的投标文件，招标人不予受理。</w:t>
      </w:r>
    </w:p>
    <w:p>
      <w:pPr>
        <w:spacing w:line="400" w:lineRule="exact"/>
        <w:ind w:firstLine="420" w:firstLineChars="200"/>
        <w:rPr>
          <w:rFonts w:ascii="宋体" w:hAnsi="宋体"/>
          <w:color w:val="auto"/>
          <w:highlight w:val="none"/>
        </w:rPr>
      </w:pPr>
      <w:r>
        <w:rPr>
          <w:color w:val="auto"/>
          <w:highlight w:val="none"/>
        </w:rPr>
        <w:t>4.2.5</w:t>
      </w:r>
      <w:r>
        <w:rPr>
          <w:rFonts w:ascii="宋体" w:hAnsi="宋体"/>
          <w:color w:val="auto"/>
          <w:highlight w:val="none"/>
        </w:rPr>
        <w:t xml:space="preserve"> 若出现以下情况，招标人将拒绝接收投标文件：</w:t>
      </w:r>
    </w:p>
    <w:p>
      <w:pPr>
        <w:spacing w:line="400" w:lineRule="exact"/>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1）在投标截止期后逾期或未在指定地点递交投标文件的；</w:t>
      </w:r>
    </w:p>
    <w:p>
      <w:pPr>
        <w:spacing w:line="400" w:lineRule="exact"/>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2）投标文件未按招标文件要求密封的；</w:t>
      </w:r>
    </w:p>
    <w:p>
      <w:pPr>
        <w:spacing w:line="400" w:lineRule="exact"/>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3）投标人代表未按要求签到的；</w:t>
      </w:r>
    </w:p>
    <w:p>
      <w:pPr>
        <w:spacing w:line="400" w:lineRule="exact"/>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4）在投标截止期前，法定代表人提交投标文件，未同时提交本人身份证和法定代表人证明书原件，或委托代理人提交投标文件，未同时提交本人身份证、法定代表人证明书原件和法定代表人授权委托证明书原件的；</w:t>
      </w:r>
    </w:p>
    <w:p>
      <w:pPr>
        <w:spacing w:line="400" w:lineRule="exact"/>
        <w:ind w:firstLine="420" w:firstLineChars="200"/>
        <w:rPr>
          <w:rFonts w:ascii="宋体" w:hAnsi="宋体"/>
          <w:color w:val="auto"/>
          <w:highlight w:val="none"/>
          <w:u w:val="single"/>
        </w:rPr>
      </w:pPr>
      <w:r>
        <w:rPr>
          <w:rFonts w:hint="eastAsia" w:ascii="宋体" w:hAnsi="宋体"/>
          <w:color w:val="auto"/>
          <w:highlight w:val="none"/>
        </w:rPr>
        <w:t>（5）投标人未成功办理投标登记手续的。</w:t>
      </w:r>
    </w:p>
    <w:p>
      <w:pPr>
        <w:spacing w:line="400" w:lineRule="exact"/>
        <w:ind w:firstLine="420" w:firstLineChars="200"/>
        <w:rPr>
          <w:rFonts w:ascii="宋体"/>
          <w:color w:val="auto"/>
          <w:highlight w:val="none"/>
        </w:rPr>
      </w:pPr>
      <w:r>
        <w:rPr>
          <w:rFonts w:hint="eastAsia" w:ascii="宋体"/>
          <w:color w:val="auto"/>
          <w:highlight w:val="none"/>
        </w:rPr>
        <w:t>4.2.6投标截止前，招标人拒绝接收符合条件的投标文件，投标人可向招标监督机构投诉。</w:t>
      </w:r>
    </w:p>
    <w:p>
      <w:pPr>
        <w:spacing w:line="400" w:lineRule="exact"/>
        <w:ind w:firstLine="420" w:firstLineChars="200"/>
        <w:rPr>
          <w:rFonts w:ascii="宋体" w:hAnsi="宋体"/>
          <w:color w:val="auto"/>
          <w:highlight w:val="none"/>
          <w:u w:val="single"/>
        </w:rPr>
      </w:pPr>
      <w:r>
        <w:rPr>
          <w:rFonts w:hint="eastAsia" w:ascii="宋体"/>
          <w:color w:val="auto"/>
          <w:highlight w:val="none"/>
        </w:rPr>
        <w:t>4.2.7到投标截止时间止，若收到的投标文件少于3家的，本项目招标失败，将依法重新招标。</w:t>
      </w:r>
    </w:p>
    <w:p>
      <w:pPr>
        <w:pStyle w:val="5"/>
        <w:rPr>
          <w:color w:val="auto"/>
          <w:highlight w:val="none"/>
        </w:rPr>
      </w:pPr>
      <w:bookmarkStart w:id="470" w:name="_Toc29774"/>
      <w:bookmarkStart w:id="471" w:name="_Toc3022"/>
      <w:bookmarkStart w:id="472" w:name="_Toc23867"/>
      <w:bookmarkStart w:id="473" w:name="_Toc27188"/>
      <w:bookmarkStart w:id="474" w:name="_Toc144974526"/>
      <w:bookmarkStart w:id="475" w:name="_Toc24863"/>
      <w:bookmarkStart w:id="476" w:name="_Toc152045558"/>
      <w:bookmarkStart w:id="477" w:name="_Toc300834979"/>
      <w:bookmarkStart w:id="478" w:name="_Toc29846"/>
      <w:bookmarkStart w:id="479" w:name="_Toc1732"/>
      <w:bookmarkStart w:id="480" w:name="_Toc28821"/>
      <w:bookmarkStart w:id="481" w:name="_Toc13098"/>
      <w:bookmarkStart w:id="482" w:name="_Toc25096"/>
      <w:bookmarkStart w:id="483" w:name="_Toc152042334"/>
      <w:bookmarkStart w:id="484" w:name="_Toc494371542"/>
      <w:bookmarkStart w:id="485" w:name="_Toc247527583"/>
      <w:bookmarkStart w:id="486" w:name="_Toc247513982"/>
      <w:r>
        <w:rPr>
          <w:rFonts w:ascii="Times New Roman" w:hAnsi="Times New Roman"/>
          <w:color w:val="auto"/>
          <w:highlight w:val="none"/>
        </w:rPr>
        <w:t>4.3</w:t>
      </w:r>
      <w:r>
        <w:rPr>
          <w:color w:val="auto"/>
          <w:highlight w:val="none"/>
        </w:rPr>
        <w:t xml:space="preserve"> 投标文件的修改与撤回</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pPr>
        <w:spacing w:line="400" w:lineRule="exact"/>
        <w:ind w:firstLine="420" w:firstLineChars="200"/>
        <w:rPr>
          <w:color w:val="auto"/>
          <w:highlight w:val="none"/>
        </w:rPr>
      </w:pPr>
      <w:r>
        <w:rPr>
          <w:color w:val="auto"/>
          <w:highlight w:val="none"/>
        </w:rPr>
        <w:t xml:space="preserve">4.3.1 </w:t>
      </w:r>
      <w:r>
        <w:rPr>
          <w:rFonts w:hint="eastAsia"/>
          <w:color w:val="auto"/>
          <w:highlight w:val="none"/>
        </w:rPr>
        <w:t>在规定的投标截止时间前，投标人可以修改或撤回已递交的投标文件，但应以书面形式通知招标人。</w:t>
      </w:r>
    </w:p>
    <w:p>
      <w:pPr>
        <w:spacing w:line="400" w:lineRule="exact"/>
        <w:ind w:firstLine="420" w:firstLineChars="200"/>
        <w:rPr>
          <w:color w:val="auto"/>
          <w:highlight w:val="none"/>
        </w:rPr>
      </w:pPr>
      <w:r>
        <w:rPr>
          <w:color w:val="auto"/>
          <w:highlight w:val="none"/>
        </w:rPr>
        <w:t xml:space="preserve">4.3.2 </w:t>
      </w:r>
      <w:r>
        <w:rPr>
          <w:rFonts w:hint="eastAsia"/>
          <w:color w:val="auto"/>
          <w:highlight w:val="none"/>
        </w:rPr>
        <w:t>投标人修改或撤回已递交投标文件的书面通知应按照本章第</w:t>
      </w:r>
      <w:r>
        <w:rPr>
          <w:color w:val="auto"/>
          <w:highlight w:val="none"/>
        </w:rPr>
        <w:t>3.7.3</w:t>
      </w:r>
      <w:r>
        <w:rPr>
          <w:rFonts w:hint="eastAsia"/>
          <w:color w:val="auto"/>
          <w:highlight w:val="none"/>
        </w:rPr>
        <w:t>项的要求签字或盖章。招标人收到书面通知后，向投标人出具签收凭证。</w:t>
      </w:r>
    </w:p>
    <w:p>
      <w:pPr>
        <w:spacing w:line="400" w:lineRule="exact"/>
        <w:ind w:firstLine="420" w:firstLineChars="200"/>
        <w:rPr>
          <w:color w:val="auto"/>
          <w:highlight w:val="none"/>
        </w:rPr>
      </w:pPr>
      <w:r>
        <w:rPr>
          <w:color w:val="auto"/>
          <w:highlight w:val="none"/>
        </w:rPr>
        <w:t xml:space="preserve">4.3.3 </w:t>
      </w:r>
      <w:r>
        <w:rPr>
          <w:rFonts w:hint="eastAsia"/>
          <w:color w:val="auto"/>
          <w:highlight w:val="none"/>
        </w:rPr>
        <w:t>投标人撤回投标文件的，招标人自收到投标人书面撤回通知之日起</w:t>
      </w:r>
      <w:r>
        <w:rPr>
          <w:color w:val="auto"/>
          <w:highlight w:val="none"/>
        </w:rPr>
        <w:t>5</w:t>
      </w:r>
      <w:r>
        <w:rPr>
          <w:rFonts w:hint="eastAsia"/>
          <w:color w:val="auto"/>
          <w:highlight w:val="none"/>
        </w:rPr>
        <w:t>日内退还已收取的投标保证金。</w:t>
      </w:r>
    </w:p>
    <w:p>
      <w:pPr>
        <w:spacing w:line="400" w:lineRule="exact"/>
        <w:ind w:firstLine="420" w:firstLineChars="200"/>
        <w:rPr>
          <w:color w:val="auto"/>
          <w:highlight w:val="none"/>
        </w:rPr>
      </w:pPr>
      <w:r>
        <w:rPr>
          <w:color w:val="auto"/>
          <w:highlight w:val="none"/>
        </w:rPr>
        <w:t xml:space="preserve">4.3.4 </w:t>
      </w:r>
      <w:r>
        <w:rPr>
          <w:rFonts w:hint="eastAsia"/>
          <w:color w:val="auto"/>
          <w:highlight w:val="none"/>
        </w:rPr>
        <w:t>修改的内容为投标文件的组成部分。修改的投标文件应按照本章第</w:t>
      </w:r>
      <w:r>
        <w:rPr>
          <w:color w:val="auto"/>
          <w:highlight w:val="none"/>
        </w:rPr>
        <w:t>3</w:t>
      </w:r>
      <w:r>
        <w:rPr>
          <w:rFonts w:hint="eastAsia"/>
          <w:color w:val="auto"/>
          <w:highlight w:val="none"/>
        </w:rPr>
        <w:t>条、第</w:t>
      </w:r>
      <w:r>
        <w:rPr>
          <w:color w:val="auto"/>
          <w:highlight w:val="none"/>
        </w:rPr>
        <w:t>4</w:t>
      </w:r>
      <w:r>
        <w:rPr>
          <w:rFonts w:hint="eastAsia"/>
          <w:color w:val="auto"/>
          <w:highlight w:val="none"/>
        </w:rPr>
        <w:t>条规定进行编制、密封、标记和递交，并标明“修改”字样。</w:t>
      </w:r>
    </w:p>
    <w:p>
      <w:pPr>
        <w:spacing w:line="400" w:lineRule="exact"/>
        <w:ind w:firstLine="420" w:firstLineChars="200"/>
        <w:rPr>
          <w:rFonts w:ascii="宋体" w:hAnsi="宋体"/>
          <w:color w:val="auto"/>
          <w:highlight w:val="none"/>
        </w:rPr>
      </w:pPr>
      <w:r>
        <w:rPr>
          <w:rFonts w:ascii="宋体" w:hAnsi="宋体"/>
          <w:color w:val="auto"/>
          <w:highlight w:val="none"/>
        </w:rPr>
        <w:t>4.3.5 在投标截止时间之后，投标人不得补充、修改和更换投标文件。</w:t>
      </w:r>
    </w:p>
    <w:p>
      <w:pPr>
        <w:spacing w:line="400" w:lineRule="exact"/>
        <w:ind w:firstLine="420" w:firstLineChars="200"/>
        <w:rPr>
          <w:color w:val="auto"/>
          <w:highlight w:val="none"/>
        </w:rPr>
      </w:pPr>
      <w:r>
        <w:rPr>
          <w:rFonts w:ascii="宋体" w:hAnsi="宋体"/>
          <w:color w:val="auto"/>
          <w:highlight w:val="none"/>
        </w:rPr>
        <w:t>4.3.6 在投标截止后，投标人在投标文件格式中规定的有效期终止日前，投标人不能撤</w:t>
      </w:r>
      <w:r>
        <w:rPr>
          <w:rFonts w:hint="eastAsia"/>
          <w:color w:val="auto"/>
          <w:highlight w:val="none"/>
        </w:rPr>
        <w:t>回投标文件，否则其投标担保将被没收，且招标人有权就其撤回行为报告政府主管部门载入不良信用记录。</w:t>
      </w:r>
    </w:p>
    <w:p>
      <w:pPr>
        <w:spacing w:line="400" w:lineRule="exact"/>
        <w:ind w:firstLine="420" w:firstLineChars="200"/>
        <w:rPr>
          <w:color w:val="auto"/>
          <w:highlight w:val="none"/>
        </w:rPr>
      </w:pPr>
    </w:p>
    <w:p>
      <w:pPr>
        <w:pStyle w:val="4"/>
        <w:rPr>
          <w:color w:val="auto"/>
          <w:highlight w:val="none"/>
        </w:rPr>
      </w:pPr>
      <w:bookmarkStart w:id="487" w:name="_Toc20912"/>
      <w:bookmarkStart w:id="488" w:name="_Toc19353"/>
      <w:bookmarkStart w:id="489" w:name="_Toc300834980"/>
      <w:bookmarkStart w:id="490" w:name="_Toc152042335"/>
      <w:bookmarkStart w:id="491" w:name="_Toc19988"/>
      <w:bookmarkStart w:id="492" w:name="_Toc29122"/>
      <w:bookmarkStart w:id="493" w:name="_Toc12021"/>
      <w:bookmarkStart w:id="494" w:name="_Toc7044"/>
      <w:bookmarkStart w:id="495" w:name="_Toc21324"/>
      <w:bookmarkStart w:id="496" w:name="_Toc494371543"/>
      <w:bookmarkStart w:id="497" w:name="_Toc21626"/>
      <w:bookmarkStart w:id="498" w:name="_Toc144974527"/>
      <w:bookmarkStart w:id="499" w:name="_Toc247527584"/>
      <w:bookmarkStart w:id="500" w:name="_Toc4190"/>
      <w:bookmarkStart w:id="501" w:name="_Toc4859"/>
      <w:bookmarkStart w:id="502" w:name="_Toc9659"/>
      <w:bookmarkStart w:id="503" w:name="_Toc17327"/>
      <w:bookmarkStart w:id="504" w:name="_Toc247513983"/>
      <w:bookmarkStart w:id="505" w:name="_Toc152045559"/>
      <w:r>
        <w:rPr>
          <w:color w:val="auto"/>
          <w:highlight w:val="none"/>
        </w:rPr>
        <w:t xml:space="preserve">5. </w:t>
      </w:r>
      <w:r>
        <w:rPr>
          <w:rFonts w:hint="eastAsia"/>
          <w:color w:val="auto"/>
          <w:highlight w:val="none"/>
        </w:rPr>
        <w:t>开标</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pPr>
        <w:pStyle w:val="5"/>
        <w:rPr>
          <w:color w:val="auto"/>
          <w:highlight w:val="none"/>
        </w:rPr>
      </w:pPr>
      <w:bookmarkStart w:id="506" w:name="_Toc25302"/>
      <w:bookmarkStart w:id="507" w:name="_Toc795"/>
      <w:bookmarkStart w:id="508" w:name="_Toc152045560"/>
      <w:bookmarkStart w:id="509" w:name="_Toc23891"/>
      <w:bookmarkStart w:id="510" w:name="_Toc144974528"/>
      <w:bookmarkStart w:id="511" w:name="_Toc25808"/>
      <w:bookmarkStart w:id="512" w:name="_Toc11407"/>
      <w:bookmarkStart w:id="513" w:name="_Toc22910"/>
      <w:bookmarkStart w:id="514" w:name="_Toc11445"/>
      <w:bookmarkStart w:id="515" w:name="_Toc494371544"/>
      <w:bookmarkStart w:id="516" w:name="_Toc25002"/>
      <w:bookmarkStart w:id="517" w:name="_Toc152042336"/>
      <w:bookmarkStart w:id="518" w:name="_Toc247527585"/>
      <w:bookmarkStart w:id="519" w:name="_Toc21178"/>
      <w:bookmarkStart w:id="520" w:name="_Toc247513984"/>
      <w:bookmarkStart w:id="521" w:name="_Toc300834981"/>
      <w:bookmarkStart w:id="522" w:name="_Toc27776"/>
      <w:r>
        <w:rPr>
          <w:rFonts w:ascii="Times New Roman" w:hAnsi="Times New Roman"/>
          <w:color w:val="auto"/>
          <w:highlight w:val="none"/>
        </w:rPr>
        <w:t>5.1</w:t>
      </w:r>
      <w:r>
        <w:rPr>
          <w:color w:val="auto"/>
          <w:highlight w:val="none"/>
        </w:rPr>
        <w:t xml:space="preserve"> 开标时间和地点</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pPr>
        <w:spacing w:line="400" w:lineRule="exact"/>
        <w:ind w:firstLine="420" w:firstLineChars="200"/>
        <w:rPr>
          <w:color w:val="auto"/>
          <w:highlight w:val="none"/>
        </w:rPr>
      </w:pPr>
      <w:r>
        <w:rPr>
          <w:rFonts w:hint="eastAsia"/>
          <w:color w:val="auto"/>
          <w:highlight w:val="none"/>
        </w:rPr>
        <w:t>招标人在规定的投标截止时间（开标时间）和投标人须知前附表规定的地点公开开标，并邀请所有投标人的法定代表人或其委托代理人准时参加。</w:t>
      </w:r>
    </w:p>
    <w:p>
      <w:pPr>
        <w:pStyle w:val="5"/>
        <w:rPr>
          <w:color w:val="auto"/>
          <w:highlight w:val="none"/>
        </w:rPr>
      </w:pPr>
      <w:bookmarkStart w:id="523" w:name="_Toc3230"/>
      <w:bookmarkStart w:id="524" w:name="_Toc300834982"/>
      <w:bookmarkStart w:id="525" w:name="_Toc25227"/>
      <w:bookmarkStart w:id="526" w:name="_Toc3986"/>
      <w:bookmarkStart w:id="527" w:name="_Toc152042337"/>
      <w:bookmarkStart w:id="528" w:name="_Toc25280"/>
      <w:bookmarkStart w:id="529" w:name="_Toc19222"/>
      <w:bookmarkStart w:id="530" w:name="_Toc247513985"/>
      <w:bookmarkStart w:id="531" w:name="_Toc22540"/>
      <w:bookmarkStart w:id="532" w:name="_Toc22493"/>
      <w:bookmarkStart w:id="533" w:name="_Toc22461"/>
      <w:bookmarkStart w:id="534" w:name="_Toc247527586"/>
      <w:bookmarkStart w:id="535" w:name="_Toc494371545"/>
      <w:bookmarkStart w:id="536" w:name="_Toc152045561"/>
      <w:bookmarkStart w:id="537" w:name="_Toc2530"/>
      <w:bookmarkStart w:id="538" w:name="_Toc144974529"/>
      <w:bookmarkStart w:id="539" w:name="_Toc15353"/>
      <w:r>
        <w:rPr>
          <w:rFonts w:ascii="Times New Roman" w:hAnsi="Times New Roman"/>
          <w:color w:val="auto"/>
          <w:highlight w:val="none"/>
        </w:rPr>
        <w:t>5.2</w:t>
      </w:r>
      <w:r>
        <w:rPr>
          <w:color w:val="auto"/>
          <w:highlight w:val="none"/>
        </w:rPr>
        <w:t xml:space="preserve"> 开标程序</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pPr>
        <w:spacing w:line="360" w:lineRule="auto"/>
        <w:ind w:firstLine="457" w:firstLineChars="218"/>
        <w:rPr>
          <w:rFonts w:ascii="宋体" w:hAnsi="宋体"/>
          <w:color w:val="auto"/>
          <w:szCs w:val="21"/>
          <w:highlight w:val="none"/>
        </w:rPr>
      </w:pPr>
      <w:r>
        <w:rPr>
          <w:rFonts w:ascii="宋体" w:hAnsi="宋体"/>
          <w:color w:val="auto"/>
          <w:szCs w:val="21"/>
          <w:highlight w:val="none"/>
        </w:rPr>
        <w:t>5.2.1 招标人按投标须知前附表所规定的时间和地点公开开标，并邀请所有投标人参加。截标后，开标开始时间因故推迟的，</w:t>
      </w:r>
      <w:r>
        <w:rPr>
          <w:rFonts w:hint="eastAsia" w:ascii="宋体" w:hAnsi="宋体"/>
          <w:color w:val="auto"/>
          <w:szCs w:val="21"/>
          <w:highlight w:val="none"/>
        </w:rPr>
        <w:t>以实际开标时间为准。</w:t>
      </w:r>
    </w:p>
    <w:p>
      <w:pPr>
        <w:spacing w:line="360" w:lineRule="auto"/>
        <w:ind w:firstLine="457" w:firstLineChars="218"/>
        <w:rPr>
          <w:rFonts w:ascii="宋体" w:hAnsi="宋体"/>
          <w:color w:val="auto"/>
          <w:szCs w:val="21"/>
          <w:highlight w:val="none"/>
        </w:rPr>
      </w:pPr>
      <w:r>
        <w:rPr>
          <w:rFonts w:ascii="宋体" w:hAnsi="宋体"/>
          <w:color w:val="auto"/>
          <w:szCs w:val="21"/>
          <w:highlight w:val="none"/>
        </w:rPr>
        <w:t>5.2.2 开标时，出现下列情形之一的，不参与开标及后续评审工作：</w:t>
      </w:r>
    </w:p>
    <w:p>
      <w:pPr>
        <w:spacing w:line="360" w:lineRule="auto"/>
        <w:ind w:firstLine="457" w:firstLineChars="218"/>
        <w:rPr>
          <w:rFonts w:ascii="宋体" w:hAnsi="宋体"/>
          <w:color w:val="auto"/>
          <w:szCs w:val="21"/>
          <w:highlight w:val="none"/>
        </w:rPr>
      </w:pPr>
      <w:r>
        <w:rPr>
          <w:rFonts w:ascii="宋体" w:hAnsi="宋体"/>
          <w:color w:val="auto"/>
          <w:szCs w:val="21"/>
          <w:highlight w:val="none"/>
        </w:rPr>
        <w:t xml:space="preserve">5.2.2.1 </w:t>
      </w:r>
      <w:r>
        <w:rPr>
          <w:rFonts w:hint="eastAsia" w:ascii="宋体" w:hAnsi="宋体"/>
          <w:color w:val="auto"/>
          <w:szCs w:val="21"/>
          <w:highlight w:val="none"/>
        </w:rPr>
        <w:t>未按招标文件要求提供投标担保的；</w:t>
      </w:r>
    </w:p>
    <w:p>
      <w:pPr>
        <w:spacing w:line="360" w:lineRule="auto"/>
        <w:ind w:firstLine="457" w:firstLineChars="218"/>
        <w:rPr>
          <w:rFonts w:ascii="宋体" w:hAnsi="宋体"/>
          <w:color w:val="auto"/>
          <w:szCs w:val="21"/>
          <w:highlight w:val="none"/>
        </w:rPr>
      </w:pPr>
      <w:r>
        <w:rPr>
          <w:rFonts w:ascii="宋体" w:hAnsi="宋体"/>
          <w:color w:val="auto"/>
          <w:szCs w:val="21"/>
          <w:highlight w:val="none"/>
        </w:rPr>
        <w:t>5.2.</w:t>
      </w:r>
      <w:r>
        <w:rPr>
          <w:rFonts w:hint="eastAsia" w:ascii="宋体" w:hAnsi="宋体"/>
          <w:color w:val="auto"/>
          <w:szCs w:val="21"/>
          <w:highlight w:val="none"/>
        </w:rPr>
        <w:t>3</w:t>
      </w:r>
      <w:r>
        <w:rPr>
          <w:rFonts w:ascii="宋体" w:hAnsi="宋体"/>
          <w:color w:val="auto"/>
          <w:szCs w:val="21"/>
          <w:highlight w:val="none"/>
        </w:rPr>
        <w:t xml:space="preserve"> 开标由招标人主持。</w:t>
      </w:r>
    </w:p>
    <w:p>
      <w:pPr>
        <w:spacing w:line="360" w:lineRule="auto"/>
        <w:ind w:firstLine="457" w:firstLineChars="218"/>
        <w:rPr>
          <w:rFonts w:ascii="宋体" w:hAnsi="宋体"/>
          <w:color w:val="auto"/>
          <w:szCs w:val="21"/>
          <w:highlight w:val="none"/>
        </w:rPr>
      </w:pPr>
      <w:r>
        <w:rPr>
          <w:rFonts w:ascii="宋体" w:hAnsi="宋体"/>
          <w:color w:val="auto"/>
          <w:szCs w:val="21"/>
          <w:highlight w:val="none"/>
        </w:rPr>
        <w:t>5.2.</w:t>
      </w:r>
      <w:r>
        <w:rPr>
          <w:rFonts w:hint="eastAsia" w:ascii="宋体" w:hAnsi="宋体"/>
          <w:color w:val="auto"/>
          <w:szCs w:val="21"/>
          <w:highlight w:val="none"/>
        </w:rPr>
        <w:t>4</w:t>
      </w:r>
      <w:r>
        <w:rPr>
          <w:rFonts w:ascii="宋体" w:hAnsi="宋体"/>
          <w:color w:val="auto"/>
          <w:szCs w:val="21"/>
          <w:highlight w:val="none"/>
        </w:rPr>
        <w:t>由投标人或其推选的代表检查投标文件的包封、标记和密封情况。</w:t>
      </w:r>
    </w:p>
    <w:p>
      <w:pPr>
        <w:spacing w:line="360" w:lineRule="auto"/>
        <w:ind w:firstLine="457" w:firstLineChars="218"/>
        <w:rPr>
          <w:rFonts w:ascii="宋体" w:hAnsi="宋体"/>
          <w:color w:val="auto"/>
          <w:szCs w:val="21"/>
          <w:highlight w:val="none"/>
        </w:rPr>
      </w:pPr>
      <w:r>
        <w:rPr>
          <w:rFonts w:ascii="宋体" w:hAnsi="宋体"/>
          <w:color w:val="auto"/>
          <w:szCs w:val="21"/>
          <w:highlight w:val="none"/>
        </w:rPr>
        <w:t>5.2.</w:t>
      </w:r>
      <w:r>
        <w:rPr>
          <w:rFonts w:hint="eastAsia" w:ascii="宋体" w:hAnsi="宋体"/>
          <w:color w:val="auto"/>
          <w:szCs w:val="21"/>
          <w:highlight w:val="none"/>
        </w:rPr>
        <w:t>5</w:t>
      </w:r>
      <w:r>
        <w:rPr>
          <w:rFonts w:ascii="宋体" w:hAnsi="宋体"/>
          <w:color w:val="auto"/>
          <w:szCs w:val="21"/>
          <w:highlight w:val="none"/>
        </w:rPr>
        <w:t>开标细则</w:t>
      </w:r>
    </w:p>
    <w:p>
      <w:pPr>
        <w:spacing w:line="360" w:lineRule="auto"/>
        <w:ind w:firstLine="457" w:firstLineChars="218"/>
        <w:rPr>
          <w:rFonts w:ascii="宋体" w:hAnsi="宋体"/>
          <w:color w:val="auto"/>
          <w:szCs w:val="21"/>
          <w:highlight w:val="none"/>
        </w:rPr>
      </w:pPr>
      <w:r>
        <w:rPr>
          <w:rFonts w:hint="eastAsia" w:ascii="宋体" w:hAnsi="宋体"/>
          <w:color w:val="auto"/>
          <w:szCs w:val="21"/>
          <w:highlight w:val="none"/>
        </w:rPr>
        <w:t>（1）资格审查文件、工程总承包实施方案（含资信部分）文件评审、投标报价文件同时公开开标；</w:t>
      </w:r>
    </w:p>
    <w:p>
      <w:pPr>
        <w:spacing w:line="360" w:lineRule="auto"/>
        <w:ind w:firstLine="457" w:firstLineChars="218"/>
        <w:rPr>
          <w:rFonts w:ascii="宋体" w:hAnsi="宋体"/>
          <w:color w:val="auto"/>
          <w:szCs w:val="21"/>
          <w:highlight w:val="none"/>
        </w:rPr>
      </w:pPr>
      <w:r>
        <w:rPr>
          <w:rFonts w:hint="eastAsia" w:ascii="宋体" w:hAnsi="宋体"/>
          <w:color w:val="auto"/>
          <w:szCs w:val="21"/>
          <w:highlight w:val="none"/>
        </w:rPr>
        <w:t>（2）经确认无误后，由招标人当众拆封各投标人递交的资格审查文件、工程总承包实施方案（含资信部分）文件评审、投标报价文件。开标时宣读下列内容，并予以记录，开标记录提交评标委员会评审：</w:t>
      </w:r>
    </w:p>
    <w:p>
      <w:pPr>
        <w:spacing w:line="360" w:lineRule="auto"/>
        <w:ind w:firstLine="457" w:firstLineChars="218"/>
        <w:rPr>
          <w:rFonts w:ascii="宋体" w:hAnsi="宋体"/>
          <w:color w:val="auto"/>
          <w:szCs w:val="21"/>
          <w:highlight w:val="none"/>
        </w:rPr>
      </w:pPr>
      <w:r>
        <w:rPr>
          <w:rFonts w:hint="eastAsia" w:ascii="宋体" w:hAnsi="宋体"/>
          <w:color w:val="auto"/>
          <w:szCs w:val="21"/>
          <w:highlight w:val="none"/>
        </w:rPr>
        <w:t>开标时，宣读</w:t>
      </w:r>
      <w:r>
        <w:rPr>
          <w:rFonts w:ascii="宋体" w:hAnsi="宋体"/>
          <w:color w:val="auto"/>
          <w:szCs w:val="21"/>
          <w:highlight w:val="none"/>
        </w:rPr>
        <w:t>a、投标人名称；b、标书密封情况；c、有无法定代表人证明书及授权委托证明书；d、投标担保递交情况；e、工期；f、质量标准；g、</w:t>
      </w:r>
      <w:r>
        <w:rPr>
          <w:rFonts w:hint="eastAsia" w:ascii="宋体" w:hAnsi="宋体"/>
          <w:color w:val="auto"/>
          <w:szCs w:val="21"/>
          <w:highlight w:val="none"/>
        </w:rPr>
        <w:t>施工</w:t>
      </w:r>
      <w:r>
        <w:rPr>
          <w:rFonts w:ascii="宋体" w:hAnsi="宋体"/>
          <w:color w:val="auto"/>
          <w:szCs w:val="21"/>
          <w:highlight w:val="none"/>
        </w:rPr>
        <w:t>负责人；h、安全员；i、设计负责人；j、投标总报价等主要内容以及开标记录表中的其他必要内容。招标人或招标代理对开标过程进行记录，并存档备查。</w:t>
      </w:r>
    </w:p>
    <w:p>
      <w:pPr>
        <w:spacing w:line="360" w:lineRule="auto"/>
        <w:ind w:firstLine="457" w:firstLineChars="218"/>
        <w:rPr>
          <w:rFonts w:ascii="宋体" w:hAnsi="宋体"/>
          <w:color w:val="auto"/>
          <w:szCs w:val="21"/>
          <w:highlight w:val="none"/>
        </w:rPr>
      </w:pPr>
      <w:r>
        <w:rPr>
          <w:rFonts w:hint="eastAsia" w:ascii="宋体" w:hAnsi="宋体"/>
          <w:color w:val="auto"/>
          <w:szCs w:val="21"/>
          <w:highlight w:val="none"/>
        </w:rPr>
        <w:t>（3）资格审查文件评审；编制资格审查报告。</w:t>
      </w:r>
    </w:p>
    <w:p>
      <w:pPr>
        <w:spacing w:line="360" w:lineRule="auto"/>
        <w:ind w:firstLine="457" w:firstLineChars="218"/>
        <w:rPr>
          <w:rFonts w:ascii="宋体" w:hAnsi="宋体"/>
          <w:color w:val="auto"/>
          <w:szCs w:val="21"/>
          <w:highlight w:val="none"/>
        </w:rPr>
      </w:pPr>
      <w:r>
        <w:rPr>
          <w:rFonts w:hint="eastAsia" w:ascii="宋体" w:hAnsi="宋体"/>
          <w:color w:val="auto"/>
          <w:szCs w:val="21"/>
          <w:highlight w:val="none"/>
        </w:rPr>
        <w:t>（4）工程总承包实施方案（含资信部分）文件评审；</w:t>
      </w:r>
    </w:p>
    <w:p>
      <w:pPr>
        <w:spacing w:line="360" w:lineRule="auto"/>
        <w:ind w:firstLine="457" w:firstLineChars="218"/>
        <w:rPr>
          <w:rFonts w:ascii="宋体" w:hAnsi="宋体"/>
          <w:color w:val="auto"/>
          <w:szCs w:val="21"/>
          <w:highlight w:val="none"/>
        </w:rPr>
      </w:pPr>
      <w:r>
        <w:rPr>
          <w:rFonts w:hint="eastAsia" w:ascii="宋体" w:hAnsi="宋体"/>
          <w:color w:val="auto"/>
          <w:szCs w:val="21"/>
          <w:highlight w:val="none"/>
        </w:rPr>
        <w:t>（5）投标报价文件评审；</w:t>
      </w:r>
    </w:p>
    <w:p>
      <w:pPr>
        <w:spacing w:line="360" w:lineRule="auto"/>
        <w:ind w:firstLine="457" w:firstLineChars="218"/>
        <w:rPr>
          <w:rFonts w:ascii="宋体" w:hAnsi="宋体"/>
          <w:color w:val="auto"/>
          <w:szCs w:val="21"/>
          <w:highlight w:val="none"/>
        </w:rPr>
      </w:pPr>
      <w:r>
        <w:rPr>
          <w:rFonts w:hint="eastAsia" w:ascii="宋体" w:hAnsi="宋体"/>
          <w:color w:val="auto"/>
          <w:szCs w:val="21"/>
          <w:highlight w:val="none"/>
        </w:rPr>
        <w:t>（6）</w:t>
      </w:r>
      <w:r>
        <w:rPr>
          <w:rFonts w:hint="eastAsia"/>
          <w:color w:val="auto"/>
          <w:highlight w:val="none"/>
        </w:rPr>
        <w:t>评委</w:t>
      </w:r>
      <w:r>
        <w:rPr>
          <w:rFonts w:hint="eastAsia" w:ascii="宋体" w:hAnsi="宋体"/>
          <w:color w:val="auto"/>
          <w:szCs w:val="21"/>
          <w:highlight w:val="none"/>
        </w:rPr>
        <w:t>汇总工程总承包实施方案（含资信部分）文件与投标报价文件得分，并按照总分从高到低排序；</w:t>
      </w:r>
    </w:p>
    <w:p>
      <w:pPr>
        <w:spacing w:line="360" w:lineRule="auto"/>
        <w:ind w:firstLine="457" w:firstLineChars="218"/>
        <w:rPr>
          <w:color w:val="auto"/>
          <w:highlight w:val="none"/>
        </w:rPr>
      </w:pPr>
      <w:r>
        <w:rPr>
          <w:rFonts w:hint="eastAsia" w:ascii="宋体" w:hAnsi="宋体"/>
          <w:color w:val="auto"/>
          <w:szCs w:val="21"/>
          <w:highlight w:val="none"/>
        </w:rPr>
        <w:t>（8）评标委员会向业主推荐中标候选人，编写评标报告。</w:t>
      </w:r>
    </w:p>
    <w:p>
      <w:pPr>
        <w:pStyle w:val="5"/>
        <w:rPr>
          <w:color w:val="auto"/>
          <w:highlight w:val="none"/>
        </w:rPr>
      </w:pPr>
      <w:bookmarkStart w:id="540" w:name="_Toc29859"/>
      <w:bookmarkStart w:id="541" w:name="_Toc494371546"/>
      <w:bookmarkStart w:id="542" w:name="_Toc10688"/>
      <w:bookmarkStart w:id="543" w:name="_Toc20975"/>
      <w:bookmarkStart w:id="544" w:name="_Toc300834983"/>
      <w:bookmarkStart w:id="545" w:name="_Toc25032"/>
      <w:bookmarkStart w:id="546" w:name="_Toc16449"/>
      <w:bookmarkStart w:id="547" w:name="_Toc7458"/>
      <w:bookmarkStart w:id="548" w:name="_Toc24887"/>
      <w:bookmarkStart w:id="549" w:name="_Toc12520"/>
      <w:bookmarkStart w:id="550" w:name="_Toc5505"/>
      <w:bookmarkStart w:id="551" w:name="_Toc3531"/>
      <w:r>
        <w:rPr>
          <w:rFonts w:ascii="Times New Roman" w:hAnsi="Times New Roman"/>
          <w:color w:val="auto"/>
          <w:highlight w:val="none"/>
        </w:rPr>
        <w:t>5.3</w:t>
      </w:r>
      <w:r>
        <w:rPr>
          <w:color w:val="auto"/>
          <w:highlight w:val="none"/>
        </w:rPr>
        <w:t xml:space="preserve"> 开标异议</w:t>
      </w:r>
      <w:bookmarkEnd w:id="540"/>
      <w:bookmarkEnd w:id="541"/>
      <w:bookmarkEnd w:id="542"/>
      <w:bookmarkEnd w:id="543"/>
      <w:bookmarkEnd w:id="544"/>
      <w:bookmarkEnd w:id="545"/>
      <w:bookmarkEnd w:id="546"/>
      <w:bookmarkEnd w:id="547"/>
      <w:bookmarkEnd w:id="548"/>
      <w:bookmarkEnd w:id="549"/>
      <w:bookmarkEnd w:id="550"/>
      <w:bookmarkEnd w:id="551"/>
    </w:p>
    <w:p>
      <w:pPr>
        <w:spacing w:line="400" w:lineRule="exact"/>
        <w:ind w:firstLine="359" w:firstLineChars="171"/>
        <w:rPr>
          <w:color w:val="auto"/>
          <w:highlight w:val="none"/>
        </w:rPr>
      </w:pPr>
      <w:r>
        <w:rPr>
          <w:rFonts w:hint="eastAsia"/>
          <w:color w:val="auto"/>
          <w:highlight w:val="none"/>
        </w:rPr>
        <w:t>投标人对开标有异议的，应当在开标现场提出，招标人当场作出答复，并制作记录。</w:t>
      </w:r>
    </w:p>
    <w:p>
      <w:pPr>
        <w:pStyle w:val="4"/>
        <w:rPr>
          <w:color w:val="auto"/>
          <w:highlight w:val="none"/>
        </w:rPr>
      </w:pPr>
      <w:bookmarkStart w:id="552" w:name="_Toc247527587"/>
      <w:bookmarkStart w:id="553" w:name="_Toc198"/>
      <w:bookmarkStart w:id="554" w:name="_Toc15084"/>
      <w:bookmarkStart w:id="555" w:name="_Toc3149"/>
      <w:bookmarkStart w:id="556" w:name="_Toc144974530"/>
      <w:bookmarkStart w:id="557" w:name="_Toc109"/>
      <w:bookmarkStart w:id="558" w:name="_Toc26333"/>
      <w:bookmarkStart w:id="559" w:name="_Toc152045562"/>
      <w:bookmarkStart w:id="560" w:name="_Toc30683"/>
      <w:bookmarkStart w:id="561" w:name="_Toc32048"/>
      <w:bookmarkStart w:id="562" w:name="_Toc247513986"/>
      <w:bookmarkStart w:id="563" w:name="_Toc494371547"/>
      <w:bookmarkStart w:id="564" w:name="_Toc837"/>
      <w:bookmarkStart w:id="565" w:name="_Toc300834984"/>
      <w:bookmarkStart w:id="566" w:name="_Toc28414"/>
      <w:bookmarkStart w:id="567" w:name="_Toc152042338"/>
      <w:bookmarkStart w:id="568" w:name="_Toc27705"/>
      <w:bookmarkStart w:id="569" w:name="_Toc12313"/>
      <w:bookmarkStart w:id="570" w:name="_Toc15719"/>
      <w:r>
        <w:rPr>
          <w:color w:val="auto"/>
          <w:highlight w:val="none"/>
        </w:rPr>
        <w:t xml:space="preserve">6. </w:t>
      </w:r>
      <w:r>
        <w:rPr>
          <w:rFonts w:hint="eastAsia"/>
          <w:color w:val="auto"/>
          <w:highlight w:val="none"/>
        </w:rPr>
        <w:t>评标</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pPr>
        <w:pStyle w:val="5"/>
        <w:rPr>
          <w:color w:val="auto"/>
          <w:highlight w:val="none"/>
        </w:rPr>
      </w:pPr>
      <w:bookmarkStart w:id="571" w:name="_Toc8891"/>
      <w:bookmarkStart w:id="572" w:name="_Toc2807"/>
      <w:bookmarkStart w:id="573" w:name="_Toc247513987"/>
      <w:bookmarkStart w:id="574" w:name="_Toc144974531"/>
      <w:bookmarkStart w:id="575" w:name="_Toc7043"/>
      <w:bookmarkStart w:id="576" w:name="_Toc13286"/>
      <w:bookmarkStart w:id="577" w:name="_Toc15741"/>
      <w:bookmarkStart w:id="578" w:name="_Toc247527588"/>
      <w:bookmarkStart w:id="579" w:name="_Toc18724"/>
      <w:bookmarkStart w:id="580" w:name="_Toc494371548"/>
      <w:bookmarkStart w:id="581" w:name="_Toc29481"/>
      <w:bookmarkStart w:id="582" w:name="_Toc152045563"/>
      <w:bookmarkStart w:id="583" w:name="_Toc152042339"/>
      <w:bookmarkStart w:id="584" w:name="_Toc16291"/>
      <w:bookmarkStart w:id="585" w:name="_Toc300834985"/>
      <w:bookmarkStart w:id="586" w:name="_Toc32379"/>
      <w:bookmarkStart w:id="587" w:name="_Toc3086"/>
      <w:r>
        <w:rPr>
          <w:rFonts w:ascii="Times New Roman" w:hAnsi="Times New Roman"/>
          <w:color w:val="auto"/>
          <w:highlight w:val="none"/>
        </w:rPr>
        <w:t>6.1</w:t>
      </w:r>
      <w:r>
        <w:rPr>
          <w:color w:val="auto"/>
          <w:highlight w:val="none"/>
        </w:rPr>
        <w:t xml:space="preserve"> 评标委员会</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
      <w:pPr>
        <w:spacing w:line="400" w:lineRule="exact"/>
        <w:ind w:firstLine="420" w:firstLineChars="200"/>
        <w:rPr>
          <w:color w:val="auto"/>
          <w:highlight w:val="none"/>
        </w:rPr>
      </w:pPr>
      <w:r>
        <w:rPr>
          <w:color w:val="auto"/>
          <w:highlight w:val="none"/>
        </w:rPr>
        <w:t xml:space="preserve">6.1.1 </w:t>
      </w:r>
      <w:r>
        <w:rPr>
          <w:rFonts w:hint="eastAsia"/>
          <w:color w:val="auto"/>
          <w:highlight w:val="none"/>
        </w:rPr>
        <w:t>评标由招标人依法组建的评标委员会负责，成员人数为五人</w:t>
      </w:r>
      <w:r>
        <w:rPr>
          <w:rFonts w:hint="eastAsia"/>
          <w:color w:val="auto"/>
          <w:highlight w:val="none"/>
          <w:lang w:eastAsia="zh-CN"/>
        </w:rPr>
        <w:t>或</w:t>
      </w:r>
      <w:r>
        <w:rPr>
          <w:rFonts w:hint="eastAsia"/>
          <w:color w:val="auto"/>
          <w:highlight w:val="none"/>
        </w:rPr>
        <w:t>以上单数。</w:t>
      </w:r>
      <w:r>
        <w:rPr>
          <w:rFonts w:hint="eastAsia"/>
          <w:color w:val="auto"/>
          <w:highlight w:val="none"/>
          <w:lang w:val="en-US" w:eastAsia="zh-CN"/>
        </w:rPr>
        <w:t>建设单位</w:t>
      </w:r>
      <w:r>
        <w:rPr>
          <w:rFonts w:hint="eastAsia"/>
          <w:color w:val="auto"/>
          <w:highlight w:val="none"/>
        </w:rPr>
        <w:t>参加或派代表参加评标委员会的，人数原则上以一人为限，评标过程中不得以任何方式影响其他评标专家独立评标。</w:t>
      </w:r>
    </w:p>
    <w:p>
      <w:pPr>
        <w:pStyle w:val="5"/>
        <w:rPr>
          <w:color w:val="auto"/>
          <w:highlight w:val="none"/>
        </w:rPr>
      </w:pPr>
      <w:bookmarkStart w:id="588" w:name="_Toc494371549"/>
      <w:bookmarkStart w:id="589" w:name="_Toc18883"/>
      <w:bookmarkStart w:id="590" w:name="_Toc247527589"/>
      <w:bookmarkStart w:id="591" w:name="_Toc19377"/>
      <w:bookmarkStart w:id="592" w:name="_Toc19365"/>
      <w:bookmarkStart w:id="593" w:name="_Toc300834986"/>
      <w:bookmarkStart w:id="594" w:name="_Toc26316"/>
      <w:bookmarkStart w:id="595" w:name="_Toc12970"/>
      <w:bookmarkStart w:id="596" w:name="_Toc247513988"/>
      <w:bookmarkStart w:id="597" w:name="_Toc30692"/>
      <w:bookmarkStart w:id="598" w:name="_Toc152045564"/>
      <w:bookmarkStart w:id="599" w:name="_Toc6886"/>
      <w:bookmarkStart w:id="600" w:name="_Toc14458"/>
      <w:bookmarkStart w:id="601" w:name="_Toc6335"/>
      <w:bookmarkStart w:id="602" w:name="_Toc144974532"/>
      <w:bookmarkStart w:id="603" w:name="_Toc1462"/>
      <w:bookmarkStart w:id="604" w:name="_Toc152042340"/>
      <w:r>
        <w:rPr>
          <w:rFonts w:ascii="Times New Roman" w:hAnsi="Times New Roman"/>
          <w:color w:val="auto"/>
          <w:highlight w:val="none"/>
        </w:rPr>
        <w:t>6.2</w:t>
      </w:r>
      <w:r>
        <w:rPr>
          <w:color w:val="auto"/>
          <w:highlight w:val="none"/>
        </w:rPr>
        <w:t xml:space="preserve"> 评标原则</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pPr>
        <w:spacing w:line="400" w:lineRule="exact"/>
        <w:ind w:firstLine="420" w:firstLineChars="200"/>
        <w:rPr>
          <w:color w:val="auto"/>
          <w:highlight w:val="none"/>
        </w:rPr>
      </w:pPr>
      <w:r>
        <w:rPr>
          <w:rFonts w:hint="eastAsia"/>
          <w:color w:val="auto"/>
          <w:highlight w:val="none"/>
        </w:rPr>
        <w:t>评标活动遵循公平、公正、科学和择优的原则。</w:t>
      </w:r>
    </w:p>
    <w:p>
      <w:pPr>
        <w:pStyle w:val="5"/>
        <w:rPr>
          <w:color w:val="auto"/>
          <w:highlight w:val="none"/>
        </w:rPr>
      </w:pPr>
      <w:bookmarkStart w:id="605" w:name="_Toc25099"/>
      <w:bookmarkStart w:id="606" w:name="_Toc25394"/>
      <w:bookmarkStart w:id="607" w:name="_Toc11669"/>
      <w:bookmarkStart w:id="608" w:name="_Toc494371550"/>
      <w:bookmarkStart w:id="609" w:name="_Toc28220"/>
      <w:bookmarkStart w:id="610" w:name="_Toc16889"/>
      <w:bookmarkStart w:id="611" w:name="_Toc247527590"/>
      <w:bookmarkStart w:id="612" w:name="_Toc18237"/>
      <w:bookmarkStart w:id="613" w:name="_Toc144974533"/>
      <w:bookmarkStart w:id="614" w:name="_Toc152045565"/>
      <w:bookmarkStart w:id="615" w:name="_Toc17295"/>
      <w:bookmarkStart w:id="616" w:name="_Toc8724"/>
      <w:bookmarkStart w:id="617" w:name="_Toc152042341"/>
      <w:bookmarkStart w:id="618" w:name="_Toc10168"/>
      <w:bookmarkStart w:id="619" w:name="_Toc300834987"/>
      <w:bookmarkStart w:id="620" w:name="_Toc30595"/>
      <w:bookmarkStart w:id="621" w:name="_Toc247513989"/>
      <w:r>
        <w:rPr>
          <w:rFonts w:ascii="Times New Roman" w:hAnsi="Times New Roman"/>
          <w:color w:val="auto"/>
          <w:highlight w:val="none"/>
        </w:rPr>
        <w:t>6.3</w:t>
      </w:r>
      <w:r>
        <w:rPr>
          <w:color w:val="auto"/>
          <w:highlight w:val="none"/>
        </w:rPr>
        <w:t xml:space="preserve"> 评标</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pPr>
        <w:spacing w:line="400" w:lineRule="exact"/>
        <w:ind w:firstLine="420" w:firstLineChars="200"/>
        <w:rPr>
          <w:color w:val="auto"/>
          <w:highlight w:val="none"/>
        </w:rPr>
      </w:pPr>
      <w:r>
        <w:rPr>
          <w:rFonts w:hint="eastAsia"/>
          <w:color w:val="auto"/>
          <w:highlight w:val="none"/>
        </w:rPr>
        <w:t>评标委员会按照第三章“评标办法”规定的方法、评审因素、标准和程序对投标文件进行评审。第三章“评标办法”没有规定的方法、评审因素和标准，不作为评标依据。</w:t>
      </w:r>
    </w:p>
    <w:p>
      <w:pPr>
        <w:pStyle w:val="4"/>
        <w:rPr>
          <w:color w:val="auto"/>
          <w:highlight w:val="none"/>
        </w:rPr>
      </w:pPr>
      <w:bookmarkStart w:id="622" w:name="_Toc6130"/>
      <w:bookmarkStart w:id="623" w:name="_Toc24255"/>
      <w:bookmarkStart w:id="624" w:name="_Toc144974534"/>
      <w:bookmarkStart w:id="625" w:name="_Toc152045566"/>
      <w:bookmarkStart w:id="626" w:name="_Toc300834988"/>
      <w:bookmarkStart w:id="627" w:name="_Toc494371551"/>
      <w:bookmarkStart w:id="628" w:name="_Toc5557"/>
      <w:bookmarkStart w:id="629" w:name="_Toc30273"/>
      <w:bookmarkStart w:id="630" w:name="_Toc247513990"/>
      <w:bookmarkStart w:id="631" w:name="_Toc152042342"/>
      <w:bookmarkStart w:id="632" w:name="_Toc247527591"/>
      <w:bookmarkStart w:id="633" w:name="_Toc12877"/>
      <w:bookmarkStart w:id="634" w:name="_Toc17020"/>
      <w:bookmarkStart w:id="635" w:name="_Toc22878"/>
      <w:bookmarkStart w:id="636" w:name="_Toc23086"/>
      <w:bookmarkStart w:id="637" w:name="_Toc5422"/>
      <w:bookmarkStart w:id="638" w:name="_Toc24084"/>
      <w:bookmarkStart w:id="639" w:name="_Toc26245"/>
      <w:bookmarkStart w:id="640" w:name="_Toc22306"/>
      <w:r>
        <w:rPr>
          <w:color w:val="auto"/>
          <w:highlight w:val="none"/>
        </w:rPr>
        <w:t xml:space="preserve">7. </w:t>
      </w:r>
      <w:r>
        <w:rPr>
          <w:rFonts w:hint="eastAsia"/>
          <w:color w:val="auto"/>
          <w:highlight w:val="none"/>
        </w:rPr>
        <w:t>合同授予</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p>
      <w:pPr>
        <w:pStyle w:val="5"/>
        <w:rPr>
          <w:color w:val="auto"/>
          <w:highlight w:val="none"/>
        </w:rPr>
      </w:pPr>
      <w:bookmarkStart w:id="641" w:name="_Toc28811"/>
      <w:bookmarkStart w:id="642" w:name="_Toc144974535"/>
      <w:bookmarkStart w:id="643" w:name="_Toc28741"/>
      <w:bookmarkStart w:id="644" w:name="_Toc28912"/>
      <w:bookmarkStart w:id="645" w:name="_Toc247513991"/>
      <w:bookmarkStart w:id="646" w:name="_Toc29318"/>
      <w:bookmarkStart w:id="647" w:name="_Toc247527592"/>
      <w:bookmarkStart w:id="648" w:name="_Toc25537"/>
      <w:bookmarkStart w:id="649" w:name="_Toc2434"/>
      <w:bookmarkStart w:id="650" w:name="_Toc7596"/>
      <w:bookmarkStart w:id="651" w:name="_Toc300834989"/>
      <w:bookmarkStart w:id="652" w:name="_Toc152045567"/>
      <w:bookmarkStart w:id="653" w:name="_Toc494371552"/>
      <w:bookmarkStart w:id="654" w:name="_Toc620"/>
      <w:bookmarkStart w:id="655" w:name="_Toc6661"/>
      <w:bookmarkStart w:id="656" w:name="_Toc10016"/>
      <w:bookmarkStart w:id="657" w:name="_Toc152042343"/>
      <w:r>
        <w:rPr>
          <w:rFonts w:ascii="Times New Roman" w:hAnsi="Times New Roman"/>
          <w:color w:val="auto"/>
          <w:highlight w:val="none"/>
        </w:rPr>
        <w:t>7.1</w:t>
      </w:r>
      <w:r>
        <w:rPr>
          <w:color w:val="auto"/>
          <w:highlight w:val="none"/>
        </w:rPr>
        <w:t xml:space="preserve"> 定标方式</w:t>
      </w:r>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pPr>
        <w:spacing w:line="400" w:lineRule="exact"/>
        <w:ind w:firstLine="420" w:firstLineChars="200"/>
        <w:rPr>
          <w:rFonts w:ascii="宋体" w:hAnsi="宋体" w:cs="宋体"/>
          <w:color w:val="auto"/>
          <w:highlight w:val="none"/>
        </w:rPr>
      </w:pPr>
      <w:r>
        <w:rPr>
          <w:rFonts w:ascii="宋体" w:hAnsi="宋体" w:cs="宋体"/>
          <w:color w:val="auto"/>
          <w:highlight w:val="none"/>
        </w:rPr>
        <w:t>7.1.1</w:t>
      </w:r>
      <w:r>
        <w:rPr>
          <w:rFonts w:hint="eastAsia" w:ascii="宋体" w:hAnsi="宋体" w:cs="宋体"/>
          <w:color w:val="auto"/>
          <w:highlight w:val="none"/>
        </w:rPr>
        <w:t>除投标人须知前附表规定评标委员会直接确定中标人外，招标人依据评标委员会推荐的中标候选人确定中标人，评标委员会推荐中标候选人的人数见投标人须知前附表。</w:t>
      </w:r>
    </w:p>
    <w:p>
      <w:pPr>
        <w:spacing w:line="400" w:lineRule="exact"/>
        <w:ind w:firstLine="420" w:firstLineChars="200"/>
        <w:rPr>
          <w:rFonts w:ascii="宋体" w:hAnsi="宋体" w:cs="宋体"/>
          <w:color w:val="auto"/>
          <w:highlight w:val="none"/>
        </w:rPr>
      </w:pPr>
      <w:r>
        <w:rPr>
          <w:rFonts w:ascii="宋体" w:hAnsi="宋体" w:cs="宋体"/>
          <w:color w:val="auto"/>
          <w:highlight w:val="none"/>
        </w:rPr>
        <w:t>7.1.2 依法必须进行公开招标的项目，招标人应当确定排名第一的中标候选人为中标人。</w:t>
      </w:r>
    </w:p>
    <w:p>
      <w:pPr>
        <w:spacing w:line="400" w:lineRule="exact"/>
        <w:ind w:firstLine="420" w:firstLineChars="200"/>
        <w:rPr>
          <w:color w:val="auto"/>
          <w:highlight w:val="none"/>
        </w:rPr>
      </w:pPr>
      <w:r>
        <w:rPr>
          <w:rFonts w:ascii="宋体" w:hAnsi="宋体" w:cs="宋体"/>
          <w:color w:val="auto"/>
          <w:highlight w:val="none"/>
        </w:rPr>
        <w:t>7.1.3</w:t>
      </w:r>
      <w:r>
        <w:rPr>
          <w:rFonts w:hint="eastAsia" w:ascii="宋体" w:hAnsi="宋体" w:cs="宋体"/>
          <w:color w:val="auto"/>
          <w:highlight w:val="none"/>
        </w:rPr>
        <w:t>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5"/>
        <w:rPr>
          <w:color w:val="auto"/>
          <w:highlight w:val="none"/>
        </w:rPr>
      </w:pPr>
      <w:bookmarkStart w:id="658" w:name="_Toc8069"/>
      <w:bookmarkStart w:id="659" w:name="_Toc300834990"/>
      <w:bookmarkStart w:id="660" w:name="_Toc3190"/>
      <w:bookmarkStart w:id="661" w:name="_Toc30311"/>
      <w:bookmarkStart w:id="662" w:name="_Toc32142"/>
      <w:bookmarkStart w:id="663" w:name="_Toc494371553"/>
      <w:bookmarkStart w:id="664" w:name="_Toc16401"/>
      <w:bookmarkStart w:id="665" w:name="_Toc9281"/>
      <w:bookmarkStart w:id="666" w:name="_Toc21974"/>
      <w:bookmarkStart w:id="667" w:name="_Toc31309"/>
      <w:bookmarkStart w:id="668" w:name="_Toc10691"/>
      <w:bookmarkStart w:id="669" w:name="_Toc25164"/>
      <w:r>
        <w:rPr>
          <w:rFonts w:ascii="Times New Roman" w:hAnsi="Times New Roman"/>
          <w:color w:val="auto"/>
          <w:highlight w:val="none"/>
        </w:rPr>
        <w:t>7.2</w:t>
      </w:r>
      <w:r>
        <w:rPr>
          <w:color w:val="auto"/>
          <w:highlight w:val="none"/>
        </w:rPr>
        <w:t xml:space="preserve"> 中标候选人公示</w:t>
      </w:r>
      <w:bookmarkEnd w:id="658"/>
      <w:bookmarkEnd w:id="659"/>
      <w:bookmarkEnd w:id="660"/>
      <w:bookmarkEnd w:id="661"/>
      <w:bookmarkEnd w:id="662"/>
      <w:bookmarkEnd w:id="663"/>
      <w:bookmarkEnd w:id="664"/>
      <w:bookmarkEnd w:id="665"/>
      <w:bookmarkEnd w:id="666"/>
      <w:bookmarkEnd w:id="667"/>
      <w:bookmarkEnd w:id="668"/>
      <w:bookmarkEnd w:id="669"/>
    </w:p>
    <w:p>
      <w:pPr>
        <w:spacing w:line="400" w:lineRule="exact"/>
        <w:ind w:firstLine="420" w:firstLineChars="200"/>
        <w:rPr>
          <w:color w:val="auto"/>
          <w:highlight w:val="none"/>
        </w:rPr>
      </w:pPr>
      <w:r>
        <w:rPr>
          <w:rFonts w:hint="eastAsia"/>
          <w:color w:val="auto"/>
          <w:highlight w:val="none"/>
        </w:rPr>
        <w:t>在广州南沙资产经营有限公司网站公示中标候选人。</w:t>
      </w:r>
    </w:p>
    <w:p>
      <w:pPr>
        <w:pStyle w:val="5"/>
        <w:rPr>
          <w:color w:val="auto"/>
          <w:highlight w:val="none"/>
        </w:rPr>
      </w:pPr>
      <w:bookmarkStart w:id="670" w:name="_Toc32373"/>
      <w:bookmarkStart w:id="671" w:name="_Toc3421"/>
      <w:bookmarkStart w:id="672" w:name="_Toc14168"/>
      <w:bookmarkStart w:id="673" w:name="_Toc152042344"/>
      <w:bookmarkStart w:id="674" w:name="_Toc15630"/>
      <w:bookmarkStart w:id="675" w:name="_Toc6019"/>
      <w:bookmarkStart w:id="676" w:name="_Toc247513992"/>
      <w:bookmarkStart w:id="677" w:name="_Toc144974536"/>
      <w:bookmarkStart w:id="678" w:name="_Toc247527593"/>
      <w:bookmarkStart w:id="679" w:name="_Toc16751"/>
      <w:bookmarkStart w:id="680" w:name="_Toc775"/>
      <w:bookmarkStart w:id="681" w:name="_Toc8897"/>
      <w:bookmarkStart w:id="682" w:name="_Toc300834991"/>
      <w:bookmarkStart w:id="683" w:name="_Toc14116"/>
      <w:bookmarkStart w:id="684" w:name="_Toc9148"/>
      <w:bookmarkStart w:id="685" w:name="_Toc152045568"/>
      <w:bookmarkStart w:id="686" w:name="_Toc494371554"/>
      <w:r>
        <w:rPr>
          <w:rFonts w:ascii="Times New Roman" w:hAnsi="Times New Roman"/>
          <w:color w:val="auto"/>
          <w:highlight w:val="none"/>
        </w:rPr>
        <w:t>7.3</w:t>
      </w:r>
      <w:r>
        <w:rPr>
          <w:color w:val="auto"/>
          <w:highlight w:val="none"/>
        </w:rPr>
        <w:t xml:space="preserve"> 中标通知</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pPr>
        <w:spacing w:line="400" w:lineRule="exact"/>
        <w:ind w:firstLine="420" w:firstLineChars="200"/>
        <w:rPr>
          <w:color w:val="auto"/>
          <w:highlight w:val="none"/>
        </w:rPr>
      </w:pPr>
      <w:r>
        <w:rPr>
          <w:rFonts w:hint="eastAsia"/>
          <w:color w:val="auto"/>
          <w:highlight w:val="none"/>
        </w:rPr>
        <w:t>评标公示后，在本章第</w:t>
      </w:r>
      <w:r>
        <w:rPr>
          <w:color w:val="auto"/>
          <w:highlight w:val="none"/>
        </w:rPr>
        <w:t xml:space="preserve">3.3 </w:t>
      </w:r>
      <w:r>
        <w:rPr>
          <w:rFonts w:hint="eastAsia"/>
          <w:color w:val="auto"/>
          <w:highlight w:val="none"/>
        </w:rPr>
        <w:t>款规定的投标有效期内，招标人以书面形式向中标人发出中标通知书。</w:t>
      </w:r>
    </w:p>
    <w:p>
      <w:pPr>
        <w:pStyle w:val="5"/>
        <w:rPr>
          <w:color w:val="auto"/>
          <w:highlight w:val="none"/>
        </w:rPr>
      </w:pPr>
      <w:bookmarkStart w:id="687" w:name="_Toc20159"/>
      <w:bookmarkStart w:id="688" w:name="_Toc247527595"/>
      <w:bookmarkStart w:id="689" w:name="_Toc21116"/>
      <w:bookmarkStart w:id="690" w:name="_Toc8137"/>
      <w:bookmarkStart w:id="691" w:name="_Toc152042346"/>
      <w:bookmarkStart w:id="692" w:name="_Toc494371556"/>
      <w:bookmarkStart w:id="693" w:name="_Toc247513994"/>
      <w:bookmarkStart w:id="694" w:name="_Toc20796"/>
      <w:bookmarkStart w:id="695" w:name="_Toc1202"/>
      <w:bookmarkStart w:id="696" w:name="_Toc300834993"/>
      <w:bookmarkStart w:id="697" w:name="_Toc12825"/>
      <w:bookmarkStart w:id="698" w:name="_Toc14095"/>
      <w:bookmarkStart w:id="699" w:name="_Toc152045570"/>
      <w:bookmarkStart w:id="700" w:name="_Toc21568"/>
      <w:bookmarkStart w:id="701" w:name="_Toc17963"/>
      <w:bookmarkStart w:id="702" w:name="_Toc144974538"/>
      <w:bookmarkStart w:id="703" w:name="_Toc5220"/>
      <w:r>
        <w:rPr>
          <w:rFonts w:ascii="Times New Roman" w:hAnsi="Times New Roman"/>
          <w:color w:val="auto"/>
          <w:highlight w:val="none"/>
        </w:rPr>
        <w:t>7.</w:t>
      </w:r>
      <w:r>
        <w:rPr>
          <w:rFonts w:hint="eastAsia" w:ascii="Times New Roman" w:hAnsi="Times New Roman"/>
          <w:color w:val="auto"/>
          <w:highlight w:val="none"/>
        </w:rPr>
        <w:t>4</w:t>
      </w:r>
      <w:r>
        <w:rPr>
          <w:color w:val="auto"/>
          <w:highlight w:val="none"/>
        </w:rPr>
        <w:t xml:space="preserve"> 签订合同</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p>
      <w:pPr>
        <w:spacing w:line="400" w:lineRule="exact"/>
        <w:ind w:firstLine="420" w:firstLineChars="200"/>
        <w:rPr>
          <w:color w:val="auto"/>
          <w:highlight w:val="none"/>
        </w:rPr>
      </w:pPr>
      <w:r>
        <w:rPr>
          <w:color w:val="auto"/>
          <w:highlight w:val="none"/>
        </w:rPr>
        <w:t xml:space="preserve">7.5.1 </w:t>
      </w:r>
      <w:r>
        <w:rPr>
          <w:rFonts w:hint="eastAsia"/>
          <w:color w:val="auto"/>
          <w:highlight w:val="none"/>
        </w:rPr>
        <w:t>招标人和中标人应当自中标通知书发出之日起7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color w:val="auto"/>
          <w:highlight w:val="none"/>
        </w:rPr>
      </w:pPr>
      <w:r>
        <w:rPr>
          <w:color w:val="auto"/>
          <w:highlight w:val="none"/>
        </w:rPr>
        <w:t xml:space="preserve">7.5.2 </w:t>
      </w:r>
      <w:r>
        <w:rPr>
          <w:rFonts w:hint="eastAsia"/>
          <w:color w:val="auto"/>
          <w:highlight w:val="none"/>
        </w:rPr>
        <w:t>发出中标通知书后，招标人无正当理由拒签合同的，招标人向中标人退还投标保证金；给中标人造成损失的，还应当赔偿损失。</w:t>
      </w:r>
    </w:p>
    <w:p>
      <w:pPr>
        <w:pStyle w:val="4"/>
        <w:rPr>
          <w:color w:val="auto"/>
          <w:highlight w:val="none"/>
        </w:rPr>
      </w:pPr>
      <w:bookmarkStart w:id="704" w:name="_Toc152045571"/>
      <w:bookmarkStart w:id="705" w:name="_Toc247527596"/>
      <w:bookmarkStart w:id="706" w:name="_Toc144974539"/>
      <w:bookmarkStart w:id="707" w:name="_Toc247513995"/>
      <w:bookmarkStart w:id="708" w:name="_Toc152042347"/>
      <w:bookmarkStart w:id="709" w:name="_Toc300834994"/>
      <w:bookmarkStart w:id="710" w:name="_Toc22337"/>
      <w:bookmarkStart w:id="711" w:name="_Toc5006"/>
      <w:bookmarkStart w:id="712" w:name="_Toc494371557"/>
      <w:bookmarkStart w:id="713" w:name="_Toc24208"/>
      <w:bookmarkStart w:id="714" w:name="_Toc25097"/>
      <w:bookmarkStart w:id="715" w:name="_Toc25920"/>
      <w:bookmarkStart w:id="716" w:name="_Toc4387"/>
      <w:bookmarkStart w:id="717" w:name="_Toc27652"/>
      <w:bookmarkStart w:id="718" w:name="_Toc1819"/>
      <w:bookmarkStart w:id="719" w:name="_Toc26309"/>
      <w:bookmarkStart w:id="720" w:name="_Toc12071"/>
      <w:bookmarkStart w:id="721" w:name="_Toc7104"/>
      <w:bookmarkStart w:id="722" w:name="_Toc3080"/>
      <w:r>
        <w:rPr>
          <w:color w:val="auto"/>
          <w:highlight w:val="none"/>
        </w:rPr>
        <w:t>8</w:t>
      </w:r>
      <w:bookmarkEnd w:id="704"/>
      <w:bookmarkEnd w:id="705"/>
      <w:bookmarkEnd w:id="706"/>
      <w:bookmarkEnd w:id="707"/>
      <w:bookmarkEnd w:id="708"/>
      <w:bookmarkStart w:id="723" w:name="_Toc247513998"/>
      <w:bookmarkStart w:id="724" w:name="_Toc144974542"/>
      <w:bookmarkStart w:id="725" w:name="_Toc152045574"/>
      <w:bookmarkStart w:id="726" w:name="_Toc247527599"/>
      <w:bookmarkStart w:id="727" w:name="_Toc152042350"/>
      <w:r>
        <w:rPr>
          <w:rFonts w:hint="eastAsia"/>
          <w:color w:val="auto"/>
          <w:highlight w:val="none"/>
        </w:rPr>
        <w:t>. 纪律和监督</w:t>
      </w:r>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p>
    <w:p>
      <w:pPr>
        <w:pStyle w:val="5"/>
        <w:rPr>
          <w:color w:val="auto"/>
          <w:highlight w:val="none"/>
        </w:rPr>
      </w:pPr>
      <w:bookmarkStart w:id="728" w:name="_Toc22388"/>
      <w:bookmarkStart w:id="729" w:name="_Toc152045575"/>
      <w:bookmarkStart w:id="730" w:name="_Toc26340"/>
      <w:bookmarkStart w:id="731" w:name="_Toc12304"/>
      <w:bookmarkStart w:id="732" w:name="_Toc494371558"/>
      <w:bookmarkStart w:id="733" w:name="_Toc27050"/>
      <w:bookmarkStart w:id="734" w:name="_Toc27460"/>
      <w:bookmarkStart w:id="735" w:name="_Toc300834995"/>
      <w:bookmarkStart w:id="736" w:name="_Toc32569"/>
      <w:bookmarkStart w:id="737" w:name="_Toc15792"/>
      <w:bookmarkStart w:id="738" w:name="_Toc144974543"/>
      <w:bookmarkStart w:id="739" w:name="_Toc247513999"/>
      <w:bookmarkStart w:id="740" w:name="_Toc13879"/>
      <w:bookmarkStart w:id="741" w:name="_Toc152042351"/>
      <w:bookmarkStart w:id="742" w:name="_Toc23906"/>
      <w:bookmarkStart w:id="743" w:name="_Toc7513"/>
      <w:bookmarkStart w:id="744" w:name="_Toc247527600"/>
      <w:r>
        <w:rPr>
          <w:rFonts w:ascii="Times New Roman" w:hAnsi="Times New Roman"/>
          <w:color w:val="auto"/>
          <w:highlight w:val="none"/>
        </w:rPr>
        <w:t>8.1</w:t>
      </w:r>
      <w:r>
        <w:rPr>
          <w:color w:val="auto"/>
          <w:highlight w:val="none"/>
        </w:rPr>
        <w:t xml:space="preserve"> 对招标人的纪律要求</w:t>
      </w:r>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p>
    <w:p>
      <w:pPr>
        <w:spacing w:line="400" w:lineRule="exact"/>
        <w:ind w:firstLine="420" w:firstLineChars="200"/>
        <w:rPr>
          <w:color w:val="auto"/>
          <w:highlight w:val="none"/>
        </w:rPr>
      </w:pPr>
      <w:r>
        <w:rPr>
          <w:rFonts w:hint="eastAsia"/>
          <w:color w:val="auto"/>
          <w:highlight w:val="none"/>
        </w:rPr>
        <w:t>招标人不得泄漏招标投标活动中应当保密的情况和资料，不得与投标人串通损害国家利益、社会公共利益或者他人合法权益。</w:t>
      </w:r>
    </w:p>
    <w:p>
      <w:pPr>
        <w:pStyle w:val="5"/>
        <w:rPr>
          <w:color w:val="auto"/>
          <w:highlight w:val="none"/>
        </w:rPr>
      </w:pPr>
      <w:bookmarkStart w:id="745" w:name="_Toc31880"/>
      <w:bookmarkStart w:id="746" w:name="_Toc19057"/>
      <w:bookmarkStart w:id="747" w:name="_Toc26587"/>
      <w:bookmarkStart w:id="748" w:name="_Toc152042352"/>
      <w:bookmarkStart w:id="749" w:name="_Toc15845"/>
      <w:bookmarkStart w:id="750" w:name="_Toc8212"/>
      <w:bookmarkStart w:id="751" w:name="_Toc494371559"/>
      <w:bookmarkStart w:id="752" w:name="_Toc300834996"/>
      <w:bookmarkStart w:id="753" w:name="_Toc144974544"/>
      <w:bookmarkStart w:id="754" w:name="_Toc152045576"/>
      <w:bookmarkStart w:id="755" w:name="_Toc247514000"/>
      <w:bookmarkStart w:id="756" w:name="_Toc2646"/>
      <w:bookmarkStart w:id="757" w:name="_Toc14942"/>
      <w:bookmarkStart w:id="758" w:name="_Toc4332"/>
      <w:bookmarkStart w:id="759" w:name="_Toc25080"/>
      <w:bookmarkStart w:id="760" w:name="_Toc247527601"/>
      <w:bookmarkStart w:id="761" w:name="_Toc31828"/>
      <w:r>
        <w:rPr>
          <w:rFonts w:ascii="Times New Roman" w:hAnsi="Times New Roman"/>
          <w:color w:val="auto"/>
          <w:highlight w:val="none"/>
        </w:rPr>
        <w:t>8.2</w:t>
      </w:r>
      <w:r>
        <w:rPr>
          <w:color w:val="auto"/>
          <w:highlight w:val="none"/>
        </w:rPr>
        <w:t xml:space="preserve"> 对投标人的纪律要求</w:t>
      </w:r>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p>
    <w:p>
      <w:pPr>
        <w:spacing w:line="400" w:lineRule="exact"/>
        <w:ind w:firstLine="420" w:firstLineChars="200"/>
        <w:rPr>
          <w:color w:val="auto"/>
          <w:highlight w:val="none"/>
        </w:rPr>
      </w:pPr>
      <w:r>
        <w:rPr>
          <w:rFonts w:hint="eastAsia"/>
          <w:color w:val="auto"/>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rPr>
          <w:color w:val="auto"/>
          <w:highlight w:val="none"/>
        </w:rPr>
      </w:pPr>
      <w:bookmarkStart w:id="762" w:name="_Toc11809"/>
      <w:bookmarkStart w:id="763" w:name="_Toc15492"/>
      <w:bookmarkStart w:id="764" w:name="_Toc402"/>
      <w:bookmarkStart w:id="765" w:name="_Toc21624"/>
      <w:bookmarkStart w:id="766" w:name="_Toc300834997"/>
      <w:bookmarkStart w:id="767" w:name="_Toc28024"/>
      <w:bookmarkStart w:id="768" w:name="_Toc23820"/>
      <w:bookmarkStart w:id="769" w:name="_Toc247527602"/>
      <w:bookmarkStart w:id="770" w:name="_Toc152042353"/>
      <w:bookmarkStart w:id="771" w:name="_Toc15857"/>
      <w:bookmarkStart w:id="772" w:name="_Toc17727"/>
      <w:bookmarkStart w:id="773" w:name="_Toc17070"/>
      <w:bookmarkStart w:id="774" w:name="_Toc144974545"/>
      <w:bookmarkStart w:id="775" w:name="_Toc247514001"/>
      <w:bookmarkStart w:id="776" w:name="_Toc152045577"/>
      <w:bookmarkStart w:id="777" w:name="_Toc9766"/>
      <w:bookmarkStart w:id="778" w:name="_Toc494371560"/>
      <w:r>
        <w:rPr>
          <w:rFonts w:ascii="Times New Roman" w:hAnsi="Times New Roman"/>
          <w:color w:val="auto"/>
          <w:highlight w:val="none"/>
        </w:rPr>
        <w:t>8.3</w:t>
      </w:r>
      <w:r>
        <w:rPr>
          <w:color w:val="auto"/>
          <w:highlight w:val="none"/>
        </w:rPr>
        <w:t xml:space="preserve"> 对评标委员会成员的纪律要求</w:t>
      </w:r>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p>
      <w:pPr>
        <w:spacing w:line="400" w:lineRule="exact"/>
        <w:ind w:firstLine="420" w:firstLineChars="200"/>
        <w:rPr>
          <w:color w:val="auto"/>
          <w:highlight w:val="none"/>
        </w:rPr>
      </w:pPr>
      <w:r>
        <w:rPr>
          <w:rFonts w:hint="eastAsia"/>
          <w:color w:val="auto"/>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5"/>
        <w:rPr>
          <w:color w:val="auto"/>
          <w:highlight w:val="none"/>
        </w:rPr>
      </w:pPr>
      <w:bookmarkStart w:id="779" w:name="_Toc23511"/>
      <w:bookmarkStart w:id="780" w:name="_Toc300834998"/>
      <w:bookmarkStart w:id="781" w:name="_Toc7845"/>
      <w:bookmarkStart w:id="782" w:name="_Toc247514002"/>
      <w:bookmarkStart w:id="783" w:name="_Toc10968"/>
      <w:bookmarkStart w:id="784" w:name="_Toc152045578"/>
      <w:bookmarkStart w:id="785" w:name="_Toc15170"/>
      <w:bookmarkStart w:id="786" w:name="_Toc30457"/>
      <w:bookmarkStart w:id="787" w:name="_Toc29753"/>
      <w:bookmarkStart w:id="788" w:name="_Toc21492"/>
      <w:bookmarkStart w:id="789" w:name="_Toc11718"/>
      <w:bookmarkStart w:id="790" w:name="_Toc27915"/>
      <w:bookmarkStart w:id="791" w:name="_Toc247527603"/>
      <w:bookmarkStart w:id="792" w:name="_Toc4059"/>
      <w:bookmarkStart w:id="793" w:name="_Toc152042354"/>
      <w:bookmarkStart w:id="794" w:name="_Toc494371561"/>
      <w:bookmarkStart w:id="795" w:name="_Toc144974546"/>
      <w:r>
        <w:rPr>
          <w:rFonts w:ascii="Times New Roman" w:hAnsi="Times New Roman"/>
          <w:color w:val="auto"/>
          <w:highlight w:val="none"/>
        </w:rPr>
        <w:t>8.4</w:t>
      </w:r>
      <w:r>
        <w:rPr>
          <w:color w:val="auto"/>
          <w:highlight w:val="none"/>
        </w:rPr>
        <w:t xml:space="preserve"> 对与评标活动有关的工作人员的纪律要求</w:t>
      </w:r>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p>
    <w:p>
      <w:pPr>
        <w:spacing w:line="400" w:lineRule="exact"/>
        <w:ind w:firstLine="420" w:firstLineChars="200"/>
        <w:rPr>
          <w:color w:val="auto"/>
          <w:highlight w:val="none"/>
        </w:rPr>
      </w:pPr>
      <w:bookmarkStart w:id="796" w:name="_Toc152042355"/>
      <w:r>
        <w:rPr>
          <w:rFonts w:hint="eastAsia"/>
          <w:color w:val="auto"/>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796"/>
    </w:p>
    <w:p>
      <w:pPr>
        <w:pStyle w:val="5"/>
        <w:rPr>
          <w:color w:val="auto"/>
          <w:highlight w:val="none"/>
        </w:rPr>
      </w:pPr>
      <w:bookmarkStart w:id="797" w:name="_Toc9764"/>
      <w:bookmarkStart w:id="798" w:name="_Toc18798"/>
      <w:bookmarkStart w:id="799" w:name="_Toc32045"/>
      <w:bookmarkStart w:id="800" w:name="_Toc300834999"/>
      <w:bookmarkStart w:id="801" w:name="_Toc247527604"/>
      <w:bookmarkStart w:id="802" w:name="_Toc1588"/>
      <w:bookmarkStart w:id="803" w:name="_Toc247514003"/>
      <w:bookmarkStart w:id="804" w:name="_Toc24198"/>
      <w:bookmarkStart w:id="805" w:name="_Toc29127"/>
      <w:bookmarkStart w:id="806" w:name="_Toc21044"/>
      <w:bookmarkStart w:id="807" w:name="_Toc494371562"/>
      <w:bookmarkStart w:id="808" w:name="_Toc152042356"/>
      <w:bookmarkStart w:id="809" w:name="_Toc152045579"/>
      <w:bookmarkStart w:id="810" w:name="_Toc13039"/>
      <w:bookmarkStart w:id="811" w:name="_Toc19195"/>
      <w:bookmarkStart w:id="812" w:name="_Toc26570"/>
      <w:r>
        <w:rPr>
          <w:rFonts w:ascii="Times New Roman" w:hAnsi="Times New Roman"/>
          <w:color w:val="auto"/>
          <w:highlight w:val="none"/>
        </w:rPr>
        <w:t>8.5</w:t>
      </w:r>
      <w:r>
        <w:rPr>
          <w:color w:val="auto"/>
          <w:highlight w:val="none"/>
        </w:rPr>
        <w:t xml:space="preserve"> 投诉</w:t>
      </w:r>
      <w:bookmarkEnd w:id="795"/>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p>
      <w:pPr>
        <w:spacing w:line="400" w:lineRule="exact"/>
        <w:ind w:firstLine="420" w:firstLineChars="200"/>
        <w:rPr>
          <w:color w:val="auto"/>
          <w:highlight w:val="none"/>
        </w:rPr>
      </w:pPr>
      <w:r>
        <w:rPr>
          <w:rFonts w:hint="eastAsia"/>
          <w:color w:val="auto"/>
          <w:highlight w:val="none"/>
        </w:rPr>
        <w:t>投标人和其他利害关系人认为本次招标活动违反法律、法规和规章规定的，有权向有关行政监督部门投诉。</w:t>
      </w:r>
    </w:p>
    <w:p>
      <w:pPr>
        <w:pStyle w:val="4"/>
        <w:rPr>
          <w:color w:val="auto"/>
          <w:highlight w:val="none"/>
        </w:rPr>
      </w:pPr>
      <w:bookmarkStart w:id="813" w:name="_Toc10294"/>
      <w:bookmarkStart w:id="814" w:name="_Toc9682"/>
      <w:bookmarkStart w:id="815" w:name="_Toc152042357"/>
      <w:bookmarkStart w:id="816" w:name="_Toc247514004"/>
      <w:bookmarkStart w:id="817" w:name="_Toc15576"/>
      <w:bookmarkStart w:id="818" w:name="_Toc11552"/>
      <w:bookmarkStart w:id="819" w:name="_Toc24403"/>
      <w:bookmarkStart w:id="820" w:name="_Toc22887"/>
      <w:bookmarkStart w:id="821" w:name="_Toc797"/>
      <w:bookmarkStart w:id="822" w:name="_Toc25605"/>
      <w:bookmarkStart w:id="823" w:name="_Toc28094"/>
      <w:bookmarkStart w:id="824" w:name="_Toc300835000"/>
      <w:bookmarkStart w:id="825" w:name="_Toc144974547"/>
      <w:bookmarkStart w:id="826" w:name="_Toc2189"/>
      <w:bookmarkStart w:id="827" w:name="_Toc8751"/>
      <w:bookmarkStart w:id="828" w:name="_Toc247527605"/>
      <w:bookmarkStart w:id="829" w:name="_Toc32584"/>
      <w:bookmarkStart w:id="830" w:name="_Toc152045580"/>
      <w:bookmarkStart w:id="831" w:name="_Toc494371563"/>
      <w:r>
        <w:rPr>
          <w:color w:val="auto"/>
          <w:highlight w:val="none"/>
        </w:rPr>
        <w:t xml:space="preserve">9. </w:t>
      </w:r>
      <w:r>
        <w:rPr>
          <w:rFonts w:hint="eastAsia"/>
          <w:color w:val="auto"/>
          <w:highlight w:val="none"/>
        </w:rPr>
        <w:t>需要补充的其他内容</w:t>
      </w:r>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p>
    <w:p>
      <w:pPr>
        <w:spacing w:line="400" w:lineRule="exact"/>
        <w:ind w:firstLine="420" w:firstLineChars="200"/>
        <w:rPr>
          <w:color w:val="auto"/>
          <w:highlight w:val="none"/>
        </w:rPr>
      </w:pPr>
      <w:r>
        <w:rPr>
          <w:rFonts w:hint="eastAsia"/>
          <w:color w:val="auto"/>
          <w:highlight w:val="none"/>
        </w:rPr>
        <w:t>需要补充的其他内容：见投标人须知前附表。</w:t>
      </w:r>
    </w:p>
    <w:p>
      <w:pPr>
        <w:spacing w:line="400" w:lineRule="exact"/>
        <w:ind w:firstLine="420" w:firstLineChars="200"/>
        <w:rPr>
          <w:color w:val="auto"/>
          <w:highlight w:val="none"/>
        </w:rPr>
        <w:sectPr>
          <w:pgSz w:w="11906" w:h="16838"/>
          <w:pgMar w:top="1247" w:right="1134" w:bottom="1247" w:left="1361" w:header="851" w:footer="992" w:gutter="0"/>
          <w:cols w:space="720" w:num="1"/>
          <w:docGrid w:type="lines" w:linePitch="312" w:charSpace="0"/>
        </w:sectPr>
      </w:pPr>
    </w:p>
    <w:p>
      <w:pPr>
        <w:pStyle w:val="5"/>
        <w:rPr>
          <w:color w:val="auto"/>
          <w:highlight w:val="none"/>
        </w:rPr>
      </w:pPr>
      <w:bookmarkStart w:id="832" w:name="_Toc9735"/>
      <w:bookmarkStart w:id="833" w:name="_Toc152042358"/>
      <w:bookmarkStart w:id="834" w:name="_Toc247527606"/>
      <w:bookmarkStart w:id="835" w:name="_Toc30853"/>
      <w:bookmarkStart w:id="836" w:name="_Toc32210"/>
      <w:bookmarkStart w:id="837" w:name="_Toc6420"/>
      <w:bookmarkStart w:id="838" w:name="_Toc2797"/>
      <w:bookmarkStart w:id="839" w:name="_Toc494371565"/>
      <w:bookmarkStart w:id="840" w:name="_Toc152045581"/>
      <w:bookmarkStart w:id="841" w:name="_Toc19905"/>
      <w:bookmarkStart w:id="842" w:name="_Toc300835002"/>
      <w:bookmarkStart w:id="843" w:name="_Toc16200"/>
      <w:bookmarkStart w:id="844" w:name="_Toc247514005"/>
      <w:bookmarkStart w:id="845" w:name="_Toc15442"/>
      <w:bookmarkStart w:id="846" w:name="_Toc18813"/>
      <w:bookmarkStart w:id="847" w:name="_Toc144974548"/>
      <w:bookmarkStart w:id="848" w:name="_Toc32753"/>
      <w:r>
        <w:rPr>
          <w:rFonts w:hint="eastAsia"/>
          <w:color w:val="auto"/>
          <w:highlight w:val="none"/>
        </w:rPr>
        <w:t>附表：开标记录表</w:t>
      </w:r>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p>
    <w:p>
      <w:pPr>
        <w:spacing w:line="400" w:lineRule="exact"/>
        <w:jc w:val="center"/>
        <w:rPr>
          <w:rFonts w:ascii="黑体" w:eastAsia="黑体"/>
          <w:color w:val="auto"/>
          <w:sz w:val="28"/>
          <w:szCs w:val="28"/>
          <w:highlight w:val="none"/>
        </w:rPr>
      </w:pPr>
      <w:r>
        <w:rPr>
          <w:rFonts w:hint="eastAsia" w:ascii="黑体" w:eastAsia="黑体"/>
          <w:color w:val="auto"/>
          <w:sz w:val="28"/>
          <w:szCs w:val="28"/>
          <w:highlight w:val="none"/>
        </w:rPr>
        <w:t>开标记录表</w:t>
      </w:r>
    </w:p>
    <w:p>
      <w:pPr>
        <w:spacing w:line="620" w:lineRule="exact"/>
        <w:rPr>
          <w:color w:val="auto"/>
          <w:szCs w:val="21"/>
          <w:highlight w:val="none"/>
          <w:u w:val="single"/>
        </w:rPr>
      </w:pPr>
    </w:p>
    <w:p>
      <w:pPr>
        <w:spacing w:line="400" w:lineRule="exact"/>
        <w:ind w:right="420"/>
        <w:jc w:val="left"/>
        <w:rPr>
          <w:color w:val="auto"/>
          <w:highlight w:val="none"/>
        </w:rPr>
      </w:pPr>
      <w:r>
        <w:rPr>
          <w:rFonts w:hint="eastAsia"/>
          <w:color w:val="auto"/>
          <w:szCs w:val="21"/>
          <w:highlight w:val="none"/>
        </w:rPr>
        <w:t>项目名称：</w:t>
      </w:r>
    </w:p>
    <w:tbl>
      <w:tblPr>
        <w:tblStyle w:val="38"/>
        <w:tblW w:w="15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933"/>
        <w:gridCol w:w="723"/>
        <w:gridCol w:w="1058"/>
        <w:gridCol w:w="770"/>
        <w:gridCol w:w="800"/>
        <w:gridCol w:w="715"/>
        <w:gridCol w:w="1354"/>
        <w:gridCol w:w="1330"/>
        <w:gridCol w:w="916"/>
        <w:gridCol w:w="1209"/>
        <w:gridCol w:w="917"/>
        <w:gridCol w:w="1046"/>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568" w:type="dxa"/>
            <w:vAlign w:val="center"/>
          </w:tcPr>
          <w:p>
            <w:pPr>
              <w:jc w:val="center"/>
              <w:rPr>
                <w:color w:val="auto"/>
                <w:sz w:val="18"/>
                <w:szCs w:val="18"/>
                <w:highlight w:val="none"/>
              </w:rPr>
            </w:pPr>
            <w:r>
              <w:rPr>
                <w:rFonts w:hint="eastAsia"/>
                <w:color w:val="auto"/>
                <w:sz w:val="18"/>
                <w:szCs w:val="18"/>
                <w:highlight w:val="none"/>
              </w:rPr>
              <w:t>序号</w:t>
            </w:r>
          </w:p>
        </w:tc>
        <w:tc>
          <w:tcPr>
            <w:tcW w:w="1933" w:type="dxa"/>
            <w:vAlign w:val="center"/>
          </w:tcPr>
          <w:p>
            <w:pPr>
              <w:jc w:val="center"/>
              <w:rPr>
                <w:color w:val="auto"/>
                <w:sz w:val="18"/>
                <w:szCs w:val="18"/>
                <w:highlight w:val="none"/>
              </w:rPr>
            </w:pPr>
            <w:r>
              <w:rPr>
                <w:rFonts w:hint="eastAsia"/>
                <w:color w:val="auto"/>
                <w:sz w:val="18"/>
                <w:szCs w:val="18"/>
                <w:highlight w:val="none"/>
              </w:rPr>
              <w:t>投标人名称</w:t>
            </w:r>
          </w:p>
        </w:tc>
        <w:tc>
          <w:tcPr>
            <w:tcW w:w="723" w:type="dxa"/>
            <w:vAlign w:val="center"/>
          </w:tcPr>
          <w:p>
            <w:pPr>
              <w:jc w:val="center"/>
              <w:rPr>
                <w:color w:val="auto"/>
                <w:sz w:val="18"/>
                <w:szCs w:val="18"/>
                <w:highlight w:val="none"/>
              </w:rPr>
            </w:pPr>
            <w:r>
              <w:rPr>
                <w:rFonts w:hint="eastAsia"/>
                <w:color w:val="auto"/>
                <w:sz w:val="18"/>
                <w:szCs w:val="18"/>
                <w:highlight w:val="none"/>
              </w:rPr>
              <w:t>投标文件</w:t>
            </w:r>
          </w:p>
          <w:p>
            <w:pPr>
              <w:jc w:val="center"/>
              <w:rPr>
                <w:color w:val="auto"/>
                <w:sz w:val="18"/>
                <w:szCs w:val="18"/>
                <w:highlight w:val="none"/>
              </w:rPr>
            </w:pPr>
            <w:r>
              <w:rPr>
                <w:rFonts w:hint="eastAsia"/>
                <w:color w:val="auto"/>
                <w:sz w:val="18"/>
                <w:szCs w:val="18"/>
                <w:highlight w:val="none"/>
              </w:rPr>
              <w:t>密封性</w:t>
            </w:r>
          </w:p>
        </w:tc>
        <w:tc>
          <w:tcPr>
            <w:tcW w:w="1058" w:type="dxa"/>
            <w:vAlign w:val="center"/>
          </w:tcPr>
          <w:p>
            <w:pPr>
              <w:jc w:val="center"/>
              <w:rPr>
                <w:color w:val="auto"/>
                <w:sz w:val="18"/>
                <w:szCs w:val="18"/>
                <w:highlight w:val="none"/>
              </w:rPr>
            </w:pPr>
            <w:r>
              <w:rPr>
                <w:rFonts w:hint="eastAsia"/>
                <w:color w:val="auto"/>
                <w:sz w:val="18"/>
                <w:szCs w:val="18"/>
                <w:highlight w:val="none"/>
              </w:rPr>
              <w:t>有无法定代表人证明书及授权委托证明书</w:t>
            </w:r>
          </w:p>
        </w:tc>
        <w:tc>
          <w:tcPr>
            <w:tcW w:w="770" w:type="dxa"/>
            <w:vAlign w:val="center"/>
          </w:tcPr>
          <w:p>
            <w:pPr>
              <w:jc w:val="center"/>
              <w:rPr>
                <w:color w:val="auto"/>
                <w:sz w:val="18"/>
                <w:szCs w:val="18"/>
                <w:highlight w:val="none"/>
              </w:rPr>
            </w:pPr>
            <w:r>
              <w:rPr>
                <w:rFonts w:hint="eastAsia"/>
                <w:color w:val="auto"/>
                <w:sz w:val="18"/>
                <w:szCs w:val="18"/>
                <w:highlight w:val="none"/>
              </w:rPr>
              <w:t>有无递交投标担保金</w:t>
            </w:r>
          </w:p>
        </w:tc>
        <w:tc>
          <w:tcPr>
            <w:tcW w:w="800" w:type="dxa"/>
            <w:vAlign w:val="center"/>
          </w:tcPr>
          <w:p>
            <w:pPr>
              <w:jc w:val="center"/>
              <w:rPr>
                <w:color w:val="auto"/>
                <w:sz w:val="18"/>
                <w:szCs w:val="18"/>
                <w:highlight w:val="none"/>
              </w:rPr>
            </w:pPr>
            <w:r>
              <w:rPr>
                <w:rFonts w:hint="eastAsia"/>
                <w:color w:val="auto"/>
                <w:sz w:val="18"/>
                <w:szCs w:val="18"/>
                <w:highlight w:val="none"/>
              </w:rPr>
              <w:t>工期（日历天）</w:t>
            </w:r>
          </w:p>
        </w:tc>
        <w:tc>
          <w:tcPr>
            <w:tcW w:w="715" w:type="dxa"/>
            <w:vAlign w:val="center"/>
          </w:tcPr>
          <w:p>
            <w:pPr>
              <w:jc w:val="center"/>
              <w:rPr>
                <w:color w:val="auto"/>
                <w:sz w:val="18"/>
                <w:szCs w:val="18"/>
                <w:highlight w:val="none"/>
              </w:rPr>
            </w:pPr>
            <w:r>
              <w:rPr>
                <w:rFonts w:hint="eastAsia"/>
                <w:color w:val="auto"/>
                <w:sz w:val="18"/>
                <w:szCs w:val="18"/>
                <w:highlight w:val="none"/>
              </w:rPr>
              <w:t>质量标准</w:t>
            </w:r>
          </w:p>
        </w:tc>
        <w:tc>
          <w:tcPr>
            <w:tcW w:w="1354" w:type="dxa"/>
            <w:vAlign w:val="center"/>
          </w:tcPr>
          <w:p>
            <w:pPr>
              <w:jc w:val="center"/>
              <w:rPr>
                <w:color w:val="auto"/>
                <w:sz w:val="18"/>
                <w:szCs w:val="18"/>
                <w:highlight w:val="none"/>
              </w:rPr>
            </w:pPr>
            <w:r>
              <w:rPr>
                <w:rFonts w:hint="eastAsia"/>
                <w:color w:val="auto"/>
                <w:sz w:val="18"/>
                <w:szCs w:val="18"/>
                <w:highlight w:val="none"/>
              </w:rPr>
              <w:t>施工负责人</w:t>
            </w:r>
          </w:p>
          <w:p>
            <w:pPr>
              <w:jc w:val="center"/>
              <w:rPr>
                <w:color w:val="auto"/>
                <w:sz w:val="18"/>
                <w:szCs w:val="18"/>
                <w:highlight w:val="none"/>
              </w:rPr>
            </w:pPr>
            <w:r>
              <w:rPr>
                <w:rFonts w:hint="eastAsia"/>
                <w:color w:val="auto"/>
                <w:sz w:val="18"/>
                <w:szCs w:val="18"/>
                <w:highlight w:val="none"/>
              </w:rPr>
              <w:t>（投标文件）</w:t>
            </w:r>
          </w:p>
        </w:tc>
        <w:tc>
          <w:tcPr>
            <w:tcW w:w="1330" w:type="dxa"/>
            <w:vAlign w:val="center"/>
          </w:tcPr>
          <w:p>
            <w:pPr>
              <w:jc w:val="center"/>
              <w:rPr>
                <w:color w:val="auto"/>
                <w:sz w:val="18"/>
                <w:szCs w:val="18"/>
                <w:highlight w:val="none"/>
              </w:rPr>
            </w:pPr>
            <w:r>
              <w:rPr>
                <w:rFonts w:hint="eastAsia"/>
                <w:color w:val="auto"/>
                <w:sz w:val="18"/>
                <w:szCs w:val="18"/>
                <w:highlight w:val="none"/>
              </w:rPr>
              <w:t>设计负责人</w:t>
            </w:r>
          </w:p>
          <w:p>
            <w:pPr>
              <w:jc w:val="center"/>
              <w:rPr>
                <w:color w:val="auto"/>
                <w:sz w:val="18"/>
                <w:szCs w:val="18"/>
                <w:highlight w:val="none"/>
              </w:rPr>
            </w:pPr>
            <w:r>
              <w:rPr>
                <w:rFonts w:hint="eastAsia"/>
                <w:color w:val="auto"/>
                <w:sz w:val="18"/>
                <w:szCs w:val="18"/>
                <w:highlight w:val="none"/>
              </w:rPr>
              <w:t>（投标文件）</w:t>
            </w:r>
          </w:p>
        </w:tc>
        <w:tc>
          <w:tcPr>
            <w:tcW w:w="916" w:type="dxa"/>
            <w:vAlign w:val="center"/>
          </w:tcPr>
          <w:p>
            <w:pPr>
              <w:jc w:val="center"/>
              <w:rPr>
                <w:color w:val="auto"/>
                <w:sz w:val="18"/>
                <w:szCs w:val="18"/>
                <w:highlight w:val="none"/>
              </w:rPr>
            </w:pPr>
            <w:r>
              <w:rPr>
                <w:rFonts w:hint="eastAsia"/>
                <w:color w:val="auto"/>
                <w:sz w:val="18"/>
                <w:szCs w:val="18"/>
                <w:highlight w:val="none"/>
              </w:rPr>
              <w:t>安全员（投标文件）</w:t>
            </w:r>
          </w:p>
        </w:tc>
        <w:tc>
          <w:tcPr>
            <w:tcW w:w="1209" w:type="dxa"/>
            <w:vAlign w:val="center"/>
          </w:tcPr>
          <w:p>
            <w:pPr>
              <w:jc w:val="center"/>
              <w:rPr>
                <w:color w:val="auto"/>
                <w:sz w:val="18"/>
                <w:szCs w:val="18"/>
                <w:highlight w:val="none"/>
              </w:rPr>
            </w:pPr>
            <w:r>
              <w:rPr>
                <w:rFonts w:hint="eastAsia"/>
                <w:color w:val="auto"/>
                <w:sz w:val="18"/>
                <w:szCs w:val="18"/>
                <w:highlight w:val="none"/>
              </w:rPr>
              <w:t>投标总报价</w:t>
            </w:r>
          </w:p>
          <w:p>
            <w:pPr>
              <w:jc w:val="center"/>
              <w:rPr>
                <w:color w:val="auto"/>
                <w:sz w:val="18"/>
                <w:szCs w:val="18"/>
                <w:highlight w:val="none"/>
              </w:rPr>
            </w:pPr>
            <w:r>
              <w:rPr>
                <w:rFonts w:hint="eastAsia"/>
                <w:color w:val="auto"/>
                <w:sz w:val="18"/>
                <w:szCs w:val="18"/>
                <w:highlight w:val="none"/>
              </w:rPr>
              <w:t>（万元）</w:t>
            </w:r>
          </w:p>
        </w:tc>
        <w:tc>
          <w:tcPr>
            <w:tcW w:w="917" w:type="dxa"/>
            <w:vAlign w:val="center"/>
          </w:tcPr>
          <w:p>
            <w:pPr>
              <w:jc w:val="center"/>
              <w:rPr>
                <w:color w:val="auto"/>
                <w:sz w:val="18"/>
                <w:szCs w:val="18"/>
                <w:highlight w:val="none"/>
              </w:rPr>
            </w:pPr>
            <w:r>
              <w:rPr>
                <w:rFonts w:hint="eastAsia"/>
                <w:color w:val="auto"/>
                <w:sz w:val="18"/>
                <w:szCs w:val="18"/>
                <w:highlight w:val="none"/>
              </w:rPr>
              <w:t>设计费（万元）</w:t>
            </w:r>
          </w:p>
        </w:tc>
        <w:tc>
          <w:tcPr>
            <w:tcW w:w="1046" w:type="dxa"/>
            <w:vAlign w:val="center"/>
          </w:tcPr>
          <w:p>
            <w:pPr>
              <w:jc w:val="center"/>
              <w:rPr>
                <w:color w:val="auto"/>
                <w:sz w:val="18"/>
                <w:szCs w:val="18"/>
                <w:highlight w:val="none"/>
              </w:rPr>
            </w:pPr>
            <w:r>
              <w:rPr>
                <w:rFonts w:hint="eastAsia"/>
                <w:color w:val="auto"/>
                <w:sz w:val="18"/>
                <w:szCs w:val="18"/>
                <w:highlight w:val="none"/>
              </w:rPr>
              <w:t>施工费（万元）</w:t>
            </w:r>
          </w:p>
        </w:tc>
        <w:tc>
          <w:tcPr>
            <w:tcW w:w="1747" w:type="dxa"/>
            <w:vAlign w:val="center"/>
          </w:tcPr>
          <w:p>
            <w:pPr>
              <w:jc w:val="center"/>
              <w:rPr>
                <w:color w:val="auto"/>
                <w:sz w:val="18"/>
                <w:szCs w:val="18"/>
                <w:highlight w:val="none"/>
              </w:rPr>
            </w:pPr>
            <w:r>
              <w:rPr>
                <w:rFonts w:hint="eastAsia"/>
                <w:color w:val="auto"/>
                <w:sz w:val="18"/>
                <w:szCs w:val="18"/>
                <w:highlight w:val="none"/>
              </w:rPr>
              <w:t>投标人代表</w:t>
            </w:r>
          </w:p>
          <w:p>
            <w:pPr>
              <w:jc w:val="center"/>
              <w:rPr>
                <w:color w:val="auto"/>
                <w:sz w:val="18"/>
                <w:szCs w:val="18"/>
                <w:highlight w:val="none"/>
              </w:rPr>
            </w:pPr>
            <w:r>
              <w:rPr>
                <w:rFonts w:hint="eastAsia"/>
                <w:color w:val="auto"/>
                <w:sz w:val="18"/>
                <w:szCs w:val="18"/>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568" w:type="dxa"/>
            <w:vAlign w:val="center"/>
          </w:tcPr>
          <w:p>
            <w:pPr>
              <w:spacing w:line="620" w:lineRule="exact"/>
              <w:jc w:val="center"/>
              <w:rPr>
                <w:color w:val="auto"/>
                <w:szCs w:val="21"/>
                <w:highlight w:val="none"/>
              </w:rPr>
            </w:pPr>
          </w:p>
        </w:tc>
        <w:tc>
          <w:tcPr>
            <w:tcW w:w="1933" w:type="dxa"/>
            <w:vAlign w:val="center"/>
          </w:tcPr>
          <w:p>
            <w:pPr>
              <w:spacing w:line="620" w:lineRule="exact"/>
              <w:jc w:val="center"/>
              <w:rPr>
                <w:color w:val="auto"/>
                <w:szCs w:val="21"/>
                <w:highlight w:val="none"/>
              </w:rPr>
            </w:pPr>
          </w:p>
        </w:tc>
        <w:tc>
          <w:tcPr>
            <w:tcW w:w="723" w:type="dxa"/>
            <w:vAlign w:val="center"/>
          </w:tcPr>
          <w:p>
            <w:pPr>
              <w:spacing w:line="620" w:lineRule="exact"/>
              <w:jc w:val="center"/>
              <w:rPr>
                <w:color w:val="auto"/>
                <w:szCs w:val="21"/>
                <w:highlight w:val="none"/>
              </w:rPr>
            </w:pPr>
          </w:p>
        </w:tc>
        <w:tc>
          <w:tcPr>
            <w:tcW w:w="1058" w:type="dxa"/>
            <w:vAlign w:val="center"/>
          </w:tcPr>
          <w:p>
            <w:pPr>
              <w:spacing w:line="620" w:lineRule="exact"/>
              <w:jc w:val="center"/>
              <w:rPr>
                <w:color w:val="auto"/>
                <w:szCs w:val="21"/>
                <w:highlight w:val="none"/>
              </w:rPr>
            </w:pPr>
          </w:p>
        </w:tc>
        <w:tc>
          <w:tcPr>
            <w:tcW w:w="770" w:type="dxa"/>
            <w:vAlign w:val="center"/>
          </w:tcPr>
          <w:p>
            <w:pPr>
              <w:spacing w:line="620" w:lineRule="exact"/>
              <w:jc w:val="center"/>
              <w:rPr>
                <w:color w:val="auto"/>
                <w:szCs w:val="21"/>
                <w:highlight w:val="none"/>
              </w:rPr>
            </w:pPr>
          </w:p>
        </w:tc>
        <w:tc>
          <w:tcPr>
            <w:tcW w:w="800" w:type="dxa"/>
            <w:vAlign w:val="center"/>
          </w:tcPr>
          <w:p>
            <w:pPr>
              <w:spacing w:line="620" w:lineRule="exact"/>
              <w:jc w:val="center"/>
              <w:rPr>
                <w:color w:val="auto"/>
                <w:szCs w:val="21"/>
                <w:highlight w:val="none"/>
              </w:rPr>
            </w:pPr>
          </w:p>
        </w:tc>
        <w:tc>
          <w:tcPr>
            <w:tcW w:w="715" w:type="dxa"/>
            <w:vAlign w:val="center"/>
          </w:tcPr>
          <w:p>
            <w:pPr>
              <w:spacing w:line="620" w:lineRule="exact"/>
              <w:jc w:val="center"/>
              <w:rPr>
                <w:color w:val="auto"/>
                <w:szCs w:val="21"/>
                <w:highlight w:val="none"/>
              </w:rPr>
            </w:pPr>
          </w:p>
        </w:tc>
        <w:tc>
          <w:tcPr>
            <w:tcW w:w="1354" w:type="dxa"/>
            <w:vAlign w:val="center"/>
          </w:tcPr>
          <w:p>
            <w:pPr>
              <w:spacing w:line="620" w:lineRule="exact"/>
              <w:jc w:val="center"/>
              <w:rPr>
                <w:color w:val="auto"/>
                <w:szCs w:val="21"/>
                <w:highlight w:val="none"/>
              </w:rPr>
            </w:pPr>
          </w:p>
        </w:tc>
        <w:tc>
          <w:tcPr>
            <w:tcW w:w="1330" w:type="dxa"/>
            <w:vAlign w:val="center"/>
          </w:tcPr>
          <w:p>
            <w:pPr>
              <w:spacing w:line="620" w:lineRule="exact"/>
              <w:jc w:val="center"/>
              <w:rPr>
                <w:color w:val="auto"/>
                <w:szCs w:val="21"/>
                <w:highlight w:val="none"/>
              </w:rPr>
            </w:pPr>
          </w:p>
        </w:tc>
        <w:tc>
          <w:tcPr>
            <w:tcW w:w="916" w:type="dxa"/>
            <w:vAlign w:val="center"/>
          </w:tcPr>
          <w:p>
            <w:pPr>
              <w:spacing w:line="620" w:lineRule="exact"/>
              <w:jc w:val="center"/>
              <w:rPr>
                <w:color w:val="auto"/>
                <w:szCs w:val="21"/>
                <w:highlight w:val="none"/>
              </w:rPr>
            </w:pPr>
          </w:p>
        </w:tc>
        <w:tc>
          <w:tcPr>
            <w:tcW w:w="1209" w:type="dxa"/>
            <w:vAlign w:val="center"/>
          </w:tcPr>
          <w:p>
            <w:pPr>
              <w:spacing w:line="620" w:lineRule="exact"/>
              <w:jc w:val="center"/>
              <w:rPr>
                <w:color w:val="auto"/>
                <w:szCs w:val="21"/>
                <w:highlight w:val="none"/>
              </w:rPr>
            </w:pPr>
          </w:p>
        </w:tc>
        <w:tc>
          <w:tcPr>
            <w:tcW w:w="917" w:type="dxa"/>
          </w:tcPr>
          <w:p>
            <w:pPr>
              <w:spacing w:line="620" w:lineRule="exact"/>
              <w:jc w:val="center"/>
              <w:rPr>
                <w:color w:val="auto"/>
                <w:szCs w:val="21"/>
                <w:highlight w:val="none"/>
              </w:rPr>
            </w:pPr>
          </w:p>
        </w:tc>
        <w:tc>
          <w:tcPr>
            <w:tcW w:w="1046" w:type="dxa"/>
          </w:tcPr>
          <w:p>
            <w:pPr>
              <w:spacing w:line="620" w:lineRule="exact"/>
              <w:jc w:val="center"/>
              <w:rPr>
                <w:color w:val="auto"/>
                <w:szCs w:val="21"/>
                <w:highlight w:val="none"/>
              </w:rPr>
            </w:pPr>
          </w:p>
        </w:tc>
        <w:tc>
          <w:tcPr>
            <w:tcW w:w="1747" w:type="dxa"/>
          </w:tcPr>
          <w:p>
            <w:pPr>
              <w:spacing w:line="62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568" w:type="dxa"/>
            <w:vAlign w:val="center"/>
          </w:tcPr>
          <w:p>
            <w:pPr>
              <w:spacing w:line="620" w:lineRule="exact"/>
              <w:jc w:val="center"/>
              <w:rPr>
                <w:color w:val="auto"/>
                <w:szCs w:val="21"/>
                <w:highlight w:val="none"/>
              </w:rPr>
            </w:pPr>
          </w:p>
        </w:tc>
        <w:tc>
          <w:tcPr>
            <w:tcW w:w="1933" w:type="dxa"/>
            <w:vAlign w:val="center"/>
          </w:tcPr>
          <w:p>
            <w:pPr>
              <w:spacing w:line="620" w:lineRule="exact"/>
              <w:jc w:val="center"/>
              <w:rPr>
                <w:color w:val="auto"/>
                <w:szCs w:val="21"/>
                <w:highlight w:val="none"/>
              </w:rPr>
            </w:pPr>
          </w:p>
        </w:tc>
        <w:tc>
          <w:tcPr>
            <w:tcW w:w="723" w:type="dxa"/>
            <w:vAlign w:val="center"/>
          </w:tcPr>
          <w:p>
            <w:pPr>
              <w:spacing w:line="620" w:lineRule="exact"/>
              <w:jc w:val="center"/>
              <w:rPr>
                <w:color w:val="auto"/>
                <w:szCs w:val="21"/>
                <w:highlight w:val="none"/>
              </w:rPr>
            </w:pPr>
          </w:p>
        </w:tc>
        <w:tc>
          <w:tcPr>
            <w:tcW w:w="1058" w:type="dxa"/>
            <w:vAlign w:val="center"/>
          </w:tcPr>
          <w:p>
            <w:pPr>
              <w:spacing w:line="620" w:lineRule="exact"/>
              <w:jc w:val="center"/>
              <w:rPr>
                <w:color w:val="auto"/>
                <w:szCs w:val="21"/>
                <w:highlight w:val="none"/>
              </w:rPr>
            </w:pPr>
          </w:p>
        </w:tc>
        <w:tc>
          <w:tcPr>
            <w:tcW w:w="770" w:type="dxa"/>
            <w:vAlign w:val="center"/>
          </w:tcPr>
          <w:p>
            <w:pPr>
              <w:spacing w:line="620" w:lineRule="exact"/>
              <w:jc w:val="center"/>
              <w:rPr>
                <w:color w:val="auto"/>
                <w:szCs w:val="21"/>
                <w:highlight w:val="none"/>
              </w:rPr>
            </w:pPr>
          </w:p>
        </w:tc>
        <w:tc>
          <w:tcPr>
            <w:tcW w:w="800" w:type="dxa"/>
            <w:vAlign w:val="center"/>
          </w:tcPr>
          <w:p>
            <w:pPr>
              <w:spacing w:line="620" w:lineRule="exact"/>
              <w:jc w:val="center"/>
              <w:rPr>
                <w:color w:val="auto"/>
                <w:szCs w:val="21"/>
                <w:highlight w:val="none"/>
              </w:rPr>
            </w:pPr>
          </w:p>
        </w:tc>
        <w:tc>
          <w:tcPr>
            <w:tcW w:w="715" w:type="dxa"/>
            <w:vAlign w:val="center"/>
          </w:tcPr>
          <w:p>
            <w:pPr>
              <w:spacing w:line="620" w:lineRule="exact"/>
              <w:jc w:val="center"/>
              <w:rPr>
                <w:color w:val="auto"/>
                <w:szCs w:val="21"/>
                <w:highlight w:val="none"/>
              </w:rPr>
            </w:pPr>
          </w:p>
        </w:tc>
        <w:tc>
          <w:tcPr>
            <w:tcW w:w="1354" w:type="dxa"/>
            <w:vAlign w:val="center"/>
          </w:tcPr>
          <w:p>
            <w:pPr>
              <w:spacing w:line="620" w:lineRule="exact"/>
              <w:jc w:val="center"/>
              <w:rPr>
                <w:color w:val="auto"/>
                <w:szCs w:val="21"/>
                <w:highlight w:val="none"/>
              </w:rPr>
            </w:pPr>
          </w:p>
        </w:tc>
        <w:tc>
          <w:tcPr>
            <w:tcW w:w="1330" w:type="dxa"/>
            <w:vAlign w:val="center"/>
          </w:tcPr>
          <w:p>
            <w:pPr>
              <w:spacing w:line="620" w:lineRule="exact"/>
              <w:jc w:val="center"/>
              <w:rPr>
                <w:color w:val="auto"/>
                <w:szCs w:val="21"/>
                <w:highlight w:val="none"/>
              </w:rPr>
            </w:pPr>
          </w:p>
        </w:tc>
        <w:tc>
          <w:tcPr>
            <w:tcW w:w="916" w:type="dxa"/>
            <w:vAlign w:val="center"/>
          </w:tcPr>
          <w:p>
            <w:pPr>
              <w:spacing w:line="620" w:lineRule="exact"/>
              <w:jc w:val="center"/>
              <w:rPr>
                <w:color w:val="auto"/>
                <w:szCs w:val="21"/>
                <w:highlight w:val="none"/>
              </w:rPr>
            </w:pPr>
          </w:p>
        </w:tc>
        <w:tc>
          <w:tcPr>
            <w:tcW w:w="1209" w:type="dxa"/>
            <w:vAlign w:val="center"/>
          </w:tcPr>
          <w:p>
            <w:pPr>
              <w:spacing w:line="620" w:lineRule="exact"/>
              <w:jc w:val="center"/>
              <w:rPr>
                <w:color w:val="auto"/>
                <w:szCs w:val="21"/>
                <w:highlight w:val="none"/>
              </w:rPr>
            </w:pPr>
          </w:p>
        </w:tc>
        <w:tc>
          <w:tcPr>
            <w:tcW w:w="917" w:type="dxa"/>
          </w:tcPr>
          <w:p>
            <w:pPr>
              <w:spacing w:line="620" w:lineRule="exact"/>
              <w:jc w:val="center"/>
              <w:rPr>
                <w:color w:val="auto"/>
                <w:szCs w:val="21"/>
                <w:highlight w:val="none"/>
              </w:rPr>
            </w:pPr>
          </w:p>
        </w:tc>
        <w:tc>
          <w:tcPr>
            <w:tcW w:w="1046" w:type="dxa"/>
          </w:tcPr>
          <w:p>
            <w:pPr>
              <w:spacing w:line="620" w:lineRule="exact"/>
              <w:jc w:val="center"/>
              <w:rPr>
                <w:color w:val="auto"/>
                <w:szCs w:val="21"/>
                <w:highlight w:val="none"/>
              </w:rPr>
            </w:pPr>
          </w:p>
        </w:tc>
        <w:tc>
          <w:tcPr>
            <w:tcW w:w="1747" w:type="dxa"/>
          </w:tcPr>
          <w:p>
            <w:pPr>
              <w:spacing w:line="62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568" w:type="dxa"/>
            <w:vAlign w:val="center"/>
          </w:tcPr>
          <w:p>
            <w:pPr>
              <w:spacing w:line="620" w:lineRule="exact"/>
              <w:jc w:val="center"/>
              <w:rPr>
                <w:color w:val="auto"/>
                <w:szCs w:val="21"/>
                <w:highlight w:val="none"/>
              </w:rPr>
            </w:pPr>
          </w:p>
        </w:tc>
        <w:tc>
          <w:tcPr>
            <w:tcW w:w="1933" w:type="dxa"/>
            <w:vAlign w:val="center"/>
          </w:tcPr>
          <w:p>
            <w:pPr>
              <w:spacing w:line="620" w:lineRule="exact"/>
              <w:jc w:val="center"/>
              <w:rPr>
                <w:color w:val="auto"/>
                <w:szCs w:val="21"/>
                <w:highlight w:val="none"/>
              </w:rPr>
            </w:pPr>
          </w:p>
        </w:tc>
        <w:tc>
          <w:tcPr>
            <w:tcW w:w="723" w:type="dxa"/>
            <w:vAlign w:val="center"/>
          </w:tcPr>
          <w:p>
            <w:pPr>
              <w:spacing w:line="620" w:lineRule="exact"/>
              <w:jc w:val="center"/>
              <w:rPr>
                <w:color w:val="auto"/>
                <w:szCs w:val="21"/>
                <w:highlight w:val="none"/>
              </w:rPr>
            </w:pPr>
          </w:p>
        </w:tc>
        <w:tc>
          <w:tcPr>
            <w:tcW w:w="1058" w:type="dxa"/>
            <w:vAlign w:val="center"/>
          </w:tcPr>
          <w:p>
            <w:pPr>
              <w:spacing w:line="620" w:lineRule="exact"/>
              <w:jc w:val="center"/>
              <w:rPr>
                <w:color w:val="auto"/>
                <w:szCs w:val="21"/>
                <w:highlight w:val="none"/>
              </w:rPr>
            </w:pPr>
          </w:p>
        </w:tc>
        <w:tc>
          <w:tcPr>
            <w:tcW w:w="770" w:type="dxa"/>
            <w:vAlign w:val="center"/>
          </w:tcPr>
          <w:p>
            <w:pPr>
              <w:spacing w:line="620" w:lineRule="exact"/>
              <w:jc w:val="center"/>
              <w:rPr>
                <w:color w:val="auto"/>
                <w:szCs w:val="21"/>
                <w:highlight w:val="none"/>
              </w:rPr>
            </w:pPr>
          </w:p>
        </w:tc>
        <w:tc>
          <w:tcPr>
            <w:tcW w:w="800" w:type="dxa"/>
            <w:vAlign w:val="center"/>
          </w:tcPr>
          <w:p>
            <w:pPr>
              <w:spacing w:line="620" w:lineRule="exact"/>
              <w:jc w:val="center"/>
              <w:rPr>
                <w:color w:val="auto"/>
                <w:szCs w:val="21"/>
                <w:highlight w:val="none"/>
              </w:rPr>
            </w:pPr>
          </w:p>
        </w:tc>
        <w:tc>
          <w:tcPr>
            <w:tcW w:w="715" w:type="dxa"/>
            <w:vAlign w:val="center"/>
          </w:tcPr>
          <w:p>
            <w:pPr>
              <w:spacing w:line="620" w:lineRule="exact"/>
              <w:jc w:val="center"/>
              <w:rPr>
                <w:color w:val="auto"/>
                <w:szCs w:val="21"/>
                <w:highlight w:val="none"/>
              </w:rPr>
            </w:pPr>
          </w:p>
        </w:tc>
        <w:tc>
          <w:tcPr>
            <w:tcW w:w="1354" w:type="dxa"/>
            <w:vAlign w:val="center"/>
          </w:tcPr>
          <w:p>
            <w:pPr>
              <w:spacing w:line="620" w:lineRule="exact"/>
              <w:jc w:val="center"/>
              <w:rPr>
                <w:color w:val="auto"/>
                <w:szCs w:val="21"/>
                <w:highlight w:val="none"/>
              </w:rPr>
            </w:pPr>
          </w:p>
        </w:tc>
        <w:tc>
          <w:tcPr>
            <w:tcW w:w="1330" w:type="dxa"/>
            <w:vAlign w:val="center"/>
          </w:tcPr>
          <w:p>
            <w:pPr>
              <w:spacing w:line="620" w:lineRule="exact"/>
              <w:jc w:val="center"/>
              <w:rPr>
                <w:color w:val="auto"/>
                <w:szCs w:val="21"/>
                <w:highlight w:val="none"/>
              </w:rPr>
            </w:pPr>
          </w:p>
        </w:tc>
        <w:tc>
          <w:tcPr>
            <w:tcW w:w="916" w:type="dxa"/>
            <w:vAlign w:val="center"/>
          </w:tcPr>
          <w:p>
            <w:pPr>
              <w:spacing w:line="620" w:lineRule="exact"/>
              <w:jc w:val="center"/>
              <w:rPr>
                <w:color w:val="auto"/>
                <w:szCs w:val="21"/>
                <w:highlight w:val="none"/>
              </w:rPr>
            </w:pPr>
          </w:p>
        </w:tc>
        <w:tc>
          <w:tcPr>
            <w:tcW w:w="1209" w:type="dxa"/>
            <w:vAlign w:val="center"/>
          </w:tcPr>
          <w:p>
            <w:pPr>
              <w:spacing w:line="620" w:lineRule="exact"/>
              <w:jc w:val="center"/>
              <w:rPr>
                <w:color w:val="auto"/>
                <w:szCs w:val="21"/>
                <w:highlight w:val="none"/>
              </w:rPr>
            </w:pPr>
          </w:p>
        </w:tc>
        <w:tc>
          <w:tcPr>
            <w:tcW w:w="917" w:type="dxa"/>
          </w:tcPr>
          <w:p>
            <w:pPr>
              <w:spacing w:line="620" w:lineRule="exact"/>
              <w:jc w:val="center"/>
              <w:rPr>
                <w:color w:val="auto"/>
                <w:szCs w:val="21"/>
                <w:highlight w:val="none"/>
              </w:rPr>
            </w:pPr>
          </w:p>
        </w:tc>
        <w:tc>
          <w:tcPr>
            <w:tcW w:w="1046" w:type="dxa"/>
          </w:tcPr>
          <w:p>
            <w:pPr>
              <w:spacing w:line="620" w:lineRule="exact"/>
              <w:jc w:val="center"/>
              <w:rPr>
                <w:color w:val="auto"/>
                <w:szCs w:val="21"/>
                <w:highlight w:val="none"/>
              </w:rPr>
            </w:pPr>
          </w:p>
        </w:tc>
        <w:tc>
          <w:tcPr>
            <w:tcW w:w="1747" w:type="dxa"/>
          </w:tcPr>
          <w:p>
            <w:pPr>
              <w:spacing w:line="62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568" w:type="dxa"/>
            <w:vAlign w:val="center"/>
          </w:tcPr>
          <w:p>
            <w:pPr>
              <w:spacing w:line="620" w:lineRule="exact"/>
              <w:jc w:val="center"/>
              <w:rPr>
                <w:color w:val="auto"/>
                <w:szCs w:val="21"/>
                <w:highlight w:val="none"/>
              </w:rPr>
            </w:pPr>
          </w:p>
        </w:tc>
        <w:tc>
          <w:tcPr>
            <w:tcW w:w="1933" w:type="dxa"/>
            <w:vAlign w:val="center"/>
          </w:tcPr>
          <w:p>
            <w:pPr>
              <w:spacing w:line="620" w:lineRule="exact"/>
              <w:jc w:val="center"/>
              <w:rPr>
                <w:color w:val="auto"/>
                <w:szCs w:val="21"/>
                <w:highlight w:val="none"/>
              </w:rPr>
            </w:pPr>
          </w:p>
        </w:tc>
        <w:tc>
          <w:tcPr>
            <w:tcW w:w="723" w:type="dxa"/>
            <w:vAlign w:val="center"/>
          </w:tcPr>
          <w:p>
            <w:pPr>
              <w:spacing w:line="620" w:lineRule="exact"/>
              <w:jc w:val="center"/>
              <w:rPr>
                <w:color w:val="auto"/>
                <w:szCs w:val="21"/>
                <w:highlight w:val="none"/>
              </w:rPr>
            </w:pPr>
          </w:p>
        </w:tc>
        <w:tc>
          <w:tcPr>
            <w:tcW w:w="1058" w:type="dxa"/>
            <w:vAlign w:val="center"/>
          </w:tcPr>
          <w:p>
            <w:pPr>
              <w:spacing w:line="620" w:lineRule="exact"/>
              <w:jc w:val="center"/>
              <w:rPr>
                <w:color w:val="auto"/>
                <w:szCs w:val="21"/>
                <w:highlight w:val="none"/>
              </w:rPr>
            </w:pPr>
          </w:p>
        </w:tc>
        <w:tc>
          <w:tcPr>
            <w:tcW w:w="770" w:type="dxa"/>
            <w:vAlign w:val="center"/>
          </w:tcPr>
          <w:p>
            <w:pPr>
              <w:spacing w:line="620" w:lineRule="exact"/>
              <w:jc w:val="center"/>
              <w:rPr>
                <w:color w:val="auto"/>
                <w:szCs w:val="21"/>
                <w:highlight w:val="none"/>
              </w:rPr>
            </w:pPr>
          </w:p>
        </w:tc>
        <w:tc>
          <w:tcPr>
            <w:tcW w:w="800" w:type="dxa"/>
            <w:vAlign w:val="center"/>
          </w:tcPr>
          <w:p>
            <w:pPr>
              <w:spacing w:line="620" w:lineRule="exact"/>
              <w:jc w:val="center"/>
              <w:rPr>
                <w:color w:val="auto"/>
                <w:szCs w:val="21"/>
                <w:highlight w:val="none"/>
              </w:rPr>
            </w:pPr>
          </w:p>
        </w:tc>
        <w:tc>
          <w:tcPr>
            <w:tcW w:w="715" w:type="dxa"/>
            <w:vAlign w:val="center"/>
          </w:tcPr>
          <w:p>
            <w:pPr>
              <w:spacing w:line="620" w:lineRule="exact"/>
              <w:jc w:val="center"/>
              <w:rPr>
                <w:color w:val="auto"/>
                <w:szCs w:val="21"/>
                <w:highlight w:val="none"/>
              </w:rPr>
            </w:pPr>
          </w:p>
        </w:tc>
        <w:tc>
          <w:tcPr>
            <w:tcW w:w="1354" w:type="dxa"/>
            <w:vAlign w:val="center"/>
          </w:tcPr>
          <w:p>
            <w:pPr>
              <w:spacing w:line="620" w:lineRule="exact"/>
              <w:jc w:val="center"/>
              <w:rPr>
                <w:color w:val="auto"/>
                <w:szCs w:val="21"/>
                <w:highlight w:val="none"/>
              </w:rPr>
            </w:pPr>
          </w:p>
        </w:tc>
        <w:tc>
          <w:tcPr>
            <w:tcW w:w="1330" w:type="dxa"/>
            <w:vAlign w:val="center"/>
          </w:tcPr>
          <w:p>
            <w:pPr>
              <w:spacing w:line="620" w:lineRule="exact"/>
              <w:jc w:val="center"/>
              <w:rPr>
                <w:color w:val="auto"/>
                <w:szCs w:val="21"/>
                <w:highlight w:val="none"/>
              </w:rPr>
            </w:pPr>
          </w:p>
        </w:tc>
        <w:tc>
          <w:tcPr>
            <w:tcW w:w="916" w:type="dxa"/>
            <w:vAlign w:val="center"/>
          </w:tcPr>
          <w:p>
            <w:pPr>
              <w:spacing w:line="620" w:lineRule="exact"/>
              <w:jc w:val="center"/>
              <w:rPr>
                <w:color w:val="auto"/>
                <w:szCs w:val="21"/>
                <w:highlight w:val="none"/>
              </w:rPr>
            </w:pPr>
          </w:p>
        </w:tc>
        <w:tc>
          <w:tcPr>
            <w:tcW w:w="1209" w:type="dxa"/>
            <w:vAlign w:val="center"/>
          </w:tcPr>
          <w:p>
            <w:pPr>
              <w:spacing w:line="620" w:lineRule="exact"/>
              <w:jc w:val="center"/>
              <w:rPr>
                <w:color w:val="auto"/>
                <w:szCs w:val="21"/>
                <w:highlight w:val="none"/>
              </w:rPr>
            </w:pPr>
          </w:p>
        </w:tc>
        <w:tc>
          <w:tcPr>
            <w:tcW w:w="917" w:type="dxa"/>
          </w:tcPr>
          <w:p>
            <w:pPr>
              <w:spacing w:line="620" w:lineRule="exact"/>
              <w:jc w:val="center"/>
              <w:rPr>
                <w:color w:val="auto"/>
                <w:szCs w:val="21"/>
                <w:highlight w:val="none"/>
              </w:rPr>
            </w:pPr>
          </w:p>
        </w:tc>
        <w:tc>
          <w:tcPr>
            <w:tcW w:w="1046" w:type="dxa"/>
          </w:tcPr>
          <w:p>
            <w:pPr>
              <w:spacing w:line="620" w:lineRule="exact"/>
              <w:jc w:val="center"/>
              <w:rPr>
                <w:color w:val="auto"/>
                <w:szCs w:val="21"/>
                <w:highlight w:val="none"/>
              </w:rPr>
            </w:pPr>
          </w:p>
        </w:tc>
        <w:tc>
          <w:tcPr>
            <w:tcW w:w="1747" w:type="dxa"/>
          </w:tcPr>
          <w:p>
            <w:pPr>
              <w:spacing w:line="62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68" w:type="dxa"/>
            <w:vAlign w:val="center"/>
          </w:tcPr>
          <w:p>
            <w:pPr>
              <w:spacing w:line="620" w:lineRule="exact"/>
              <w:jc w:val="center"/>
              <w:rPr>
                <w:color w:val="auto"/>
                <w:szCs w:val="21"/>
                <w:highlight w:val="none"/>
              </w:rPr>
            </w:pPr>
          </w:p>
        </w:tc>
        <w:tc>
          <w:tcPr>
            <w:tcW w:w="1933" w:type="dxa"/>
            <w:vAlign w:val="center"/>
          </w:tcPr>
          <w:p>
            <w:pPr>
              <w:spacing w:line="620" w:lineRule="exact"/>
              <w:jc w:val="center"/>
              <w:rPr>
                <w:color w:val="auto"/>
                <w:szCs w:val="21"/>
                <w:highlight w:val="none"/>
              </w:rPr>
            </w:pPr>
          </w:p>
        </w:tc>
        <w:tc>
          <w:tcPr>
            <w:tcW w:w="723" w:type="dxa"/>
            <w:vAlign w:val="center"/>
          </w:tcPr>
          <w:p>
            <w:pPr>
              <w:spacing w:line="620" w:lineRule="exact"/>
              <w:jc w:val="center"/>
              <w:rPr>
                <w:color w:val="auto"/>
                <w:szCs w:val="21"/>
                <w:highlight w:val="none"/>
              </w:rPr>
            </w:pPr>
          </w:p>
        </w:tc>
        <w:tc>
          <w:tcPr>
            <w:tcW w:w="1058" w:type="dxa"/>
            <w:vAlign w:val="center"/>
          </w:tcPr>
          <w:p>
            <w:pPr>
              <w:spacing w:line="620" w:lineRule="exact"/>
              <w:jc w:val="center"/>
              <w:rPr>
                <w:color w:val="auto"/>
                <w:szCs w:val="21"/>
                <w:highlight w:val="none"/>
              </w:rPr>
            </w:pPr>
          </w:p>
        </w:tc>
        <w:tc>
          <w:tcPr>
            <w:tcW w:w="770" w:type="dxa"/>
            <w:vAlign w:val="center"/>
          </w:tcPr>
          <w:p>
            <w:pPr>
              <w:spacing w:line="620" w:lineRule="exact"/>
              <w:jc w:val="center"/>
              <w:rPr>
                <w:color w:val="auto"/>
                <w:szCs w:val="21"/>
                <w:highlight w:val="none"/>
              </w:rPr>
            </w:pPr>
          </w:p>
        </w:tc>
        <w:tc>
          <w:tcPr>
            <w:tcW w:w="800" w:type="dxa"/>
            <w:vAlign w:val="center"/>
          </w:tcPr>
          <w:p>
            <w:pPr>
              <w:spacing w:line="620" w:lineRule="exact"/>
              <w:jc w:val="center"/>
              <w:rPr>
                <w:color w:val="auto"/>
                <w:szCs w:val="21"/>
                <w:highlight w:val="none"/>
              </w:rPr>
            </w:pPr>
          </w:p>
        </w:tc>
        <w:tc>
          <w:tcPr>
            <w:tcW w:w="715" w:type="dxa"/>
            <w:vAlign w:val="center"/>
          </w:tcPr>
          <w:p>
            <w:pPr>
              <w:spacing w:line="620" w:lineRule="exact"/>
              <w:jc w:val="center"/>
              <w:rPr>
                <w:color w:val="auto"/>
                <w:szCs w:val="21"/>
                <w:highlight w:val="none"/>
              </w:rPr>
            </w:pPr>
          </w:p>
        </w:tc>
        <w:tc>
          <w:tcPr>
            <w:tcW w:w="1354" w:type="dxa"/>
            <w:vAlign w:val="center"/>
          </w:tcPr>
          <w:p>
            <w:pPr>
              <w:spacing w:line="620" w:lineRule="exact"/>
              <w:jc w:val="center"/>
              <w:rPr>
                <w:color w:val="auto"/>
                <w:szCs w:val="21"/>
                <w:highlight w:val="none"/>
              </w:rPr>
            </w:pPr>
          </w:p>
        </w:tc>
        <w:tc>
          <w:tcPr>
            <w:tcW w:w="1330" w:type="dxa"/>
            <w:vAlign w:val="center"/>
          </w:tcPr>
          <w:p>
            <w:pPr>
              <w:spacing w:line="620" w:lineRule="exact"/>
              <w:jc w:val="center"/>
              <w:rPr>
                <w:color w:val="auto"/>
                <w:szCs w:val="21"/>
                <w:highlight w:val="none"/>
              </w:rPr>
            </w:pPr>
          </w:p>
        </w:tc>
        <w:tc>
          <w:tcPr>
            <w:tcW w:w="916" w:type="dxa"/>
            <w:vAlign w:val="center"/>
          </w:tcPr>
          <w:p>
            <w:pPr>
              <w:spacing w:line="620" w:lineRule="exact"/>
              <w:jc w:val="center"/>
              <w:rPr>
                <w:color w:val="auto"/>
                <w:szCs w:val="21"/>
                <w:highlight w:val="none"/>
              </w:rPr>
            </w:pPr>
          </w:p>
        </w:tc>
        <w:tc>
          <w:tcPr>
            <w:tcW w:w="1209" w:type="dxa"/>
            <w:vAlign w:val="center"/>
          </w:tcPr>
          <w:p>
            <w:pPr>
              <w:spacing w:line="620" w:lineRule="exact"/>
              <w:jc w:val="center"/>
              <w:rPr>
                <w:color w:val="auto"/>
                <w:szCs w:val="21"/>
                <w:highlight w:val="none"/>
              </w:rPr>
            </w:pPr>
          </w:p>
        </w:tc>
        <w:tc>
          <w:tcPr>
            <w:tcW w:w="917" w:type="dxa"/>
          </w:tcPr>
          <w:p>
            <w:pPr>
              <w:spacing w:line="620" w:lineRule="exact"/>
              <w:jc w:val="center"/>
              <w:rPr>
                <w:color w:val="auto"/>
                <w:szCs w:val="21"/>
                <w:highlight w:val="none"/>
              </w:rPr>
            </w:pPr>
          </w:p>
        </w:tc>
        <w:tc>
          <w:tcPr>
            <w:tcW w:w="1046" w:type="dxa"/>
          </w:tcPr>
          <w:p>
            <w:pPr>
              <w:spacing w:line="620" w:lineRule="exact"/>
              <w:jc w:val="center"/>
              <w:rPr>
                <w:color w:val="auto"/>
                <w:szCs w:val="21"/>
                <w:highlight w:val="none"/>
              </w:rPr>
            </w:pPr>
          </w:p>
        </w:tc>
        <w:tc>
          <w:tcPr>
            <w:tcW w:w="1747" w:type="dxa"/>
          </w:tcPr>
          <w:p>
            <w:pPr>
              <w:spacing w:line="620" w:lineRule="exact"/>
              <w:jc w:val="center"/>
              <w:rPr>
                <w:color w:val="auto"/>
                <w:szCs w:val="21"/>
                <w:highlight w:val="none"/>
              </w:rPr>
            </w:pPr>
          </w:p>
        </w:tc>
      </w:tr>
    </w:tbl>
    <w:p>
      <w:pPr>
        <w:spacing w:line="620" w:lineRule="exact"/>
        <w:rPr>
          <w:color w:val="auto"/>
          <w:szCs w:val="21"/>
          <w:highlight w:val="none"/>
        </w:rPr>
      </w:pPr>
      <w:r>
        <w:rPr>
          <w:rFonts w:hint="eastAsia"/>
          <w:color w:val="auto"/>
          <w:szCs w:val="21"/>
          <w:highlight w:val="none"/>
        </w:rPr>
        <w:t>监管单位：                                             招标人：</w:t>
      </w:r>
    </w:p>
    <w:p>
      <w:pPr>
        <w:pStyle w:val="16"/>
        <w:rPr>
          <w:color w:val="auto"/>
          <w:szCs w:val="21"/>
          <w:highlight w:val="none"/>
        </w:rPr>
      </w:pPr>
    </w:p>
    <w:p>
      <w:pPr>
        <w:pStyle w:val="16"/>
        <w:rPr>
          <w:color w:val="auto"/>
          <w:szCs w:val="21"/>
          <w:highlight w:val="none"/>
        </w:rPr>
        <w:sectPr>
          <w:pgSz w:w="16838" w:h="11906" w:orient="landscape"/>
          <w:pgMar w:top="1247" w:right="1134" w:bottom="1247" w:left="1361" w:header="851" w:footer="992" w:gutter="0"/>
          <w:cols w:space="720" w:num="1"/>
          <w:docGrid w:linePitch="312" w:charSpace="0"/>
        </w:sectPr>
      </w:pPr>
      <w:r>
        <w:rPr>
          <w:rFonts w:hint="eastAsia"/>
          <w:color w:val="auto"/>
          <w:szCs w:val="21"/>
          <w:highlight w:val="none"/>
        </w:rPr>
        <w:t>。</w:t>
      </w:r>
    </w:p>
    <w:p>
      <w:pPr>
        <w:pStyle w:val="3"/>
        <w:jc w:val="center"/>
        <w:rPr>
          <w:rFonts w:ascii="宋体" w:hAnsi="宋体"/>
          <w:color w:val="auto"/>
          <w:highlight w:val="none"/>
        </w:rPr>
      </w:pPr>
      <w:bookmarkStart w:id="849" w:name="_Toc4886"/>
      <w:bookmarkStart w:id="850" w:name="_Toc436834776"/>
      <w:bookmarkStart w:id="851" w:name="_Toc29364"/>
      <w:bookmarkStart w:id="852" w:name="_Toc152045598"/>
      <w:bookmarkStart w:id="853" w:name="_Toc144974565"/>
      <w:bookmarkStart w:id="854" w:name="_Toc21214"/>
      <w:bookmarkStart w:id="855" w:name="_Toc247527623"/>
      <w:bookmarkStart w:id="856" w:name="_Toc494371566"/>
      <w:bookmarkStart w:id="857" w:name="_Toc26793"/>
      <w:bookmarkStart w:id="858" w:name="_Toc152042375"/>
      <w:bookmarkStart w:id="859" w:name="_Toc3567"/>
      <w:bookmarkStart w:id="860" w:name="_Toc247514022"/>
      <w:bookmarkStart w:id="861" w:name="_Toc12479"/>
      <w:r>
        <w:rPr>
          <w:rFonts w:hint="eastAsia" w:ascii="宋体" w:hAnsi="宋体"/>
          <w:color w:val="auto"/>
          <w:highlight w:val="none"/>
        </w:rPr>
        <w:t>第三章评标办法（综合评估法）</w:t>
      </w:r>
      <w:bookmarkEnd w:id="849"/>
      <w:bookmarkEnd w:id="850"/>
      <w:bookmarkEnd w:id="851"/>
      <w:bookmarkEnd w:id="852"/>
      <w:bookmarkEnd w:id="853"/>
      <w:bookmarkEnd w:id="854"/>
      <w:bookmarkEnd w:id="855"/>
      <w:bookmarkEnd w:id="856"/>
      <w:bookmarkEnd w:id="857"/>
      <w:bookmarkEnd w:id="858"/>
      <w:bookmarkEnd w:id="859"/>
      <w:bookmarkEnd w:id="860"/>
      <w:bookmarkEnd w:id="861"/>
    </w:p>
    <w:p>
      <w:pPr>
        <w:pStyle w:val="4"/>
        <w:spacing w:before="120" w:after="120"/>
        <w:jc w:val="center"/>
        <w:rPr>
          <w:rFonts w:ascii="宋体" w:hAnsi="宋体" w:eastAsia="宋体"/>
          <w:color w:val="auto"/>
          <w:highlight w:val="none"/>
        </w:rPr>
      </w:pPr>
      <w:bookmarkStart w:id="862" w:name="_Toc5317"/>
      <w:bookmarkStart w:id="863" w:name="_Toc16563"/>
      <w:bookmarkStart w:id="864" w:name="_Toc247527624"/>
      <w:bookmarkStart w:id="865" w:name="_Toc25647"/>
      <w:bookmarkStart w:id="866" w:name="_Toc152042376"/>
      <w:bookmarkStart w:id="867" w:name="_Toc152045599"/>
      <w:bookmarkStart w:id="868" w:name="_Toc144974566"/>
      <w:bookmarkStart w:id="869" w:name="_Toc14287"/>
      <w:bookmarkStart w:id="870" w:name="_Toc399165430"/>
      <w:bookmarkStart w:id="871" w:name="_Toc436834777"/>
      <w:bookmarkStart w:id="872" w:name="_Toc27045"/>
      <w:bookmarkStart w:id="873" w:name="_Toc247514023"/>
      <w:bookmarkStart w:id="874" w:name="_Toc494371567"/>
      <w:bookmarkStart w:id="875" w:name="_Toc300835009"/>
      <w:bookmarkStart w:id="876" w:name="_Toc436834184"/>
      <w:bookmarkStart w:id="877" w:name="_Toc16897"/>
      <w:r>
        <w:rPr>
          <w:rFonts w:hint="eastAsia" w:ascii="宋体" w:hAnsi="宋体" w:eastAsia="宋体"/>
          <w:color w:val="auto"/>
          <w:highlight w:val="none"/>
        </w:rPr>
        <w:t>评标办法前附表</w:t>
      </w:r>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p>
    <w:tbl>
      <w:tblPr>
        <w:tblStyle w:val="38"/>
        <w:tblW w:w="949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77"/>
        <w:gridCol w:w="1538"/>
        <w:gridCol w:w="1575"/>
        <w:gridCol w:w="550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tblHeader/>
          <w:jc w:val="center"/>
        </w:trPr>
        <w:tc>
          <w:tcPr>
            <w:tcW w:w="2415" w:type="dxa"/>
            <w:gridSpan w:val="2"/>
            <w:tcBorders>
              <w:top w:val="single" w:color="auto" w:sz="4" w:space="0"/>
              <w:left w:val="single" w:color="auto" w:sz="4" w:space="0"/>
              <w:bottom w:val="single" w:color="auto" w:sz="6" w:space="0"/>
              <w:right w:val="single" w:color="auto" w:sz="6" w:space="0"/>
            </w:tcBorders>
            <w:vAlign w:val="center"/>
          </w:tcPr>
          <w:p>
            <w:pPr>
              <w:spacing w:line="300" w:lineRule="exact"/>
              <w:jc w:val="center"/>
              <w:rPr>
                <w:rFonts w:ascii="宋体" w:hAnsi="宋体"/>
                <w:b/>
                <w:color w:val="auto"/>
                <w:szCs w:val="21"/>
                <w:highlight w:val="none"/>
              </w:rPr>
            </w:pPr>
            <w:r>
              <w:rPr>
                <w:rFonts w:hint="eastAsia" w:ascii="宋体" w:hAnsi="宋体"/>
                <w:b/>
                <w:color w:val="auto"/>
                <w:szCs w:val="21"/>
                <w:highlight w:val="none"/>
              </w:rPr>
              <w:t>条款号</w:t>
            </w:r>
          </w:p>
        </w:tc>
        <w:tc>
          <w:tcPr>
            <w:tcW w:w="1575" w:type="dxa"/>
            <w:tcBorders>
              <w:top w:val="single" w:color="auto" w:sz="4" w:space="0"/>
              <w:left w:val="single" w:color="auto" w:sz="6" w:space="0"/>
              <w:bottom w:val="single" w:color="auto" w:sz="6" w:space="0"/>
              <w:right w:val="single" w:color="auto" w:sz="6" w:space="0"/>
            </w:tcBorders>
            <w:vAlign w:val="center"/>
          </w:tcPr>
          <w:p>
            <w:pPr>
              <w:spacing w:line="300" w:lineRule="exact"/>
              <w:jc w:val="center"/>
              <w:rPr>
                <w:rFonts w:ascii="宋体" w:hAnsi="宋体"/>
                <w:b/>
                <w:color w:val="auto"/>
                <w:szCs w:val="21"/>
                <w:highlight w:val="none"/>
              </w:rPr>
            </w:pPr>
            <w:r>
              <w:rPr>
                <w:rFonts w:hint="eastAsia" w:ascii="宋体" w:hAnsi="宋体"/>
                <w:b/>
                <w:color w:val="auto"/>
                <w:szCs w:val="21"/>
                <w:highlight w:val="none"/>
              </w:rPr>
              <w:t>评审因素</w:t>
            </w:r>
          </w:p>
        </w:tc>
        <w:tc>
          <w:tcPr>
            <w:tcW w:w="5508" w:type="dxa"/>
            <w:tcBorders>
              <w:top w:val="single" w:color="auto" w:sz="4" w:space="0"/>
              <w:left w:val="single" w:color="auto" w:sz="6" w:space="0"/>
              <w:bottom w:val="single" w:color="auto" w:sz="6" w:space="0"/>
              <w:right w:val="single" w:color="auto" w:sz="4" w:space="0"/>
            </w:tcBorders>
            <w:vAlign w:val="center"/>
          </w:tcPr>
          <w:p>
            <w:pPr>
              <w:spacing w:line="300" w:lineRule="exact"/>
              <w:jc w:val="center"/>
              <w:rPr>
                <w:rFonts w:ascii="宋体" w:hAnsi="宋体"/>
                <w:b/>
                <w:color w:val="auto"/>
                <w:szCs w:val="21"/>
                <w:highlight w:val="none"/>
              </w:rPr>
            </w:pPr>
            <w:r>
              <w:rPr>
                <w:rFonts w:hint="eastAsia" w:ascii="宋体" w:hAnsi="宋体"/>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tblHeader/>
          <w:jc w:val="center"/>
        </w:trPr>
        <w:tc>
          <w:tcPr>
            <w:tcW w:w="2415" w:type="dxa"/>
            <w:gridSpan w:val="2"/>
            <w:tcBorders>
              <w:top w:val="single" w:color="auto" w:sz="4" w:space="0"/>
              <w:left w:val="single" w:color="auto" w:sz="4" w:space="0"/>
              <w:bottom w:val="single" w:color="auto" w:sz="6" w:space="0"/>
              <w:right w:val="single" w:color="auto" w:sz="6" w:space="0"/>
            </w:tcBorders>
            <w:vAlign w:val="center"/>
          </w:tcPr>
          <w:p>
            <w:pPr>
              <w:spacing w:line="300" w:lineRule="exact"/>
              <w:jc w:val="center"/>
              <w:rPr>
                <w:rFonts w:ascii="宋体" w:hAnsi="宋体"/>
                <w:color w:val="auto"/>
                <w:szCs w:val="21"/>
                <w:highlight w:val="none"/>
              </w:rPr>
            </w:pPr>
            <w:r>
              <w:rPr>
                <w:rFonts w:ascii="宋体" w:hAnsi="宋体"/>
                <w:color w:val="auto"/>
                <w:szCs w:val="21"/>
                <w:highlight w:val="none"/>
              </w:rPr>
              <w:t>2.1.1</w:t>
            </w:r>
          </w:p>
        </w:tc>
        <w:tc>
          <w:tcPr>
            <w:tcW w:w="1575" w:type="dxa"/>
            <w:tcBorders>
              <w:top w:val="single" w:color="auto" w:sz="4" w:space="0"/>
              <w:left w:val="single" w:color="auto" w:sz="6" w:space="0"/>
              <w:bottom w:val="single" w:color="auto" w:sz="6" w:space="0"/>
              <w:right w:val="single" w:color="auto" w:sz="4" w:space="0"/>
            </w:tcBorders>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资格审查</w:t>
            </w:r>
          </w:p>
        </w:tc>
        <w:tc>
          <w:tcPr>
            <w:tcW w:w="5508" w:type="dxa"/>
            <w:tcBorders>
              <w:top w:val="single" w:color="auto" w:sz="4" w:space="0"/>
              <w:left w:val="single" w:color="auto" w:sz="6" w:space="0"/>
              <w:bottom w:val="single" w:color="auto" w:sz="6" w:space="0"/>
              <w:right w:val="single" w:color="auto" w:sz="4" w:space="0"/>
            </w:tcBorders>
            <w:vAlign w:val="center"/>
          </w:tcPr>
          <w:p>
            <w:pPr>
              <w:spacing w:line="300" w:lineRule="exact"/>
              <w:jc w:val="left"/>
              <w:rPr>
                <w:rFonts w:ascii="宋体" w:hAnsi="宋体"/>
                <w:color w:val="auto"/>
                <w:szCs w:val="21"/>
                <w:highlight w:val="none"/>
              </w:rPr>
            </w:pPr>
            <w:r>
              <w:rPr>
                <w:rFonts w:hint="eastAsia" w:ascii="宋体" w:hAnsi="宋体"/>
                <w:color w:val="auto"/>
                <w:szCs w:val="21"/>
                <w:highlight w:val="none"/>
              </w:rPr>
              <w:t>见附表</w:t>
            </w:r>
            <w:r>
              <w:rPr>
                <w:rFonts w:ascii="宋体" w:hAnsi="宋体"/>
                <w:color w:val="auto"/>
                <w:szCs w:val="21"/>
                <w:highlight w:val="none"/>
              </w:rPr>
              <w:t>1《资格审查表》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2415" w:type="dxa"/>
            <w:gridSpan w:val="2"/>
            <w:tcBorders>
              <w:top w:val="single" w:color="auto" w:sz="6" w:space="0"/>
              <w:left w:val="single" w:color="auto" w:sz="4" w:space="0"/>
              <w:right w:val="single" w:color="auto" w:sz="6" w:space="0"/>
            </w:tcBorders>
            <w:vAlign w:val="center"/>
          </w:tcPr>
          <w:p>
            <w:pPr>
              <w:spacing w:line="300" w:lineRule="exact"/>
              <w:jc w:val="center"/>
              <w:rPr>
                <w:rFonts w:ascii="宋体" w:hAnsi="宋体"/>
                <w:color w:val="auto"/>
                <w:szCs w:val="21"/>
                <w:highlight w:val="none"/>
              </w:rPr>
            </w:pPr>
            <w:r>
              <w:rPr>
                <w:rFonts w:ascii="宋体" w:hAnsi="宋体"/>
                <w:color w:val="auto"/>
                <w:szCs w:val="21"/>
                <w:highlight w:val="none"/>
              </w:rPr>
              <w:t>2.1.2</w:t>
            </w:r>
          </w:p>
        </w:tc>
        <w:tc>
          <w:tcPr>
            <w:tcW w:w="1575"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color w:val="auto"/>
                <w:szCs w:val="21"/>
                <w:highlight w:val="none"/>
              </w:rPr>
            </w:pPr>
            <w:r>
              <w:rPr>
                <w:rFonts w:hint="eastAsia"/>
                <w:color w:val="auto"/>
                <w:szCs w:val="21"/>
                <w:highlight w:val="none"/>
              </w:rPr>
              <w:t>投标文件有效性审查表</w:t>
            </w:r>
          </w:p>
        </w:tc>
        <w:tc>
          <w:tcPr>
            <w:tcW w:w="5508" w:type="dxa"/>
            <w:tcBorders>
              <w:top w:val="single" w:color="auto" w:sz="6" w:space="0"/>
              <w:left w:val="single" w:color="auto" w:sz="6" w:space="0"/>
              <w:bottom w:val="single" w:color="auto" w:sz="6" w:space="0"/>
              <w:right w:val="single" w:color="auto" w:sz="4" w:space="0"/>
            </w:tcBorders>
            <w:vAlign w:val="center"/>
          </w:tcPr>
          <w:p>
            <w:pPr>
              <w:spacing w:line="300" w:lineRule="exact"/>
              <w:jc w:val="left"/>
              <w:rPr>
                <w:rFonts w:ascii="宋体" w:hAnsi="宋体"/>
                <w:color w:val="auto"/>
                <w:szCs w:val="21"/>
                <w:highlight w:val="none"/>
              </w:rPr>
            </w:pPr>
            <w:r>
              <w:rPr>
                <w:rFonts w:hint="eastAsia"/>
                <w:color w:val="auto"/>
                <w:szCs w:val="21"/>
                <w:highlight w:val="none"/>
              </w:rPr>
              <w:t>附表2《工程总承包实施方案（含资信部分）文件有效性审查表》、附表4《投标报价文件有效性审查表》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2415" w:type="dxa"/>
            <w:gridSpan w:val="2"/>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b/>
                <w:color w:val="auto"/>
                <w:szCs w:val="21"/>
                <w:highlight w:val="none"/>
              </w:rPr>
            </w:pPr>
            <w:r>
              <w:rPr>
                <w:rFonts w:hint="eastAsia" w:ascii="宋体" w:hAnsi="宋体"/>
                <w:b/>
                <w:color w:val="auto"/>
                <w:szCs w:val="21"/>
                <w:highlight w:val="none"/>
              </w:rPr>
              <w:t>条款号</w:t>
            </w:r>
          </w:p>
        </w:tc>
        <w:tc>
          <w:tcPr>
            <w:tcW w:w="15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b/>
                <w:color w:val="auto"/>
                <w:szCs w:val="21"/>
                <w:highlight w:val="none"/>
              </w:rPr>
            </w:pPr>
            <w:r>
              <w:rPr>
                <w:rFonts w:hint="eastAsia" w:ascii="宋体" w:hAnsi="宋体"/>
                <w:b/>
                <w:color w:val="auto"/>
                <w:szCs w:val="21"/>
                <w:highlight w:val="none"/>
              </w:rPr>
              <w:t>条款内容</w:t>
            </w:r>
          </w:p>
        </w:tc>
        <w:tc>
          <w:tcPr>
            <w:tcW w:w="5508"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b/>
                <w:color w:val="auto"/>
                <w:szCs w:val="21"/>
                <w:highlight w:val="none"/>
              </w:rPr>
            </w:pPr>
            <w:r>
              <w:rPr>
                <w:rFonts w:hint="eastAsia" w:ascii="宋体" w:hAnsi="宋体"/>
                <w:b/>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2415" w:type="dxa"/>
            <w:gridSpan w:val="2"/>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color w:val="auto"/>
                <w:szCs w:val="21"/>
                <w:highlight w:val="none"/>
              </w:rPr>
            </w:pPr>
            <w:r>
              <w:rPr>
                <w:rFonts w:ascii="宋体" w:hAnsi="宋体"/>
                <w:color w:val="auto"/>
                <w:szCs w:val="21"/>
                <w:highlight w:val="none"/>
              </w:rPr>
              <w:t>2.2.1</w:t>
            </w:r>
          </w:p>
        </w:tc>
        <w:tc>
          <w:tcPr>
            <w:tcW w:w="15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分值构成及权重</w:t>
            </w:r>
          </w:p>
        </w:tc>
        <w:tc>
          <w:tcPr>
            <w:tcW w:w="5508" w:type="dxa"/>
            <w:tcBorders>
              <w:top w:val="single" w:color="auto" w:sz="6" w:space="0"/>
              <w:left w:val="single" w:color="auto" w:sz="6" w:space="0"/>
              <w:bottom w:val="single" w:color="auto" w:sz="6" w:space="0"/>
              <w:right w:val="single" w:color="auto" w:sz="4" w:space="0"/>
            </w:tcBorders>
            <w:vAlign w:val="center"/>
          </w:tcPr>
          <w:p>
            <w:pPr>
              <w:spacing w:line="300" w:lineRule="exact"/>
              <w:rPr>
                <w:rFonts w:ascii="宋体" w:hAnsi="宋体"/>
                <w:color w:val="auto"/>
                <w:szCs w:val="21"/>
                <w:highlight w:val="none"/>
              </w:rPr>
            </w:pPr>
            <w:r>
              <w:rPr>
                <w:rFonts w:hint="eastAsia"/>
                <w:color w:val="auto"/>
                <w:szCs w:val="21"/>
                <w:highlight w:val="none"/>
              </w:rPr>
              <w:t>投标人总得分满分为100分，总分=工程总承包实施方案（含资信部分）得分×</w:t>
            </w:r>
            <w:r>
              <w:rPr>
                <w:rFonts w:hint="eastAsia"/>
                <w:color w:val="auto"/>
                <w:szCs w:val="21"/>
                <w:highlight w:val="none"/>
                <w:lang w:val="en-US" w:eastAsia="zh-CN"/>
              </w:rPr>
              <w:t>50</w:t>
            </w:r>
            <w:r>
              <w:rPr>
                <w:rFonts w:hint="eastAsia"/>
                <w:color w:val="auto"/>
                <w:szCs w:val="21"/>
                <w:highlight w:val="none"/>
              </w:rPr>
              <w:t>%+投标报价得分×</w:t>
            </w:r>
            <w:r>
              <w:rPr>
                <w:rFonts w:hint="eastAsia"/>
                <w:color w:val="auto"/>
                <w:szCs w:val="21"/>
                <w:highlight w:val="none"/>
                <w:lang w:val="en-US" w:eastAsia="zh-CN"/>
              </w:rPr>
              <w:t>50</w:t>
            </w:r>
            <w:r>
              <w:rPr>
                <w:rFonts w:hint="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2415" w:type="dxa"/>
            <w:gridSpan w:val="2"/>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color w:val="auto"/>
                <w:szCs w:val="21"/>
                <w:highlight w:val="none"/>
              </w:rPr>
            </w:pPr>
            <w:r>
              <w:rPr>
                <w:rFonts w:hint="eastAsia" w:ascii="宋体" w:hAnsi="宋体"/>
                <w:b/>
                <w:color w:val="auto"/>
                <w:szCs w:val="21"/>
                <w:highlight w:val="none"/>
              </w:rPr>
              <w:t>条款号</w:t>
            </w:r>
          </w:p>
        </w:tc>
        <w:tc>
          <w:tcPr>
            <w:tcW w:w="1575"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b/>
                <w:color w:val="auto"/>
                <w:szCs w:val="21"/>
                <w:highlight w:val="none"/>
              </w:rPr>
            </w:pPr>
            <w:r>
              <w:rPr>
                <w:rFonts w:hint="eastAsia" w:ascii="宋体" w:hAnsi="宋体"/>
                <w:b/>
                <w:color w:val="auto"/>
                <w:szCs w:val="21"/>
                <w:highlight w:val="none"/>
              </w:rPr>
              <w:t>评分因素</w:t>
            </w:r>
          </w:p>
        </w:tc>
        <w:tc>
          <w:tcPr>
            <w:tcW w:w="5508" w:type="dxa"/>
            <w:tcBorders>
              <w:top w:val="single" w:color="auto" w:sz="6" w:space="0"/>
              <w:left w:val="single" w:color="auto" w:sz="4" w:space="0"/>
              <w:bottom w:val="single" w:color="auto" w:sz="6" w:space="0"/>
              <w:right w:val="single" w:color="auto" w:sz="4" w:space="0"/>
            </w:tcBorders>
            <w:vAlign w:val="center"/>
          </w:tcPr>
          <w:p>
            <w:pPr>
              <w:spacing w:line="300" w:lineRule="exact"/>
              <w:jc w:val="center"/>
              <w:rPr>
                <w:rFonts w:ascii="宋体" w:hAnsi="宋体"/>
                <w:color w:val="auto"/>
                <w:szCs w:val="21"/>
                <w:highlight w:val="none"/>
              </w:rPr>
            </w:pPr>
            <w:r>
              <w:rPr>
                <w:rFonts w:hint="eastAsia" w:ascii="宋体" w:hAnsi="宋体"/>
                <w:b/>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877" w:type="dxa"/>
            <w:tcBorders>
              <w:top w:val="single" w:color="auto" w:sz="6" w:space="0"/>
              <w:left w:val="single" w:color="auto" w:sz="4" w:space="0"/>
              <w:right w:val="single" w:color="auto" w:sz="6" w:space="0"/>
            </w:tcBorders>
            <w:vAlign w:val="center"/>
          </w:tcPr>
          <w:p>
            <w:pPr>
              <w:spacing w:line="300" w:lineRule="exact"/>
              <w:jc w:val="center"/>
              <w:rPr>
                <w:rFonts w:ascii="宋体" w:hAnsi="宋体"/>
                <w:color w:val="auto"/>
                <w:szCs w:val="21"/>
                <w:highlight w:val="none"/>
              </w:rPr>
            </w:pPr>
            <w:r>
              <w:rPr>
                <w:rFonts w:ascii="宋体" w:hAnsi="宋体"/>
                <w:color w:val="auto"/>
                <w:szCs w:val="21"/>
                <w:highlight w:val="none"/>
              </w:rPr>
              <w:t>2.2.2</w:t>
            </w: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w:t>
            </w:r>
          </w:p>
        </w:tc>
        <w:tc>
          <w:tcPr>
            <w:tcW w:w="1538" w:type="dxa"/>
            <w:tcBorders>
              <w:top w:val="single" w:color="auto" w:sz="6" w:space="0"/>
              <w:left w:val="single" w:color="auto" w:sz="6" w:space="0"/>
              <w:right w:val="single" w:color="auto" w:sz="6" w:space="0"/>
            </w:tcBorders>
            <w:vAlign w:val="center"/>
          </w:tcPr>
          <w:p>
            <w:pPr>
              <w:spacing w:line="300" w:lineRule="exact"/>
              <w:jc w:val="center"/>
              <w:rPr>
                <w:rFonts w:ascii="宋体" w:hAnsi="宋体"/>
                <w:color w:val="auto"/>
                <w:szCs w:val="21"/>
                <w:highlight w:val="none"/>
              </w:rPr>
            </w:pPr>
            <w:r>
              <w:rPr>
                <w:rFonts w:hint="eastAsia"/>
                <w:color w:val="auto"/>
                <w:szCs w:val="21"/>
                <w:highlight w:val="none"/>
              </w:rPr>
              <w:t>工程总承包实施方案（含资信部分）文件详细审查评分标准</w:t>
            </w:r>
          </w:p>
        </w:tc>
        <w:tc>
          <w:tcPr>
            <w:tcW w:w="1575"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color w:val="auto"/>
                <w:szCs w:val="21"/>
                <w:highlight w:val="none"/>
              </w:rPr>
            </w:pPr>
            <w:r>
              <w:rPr>
                <w:rFonts w:hint="eastAsia"/>
                <w:color w:val="auto"/>
                <w:szCs w:val="21"/>
                <w:highlight w:val="none"/>
              </w:rPr>
              <w:t>工程总承包实施方案（含资信部分）文件</w:t>
            </w:r>
          </w:p>
        </w:tc>
        <w:tc>
          <w:tcPr>
            <w:tcW w:w="5508" w:type="dxa"/>
            <w:tcBorders>
              <w:top w:val="single" w:color="auto" w:sz="6" w:space="0"/>
              <w:left w:val="single" w:color="auto" w:sz="4" w:space="0"/>
              <w:bottom w:val="single" w:color="auto" w:sz="4" w:space="0"/>
              <w:right w:val="single" w:color="auto" w:sz="4" w:space="0"/>
            </w:tcBorders>
            <w:vAlign w:val="center"/>
          </w:tcPr>
          <w:p>
            <w:pPr>
              <w:spacing w:line="300" w:lineRule="exact"/>
              <w:jc w:val="left"/>
              <w:rPr>
                <w:rFonts w:ascii="宋体" w:hAnsi="宋体"/>
                <w:color w:val="auto"/>
                <w:szCs w:val="21"/>
                <w:highlight w:val="none"/>
              </w:rPr>
            </w:pPr>
            <w:r>
              <w:rPr>
                <w:rFonts w:hint="eastAsia"/>
                <w:color w:val="auto"/>
                <w:szCs w:val="21"/>
                <w:highlight w:val="none"/>
              </w:rPr>
              <w:t>见附表3《工程总承包实施方案（含资信部分）文件评分表》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877" w:type="dxa"/>
            <w:tcBorders>
              <w:top w:val="single" w:color="auto" w:sz="6" w:space="0"/>
              <w:left w:val="single" w:color="auto" w:sz="4" w:space="0"/>
              <w:right w:val="single" w:color="auto" w:sz="6" w:space="0"/>
            </w:tcBorders>
            <w:vAlign w:val="center"/>
          </w:tcPr>
          <w:p>
            <w:pPr>
              <w:spacing w:line="300" w:lineRule="exact"/>
              <w:jc w:val="center"/>
              <w:rPr>
                <w:rFonts w:ascii="宋体" w:hAnsi="宋体"/>
                <w:color w:val="auto"/>
                <w:szCs w:val="21"/>
                <w:highlight w:val="none"/>
              </w:rPr>
            </w:pPr>
            <w:r>
              <w:rPr>
                <w:rFonts w:ascii="宋体" w:hAnsi="宋体"/>
                <w:color w:val="auto"/>
                <w:szCs w:val="21"/>
                <w:highlight w:val="none"/>
              </w:rPr>
              <w:t>2.2.2</w:t>
            </w: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w:t>
            </w:r>
          </w:p>
        </w:tc>
        <w:tc>
          <w:tcPr>
            <w:tcW w:w="1538" w:type="dxa"/>
            <w:tcBorders>
              <w:top w:val="single" w:color="auto" w:sz="6" w:space="0"/>
              <w:left w:val="single" w:color="auto" w:sz="6" w:space="0"/>
              <w:right w:val="single" w:color="auto" w:sz="6" w:space="0"/>
            </w:tcBorders>
            <w:vAlign w:val="center"/>
          </w:tcPr>
          <w:p>
            <w:pPr>
              <w:spacing w:line="300" w:lineRule="exact"/>
              <w:jc w:val="center"/>
              <w:rPr>
                <w:rFonts w:ascii="宋体" w:hAnsi="宋体"/>
                <w:color w:val="auto"/>
                <w:szCs w:val="21"/>
                <w:highlight w:val="none"/>
              </w:rPr>
            </w:pPr>
            <w:r>
              <w:rPr>
                <w:rFonts w:hint="eastAsia"/>
                <w:color w:val="auto"/>
                <w:szCs w:val="21"/>
                <w:highlight w:val="none"/>
              </w:rPr>
              <w:t>投标报价文件详细审查评分标准</w:t>
            </w:r>
          </w:p>
        </w:tc>
        <w:tc>
          <w:tcPr>
            <w:tcW w:w="1575" w:type="dxa"/>
            <w:tcBorders>
              <w:top w:val="single" w:color="auto" w:sz="6" w:space="0"/>
              <w:left w:val="single" w:color="auto" w:sz="6" w:space="0"/>
              <w:bottom w:val="single" w:color="auto" w:sz="6" w:space="0"/>
              <w:right w:val="single" w:color="auto" w:sz="4" w:space="0"/>
            </w:tcBorders>
            <w:vAlign w:val="center"/>
          </w:tcPr>
          <w:p>
            <w:pPr>
              <w:jc w:val="center"/>
              <w:rPr>
                <w:color w:val="auto"/>
                <w:szCs w:val="21"/>
                <w:highlight w:val="none"/>
              </w:rPr>
            </w:pPr>
            <w:r>
              <w:rPr>
                <w:rFonts w:hint="eastAsia"/>
                <w:color w:val="auto"/>
                <w:szCs w:val="21"/>
                <w:highlight w:val="none"/>
              </w:rPr>
              <w:t>投标报价文件</w:t>
            </w:r>
          </w:p>
        </w:tc>
        <w:tc>
          <w:tcPr>
            <w:tcW w:w="5508" w:type="dxa"/>
            <w:tcBorders>
              <w:top w:val="single" w:color="auto" w:sz="6" w:space="0"/>
              <w:left w:val="single" w:color="auto" w:sz="4" w:space="0"/>
              <w:bottom w:val="single" w:color="auto" w:sz="4" w:space="0"/>
              <w:right w:val="single" w:color="auto" w:sz="4" w:space="0"/>
            </w:tcBorders>
            <w:vAlign w:val="center"/>
          </w:tcPr>
          <w:p>
            <w:pPr>
              <w:spacing w:line="300" w:lineRule="exact"/>
              <w:jc w:val="left"/>
              <w:rPr>
                <w:rFonts w:ascii="宋体" w:hAnsi="宋体"/>
                <w:color w:val="auto"/>
                <w:szCs w:val="21"/>
                <w:highlight w:val="none"/>
              </w:rPr>
            </w:pPr>
            <w:r>
              <w:rPr>
                <w:rFonts w:hint="eastAsia"/>
                <w:color w:val="auto"/>
                <w:szCs w:val="21"/>
                <w:highlight w:val="none"/>
              </w:rPr>
              <w:t>见附表6《建安工程费投标报价得分计算表》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9498" w:type="dxa"/>
            <w:gridSpan w:val="4"/>
            <w:tcBorders>
              <w:top w:val="single" w:color="auto" w:sz="6" w:space="0"/>
              <w:left w:val="single" w:color="auto" w:sz="4" w:space="0"/>
              <w:bottom w:val="single" w:color="auto" w:sz="6" w:space="0"/>
              <w:right w:val="single" w:color="auto" w:sz="4" w:space="0"/>
            </w:tcBorders>
            <w:vAlign w:val="center"/>
          </w:tcPr>
          <w:p>
            <w:pPr>
              <w:spacing w:line="300" w:lineRule="exact"/>
              <w:jc w:val="center"/>
              <w:rPr>
                <w:rFonts w:ascii="宋体" w:hAnsi="宋体"/>
                <w:b/>
                <w:color w:val="auto"/>
                <w:szCs w:val="21"/>
                <w:highlight w:val="none"/>
              </w:rPr>
            </w:pPr>
            <w:r>
              <w:rPr>
                <w:rFonts w:hint="eastAsia" w:ascii="宋体" w:hAnsi="宋体"/>
                <w:b/>
                <w:color w:val="auto"/>
                <w:szCs w:val="21"/>
                <w:highlight w:val="none"/>
              </w:rPr>
              <w:t>需要补充的其他内容</w:t>
            </w:r>
          </w:p>
        </w:tc>
      </w:tr>
    </w:tbl>
    <w:p>
      <w:pPr>
        <w:pStyle w:val="4"/>
        <w:spacing w:before="100" w:after="100" w:line="360" w:lineRule="auto"/>
        <w:rPr>
          <w:rFonts w:ascii="宋体" w:hAnsi="宋体" w:eastAsia="宋体"/>
          <w:color w:val="auto"/>
          <w:highlight w:val="none"/>
        </w:rPr>
      </w:pPr>
      <w:r>
        <w:rPr>
          <w:color w:val="auto"/>
          <w:highlight w:val="none"/>
        </w:rPr>
        <w:br w:type="page"/>
      </w:r>
      <w:bookmarkStart w:id="878" w:name="_Toc144974567"/>
      <w:bookmarkStart w:id="879" w:name="_Toc247527625"/>
      <w:bookmarkStart w:id="880" w:name="_Toc152045600"/>
      <w:bookmarkStart w:id="881" w:name="_Toc23786"/>
      <w:bookmarkStart w:id="882" w:name="_Toc300835010"/>
      <w:bookmarkStart w:id="883" w:name="_Toc436834778"/>
      <w:bookmarkStart w:id="884" w:name="_Toc16222"/>
      <w:bookmarkStart w:id="885" w:name="_Toc10123"/>
      <w:bookmarkStart w:id="886" w:name="_Toc152042377"/>
      <w:bookmarkStart w:id="887" w:name="_Toc247514024"/>
      <w:bookmarkStart w:id="888" w:name="_Toc25710"/>
      <w:bookmarkStart w:id="889" w:name="_Toc436834185"/>
      <w:bookmarkStart w:id="890" w:name="_Toc20806"/>
      <w:bookmarkStart w:id="891" w:name="_Toc25246"/>
      <w:bookmarkStart w:id="892" w:name="_Toc399165431"/>
      <w:bookmarkStart w:id="893" w:name="_Toc494371568"/>
      <w:r>
        <w:rPr>
          <w:rFonts w:ascii="宋体" w:hAnsi="宋体" w:eastAsia="宋体"/>
          <w:color w:val="auto"/>
          <w:highlight w:val="none"/>
        </w:rPr>
        <w:t xml:space="preserve">1. </w:t>
      </w:r>
      <w:r>
        <w:rPr>
          <w:rFonts w:hint="eastAsia" w:ascii="宋体" w:hAnsi="宋体" w:eastAsia="宋体"/>
          <w:color w:val="auto"/>
          <w:highlight w:val="none"/>
        </w:rPr>
        <w:t>评标方法</w:t>
      </w:r>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p>
      <w:pPr>
        <w:spacing w:line="400" w:lineRule="exact"/>
        <w:ind w:firstLine="420" w:firstLineChars="200"/>
        <w:rPr>
          <w:rFonts w:ascii="宋体" w:hAnsi="宋体"/>
          <w:color w:val="auto"/>
          <w:highlight w:val="none"/>
        </w:rPr>
      </w:pPr>
      <w:r>
        <w:rPr>
          <w:rFonts w:hint="eastAsia" w:ascii="宋体" w:hAnsi="宋体"/>
          <w:color w:val="auto"/>
          <w:highlight w:val="none"/>
        </w:rPr>
        <w:t>本次评标采用综合评</w:t>
      </w:r>
      <w:r>
        <w:rPr>
          <w:rFonts w:hint="eastAsia" w:ascii="宋体" w:hAnsi="宋体"/>
          <w:color w:val="auto"/>
          <w:highlight w:val="none"/>
          <w:lang w:eastAsia="zh-CN"/>
        </w:rPr>
        <w:t>分</w:t>
      </w:r>
      <w:r>
        <w:rPr>
          <w:rFonts w:hint="eastAsia" w:ascii="宋体" w:hAnsi="宋体"/>
          <w:color w:val="auto"/>
          <w:highlight w:val="none"/>
        </w:rPr>
        <w:t>法。评标委员会对满足招标文件实质性要求的投标文件，按照本章第</w:t>
      </w:r>
      <w:r>
        <w:rPr>
          <w:rFonts w:ascii="宋体" w:hAnsi="宋体"/>
          <w:color w:val="auto"/>
          <w:highlight w:val="none"/>
        </w:rPr>
        <w:t>2.2</w:t>
      </w:r>
      <w:r>
        <w:rPr>
          <w:rFonts w:hint="eastAsia" w:ascii="宋体" w:hAnsi="宋体"/>
          <w:color w:val="auto"/>
          <w:highlight w:val="none"/>
        </w:rPr>
        <w:t>款规定的评分标准进行打分，并按得分由高到低顺序推荐中标候选人，或根据招标人授权直接确定中标人，但投标报价低于其成本的除外。</w:t>
      </w:r>
    </w:p>
    <w:p>
      <w:pPr>
        <w:pStyle w:val="4"/>
        <w:spacing w:before="100" w:after="100" w:line="360" w:lineRule="auto"/>
        <w:rPr>
          <w:rFonts w:ascii="宋体" w:hAnsi="宋体" w:eastAsia="宋体"/>
          <w:color w:val="auto"/>
          <w:highlight w:val="none"/>
        </w:rPr>
      </w:pPr>
      <w:bookmarkStart w:id="894" w:name="_Toc399165432"/>
      <w:bookmarkStart w:id="895" w:name="_Toc17632"/>
      <w:bookmarkStart w:id="896" w:name="_Toc300835011"/>
      <w:bookmarkStart w:id="897" w:name="_Toc247514025"/>
      <w:bookmarkStart w:id="898" w:name="_Toc30197"/>
      <w:bookmarkStart w:id="899" w:name="_Toc9484"/>
      <w:bookmarkStart w:id="900" w:name="_Toc152045601"/>
      <w:bookmarkStart w:id="901" w:name="_Toc65"/>
      <w:bookmarkStart w:id="902" w:name="_Toc144974568"/>
      <w:bookmarkStart w:id="903" w:name="_Toc436834779"/>
      <w:bookmarkStart w:id="904" w:name="_Toc247527626"/>
      <w:bookmarkStart w:id="905" w:name="_Toc14150"/>
      <w:bookmarkStart w:id="906" w:name="_Toc152042378"/>
      <w:bookmarkStart w:id="907" w:name="_Toc16219"/>
      <w:bookmarkStart w:id="908" w:name="_Toc436834186"/>
      <w:bookmarkStart w:id="909" w:name="_Toc494371569"/>
      <w:r>
        <w:rPr>
          <w:rFonts w:ascii="宋体" w:hAnsi="宋体" w:eastAsia="宋体"/>
          <w:color w:val="auto"/>
          <w:highlight w:val="none"/>
        </w:rPr>
        <w:t xml:space="preserve">2. </w:t>
      </w:r>
      <w:r>
        <w:rPr>
          <w:rFonts w:hint="eastAsia" w:ascii="宋体" w:hAnsi="宋体" w:eastAsia="宋体"/>
          <w:color w:val="auto"/>
          <w:highlight w:val="none"/>
        </w:rPr>
        <w:t>评审标准</w:t>
      </w:r>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p>
    <w:p>
      <w:pPr>
        <w:pStyle w:val="5"/>
        <w:spacing w:before="100" w:after="100" w:line="360" w:lineRule="auto"/>
        <w:rPr>
          <w:rFonts w:ascii="宋体" w:eastAsia="宋体"/>
          <w:color w:val="auto"/>
          <w:highlight w:val="none"/>
        </w:rPr>
      </w:pPr>
      <w:bookmarkStart w:id="910" w:name="_Toc2867"/>
      <w:bookmarkStart w:id="911" w:name="_Toc300835012"/>
      <w:bookmarkStart w:id="912" w:name="_Toc17113"/>
      <w:bookmarkStart w:id="913" w:name="_Toc247527627"/>
      <w:bookmarkStart w:id="914" w:name="_Toc13888"/>
      <w:bookmarkStart w:id="915" w:name="_Toc436834780"/>
      <w:bookmarkStart w:id="916" w:name="_Toc152042379"/>
      <w:bookmarkStart w:id="917" w:name="_Toc32127"/>
      <w:bookmarkStart w:id="918" w:name="_Toc247514026"/>
      <w:bookmarkStart w:id="919" w:name="_Toc152045602"/>
      <w:bookmarkStart w:id="920" w:name="_Toc494371570"/>
      <w:bookmarkStart w:id="921" w:name="_Toc399165433"/>
      <w:bookmarkStart w:id="922" w:name="_Toc144974569"/>
      <w:bookmarkStart w:id="923" w:name="_Toc436834187"/>
      <w:r>
        <w:rPr>
          <w:rFonts w:ascii="宋体" w:eastAsia="宋体"/>
          <w:color w:val="auto"/>
          <w:highlight w:val="none"/>
        </w:rPr>
        <w:t>2.1 初步评审标准</w:t>
      </w:r>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p>
    <w:p>
      <w:pPr>
        <w:spacing w:line="400" w:lineRule="exact"/>
        <w:ind w:firstLine="420" w:firstLineChars="200"/>
        <w:rPr>
          <w:rFonts w:ascii="宋体" w:hAnsi="宋体"/>
          <w:color w:val="auto"/>
          <w:highlight w:val="none"/>
        </w:rPr>
      </w:pPr>
      <w:r>
        <w:rPr>
          <w:rFonts w:ascii="宋体" w:hAnsi="宋体"/>
          <w:color w:val="auto"/>
          <w:highlight w:val="none"/>
        </w:rPr>
        <w:t>2.1.1 资格审查标准：见评标办法前附表。</w:t>
      </w:r>
    </w:p>
    <w:p>
      <w:pPr>
        <w:spacing w:line="400" w:lineRule="exact"/>
        <w:ind w:firstLine="420" w:firstLineChars="200"/>
        <w:rPr>
          <w:rFonts w:ascii="宋体" w:hAnsi="宋体"/>
          <w:color w:val="auto"/>
          <w:highlight w:val="none"/>
        </w:rPr>
      </w:pPr>
      <w:bookmarkStart w:id="924" w:name="_Toc247527628"/>
      <w:bookmarkStart w:id="925" w:name="_Toc152045603"/>
      <w:bookmarkStart w:id="926" w:name="_Toc399165434"/>
      <w:bookmarkStart w:id="927" w:name="_Toc152042380"/>
      <w:bookmarkStart w:id="928" w:name="_Toc144974570"/>
      <w:bookmarkStart w:id="929" w:name="_Toc300835013"/>
      <w:bookmarkStart w:id="930" w:name="_Toc247514027"/>
      <w:r>
        <w:rPr>
          <w:rFonts w:ascii="宋体" w:hAnsi="宋体"/>
          <w:color w:val="auto"/>
          <w:highlight w:val="none"/>
        </w:rPr>
        <w:t>2.1.2</w:t>
      </w:r>
      <w:r>
        <w:rPr>
          <w:rFonts w:hint="eastAsia" w:ascii="宋体" w:hAnsi="宋体"/>
          <w:color w:val="auto"/>
          <w:highlight w:val="none"/>
        </w:rPr>
        <w:t>投标文件有效性审查标准：见评标办法前附表。。</w:t>
      </w:r>
    </w:p>
    <w:p>
      <w:pPr>
        <w:pStyle w:val="5"/>
        <w:spacing w:before="100" w:after="100" w:line="360" w:lineRule="auto"/>
        <w:rPr>
          <w:rFonts w:ascii="宋体" w:eastAsia="宋体"/>
          <w:color w:val="auto"/>
          <w:highlight w:val="none"/>
        </w:rPr>
      </w:pPr>
      <w:bookmarkStart w:id="931" w:name="_Toc436834781"/>
      <w:bookmarkStart w:id="932" w:name="_Toc14736"/>
      <w:bookmarkStart w:id="933" w:name="_Toc16804"/>
      <w:bookmarkStart w:id="934" w:name="_Toc25188"/>
      <w:bookmarkStart w:id="935" w:name="_Toc436834188"/>
      <w:bookmarkStart w:id="936" w:name="_Toc494371571"/>
      <w:bookmarkStart w:id="937" w:name="_Toc32259"/>
      <w:r>
        <w:rPr>
          <w:rFonts w:ascii="宋体" w:eastAsia="宋体"/>
          <w:color w:val="auto"/>
          <w:highlight w:val="none"/>
        </w:rPr>
        <w:t xml:space="preserve">2.2 </w:t>
      </w:r>
      <w:r>
        <w:rPr>
          <w:rFonts w:hint="eastAsia" w:ascii="宋体" w:eastAsia="宋体"/>
          <w:color w:val="auto"/>
          <w:highlight w:val="none"/>
        </w:rPr>
        <w:t>分值构成与评分标准</w:t>
      </w:r>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p>
    <w:p>
      <w:pPr>
        <w:spacing w:line="400" w:lineRule="exact"/>
        <w:ind w:firstLine="420" w:firstLineChars="200"/>
        <w:rPr>
          <w:rFonts w:ascii="宋体" w:hAnsi="宋体"/>
          <w:color w:val="auto"/>
          <w:highlight w:val="none"/>
        </w:rPr>
      </w:pPr>
      <w:bookmarkStart w:id="938" w:name="_Toc399165435"/>
      <w:bookmarkStart w:id="939" w:name="_Toc247514028"/>
      <w:bookmarkStart w:id="940" w:name="_Toc152042381"/>
      <w:bookmarkStart w:id="941" w:name="_Toc247527629"/>
      <w:bookmarkStart w:id="942" w:name="_Toc144974571"/>
      <w:bookmarkStart w:id="943" w:name="_Toc152045604"/>
      <w:bookmarkStart w:id="944" w:name="_Toc300835014"/>
      <w:r>
        <w:rPr>
          <w:rFonts w:ascii="宋体" w:hAnsi="宋体"/>
          <w:color w:val="auto"/>
          <w:highlight w:val="none"/>
        </w:rPr>
        <w:t>2.2.1</w:t>
      </w:r>
      <w:r>
        <w:rPr>
          <w:rFonts w:ascii="宋体" w:hAnsi="宋体"/>
          <w:color w:val="auto"/>
          <w:szCs w:val="21"/>
          <w:highlight w:val="none"/>
        </w:rPr>
        <w:t>分值构成</w:t>
      </w:r>
      <w:r>
        <w:rPr>
          <w:rFonts w:hint="eastAsia" w:ascii="宋体" w:hAnsi="宋体"/>
          <w:color w:val="auto"/>
          <w:szCs w:val="21"/>
          <w:highlight w:val="none"/>
        </w:rPr>
        <w:t>及权重</w:t>
      </w:r>
      <w:r>
        <w:rPr>
          <w:rFonts w:hint="eastAsia" w:ascii="宋体" w:hAnsi="宋体"/>
          <w:color w:val="auto"/>
          <w:highlight w:val="none"/>
        </w:rPr>
        <w:t>：见评标办法前附表。</w:t>
      </w:r>
    </w:p>
    <w:p>
      <w:pPr>
        <w:spacing w:line="400" w:lineRule="exact"/>
        <w:ind w:firstLine="420" w:firstLineChars="200"/>
        <w:rPr>
          <w:rFonts w:ascii="宋体" w:hAnsi="宋体"/>
          <w:color w:val="auto"/>
          <w:highlight w:val="none"/>
        </w:rPr>
      </w:pPr>
      <w:r>
        <w:rPr>
          <w:rFonts w:ascii="宋体" w:hAnsi="宋体"/>
          <w:color w:val="auto"/>
          <w:highlight w:val="none"/>
        </w:rPr>
        <w:t>2.2.2 评分标准</w:t>
      </w:r>
    </w:p>
    <w:p>
      <w:pPr>
        <w:spacing w:line="400" w:lineRule="exact"/>
        <w:ind w:firstLine="420" w:firstLineChars="200"/>
        <w:rPr>
          <w:rFonts w:ascii="宋体" w:hAnsi="宋体"/>
          <w:color w:val="auto"/>
          <w:highlight w:val="none"/>
        </w:rPr>
      </w:pPr>
      <w:bookmarkStart w:id="945" w:name="_Toc11029"/>
      <w:bookmarkStart w:id="946" w:name="_Toc436834782"/>
      <w:bookmarkStart w:id="947" w:name="_Toc436834189"/>
      <w:bookmarkStart w:id="948" w:name="_Toc210"/>
      <w:bookmarkStart w:id="949" w:name="_Toc24656"/>
      <w:bookmarkStart w:id="950" w:name="_Toc29432"/>
      <w:bookmarkStart w:id="951" w:name="_Toc13060"/>
      <w:bookmarkStart w:id="952" w:name="_Toc494371572"/>
      <w:r>
        <w:rPr>
          <w:rFonts w:hint="eastAsia" w:ascii="宋体" w:hAnsi="宋体"/>
          <w:color w:val="auto"/>
          <w:highlight w:val="none"/>
        </w:rPr>
        <w:t>（1）工程总承包实施方案（含资信部分）文件详细审查评分标准：见评标办法前附表。</w:t>
      </w:r>
    </w:p>
    <w:p>
      <w:pPr>
        <w:spacing w:line="400" w:lineRule="exact"/>
        <w:ind w:firstLine="420" w:firstLineChars="200"/>
        <w:rPr>
          <w:rFonts w:ascii="宋体" w:hAnsi="宋体"/>
          <w:color w:val="auto"/>
          <w:highlight w:val="none"/>
        </w:rPr>
      </w:pPr>
      <w:r>
        <w:rPr>
          <w:rFonts w:hint="eastAsia" w:ascii="宋体" w:hAnsi="宋体"/>
          <w:color w:val="auto"/>
          <w:highlight w:val="none"/>
        </w:rPr>
        <w:t>（2）投标报价文件详细审查评分标准：见评标办法前附表。</w:t>
      </w:r>
    </w:p>
    <w:p>
      <w:pPr>
        <w:pStyle w:val="4"/>
        <w:spacing w:before="100" w:after="100" w:line="360" w:lineRule="auto"/>
        <w:rPr>
          <w:rFonts w:ascii="宋体" w:hAnsi="宋体" w:eastAsia="宋体"/>
          <w:color w:val="auto"/>
          <w:highlight w:val="none"/>
        </w:rPr>
      </w:pPr>
      <w:bookmarkStart w:id="953" w:name="_Toc23123"/>
      <w:r>
        <w:rPr>
          <w:rFonts w:ascii="宋体" w:hAnsi="宋体" w:eastAsia="宋体"/>
          <w:color w:val="auto"/>
          <w:highlight w:val="none"/>
        </w:rPr>
        <w:t xml:space="preserve">3. </w:t>
      </w:r>
      <w:r>
        <w:rPr>
          <w:rFonts w:hint="eastAsia" w:ascii="宋体" w:hAnsi="宋体" w:eastAsia="宋体"/>
          <w:color w:val="auto"/>
          <w:highlight w:val="none"/>
        </w:rPr>
        <w:t>评标程序</w:t>
      </w:r>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p>
    <w:p>
      <w:pPr>
        <w:pStyle w:val="5"/>
        <w:spacing w:before="100" w:after="100" w:line="360" w:lineRule="auto"/>
        <w:rPr>
          <w:rFonts w:ascii="宋体" w:eastAsia="宋体"/>
          <w:color w:val="auto"/>
          <w:highlight w:val="none"/>
        </w:rPr>
      </w:pPr>
      <w:bookmarkStart w:id="954" w:name="_Toc263"/>
      <w:bookmarkStart w:id="955" w:name="_Toc494371574"/>
      <w:bookmarkStart w:id="956" w:name="_Toc1082"/>
      <w:bookmarkStart w:id="957" w:name="_Toc24446"/>
      <w:bookmarkStart w:id="958" w:name="_Toc5646"/>
      <w:r>
        <w:rPr>
          <w:rFonts w:ascii="宋体" w:eastAsia="宋体"/>
          <w:color w:val="auto"/>
          <w:highlight w:val="none"/>
        </w:rPr>
        <w:t>3.1资格审查文件评审</w:t>
      </w:r>
      <w:bookmarkEnd w:id="954"/>
      <w:bookmarkEnd w:id="955"/>
      <w:bookmarkEnd w:id="956"/>
      <w:bookmarkEnd w:id="957"/>
      <w:bookmarkEnd w:id="958"/>
    </w:p>
    <w:p>
      <w:pPr>
        <w:spacing w:line="400" w:lineRule="exact"/>
        <w:ind w:firstLine="457" w:firstLineChars="218"/>
        <w:rPr>
          <w:rFonts w:ascii="宋体" w:hAnsi="宋体"/>
          <w:color w:val="auto"/>
          <w:kern w:val="0"/>
          <w:szCs w:val="21"/>
          <w:highlight w:val="none"/>
        </w:rPr>
      </w:pPr>
      <w:r>
        <w:rPr>
          <w:rFonts w:hint="eastAsia" w:ascii="宋体" w:hAnsi="宋体"/>
          <w:color w:val="auto"/>
          <w:kern w:val="0"/>
          <w:szCs w:val="21"/>
          <w:highlight w:val="none"/>
        </w:rPr>
        <w:t>3.1.1</w:t>
      </w:r>
      <w:r>
        <w:rPr>
          <w:rFonts w:hint="eastAsia" w:ascii="宋体" w:hAnsi="宋体"/>
          <w:color w:val="auto"/>
          <w:highlight w:val="none"/>
        </w:rPr>
        <w:t>资格审查采用非电子化审查方式进行，评标委员会对投标人递交的资格审查文件</w:t>
      </w:r>
      <w:r>
        <w:rPr>
          <w:rFonts w:hint="eastAsia" w:ascii="宋体" w:hAnsi="宋体"/>
          <w:color w:val="auto"/>
          <w:szCs w:val="21"/>
          <w:highlight w:val="none"/>
        </w:rPr>
        <w:t>进行评审。</w:t>
      </w:r>
    </w:p>
    <w:p>
      <w:pPr>
        <w:spacing w:line="400" w:lineRule="exact"/>
        <w:ind w:firstLine="457" w:firstLineChars="218"/>
        <w:rPr>
          <w:rFonts w:ascii="宋体" w:hAnsi="宋体"/>
          <w:color w:val="auto"/>
          <w:kern w:val="0"/>
          <w:szCs w:val="21"/>
          <w:highlight w:val="none"/>
        </w:rPr>
      </w:pPr>
      <w:r>
        <w:rPr>
          <w:rFonts w:hint="eastAsia" w:ascii="宋体" w:hAnsi="宋体"/>
          <w:color w:val="auto"/>
          <w:kern w:val="0"/>
          <w:szCs w:val="21"/>
          <w:highlight w:val="none"/>
        </w:rPr>
        <w:t>3.1.2资格审查文件中全部符合附表1《资格审查表》中情形的，为资格审查合格。否则为资格审查不合格，经评标委员会认定后，其资格审查文件将被拒绝。如评标委员会成员的评审意见不一致时，应先公开要求投标人进行澄清，并记录及由评标委员会、作出澄清的投标人签字确认，以评标委员会过半数成员的意见作为评标委员会对该情形的认定结论。只有通过资格审查的投标人方可进入下一阶段的评审。</w:t>
      </w:r>
    </w:p>
    <w:p>
      <w:pPr>
        <w:spacing w:line="400" w:lineRule="exact"/>
        <w:ind w:firstLine="457" w:firstLineChars="218"/>
        <w:rPr>
          <w:rFonts w:ascii="宋体" w:hAnsi="宋体"/>
          <w:color w:val="auto"/>
          <w:kern w:val="0"/>
          <w:szCs w:val="21"/>
          <w:highlight w:val="none"/>
        </w:rPr>
      </w:pPr>
      <w:r>
        <w:rPr>
          <w:rFonts w:ascii="宋体" w:hAnsi="宋体"/>
          <w:color w:val="auto"/>
          <w:kern w:val="0"/>
          <w:szCs w:val="21"/>
          <w:highlight w:val="none"/>
        </w:rPr>
        <w:t>3.1.</w:t>
      </w:r>
      <w:r>
        <w:rPr>
          <w:rFonts w:hint="eastAsia" w:ascii="宋体" w:hAnsi="宋体"/>
          <w:color w:val="auto"/>
          <w:kern w:val="0"/>
          <w:szCs w:val="21"/>
          <w:highlight w:val="none"/>
        </w:rPr>
        <w:t>3汇总资格审查情况，编写资格审查报告。</w:t>
      </w:r>
    </w:p>
    <w:p>
      <w:pPr>
        <w:spacing w:line="400" w:lineRule="exact"/>
        <w:ind w:firstLine="457" w:firstLineChars="218"/>
        <w:rPr>
          <w:rFonts w:ascii="宋体" w:hAnsi="宋体"/>
          <w:color w:val="auto"/>
          <w:kern w:val="0"/>
          <w:szCs w:val="21"/>
          <w:highlight w:val="none"/>
        </w:rPr>
      </w:pPr>
      <w:r>
        <w:rPr>
          <w:rFonts w:ascii="宋体" w:hAnsi="宋体"/>
          <w:color w:val="auto"/>
          <w:kern w:val="0"/>
          <w:szCs w:val="21"/>
          <w:highlight w:val="none"/>
        </w:rPr>
        <w:t>3.1.</w:t>
      </w:r>
      <w:r>
        <w:rPr>
          <w:rFonts w:hint="eastAsia" w:ascii="宋体" w:hAnsi="宋体"/>
          <w:color w:val="auto"/>
          <w:kern w:val="0"/>
          <w:szCs w:val="21"/>
          <w:highlight w:val="none"/>
        </w:rPr>
        <w:t>4资格审查时，投标企业名称已经工商变更的，但企业及个人的资质证书未完成企业名称变更，仍然承认其有效；投标企业未及时办理变更手续的，招标人或招标代理机构应通报发证部门。资质证书、安全生产许可证之间登记的信息不一致，应当允许投标人澄清，不得直接否决其投标。</w:t>
      </w:r>
    </w:p>
    <w:p>
      <w:pPr>
        <w:spacing w:line="400" w:lineRule="exact"/>
        <w:ind w:firstLine="457" w:firstLineChars="218"/>
        <w:rPr>
          <w:rFonts w:ascii="宋体" w:hAnsi="宋体"/>
          <w:color w:val="auto"/>
          <w:kern w:val="0"/>
          <w:szCs w:val="21"/>
          <w:highlight w:val="none"/>
        </w:rPr>
      </w:pPr>
      <w:r>
        <w:rPr>
          <w:rFonts w:hint="eastAsia" w:ascii="宋体" w:hAnsi="宋体"/>
          <w:color w:val="auto"/>
          <w:kern w:val="0"/>
          <w:szCs w:val="21"/>
          <w:highlight w:val="none"/>
        </w:rPr>
        <w:t>特别声明：资审合格后，投标人的资格发生变化而不满足投标人合格条件，在发出中标通知书前，资格问题仍未解决的，招标人将取消其中标资格。</w:t>
      </w:r>
    </w:p>
    <w:p>
      <w:pPr>
        <w:pStyle w:val="5"/>
        <w:spacing w:before="100" w:after="100" w:line="360" w:lineRule="auto"/>
        <w:rPr>
          <w:rFonts w:ascii="宋体" w:eastAsia="宋体" w:cs="宋体"/>
          <w:color w:val="auto"/>
          <w:szCs w:val="21"/>
          <w:highlight w:val="none"/>
        </w:rPr>
      </w:pPr>
      <w:bookmarkStart w:id="959" w:name="_Toc15835"/>
      <w:bookmarkStart w:id="960" w:name="_Toc436834783"/>
      <w:bookmarkStart w:id="961" w:name="_Toc494371575"/>
      <w:bookmarkStart w:id="962" w:name="_Toc26253"/>
      <w:bookmarkStart w:id="963" w:name="_Toc30033"/>
      <w:bookmarkStart w:id="964" w:name="_Toc22209"/>
      <w:bookmarkStart w:id="965" w:name="_Toc436834190"/>
      <w:bookmarkStart w:id="966" w:name="_Toc247514031"/>
      <w:bookmarkStart w:id="967" w:name="_Toc144974575"/>
      <w:bookmarkStart w:id="968" w:name="_Toc152042385"/>
      <w:bookmarkStart w:id="969" w:name="_Toc300835017"/>
      <w:bookmarkStart w:id="970" w:name="_Toc247527632"/>
      <w:bookmarkStart w:id="971" w:name="_Toc152045607"/>
      <w:bookmarkStart w:id="972" w:name="_Toc399165439"/>
      <w:r>
        <w:rPr>
          <w:rFonts w:hint="eastAsia" w:ascii="宋体" w:eastAsia="宋体" w:cs="宋体"/>
          <w:color w:val="auto"/>
          <w:highlight w:val="none"/>
        </w:rPr>
        <w:t>3.2工程总承包实施方案（含资信部分）文件评审</w:t>
      </w:r>
      <w:bookmarkEnd w:id="959"/>
      <w:bookmarkEnd w:id="960"/>
      <w:bookmarkEnd w:id="961"/>
      <w:bookmarkEnd w:id="962"/>
      <w:bookmarkEnd w:id="963"/>
      <w:bookmarkEnd w:id="964"/>
      <w:bookmarkEnd w:id="965"/>
    </w:p>
    <w:p>
      <w:pPr>
        <w:spacing w:line="400" w:lineRule="exact"/>
        <w:ind w:firstLine="457" w:firstLineChars="218"/>
        <w:rPr>
          <w:rFonts w:ascii="宋体" w:hAnsi="宋体"/>
          <w:color w:val="auto"/>
          <w:szCs w:val="21"/>
          <w:highlight w:val="none"/>
        </w:rPr>
      </w:pPr>
      <w:bookmarkStart w:id="973" w:name="_Toc436834784"/>
      <w:bookmarkStart w:id="974" w:name="_Toc436834191"/>
      <w:r>
        <w:rPr>
          <w:rFonts w:ascii="宋体" w:hAnsi="宋体"/>
          <w:color w:val="auto"/>
          <w:szCs w:val="21"/>
          <w:highlight w:val="none"/>
        </w:rPr>
        <w:t>3.2.1</w:t>
      </w:r>
      <w:r>
        <w:rPr>
          <w:rFonts w:hint="eastAsia" w:ascii="宋体" w:hAnsi="宋体"/>
          <w:color w:val="auto"/>
          <w:szCs w:val="21"/>
          <w:highlight w:val="none"/>
        </w:rPr>
        <w:t>评标委员会按本办法附表2《工程总承包实施方案（含资信部分）文件有效性审查表》</w:t>
      </w:r>
      <w:r>
        <w:rPr>
          <w:rFonts w:ascii="宋体" w:hAnsi="宋体"/>
          <w:color w:val="auto"/>
          <w:szCs w:val="21"/>
          <w:highlight w:val="none"/>
        </w:rPr>
        <w:t>对各投标文件进行评审，只有通过有效性审查的投标文件方可进入下一阶段的评审。如果</w:t>
      </w:r>
      <w:r>
        <w:rPr>
          <w:rFonts w:hint="eastAsia" w:ascii="宋体" w:hAnsi="宋体"/>
          <w:color w:val="auto"/>
          <w:szCs w:val="21"/>
          <w:highlight w:val="none"/>
        </w:rPr>
        <w:t>有废标提议，则评标委员会成员共同表决，按照少数服从多数的原则决定是否废标。</w:t>
      </w:r>
    </w:p>
    <w:p>
      <w:pPr>
        <w:spacing w:line="400" w:lineRule="exact"/>
        <w:ind w:firstLine="457" w:firstLineChars="218"/>
        <w:rPr>
          <w:rFonts w:ascii="宋体"/>
          <w:color w:val="auto"/>
          <w:szCs w:val="21"/>
          <w:highlight w:val="none"/>
        </w:rPr>
      </w:pPr>
      <w:r>
        <w:rPr>
          <w:rFonts w:ascii="宋体" w:hAnsi="宋体"/>
          <w:color w:val="auto"/>
          <w:szCs w:val="21"/>
          <w:highlight w:val="none"/>
        </w:rPr>
        <w:t>3.2.2</w:t>
      </w:r>
      <w:r>
        <w:rPr>
          <w:rFonts w:hint="eastAsia" w:ascii="宋体"/>
          <w:color w:val="auto"/>
          <w:szCs w:val="21"/>
          <w:highlight w:val="none"/>
        </w:rPr>
        <w:t>评标委员会按本办法附表3《工程总承包实施方案（含资信部分）文件评分表》对各投标人的进行综合评分，投标人得分为评标委员会各成员对其评分合计的算术平均值。分数出现小数点，保留小数点后二位小数，第三位小数四舍五入。</w:t>
      </w:r>
    </w:p>
    <w:p>
      <w:pPr>
        <w:pStyle w:val="5"/>
        <w:spacing w:before="100" w:after="100" w:line="360" w:lineRule="auto"/>
        <w:rPr>
          <w:rFonts w:ascii="宋体" w:eastAsia="宋体"/>
          <w:color w:val="auto"/>
          <w:highlight w:val="none"/>
        </w:rPr>
      </w:pPr>
      <w:bookmarkStart w:id="975" w:name="_Toc29017"/>
      <w:bookmarkStart w:id="976" w:name="_Toc10463"/>
      <w:bookmarkStart w:id="977" w:name="_Toc23184"/>
      <w:bookmarkStart w:id="978" w:name="_Toc494371576"/>
      <w:bookmarkStart w:id="979" w:name="_Toc23957"/>
      <w:r>
        <w:rPr>
          <w:rFonts w:ascii="宋体" w:eastAsia="宋体"/>
          <w:color w:val="auto"/>
          <w:highlight w:val="none"/>
        </w:rPr>
        <w:t>3.3</w:t>
      </w:r>
      <w:bookmarkEnd w:id="973"/>
      <w:bookmarkEnd w:id="974"/>
      <w:bookmarkEnd w:id="975"/>
      <w:bookmarkEnd w:id="976"/>
      <w:bookmarkEnd w:id="977"/>
      <w:bookmarkEnd w:id="978"/>
      <w:bookmarkEnd w:id="979"/>
      <w:r>
        <w:rPr>
          <w:rFonts w:hint="eastAsia" w:ascii="宋体" w:eastAsia="宋体"/>
          <w:color w:val="auto"/>
          <w:highlight w:val="none"/>
        </w:rPr>
        <w:t>投标报价文件评审</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3.3.1投标报价文件有效性审查：评标委员会对通过工程总承包实施方案（含资信部分）文件有效性审查的投标文件按本办法附表4《投标报价文件有效性审查表》的评审内容进行</w:t>
      </w:r>
      <w:r>
        <w:rPr>
          <w:rFonts w:hint="eastAsia" w:ascii="宋体"/>
          <w:color w:val="auto"/>
          <w:highlight w:val="none"/>
        </w:rPr>
        <w:t>投标报价文件</w:t>
      </w:r>
      <w:r>
        <w:rPr>
          <w:rFonts w:hint="eastAsia" w:ascii="宋体" w:hAnsi="宋体"/>
          <w:color w:val="auto"/>
          <w:szCs w:val="21"/>
          <w:highlight w:val="none"/>
        </w:rPr>
        <w:t>有效性审查，经评标委员会认定为无效标书的，其投标文件将被拒绝。如评标委员会成员的评审意见不一致时，以评标委员会过半数成员的意见作为评标委员会对该情形的认定结论。未通过有效性审查的，不得进入下一阶段评审。</w:t>
      </w:r>
    </w:p>
    <w:p>
      <w:pPr>
        <w:spacing w:line="400" w:lineRule="exact"/>
        <w:ind w:firstLine="457" w:firstLineChars="218"/>
        <w:rPr>
          <w:rFonts w:ascii="宋体" w:hAnsi="宋体"/>
          <w:color w:val="auto"/>
          <w:szCs w:val="21"/>
          <w:highlight w:val="none"/>
        </w:rPr>
      </w:pPr>
      <w:r>
        <w:rPr>
          <w:rFonts w:ascii="宋体" w:hAnsi="宋体"/>
          <w:color w:val="auto"/>
          <w:szCs w:val="21"/>
          <w:highlight w:val="none"/>
        </w:rPr>
        <w:t>3.3.2</w:t>
      </w:r>
      <w:r>
        <w:rPr>
          <w:rFonts w:hint="eastAsia" w:ascii="宋体" w:hAnsi="宋体"/>
          <w:color w:val="auto"/>
          <w:szCs w:val="21"/>
          <w:highlight w:val="none"/>
        </w:rPr>
        <w:t>建安工程费报价的算术校核。施工组评标委员会对通过</w:t>
      </w:r>
      <w:r>
        <w:rPr>
          <w:rFonts w:hint="eastAsia" w:ascii="宋体" w:hAnsi="宋体"/>
          <w:color w:val="auto"/>
          <w:highlight w:val="none"/>
        </w:rPr>
        <w:t>经济标投标文件</w:t>
      </w:r>
      <w:r>
        <w:rPr>
          <w:rFonts w:hint="eastAsia" w:ascii="宋体" w:hAnsi="宋体"/>
          <w:color w:val="auto"/>
          <w:szCs w:val="21"/>
          <w:highlight w:val="none"/>
        </w:rPr>
        <w:t>有效性审查的投标文件的建安工程费报价进行算术校核，具体标准如下：</w:t>
      </w:r>
    </w:p>
    <w:p>
      <w:pPr>
        <w:spacing w:line="400" w:lineRule="exact"/>
        <w:ind w:firstLine="457" w:firstLineChars="218"/>
        <w:rPr>
          <w:rFonts w:ascii="宋体" w:hAnsi="宋体"/>
          <w:color w:val="auto"/>
          <w:szCs w:val="21"/>
          <w:highlight w:val="none"/>
        </w:rPr>
      </w:pPr>
      <w:r>
        <w:rPr>
          <w:rFonts w:hint="eastAsia" w:ascii="宋体" w:hAnsi="宋体"/>
          <w:color w:val="auto"/>
          <w:szCs w:val="21"/>
          <w:highlight w:val="none"/>
        </w:rPr>
        <w:t>（1）如果数字表示的金额和用文字表示的金额不一致时，应以文字表示的金额为准（有以下算术性错误需要修正的除外）；</w:t>
      </w:r>
    </w:p>
    <w:p>
      <w:pPr>
        <w:spacing w:line="400" w:lineRule="exact"/>
        <w:ind w:firstLine="457" w:firstLineChars="218"/>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2）如果费率与施工部分限价乘积不等于合价时，以费率为准修正合价（费率有明显的数量级错误的除外，此时应修正费率）；</w:t>
      </w:r>
    </w:p>
    <w:p>
      <w:pPr>
        <w:spacing w:line="400" w:lineRule="exact"/>
        <w:ind w:firstLine="457" w:firstLineChars="218"/>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3）如果分项报价累加不等总价的，以分项报价累加为准，修正总价；</w:t>
      </w:r>
    </w:p>
    <w:p>
      <w:pPr>
        <w:spacing w:line="400" w:lineRule="exact"/>
        <w:ind w:firstLine="457" w:firstLineChars="218"/>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4）投标文件存在其他计算性错误的，按正确的方法计算并修正；</w:t>
      </w:r>
    </w:p>
    <w:p>
      <w:pPr>
        <w:spacing w:line="400" w:lineRule="exact"/>
        <w:ind w:firstLine="457" w:firstLineChars="218"/>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5）按上述修正错误的原则及方法调整或修正投标文件的投标报价，调整后的投标报价对投标人起约束作用。如果投标人不接受修正后的报价，则取消其投标资格，并且其投标担保也将被没收。</w:t>
      </w:r>
    </w:p>
    <w:p>
      <w:pPr>
        <w:spacing w:line="360" w:lineRule="auto"/>
        <w:ind w:firstLine="420" w:firstLineChars="200"/>
        <w:rPr>
          <w:rFonts w:ascii="宋体" w:hAnsi="宋体"/>
          <w:color w:val="auto"/>
          <w:highlight w:val="none"/>
        </w:rPr>
      </w:pPr>
      <w:r>
        <w:rPr>
          <w:rFonts w:ascii="宋体" w:hAnsi="宋体"/>
          <w:color w:val="auto"/>
          <w:szCs w:val="21"/>
          <w:highlight w:val="none"/>
        </w:rPr>
        <w:t>3.3.</w:t>
      </w:r>
      <w:r>
        <w:rPr>
          <w:rFonts w:hint="eastAsia" w:ascii="宋体" w:hAnsi="宋体"/>
          <w:color w:val="auto"/>
          <w:szCs w:val="21"/>
          <w:highlight w:val="none"/>
        </w:rPr>
        <w:t>3建安工程费投标报价评分：</w:t>
      </w:r>
      <w:r>
        <w:rPr>
          <w:rFonts w:hint="eastAsia" w:ascii="宋体" w:hAnsi="宋体"/>
          <w:color w:val="auto"/>
          <w:highlight w:val="none"/>
        </w:rPr>
        <w:t>①</w:t>
      </w:r>
      <w:r>
        <w:rPr>
          <w:rFonts w:hint="eastAsia" w:ascii="宋体" w:hAnsi="宋体"/>
          <w:color w:val="auto"/>
          <w:highlight w:val="none"/>
          <w:lang w:eastAsia="zh-CN"/>
        </w:rPr>
        <w:t>统计</w:t>
      </w:r>
      <w:r>
        <w:rPr>
          <w:rFonts w:hint="eastAsia" w:ascii="宋体" w:hAnsi="宋体"/>
          <w:color w:val="auto"/>
          <w:highlight w:val="none"/>
        </w:rPr>
        <w:t>通过投标文件有效性审查（包括资格审查文件、</w:t>
      </w:r>
      <w:r>
        <w:rPr>
          <w:rFonts w:hint="eastAsia" w:ascii="宋体" w:hAnsi="宋体"/>
          <w:color w:val="auto"/>
          <w:highlight w:val="none"/>
          <w:lang w:eastAsia="zh-CN"/>
        </w:rPr>
        <w:t>工程设计施工总承包实施方案</w:t>
      </w:r>
      <w:r>
        <w:rPr>
          <w:rFonts w:hint="eastAsia" w:ascii="宋体" w:hAnsi="宋体"/>
          <w:color w:val="auto"/>
          <w:highlight w:val="none"/>
        </w:rPr>
        <w:t>（含资信部分）文件和</w:t>
      </w:r>
      <w:r>
        <w:rPr>
          <w:rFonts w:hint="eastAsia"/>
          <w:color w:val="auto"/>
          <w:szCs w:val="21"/>
          <w:highlight w:val="none"/>
        </w:rPr>
        <w:t>投标报价</w:t>
      </w:r>
      <w:r>
        <w:rPr>
          <w:rFonts w:hint="eastAsia" w:ascii="宋体" w:hAnsi="宋体"/>
          <w:color w:val="auto"/>
          <w:highlight w:val="none"/>
        </w:rPr>
        <w:t>文件）的</w:t>
      </w:r>
      <w:r>
        <w:rPr>
          <w:rFonts w:hint="eastAsia" w:ascii="宋体" w:hAnsi="宋体"/>
          <w:color w:val="auto"/>
          <w:highlight w:val="none"/>
          <w:lang w:eastAsia="zh-CN"/>
        </w:rPr>
        <w:t>投标单位数量，若数量大于</w:t>
      </w:r>
      <w:r>
        <w:rPr>
          <w:rFonts w:hint="eastAsia" w:ascii="宋体" w:hAnsi="宋体"/>
          <w:color w:val="auto"/>
          <w:highlight w:val="none"/>
          <w:lang w:val="en-US" w:eastAsia="zh-CN"/>
        </w:rPr>
        <w:t>5家，则按照投标单位的</w:t>
      </w:r>
      <w:r>
        <w:rPr>
          <w:rFonts w:hint="eastAsia" w:ascii="宋体" w:hAnsi="宋体"/>
          <w:color w:val="auto"/>
          <w:highlight w:val="none"/>
        </w:rPr>
        <w:t>建安工程费报价中，去掉一个最高价和一个最低价后，剩余报价的算术平均值为评标参考价</w:t>
      </w:r>
      <w:r>
        <w:rPr>
          <w:rFonts w:hint="eastAsia" w:ascii="宋体" w:hAnsi="宋体"/>
          <w:color w:val="auto"/>
          <w:highlight w:val="none"/>
          <w:lang w:eastAsia="zh-CN"/>
        </w:rPr>
        <w:t>；</w:t>
      </w:r>
      <w:r>
        <w:rPr>
          <w:rFonts w:hint="eastAsia" w:ascii="宋体" w:hAnsi="宋体"/>
          <w:color w:val="auto"/>
          <w:highlight w:val="none"/>
        </w:rPr>
        <w:t>若</w:t>
      </w:r>
      <w:r>
        <w:rPr>
          <w:rFonts w:hint="eastAsia" w:ascii="宋体" w:hAnsi="宋体"/>
          <w:color w:val="auto"/>
          <w:highlight w:val="none"/>
          <w:lang w:eastAsia="zh-CN"/>
        </w:rPr>
        <w:t>数量小于</w:t>
      </w:r>
      <w:r>
        <w:rPr>
          <w:rFonts w:hint="eastAsia" w:ascii="宋体" w:hAnsi="宋体"/>
          <w:color w:val="auto"/>
          <w:highlight w:val="none"/>
          <w:lang w:val="en-US" w:eastAsia="zh-CN"/>
        </w:rPr>
        <w:t>5家（含5家）</w:t>
      </w:r>
      <w:r>
        <w:rPr>
          <w:rFonts w:hint="eastAsia" w:ascii="宋体" w:hAnsi="宋体"/>
          <w:color w:val="auto"/>
          <w:highlight w:val="none"/>
        </w:rPr>
        <w:t>，</w:t>
      </w:r>
      <w:r>
        <w:rPr>
          <w:rFonts w:hint="eastAsia" w:ascii="宋体" w:hAnsi="宋体"/>
          <w:color w:val="auto"/>
          <w:highlight w:val="none"/>
          <w:lang w:eastAsia="zh-CN"/>
        </w:rPr>
        <w:t>则</w:t>
      </w:r>
      <w:r>
        <w:rPr>
          <w:rFonts w:hint="eastAsia" w:ascii="宋体" w:hAnsi="宋体"/>
          <w:color w:val="auto"/>
          <w:highlight w:val="none"/>
        </w:rPr>
        <w:t>直接</w:t>
      </w:r>
      <w:r>
        <w:rPr>
          <w:rFonts w:hint="eastAsia" w:ascii="宋体" w:hAnsi="宋体"/>
          <w:color w:val="auto"/>
          <w:highlight w:val="none"/>
          <w:lang w:eastAsia="zh-CN"/>
        </w:rPr>
        <w:t>取</w:t>
      </w:r>
      <w:r>
        <w:rPr>
          <w:rFonts w:hint="eastAsia" w:ascii="宋体" w:hAnsi="宋体"/>
          <w:color w:val="auto"/>
          <w:highlight w:val="none"/>
          <w:lang w:val="en-US" w:eastAsia="zh-CN"/>
        </w:rPr>
        <w:t>投标单位的</w:t>
      </w:r>
      <w:r>
        <w:rPr>
          <w:rFonts w:hint="eastAsia" w:ascii="宋体" w:hAnsi="宋体"/>
          <w:color w:val="auto"/>
          <w:highlight w:val="none"/>
        </w:rPr>
        <w:t>建安工程费报价的算术平均值为评标参考价；</w:t>
      </w:r>
    </w:p>
    <w:p>
      <w:pPr>
        <w:spacing w:line="360" w:lineRule="auto"/>
        <w:ind w:firstLine="420" w:firstLineChars="200"/>
        <w:rPr>
          <w:rFonts w:ascii="宋体" w:hAnsi="宋体"/>
          <w:color w:val="auto"/>
          <w:highlight w:val="none"/>
        </w:rPr>
      </w:pPr>
      <w:r>
        <w:rPr>
          <w:rFonts w:hint="eastAsia" w:ascii="宋体" w:hAnsi="宋体"/>
          <w:color w:val="auto"/>
          <w:highlight w:val="none"/>
        </w:rPr>
        <w:t>②建安工程费投标报价等于评标参考价时得</w:t>
      </w:r>
      <w:r>
        <w:rPr>
          <w:rFonts w:ascii="宋体" w:hAnsi="宋体"/>
          <w:color w:val="auto"/>
          <w:highlight w:val="none"/>
        </w:rPr>
        <w:t>100分，投标价每高于评标参考价</w:t>
      </w:r>
      <w:r>
        <w:rPr>
          <w:color w:val="auto"/>
          <w:highlight w:val="none"/>
        </w:rPr>
        <w:t>1%</w:t>
      </w:r>
      <w:r>
        <w:rPr>
          <w:rFonts w:hint="eastAsia" w:ascii="宋体" w:hAnsi="宋体"/>
          <w:color w:val="auto"/>
          <w:highlight w:val="none"/>
        </w:rPr>
        <w:t>，扣</w:t>
      </w:r>
      <w:r>
        <w:rPr>
          <w:rFonts w:hint="eastAsia"/>
          <w:color w:val="auto"/>
          <w:highlight w:val="none"/>
        </w:rPr>
        <w:t>0.3</w:t>
      </w:r>
      <w:r>
        <w:rPr>
          <w:rFonts w:hint="eastAsia" w:ascii="宋体" w:hAnsi="宋体"/>
          <w:color w:val="auto"/>
          <w:highlight w:val="none"/>
        </w:rPr>
        <w:t>分，每低于评标参考价</w:t>
      </w:r>
      <w:r>
        <w:rPr>
          <w:color w:val="auto"/>
          <w:highlight w:val="none"/>
        </w:rPr>
        <w:t>1%</w:t>
      </w:r>
      <w:r>
        <w:rPr>
          <w:rFonts w:hint="eastAsia" w:ascii="宋体" w:hAnsi="宋体"/>
          <w:color w:val="auto"/>
          <w:highlight w:val="none"/>
        </w:rPr>
        <w:t>，扣</w:t>
      </w:r>
      <w:r>
        <w:rPr>
          <w:rFonts w:hint="eastAsia"/>
          <w:color w:val="auto"/>
          <w:highlight w:val="none"/>
        </w:rPr>
        <w:t>0.15</w:t>
      </w:r>
      <w:r>
        <w:rPr>
          <w:rFonts w:hint="eastAsia" w:ascii="宋体" w:hAnsi="宋体"/>
          <w:color w:val="auto"/>
          <w:highlight w:val="none"/>
        </w:rPr>
        <w:t>分，扣至</w:t>
      </w:r>
      <w:r>
        <w:rPr>
          <w:color w:val="auto"/>
          <w:highlight w:val="none"/>
        </w:rPr>
        <w:t>0</w:t>
      </w:r>
      <w:r>
        <w:rPr>
          <w:rFonts w:hint="eastAsia" w:ascii="宋体" w:hAnsi="宋体"/>
          <w:color w:val="auto"/>
          <w:highlight w:val="none"/>
        </w:rPr>
        <w:t>分为止，得出的投标报价得分乘以</w:t>
      </w:r>
      <w:r>
        <w:rPr>
          <w:rFonts w:hint="eastAsia" w:ascii="宋体" w:hAnsi="宋体"/>
          <w:color w:val="auto"/>
          <w:highlight w:val="none"/>
          <w:lang w:val="en-US" w:eastAsia="zh-CN"/>
        </w:rPr>
        <w:t>50</w:t>
      </w:r>
      <w:r>
        <w:rPr>
          <w:rFonts w:hint="eastAsia" w:ascii="宋体" w:hAnsi="宋体"/>
          <w:color w:val="auto"/>
          <w:highlight w:val="none"/>
        </w:rPr>
        <w:t>%作为最终</w:t>
      </w:r>
      <w:r>
        <w:rPr>
          <w:rFonts w:hint="eastAsia"/>
          <w:color w:val="auto"/>
          <w:szCs w:val="21"/>
          <w:highlight w:val="none"/>
        </w:rPr>
        <w:t>投标报价</w:t>
      </w:r>
      <w:r>
        <w:rPr>
          <w:rFonts w:hint="eastAsia" w:ascii="宋体" w:hAnsi="宋体"/>
          <w:color w:val="auto"/>
          <w:highlight w:val="none"/>
        </w:rPr>
        <w:t>文件得分，精确到小数点后两位，第三位小数四舍五入。</w:t>
      </w:r>
    </w:p>
    <w:p>
      <w:pPr>
        <w:pStyle w:val="5"/>
        <w:spacing w:before="100" w:after="100" w:line="360" w:lineRule="auto"/>
        <w:rPr>
          <w:rFonts w:ascii="宋体" w:eastAsia="宋体"/>
          <w:color w:val="auto"/>
          <w:highlight w:val="none"/>
        </w:rPr>
      </w:pPr>
      <w:bookmarkStart w:id="980" w:name="_Toc494371578"/>
      <w:bookmarkStart w:id="981" w:name="_Toc10879"/>
      <w:bookmarkStart w:id="982" w:name="_Toc23723"/>
      <w:bookmarkStart w:id="983" w:name="_Toc10214"/>
      <w:bookmarkStart w:id="984" w:name="_Toc27882"/>
      <w:bookmarkStart w:id="985" w:name="_Toc436834786"/>
      <w:bookmarkStart w:id="986" w:name="_Toc436834193"/>
      <w:r>
        <w:rPr>
          <w:rFonts w:hint="eastAsia" w:ascii="宋体" w:eastAsia="宋体"/>
          <w:color w:val="auto"/>
          <w:highlight w:val="none"/>
        </w:rPr>
        <w:t>3.5评审汇总</w:t>
      </w:r>
      <w:bookmarkEnd w:id="980"/>
      <w:bookmarkEnd w:id="981"/>
      <w:bookmarkEnd w:id="982"/>
      <w:bookmarkEnd w:id="983"/>
      <w:bookmarkEnd w:id="984"/>
      <w:bookmarkEnd w:id="985"/>
      <w:bookmarkEnd w:id="986"/>
    </w:p>
    <w:p>
      <w:pPr>
        <w:spacing w:line="400" w:lineRule="exact"/>
        <w:ind w:firstLine="457" w:firstLineChars="218"/>
        <w:rPr>
          <w:rFonts w:ascii="宋体" w:hAnsi="宋体"/>
          <w:color w:val="auto"/>
          <w:szCs w:val="21"/>
          <w:highlight w:val="none"/>
        </w:rPr>
      </w:pPr>
      <w:r>
        <w:rPr>
          <w:rFonts w:ascii="宋体" w:hAnsi="宋体"/>
          <w:color w:val="auto"/>
          <w:szCs w:val="21"/>
          <w:highlight w:val="none"/>
        </w:rPr>
        <w:t>3.5.1</w:t>
      </w:r>
      <w:r>
        <w:rPr>
          <w:rFonts w:hint="eastAsia" w:ascii="宋体" w:hAnsi="宋体"/>
          <w:color w:val="auto"/>
          <w:szCs w:val="21"/>
          <w:highlight w:val="none"/>
        </w:rPr>
        <w:t>投标人总得分满分为</w:t>
      </w:r>
      <w:r>
        <w:rPr>
          <w:rFonts w:ascii="宋体" w:hAnsi="宋体"/>
          <w:color w:val="auto"/>
          <w:szCs w:val="21"/>
          <w:highlight w:val="none"/>
        </w:rPr>
        <w:t>100分，总分权重分配见:评标办法前附表。</w:t>
      </w:r>
    </w:p>
    <w:p>
      <w:pPr>
        <w:spacing w:line="400" w:lineRule="exact"/>
        <w:ind w:firstLine="457" w:firstLineChars="218"/>
        <w:rPr>
          <w:rFonts w:ascii="宋体" w:hAnsi="宋体"/>
          <w:color w:val="auto"/>
          <w:szCs w:val="21"/>
          <w:highlight w:val="none"/>
        </w:rPr>
      </w:pPr>
      <w:r>
        <w:rPr>
          <w:rFonts w:ascii="宋体" w:hAnsi="宋体"/>
          <w:color w:val="auto"/>
          <w:szCs w:val="21"/>
          <w:highlight w:val="none"/>
        </w:rPr>
        <w:t>3.5.2</w:t>
      </w:r>
      <w:r>
        <w:rPr>
          <w:rFonts w:hint="eastAsia" w:ascii="宋体" w:hAnsi="宋体"/>
          <w:color w:val="auto"/>
          <w:szCs w:val="21"/>
          <w:highlight w:val="none"/>
        </w:rPr>
        <w:t>评标委员会按照“评标办法前附表</w:t>
      </w:r>
      <w:r>
        <w:rPr>
          <w:rFonts w:ascii="宋体" w:hAnsi="宋体"/>
          <w:color w:val="auto"/>
          <w:szCs w:val="21"/>
          <w:highlight w:val="none"/>
        </w:rPr>
        <w:t>”</w:t>
      </w:r>
      <w:r>
        <w:rPr>
          <w:rFonts w:hint="eastAsia" w:ascii="宋体" w:hAnsi="宋体"/>
          <w:color w:val="auto"/>
          <w:szCs w:val="21"/>
          <w:highlight w:val="none"/>
        </w:rPr>
        <w:t>所述公式，计算各有效投标文件的总分，并按照总分从高到低排列先后次序。总分相同的，以联合体主办方施工技术得分高的排前；如仍存在相同情况，则对具有相同情况的投标人，按中标候选人数量规定，由评标委员会采用记名投票方式，确定中标候选人的排序。评标委员会应按排序先后，在招标文件有效的投标人中，向招标人推荐前</w:t>
      </w:r>
      <w:r>
        <w:rPr>
          <w:rFonts w:ascii="宋体" w:hAnsi="宋体"/>
          <w:color w:val="auto"/>
          <w:szCs w:val="21"/>
          <w:highlight w:val="none"/>
        </w:rPr>
        <w:t>3名投标人依次为第一中标候选人至第三中标候选人，并编写评标报告。</w:t>
      </w:r>
    </w:p>
    <w:bookmarkEnd w:id="966"/>
    <w:bookmarkEnd w:id="967"/>
    <w:bookmarkEnd w:id="968"/>
    <w:bookmarkEnd w:id="969"/>
    <w:bookmarkEnd w:id="970"/>
    <w:bookmarkEnd w:id="971"/>
    <w:bookmarkEnd w:id="972"/>
    <w:p>
      <w:pPr>
        <w:pStyle w:val="5"/>
        <w:spacing w:before="100" w:after="100" w:line="360" w:lineRule="auto"/>
        <w:rPr>
          <w:rFonts w:ascii="宋体" w:eastAsia="宋体"/>
          <w:color w:val="auto"/>
          <w:highlight w:val="none"/>
        </w:rPr>
      </w:pPr>
      <w:bookmarkStart w:id="987" w:name="_Toc11454"/>
      <w:bookmarkStart w:id="988" w:name="_Toc436834787"/>
      <w:bookmarkStart w:id="989" w:name="_Toc28563"/>
      <w:bookmarkStart w:id="990" w:name="_Toc4315"/>
      <w:bookmarkStart w:id="991" w:name="_Toc436834194"/>
      <w:bookmarkStart w:id="992" w:name="_Toc494371579"/>
      <w:bookmarkStart w:id="993" w:name="_Toc5720"/>
      <w:bookmarkStart w:id="994" w:name="_Toc399165441"/>
      <w:r>
        <w:rPr>
          <w:rFonts w:ascii="宋体" w:eastAsia="宋体"/>
          <w:color w:val="auto"/>
          <w:highlight w:val="none"/>
        </w:rPr>
        <w:t>3.6投标文件的澄清和补正</w:t>
      </w:r>
      <w:bookmarkEnd w:id="987"/>
      <w:bookmarkEnd w:id="988"/>
      <w:bookmarkEnd w:id="989"/>
      <w:bookmarkEnd w:id="990"/>
      <w:bookmarkEnd w:id="991"/>
      <w:bookmarkEnd w:id="992"/>
      <w:bookmarkEnd w:id="993"/>
    </w:p>
    <w:p>
      <w:pPr>
        <w:spacing w:line="400" w:lineRule="exact"/>
        <w:ind w:firstLine="420" w:firstLineChars="200"/>
        <w:rPr>
          <w:rFonts w:ascii="宋体" w:hAnsi="宋体"/>
          <w:color w:val="auto"/>
          <w:highlight w:val="none"/>
        </w:rPr>
      </w:pPr>
      <w:r>
        <w:rPr>
          <w:rFonts w:ascii="宋体" w:hAnsi="宋体"/>
          <w:color w:val="auto"/>
          <w:highlight w:val="none"/>
        </w:rPr>
        <w:t>3.6.1</w:t>
      </w:r>
      <w:r>
        <w:rPr>
          <w:rFonts w:hint="eastAsia" w:ascii="宋体" w:hAnsi="宋体"/>
          <w:color w:val="auto"/>
          <w:highlight w:val="none"/>
        </w:rPr>
        <w:t>为有助于投标文件的审查、评价和比较，评标期间，经评标委员会中两人以上（含两人）的成员以书面形式提出动议，评标委员会应当书面发出澄清通知，要求投标人对投标文件含义不明确的内容作出澄清。</w:t>
      </w:r>
    </w:p>
    <w:p>
      <w:pPr>
        <w:spacing w:line="400" w:lineRule="exact"/>
        <w:ind w:firstLine="420" w:firstLineChars="200"/>
        <w:rPr>
          <w:rFonts w:ascii="宋体" w:hAnsi="宋体"/>
          <w:color w:val="auto"/>
          <w:highlight w:val="none"/>
        </w:rPr>
      </w:pPr>
      <w:r>
        <w:rPr>
          <w:rFonts w:ascii="宋体" w:hAnsi="宋体"/>
          <w:color w:val="auto"/>
          <w:highlight w:val="none"/>
        </w:rPr>
        <w:t xml:space="preserve">3.6.2 </w:t>
      </w:r>
      <w:r>
        <w:rPr>
          <w:rFonts w:hint="eastAsia" w:ascii="宋体" w:hAnsi="宋体"/>
          <w:color w:val="auto"/>
          <w:highlight w:val="none"/>
        </w:rPr>
        <w:t>投标人应以书面形式进行澄清，澄清中的承诺性意思表示在投标文件有效期内均对投标人有约束力。澄清不得超出投标文件的范围或改变投标文件的实质性内容，超出部分不作为评标委员会相应评审的依据。</w:t>
      </w:r>
    </w:p>
    <w:p>
      <w:pPr>
        <w:spacing w:line="400" w:lineRule="exact"/>
        <w:ind w:firstLine="420" w:firstLineChars="200"/>
        <w:rPr>
          <w:rFonts w:ascii="宋体" w:hAnsi="宋体"/>
          <w:color w:val="auto"/>
          <w:highlight w:val="none"/>
        </w:rPr>
      </w:pPr>
      <w:r>
        <w:rPr>
          <w:rFonts w:ascii="宋体" w:hAnsi="宋体"/>
          <w:color w:val="auto"/>
          <w:highlight w:val="none"/>
        </w:rPr>
        <w:t>3.6.3 评标委员会成员均应当阅读投标人的澄清，但应独立参考澄清对投标文件进行评审。</w:t>
      </w:r>
    </w:p>
    <w:p>
      <w:pPr>
        <w:spacing w:line="400" w:lineRule="exact"/>
        <w:ind w:firstLine="420" w:firstLineChars="200"/>
        <w:rPr>
          <w:rFonts w:ascii="宋体" w:hAnsi="宋体"/>
          <w:color w:val="auto"/>
          <w:highlight w:val="none"/>
        </w:rPr>
      </w:pPr>
      <w:r>
        <w:rPr>
          <w:rFonts w:ascii="宋体" w:hAnsi="宋体"/>
          <w:color w:val="auto"/>
          <w:highlight w:val="none"/>
        </w:rPr>
        <w:t>3.6.4</w:t>
      </w:r>
      <w:r>
        <w:rPr>
          <w:rFonts w:hint="eastAsia" w:ascii="宋体" w:hAnsi="宋体"/>
          <w:color w:val="auto"/>
          <w:highlight w:val="none"/>
        </w:rPr>
        <w:t>如果投标文件实质上不响应招标文件的各项要求，评标委员会相应评审将按照有效性审查标准予以拒绝，不接受投标人通过修改或撤销其不符合要求的差异或保留，使之成为具有响应性的投标。</w:t>
      </w:r>
    </w:p>
    <w:p>
      <w:pPr>
        <w:pStyle w:val="5"/>
        <w:spacing w:before="100" w:after="100" w:line="360" w:lineRule="auto"/>
        <w:rPr>
          <w:rFonts w:ascii="宋体" w:eastAsia="宋体"/>
          <w:color w:val="auto"/>
          <w:highlight w:val="none"/>
        </w:rPr>
      </w:pPr>
      <w:bookmarkStart w:id="995" w:name="_Toc15072"/>
      <w:bookmarkStart w:id="996" w:name="_Toc436834195"/>
      <w:bookmarkStart w:id="997" w:name="_Toc494371580"/>
      <w:bookmarkStart w:id="998" w:name="_Toc4464"/>
      <w:bookmarkStart w:id="999" w:name="_Toc30749"/>
      <w:bookmarkStart w:id="1000" w:name="_Toc436834788"/>
      <w:bookmarkStart w:id="1001" w:name="_Toc17293"/>
      <w:r>
        <w:rPr>
          <w:rFonts w:ascii="宋体" w:eastAsia="宋体"/>
          <w:color w:val="auto"/>
          <w:highlight w:val="none"/>
        </w:rPr>
        <w:t>3.7评标结果</w:t>
      </w:r>
      <w:bookmarkEnd w:id="995"/>
      <w:bookmarkEnd w:id="996"/>
      <w:bookmarkEnd w:id="997"/>
      <w:bookmarkEnd w:id="998"/>
      <w:bookmarkEnd w:id="999"/>
      <w:bookmarkEnd w:id="1000"/>
      <w:bookmarkEnd w:id="1001"/>
    </w:p>
    <w:p>
      <w:pPr>
        <w:spacing w:line="400" w:lineRule="exact"/>
        <w:ind w:firstLine="420" w:firstLineChars="200"/>
        <w:rPr>
          <w:rFonts w:ascii="宋体" w:hAnsi="宋体"/>
          <w:color w:val="auto"/>
          <w:highlight w:val="none"/>
        </w:rPr>
      </w:pPr>
      <w:bookmarkStart w:id="1002" w:name="_Toc436834789"/>
      <w:bookmarkStart w:id="1003" w:name="_Toc436834196"/>
      <w:r>
        <w:rPr>
          <w:rFonts w:hint="eastAsia" w:ascii="宋体" w:hAnsi="宋体"/>
          <w:color w:val="auto"/>
          <w:szCs w:val="21"/>
          <w:highlight w:val="none"/>
        </w:rPr>
        <w:t>评标委员会应按排序先后，在招标文件有效的投标人中，向招标人推荐投标人总得分前3名投标人依次为第一中标候选人至第三中标候选人。</w:t>
      </w:r>
    </w:p>
    <w:p>
      <w:pPr>
        <w:pStyle w:val="4"/>
        <w:spacing w:before="100" w:after="100" w:line="360" w:lineRule="auto"/>
        <w:rPr>
          <w:rFonts w:ascii="宋体" w:hAnsi="宋体" w:eastAsia="宋体"/>
          <w:color w:val="auto"/>
          <w:highlight w:val="none"/>
        </w:rPr>
      </w:pPr>
      <w:bookmarkStart w:id="1004" w:name="_Toc28901"/>
      <w:bookmarkStart w:id="1005" w:name="_Toc494371581"/>
      <w:bookmarkStart w:id="1006" w:name="_Toc28257"/>
      <w:bookmarkStart w:id="1007" w:name="_Toc5262"/>
      <w:bookmarkStart w:id="1008" w:name="_Toc18452"/>
      <w:bookmarkStart w:id="1009" w:name="_Toc19275"/>
      <w:bookmarkStart w:id="1010" w:name="_Toc23502"/>
      <w:r>
        <w:rPr>
          <w:rFonts w:ascii="宋体" w:hAnsi="宋体" w:eastAsia="宋体"/>
          <w:color w:val="auto"/>
          <w:highlight w:val="none"/>
        </w:rPr>
        <w:t xml:space="preserve">4. </w:t>
      </w:r>
      <w:r>
        <w:rPr>
          <w:rFonts w:hint="eastAsia" w:ascii="宋体" w:hAnsi="宋体" w:eastAsia="宋体"/>
          <w:color w:val="auto"/>
          <w:highlight w:val="none"/>
        </w:rPr>
        <w:t>评标表格</w:t>
      </w:r>
      <w:bookmarkEnd w:id="994"/>
      <w:bookmarkEnd w:id="1002"/>
      <w:bookmarkEnd w:id="1003"/>
      <w:bookmarkEnd w:id="1004"/>
      <w:bookmarkEnd w:id="1005"/>
      <w:bookmarkEnd w:id="1006"/>
      <w:bookmarkEnd w:id="1007"/>
      <w:bookmarkEnd w:id="1008"/>
      <w:bookmarkEnd w:id="1009"/>
      <w:bookmarkEnd w:id="1010"/>
    </w:p>
    <w:p>
      <w:pPr>
        <w:spacing w:line="400" w:lineRule="exact"/>
        <w:ind w:firstLine="420" w:firstLineChars="200"/>
        <w:rPr>
          <w:rFonts w:ascii="宋体" w:hAnsi="宋体"/>
          <w:color w:val="auto"/>
          <w:highlight w:val="none"/>
        </w:rPr>
      </w:pPr>
      <w:r>
        <w:rPr>
          <w:rFonts w:hint="eastAsia" w:ascii="宋体" w:hAnsi="宋体"/>
          <w:color w:val="auto"/>
          <w:highlight w:val="none"/>
        </w:rPr>
        <w:t>见后附。</w:t>
      </w:r>
    </w:p>
    <w:p>
      <w:pPr>
        <w:spacing w:line="400" w:lineRule="exact"/>
        <w:rPr>
          <w:rFonts w:ascii="宋体" w:hAnsi="宋体"/>
          <w:b/>
          <w:color w:val="auto"/>
          <w:sz w:val="28"/>
          <w:szCs w:val="28"/>
          <w:highlight w:val="none"/>
        </w:rPr>
      </w:pPr>
      <w:r>
        <w:rPr>
          <w:rFonts w:ascii="宋体" w:hAnsi="宋体"/>
          <w:color w:val="auto"/>
          <w:highlight w:val="none"/>
        </w:rPr>
        <w:br w:type="page"/>
      </w:r>
      <w:r>
        <w:rPr>
          <w:rFonts w:hint="eastAsia" w:ascii="宋体" w:hAnsi="宋体"/>
          <w:b/>
          <w:color w:val="auto"/>
          <w:sz w:val="28"/>
          <w:szCs w:val="28"/>
          <w:highlight w:val="none"/>
        </w:rPr>
        <w:t>附表</w:t>
      </w:r>
      <w:r>
        <w:rPr>
          <w:rFonts w:ascii="宋体" w:hAnsi="宋体"/>
          <w:b/>
          <w:color w:val="auto"/>
          <w:sz w:val="28"/>
          <w:szCs w:val="28"/>
          <w:highlight w:val="none"/>
        </w:rPr>
        <w:t xml:space="preserve">1： </w:t>
      </w:r>
    </w:p>
    <w:p>
      <w:pPr>
        <w:jc w:val="center"/>
        <w:rPr>
          <w:rFonts w:ascii="宋体" w:hAnsi="宋体"/>
          <w:b/>
          <w:color w:val="auto"/>
          <w:sz w:val="32"/>
          <w:szCs w:val="32"/>
          <w:highlight w:val="none"/>
        </w:rPr>
      </w:pPr>
      <w:r>
        <w:rPr>
          <w:rFonts w:hint="eastAsia" w:ascii="宋体" w:hAnsi="宋体"/>
          <w:b/>
          <w:color w:val="auto"/>
          <w:sz w:val="32"/>
          <w:szCs w:val="32"/>
          <w:highlight w:val="none"/>
        </w:rPr>
        <w:t>资格审查表</w:t>
      </w:r>
    </w:p>
    <w:p>
      <w:pPr>
        <w:rPr>
          <w:rFonts w:ascii="宋体" w:hAnsi="宋体"/>
          <w:color w:val="auto"/>
          <w:highlight w:val="none"/>
        </w:rPr>
      </w:pPr>
      <w:r>
        <w:rPr>
          <w:rFonts w:hint="eastAsia" w:ascii="宋体" w:hAnsi="宋体"/>
          <w:color w:val="auto"/>
          <w:highlight w:val="none"/>
        </w:rPr>
        <w:t>工程名称：</w:t>
      </w:r>
    </w:p>
    <w:p>
      <w:pPr>
        <w:rPr>
          <w:rFonts w:ascii="宋体" w:hAnsi="宋体"/>
          <w:color w:val="auto"/>
          <w:highlight w:val="none"/>
        </w:rPr>
      </w:pPr>
    </w:p>
    <w:tbl>
      <w:tblPr>
        <w:tblStyle w:val="38"/>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5146"/>
        <w:gridCol w:w="1261"/>
        <w:gridCol w:w="1262"/>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color w:val="auto"/>
                <w:highlight w:val="none"/>
              </w:rPr>
            </w:pPr>
            <w:r>
              <w:rPr>
                <w:rFonts w:hint="eastAsia" w:ascii="宋体" w:hAnsi="宋体"/>
                <w:color w:val="auto"/>
                <w:highlight w:val="none"/>
              </w:rPr>
              <w:t>序号</w:t>
            </w:r>
          </w:p>
        </w:tc>
        <w:tc>
          <w:tcPr>
            <w:tcW w:w="5146" w:type="dxa"/>
            <w:tcBorders>
              <w:top w:val="single" w:color="auto" w:sz="4" w:space="0"/>
              <w:left w:val="single" w:color="auto" w:sz="4" w:space="0"/>
              <w:bottom w:val="single" w:color="auto" w:sz="4" w:space="0"/>
              <w:right w:val="single" w:color="auto" w:sz="4" w:space="0"/>
              <w:tl2br w:val="single" w:color="auto" w:sz="4" w:space="0"/>
            </w:tcBorders>
            <w:vAlign w:val="center"/>
          </w:tcPr>
          <w:p>
            <w:pPr>
              <w:widowControl/>
              <w:snapToGrid w:val="0"/>
              <w:ind w:right="102"/>
              <w:jc w:val="right"/>
              <w:rPr>
                <w:rFonts w:ascii="宋体" w:hAnsi="宋体"/>
                <w:color w:val="auto"/>
                <w:highlight w:val="none"/>
              </w:rPr>
            </w:pPr>
            <w:r>
              <w:rPr>
                <w:rFonts w:hint="eastAsia" w:ascii="宋体" w:hAnsi="宋体"/>
                <w:color w:val="auto"/>
                <w:highlight w:val="none"/>
              </w:rPr>
              <w:t>投标人</w:t>
            </w:r>
          </w:p>
          <w:p>
            <w:pPr>
              <w:widowControl/>
              <w:snapToGrid w:val="0"/>
              <w:ind w:right="102"/>
              <w:jc w:val="left"/>
              <w:rPr>
                <w:rFonts w:ascii="宋体" w:hAnsi="宋体"/>
                <w:color w:val="auto"/>
                <w:highlight w:val="none"/>
              </w:rPr>
            </w:pPr>
            <w:r>
              <w:rPr>
                <w:rFonts w:hint="eastAsia" w:ascii="宋体" w:hAnsi="宋体"/>
                <w:color w:val="auto"/>
                <w:highlight w:val="none"/>
              </w:rPr>
              <w:t>审查项目</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85"/>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color w:val="auto"/>
                <w:highlight w:val="none"/>
              </w:rPr>
            </w:pPr>
            <w:r>
              <w:rPr>
                <w:rFonts w:ascii="宋体" w:hAnsi="宋体"/>
                <w:color w:val="auto"/>
                <w:highlight w:val="none"/>
              </w:rPr>
              <w:t>1</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color w:val="auto"/>
                <w:highlight w:val="none"/>
              </w:rPr>
            </w:pPr>
            <w:r>
              <w:rPr>
                <w:rFonts w:hint="eastAsia" w:ascii="宋体" w:hAnsi="宋体"/>
                <w:color w:val="auto"/>
                <w:highlight w:val="none"/>
              </w:rPr>
              <w:t>投标人参加投标的意思表达清楚，投标人代表被授权有效；</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color w:val="auto"/>
                <w:highlight w:val="none"/>
              </w:rPr>
            </w:pPr>
            <w:r>
              <w:rPr>
                <w:rFonts w:ascii="宋体" w:hAnsi="宋体"/>
                <w:color w:val="auto"/>
                <w:highlight w:val="none"/>
              </w:rPr>
              <w:t>2</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color w:val="auto"/>
                <w:highlight w:val="none"/>
              </w:rPr>
            </w:pPr>
            <w:r>
              <w:rPr>
                <w:rFonts w:hint="eastAsia" w:ascii="宋体" w:hAnsi="宋体" w:cs="宋体"/>
                <w:color w:val="auto"/>
                <w:kern w:val="0"/>
                <w:szCs w:val="21"/>
                <w:highlight w:val="none"/>
              </w:rPr>
              <w:t>投标人（若为联合体投标，指联合体各方）均具有独立法人资格，按国家法律经营。</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color w:val="auto"/>
                <w:highlight w:val="none"/>
              </w:rPr>
            </w:pPr>
            <w:r>
              <w:rPr>
                <w:rFonts w:ascii="宋体" w:hAnsi="宋体"/>
                <w:color w:val="auto"/>
                <w:highlight w:val="none"/>
              </w:rPr>
              <w:t>3</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color w:val="auto"/>
                <w:highlight w:val="none"/>
              </w:rPr>
            </w:pPr>
            <w:r>
              <w:rPr>
                <w:rFonts w:hint="eastAsia" w:ascii="宋体" w:hAnsi="宋体" w:cs="宋体"/>
                <w:color w:val="auto"/>
                <w:kern w:val="0"/>
                <w:szCs w:val="21"/>
                <w:highlight w:val="none"/>
              </w:rPr>
              <w:t>投标人（若为联合体投标，指承担施工任务的单位）持有有效的建设行政主管部门颁发的安全生产许可证。</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color w:val="auto"/>
                <w:highlight w:val="none"/>
              </w:rPr>
            </w:pPr>
            <w:r>
              <w:rPr>
                <w:rFonts w:ascii="宋体" w:hAnsi="宋体"/>
                <w:color w:val="auto"/>
                <w:highlight w:val="none"/>
              </w:rPr>
              <w:t>4</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color w:val="auto"/>
                <w:highlight w:val="none"/>
              </w:rPr>
            </w:pPr>
            <w:r>
              <w:rPr>
                <w:rFonts w:hint="eastAsia" w:ascii="宋体" w:hAnsi="宋体" w:cs="宋体"/>
                <w:color w:val="auto"/>
                <w:kern w:val="0"/>
                <w:szCs w:val="21"/>
                <w:highlight w:val="none"/>
              </w:rPr>
              <w:t>投标人资质符合本项目招标公告要求。</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center"/>
              <w:rPr>
                <w:rFonts w:ascii="宋体" w:hAnsi="宋体"/>
                <w:color w:val="auto"/>
                <w:highlight w:val="none"/>
              </w:rPr>
            </w:pPr>
            <w:r>
              <w:rPr>
                <w:rFonts w:ascii="宋体" w:hAnsi="宋体"/>
                <w:color w:val="auto"/>
                <w:highlight w:val="none"/>
              </w:rPr>
              <w:t>5</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color w:val="auto"/>
                <w:highlight w:val="none"/>
                <w:u w:val="single"/>
              </w:rPr>
            </w:pPr>
            <w:r>
              <w:rPr>
                <w:rFonts w:hint="eastAsia" w:ascii="宋体" w:hAnsi="宋体" w:cs="宋体"/>
                <w:color w:val="auto"/>
                <w:kern w:val="0"/>
                <w:szCs w:val="21"/>
                <w:highlight w:val="none"/>
              </w:rPr>
              <w:t>施工负责人（兼任项目负责人）符合本项目招标公告要求。</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color w:val="auto"/>
                <w:highlight w:val="none"/>
              </w:rPr>
            </w:pPr>
            <w:r>
              <w:rPr>
                <w:rFonts w:ascii="宋体" w:hAnsi="宋体"/>
                <w:color w:val="auto"/>
                <w:highlight w:val="none"/>
              </w:rPr>
              <w:t>6</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color w:val="auto"/>
                <w:highlight w:val="none"/>
              </w:rPr>
            </w:pPr>
            <w:r>
              <w:rPr>
                <w:rFonts w:hint="eastAsia" w:ascii="宋体" w:hAnsi="宋体" w:cs="宋体"/>
                <w:color w:val="auto"/>
                <w:kern w:val="0"/>
                <w:szCs w:val="21"/>
                <w:highlight w:val="none"/>
              </w:rPr>
              <w:t>设计负责人符合本项目招标公告要求。</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color w:val="auto"/>
                <w:highlight w:val="none"/>
              </w:rPr>
            </w:pPr>
            <w:r>
              <w:rPr>
                <w:rFonts w:ascii="宋体" w:hAnsi="宋体"/>
                <w:color w:val="auto"/>
                <w:highlight w:val="none"/>
              </w:rPr>
              <w:t>7</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color w:val="auto"/>
                <w:highlight w:val="none"/>
              </w:rPr>
            </w:pPr>
            <w:r>
              <w:rPr>
                <w:rFonts w:hint="eastAsia" w:ascii="宋体" w:hAnsi="宋体" w:cs="宋体"/>
                <w:color w:val="auto"/>
                <w:kern w:val="0"/>
                <w:szCs w:val="21"/>
                <w:highlight w:val="none"/>
              </w:rPr>
              <w:t>项目负责人（施工负责人）安全培训考核合格证（B类）或广东省建筑施工企业管理人员安全生产考核信息系统安全生产管理人员证书信息的打印页。</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szCs w:val="21"/>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szCs w:val="21"/>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color w:val="auto"/>
                <w:highlight w:val="none"/>
              </w:rPr>
            </w:pPr>
            <w:r>
              <w:rPr>
                <w:rFonts w:ascii="宋体" w:hAnsi="宋体"/>
                <w:color w:val="auto"/>
                <w:highlight w:val="none"/>
              </w:rPr>
              <w:t>8</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color w:val="auto"/>
                <w:szCs w:val="21"/>
                <w:highlight w:val="none"/>
              </w:rPr>
            </w:pPr>
            <w:r>
              <w:rPr>
                <w:rFonts w:hint="eastAsia" w:ascii="宋体" w:hAnsi="宋体" w:cs="宋体"/>
                <w:color w:val="auto"/>
                <w:kern w:val="0"/>
                <w:szCs w:val="21"/>
                <w:highlight w:val="none"/>
              </w:rPr>
              <w:t>专职安全员（若为联合体投标，指联合体主办方）安全生产考核合格证（C类）或广东省建筑施工企业管理人员安全生产考核信息系统安全生产管理人员证书信息的打印页,项目负责人和安全员不为同一人。</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szCs w:val="21"/>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szCs w:val="21"/>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color w:val="auto"/>
                <w:highlight w:val="none"/>
              </w:rPr>
            </w:pPr>
            <w:r>
              <w:rPr>
                <w:rFonts w:ascii="宋体" w:hAnsi="宋体"/>
                <w:color w:val="auto"/>
                <w:highlight w:val="none"/>
              </w:rPr>
              <w:t>9</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color w:val="auto"/>
                <w:szCs w:val="21"/>
                <w:highlight w:val="none"/>
              </w:rPr>
            </w:pPr>
            <w:r>
              <w:rPr>
                <w:rFonts w:hint="eastAsia" w:ascii="宋体" w:hAnsi="宋体" w:cs="宋体"/>
                <w:color w:val="auto"/>
                <w:kern w:val="0"/>
                <w:szCs w:val="21"/>
                <w:highlight w:val="none"/>
              </w:rPr>
              <w:t>投标人已按照招标公告附件一的内容签署盖章的《投标申请人声明》。</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szCs w:val="21"/>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szCs w:val="21"/>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color w:val="auto"/>
                <w:highlight w:val="none"/>
              </w:rPr>
            </w:pPr>
            <w:r>
              <w:rPr>
                <w:rFonts w:hint="eastAsia" w:ascii="宋体" w:hAnsi="宋体"/>
                <w:color w:val="auto"/>
                <w:highlight w:val="none"/>
              </w:rPr>
              <w:t>10</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color w:val="auto"/>
                <w:highlight w:val="none"/>
              </w:rPr>
            </w:pPr>
            <w:r>
              <w:rPr>
                <w:rFonts w:hint="eastAsia" w:ascii="宋体" w:hAnsi="宋体"/>
                <w:color w:val="auto"/>
                <w:highlight w:val="none"/>
              </w:rPr>
              <w:t>投标人以联合体投标的，需提供联合体工作协议。</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color w:val="auto"/>
                <w:highlight w:val="none"/>
              </w:rPr>
            </w:pPr>
            <w:r>
              <w:rPr>
                <w:rFonts w:ascii="宋体" w:hAnsi="宋体"/>
                <w:color w:val="auto"/>
                <w:highlight w:val="none"/>
              </w:rPr>
              <w:t>11</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color w:val="auto"/>
                <w:highlight w:val="none"/>
              </w:rPr>
            </w:pPr>
            <w:r>
              <w:rPr>
                <w:rFonts w:hint="eastAsia" w:ascii="宋体" w:hAnsi="宋体"/>
                <w:color w:val="auto"/>
                <w:highlight w:val="none"/>
              </w:rPr>
              <w:t>投标人（含联合体各方）未出现以下情形：与其它投标人（含联合体各方）的单位负责人为同一人或者存在控股、管理关系的（按投标人提供的《投标申请人声明》的内容进行评审）。</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color w:val="auto"/>
                <w:highlight w:val="none"/>
              </w:rPr>
            </w:pPr>
            <w:r>
              <w:rPr>
                <w:rFonts w:ascii="宋体" w:hAnsi="宋体"/>
                <w:color w:val="auto"/>
                <w:highlight w:val="none"/>
              </w:rPr>
              <w:t>1</w:t>
            </w:r>
            <w:r>
              <w:rPr>
                <w:rFonts w:hint="eastAsia" w:ascii="宋体" w:hAnsi="宋体"/>
                <w:color w:val="auto"/>
                <w:highlight w:val="none"/>
              </w:rPr>
              <w:t>2</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color w:val="auto"/>
                <w:highlight w:val="none"/>
              </w:rPr>
            </w:pPr>
            <w:r>
              <w:rPr>
                <w:rFonts w:hint="eastAsia" w:ascii="宋体" w:hAnsi="宋体"/>
                <w:color w:val="auto"/>
                <w:highlight w:val="none"/>
              </w:rPr>
              <w:t>结论</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color w:val="auto"/>
                <w:highlight w:val="none"/>
              </w:rPr>
            </w:pPr>
          </w:p>
        </w:tc>
      </w:tr>
    </w:tbl>
    <w:p>
      <w:pPr>
        <w:rPr>
          <w:rFonts w:ascii="宋体" w:hAnsi="宋体" w:cs="宋体"/>
          <w:color w:val="auto"/>
          <w:szCs w:val="21"/>
          <w:highlight w:val="none"/>
        </w:rPr>
      </w:pPr>
      <w:r>
        <w:rPr>
          <w:rFonts w:hint="eastAsia" w:ascii="宋体" w:hAnsi="宋体"/>
          <w:color w:val="auto"/>
          <w:highlight w:val="none"/>
        </w:rPr>
        <w:t>备注：</w:t>
      </w:r>
      <w:r>
        <w:rPr>
          <w:rFonts w:hint="eastAsia" w:ascii="宋体" w:hAnsi="宋体" w:cs="宋体"/>
          <w:color w:val="auto"/>
          <w:szCs w:val="21"/>
          <w:highlight w:val="none"/>
        </w:rPr>
        <w:t>1.根据本表审查项目，符合的填“○”，不符合的填“×”，评审结论填“通过“或“不通过”。</w:t>
      </w:r>
    </w:p>
    <w:p>
      <w:pPr>
        <w:ind w:firstLine="630" w:firstLineChars="300"/>
        <w:rPr>
          <w:rFonts w:ascii="宋体" w:hAnsi="宋体" w:cs="宋体"/>
          <w:color w:val="auto"/>
          <w:szCs w:val="21"/>
          <w:highlight w:val="none"/>
        </w:rPr>
      </w:pPr>
      <w:r>
        <w:rPr>
          <w:rFonts w:hint="eastAsia" w:ascii="宋体" w:hAnsi="宋体" w:cs="宋体"/>
          <w:color w:val="auto"/>
          <w:szCs w:val="21"/>
          <w:highlight w:val="none"/>
        </w:rPr>
        <w:t>2.本表中出现一个（或以上）“×”，投标人的评审结论为“不通过”，即该投标人不进入下一阶段评审。</w:t>
      </w:r>
    </w:p>
    <w:p>
      <w:pPr>
        <w:ind w:firstLine="630" w:firstLineChars="300"/>
        <w:rPr>
          <w:rFonts w:ascii="宋体" w:hAnsi="宋体" w:cs="宋体"/>
          <w:color w:val="auto"/>
          <w:szCs w:val="21"/>
          <w:highlight w:val="none"/>
        </w:rPr>
      </w:pPr>
      <w:r>
        <w:rPr>
          <w:rFonts w:hint="eastAsia" w:ascii="宋体" w:hAnsi="宋体" w:cs="宋体"/>
          <w:color w:val="auto"/>
          <w:szCs w:val="21"/>
          <w:highlight w:val="none"/>
        </w:rPr>
        <w:t>3.本表中评审项目全部为“○”，投标人的评审结论为“通过”，即该投标人进入下一阶段评审</w:t>
      </w:r>
    </w:p>
    <w:p>
      <w:pPr>
        <w:ind w:firstLine="630" w:firstLineChars="300"/>
        <w:rPr>
          <w:rFonts w:ascii="宋体" w:hAnsi="宋体"/>
          <w:color w:val="auto"/>
          <w:highlight w:val="none"/>
        </w:rPr>
      </w:pPr>
      <w:r>
        <w:rPr>
          <w:rFonts w:hint="eastAsia" w:ascii="宋体" w:hAnsi="宋体" w:cs="宋体"/>
          <w:color w:val="auto"/>
          <w:szCs w:val="21"/>
          <w:highlight w:val="none"/>
        </w:rPr>
        <w:t>4.如对本表中某种情形的评审意见不一致时，以评审组过半数成员的意见作为评审组对该情形的认定结论。</w:t>
      </w:r>
    </w:p>
    <w:p>
      <w:pPr>
        <w:widowControl/>
        <w:snapToGrid w:val="0"/>
        <w:ind w:right="102"/>
        <w:jc w:val="left"/>
        <w:rPr>
          <w:rFonts w:ascii="宋体" w:hAnsi="宋体"/>
          <w:color w:val="auto"/>
          <w:highlight w:val="none"/>
        </w:rPr>
      </w:pPr>
    </w:p>
    <w:p>
      <w:pPr>
        <w:widowControl/>
        <w:snapToGrid w:val="0"/>
        <w:ind w:right="102"/>
        <w:jc w:val="left"/>
        <w:rPr>
          <w:rFonts w:ascii="宋体" w:hAnsi="宋体"/>
          <w:color w:val="auto"/>
          <w:highlight w:val="none"/>
        </w:rPr>
      </w:pPr>
      <w:r>
        <w:rPr>
          <w:rFonts w:hint="eastAsia" w:ascii="宋体" w:hAnsi="宋体"/>
          <w:color w:val="auto"/>
          <w:highlight w:val="none"/>
        </w:rPr>
        <w:t>评委签名：</w:t>
      </w:r>
      <w:r>
        <w:rPr>
          <w:rFonts w:ascii="宋体" w:hAnsi="宋体"/>
          <w:color w:val="auto"/>
          <w:szCs w:val="21"/>
          <w:highlight w:val="none"/>
        </w:rPr>
        <w:t xml:space="preserve">                     日期：</w:t>
      </w:r>
    </w:p>
    <w:p>
      <w:pPr>
        <w:spacing w:line="400" w:lineRule="exact"/>
        <w:rPr>
          <w:rFonts w:ascii="宋体" w:hAnsi="宋体"/>
          <w:b/>
          <w:color w:val="auto"/>
          <w:sz w:val="28"/>
          <w:szCs w:val="28"/>
          <w:highlight w:val="none"/>
        </w:rPr>
        <w:sectPr>
          <w:pgSz w:w="11906" w:h="16838"/>
          <w:pgMar w:top="1418" w:right="1247" w:bottom="1418" w:left="1247" w:header="851" w:footer="992" w:gutter="0"/>
          <w:cols w:space="720" w:num="1"/>
          <w:docGrid w:type="lines" w:linePitch="312" w:charSpace="0"/>
        </w:sectPr>
      </w:pPr>
    </w:p>
    <w:p>
      <w:pPr>
        <w:spacing w:line="400" w:lineRule="exact"/>
        <w:rPr>
          <w:rFonts w:ascii="宋体" w:hAnsi="宋体"/>
          <w:b/>
          <w:color w:val="auto"/>
          <w:sz w:val="28"/>
          <w:szCs w:val="28"/>
          <w:highlight w:val="none"/>
        </w:rPr>
      </w:pPr>
      <w:r>
        <w:rPr>
          <w:rFonts w:hint="eastAsia" w:ascii="宋体" w:hAnsi="宋体"/>
          <w:b/>
          <w:color w:val="auto"/>
          <w:sz w:val="28"/>
          <w:szCs w:val="28"/>
          <w:highlight w:val="none"/>
        </w:rPr>
        <w:t>附表2</w:t>
      </w:r>
      <w:r>
        <w:rPr>
          <w:rFonts w:ascii="宋体" w:hAnsi="宋体"/>
          <w:b/>
          <w:color w:val="auto"/>
          <w:sz w:val="28"/>
          <w:szCs w:val="28"/>
          <w:highlight w:val="none"/>
        </w:rPr>
        <w:t xml:space="preserve">： </w:t>
      </w:r>
    </w:p>
    <w:p>
      <w:pPr>
        <w:widowControl/>
        <w:jc w:val="left"/>
        <w:rPr>
          <w:rFonts w:ascii="宋体" w:hAnsi="宋体"/>
          <w:color w:val="auto"/>
          <w:highlight w:val="none"/>
        </w:rPr>
      </w:pPr>
    </w:p>
    <w:p>
      <w:pPr>
        <w:spacing w:line="360" w:lineRule="auto"/>
        <w:jc w:val="center"/>
        <w:rPr>
          <w:rFonts w:ascii="黑体" w:hAnsi="黑体" w:eastAsia="黑体" w:cs="黑体"/>
          <w:b/>
          <w:color w:val="auto"/>
          <w:sz w:val="32"/>
          <w:szCs w:val="32"/>
          <w:highlight w:val="none"/>
        </w:rPr>
      </w:pPr>
      <w:r>
        <w:rPr>
          <w:rFonts w:hint="eastAsia" w:ascii="黑体" w:hAnsi="黑体" w:eastAsia="黑体" w:cs="黑体"/>
          <w:b/>
          <w:color w:val="auto"/>
          <w:sz w:val="32"/>
          <w:szCs w:val="32"/>
          <w:highlight w:val="none"/>
        </w:rPr>
        <w:t>工程总承包实施方案（含资信部分）文件有效性审查表</w:t>
      </w:r>
    </w:p>
    <w:p>
      <w:pPr>
        <w:tabs>
          <w:tab w:val="left" w:pos="720"/>
        </w:tabs>
        <w:snapToGrid w:val="0"/>
        <w:spacing w:line="360" w:lineRule="auto"/>
        <w:rPr>
          <w:rFonts w:ascii="宋体" w:hAnsi="宋体"/>
          <w:bCs/>
          <w:color w:val="auto"/>
          <w:szCs w:val="21"/>
          <w:highlight w:val="none"/>
        </w:rPr>
      </w:pPr>
      <w:r>
        <w:rPr>
          <w:rFonts w:hint="eastAsia" w:ascii="宋体" w:hAnsi="宋体"/>
          <w:bCs/>
          <w:color w:val="auto"/>
          <w:szCs w:val="21"/>
          <w:highlight w:val="none"/>
        </w:rPr>
        <w:t>工程名称：</w:t>
      </w:r>
    </w:p>
    <w:tbl>
      <w:tblPr>
        <w:tblStyle w:val="38"/>
        <w:tblW w:w="9582" w:type="dxa"/>
        <w:jc w:val="center"/>
        <w:tblLayout w:type="fixed"/>
        <w:tblCellMar>
          <w:top w:w="0" w:type="dxa"/>
          <w:left w:w="108" w:type="dxa"/>
          <w:bottom w:w="0" w:type="dxa"/>
          <w:right w:w="108" w:type="dxa"/>
        </w:tblCellMar>
      </w:tblPr>
      <w:tblGrid>
        <w:gridCol w:w="672"/>
        <w:gridCol w:w="5733"/>
        <w:gridCol w:w="1059"/>
        <w:gridCol w:w="1059"/>
        <w:gridCol w:w="1059"/>
      </w:tblGrid>
      <w:tr>
        <w:tblPrEx>
          <w:tblCellMar>
            <w:top w:w="0" w:type="dxa"/>
            <w:left w:w="108" w:type="dxa"/>
            <w:bottom w:w="0" w:type="dxa"/>
            <w:right w:w="108" w:type="dxa"/>
          </w:tblCellMar>
        </w:tblPrEx>
        <w:trPr>
          <w:trHeight w:val="717"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szCs w:val="21"/>
                <w:highlight w:val="none"/>
              </w:rPr>
            </w:pPr>
            <w:r>
              <w:rPr>
                <w:rFonts w:hint="eastAsia" w:ascii="宋体" w:hAnsi="宋体"/>
                <w:color w:val="auto"/>
                <w:szCs w:val="21"/>
                <w:highlight w:val="none"/>
              </w:rPr>
              <w:t>序号</w:t>
            </w:r>
          </w:p>
        </w:tc>
        <w:tc>
          <w:tcPr>
            <w:tcW w:w="5733" w:type="dxa"/>
            <w:tcBorders>
              <w:top w:val="single" w:color="auto" w:sz="4" w:space="0"/>
              <w:left w:val="single" w:color="auto" w:sz="4" w:space="0"/>
              <w:bottom w:val="single" w:color="auto" w:sz="4" w:space="0"/>
              <w:right w:val="single" w:color="auto" w:sz="4" w:space="0"/>
              <w:tl2br w:val="single" w:color="auto" w:sz="4" w:space="0"/>
            </w:tcBorders>
          </w:tcPr>
          <w:p>
            <w:pPr>
              <w:ind w:firstLine="4578" w:firstLineChars="2180"/>
              <w:rPr>
                <w:rFonts w:ascii="宋体" w:hAnsi="宋体"/>
                <w:color w:val="auto"/>
                <w:szCs w:val="21"/>
                <w:highlight w:val="none"/>
              </w:rPr>
            </w:pPr>
            <w:r>
              <w:rPr>
                <w:rFonts w:hint="eastAsia" w:ascii="宋体" w:hAnsi="宋体"/>
                <w:color w:val="auto"/>
                <w:szCs w:val="21"/>
                <w:highlight w:val="none"/>
              </w:rPr>
              <w:t>投标单位</w:t>
            </w:r>
          </w:p>
          <w:p>
            <w:pPr>
              <w:rPr>
                <w:rFonts w:ascii="宋体" w:hAnsi="宋体"/>
                <w:color w:val="auto"/>
                <w:szCs w:val="21"/>
                <w:highlight w:val="none"/>
              </w:rPr>
            </w:pPr>
            <w:r>
              <w:rPr>
                <w:rFonts w:hint="eastAsia" w:ascii="宋体" w:hAnsi="宋体"/>
                <w:color w:val="auto"/>
                <w:szCs w:val="21"/>
                <w:highlight w:val="none"/>
              </w:rPr>
              <w:t>审查项目</w:t>
            </w: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CellMar>
            <w:top w:w="0" w:type="dxa"/>
            <w:left w:w="108" w:type="dxa"/>
            <w:bottom w:w="0" w:type="dxa"/>
            <w:right w:w="108" w:type="dxa"/>
          </w:tblCellMar>
        </w:tblPrEx>
        <w:trPr>
          <w:trHeight w:val="526"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w:t>
            </w:r>
          </w:p>
        </w:tc>
        <w:tc>
          <w:tcPr>
            <w:tcW w:w="573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宋体" w:hAnsi="宋体"/>
                <w:color w:val="auto"/>
                <w:szCs w:val="21"/>
                <w:highlight w:val="none"/>
              </w:rPr>
            </w:pPr>
            <w:r>
              <w:rPr>
                <w:rFonts w:hint="eastAsia"/>
                <w:color w:val="auto"/>
                <w:szCs w:val="21"/>
                <w:highlight w:val="none"/>
              </w:rPr>
              <w:t>投标文件所列投标人名称、项目负责人、安全员与投标登记一致。</w:t>
            </w: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CellMar>
            <w:top w:w="0" w:type="dxa"/>
            <w:left w:w="108" w:type="dxa"/>
            <w:bottom w:w="0" w:type="dxa"/>
            <w:right w:w="108" w:type="dxa"/>
          </w:tblCellMar>
        </w:tblPrEx>
        <w:trPr>
          <w:trHeight w:val="407"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w:t>
            </w:r>
          </w:p>
        </w:tc>
        <w:tc>
          <w:tcPr>
            <w:tcW w:w="573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宋体" w:hAnsi="宋体"/>
                <w:color w:val="auto"/>
                <w:szCs w:val="21"/>
                <w:highlight w:val="none"/>
              </w:rPr>
            </w:pPr>
            <w:r>
              <w:rPr>
                <w:rFonts w:hint="eastAsia"/>
                <w:color w:val="auto"/>
                <w:szCs w:val="21"/>
                <w:highlight w:val="none"/>
              </w:rPr>
              <w:t>能满足完成投标项目工期的。</w:t>
            </w: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CellMar>
            <w:top w:w="0" w:type="dxa"/>
            <w:left w:w="108" w:type="dxa"/>
            <w:bottom w:w="0" w:type="dxa"/>
            <w:right w:w="108" w:type="dxa"/>
          </w:tblCellMar>
        </w:tblPrEx>
        <w:trPr>
          <w:trHeight w:val="441"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3</w:t>
            </w:r>
          </w:p>
        </w:tc>
        <w:tc>
          <w:tcPr>
            <w:tcW w:w="573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宋体" w:hAnsi="宋体"/>
                <w:color w:val="auto"/>
                <w:highlight w:val="none"/>
              </w:rPr>
            </w:pPr>
            <w:r>
              <w:rPr>
                <w:rFonts w:hint="eastAsia"/>
                <w:color w:val="auto"/>
                <w:szCs w:val="21"/>
                <w:highlight w:val="none"/>
              </w:rPr>
              <w:t>符合招标文件质量要求的。</w:t>
            </w: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CellMar>
            <w:top w:w="0" w:type="dxa"/>
            <w:left w:w="108" w:type="dxa"/>
            <w:bottom w:w="0" w:type="dxa"/>
            <w:right w:w="108" w:type="dxa"/>
          </w:tblCellMar>
        </w:tblPrEx>
        <w:trPr>
          <w:trHeight w:val="552"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4</w:t>
            </w:r>
          </w:p>
        </w:tc>
        <w:tc>
          <w:tcPr>
            <w:tcW w:w="573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宋体" w:hAnsi="宋体"/>
                <w:color w:val="auto"/>
                <w:szCs w:val="21"/>
                <w:highlight w:val="none"/>
              </w:rPr>
            </w:pPr>
            <w:r>
              <w:rPr>
                <w:rFonts w:hint="eastAsia"/>
                <w:color w:val="auto"/>
                <w:szCs w:val="21"/>
                <w:highlight w:val="none"/>
              </w:rPr>
              <w:t>投标文件的封面有加盖投标单位的法定印章的。</w:t>
            </w: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CellMar>
            <w:top w:w="0" w:type="dxa"/>
            <w:left w:w="108" w:type="dxa"/>
            <w:bottom w:w="0" w:type="dxa"/>
            <w:right w:w="108" w:type="dxa"/>
          </w:tblCellMar>
        </w:tblPrEx>
        <w:trPr>
          <w:trHeight w:val="552"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5</w:t>
            </w:r>
          </w:p>
        </w:tc>
        <w:tc>
          <w:tcPr>
            <w:tcW w:w="573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宋体" w:hAnsi="宋体"/>
                <w:color w:val="auto"/>
                <w:szCs w:val="21"/>
                <w:highlight w:val="none"/>
              </w:rPr>
            </w:pPr>
            <w:r>
              <w:rPr>
                <w:rFonts w:hint="eastAsia"/>
                <w:color w:val="auto"/>
                <w:szCs w:val="21"/>
                <w:highlight w:val="none"/>
              </w:rPr>
              <w:t>投标文件按规定的格式填写，主要内容</w:t>
            </w:r>
            <w:r>
              <w:rPr>
                <w:rFonts w:hint="eastAsia"/>
                <w:color w:val="auto"/>
                <w:szCs w:val="21"/>
                <w:highlight w:val="none"/>
                <w:lang w:val="en-US" w:eastAsia="zh-CN"/>
              </w:rPr>
              <w:t>齐</w:t>
            </w:r>
            <w:r>
              <w:rPr>
                <w:rFonts w:hint="eastAsia"/>
                <w:color w:val="auto"/>
                <w:szCs w:val="21"/>
                <w:highlight w:val="none"/>
              </w:rPr>
              <w:t>全。</w:t>
            </w: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CellMar>
            <w:top w:w="0" w:type="dxa"/>
            <w:left w:w="108" w:type="dxa"/>
            <w:bottom w:w="0" w:type="dxa"/>
            <w:right w:w="108" w:type="dxa"/>
          </w:tblCellMar>
        </w:tblPrEx>
        <w:trPr>
          <w:trHeight w:val="552"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6</w:t>
            </w:r>
          </w:p>
        </w:tc>
        <w:tc>
          <w:tcPr>
            <w:tcW w:w="573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宋体" w:hAnsi="宋体"/>
                <w:color w:val="auto"/>
                <w:szCs w:val="21"/>
                <w:highlight w:val="none"/>
              </w:rPr>
            </w:pPr>
            <w:r>
              <w:rPr>
                <w:rFonts w:hint="eastAsia"/>
                <w:color w:val="auto"/>
                <w:szCs w:val="21"/>
                <w:highlight w:val="none"/>
                <w:lang w:val="en-US" w:eastAsia="zh-CN"/>
              </w:rPr>
              <w:t>有</w:t>
            </w:r>
            <w:r>
              <w:rPr>
                <w:rFonts w:hint="eastAsia"/>
                <w:color w:val="auto"/>
                <w:szCs w:val="21"/>
                <w:highlight w:val="none"/>
              </w:rPr>
              <w:t>《参与编制施工技术投标文件人员名单》的。</w:t>
            </w: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CellMar>
            <w:top w:w="0" w:type="dxa"/>
            <w:left w:w="108" w:type="dxa"/>
            <w:bottom w:w="0" w:type="dxa"/>
            <w:right w:w="108" w:type="dxa"/>
          </w:tblCellMar>
        </w:tblPrEx>
        <w:trPr>
          <w:trHeight w:val="552"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7</w:t>
            </w:r>
          </w:p>
        </w:tc>
        <w:tc>
          <w:tcPr>
            <w:tcW w:w="5733" w:type="dxa"/>
            <w:tcBorders>
              <w:top w:val="single" w:color="auto" w:sz="4" w:space="0"/>
              <w:left w:val="single" w:color="auto" w:sz="4" w:space="0"/>
              <w:bottom w:val="single" w:color="auto" w:sz="4" w:space="0"/>
              <w:right w:val="single" w:color="auto" w:sz="4" w:space="0"/>
            </w:tcBorders>
          </w:tcPr>
          <w:p>
            <w:pPr>
              <w:adjustRightInd w:val="0"/>
              <w:spacing w:line="360" w:lineRule="auto"/>
              <w:rPr>
                <w:rFonts w:ascii="宋体" w:hAnsi="宋体" w:cs="宋体"/>
                <w:bCs/>
                <w:color w:val="auto"/>
                <w:szCs w:val="21"/>
                <w:highlight w:val="none"/>
              </w:rPr>
            </w:pPr>
            <w:r>
              <w:rPr>
                <w:rFonts w:hint="eastAsia"/>
                <w:color w:val="auto"/>
                <w:szCs w:val="21"/>
                <w:highlight w:val="none"/>
                <w:lang w:val="en-US" w:eastAsia="zh-CN"/>
              </w:rPr>
              <w:t>不</w:t>
            </w:r>
            <w:r>
              <w:rPr>
                <w:rFonts w:hint="eastAsia"/>
                <w:color w:val="auto"/>
                <w:szCs w:val="21"/>
                <w:highlight w:val="none"/>
              </w:rPr>
              <w:t>存在串通投标情形（串通投标情形以《中华人民共和国招标投标法实施条例》的规定为准）。</w:t>
            </w: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CellMar>
            <w:top w:w="0" w:type="dxa"/>
            <w:left w:w="108" w:type="dxa"/>
            <w:bottom w:w="0" w:type="dxa"/>
            <w:right w:w="108" w:type="dxa"/>
          </w:tblCellMar>
        </w:tblPrEx>
        <w:trPr>
          <w:trHeight w:val="417"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结论</w:t>
            </w:r>
          </w:p>
        </w:tc>
        <w:tc>
          <w:tcPr>
            <w:tcW w:w="573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olor w:val="auto"/>
                <w:szCs w:val="21"/>
                <w:highlight w:val="none"/>
              </w:rPr>
            </w:pPr>
            <w:r>
              <w:rPr>
                <w:rFonts w:hint="eastAsia" w:ascii="宋体" w:hAnsi="宋体"/>
                <w:color w:val="auto"/>
                <w:szCs w:val="21"/>
                <w:highlight w:val="none"/>
              </w:rPr>
              <w:t>是否通过并进入下一阶段评审</w:t>
            </w: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shd w:val="pct10" w:color="auto" w:fill="FFFFFF"/>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shd w:val="pct10" w:color="auto" w:fill="FFFFFF"/>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shd w:val="pct10" w:color="auto" w:fill="FFFFFF"/>
              </w:rPr>
            </w:pPr>
          </w:p>
        </w:tc>
      </w:tr>
    </w:tbl>
    <w:p>
      <w:pPr>
        <w:tabs>
          <w:tab w:val="left" w:pos="720"/>
        </w:tabs>
        <w:snapToGrid w:val="0"/>
        <w:rPr>
          <w:rFonts w:ascii="宋体" w:hAnsi="宋体" w:cs="宋体"/>
          <w:bCs/>
          <w:color w:val="auto"/>
          <w:szCs w:val="21"/>
          <w:highlight w:val="none"/>
        </w:rPr>
      </w:pPr>
      <w:r>
        <w:rPr>
          <w:rFonts w:hint="eastAsia" w:ascii="宋体" w:hAnsi="宋体"/>
          <w:color w:val="auto"/>
          <w:szCs w:val="21"/>
          <w:highlight w:val="none"/>
        </w:rPr>
        <w:t>注：</w:t>
      </w:r>
      <w:r>
        <w:rPr>
          <w:rFonts w:hint="eastAsia" w:ascii="宋体" w:hAnsi="宋体" w:cs="宋体"/>
          <w:bCs/>
          <w:color w:val="auto"/>
          <w:szCs w:val="21"/>
          <w:highlight w:val="none"/>
        </w:rPr>
        <w:t>1、根据本表的审查项目，符合的填“○”，不符合的填“×”，评审结论填“通过“或“不通过”。</w:t>
      </w:r>
    </w:p>
    <w:p>
      <w:pPr>
        <w:tabs>
          <w:tab w:val="left" w:pos="720"/>
        </w:tabs>
        <w:snapToGrid w:val="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2、表中出现一个或以上“×”，即该投标人的评审“结论”为“不通过”，即该投标人不进入下一阶段评审。</w:t>
      </w:r>
    </w:p>
    <w:p>
      <w:pPr>
        <w:tabs>
          <w:tab w:val="left" w:pos="720"/>
        </w:tabs>
        <w:snapToGrid w:val="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3、表中全部评审结果为“○”，即该投标人的评审结论为“通过”。</w:t>
      </w:r>
    </w:p>
    <w:p>
      <w:pPr>
        <w:ind w:firstLine="420" w:firstLineChars="200"/>
        <w:rPr>
          <w:color w:val="auto"/>
          <w:highlight w:val="none"/>
        </w:rPr>
      </w:pPr>
      <w:r>
        <w:rPr>
          <w:rFonts w:hint="eastAsia" w:ascii="宋体" w:hAnsi="宋体" w:cs="宋体"/>
          <w:bCs/>
          <w:color w:val="auto"/>
          <w:szCs w:val="21"/>
          <w:highlight w:val="none"/>
        </w:rPr>
        <w:t>4、若评委意见不一致时，则按少数服从多数的原则，决定该投标人是否通过符合性审查，进入下一阶段评审。</w:t>
      </w:r>
    </w:p>
    <w:p>
      <w:pPr>
        <w:pStyle w:val="20"/>
        <w:rPr>
          <w:rFonts w:hAnsi="宋体"/>
          <w:color w:val="auto"/>
          <w:szCs w:val="21"/>
          <w:highlight w:val="none"/>
        </w:rPr>
      </w:pPr>
    </w:p>
    <w:p>
      <w:pPr>
        <w:pStyle w:val="20"/>
        <w:rPr>
          <w:rFonts w:hint="eastAsia" w:hAnsi="宋体"/>
          <w:color w:val="auto"/>
          <w:sz w:val="21"/>
          <w:szCs w:val="21"/>
          <w:highlight w:val="none"/>
        </w:rPr>
      </w:pPr>
      <w:r>
        <w:rPr>
          <w:rFonts w:hint="eastAsia" w:hAnsi="宋体"/>
          <w:color w:val="auto"/>
          <w:sz w:val="21"/>
          <w:szCs w:val="21"/>
          <w:highlight w:val="none"/>
        </w:rPr>
        <w:t>评委签名：</w:t>
      </w:r>
    </w:p>
    <w:p>
      <w:pPr>
        <w:pStyle w:val="20"/>
        <w:rPr>
          <w:rFonts w:hAnsi="宋体"/>
          <w:b/>
          <w:color w:val="auto"/>
          <w:sz w:val="21"/>
          <w:szCs w:val="21"/>
          <w:highlight w:val="none"/>
        </w:rPr>
      </w:pPr>
      <w:r>
        <w:rPr>
          <w:rFonts w:hint="eastAsia" w:hAnsi="宋体"/>
          <w:color w:val="auto"/>
          <w:sz w:val="21"/>
          <w:szCs w:val="21"/>
          <w:highlight w:val="none"/>
        </w:rPr>
        <w:t>日期：</w:t>
      </w:r>
    </w:p>
    <w:p>
      <w:pPr>
        <w:spacing w:line="400" w:lineRule="exact"/>
        <w:rPr>
          <w:rFonts w:ascii="宋体" w:hAnsi="宋体"/>
          <w:b/>
          <w:color w:val="auto"/>
          <w:sz w:val="28"/>
          <w:szCs w:val="28"/>
          <w:highlight w:val="none"/>
        </w:rPr>
        <w:sectPr>
          <w:pgSz w:w="11906" w:h="16838"/>
          <w:pgMar w:top="1440" w:right="1134" w:bottom="1440" w:left="1134" w:header="851" w:footer="992" w:gutter="0"/>
          <w:cols w:space="720" w:num="1"/>
          <w:docGrid w:type="lines" w:linePitch="312" w:charSpace="0"/>
        </w:sectPr>
      </w:pPr>
    </w:p>
    <w:p>
      <w:pPr>
        <w:rPr>
          <w:rFonts w:ascii="宋体" w:hAnsi="宋体"/>
          <w:color w:val="auto"/>
          <w:szCs w:val="21"/>
          <w:highlight w:val="none"/>
        </w:rPr>
      </w:pPr>
      <w:r>
        <w:rPr>
          <w:rFonts w:hint="eastAsia" w:ascii="宋体" w:hAnsi="宋体"/>
          <w:b/>
          <w:color w:val="auto"/>
          <w:sz w:val="28"/>
          <w:szCs w:val="28"/>
          <w:highlight w:val="none"/>
        </w:rPr>
        <w:t>附表3</w:t>
      </w:r>
      <w:r>
        <w:rPr>
          <w:rFonts w:ascii="宋体" w:hAnsi="宋体"/>
          <w:b/>
          <w:color w:val="auto"/>
          <w:sz w:val="28"/>
          <w:szCs w:val="28"/>
          <w:highlight w:val="none"/>
        </w:rPr>
        <w:t>：</w:t>
      </w:r>
    </w:p>
    <w:p>
      <w:pPr>
        <w:spacing w:line="360" w:lineRule="auto"/>
        <w:jc w:val="center"/>
        <w:rPr>
          <w:rFonts w:ascii="黑体" w:hAnsi="黑体" w:eastAsia="黑体" w:cs="黑体"/>
          <w:b/>
          <w:color w:val="auto"/>
          <w:sz w:val="32"/>
          <w:szCs w:val="32"/>
          <w:highlight w:val="none"/>
        </w:rPr>
      </w:pPr>
      <w:r>
        <w:rPr>
          <w:rFonts w:hint="eastAsia" w:ascii="黑体" w:hAnsi="黑体" w:eastAsia="黑体" w:cs="黑体"/>
          <w:b/>
          <w:color w:val="auto"/>
          <w:sz w:val="32"/>
          <w:szCs w:val="32"/>
          <w:highlight w:val="none"/>
        </w:rPr>
        <w:t>工程总承包实施方案（含资信部分）文件评分表</w:t>
      </w:r>
    </w:p>
    <w:p>
      <w:pPr>
        <w:jc w:val="left"/>
        <w:rPr>
          <w:color w:val="auto"/>
          <w:szCs w:val="21"/>
          <w:highlight w:val="none"/>
        </w:rPr>
      </w:pPr>
      <w:r>
        <w:rPr>
          <w:rFonts w:hint="eastAsia"/>
          <w:color w:val="auto"/>
          <w:szCs w:val="21"/>
          <w:highlight w:val="none"/>
        </w:rPr>
        <w:t>项目名称：</w:t>
      </w:r>
    </w:p>
    <w:p>
      <w:pPr>
        <w:spacing w:line="360" w:lineRule="exact"/>
        <w:jc w:val="left"/>
        <w:rPr>
          <w:rFonts w:ascii="宋体" w:hAnsi="宋体"/>
          <w:b/>
          <w:color w:val="auto"/>
          <w:sz w:val="28"/>
          <w:szCs w:val="28"/>
          <w:highlight w:val="none"/>
        </w:rPr>
      </w:pPr>
    </w:p>
    <w:tbl>
      <w:tblPr>
        <w:tblStyle w:val="38"/>
        <w:tblW w:w="0" w:type="auto"/>
        <w:jc w:val="center"/>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662"/>
        <w:gridCol w:w="1502"/>
        <w:gridCol w:w="851"/>
        <w:gridCol w:w="10442"/>
      </w:tblGrid>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1323" w:type="dxa"/>
            <w:gridSpan w:val="2"/>
            <w:tcBorders>
              <w:top w:val="single" w:color="auto" w:sz="8" w:space="0"/>
              <w:left w:val="single" w:color="auto" w:sz="8" w:space="0"/>
              <w:bottom w:val="single" w:color="auto" w:sz="4" w:space="0"/>
              <w:right w:val="single" w:color="auto" w:sz="4" w:space="0"/>
            </w:tcBorders>
            <w:vAlign w:val="center"/>
          </w:tcPr>
          <w:p>
            <w:pPr>
              <w:pStyle w:val="90"/>
              <w:rPr>
                <w:color w:val="auto"/>
                <w:szCs w:val="21"/>
                <w:highlight w:val="none"/>
              </w:rPr>
            </w:pPr>
            <w:bookmarkStart w:id="1011" w:name="_Hlk68173789"/>
            <w:r>
              <w:rPr>
                <w:rFonts w:hint="eastAsia"/>
                <w:color w:val="auto"/>
                <w:szCs w:val="21"/>
                <w:highlight w:val="none"/>
              </w:rPr>
              <w:t>评分项目</w:t>
            </w:r>
          </w:p>
        </w:tc>
        <w:tc>
          <w:tcPr>
            <w:tcW w:w="1502" w:type="dxa"/>
            <w:tcBorders>
              <w:top w:val="single" w:color="auto" w:sz="8" w:space="0"/>
              <w:left w:val="single" w:color="auto" w:sz="4" w:space="0"/>
              <w:bottom w:val="single" w:color="auto" w:sz="4" w:space="0"/>
              <w:right w:val="single" w:color="auto" w:sz="4" w:space="0"/>
            </w:tcBorders>
            <w:vAlign w:val="center"/>
          </w:tcPr>
          <w:p>
            <w:pPr>
              <w:pStyle w:val="90"/>
              <w:jc w:val="center"/>
              <w:rPr>
                <w:color w:val="auto"/>
                <w:szCs w:val="21"/>
                <w:highlight w:val="none"/>
              </w:rPr>
            </w:pPr>
            <w:r>
              <w:rPr>
                <w:rFonts w:hint="eastAsia"/>
                <w:color w:val="auto"/>
                <w:szCs w:val="21"/>
                <w:highlight w:val="none"/>
              </w:rPr>
              <w:t>评分内容</w:t>
            </w:r>
          </w:p>
        </w:tc>
        <w:tc>
          <w:tcPr>
            <w:tcW w:w="851" w:type="dxa"/>
            <w:tcBorders>
              <w:top w:val="single" w:color="auto" w:sz="8" w:space="0"/>
              <w:left w:val="single" w:color="auto" w:sz="4" w:space="0"/>
              <w:bottom w:val="single" w:color="auto" w:sz="4" w:space="0"/>
              <w:right w:val="single" w:color="auto" w:sz="4" w:space="0"/>
            </w:tcBorders>
            <w:vAlign w:val="center"/>
          </w:tcPr>
          <w:p>
            <w:pPr>
              <w:pStyle w:val="90"/>
              <w:jc w:val="center"/>
              <w:rPr>
                <w:color w:val="auto"/>
                <w:szCs w:val="21"/>
                <w:highlight w:val="none"/>
              </w:rPr>
            </w:pPr>
            <w:r>
              <w:rPr>
                <w:rFonts w:hint="eastAsia"/>
                <w:color w:val="auto"/>
                <w:szCs w:val="21"/>
                <w:highlight w:val="none"/>
              </w:rPr>
              <w:t>分值</w:t>
            </w:r>
          </w:p>
        </w:tc>
        <w:tc>
          <w:tcPr>
            <w:tcW w:w="10442" w:type="dxa"/>
            <w:tcBorders>
              <w:top w:val="single" w:color="auto" w:sz="8" w:space="0"/>
              <w:left w:val="single" w:color="auto" w:sz="4" w:space="0"/>
              <w:bottom w:val="single" w:color="auto" w:sz="4" w:space="0"/>
              <w:right w:val="single" w:color="auto" w:sz="4" w:space="0"/>
            </w:tcBorders>
            <w:vAlign w:val="center"/>
          </w:tcPr>
          <w:p>
            <w:pPr>
              <w:pStyle w:val="90"/>
              <w:ind w:firstLine="0" w:firstLineChars="0"/>
              <w:jc w:val="center"/>
              <w:rPr>
                <w:color w:val="auto"/>
                <w:szCs w:val="21"/>
                <w:highlight w:val="none"/>
              </w:rPr>
            </w:pPr>
            <w:r>
              <w:rPr>
                <w:rFonts w:hint="eastAsia"/>
                <w:color w:val="auto"/>
                <w:szCs w:val="21"/>
                <w:highlight w:val="none"/>
              </w:rPr>
              <w:t>评审标准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661" w:type="dxa"/>
            <w:vMerge w:val="restart"/>
            <w:tcBorders>
              <w:left w:val="single" w:color="auto" w:sz="8" w:space="0"/>
              <w:right w:val="single" w:color="auto" w:sz="4" w:space="0"/>
            </w:tcBorders>
            <w:vAlign w:val="center"/>
          </w:tcPr>
          <w:p>
            <w:pPr>
              <w:spacing w:line="280" w:lineRule="exact"/>
              <w:rPr>
                <w:rFonts w:ascii="宋体" w:hAnsi="宋体" w:cs="宋体"/>
                <w:color w:val="auto"/>
                <w:highlight w:val="none"/>
              </w:rPr>
            </w:pPr>
            <w:r>
              <w:rPr>
                <w:rFonts w:hint="eastAsia" w:ascii="宋体" w:hAnsi="宋体" w:cs="宋体"/>
                <w:color w:val="auto"/>
                <w:highlight w:val="none"/>
              </w:rPr>
              <w:t>一、企业资信及团队实力（36分）</w:t>
            </w:r>
          </w:p>
        </w:tc>
        <w:tc>
          <w:tcPr>
            <w:tcW w:w="662" w:type="dxa"/>
            <w:vMerge w:val="restart"/>
            <w:tcBorders>
              <w:left w:val="single" w:color="auto" w:sz="8" w:space="0"/>
              <w:right w:val="single" w:color="auto" w:sz="4" w:space="0"/>
            </w:tcBorders>
            <w:vAlign w:val="center"/>
          </w:tcPr>
          <w:p>
            <w:pPr>
              <w:spacing w:line="280" w:lineRule="exact"/>
              <w:rPr>
                <w:rFonts w:ascii="宋体" w:hAnsi="宋体" w:cs="宋体"/>
                <w:color w:val="auto"/>
                <w:highlight w:val="none"/>
              </w:rPr>
            </w:pPr>
            <w:r>
              <w:rPr>
                <w:rFonts w:hint="eastAsia" w:ascii="宋体" w:hAnsi="宋体" w:cs="宋体"/>
                <w:color w:val="auto"/>
                <w:highlight w:val="none"/>
              </w:rPr>
              <w:t>设计部分</w:t>
            </w:r>
          </w:p>
        </w:tc>
        <w:tc>
          <w:tcPr>
            <w:tcW w:w="1502" w:type="dxa"/>
            <w:tcBorders>
              <w:left w:val="single" w:color="auto" w:sz="4" w:space="0"/>
              <w:right w:val="single" w:color="auto" w:sz="4" w:space="0"/>
            </w:tcBorders>
            <w:vAlign w:val="center"/>
          </w:tcPr>
          <w:p>
            <w:pPr>
              <w:autoSpaceDE w:val="0"/>
              <w:autoSpaceDN w:val="0"/>
              <w:adjustRightInd w:val="0"/>
              <w:spacing w:line="240" w:lineRule="exact"/>
              <w:jc w:val="center"/>
              <w:rPr>
                <w:rFonts w:ascii="宋体" w:hAnsi="宋体" w:cs="宋体"/>
                <w:color w:val="auto"/>
                <w:highlight w:val="none"/>
              </w:rPr>
            </w:pPr>
            <w:r>
              <w:rPr>
                <w:rFonts w:hint="eastAsia" w:ascii="宋体" w:hAnsi="宋体" w:cs="Calibri"/>
                <w:color w:val="auto"/>
                <w:kern w:val="0"/>
                <w:szCs w:val="21"/>
                <w:highlight w:val="none"/>
              </w:rPr>
              <w:t>设计机构实力</w:t>
            </w:r>
          </w:p>
        </w:tc>
        <w:tc>
          <w:tcPr>
            <w:tcW w:w="851" w:type="dxa"/>
            <w:tcBorders>
              <w:left w:val="single" w:color="auto" w:sz="4" w:space="0"/>
              <w:right w:val="single" w:color="auto" w:sz="4" w:space="0"/>
            </w:tcBorders>
            <w:vAlign w:val="center"/>
          </w:tcPr>
          <w:p>
            <w:pPr>
              <w:autoSpaceDE w:val="0"/>
              <w:autoSpaceDN w:val="0"/>
              <w:adjustRightInd w:val="0"/>
              <w:spacing w:line="26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10</w:t>
            </w:r>
          </w:p>
        </w:tc>
        <w:tc>
          <w:tcPr>
            <w:tcW w:w="10442" w:type="dxa"/>
            <w:tcBorders>
              <w:top w:val="single" w:color="auto" w:sz="4" w:space="0"/>
              <w:left w:val="single" w:color="auto" w:sz="4" w:space="0"/>
              <w:right w:val="single" w:color="auto" w:sz="4" w:space="0"/>
            </w:tcBorders>
            <w:vAlign w:val="center"/>
          </w:tcPr>
          <w:p>
            <w:pPr>
              <w:autoSpaceDE w:val="0"/>
              <w:autoSpaceDN w:val="0"/>
              <w:adjustRightInd w:val="0"/>
              <w:ind w:left="-50" w:leftChars="-24" w:right="-65" w:rightChars="-31"/>
              <w:rPr>
                <w:color w:val="auto"/>
                <w:highlight w:val="none"/>
              </w:rPr>
            </w:pPr>
            <w:r>
              <w:rPr>
                <w:rFonts w:hint="eastAsia" w:ascii="宋体" w:hAnsi="宋体"/>
                <w:color w:val="auto"/>
                <w:szCs w:val="21"/>
                <w:highlight w:val="none"/>
              </w:rPr>
              <w:t>1）投标人具备</w:t>
            </w:r>
            <w:r>
              <w:rPr>
                <w:rFonts w:hint="eastAsia" w:ascii="宋体" w:hAnsi="宋体"/>
                <w:color w:val="auto"/>
                <w:szCs w:val="21"/>
                <w:highlight w:val="none"/>
                <w:lang w:val="en-US" w:eastAsia="zh-CN"/>
              </w:rPr>
              <w:t>风景园林工程设计专项甲级</w:t>
            </w:r>
            <w:r>
              <w:rPr>
                <w:rFonts w:hint="eastAsia" w:ascii="宋体" w:hAnsi="宋体"/>
                <w:color w:val="auto"/>
                <w:szCs w:val="21"/>
                <w:highlight w:val="none"/>
              </w:rPr>
              <w:t>资质，得</w:t>
            </w:r>
            <w:r>
              <w:rPr>
                <w:rFonts w:hint="eastAsia" w:ascii="宋体" w:hAnsi="宋体"/>
                <w:color w:val="auto"/>
                <w:szCs w:val="21"/>
                <w:highlight w:val="none"/>
                <w:lang w:val="en-US" w:eastAsia="zh-CN"/>
              </w:rPr>
              <w:t>3</w:t>
            </w:r>
            <w:r>
              <w:rPr>
                <w:rFonts w:hint="eastAsia" w:ascii="宋体" w:hAnsi="宋体"/>
                <w:color w:val="auto"/>
                <w:szCs w:val="21"/>
                <w:highlight w:val="none"/>
              </w:rPr>
              <w:t>分；具备</w:t>
            </w:r>
            <w:r>
              <w:rPr>
                <w:rFonts w:hint="eastAsia" w:ascii="宋体" w:hAnsi="宋体"/>
                <w:color w:val="auto"/>
                <w:szCs w:val="21"/>
                <w:highlight w:val="none"/>
                <w:lang w:val="en-US" w:eastAsia="zh-CN"/>
              </w:rPr>
              <w:t>市政行业道路工程设计乙级</w:t>
            </w:r>
            <w:r>
              <w:rPr>
                <w:rFonts w:hint="eastAsia" w:ascii="宋体" w:hAnsi="宋体"/>
                <w:color w:val="auto"/>
                <w:szCs w:val="21"/>
                <w:highlight w:val="none"/>
              </w:rPr>
              <w:t>资质，得</w:t>
            </w:r>
            <w:r>
              <w:rPr>
                <w:rFonts w:hint="eastAsia" w:ascii="宋体" w:hAnsi="宋体"/>
                <w:color w:val="auto"/>
                <w:szCs w:val="21"/>
                <w:highlight w:val="none"/>
                <w:lang w:val="en-US" w:eastAsia="zh-CN"/>
              </w:rPr>
              <w:t>1</w:t>
            </w:r>
            <w:r>
              <w:rPr>
                <w:rFonts w:hint="eastAsia" w:ascii="宋体" w:hAnsi="宋体"/>
                <w:color w:val="auto"/>
                <w:szCs w:val="21"/>
                <w:highlight w:val="none"/>
              </w:rPr>
              <w:t>分；具备</w:t>
            </w:r>
            <w:r>
              <w:rPr>
                <w:rFonts w:hint="eastAsia" w:ascii="宋体" w:hAnsi="宋体"/>
                <w:color w:val="auto"/>
                <w:szCs w:val="21"/>
                <w:highlight w:val="none"/>
                <w:lang w:val="en-US" w:eastAsia="zh-CN"/>
              </w:rPr>
              <w:t>市政行业桥梁工程设计乙级</w:t>
            </w:r>
            <w:r>
              <w:rPr>
                <w:rFonts w:hint="eastAsia" w:ascii="宋体" w:hAnsi="宋体"/>
                <w:color w:val="auto"/>
                <w:szCs w:val="21"/>
                <w:highlight w:val="none"/>
              </w:rPr>
              <w:t>资质，得</w:t>
            </w:r>
            <w:r>
              <w:rPr>
                <w:rFonts w:hint="eastAsia" w:ascii="宋体" w:hAnsi="宋体"/>
                <w:color w:val="auto"/>
                <w:szCs w:val="21"/>
                <w:highlight w:val="none"/>
                <w:lang w:val="en-US" w:eastAsia="zh-CN"/>
              </w:rPr>
              <w:t>1</w:t>
            </w:r>
            <w:r>
              <w:rPr>
                <w:rFonts w:hint="eastAsia" w:ascii="宋体" w:hAnsi="宋体"/>
                <w:color w:val="auto"/>
                <w:szCs w:val="21"/>
                <w:highlight w:val="none"/>
              </w:rPr>
              <w:t>分</w:t>
            </w:r>
            <w:r>
              <w:rPr>
                <w:rFonts w:hint="eastAsia" w:ascii="宋体" w:hAnsi="宋体"/>
                <w:color w:val="auto"/>
                <w:szCs w:val="21"/>
                <w:highlight w:val="none"/>
                <w:lang w:eastAsia="zh-CN"/>
              </w:rPr>
              <w:t>；</w:t>
            </w:r>
            <w:r>
              <w:rPr>
                <w:rFonts w:hint="eastAsia" w:ascii="宋体" w:hAnsi="宋体"/>
                <w:color w:val="auto"/>
                <w:szCs w:val="21"/>
                <w:highlight w:val="none"/>
              </w:rPr>
              <w:t>其它不得分</w:t>
            </w:r>
            <w:r>
              <w:rPr>
                <w:rFonts w:hint="eastAsia" w:ascii="宋体" w:hAnsi="宋体"/>
                <w:color w:val="auto"/>
                <w:szCs w:val="21"/>
                <w:highlight w:val="none"/>
                <w:lang w:eastAsia="zh-CN"/>
              </w:rPr>
              <w:t>。本项</w:t>
            </w:r>
            <w:r>
              <w:rPr>
                <w:rFonts w:hint="eastAsia" w:ascii="宋体" w:hAnsi="宋体"/>
                <w:color w:val="auto"/>
                <w:szCs w:val="21"/>
                <w:highlight w:val="none"/>
                <w:lang w:val="en-US" w:eastAsia="zh-CN"/>
              </w:rPr>
              <w:t>最多得5分。</w:t>
            </w:r>
          </w:p>
          <w:p>
            <w:pPr>
              <w:autoSpaceDE w:val="0"/>
              <w:autoSpaceDN w:val="0"/>
              <w:adjustRightInd w:val="0"/>
              <w:ind w:left="-50" w:leftChars="-24" w:right="-65" w:rightChars="-31"/>
              <w:rPr>
                <w:rFonts w:ascii="宋体" w:hAnsi="宋体"/>
                <w:color w:val="auto"/>
                <w:szCs w:val="21"/>
                <w:highlight w:val="none"/>
                <w:lang w:val="zh-CN"/>
              </w:rPr>
            </w:pPr>
            <w:r>
              <w:rPr>
                <w:rFonts w:hint="eastAsia" w:ascii="宋体" w:hAnsi="宋体"/>
                <w:color w:val="auto"/>
                <w:szCs w:val="21"/>
                <w:highlight w:val="none"/>
              </w:rPr>
              <w:t>2）</w:t>
            </w:r>
            <w:r>
              <w:rPr>
                <w:rFonts w:ascii="宋体" w:hAnsi="宋体"/>
                <w:color w:val="auto"/>
                <w:szCs w:val="21"/>
                <w:highlight w:val="none"/>
                <w:lang w:val="zh-CN"/>
              </w:rPr>
              <w:t>20</w:t>
            </w: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lang w:val="zh-CN"/>
              </w:rPr>
              <w:t>年</w:t>
            </w:r>
            <w:r>
              <w:rPr>
                <w:rFonts w:ascii="宋体" w:hAnsi="宋体"/>
                <w:color w:val="auto"/>
                <w:szCs w:val="21"/>
                <w:highlight w:val="none"/>
                <w:lang w:val="zh-CN"/>
              </w:rPr>
              <w:t>1</w:t>
            </w:r>
            <w:r>
              <w:rPr>
                <w:rFonts w:hint="eastAsia" w:ascii="宋体" w:hAnsi="宋体"/>
                <w:color w:val="auto"/>
                <w:szCs w:val="21"/>
                <w:highlight w:val="none"/>
                <w:lang w:val="zh-CN"/>
              </w:rPr>
              <w:t>月</w:t>
            </w:r>
            <w:r>
              <w:rPr>
                <w:rFonts w:ascii="宋体" w:hAnsi="宋体"/>
                <w:color w:val="auto"/>
                <w:szCs w:val="21"/>
                <w:highlight w:val="none"/>
                <w:lang w:val="zh-CN"/>
              </w:rPr>
              <w:t>1</w:t>
            </w:r>
            <w:r>
              <w:rPr>
                <w:rFonts w:hint="eastAsia" w:ascii="宋体" w:hAnsi="宋体"/>
                <w:color w:val="auto"/>
                <w:szCs w:val="21"/>
                <w:highlight w:val="none"/>
                <w:lang w:val="zh-CN"/>
              </w:rPr>
              <w:t>日</w:t>
            </w:r>
            <w:r>
              <w:rPr>
                <w:rFonts w:hint="eastAsia" w:ascii="宋体" w:hAnsi="宋体"/>
                <w:color w:val="auto"/>
                <w:szCs w:val="21"/>
                <w:highlight w:val="none"/>
              </w:rPr>
              <w:t>至</w:t>
            </w:r>
            <w:r>
              <w:rPr>
                <w:rFonts w:ascii="宋体" w:hAnsi="宋体"/>
                <w:color w:val="auto"/>
                <w:szCs w:val="21"/>
                <w:highlight w:val="none"/>
              </w:rPr>
              <w:t>投标截止时间止</w:t>
            </w:r>
            <w:r>
              <w:rPr>
                <w:rFonts w:hint="eastAsia" w:ascii="宋体" w:hAnsi="宋体"/>
                <w:color w:val="auto"/>
                <w:szCs w:val="21"/>
                <w:highlight w:val="none"/>
                <w:lang w:val="zh-CN"/>
              </w:rPr>
              <w:t>，投标人承接过设计费</w:t>
            </w:r>
            <w:r>
              <w:rPr>
                <w:rFonts w:hint="eastAsia" w:ascii="宋体" w:hAnsi="宋体"/>
                <w:color w:val="auto"/>
                <w:szCs w:val="21"/>
                <w:highlight w:val="none"/>
                <w:lang w:val="en-US" w:eastAsia="zh-CN"/>
              </w:rPr>
              <w:t>8</w:t>
            </w:r>
            <w:r>
              <w:rPr>
                <w:rFonts w:hint="eastAsia" w:ascii="宋体" w:hAnsi="宋体"/>
                <w:color w:val="auto"/>
                <w:szCs w:val="21"/>
                <w:highlight w:val="none"/>
              </w:rPr>
              <w:t>万元或以上</w:t>
            </w:r>
            <w:r>
              <w:rPr>
                <w:rFonts w:hint="eastAsia" w:ascii="宋体" w:hAnsi="宋体"/>
                <w:color w:val="auto"/>
                <w:szCs w:val="21"/>
                <w:highlight w:val="none"/>
                <w:lang w:val="zh-CN"/>
              </w:rPr>
              <w:t>的</w:t>
            </w:r>
            <w:r>
              <w:rPr>
                <w:rFonts w:hint="eastAsia" w:ascii="宋体" w:hAnsi="宋体"/>
                <w:color w:val="auto"/>
                <w:szCs w:val="21"/>
                <w:highlight w:val="none"/>
                <w:lang w:val="en-US" w:eastAsia="zh-CN"/>
              </w:rPr>
              <w:t>市政风景园林工程</w:t>
            </w:r>
            <w:r>
              <w:rPr>
                <w:rFonts w:hint="eastAsia" w:ascii="宋体" w:hAnsi="宋体"/>
                <w:color w:val="auto"/>
                <w:szCs w:val="21"/>
                <w:highlight w:val="none"/>
                <w:lang w:val="zh-CN"/>
              </w:rPr>
              <w:t>，每项得</w:t>
            </w:r>
            <w:r>
              <w:rPr>
                <w:rFonts w:hint="eastAsia" w:ascii="宋体" w:hAnsi="宋体"/>
                <w:color w:val="auto"/>
                <w:szCs w:val="21"/>
                <w:highlight w:val="none"/>
              </w:rPr>
              <w:t>2.5</w:t>
            </w:r>
            <w:r>
              <w:rPr>
                <w:rFonts w:hint="eastAsia" w:ascii="宋体" w:hAnsi="宋体"/>
                <w:color w:val="auto"/>
                <w:szCs w:val="21"/>
                <w:highlight w:val="none"/>
                <w:lang w:val="zh-CN"/>
              </w:rPr>
              <w:t>分，最多得</w:t>
            </w:r>
            <w:r>
              <w:rPr>
                <w:rFonts w:hint="eastAsia" w:ascii="宋体" w:hAnsi="宋体"/>
                <w:color w:val="auto"/>
                <w:szCs w:val="21"/>
                <w:highlight w:val="none"/>
              </w:rPr>
              <w:t>5</w:t>
            </w:r>
            <w:r>
              <w:rPr>
                <w:rFonts w:hint="eastAsia" w:ascii="宋体" w:hAnsi="宋体"/>
                <w:color w:val="auto"/>
                <w:szCs w:val="21"/>
                <w:highlight w:val="none"/>
                <w:lang w:val="zh-CN"/>
              </w:rPr>
              <w:t>分。</w:t>
            </w:r>
          </w:p>
          <w:p>
            <w:pPr>
              <w:autoSpaceDE w:val="0"/>
              <w:autoSpaceDN w:val="0"/>
              <w:adjustRightInd w:val="0"/>
              <w:ind w:left="-50" w:leftChars="-24" w:right="-65" w:rightChars="-31"/>
              <w:rPr>
                <w:rFonts w:ascii="宋体" w:hAnsi="宋体"/>
                <w:color w:val="auto"/>
                <w:szCs w:val="21"/>
                <w:highlight w:val="none"/>
                <w:lang w:val="zh-CN"/>
              </w:rPr>
            </w:pPr>
            <w:r>
              <w:rPr>
                <w:rFonts w:hint="eastAsia" w:ascii="宋体" w:hAnsi="宋体"/>
                <w:color w:val="auto"/>
                <w:szCs w:val="21"/>
                <w:highlight w:val="none"/>
                <w:lang w:val="zh-CN"/>
              </w:rPr>
              <w:t>注：业绩认定证明材料需提供合同复印件，业绩确认时间以合同签订时间为准。</w:t>
            </w:r>
            <w:r>
              <w:rPr>
                <w:rFonts w:hint="eastAsia" w:ascii="宋体" w:hAnsi="宋体"/>
                <w:color w:val="auto"/>
                <w:szCs w:val="21"/>
                <w:highlight w:val="none"/>
              </w:rPr>
              <w:t>所有</w:t>
            </w:r>
            <w:r>
              <w:rPr>
                <w:rFonts w:hint="eastAsia" w:ascii="宋体" w:hAnsi="宋体"/>
                <w:color w:val="auto"/>
                <w:szCs w:val="21"/>
                <w:highlight w:val="none"/>
                <w:lang w:val="zh-CN"/>
              </w:rPr>
              <w:t>资料均需加盖单位公章，否则不得分。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61" w:type="dxa"/>
            <w:vMerge w:val="continue"/>
            <w:tcBorders>
              <w:left w:val="single" w:color="auto" w:sz="8" w:space="0"/>
              <w:right w:val="single" w:color="auto" w:sz="4" w:space="0"/>
            </w:tcBorders>
            <w:vAlign w:val="center"/>
          </w:tcPr>
          <w:p>
            <w:pPr>
              <w:spacing w:line="280" w:lineRule="exact"/>
              <w:ind w:firstLine="400"/>
              <w:rPr>
                <w:rFonts w:ascii="宋体" w:hAnsi="宋体" w:cs="宋体"/>
                <w:color w:val="auto"/>
                <w:highlight w:val="none"/>
              </w:rPr>
            </w:pPr>
          </w:p>
        </w:tc>
        <w:tc>
          <w:tcPr>
            <w:tcW w:w="662" w:type="dxa"/>
            <w:vMerge w:val="continue"/>
            <w:tcBorders>
              <w:left w:val="single" w:color="auto" w:sz="8" w:space="0"/>
              <w:right w:val="single" w:color="auto" w:sz="4" w:space="0"/>
            </w:tcBorders>
            <w:vAlign w:val="center"/>
          </w:tcPr>
          <w:p>
            <w:pPr>
              <w:spacing w:line="280" w:lineRule="exact"/>
              <w:ind w:firstLine="400"/>
              <w:rPr>
                <w:rFonts w:ascii="宋体" w:hAnsi="宋体" w:cs="宋体"/>
                <w:color w:val="auto"/>
                <w:highlight w:val="none"/>
              </w:rPr>
            </w:pPr>
          </w:p>
        </w:tc>
        <w:tc>
          <w:tcPr>
            <w:tcW w:w="1502" w:type="dxa"/>
            <w:vMerge w:val="restart"/>
            <w:tcBorders>
              <w:left w:val="single" w:color="auto" w:sz="4" w:space="0"/>
              <w:right w:val="single" w:color="auto" w:sz="4" w:space="0"/>
            </w:tcBorders>
            <w:vAlign w:val="center"/>
          </w:tcPr>
          <w:p>
            <w:pPr>
              <w:autoSpaceDE w:val="0"/>
              <w:autoSpaceDN w:val="0"/>
              <w:adjustRightInd w:val="0"/>
              <w:spacing w:line="240" w:lineRule="exact"/>
              <w:jc w:val="center"/>
              <w:rPr>
                <w:rFonts w:ascii="宋体" w:hAnsi="宋体" w:cs="宋体"/>
                <w:color w:val="auto"/>
                <w:sz w:val="20"/>
                <w:szCs w:val="20"/>
                <w:highlight w:val="none"/>
              </w:rPr>
            </w:pPr>
            <w:r>
              <w:rPr>
                <w:rFonts w:hint="eastAsia" w:ascii="宋体" w:hAnsi="宋体" w:cs="Calibri"/>
                <w:color w:val="auto"/>
                <w:kern w:val="0"/>
                <w:szCs w:val="21"/>
                <w:highlight w:val="none"/>
              </w:rPr>
              <w:t>设计团队配备</w:t>
            </w:r>
          </w:p>
        </w:tc>
        <w:tc>
          <w:tcPr>
            <w:tcW w:w="851" w:type="dxa"/>
            <w:tcBorders>
              <w:left w:val="single" w:color="auto" w:sz="4" w:space="0"/>
              <w:right w:val="single" w:color="auto" w:sz="4" w:space="0"/>
            </w:tcBorders>
            <w:vAlign w:val="center"/>
          </w:tcPr>
          <w:p>
            <w:pPr>
              <w:autoSpaceDE w:val="0"/>
              <w:autoSpaceDN w:val="0"/>
              <w:adjustRightInd w:val="0"/>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10442" w:type="dxa"/>
            <w:tcBorders>
              <w:top w:val="single" w:color="auto" w:sz="4" w:space="0"/>
              <w:left w:val="single" w:color="auto" w:sz="4" w:space="0"/>
              <w:right w:val="single" w:color="auto" w:sz="4" w:space="0"/>
            </w:tcBorders>
          </w:tcPr>
          <w:p>
            <w:pPr>
              <w:tabs>
                <w:tab w:val="left" w:pos="360"/>
              </w:tabs>
              <w:snapToGrid w:val="0"/>
              <w:spacing w:line="240" w:lineRule="exact"/>
              <w:ind w:left="-50" w:leftChars="-24" w:right="-65"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设计负责人资历：</w:t>
            </w:r>
          </w:p>
          <w:p>
            <w:pPr>
              <w:numPr>
                <w:ilvl w:val="0"/>
                <w:numId w:val="2"/>
              </w:numPr>
              <w:snapToGrid w:val="0"/>
              <w:spacing w:line="240" w:lineRule="exact"/>
              <w:ind w:left="630" w:leftChars="0" w:right="-65" w:rightChars="-31" w:hanging="630" w:firstLineChars="0"/>
              <w:jc w:val="left"/>
              <w:rPr>
                <w:rFonts w:hint="default" w:ascii="宋体" w:hAnsi="宋体" w:eastAsia="宋体"/>
                <w:color w:val="auto"/>
                <w:szCs w:val="21"/>
                <w:highlight w:val="none"/>
                <w:lang w:val="en-US" w:eastAsia="zh-CN"/>
              </w:rPr>
            </w:pPr>
            <w:r>
              <w:rPr>
                <w:rFonts w:hint="eastAsia" w:ascii="宋体" w:hAnsi="宋体"/>
                <w:color w:val="auto"/>
                <w:szCs w:val="21"/>
                <w:highlight w:val="none"/>
              </w:rPr>
              <w:t>1）具备</w:t>
            </w:r>
            <w:r>
              <w:rPr>
                <w:rFonts w:hint="eastAsia" w:ascii="宋体" w:hAnsi="宋体"/>
                <w:color w:val="auto"/>
                <w:szCs w:val="21"/>
                <w:highlight w:val="none"/>
                <w:lang w:val="en-US" w:eastAsia="zh-CN"/>
              </w:rPr>
              <w:t>一</w:t>
            </w:r>
            <w:r>
              <w:rPr>
                <w:rFonts w:hint="eastAsia" w:ascii="宋体" w:hAnsi="宋体"/>
                <w:color w:val="auto"/>
                <w:szCs w:val="21"/>
                <w:highlight w:val="none"/>
              </w:rPr>
              <w:t>级注册建筑师资质证书，得</w:t>
            </w:r>
            <w:r>
              <w:rPr>
                <w:rFonts w:hint="eastAsia" w:ascii="宋体" w:hAnsi="宋体"/>
                <w:color w:val="auto"/>
                <w:szCs w:val="21"/>
                <w:highlight w:val="none"/>
                <w:lang w:val="en-US" w:eastAsia="zh-CN"/>
              </w:rPr>
              <w:t>2</w:t>
            </w:r>
            <w:r>
              <w:rPr>
                <w:rFonts w:hint="eastAsia" w:ascii="宋体" w:hAnsi="宋体"/>
                <w:color w:val="auto"/>
                <w:szCs w:val="21"/>
                <w:highlight w:val="none"/>
              </w:rPr>
              <w:t>分</w:t>
            </w:r>
            <w:r>
              <w:rPr>
                <w:rFonts w:hint="eastAsia" w:ascii="宋体" w:hAnsi="宋体" w:cs="Calibri"/>
                <w:color w:val="auto"/>
                <w:szCs w:val="21"/>
                <w:highlight w:val="none"/>
              </w:rPr>
              <w:t>；</w:t>
            </w:r>
            <w:r>
              <w:rPr>
                <w:rFonts w:hint="eastAsia" w:ascii="宋体" w:hAnsi="宋体"/>
                <w:color w:val="auto"/>
                <w:szCs w:val="21"/>
                <w:highlight w:val="none"/>
                <w:lang w:val="en-US" w:eastAsia="zh-CN"/>
              </w:rPr>
              <w:t>具备风景园林相关专业工程师职称，</w:t>
            </w:r>
            <w:r>
              <w:rPr>
                <w:rFonts w:hint="eastAsia" w:ascii="宋体" w:hAnsi="宋体"/>
                <w:color w:val="auto"/>
                <w:szCs w:val="21"/>
                <w:highlight w:val="none"/>
              </w:rPr>
              <w:t>得</w:t>
            </w:r>
            <w:r>
              <w:rPr>
                <w:rFonts w:hint="eastAsia" w:ascii="宋体" w:hAnsi="宋体"/>
                <w:color w:val="auto"/>
                <w:szCs w:val="21"/>
                <w:highlight w:val="none"/>
                <w:lang w:val="en-US" w:eastAsia="zh-CN"/>
              </w:rPr>
              <w:t>1</w:t>
            </w:r>
            <w:r>
              <w:rPr>
                <w:rFonts w:hint="eastAsia" w:ascii="宋体" w:hAnsi="宋体"/>
                <w:color w:val="auto"/>
                <w:szCs w:val="21"/>
                <w:highlight w:val="none"/>
              </w:rPr>
              <w:t>分</w:t>
            </w:r>
            <w:r>
              <w:rPr>
                <w:rFonts w:hint="eastAsia" w:ascii="宋体" w:hAnsi="宋体" w:cs="Calibri"/>
                <w:color w:val="auto"/>
                <w:szCs w:val="21"/>
                <w:highlight w:val="none"/>
              </w:rPr>
              <w:t>；</w:t>
            </w:r>
            <w:r>
              <w:rPr>
                <w:rFonts w:hint="eastAsia" w:ascii="宋体" w:hAnsi="宋体"/>
                <w:color w:val="auto"/>
                <w:szCs w:val="21"/>
                <w:highlight w:val="none"/>
              </w:rPr>
              <w:t>其它不得分</w:t>
            </w:r>
            <w:r>
              <w:rPr>
                <w:rFonts w:hint="eastAsia" w:ascii="宋体" w:hAnsi="宋体"/>
                <w:color w:val="auto"/>
                <w:szCs w:val="21"/>
                <w:highlight w:val="none"/>
                <w:lang w:val="en-US" w:eastAsia="zh-CN"/>
              </w:rPr>
              <w:t>。</w:t>
            </w:r>
          </w:p>
          <w:p>
            <w:pPr>
              <w:autoSpaceDE w:val="0"/>
              <w:autoSpaceDN w:val="0"/>
              <w:adjustRightInd w:val="0"/>
              <w:spacing w:line="360" w:lineRule="exact"/>
              <w:jc w:val="left"/>
              <w:rPr>
                <w:color w:val="auto"/>
                <w:highlight w:val="none"/>
              </w:rPr>
            </w:pPr>
            <w:r>
              <w:rPr>
                <w:rFonts w:hint="eastAsia" w:ascii="宋体" w:hAnsi="宋体" w:cs="宋体"/>
                <w:color w:val="auto"/>
                <w:kern w:val="0"/>
                <w:szCs w:val="21"/>
                <w:highlight w:val="none"/>
              </w:rPr>
              <w:t>注：须提供上述</w:t>
            </w:r>
            <w:r>
              <w:rPr>
                <w:rFonts w:hint="eastAsia" w:ascii="宋体" w:hAnsi="宋体" w:cs="Calibri"/>
                <w:color w:val="auto"/>
                <w:szCs w:val="21"/>
                <w:highlight w:val="none"/>
              </w:rPr>
              <w:t>所有</w:t>
            </w:r>
            <w:r>
              <w:rPr>
                <w:rFonts w:hint="eastAsia" w:ascii="宋体" w:hAnsi="宋体" w:cs="宋体"/>
                <w:color w:val="auto"/>
                <w:kern w:val="0"/>
                <w:szCs w:val="21"/>
                <w:highlight w:val="none"/>
              </w:rPr>
              <w:t>人员相应的证书复印件和</w:t>
            </w:r>
            <w:r>
              <w:rPr>
                <w:rFonts w:ascii="宋体" w:hAnsi="宋体" w:cs="宋体"/>
                <w:bCs/>
                <w:color w:val="auto"/>
                <w:kern w:val="0"/>
                <w:szCs w:val="21"/>
                <w:highlight w:val="none"/>
              </w:rPr>
              <w:t>202</w:t>
            </w:r>
            <w:r>
              <w:rPr>
                <w:rFonts w:hint="eastAsia" w:ascii="宋体" w:hAnsi="宋体" w:cs="宋体"/>
                <w:bCs/>
                <w:color w:val="auto"/>
                <w:kern w:val="0"/>
                <w:szCs w:val="21"/>
                <w:highlight w:val="none"/>
              </w:rPr>
              <w:t>1年</w:t>
            </w:r>
            <w:r>
              <w:rPr>
                <w:rFonts w:hint="eastAsia" w:ascii="宋体" w:hAnsi="宋体" w:cs="宋体"/>
                <w:bCs/>
                <w:color w:val="auto"/>
                <w:kern w:val="0"/>
                <w:szCs w:val="21"/>
                <w:highlight w:val="none"/>
                <w:lang w:val="en-US" w:eastAsia="zh-CN"/>
              </w:rPr>
              <w:t>8</w:t>
            </w:r>
            <w:r>
              <w:rPr>
                <w:rFonts w:hint="eastAsia" w:ascii="宋体" w:hAnsi="宋体" w:cs="宋体"/>
                <w:bCs/>
                <w:color w:val="auto"/>
                <w:kern w:val="0"/>
                <w:szCs w:val="21"/>
                <w:highlight w:val="none"/>
              </w:rPr>
              <w:t>月至</w:t>
            </w:r>
            <w:r>
              <w:rPr>
                <w:rFonts w:ascii="宋体" w:hAnsi="宋体" w:cs="宋体"/>
                <w:bCs/>
                <w:color w:val="auto"/>
                <w:kern w:val="0"/>
                <w:szCs w:val="21"/>
                <w:highlight w:val="none"/>
              </w:rPr>
              <w:t>202</w:t>
            </w:r>
            <w:r>
              <w:rPr>
                <w:rFonts w:hint="eastAsia" w:ascii="宋体" w:hAnsi="宋体" w:cs="宋体"/>
                <w:bCs/>
                <w:color w:val="auto"/>
                <w:kern w:val="0"/>
                <w:szCs w:val="21"/>
                <w:highlight w:val="none"/>
                <w:lang w:val="en-US" w:eastAsia="zh-CN"/>
              </w:rPr>
              <w:t>2</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lang w:val="en-US" w:eastAsia="zh-CN"/>
              </w:rPr>
              <w:t>1</w:t>
            </w:r>
            <w:r>
              <w:rPr>
                <w:rFonts w:hint="eastAsia" w:ascii="宋体" w:hAnsi="宋体" w:cs="宋体"/>
                <w:bCs/>
                <w:color w:val="auto"/>
                <w:kern w:val="0"/>
                <w:szCs w:val="21"/>
                <w:highlight w:val="none"/>
              </w:rPr>
              <w:t>月期间的</w:t>
            </w:r>
            <w:r>
              <w:rPr>
                <w:rFonts w:hint="eastAsia" w:ascii="宋体" w:hAnsi="宋体" w:cs="宋体"/>
                <w:color w:val="auto"/>
                <w:kern w:val="0"/>
                <w:szCs w:val="21"/>
                <w:highlight w:val="none"/>
              </w:rPr>
              <w:t>有效社保证明复印件并加盖投标人公章；未提供相应的证明资料或所提供的证明资料不符合要求的，该人员不予计算得分。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61" w:type="dxa"/>
            <w:vMerge w:val="continue"/>
            <w:tcBorders>
              <w:left w:val="single" w:color="auto" w:sz="8" w:space="0"/>
              <w:right w:val="single" w:color="auto" w:sz="4" w:space="0"/>
            </w:tcBorders>
            <w:vAlign w:val="center"/>
          </w:tcPr>
          <w:p>
            <w:pPr>
              <w:spacing w:line="280" w:lineRule="exact"/>
              <w:ind w:firstLine="400"/>
              <w:rPr>
                <w:rFonts w:ascii="宋体" w:hAnsi="宋体" w:cs="宋体"/>
                <w:color w:val="auto"/>
                <w:highlight w:val="none"/>
              </w:rPr>
            </w:pPr>
          </w:p>
        </w:tc>
        <w:tc>
          <w:tcPr>
            <w:tcW w:w="662" w:type="dxa"/>
            <w:vMerge w:val="continue"/>
            <w:tcBorders>
              <w:left w:val="single" w:color="auto" w:sz="8" w:space="0"/>
              <w:right w:val="single" w:color="auto" w:sz="4" w:space="0"/>
            </w:tcBorders>
            <w:vAlign w:val="center"/>
          </w:tcPr>
          <w:p>
            <w:pPr>
              <w:spacing w:line="280" w:lineRule="exact"/>
              <w:ind w:firstLine="400"/>
              <w:rPr>
                <w:rFonts w:ascii="宋体" w:hAnsi="宋体" w:cs="宋体"/>
                <w:color w:val="auto"/>
                <w:highlight w:val="none"/>
              </w:rPr>
            </w:pPr>
          </w:p>
        </w:tc>
        <w:tc>
          <w:tcPr>
            <w:tcW w:w="1502" w:type="dxa"/>
            <w:vMerge w:val="continue"/>
            <w:tcBorders>
              <w:left w:val="single" w:color="auto" w:sz="4" w:space="0"/>
              <w:right w:val="single" w:color="auto" w:sz="4" w:space="0"/>
            </w:tcBorders>
            <w:vAlign w:val="center"/>
          </w:tcPr>
          <w:p>
            <w:pPr>
              <w:autoSpaceDE w:val="0"/>
              <w:autoSpaceDN w:val="0"/>
              <w:adjustRightInd w:val="0"/>
              <w:spacing w:line="240" w:lineRule="exact"/>
              <w:jc w:val="center"/>
              <w:rPr>
                <w:rFonts w:ascii="宋体" w:hAnsi="宋体" w:cs="宋体"/>
                <w:color w:val="auto"/>
                <w:sz w:val="20"/>
                <w:szCs w:val="20"/>
                <w:highlight w:val="none"/>
              </w:rPr>
            </w:pPr>
          </w:p>
        </w:tc>
        <w:tc>
          <w:tcPr>
            <w:tcW w:w="851" w:type="dxa"/>
            <w:tcBorders>
              <w:left w:val="single" w:color="auto" w:sz="4" w:space="0"/>
              <w:right w:val="single" w:color="auto" w:sz="4" w:space="0"/>
            </w:tcBorders>
            <w:vAlign w:val="center"/>
          </w:tcPr>
          <w:p>
            <w:pPr>
              <w:autoSpaceDE w:val="0"/>
              <w:autoSpaceDN w:val="0"/>
              <w:adjustRightInd w:val="0"/>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5</w:t>
            </w:r>
          </w:p>
        </w:tc>
        <w:tc>
          <w:tcPr>
            <w:tcW w:w="10442" w:type="dxa"/>
            <w:tcBorders>
              <w:top w:val="single" w:color="auto" w:sz="4" w:space="0"/>
              <w:left w:val="single" w:color="auto" w:sz="4" w:space="0"/>
              <w:right w:val="single" w:color="auto" w:sz="4" w:space="0"/>
            </w:tcBorders>
          </w:tcPr>
          <w:p>
            <w:pPr>
              <w:tabs>
                <w:tab w:val="left" w:pos="360"/>
              </w:tabs>
              <w:snapToGrid w:val="0"/>
              <w:spacing w:before="78" w:beforeLines="25" w:line="240" w:lineRule="exact"/>
              <w:ind w:left="-50" w:leftChars="-24" w:right="-65"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设计团队中配备（设计负责人除外）：</w:t>
            </w:r>
          </w:p>
          <w:p>
            <w:pPr>
              <w:numPr>
                <w:ilvl w:val="0"/>
                <w:numId w:val="3"/>
              </w:numPr>
              <w:snapToGrid w:val="0"/>
              <w:spacing w:line="240" w:lineRule="exact"/>
              <w:ind w:left="630" w:leftChars="0" w:right="-65" w:rightChars="-31" w:hanging="630" w:firstLineChars="0"/>
              <w:jc w:val="left"/>
              <w:rPr>
                <w:rFonts w:ascii="宋体" w:hAnsi="宋体" w:cs="宋体"/>
                <w:color w:val="auto"/>
                <w:kern w:val="0"/>
                <w:szCs w:val="21"/>
                <w:highlight w:val="none"/>
              </w:rPr>
            </w:pPr>
            <w:r>
              <w:rPr>
                <w:rFonts w:hint="eastAsia"/>
                <w:color w:val="auto"/>
                <w:highlight w:val="none"/>
              </w:rPr>
              <w:t>具有园林</w:t>
            </w:r>
            <w:r>
              <w:rPr>
                <w:rFonts w:hint="eastAsia" w:ascii="宋体" w:hAnsi="宋体" w:cs="Calibri"/>
                <w:color w:val="auto"/>
                <w:szCs w:val="21"/>
                <w:highlight w:val="none"/>
              </w:rPr>
              <w:t>高级工程师的，得2分。</w:t>
            </w:r>
          </w:p>
          <w:p>
            <w:pPr>
              <w:numPr>
                <w:ilvl w:val="0"/>
                <w:numId w:val="3"/>
              </w:numPr>
              <w:snapToGrid w:val="0"/>
              <w:spacing w:line="240" w:lineRule="exact"/>
              <w:ind w:left="630" w:leftChars="0" w:right="-65" w:rightChars="-31" w:hanging="630" w:firstLineChars="0"/>
              <w:jc w:val="left"/>
              <w:rPr>
                <w:rFonts w:ascii="宋体" w:hAnsi="宋体" w:cs="宋体"/>
                <w:color w:val="auto"/>
                <w:kern w:val="0"/>
                <w:szCs w:val="21"/>
                <w:highlight w:val="none"/>
              </w:rPr>
            </w:pPr>
            <w:r>
              <w:rPr>
                <w:rFonts w:hint="eastAsia" w:ascii="宋体" w:hAnsi="宋体" w:cs="Calibri"/>
                <w:color w:val="auto"/>
                <w:szCs w:val="21"/>
                <w:highlight w:val="none"/>
              </w:rPr>
              <w:t>具备</w:t>
            </w:r>
            <w:r>
              <w:rPr>
                <w:rFonts w:hint="eastAsia" w:ascii="宋体" w:hAnsi="宋体" w:cs="Calibri"/>
                <w:color w:val="auto"/>
                <w:szCs w:val="21"/>
                <w:highlight w:val="none"/>
                <w:lang w:val="en-US" w:eastAsia="zh-CN"/>
              </w:rPr>
              <w:t>二</w:t>
            </w:r>
            <w:r>
              <w:rPr>
                <w:rFonts w:hint="eastAsia" w:ascii="宋体" w:hAnsi="宋体" w:cs="Calibri"/>
                <w:color w:val="auto"/>
                <w:szCs w:val="21"/>
                <w:highlight w:val="none"/>
              </w:rPr>
              <w:t>级结构工程师职称的，得3分。</w:t>
            </w:r>
          </w:p>
          <w:p>
            <w:pPr>
              <w:autoSpaceDE w:val="0"/>
              <w:autoSpaceDN w:val="0"/>
              <w:adjustRightInd w:val="0"/>
              <w:spacing w:line="360" w:lineRule="exact"/>
              <w:jc w:val="left"/>
              <w:rPr>
                <w:color w:val="auto"/>
                <w:highlight w:val="none"/>
              </w:rPr>
            </w:pPr>
            <w:r>
              <w:rPr>
                <w:rFonts w:hint="eastAsia" w:ascii="宋体" w:hAnsi="宋体" w:cs="宋体"/>
                <w:color w:val="auto"/>
                <w:kern w:val="0"/>
                <w:szCs w:val="21"/>
                <w:highlight w:val="none"/>
              </w:rPr>
              <w:t>注：须提供上述</w:t>
            </w:r>
            <w:r>
              <w:rPr>
                <w:rFonts w:hint="eastAsia" w:ascii="宋体" w:hAnsi="宋体" w:cs="Calibri"/>
                <w:color w:val="auto"/>
                <w:szCs w:val="21"/>
                <w:highlight w:val="none"/>
              </w:rPr>
              <w:t>所有</w:t>
            </w:r>
            <w:r>
              <w:rPr>
                <w:rFonts w:hint="eastAsia" w:ascii="宋体" w:hAnsi="宋体" w:cs="宋体"/>
                <w:color w:val="auto"/>
                <w:kern w:val="0"/>
                <w:szCs w:val="21"/>
                <w:highlight w:val="none"/>
              </w:rPr>
              <w:t>人员相应的证书复印件和</w:t>
            </w:r>
            <w:r>
              <w:rPr>
                <w:rFonts w:hint="eastAsia" w:ascii="宋体" w:hAnsi="宋体" w:cs="宋体"/>
                <w:bCs/>
                <w:color w:val="auto"/>
                <w:kern w:val="0"/>
                <w:szCs w:val="21"/>
                <w:highlight w:val="none"/>
                <w:lang w:eastAsia="zh-CN"/>
              </w:rPr>
              <w:t>2021年8月至2022年1月</w:t>
            </w:r>
            <w:r>
              <w:rPr>
                <w:rFonts w:hint="eastAsia" w:ascii="宋体" w:hAnsi="宋体" w:cs="宋体"/>
                <w:bCs/>
                <w:color w:val="auto"/>
                <w:kern w:val="0"/>
                <w:szCs w:val="21"/>
                <w:highlight w:val="none"/>
              </w:rPr>
              <w:t>期间的</w:t>
            </w:r>
            <w:r>
              <w:rPr>
                <w:rFonts w:hint="eastAsia" w:ascii="宋体" w:hAnsi="宋体" w:cs="宋体"/>
                <w:color w:val="auto"/>
                <w:kern w:val="0"/>
                <w:szCs w:val="21"/>
                <w:highlight w:val="none"/>
              </w:rPr>
              <w:t>有效社保证明复印件并加盖投标人公章；未提供相应的证明资料或所提供的证明资料不符合要求的，该人员不予计算得分。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661" w:type="dxa"/>
            <w:vMerge w:val="continue"/>
            <w:tcBorders>
              <w:left w:val="single" w:color="auto" w:sz="8" w:space="0"/>
              <w:right w:val="single" w:color="auto" w:sz="4" w:space="0"/>
            </w:tcBorders>
            <w:vAlign w:val="center"/>
          </w:tcPr>
          <w:p>
            <w:pPr>
              <w:spacing w:line="280" w:lineRule="exact"/>
              <w:rPr>
                <w:rFonts w:ascii="宋体" w:hAnsi="宋体" w:cs="宋体"/>
                <w:color w:val="auto"/>
                <w:szCs w:val="21"/>
                <w:highlight w:val="none"/>
              </w:rPr>
            </w:pPr>
          </w:p>
        </w:tc>
        <w:tc>
          <w:tcPr>
            <w:tcW w:w="662" w:type="dxa"/>
            <w:vMerge w:val="restart"/>
            <w:tcBorders>
              <w:left w:val="single" w:color="auto" w:sz="8" w:space="0"/>
              <w:right w:val="single" w:color="auto" w:sz="4" w:space="0"/>
            </w:tcBorders>
            <w:vAlign w:val="center"/>
          </w:tcPr>
          <w:p>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施工部分</w:t>
            </w:r>
          </w:p>
        </w:tc>
        <w:tc>
          <w:tcPr>
            <w:tcW w:w="1502" w:type="dxa"/>
            <w:tcBorders>
              <w:left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color w:val="auto"/>
                <w:szCs w:val="21"/>
                <w:highlight w:val="none"/>
              </w:rPr>
            </w:pPr>
            <w:r>
              <w:rPr>
                <w:color w:val="auto"/>
                <w:highlight w:val="none"/>
              </w:rPr>
              <w:t>企业信誉</w:t>
            </w:r>
          </w:p>
        </w:tc>
        <w:tc>
          <w:tcPr>
            <w:tcW w:w="851" w:type="dxa"/>
            <w:tcBorders>
              <w:left w:val="single" w:color="auto" w:sz="4" w:space="0"/>
              <w:right w:val="single" w:color="auto" w:sz="4" w:space="0"/>
            </w:tcBorders>
            <w:vAlign w:val="center"/>
          </w:tcPr>
          <w:p>
            <w:pPr>
              <w:spacing w:line="280" w:lineRule="exact"/>
              <w:jc w:val="center"/>
              <w:rPr>
                <w:color w:val="auto"/>
                <w:highlight w:val="none"/>
              </w:rPr>
            </w:pPr>
            <w:r>
              <w:rPr>
                <w:rFonts w:hint="eastAsia"/>
                <w:color w:val="auto"/>
                <w:highlight w:val="none"/>
              </w:rPr>
              <w:t>3</w:t>
            </w:r>
          </w:p>
        </w:tc>
        <w:tc>
          <w:tcPr>
            <w:tcW w:w="10442" w:type="dxa"/>
            <w:tcBorders>
              <w:top w:val="single" w:color="auto" w:sz="4" w:space="0"/>
              <w:left w:val="single" w:color="auto" w:sz="4" w:space="0"/>
              <w:right w:val="single" w:color="auto" w:sz="4" w:space="0"/>
            </w:tcBorders>
            <w:vAlign w:val="center"/>
          </w:tcPr>
          <w:p>
            <w:pPr>
              <w:pStyle w:val="88"/>
              <w:spacing w:before="25"/>
              <w:jc w:val="left"/>
              <w:rPr>
                <w:rFonts w:hint="default" w:eastAsia="宋体"/>
                <w:color w:val="auto"/>
                <w:szCs w:val="21"/>
                <w:highlight w:val="none"/>
                <w:lang w:val="en-US" w:eastAsia="zh-CN"/>
              </w:rPr>
            </w:pPr>
            <w:r>
              <w:rPr>
                <w:rFonts w:hint="eastAsia"/>
                <w:color w:val="auto"/>
                <w:kern w:val="0"/>
                <w:szCs w:val="21"/>
                <w:highlight w:val="none"/>
                <w:lang w:val="en-US" w:bidi="ar-SA"/>
              </w:rPr>
              <w:t>投标人</w:t>
            </w:r>
            <w:r>
              <w:rPr>
                <w:rFonts w:hint="eastAsia"/>
                <w:color w:val="auto"/>
                <w:kern w:val="0"/>
                <w:szCs w:val="21"/>
                <w:highlight w:val="none"/>
                <w:lang w:val="en-US" w:eastAsia="zh-CN" w:bidi="ar-SA"/>
              </w:rPr>
              <w:t>具有有效期内的ISO9001质量管理体系认证证书、ISO14001环境管理体系认证证书、OHSAS18001（或GB/T28001-2011，或ISO45001）职业健康安全管理体系认证证书的，每有一个，得1分。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661" w:type="dxa"/>
            <w:vMerge w:val="continue"/>
            <w:tcBorders>
              <w:left w:val="single" w:color="auto" w:sz="8" w:space="0"/>
              <w:right w:val="single" w:color="auto" w:sz="4" w:space="0"/>
            </w:tcBorders>
            <w:vAlign w:val="center"/>
          </w:tcPr>
          <w:p>
            <w:pPr>
              <w:spacing w:line="280" w:lineRule="exact"/>
              <w:rPr>
                <w:rFonts w:ascii="宋体" w:hAnsi="宋体" w:cs="宋体"/>
                <w:color w:val="auto"/>
                <w:szCs w:val="21"/>
                <w:highlight w:val="none"/>
              </w:rPr>
            </w:pPr>
          </w:p>
        </w:tc>
        <w:tc>
          <w:tcPr>
            <w:tcW w:w="662" w:type="dxa"/>
            <w:vMerge w:val="continue"/>
            <w:tcBorders>
              <w:left w:val="single" w:color="auto" w:sz="8" w:space="0"/>
              <w:right w:val="single" w:color="auto" w:sz="4" w:space="0"/>
            </w:tcBorders>
            <w:vAlign w:val="center"/>
          </w:tcPr>
          <w:p>
            <w:pPr>
              <w:spacing w:line="280" w:lineRule="exact"/>
              <w:rPr>
                <w:rFonts w:ascii="宋体" w:hAnsi="宋体" w:cs="宋体"/>
                <w:color w:val="auto"/>
                <w:szCs w:val="21"/>
                <w:highlight w:val="none"/>
              </w:rPr>
            </w:pPr>
          </w:p>
        </w:tc>
        <w:tc>
          <w:tcPr>
            <w:tcW w:w="1502" w:type="dxa"/>
            <w:tcBorders>
              <w:left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color w:val="auto"/>
                <w:kern w:val="0"/>
                <w:szCs w:val="21"/>
                <w:highlight w:val="none"/>
              </w:rPr>
            </w:pPr>
            <w:r>
              <w:rPr>
                <w:color w:val="auto"/>
                <w:highlight w:val="none"/>
              </w:rPr>
              <w:t xml:space="preserve">获奖情况 </w:t>
            </w:r>
          </w:p>
        </w:tc>
        <w:tc>
          <w:tcPr>
            <w:tcW w:w="851" w:type="dxa"/>
            <w:tcBorders>
              <w:left w:val="single" w:color="auto" w:sz="4" w:space="0"/>
              <w:right w:val="single" w:color="auto" w:sz="4" w:space="0"/>
            </w:tcBorders>
            <w:vAlign w:val="center"/>
          </w:tcPr>
          <w:p>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10442" w:type="dxa"/>
            <w:tcBorders>
              <w:top w:val="single" w:color="auto" w:sz="4" w:space="0"/>
              <w:left w:val="single" w:color="auto" w:sz="4" w:space="0"/>
              <w:right w:val="single" w:color="auto" w:sz="4" w:space="0"/>
            </w:tcBorders>
            <w:vAlign w:val="center"/>
          </w:tcPr>
          <w:p>
            <w:pPr>
              <w:pStyle w:val="67"/>
              <w:wordWrap w:val="0"/>
              <w:topLinePunct/>
              <w:autoSpaceDE w:val="0"/>
              <w:autoSpaceDN w:val="0"/>
              <w:adjustRightInd w:val="0"/>
              <w:spacing w:line="360" w:lineRule="exact"/>
              <w:rPr>
                <w:color w:val="auto"/>
                <w:highlight w:val="none"/>
              </w:rPr>
            </w:pPr>
            <w:r>
              <w:rPr>
                <w:rFonts w:hint="eastAsia" w:ascii="宋体" w:hAnsi="宋体" w:cs="宋体"/>
                <w:color w:val="auto"/>
                <w:kern w:val="0"/>
                <w:szCs w:val="21"/>
                <w:highlight w:val="none"/>
              </w:rPr>
              <w:t>投标人自 201</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 xml:space="preserve"> 年 1 月 1 日至今获得奖项的：获得省级或市级建设行政主管部门或行业协会颁发奖项的（包含各类 QC、工法），每项得 </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 xml:space="preserve"> 分，本项最高得 4 分。注：①颁发单位包括行政区政府、建设行政主管部门或行业协会；②获奖时间以获奖证书颁发时间或网上公示获奖时间为准；③需提供获奖证书复印件或网上公示获奖页面截图凭证、得奖项目不重复记分。 </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4" w:hRule="atLeast"/>
          <w:jc w:val="center"/>
        </w:trPr>
        <w:tc>
          <w:tcPr>
            <w:tcW w:w="661" w:type="dxa"/>
            <w:vMerge w:val="continue"/>
            <w:tcBorders>
              <w:left w:val="single" w:color="auto" w:sz="8" w:space="0"/>
              <w:right w:val="single" w:color="auto" w:sz="4" w:space="0"/>
            </w:tcBorders>
            <w:vAlign w:val="center"/>
          </w:tcPr>
          <w:p>
            <w:pPr>
              <w:spacing w:line="280" w:lineRule="exact"/>
              <w:rPr>
                <w:rFonts w:ascii="宋体" w:hAnsi="宋体" w:cs="宋体"/>
                <w:color w:val="auto"/>
                <w:szCs w:val="21"/>
                <w:highlight w:val="none"/>
              </w:rPr>
            </w:pPr>
          </w:p>
        </w:tc>
        <w:tc>
          <w:tcPr>
            <w:tcW w:w="662" w:type="dxa"/>
            <w:vMerge w:val="continue"/>
            <w:tcBorders>
              <w:left w:val="single" w:color="auto" w:sz="8" w:space="0"/>
              <w:right w:val="single" w:color="auto" w:sz="4" w:space="0"/>
            </w:tcBorders>
            <w:vAlign w:val="center"/>
          </w:tcPr>
          <w:p>
            <w:pPr>
              <w:spacing w:line="280" w:lineRule="exact"/>
              <w:rPr>
                <w:rFonts w:ascii="宋体" w:hAnsi="宋体" w:cs="宋体"/>
                <w:color w:val="auto"/>
                <w:szCs w:val="21"/>
                <w:highlight w:val="none"/>
              </w:rPr>
            </w:pPr>
          </w:p>
        </w:tc>
        <w:tc>
          <w:tcPr>
            <w:tcW w:w="1502" w:type="dxa"/>
            <w:tcBorders>
              <w:left w:val="single" w:color="auto" w:sz="4" w:space="0"/>
              <w:right w:val="single" w:color="auto" w:sz="4" w:space="0"/>
            </w:tcBorders>
            <w:vAlign w:val="center"/>
          </w:tcPr>
          <w:p>
            <w:pPr>
              <w:autoSpaceDE w:val="0"/>
              <w:autoSpaceDN w:val="0"/>
              <w:adjustRightInd w:val="0"/>
              <w:spacing w:line="240" w:lineRule="exact"/>
              <w:jc w:val="center"/>
              <w:rPr>
                <w:rFonts w:ascii="宋体" w:hAnsi="宋体" w:cs="宋体"/>
                <w:color w:val="auto"/>
                <w:szCs w:val="21"/>
                <w:highlight w:val="none"/>
              </w:rPr>
            </w:pPr>
            <w:r>
              <w:rPr>
                <w:color w:val="auto"/>
                <w:highlight w:val="none"/>
              </w:rPr>
              <w:t>企业类似业绩</w:t>
            </w:r>
          </w:p>
        </w:tc>
        <w:tc>
          <w:tcPr>
            <w:tcW w:w="851" w:type="dxa"/>
            <w:tcBorders>
              <w:left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10442" w:type="dxa"/>
            <w:tcBorders>
              <w:top w:val="single" w:color="auto" w:sz="4" w:space="0"/>
              <w:left w:val="single" w:color="auto" w:sz="4" w:space="0"/>
              <w:right w:val="single" w:color="auto" w:sz="4" w:space="0"/>
            </w:tcBorders>
          </w:tcPr>
          <w:p>
            <w:pPr>
              <w:pStyle w:val="67"/>
              <w:wordWrap w:val="0"/>
              <w:topLinePunct/>
              <w:autoSpaceDE w:val="0"/>
              <w:autoSpaceDN w:val="0"/>
              <w:adjustRightInd w:val="0"/>
              <w:spacing w:line="36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投标人自 2017 年 1 月 1 日至今承接过类似施工业绩的，</w:t>
            </w:r>
            <w:r>
              <w:rPr>
                <w:rFonts w:hint="eastAsia" w:ascii="宋体" w:hAnsi="宋体" w:cs="宋体"/>
                <w:color w:val="auto"/>
                <w:kern w:val="0"/>
                <w:szCs w:val="21"/>
                <w:highlight w:val="none"/>
                <w:lang w:val="en-US" w:eastAsia="zh-CN"/>
              </w:rPr>
              <w:t>每个得2分，本项最高得8分</w:t>
            </w:r>
            <w:r>
              <w:rPr>
                <w:rFonts w:hint="eastAsia" w:ascii="宋体" w:hAnsi="宋体" w:cs="宋体"/>
                <w:color w:val="auto"/>
                <w:kern w:val="0"/>
                <w:szCs w:val="21"/>
                <w:highlight w:val="none"/>
              </w:rPr>
              <w:t>。</w:t>
            </w:r>
          </w:p>
          <w:p>
            <w:pPr>
              <w:pStyle w:val="67"/>
              <w:wordWrap w:val="0"/>
              <w:topLinePunct/>
              <w:autoSpaceDE w:val="0"/>
              <w:autoSpaceDN w:val="0"/>
              <w:adjustRightIn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注：</w:t>
            </w:r>
          </w:p>
          <w:p>
            <w:pPr>
              <w:pStyle w:val="67"/>
              <w:wordWrap w:val="0"/>
              <w:topLinePunct/>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kern w:val="0"/>
                <w:szCs w:val="21"/>
                <w:highlight w:val="none"/>
              </w:rPr>
              <w:t>①类似业绩是指</w:t>
            </w:r>
            <w:r>
              <w:rPr>
                <w:rFonts w:hint="eastAsia" w:ascii="宋体" w:hAnsi="宋体" w:cs="宋体"/>
                <w:color w:val="auto"/>
                <w:kern w:val="0"/>
                <w:szCs w:val="21"/>
                <w:highlight w:val="none"/>
                <w:lang w:val="en-US" w:eastAsia="zh-CN"/>
              </w:rPr>
              <w:t>市政园林景观类</w:t>
            </w:r>
            <w:r>
              <w:rPr>
                <w:rFonts w:hint="eastAsia" w:ascii="宋体" w:hAnsi="宋体" w:cs="宋体"/>
                <w:color w:val="auto"/>
                <w:kern w:val="0"/>
                <w:szCs w:val="21"/>
                <w:highlight w:val="none"/>
              </w:rPr>
              <w:t xml:space="preserve">工程业绩；②有效业绩时间以竣工验收的时间为准；③若投标人提供的业绩是以联合体形式承接的，投标人须为该业绩的牵头人，并提供作为牵头人的证明材料（如：中标通知书、合同等材料中能体现出牵头人身份的内容），否则不得分。④业绩证明材料包括：施工合同复印件（提供合同协议书等能反映合同金额、施工内容和合同双方盖章页）。 </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61" w:type="dxa"/>
            <w:vMerge w:val="continue"/>
            <w:tcBorders>
              <w:left w:val="single" w:color="auto" w:sz="8" w:space="0"/>
              <w:right w:val="single" w:color="auto" w:sz="4" w:space="0"/>
            </w:tcBorders>
            <w:vAlign w:val="center"/>
          </w:tcPr>
          <w:p>
            <w:pPr>
              <w:pStyle w:val="90"/>
              <w:ind w:firstLine="420" w:firstLineChars="200"/>
              <w:rPr>
                <w:color w:val="auto"/>
                <w:szCs w:val="21"/>
                <w:highlight w:val="none"/>
              </w:rPr>
            </w:pPr>
          </w:p>
        </w:tc>
        <w:tc>
          <w:tcPr>
            <w:tcW w:w="662" w:type="dxa"/>
            <w:vMerge w:val="continue"/>
            <w:tcBorders>
              <w:left w:val="single" w:color="auto" w:sz="8" w:space="0"/>
              <w:right w:val="single" w:color="auto" w:sz="4" w:space="0"/>
            </w:tcBorders>
            <w:vAlign w:val="center"/>
          </w:tcPr>
          <w:p>
            <w:pPr>
              <w:pStyle w:val="90"/>
              <w:ind w:firstLine="420" w:firstLineChars="200"/>
              <w:rPr>
                <w:color w:val="auto"/>
                <w:szCs w:val="21"/>
                <w:highlight w:val="none"/>
              </w:rPr>
            </w:pPr>
          </w:p>
        </w:tc>
        <w:tc>
          <w:tcPr>
            <w:tcW w:w="1502" w:type="dxa"/>
            <w:tcBorders>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color w:val="auto"/>
                <w:szCs w:val="21"/>
                <w:highlight w:val="none"/>
              </w:rPr>
            </w:pPr>
            <w:r>
              <w:rPr>
                <w:color w:val="auto"/>
                <w:spacing w:val="-2"/>
                <w:highlight w:val="none"/>
              </w:rPr>
              <w:t>拟投入项目管理</w:t>
            </w:r>
            <w:r>
              <w:rPr>
                <w:color w:val="auto"/>
                <w:spacing w:val="-3"/>
                <w:highlight w:val="none"/>
              </w:rPr>
              <w:t>机构及人员情况</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eastAsia="宋体" w:cs="Times New Roman"/>
                <w:color w:val="auto"/>
                <w:highlight w:val="none"/>
              </w:rPr>
            </w:pPr>
            <w:r>
              <w:rPr>
                <w:rFonts w:hint="eastAsia" w:eastAsia="宋体" w:cs="Times New Roman"/>
                <w:color w:val="auto"/>
                <w:highlight w:val="none"/>
              </w:rPr>
              <w:t>3</w:t>
            </w:r>
          </w:p>
        </w:tc>
        <w:tc>
          <w:tcPr>
            <w:tcW w:w="104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left"/>
              <w:rPr>
                <w:rFonts w:hint="default" w:eastAsia="宋体" w:cs="Times New Roman"/>
                <w:color w:val="auto"/>
                <w:highlight w:val="none"/>
                <w:lang w:val="en-US" w:eastAsia="zh-CN"/>
              </w:rPr>
            </w:pPr>
            <w:r>
              <w:rPr>
                <w:rFonts w:hint="eastAsia" w:eastAsia="宋体" w:cs="Times New Roman"/>
                <w:color w:val="auto"/>
                <w:highlight w:val="none"/>
                <w:lang w:val="en-US" w:eastAsia="zh-CN"/>
              </w:rPr>
              <w:t>项目负责人：具有</w:t>
            </w:r>
            <w:r>
              <w:rPr>
                <w:rFonts w:hint="eastAsia" w:cs="Times New Roman"/>
                <w:color w:val="auto"/>
                <w:highlight w:val="none"/>
                <w:lang w:val="en-US" w:eastAsia="zh-CN"/>
              </w:rPr>
              <w:t>二</w:t>
            </w:r>
            <w:r>
              <w:rPr>
                <w:rFonts w:hint="eastAsia" w:eastAsia="宋体" w:cs="Times New Roman"/>
                <w:color w:val="auto"/>
                <w:highlight w:val="none"/>
              </w:rPr>
              <w:t>级</w:t>
            </w:r>
            <w:r>
              <w:rPr>
                <w:rFonts w:hint="eastAsia" w:cs="Times New Roman"/>
                <w:color w:val="auto"/>
                <w:highlight w:val="none"/>
                <w:lang w:val="en-US" w:eastAsia="zh-CN"/>
              </w:rPr>
              <w:t>市政公用建筑</w:t>
            </w:r>
            <w:r>
              <w:rPr>
                <w:rFonts w:hint="eastAsia" w:eastAsia="宋体" w:cs="Times New Roman"/>
                <w:color w:val="auto"/>
                <w:highlight w:val="none"/>
              </w:rPr>
              <w:t>工程注册建造师证</w:t>
            </w:r>
            <w:r>
              <w:rPr>
                <w:rFonts w:hint="eastAsia" w:cs="Times New Roman"/>
                <w:color w:val="auto"/>
                <w:highlight w:val="none"/>
                <w:lang w:eastAsia="zh-CN"/>
              </w:rPr>
              <w:t>，</w:t>
            </w:r>
            <w:r>
              <w:rPr>
                <w:rFonts w:hint="eastAsia" w:cs="Times New Roman"/>
                <w:color w:val="auto"/>
                <w:highlight w:val="none"/>
                <w:lang w:val="en-US" w:eastAsia="zh-CN"/>
              </w:rPr>
              <w:t>同时具备工程类中级工程师</w:t>
            </w:r>
            <w:r>
              <w:rPr>
                <w:rFonts w:hint="eastAsia" w:eastAsia="宋体" w:cs="Times New Roman"/>
                <w:color w:val="auto"/>
                <w:highlight w:val="none"/>
              </w:rPr>
              <w:t>，得</w:t>
            </w:r>
            <w:r>
              <w:rPr>
                <w:rFonts w:hint="eastAsia" w:eastAsia="宋体" w:cs="Times New Roman"/>
                <w:color w:val="auto"/>
                <w:highlight w:val="none"/>
                <w:lang w:val="en-US" w:eastAsia="zh-CN"/>
              </w:rPr>
              <w:t>1</w:t>
            </w:r>
            <w:r>
              <w:rPr>
                <w:rFonts w:hint="eastAsia" w:eastAsia="宋体" w:cs="Times New Roman"/>
                <w:color w:val="auto"/>
                <w:highlight w:val="none"/>
              </w:rPr>
              <w:t>分。</w:t>
            </w:r>
          </w:p>
          <w:p>
            <w:pPr>
              <w:autoSpaceDE w:val="0"/>
              <w:autoSpaceDN w:val="0"/>
              <w:adjustRightInd w:val="0"/>
              <w:spacing w:line="360" w:lineRule="exact"/>
              <w:jc w:val="left"/>
              <w:rPr>
                <w:rFonts w:hint="eastAsia" w:eastAsia="宋体" w:cs="Times New Roman"/>
                <w:color w:val="auto"/>
                <w:highlight w:val="none"/>
              </w:rPr>
            </w:pPr>
            <w:r>
              <w:rPr>
                <w:rFonts w:hint="eastAsia" w:eastAsia="宋体" w:cs="Times New Roman"/>
                <w:color w:val="auto"/>
                <w:highlight w:val="none"/>
              </w:rPr>
              <w:t>技术负责人：具有</w:t>
            </w:r>
            <w:r>
              <w:rPr>
                <w:rFonts w:hint="eastAsia" w:cs="Times New Roman"/>
                <w:color w:val="auto"/>
                <w:highlight w:val="none"/>
                <w:lang w:val="en-US" w:eastAsia="zh-CN"/>
              </w:rPr>
              <w:t>园林</w:t>
            </w:r>
            <w:r>
              <w:rPr>
                <w:rFonts w:hint="eastAsia" w:eastAsia="宋体" w:cs="Times New Roman"/>
                <w:color w:val="auto"/>
                <w:highlight w:val="none"/>
              </w:rPr>
              <w:t>类中级或以上工程师职称证书的，得 1 分</w:t>
            </w:r>
            <w:r>
              <w:rPr>
                <w:rFonts w:hint="eastAsia" w:eastAsia="宋体" w:cs="Times New Roman"/>
                <w:color w:val="auto"/>
                <w:highlight w:val="none"/>
                <w:lang w:eastAsia="zh-CN"/>
              </w:rPr>
              <w:t>。</w:t>
            </w:r>
            <w:r>
              <w:rPr>
                <w:rFonts w:hint="eastAsia" w:eastAsia="宋体" w:cs="Times New Roman"/>
                <w:color w:val="auto"/>
                <w:highlight w:val="none"/>
              </w:rPr>
              <w:t xml:space="preserve"> </w:t>
            </w:r>
          </w:p>
          <w:p>
            <w:pPr>
              <w:autoSpaceDE w:val="0"/>
              <w:autoSpaceDN w:val="0"/>
              <w:adjustRightInd w:val="0"/>
              <w:spacing w:line="360" w:lineRule="exact"/>
              <w:jc w:val="left"/>
              <w:rPr>
                <w:rFonts w:hint="default" w:eastAsia="宋体" w:cs="Times New Roman"/>
                <w:color w:val="auto"/>
                <w:highlight w:val="none"/>
                <w:lang w:val="en-US" w:eastAsia="zh-CN"/>
              </w:rPr>
            </w:pPr>
            <w:r>
              <w:rPr>
                <w:rFonts w:hint="eastAsia" w:eastAsia="宋体" w:cs="Times New Roman"/>
                <w:color w:val="auto"/>
                <w:highlight w:val="none"/>
                <w:lang w:val="en-US" w:eastAsia="zh-CN"/>
              </w:rPr>
              <w:t>造价负责人：具有</w:t>
            </w:r>
            <w:r>
              <w:rPr>
                <w:rFonts w:hint="eastAsia" w:eastAsia="宋体" w:cs="Times New Roman"/>
                <w:color w:val="auto"/>
                <w:highlight w:val="none"/>
              </w:rPr>
              <w:t>注册造价工程师证</w:t>
            </w:r>
            <w:r>
              <w:rPr>
                <w:rFonts w:hint="eastAsia" w:cs="Times New Roman"/>
                <w:color w:val="auto"/>
                <w:highlight w:val="none"/>
                <w:lang w:val="en-US" w:eastAsia="zh-CN"/>
              </w:rPr>
              <w:t>且具有二级及以上建造师（市政公用工程）</w:t>
            </w:r>
            <w:r>
              <w:rPr>
                <w:rFonts w:hint="eastAsia" w:eastAsia="宋体" w:cs="Times New Roman"/>
                <w:color w:val="auto"/>
                <w:highlight w:val="none"/>
                <w:lang w:val="en-US" w:eastAsia="zh-CN"/>
              </w:rPr>
              <w:t>的</w:t>
            </w:r>
            <w:r>
              <w:rPr>
                <w:rFonts w:hint="eastAsia" w:eastAsia="宋体" w:cs="Times New Roman"/>
                <w:color w:val="auto"/>
                <w:highlight w:val="none"/>
              </w:rPr>
              <w:t>，得</w:t>
            </w:r>
            <w:r>
              <w:rPr>
                <w:rFonts w:hint="eastAsia" w:eastAsia="宋体" w:cs="Times New Roman"/>
                <w:color w:val="auto"/>
                <w:highlight w:val="none"/>
                <w:lang w:val="en-US" w:eastAsia="zh-CN"/>
              </w:rPr>
              <w:t>1</w:t>
            </w:r>
            <w:r>
              <w:rPr>
                <w:rFonts w:hint="eastAsia" w:eastAsia="宋体" w:cs="Times New Roman"/>
                <w:color w:val="auto"/>
                <w:highlight w:val="none"/>
              </w:rPr>
              <w:t>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8" w:hRule="atLeast"/>
          <w:jc w:val="center"/>
        </w:trPr>
        <w:tc>
          <w:tcPr>
            <w:tcW w:w="1323" w:type="dxa"/>
            <w:gridSpan w:val="2"/>
            <w:vMerge w:val="restart"/>
            <w:tcBorders>
              <w:left w:val="single" w:color="auto" w:sz="8" w:space="0"/>
              <w:right w:val="single" w:color="auto" w:sz="4" w:space="0"/>
            </w:tcBorders>
            <w:vAlign w:val="center"/>
          </w:tcPr>
          <w:p>
            <w:pPr>
              <w:pStyle w:val="90"/>
              <w:rPr>
                <w:color w:val="auto"/>
                <w:szCs w:val="21"/>
                <w:highlight w:val="none"/>
              </w:rPr>
            </w:pPr>
            <w:r>
              <w:rPr>
                <w:rFonts w:hint="eastAsia"/>
                <w:color w:val="auto"/>
                <w:szCs w:val="21"/>
                <w:highlight w:val="none"/>
              </w:rPr>
              <w:t>二、施工实施方案（6</w:t>
            </w:r>
            <w:r>
              <w:rPr>
                <w:color w:val="auto"/>
                <w:szCs w:val="21"/>
                <w:highlight w:val="none"/>
              </w:rPr>
              <w:t>4</w:t>
            </w:r>
            <w:r>
              <w:rPr>
                <w:rFonts w:hint="eastAsia"/>
                <w:color w:val="auto"/>
                <w:szCs w:val="21"/>
                <w:highlight w:val="none"/>
              </w:rPr>
              <w:t>分）</w:t>
            </w:r>
          </w:p>
        </w:tc>
        <w:tc>
          <w:tcPr>
            <w:tcW w:w="1502" w:type="dxa"/>
            <w:tcBorders>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设计和施工的融合措施</w:t>
            </w:r>
          </w:p>
        </w:tc>
        <w:tc>
          <w:tcPr>
            <w:tcW w:w="851" w:type="dxa"/>
            <w:tcBorders>
              <w:top w:val="single" w:color="auto" w:sz="4" w:space="0"/>
              <w:left w:val="single" w:color="auto" w:sz="4" w:space="0"/>
              <w:bottom w:val="single" w:color="auto" w:sz="4" w:space="0"/>
              <w:right w:val="single" w:color="auto" w:sz="4" w:space="0"/>
            </w:tcBorders>
            <w:vAlign w:val="center"/>
          </w:tcPr>
          <w:p>
            <w:pPr>
              <w:pStyle w:val="90"/>
              <w:jc w:val="center"/>
              <w:rPr>
                <w:rFonts w:ascii="宋体" w:hAnsi="宋体" w:cs="宋体"/>
                <w:color w:val="auto"/>
                <w:szCs w:val="21"/>
                <w:highlight w:val="none"/>
              </w:rPr>
            </w:pPr>
            <w:r>
              <w:rPr>
                <w:rFonts w:hint="eastAsia" w:ascii="宋体" w:hAnsi="宋体" w:cs="宋体"/>
                <w:color w:val="auto"/>
                <w:szCs w:val="21"/>
                <w:highlight w:val="none"/>
              </w:rPr>
              <w:t>10</w:t>
            </w:r>
          </w:p>
        </w:tc>
        <w:tc>
          <w:tcPr>
            <w:tcW w:w="10442"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对项目需求充分理解，提供本项目针对性的技术服务方案、设计和施工的融合措施，科学和合理的项目团队组建方案。</w:t>
            </w:r>
          </w:p>
          <w:p>
            <w:pPr>
              <w:rPr>
                <w:color w:val="auto"/>
                <w:highlight w:val="none"/>
              </w:rPr>
            </w:pPr>
            <w:r>
              <w:rPr>
                <w:rFonts w:hint="eastAsia"/>
                <w:color w:val="auto"/>
                <w:highlight w:val="none"/>
              </w:rPr>
              <w:t xml:space="preserve">优：[10- </w:t>
            </w:r>
            <w:r>
              <w:rPr>
                <w:color w:val="auto"/>
                <w:highlight w:val="none"/>
              </w:rPr>
              <w:t>8.5)</w:t>
            </w:r>
            <w:r>
              <w:rPr>
                <w:rFonts w:hint="eastAsia"/>
                <w:color w:val="auto"/>
                <w:highlight w:val="none"/>
              </w:rPr>
              <w:t>分；良：[</w:t>
            </w:r>
            <w:r>
              <w:rPr>
                <w:color w:val="auto"/>
                <w:highlight w:val="none"/>
              </w:rPr>
              <w:t>8.5</w:t>
            </w:r>
            <w:r>
              <w:rPr>
                <w:rFonts w:hint="eastAsia"/>
                <w:color w:val="auto"/>
                <w:highlight w:val="none"/>
              </w:rPr>
              <w:t xml:space="preserve">- </w:t>
            </w:r>
            <w:r>
              <w:rPr>
                <w:rFonts w:hint="eastAsia"/>
                <w:color w:val="auto"/>
                <w:highlight w:val="none"/>
                <w:lang w:val="en-US" w:eastAsia="zh-CN"/>
              </w:rPr>
              <w:t>7</w:t>
            </w:r>
            <w:r>
              <w:rPr>
                <w:color w:val="auto"/>
                <w:highlight w:val="none"/>
              </w:rPr>
              <w:t>)</w:t>
            </w:r>
            <w:r>
              <w:rPr>
                <w:rFonts w:hint="eastAsia"/>
                <w:color w:val="auto"/>
                <w:highlight w:val="none"/>
              </w:rPr>
              <w:t>分；中：[</w:t>
            </w:r>
            <w:r>
              <w:rPr>
                <w:rFonts w:hint="eastAsia"/>
                <w:color w:val="auto"/>
                <w:highlight w:val="none"/>
                <w:lang w:val="en-US" w:eastAsia="zh-CN"/>
              </w:rPr>
              <w:t>7</w:t>
            </w:r>
            <w:r>
              <w:rPr>
                <w:rFonts w:hint="eastAsia"/>
                <w:color w:val="auto"/>
                <w:highlight w:val="none"/>
              </w:rPr>
              <w:t xml:space="preserve">- </w:t>
            </w:r>
            <w:r>
              <w:rPr>
                <w:rFonts w:hint="eastAsia"/>
                <w:color w:val="auto"/>
                <w:highlight w:val="none"/>
                <w:lang w:val="en-US" w:eastAsia="zh-CN"/>
              </w:rPr>
              <w:t>5</w:t>
            </w:r>
            <w:r>
              <w:rPr>
                <w:color w:val="auto"/>
                <w:highlight w:val="none"/>
              </w:rPr>
              <w:t>.5)</w:t>
            </w:r>
            <w:r>
              <w:rPr>
                <w:rFonts w:hint="eastAsia"/>
                <w:color w:val="auto"/>
                <w:highlight w:val="none"/>
              </w:rPr>
              <w:t>分；</w:t>
            </w:r>
            <w:r>
              <w:rPr>
                <w:rFonts w:hint="eastAsia"/>
                <w:color w:val="auto"/>
                <w:highlight w:val="none"/>
                <w:lang w:val="en-US" w:eastAsia="zh-CN"/>
              </w:rPr>
              <w:t>差</w:t>
            </w:r>
            <w:r>
              <w:rPr>
                <w:rFonts w:hint="eastAsia"/>
                <w:color w:val="auto"/>
                <w:highlight w:val="none"/>
              </w:rPr>
              <w:t>：[</w:t>
            </w:r>
            <w:r>
              <w:rPr>
                <w:rFonts w:hint="eastAsia"/>
                <w:color w:val="auto"/>
                <w:highlight w:val="none"/>
                <w:lang w:val="en-US" w:eastAsia="zh-CN"/>
              </w:rPr>
              <w:t>5.5</w:t>
            </w:r>
            <w:r>
              <w:rPr>
                <w:rFonts w:hint="eastAsia"/>
                <w:color w:val="auto"/>
                <w:highlight w:val="none"/>
              </w:rPr>
              <w:t xml:space="preserve">- </w:t>
            </w:r>
            <w:r>
              <w:rPr>
                <w:rFonts w:hint="eastAsia"/>
                <w:color w:val="auto"/>
                <w:highlight w:val="none"/>
                <w:lang w:val="en-US" w:eastAsia="zh-CN"/>
              </w:rPr>
              <w:t>0]</w:t>
            </w:r>
            <w:r>
              <w:rPr>
                <w:rFonts w:hint="eastAsia"/>
                <w:color w:val="auto"/>
                <w:highlight w:val="none"/>
              </w:rPr>
              <w:t>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1323" w:type="dxa"/>
            <w:gridSpan w:val="2"/>
            <w:vMerge w:val="continue"/>
            <w:tcBorders>
              <w:left w:val="single" w:color="auto" w:sz="8" w:space="0"/>
              <w:right w:val="single" w:color="auto" w:sz="4" w:space="0"/>
            </w:tcBorders>
            <w:vAlign w:val="center"/>
          </w:tcPr>
          <w:p>
            <w:pPr>
              <w:pStyle w:val="90"/>
              <w:rPr>
                <w:color w:val="auto"/>
                <w:szCs w:val="21"/>
                <w:highlight w:val="none"/>
              </w:rPr>
            </w:pPr>
          </w:p>
        </w:tc>
        <w:tc>
          <w:tcPr>
            <w:tcW w:w="1502" w:type="dxa"/>
            <w:tcBorders>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绿色节能控制措施</w:t>
            </w:r>
          </w:p>
        </w:tc>
        <w:tc>
          <w:tcPr>
            <w:tcW w:w="851" w:type="dxa"/>
            <w:tcBorders>
              <w:top w:val="single" w:color="auto" w:sz="4" w:space="0"/>
              <w:left w:val="single" w:color="auto" w:sz="4" w:space="0"/>
              <w:bottom w:val="single" w:color="auto" w:sz="4" w:space="0"/>
              <w:right w:val="single" w:color="auto" w:sz="4" w:space="0"/>
            </w:tcBorders>
            <w:vAlign w:val="center"/>
          </w:tcPr>
          <w:p>
            <w:pPr>
              <w:pStyle w:val="90"/>
              <w:jc w:val="center"/>
              <w:rPr>
                <w:rFonts w:ascii="宋体" w:hAnsi="宋体" w:cs="宋体"/>
                <w:color w:val="auto"/>
                <w:szCs w:val="21"/>
                <w:highlight w:val="none"/>
              </w:rPr>
            </w:pPr>
            <w:r>
              <w:rPr>
                <w:rFonts w:ascii="宋体" w:hAnsi="宋体" w:cs="宋体"/>
                <w:color w:val="auto"/>
                <w:szCs w:val="21"/>
                <w:highlight w:val="none"/>
              </w:rPr>
              <w:t>7</w:t>
            </w:r>
          </w:p>
        </w:tc>
        <w:tc>
          <w:tcPr>
            <w:tcW w:w="10442"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提供对水资源利用、土地利用、材料消耗、环境保护、机制砂及建筑废弃物的循序使用、实现低排放、少污染的绿色节能控制措施。</w:t>
            </w:r>
          </w:p>
          <w:p>
            <w:pPr>
              <w:rPr>
                <w:color w:val="auto"/>
                <w:highlight w:val="none"/>
              </w:rPr>
            </w:pPr>
            <w:r>
              <w:rPr>
                <w:rFonts w:hint="eastAsia"/>
                <w:color w:val="auto"/>
                <w:highlight w:val="none"/>
              </w:rPr>
              <w:t>优：[</w:t>
            </w:r>
            <w:r>
              <w:rPr>
                <w:color w:val="auto"/>
                <w:highlight w:val="none"/>
              </w:rPr>
              <w:t>7</w:t>
            </w:r>
            <w:r>
              <w:rPr>
                <w:rFonts w:hint="eastAsia"/>
                <w:color w:val="auto"/>
                <w:highlight w:val="none"/>
              </w:rPr>
              <w:t xml:space="preserve">- </w:t>
            </w:r>
            <w:r>
              <w:rPr>
                <w:color w:val="auto"/>
                <w:highlight w:val="none"/>
              </w:rPr>
              <w:t>6)</w:t>
            </w:r>
            <w:r>
              <w:rPr>
                <w:rFonts w:hint="eastAsia"/>
                <w:color w:val="auto"/>
                <w:highlight w:val="none"/>
              </w:rPr>
              <w:t>分；良：[</w:t>
            </w:r>
            <w:r>
              <w:rPr>
                <w:color w:val="auto"/>
                <w:highlight w:val="none"/>
              </w:rPr>
              <w:t>6</w:t>
            </w:r>
            <w:r>
              <w:rPr>
                <w:rFonts w:hint="eastAsia"/>
                <w:color w:val="auto"/>
                <w:highlight w:val="none"/>
              </w:rPr>
              <w:t xml:space="preserve">- </w:t>
            </w:r>
            <w:r>
              <w:rPr>
                <w:rFonts w:hint="eastAsia"/>
                <w:color w:val="auto"/>
                <w:highlight w:val="none"/>
                <w:lang w:val="en-US" w:eastAsia="zh-CN"/>
              </w:rPr>
              <w:t>5</w:t>
            </w:r>
            <w:r>
              <w:rPr>
                <w:color w:val="auto"/>
                <w:highlight w:val="none"/>
              </w:rPr>
              <w:t>)</w:t>
            </w:r>
            <w:r>
              <w:rPr>
                <w:rFonts w:hint="eastAsia"/>
                <w:color w:val="auto"/>
                <w:highlight w:val="none"/>
              </w:rPr>
              <w:t>分；中：[</w:t>
            </w:r>
            <w:r>
              <w:rPr>
                <w:rFonts w:hint="eastAsia"/>
                <w:color w:val="auto"/>
                <w:highlight w:val="none"/>
                <w:lang w:val="en-US" w:eastAsia="zh-CN"/>
              </w:rPr>
              <w:t>5</w:t>
            </w:r>
            <w:r>
              <w:rPr>
                <w:rFonts w:hint="eastAsia"/>
                <w:color w:val="auto"/>
                <w:highlight w:val="none"/>
              </w:rPr>
              <w:t xml:space="preserve">- </w:t>
            </w:r>
            <w:r>
              <w:rPr>
                <w:rFonts w:hint="eastAsia"/>
                <w:color w:val="auto"/>
                <w:highlight w:val="none"/>
                <w:lang w:val="en-US" w:eastAsia="zh-CN"/>
              </w:rPr>
              <w:t>4</w:t>
            </w:r>
            <w:r>
              <w:rPr>
                <w:color w:val="auto"/>
                <w:highlight w:val="none"/>
              </w:rPr>
              <w:t>)</w:t>
            </w:r>
            <w:r>
              <w:rPr>
                <w:rFonts w:hint="eastAsia"/>
                <w:color w:val="auto"/>
                <w:highlight w:val="none"/>
              </w:rPr>
              <w:t>分；</w:t>
            </w:r>
            <w:r>
              <w:rPr>
                <w:rFonts w:hint="eastAsia"/>
                <w:color w:val="auto"/>
                <w:highlight w:val="none"/>
                <w:lang w:val="en-US" w:eastAsia="zh-CN"/>
              </w:rPr>
              <w:t>差</w:t>
            </w:r>
            <w:r>
              <w:rPr>
                <w:rFonts w:hint="eastAsia"/>
                <w:color w:val="auto"/>
                <w:highlight w:val="none"/>
              </w:rPr>
              <w:t>：[</w:t>
            </w:r>
            <w:r>
              <w:rPr>
                <w:rFonts w:hint="eastAsia"/>
                <w:color w:val="auto"/>
                <w:highlight w:val="none"/>
                <w:lang w:val="en-US" w:eastAsia="zh-CN"/>
              </w:rPr>
              <w:t>4</w:t>
            </w:r>
            <w:r>
              <w:rPr>
                <w:rFonts w:hint="eastAsia"/>
                <w:color w:val="auto"/>
                <w:highlight w:val="none"/>
              </w:rPr>
              <w:t xml:space="preserve">- </w:t>
            </w:r>
            <w:r>
              <w:rPr>
                <w:rFonts w:hint="eastAsia"/>
                <w:color w:val="auto"/>
                <w:highlight w:val="none"/>
                <w:lang w:val="en-US" w:eastAsia="zh-CN"/>
              </w:rPr>
              <w:t>0]</w:t>
            </w:r>
            <w:r>
              <w:rPr>
                <w:rFonts w:hint="eastAsia"/>
                <w:color w:val="auto"/>
                <w:highlight w:val="none"/>
              </w:rPr>
              <w:t>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1323" w:type="dxa"/>
            <w:gridSpan w:val="2"/>
            <w:vMerge w:val="continue"/>
            <w:tcBorders>
              <w:left w:val="single" w:color="auto" w:sz="8" w:space="0"/>
              <w:right w:val="single" w:color="auto" w:sz="4" w:space="0"/>
            </w:tcBorders>
            <w:vAlign w:val="center"/>
          </w:tcPr>
          <w:p>
            <w:pPr>
              <w:pStyle w:val="90"/>
              <w:rPr>
                <w:color w:val="auto"/>
                <w:szCs w:val="21"/>
                <w:highlight w:val="none"/>
              </w:rPr>
            </w:pPr>
          </w:p>
        </w:tc>
        <w:tc>
          <w:tcPr>
            <w:tcW w:w="1502" w:type="dxa"/>
            <w:tcBorders>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安全控制措施</w:t>
            </w:r>
          </w:p>
        </w:tc>
        <w:tc>
          <w:tcPr>
            <w:tcW w:w="851" w:type="dxa"/>
            <w:tcBorders>
              <w:top w:val="single" w:color="auto" w:sz="4" w:space="0"/>
              <w:left w:val="single" w:color="auto" w:sz="4" w:space="0"/>
              <w:bottom w:val="single" w:color="auto" w:sz="4" w:space="0"/>
              <w:right w:val="single" w:color="auto" w:sz="4" w:space="0"/>
            </w:tcBorders>
            <w:vAlign w:val="center"/>
          </w:tcPr>
          <w:p>
            <w:pPr>
              <w:pStyle w:val="90"/>
              <w:jc w:val="center"/>
              <w:rPr>
                <w:rFonts w:ascii="宋体" w:hAnsi="宋体" w:cs="宋体"/>
                <w:color w:val="auto"/>
                <w:szCs w:val="21"/>
                <w:highlight w:val="none"/>
              </w:rPr>
            </w:pPr>
            <w:r>
              <w:rPr>
                <w:rFonts w:ascii="宋体" w:hAnsi="宋体" w:cs="宋体"/>
                <w:color w:val="auto"/>
                <w:szCs w:val="21"/>
                <w:highlight w:val="none"/>
              </w:rPr>
              <w:t>7</w:t>
            </w:r>
          </w:p>
        </w:tc>
        <w:tc>
          <w:tcPr>
            <w:tcW w:w="10442"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加强制度化、标准化和精细化管理，尽量降低施工作业对周边的影响，提供安全控制措施。</w:t>
            </w:r>
          </w:p>
          <w:p>
            <w:pPr>
              <w:rPr>
                <w:color w:val="auto"/>
                <w:highlight w:val="none"/>
              </w:rPr>
            </w:pPr>
            <w:r>
              <w:rPr>
                <w:rFonts w:hint="eastAsia"/>
                <w:color w:val="auto"/>
                <w:highlight w:val="none"/>
              </w:rPr>
              <w:t>优：[</w:t>
            </w:r>
            <w:r>
              <w:rPr>
                <w:color w:val="auto"/>
                <w:highlight w:val="none"/>
              </w:rPr>
              <w:t>7</w:t>
            </w:r>
            <w:r>
              <w:rPr>
                <w:rFonts w:hint="eastAsia"/>
                <w:color w:val="auto"/>
                <w:highlight w:val="none"/>
              </w:rPr>
              <w:t xml:space="preserve">- </w:t>
            </w:r>
            <w:r>
              <w:rPr>
                <w:color w:val="auto"/>
                <w:highlight w:val="none"/>
              </w:rPr>
              <w:t>6)</w:t>
            </w:r>
            <w:r>
              <w:rPr>
                <w:rFonts w:hint="eastAsia"/>
                <w:color w:val="auto"/>
                <w:highlight w:val="none"/>
              </w:rPr>
              <w:t>分；良：[</w:t>
            </w:r>
            <w:r>
              <w:rPr>
                <w:color w:val="auto"/>
                <w:highlight w:val="none"/>
              </w:rPr>
              <w:t>6</w:t>
            </w:r>
            <w:r>
              <w:rPr>
                <w:rFonts w:hint="eastAsia"/>
                <w:color w:val="auto"/>
                <w:highlight w:val="none"/>
              </w:rPr>
              <w:t xml:space="preserve">- </w:t>
            </w:r>
            <w:r>
              <w:rPr>
                <w:rFonts w:hint="eastAsia"/>
                <w:color w:val="auto"/>
                <w:highlight w:val="none"/>
                <w:lang w:val="en-US" w:eastAsia="zh-CN"/>
              </w:rPr>
              <w:t>5</w:t>
            </w:r>
            <w:r>
              <w:rPr>
                <w:color w:val="auto"/>
                <w:highlight w:val="none"/>
              </w:rPr>
              <w:t>)</w:t>
            </w:r>
            <w:r>
              <w:rPr>
                <w:rFonts w:hint="eastAsia"/>
                <w:color w:val="auto"/>
                <w:highlight w:val="none"/>
              </w:rPr>
              <w:t>分；中：[</w:t>
            </w:r>
            <w:r>
              <w:rPr>
                <w:rFonts w:hint="eastAsia"/>
                <w:color w:val="auto"/>
                <w:highlight w:val="none"/>
                <w:lang w:val="en-US" w:eastAsia="zh-CN"/>
              </w:rPr>
              <w:t>5</w:t>
            </w:r>
            <w:r>
              <w:rPr>
                <w:rFonts w:hint="eastAsia"/>
                <w:color w:val="auto"/>
                <w:highlight w:val="none"/>
              </w:rPr>
              <w:t xml:space="preserve">- </w:t>
            </w:r>
            <w:r>
              <w:rPr>
                <w:rFonts w:hint="eastAsia"/>
                <w:color w:val="auto"/>
                <w:highlight w:val="none"/>
                <w:lang w:val="en-US" w:eastAsia="zh-CN"/>
              </w:rPr>
              <w:t>4</w:t>
            </w:r>
            <w:r>
              <w:rPr>
                <w:color w:val="auto"/>
                <w:highlight w:val="none"/>
              </w:rPr>
              <w:t>)</w:t>
            </w:r>
            <w:r>
              <w:rPr>
                <w:rFonts w:hint="eastAsia"/>
                <w:color w:val="auto"/>
                <w:highlight w:val="none"/>
              </w:rPr>
              <w:t>分；</w:t>
            </w:r>
            <w:r>
              <w:rPr>
                <w:rFonts w:hint="eastAsia"/>
                <w:color w:val="auto"/>
                <w:highlight w:val="none"/>
                <w:lang w:val="en-US" w:eastAsia="zh-CN"/>
              </w:rPr>
              <w:t>差</w:t>
            </w:r>
            <w:r>
              <w:rPr>
                <w:rFonts w:hint="eastAsia"/>
                <w:color w:val="auto"/>
                <w:highlight w:val="none"/>
              </w:rPr>
              <w:t>：[</w:t>
            </w:r>
            <w:r>
              <w:rPr>
                <w:rFonts w:hint="eastAsia"/>
                <w:color w:val="auto"/>
                <w:highlight w:val="none"/>
                <w:lang w:val="en-US" w:eastAsia="zh-CN"/>
              </w:rPr>
              <w:t>4</w:t>
            </w:r>
            <w:r>
              <w:rPr>
                <w:rFonts w:hint="eastAsia"/>
                <w:color w:val="auto"/>
                <w:highlight w:val="none"/>
              </w:rPr>
              <w:t xml:space="preserve">- </w:t>
            </w:r>
            <w:r>
              <w:rPr>
                <w:rFonts w:hint="eastAsia"/>
                <w:color w:val="auto"/>
                <w:highlight w:val="none"/>
                <w:lang w:val="en-US" w:eastAsia="zh-CN"/>
              </w:rPr>
              <w:t>0]</w:t>
            </w:r>
            <w:r>
              <w:rPr>
                <w:rFonts w:hint="eastAsia"/>
                <w:color w:val="auto"/>
                <w:highlight w:val="none"/>
              </w:rPr>
              <w:t>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1323" w:type="dxa"/>
            <w:gridSpan w:val="2"/>
            <w:vMerge w:val="continue"/>
            <w:tcBorders>
              <w:left w:val="single" w:color="auto" w:sz="8" w:space="0"/>
              <w:right w:val="single" w:color="auto" w:sz="4" w:space="0"/>
            </w:tcBorders>
            <w:vAlign w:val="center"/>
          </w:tcPr>
          <w:p>
            <w:pPr>
              <w:pStyle w:val="90"/>
              <w:ind w:firstLine="420" w:firstLineChars="200"/>
              <w:rPr>
                <w:color w:val="auto"/>
                <w:szCs w:val="21"/>
                <w:highlight w:val="none"/>
              </w:rPr>
            </w:pPr>
          </w:p>
        </w:tc>
        <w:tc>
          <w:tcPr>
            <w:tcW w:w="1502" w:type="dxa"/>
            <w:tcBorders>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质量控制措施</w:t>
            </w:r>
          </w:p>
        </w:tc>
        <w:tc>
          <w:tcPr>
            <w:tcW w:w="851" w:type="dxa"/>
            <w:tcBorders>
              <w:top w:val="single" w:color="auto" w:sz="4" w:space="0"/>
              <w:left w:val="single" w:color="auto" w:sz="4" w:space="0"/>
              <w:bottom w:val="single" w:color="auto" w:sz="4" w:space="0"/>
              <w:right w:val="single" w:color="auto" w:sz="4" w:space="0"/>
            </w:tcBorders>
            <w:vAlign w:val="center"/>
          </w:tcPr>
          <w:p>
            <w:pPr>
              <w:pStyle w:val="90"/>
              <w:jc w:val="center"/>
              <w:rPr>
                <w:rFonts w:ascii="宋体" w:hAnsi="宋体" w:cs="宋体"/>
                <w:color w:val="auto"/>
                <w:szCs w:val="21"/>
                <w:highlight w:val="none"/>
              </w:rPr>
            </w:pPr>
            <w:r>
              <w:rPr>
                <w:rFonts w:hint="eastAsia" w:ascii="宋体" w:hAnsi="宋体" w:cs="宋体"/>
                <w:color w:val="auto"/>
                <w:szCs w:val="21"/>
                <w:highlight w:val="none"/>
              </w:rPr>
              <w:t>10</w:t>
            </w:r>
          </w:p>
        </w:tc>
        <w:tc>
          <w:tcPr>
            <w:tcW w:w="10442"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确保项目质量达到工程建设标准和国家相关部门验收规范。提供工程实施设计施工的全过程质量控制及保证措施。</w:t>
            </w:r>
          </w:p>
          <w:p>
            <w:pPr>
              <w:rPr>
                <w:color w:val="auto"/>
                <w:highlight w:val="none"/>
              </w:rPr>
            </w:pPr>
            <w:r>
              <w:rPr>
                <w:rFonts w:hint="eastAsia"/>
                <w:color w:val="auto"/>
                <w:highlight w:val="none"/>
              </w:rPr>
              <w:t xml:space="preserve">优：[10- </w:t>
            </w:r>
            <w:r>
              <w:rPr>
                <w:color w:val="auto"/>
                <w:highlight w:val="none"/>
              </w:rPr>
              <w:t>8.5)</w:t>
            </w:r>
            <w:r>
              <w:rPr>
                <w:rFonts w:hint="eastAsia"/>
                <w:color w:val="auto"/>
                <w:highlight w:val="none"/>
              </w:rPr>
              <w:t>分；良：[</w:t>
            </w:r>
            <w:r>
              <w:rPr>
                <w:color w:val="auto"/>
                <w:highlight w:val="none"/>
              </w:rPr>
              <w:t>8.5</w:t>
            </w:r>
            <w:r>
              <w:rPr>
                <w:rFonts w:hint="eastAsia"/>
                <w:color w:val="auto"/>
                <w:highlight w:val="none"/>
              </w:rPr>
              <w:t xml:space="preserve">- </w:t>
            </w:r>
            <w:r>
              <w:rPr>
                <w:rFonts w:hint="eastAsia"/>
                <w:color w:val="auto"/>
                <w:highlight w:val="none"/>
                <w:lang w:val="en-US" w:eastAsia="zh-CN"/>
              </w:rPr>
              <w:t>7</w:t>
            </w:r>
            <w:r>
              <w:rPr>
                <w:color w:val="auto"/>
                <w:highlight w:val="none"/>
              </w:rPr>
              <w:t>)</w:t>
            </w:r>
            <w:r>
              <w:rPr>
                <w:rFonts w:hint="eastAsia"/>
                <w:color w:val="auto"/>
                <w:highlight w:val="none"/>
              </w:rPr>
              <w:t>分；中：[</w:t>
            </w:r>
            <w:r>
              <w:rPr>
                <w:rFonts w:hint="eastAsia"/>
                <w:color w:val="auto"/>
                <w:highlight w:val="none"/>
                <w:lang w:val="en-US" w:eastAsia="zh-CN"/>
              </w:rPr>
              <w:t>7</w:t>
            </w:r>
            <w:r>
              <w:rPr>
                <w:rFonts w:hint="eastAsia"/>
                <w:color w:val="auto"/>
                <w:highlight w:val="none"/>
              </w:rPr>
              <w:t xml:space="preserve">- </w:t>
            </w:r>
            <w:r>
              <w:rPr>
                <w:rFonts w:hint="eastAsia"/>
                <w:color w:val="auto"/>
                <w:highlight w:val="none"/>
                <w:lang w:val="en-US" w:eastAsia="zh-CN"/>
              </w:rPr>
              <w:t>5</w:t>
            </w:r>
            <w:r>
              <w:rPr>
                <w:color w:val="auto"/>
                <w:highlight w:val="none"/>
              </w:rPr>
              <w:t>.5)</w:t>
            </w:r>
            <w:r>
              <w:rPr>
                <w:rFonts w:hint="eastAsia"/>
                <w:color w:val="auto"/>
                <w:highlight w:val="none"/>
              </w:rPr>
              <w:t>分；</w:t>
            </w:r>
            <w:r>
              <w:rPr>
                <w:rFonts w:hint="eastAsia"/>
                <w:color w:val="auto"/>
                <w:highlight w:val="none"/>
                <w:lang w:val="en-US" w:eastAsia="zh-CN"/>
              </w:rPr>
              <w:t>差</w:t>
            </w:r>
            <w:r>
              <w:rPr>
                <w:rFonts w:hint="eastAsia"/>
                <w:color w:val="auto"/>
                <w:highlight w:val="none"/>
              </w:rPr>
              <w:t>：[</w:t>
            </w:r>
            <w:r>
              <w:rPr>
                <w:rFonts w:hint="eastAsia"/>
                <w:color w:val="auto"/>
                <w:highlight w:val="none"/>
                <w:lang w:val="en-US" w:eastAsia="zh-CN"/>
              </w:rPr>
              <w:t>5.5</w:t>
            </w:r>
            <w:r>
              <w:rPr>
                <w:rFonts w:hint="eastAsia"/>
                <w:color w:val="auto"/>
                <w:highlight w:val="none"/>
              </w:rPr>
              <w:t xml:space="preserve">- </w:t>
            </w:r>
            <w:r>
              <w:rPr>
                <w:rFonts w:hint="eastAsia"/>
                <w:color w:val="auto"/>
                <w:highlight w:val="none"/>
                <w:lang w:val="en-US" w:eastAsia="zh-CN"/>
              </w:rPr>
              <w:t>0]</w:t>
            </w:r>
            <w:r>
              <w:rPr>
                <w:rFonts w:hint="eastAsia"/>
                <w:color w:val="auto"/>
                <w:highlight w:val="none"/>
              </w:rPr>
              <w:t>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1323" w:type="dxa"/>
            <w:gridSpan w:val="2"/>
            <w:vMerge w:val="continue"/>
            <w:tcBorders>
              <w:left w:val="single" w:color="auto" w:sz="8" w:space="0"/>
              <w:right w:val="single" w:color="auto" w:sz="4" w:space="0"/>
            </w:tcBorders>
            <w:vAlign w:val="center"/>
          </w:tcPr>
          <w:p>
            <w:pPr>
              <w:pStyle w:val="90"/>
              <w:ind w:firstLine="420" w:firstLineChars="200"/>
              <w:rPr>
                <w:color w:val="auto"/>
                <w:szCs w:val="21"/>
                <w:highlight w:val="none"/>
              </w:rPr>
            </w:pPr>
          </w:p>
        </w:tc>
        <w:tc>
          <w:tcPr>
            <w:tcW w:w="1502" w:type="dxa"/>
            <w:tcBorders>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进度控制措施</w:t>
            </w:r>
          </w:p>
        </w:tc>
        <w:tc>
          <w:tcPr>
            <w:tcW w:w="851" w:type="dxa"/>
            <w:tcBorders>
              <w:top w:val="single" w:color="auto" w:sz="4" w:space="0"/>
              <w:left w:val="single" w:color="auto" w:sz="4" w:space="0"/>
              <w:bottom w:val="single" w:color="auto" w:sz="4" w:space="0"/>
              <w:right w:val="single" w:color="auto" w:sz="4" w:space="0"/>
            </w:tcBorders>
            <w:vAlign w:val="center"/>
          </w:tcPr>
          <w:p>
            <w:pPr>
              <w:pStyle w:val="90"/>
              <w:jc w:val="center"/>
              <w:rPr>
                <w:rFonts w:ascii="宋体" w:hAnsi="宋体" w:cs="宋体"/>
                <w:color w:val="auto"/>
                <w:szCs w:val="21"/>
                <w:highlight w:val="none"/>
              </w:rPr>
            </w:pPr>
            <w:r>
              <w:rPr>
                <w:rFonts w:hint="eastAsia" w:ascii="宋体" w:hAnsi="宋体" w:cs="宋体"/>
                <w:color w:val="auto"/>
                <w:szCs w:val="21"/>
                <w:highlight w:val="none"/>
              </w:rPr>
              <w:t>10</w:t>
            </w:r>
          </w:p>
        </w:tc>
        <w:tc>
          <w:tcPr>
            <w:tcW w:w="10442"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在保证质量、安全、文明施工的前提下，切实保障项目实施进度。提供保障项目实施进度的措施。</w:t>
            </w:r>
          </w:p>
          <w:p>
            <w:pPr>
              <w:pStyle w:val="89"/>
              <w:rPr>
                <w:color w:val="auto"/>
                <w:highlight w:val="none"/>
              </w:rPr>
            </w:pPr>
            <w:r>
              <w:rPr>
                <w:rFonts w:hint="eastAsia"/>
                <w:color w:val="auto"/>
                <w:highlight w:val="none"/>
              </w:rPr>
              <w:t xml:space="preserve">优：[10- </w:t>
            </w:r>
            <w:r>
              <w:rPr>
                <w:color w:val="auto"/>
                <w:highlight w:val="none"/>
              </w:rPr>
              <w:t>8.5)</w:t>
            </w:r>
            <w:r>
              <w:rPr>
                <w:rFonts w:hint="eastAsia"/>
                <w:color w:val="auto"/>
                <w:highlight w:val="none"/>
              </w:rPr>
              <w:t>分；良：[</w:t>
            </w:r>
            <w:r>
              <w:rPr>
                <w:color w:val="auto"/>
                <w:highlight w:val="none"/>
              </w:rPr>
              <w:t>8.5</w:t>
            </w:r>
            <w:r>
              <w:rPr>
                <w:rFonts w:hint="eastAsia"/>
                <w:color w:val="auto"/>
                <w:highlight w:val="none"/>
              </w:rPr>
              <w:t xml:space="preserve">- </w:t>
            </w:r>
            <w:r>
              <w:rPr>
                <w:rFonts w:hint="eastAsia"/>
                <w:color w:val="auto"/>
                <w:highlight w:val="none"/>
                <w:lang w:val="en-US" w:eastAsia="zh-CN"/>
              </w:rPr>
              <w:t>7</w:t>
            </w:r>
            <w:r>
              <w:rPr>
                <w:color w:val="auto"/>
                <w:highlight w:val="none"/>
              </w:rPr>
              <w:t>)</w:t>
            </w:r>
            <w:r>
              <w:rPr>
                <w:rFonts w:hint="eastAsia"/>
                <w:color w:val="auto"/>
                <w:highlight w:val="none"/>
              </w:rPr>
              <w:t>分；中：[</w:t>
            </w:r>
            <w:r>
              <w:rPr>
                <w:rFonts w:hint="eastAsia"/>
                <w:color w:val="auto"/>
                <w:highlight w:val="none"/>
                <w:lang w:val="en-US" w:eastAsia="zh-CN"/>
              </w:rPr>
              <w:t>7</w:t>
            </w:r>
            <w:r>
              <w:rPr>
                <w:rFonts w:hint="eastAsia"/>
                <w:color w:val="auto"/>
                <w:highlight w:val="none"/>
              </w:rPr>
              <w:t xml:space="preserve">- </w:t>
            </w:r>
            <w:r>
              <w:rPr>
                <w:rFonts w:hint="eastAsia"/>
                <w:color w:val="auto"/>
                <w:highlight w:val="none"/>
                <w:lang w:val="en-US" w:eastAsia="zh-CN"/>
              </w:rPr>
              <w:t>5</w:t>
            </w:r>
            <w:r>
              <w:rPr>
                <w:color w:val="auto"/>
                <w:highlight w:val="none"/>
              </w:rPr>
              <w:t>.5)</w:t>
            </w:r>
            <w:r>
              <w:rPr>
                <w:rFonts w:hint="eastAsia"/>
                <w:color w:val="auto"/>
                <w:highlight w:val="none"/>
              </w:rPr>
              <w:t>分；</w:t>
            </w:r>
            <w:r>
              <w:rPr>
                <w:rFonts w:hint="eastAsia"/>
                <w:color w:val="auto"/>
                <w:highlight w:val="none"/>
                <w:lang w:val="en-US" w:eastAsia="zh-CN"/>
              </w:rPr>
              <w:t>差</w:t>
            </w:r>
            <w:r>
              <w:rPr>
                <w:rFonts w:hint="eastAsia"/>
                <w:color w:val="auto"/>
                <w:highlight w:val="none"/>
              </w:rPr>
              <w:t>：[</w:t>
            </w:r>
            <w:r>
              <w:rPr>
                <w:rFonts w:hint="eastAsia"/>
                <w:color w:val="auto"/>
                <w:highlight w:val="none"/>
                <w:lang w:val="en-US" w:eastAsia="zh-CN"/>
              </w:rPr>
              <w:t>5.5</w:t>
            </w:r>
            <w:r>
              <w:rPr>
                <w:rFonts w:hint="eastAsia"/>
                <w:color w:val="auto"/>
                <w:highlight w:val="none"/>
              </w:rPr>
              <w:t xml:space="preserve">- </w:t>
            </w:r>
            <w:r>
              <w:rPr>
                <w:rFonts w:hint="eastAsia"/>
                <w:color w:val="auto"/>
                <w:highlight w:val="none"/>
                <w:lang w:val="en-US" w:eastAsia="zh-CN"/>
              </w:rPr>
              <w:t>0]</w:t>
            </w:r>
            <w:r>
              <w:rPr>
                <w:rFonts w:hint="eastAsia"/>
                <w:color w:val="auto"/>
                <w:highlight w:val="none"/>
              </w:rPr>
              <w:t>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1323" w:type="dxa"/>
            <w:gridSpan w:val="2"/>
            <w:vMerge w:val="continue"/>
            <w:tcBorders>
              <w:left w:val="single" w:color="auto" w:sz="8" w:space="0"/>
              <w:right w:val="single" w:color="auto" w:sz="4" w:space="0"/>
            </w:tcBorders>
            <w:vAlign w:val="center"/>
          </w:tcPr>
          <w:p>
            <w:pPr>
              <w:pStyle w:val="90"/>
              <w:ind w:firstLine="420" w:firstLineChars="200"/>
              <w:rPr>
                <w:color w:val="auto"/>
                <w:szCs w:val="21"/>
                <w:highlight w:val="none"/>
              </w:rPr>
            </w:pPr>
          </w:p>
        </w:tc>
        <w:tc>
          <w:tcPr>
            <w:tcW w:w="1502" w:type="dxa"/>
            <w:tcBorders>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总工期计划</w:t>
            </w:r>
          </w:p>
        </w:tc>
        <w:tc>
          <w:tcPr>
            <w:tcW w:w="851" w:type="dxa"/>
            <w:tcBorders>
              <w:top w:val="single" w:color="auto" w:sz="4" w:space="0"/>
              <w:left w:val="single" w:color="auto" w:sz="4" w:space="0"/>
              <w:bottom w:val="single" w:color="auto" w:sz="4" w:space="0"/>
              <w:right w:val="single" w:color="auto" w:sz="4" w:space="0"/>
            </w:tcBorders>
            <w:vAlign w:val="center"/>
          </w:tcPr>
          <w:p>
            <w:pPr>
              <w:pStyle w:val="90"/>
              <w:jc w:val="center"/>
              <w:rPr>
                <w:rFonts w:ascii="宋体" w:hAnsi="宋体" w:cs="宋体"/>
                <w:color w:val="auto"/>
                <w:szCs w:val="21"/>
                <w:highlight w:val="none"/>
              </w:rPr>
            </w:pPr>
            <w:r>
              <w:rPr>
                <w:rFonts w:hint="eastAsia" w:ascii="宋体" w:hAnsi="宋体" w:cs="宋体"/>
                <w:color w:val="auto"/>
                <w:szCs w:val="21"/>
                <w:highlight w:val="none"/>
              </w:rPr>
              <w:t>10</w:t>
            </w:r>
          </w:p>
        </w:tc>
        <w:tc>
          <w:tcPr>
            <w:tcW w:w="10442"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对比招标文件总工期要求提前10天或以上完工，得10分；</w:t>
            </w:r>
          </w:p>
          <w:p>
            <w:pPr>
              <w:rPr>
                <w:color w:val="auto"/>
                <w:highlight w:val="none"/>
              </w:rPr>
            </w:pPr>
            <w:r>
              <w:rPr>
                <w:rFonts w:hint="eastAsia"/>
                <w:color w:val="auto"/>
                <w:highlight w:val="none"/>
              </w:rPr>
              <w:t>对比招标文件总工期要求提前5-9天完工，得8分；</w:t>
            </w:r>
          </w:p>
          <w:p>
            <w:pPr>
              <w:rPr>
                <w:color w:val="auto"/>
                <w:highlight w:val="none"/>
              </w:rPr>
            </w:pPr>
            <w:r>
              <w:rPr>
                <w:rFonts w:hint="eastAsia"/>
                <w:color w:val="auto"/>
                <w:highlight w:val="none"/>
              </w:rPr>
              <w:t>对比招标文件总工期要求提前1-4天完工，得5分；</w:t>
            </w:r>
          </w:p>
          <w:p>
            <w:pPr>
              <w:rPr>
                <w:color w:val="auto"/>
                <w:highlight w:val="none"/>
              </w:rPr>
            </w:pPr>
            <w:r>
              <w:rPr>
                <w:rFonts w:hint="eastAsia"/>
                <w:color w:val="auto"/>
                <w:highlight w:val="none"/>
              </w:rPr>
              <w:t>对比招标文件总工期要求未提前完工，得0分。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1323" w:type="dxa"/>
            <w:gridSpan w:val="2"/>
            <w:vMerge w:val="continue"/>
            <w:tcBorders>
              <w:left w:val="single" w:color="auto" w:sz="8" w:space="0"/>
              <w:right w:val="single" w:color="auto" w:sz="4" w:space="0"/>
            </w:tcBorders>
            <w:vAlign w:val="center"/>
          </w:tcPr>
          <w:p>
            <w:pPr>
              <w:pStyle w:val="90"/>
              <w:ind w:firstLine="420" w:firstLineChars="200"/>
              <w:rPr>
                <w:color w:val="auto"/>
                <w:szCs w:val="21"/>
                <w:highlight w:val="none"/>
              </w:rPr>
            </w:pPr>
          </w:p>
        </w:tc>
        <w:tc>
          <w:tcPr>
            <w:tcW w:w="1502" w:type="dxa"/>
            <w:tcBorders>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color w:val="auto"/>
                <w:szCs w:val="21"/>
                <w:highlight w:val="none"/>
              </w:rPr>
            </w:pPr>
            <w:r>
              <w:rPr>
                <w:color w:val="auto"/>
                <w:highlight w:val="none"/>
              </w:rPr>
              <w:t>对工程重点、难点的分析及对策</w:t>
            </w:r>
          </w:p>
        </w:tc>
        <w:tc>
          <w:tcPr>
            <w:tcW w:w="851" w:type="dxa"/>
            <w:tcBorders>
              <w:top w:val="single" w:color="auto" w:sz="4" w:space="0"/>
              <w:left w:val="single" w:color="auto" w:sz="4" w:space="0"/>
              <w:bottom w:val="single" w:color="auto" w:sz="4" w:space="0"/>
              <w:right w:val="single" w:color="auto" w:sz="4" w:space="0"/>
            </w:tcBorders>
            <w:vAlign w:val="center"/>
          </w:tcPr>
          <w:p>
            <w:pPr>
              <w:pStyle w:val="90"/>
              <w:jc w:val="center"/>
              <w:rPr>
                <w:rFonts w:ascii="宋体" w:hAnsi="宋体" w:cs="宋体"/>
                <w:color w:val="auto"/>
                <w:szCs w:val="21"/>
                <w:highlight w:val="none"/>
              </w:rPr>
            </w:pPr>
            <w:r>
              <w:rPr>
                <w:rFonts w:hint="eastAsia" w:ascii="宋体" w:hAnsi="宋体" w:cs="宋体"/>
                <w:color w:val="auto"/>
                <w:szCs w:val="21"/>
                <w:highlight w:val="none"/>
              </w:rPr>
              <w:t>10</w:t>
            </w:r>
          </w:p>
        </w:tc>
        <w:tc>
          <w:tcPr>
            <w:tcW w:w="10442"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依据工程特点制定专项施工方案，并对本项目工程重点、难点进行分析，制定的相应对策。</w:t>
            </w:r>
          </w:p>
          <w:p>
            <w:pPr>
              <w:rPr>
                <w:color w:val="auto"/>
                <w:highlight w:val="none"/>
              </w:rPr>
            </w:pPr>
            <w:r>
              <w:rPr>
                <w:rFonts w:hint="eastAsia"/>
                <w:color w:val="auto"/>
                <w:highlight w:val="none"/>
              </w:rPr>
              <w:t xml:space="preserve">优：[10- </w:t>
            </w:r>
            <w:r>
              <w:rPr>
                <w:color w:val="auto"/>
                <w:highlight w:val="none"/>
              </w:rPr>
              <w:t>8.5)</w:t>
            </w:r>
            <w:r>
              <w:rPr>
                <w:rFonts w:hint="eastAsia"/>
                <w:color w:val="auto"/>
                <w:highlight w:val="none"/>
              </w:rPr>
              <w:t>分；良：[</w:t>
            </w:r>
            <w:r>
              <w:rPr>
                <w:color w:val="auto"/>
                <w:highlight w:val="none"/>
              </w:rPr>
              <w:t>8.5</w:t>
            </w:r>
            <w:r>
              <w:rPr>
                <w:rFonts w:hint="eastAsia"/>
                <w:color w:val="auto"/>
                <w:highlight w:val="none"/>
              </w:rPr>
              <w:t xml:space="preserve">- </w:t>
            </w:r>
            <w:r>
              <w:rPr>
                <w:rFonts w:hint="eastAsia"/>
                <w:color w:val="auto"/>
                <w:highlight w:val="none"/>
                <w:lang w:val="en-US" w:eastAsia="zh-CN"/>
              </w:rPr>
              <w:t>7</w:t>
            </w:r>
            <w:r>
              <w:rPr>
                <w:color w:val="auto"/>
                <w:highlight w:val="none"/>
              </w:rPr>
              <w:t>)</w:t>
            </w:r>
            <w:r>
              <w:rPr>
                <w:rFonts w:hint="eastAsia"/>
                <w:color w:val="auto"/>
                <w:highlight w:val="none"/>
              </w:rPr>
              <w:t>分；中：[</w:t>
            </w:r>
            <w:r>
              <w:rPr>
                <w:rFonts w:hint="eastAsia"/>
                <w:color w:val="auto"/>
                <w:highlight w:val="none"/>
                <w:lang w:val="en-US" w:eastAsia="zh-CN"/>
              </w:rPr>
              <w:t>7</w:t>
            </w:r>
            <w:r>
              <w:rPr>
                <w:rFonts w:hint="eastAsia"/>
                <w:color w:val="auto"/>
                <w:highlight w:val="none"/>
              </w:rPr>
              <w:t xml:space="preserve">- </w:t>
            </w:r>
            <w:r>
              <w:rPr>
                <w:rFonts w:hint="eastAsia"/>
                <w:color w:val="auto"/>
                <w:highlight w:val="none"/>
                <w:lang w:val="en-US" w:eastAsia="zh-CN"/>
              </w:rPr>
              <w:t>5</w:t>
            </w:r>
            <w:r>
              <w:rPr>
                <w:color w:val="auto"/>
                <w:highlight w:val="none"/>
              </w:rPr>
              <w:t>.5)</w:t>
            </w:r>
            <w:r>
              <w:rPr>
                <w:rFonts w:hint="eastAsia"/>
                <w:color w:val="auto"/>
                <w:highlight w:val="none"/>
              </w:rPr>
              <w:t>分；</w:t>
            </w:r>
            <w:r>
              <w:rPr>
                <w:rFonts w:hint="eastAsia"/>
                <w:color w:val="auto"/>
                <w:highlight w:val="none"/>
                <w:lang w:val="en-US" w:eastAsia="zh-CN"/>
              </w:rPr>
              <w:t>差</w:t>
            </w:r>
            <w:r>
              <w:rPr>
                <w:rFonts w:hint="eastAsia"/>
                <w:color w:val="auto"/>
                <w:highlight w:val="none"/>
              </w:rPr>
              <w:t>：[</w:t>
            </w:r>
            <w:r>
              <w:rPr>
                <w:rFonts w:hint="eastAsia"/>
                <w:color w:val="auto"/>
                <w:highlight w:val="none"/>
                <w:lang w:val="en-US" w:eastAsia="zh-CN"/>
              </w:rPr>
              <w:t>5.5</w:t>
            </w:r>
            <w:r>
              <w:rPr>
                <w:rFonts w:hint="eastAsia"/>
                <w:color w:val="auto"/>
                <w:highlight w:val="none"/>
              </w:rPr>
              <w:t xml:space="preserve">- </w:t>
            </w:r>
            <w:r>
              <w:rPr>
                <w:rFonts w:hint="eastAsia"/>
                <w:color w:val="auto"/>
                <w:highlight w:val="none"/>
                <w:lang w:val="en-US" w:eastAsia="zh-CN"/>
              </w:rPr>
              <w:t>0]</w:t>
            </w:r>
            <w:r>
              <w:rPr>
                <w:rFonts w:hint="eastAsia"/>
                <w:color w:val="auto"/>
                <w:highlight w:val="none"/>
              </w:rPr>
              <w:t>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 w:hRule="atLeast"/>
          <w:jc w:val="center"/>
        </w:trPr>
        <w:tc>
          <w:tcPr>
            <w:tcW w:w="2825" w:type="dxa"/>
            <w:gridSpan w:val="3"/>
            <w:tcBorders>
              <w:top w:val="single" w:color="auto" w:sz="4" w:space="0"/>
              <w:left w:val="single" w:color="auto" w:sz="8" w:space="0"/>
              <w:bottom w:val="single" w:color="auto" w:sz="4" w:space="0"/>
              <w:right w:val="single" w:color="auto" w:sz="4" w:space="0"/>
            </w:tcBorders>
            <w:vAlign w:val="center"/>
          </w:tcPr>
          <w:p>
            <w:pPr>
              <w:pStyle w:val="90"/>
              <w:ind w:firstLine="420" w:firstLineChars="200"/>
              <w:jc w:val="center"/>
              <w:rPr>
                <w:color w:val="auto"/>
                <w:szCs w:val="21"/>
                <w:highlight w:val="none"/>
              </w:rPr>
            </w:pPr>
            <w:r>
              <w:rPr>
                <w:rFonts w:hint="eastAsia"/>
                <w:color w:val="auto"/>
                <w:szCs w:val="21"/>
                <w:highlight w:val="none"/>
              </w:rPr>
              <w:t>合计（一</w:t>
            </w:r>
            <w:r>
              <w:rPr>
                <w:color w:val="auto"/>
                <w:szCs w:val="21"/>
                <w:highlight w:val="none"/>
              </w:rPr>
              <w:t>+</w:t>
            </w:r>
            <w:r>
              <w:rPr>
                <w:rFonts w:hint="eastAsia"/>
                <w:color w:val="auto"/>
                <w:szCs w:val="21"/>
                <w:highlight w:val="none"/>
              </w:rPr>
              <w:t>二）</w:t>
            </w:r>
          </w:p>
        </w:tc>
        <w:tc>
          <w:tcPr>
            <w:tcW w:w="851" w:type="dxa"/>
            <w:tcBorders>
              <w:top w:val="single" w:color="auto" w:sz="4" w:space="0"/>
              <w:left w:val="single" w:color="auto" w:sz="4" w:space="0"/>
              <w:bottom w:val="single" w:color="auto" w:sz="4" w:space="0"/>
              <w:right w:val="single" w:color="auto" w:sz="4" w:space="0"/>
            </w:tcBorders>
            <w:vAlign w:val="center"/>
          </w:tcPr>
          <w:p>
            <w:pPr>
              <w:pStyle w:val="90"/>
              <w:jc w:val="center"/>
              <w:rPr>
                <w:color w:val="auto"/>
                <w:szCs w:val="21"/>
                <w:highlight w:val="none"/>
              </w:rPr>
            </w:pPr>
            <w:r>
              <w:rPr>
                <w:color w:val="auto"/>
                <w:szCs w:val="21"/>
                <w:highlight w:val="none"/>
              </w:rPr>
              <w:t>100</w:t>
            </w:r>
          </w:p>
        </w:tc>
        <w:tc>
          <w:tcPr>
            <w:tcW w:w="10442" w:type="dxa"/>
            <w:tcBorders>
              <w:top w:val="single" w:color="auto" w:sz="4" w:space="0"/>
              <w:left w:val="single" w:color="auto" w:sz="4" w:space="0"/>
              <w:bottom w:val="single" w:color="auto" w:sz="4" w:space="0"/>
              <w:right w:val="single" w:color="auto" w:sz="4" w:space="0"/>
            </w:tcBorders>
            <w:vAlign w:val="center"/>
          </w:tcPr>
          <w:p>
            <w:pPr>
              <w:pStyle w:val="90"/>
              <w:ind w:firstLine="420" w:firstLineChars="200"/>
              <w:jc w:val="center"/>
              <w:rPr>
                <w:color w:val="auto"/>
                <w:szCs w:val="21"/>
                <w:highlight w:val="none"/>
              </w:rPr>
            </w:pPr>
          </w:p>
        </w:tc>
      </w:tr>
      <w:bookmarkEnd w:id="1011"/>
    </w:tbl>
    <w:p>
      <w:pPr>
        <w:spacing w:line="360" w:lineRule="exact"/>
        <w:jc w:val="left"/>
        <w:rPr>
          <w:rFonts w:ascii="宋体" w:hAnsi="宋体"/>
          <w:b/>
          <w:color w:val="auto"/>
          <w:sz w:val="28"/>
          <w:szCs w:val="28"/>
          <w:highlight w:val="none"/>
        </w:rPr>
      </w:pPr>
    </w:p>
    <w:p>
      <w:pPr>
        <w:spacing w:line="360" w:lineRule="exact"/>
        <w:jc w:val="left"/>
        <w:rPr>
          <w:rFonts w:ascii="宋体" w:hAnsi="宋体"/>
          <w:b/>
          <w:color w:val="auto"/>
          <w:sz w:val="28"/>
          <w:szCs w:val="28"/>
          <w:highlight w:val="none"/>
        </w:rPr>
      </w:pPr>
    </w:p>
    <w:p>
      <w:pPr>
        <w:spacing w:line="360" w:lineRule="exact"/>
        <w:jc w:val="left"/>
        <w:rPr>
          <w:rFonts w:ascii="宋体" w:hAnsi="宋体"/>
          <w:b/>
          <w:color w:val="auto"/>
          <w:sz w:val="28"/>
          <w:szCs w:val="28"/>
          <w:highlight w:val="none"/>
        </w:rPr>
      </w:pPr>
    </w:p>
    <w:p>
      <w:pPr>
        <w:spacing w:line="360" w:lineRule="exact"/>
        <w:jc w:val="left"/>
        <w:rPr>
          <w:rFonts w:ascii="宋体" w:hAnsi="宋体"/>
          <w:b/>
          <w:color w:val="auto"/>
          <w:sz w:val="28"/>
          <w:szCs w:val="28"/>
          <w:highlight w:val="none"/>
        </w:rPr>
      </w:pPr>
    </w:p>
    <w:p>
      <w:pPr>
        <w:spacing w:line="360" w:lineRule="exact"/>
        <w:jc w:val="left"/>
        <w:rPr>
          <w:rFonts w:ascii="宋体" w:hAnsi="宋体"/>
          <w:b/>
          <w:color w:val="auto"/>
          <w:sz w:val="28"/>
          <w:szCs w:val="28"/>
          <w:highlight w:val="none"/>
        </w:rPr>
      </w:pPr>
    </w:p>
    <w:p>
      <w:pPr>
        <w:spacing w:line="360" w:lineRule="exact"/>
        <w:jc w:val="left"/>
        <w:rPr>
          <w:rFonts w:ascii="宋体" w:hAnsi="宋体"/>
          <w:b/>
          <w:color w:val="auto"/>
          <w:sz w:val="28"/>
          <w:szCs w:val="28"/>
          <w:highlight w:val="none"/>
        </w:rPr>
      </w:pPr>
    </w:p>
    <w:p>
      <w:pPr>
        <w:pStyle w:val="89"/>
        <w:rPr>
          <w:rFonts w:ascii="宋体" w:hAnsi="宋体"/>
          <w:b/>
          <w:color w:val="auto"/>
          <w:sz w:val="28"/>
          <w:szCs w:val="28"/>
          <w:highlight w:val="none"/>
        </w:rPr>
      </w:pPr>
    </w:p>
    <w:p>
      <w:pPr>
        <w:pStyle w:val="89"/>
        <w:rPr>
          <w:rFonts w:ascii="宋体" w:hAnsi="宋体"/>
          <w:b/>
          <w:color w:val="auto"/>
          <w:sz w:val="28"/>
          <w:szCs w:val="28"/>
          <w:highlight w:val="none"/>
        </w:rPr>
      </w:pPr>
    </w:p>
    <w:p>
      <w:pPr>
        <w:pStyle w:val="89"/>
        <w:rPr>
          <w:rFonts w:ascii="宋体" w:hAnsi="宋体"/>
          <w:b/>
          <w:color w:val="auto"/>
          <w:sz w:val="28"/>
          <w:szCs w:val="28"/>
          <w:highlight w:val="none"/>
        </w:rPr>
      </w:pPr>
    </w:p>
    <w:p>
      <w:pPr>
        <w:pStyle w:val="89"/>
        <w:rPr>
          <w:rFonts w:ascii="宋体" w:hAnsi="宋体"/>
          <w:b/>
          <w:color w:val="auto"/>
          <w:sz w:val="28"/>
          <w:szCs w:val="28"/>
          <w:highlight w:val="none"/>
        </w:rPr>
      </w:pPr>
    </w:p>
    <w:p>
      <w:pPr>
        <w:pStyle w:val="89"/>
        <w:rPr>
          <w:rFonts w:ascii="宋体" w:hAnsi="宋体"/>
          <w:b/>
          <w:color w:val="auto"/>
          <w:sz w:val="28"/>
          <w:szCs w:val="28"/>
          <w:highlight w:val="none"/>
        </w:rPr>
      </w:pPr>
    </w:p>
    <w:p>
      <w:pPr>
        <w:pStyle w:val="89"/>
        <w:rPr>
          <w:rFonts w:ascii="宋体" w:hAnsi="宋体"/>
          <w:b/>
          <w:color w:val="auto"/>
          <w:sz w:val="28"/>
          <w:szCs w:val="28"/>
          <w:highlight w:val="none"/>
        </w:rPr>
      </w:pPr>
    </w:p>
    <w:p>
      <w:pPr>
        <w:pStyle w:val="89"/>
        <w:rPr>
          <w:rFonts w:ascii="宋体" w:hAnsi="宋体"/>
          <w:b/>
          <w:color w:val="auto"/>
          <w:sz w:val="28"/>
          <w:szCs w:val="28"/>
          <w:highlight w:val="none"/>
        </w:rPr>
      </w:pPr>
    </w:p>
    <w:p>
      <w:pPr>
        <w:pStyle w:val="89"/>
        <w:rPr>
          <w:rFonts w:ascii="宋体" w:hAnsi="宋体"/>
          <w:b/>
          <w:color w:val="auto"/>
          <w:sz w:val="28"/>
          <w:szCs w:val="28"/>
          <w:highlight w:val="none"/>
        </w:rPr>
      </w:pPr>
    </w:p>
    <w:p>
      <w:pPr>
        <w:spacing w:line="360" w:lineRule="exact"/>
        <w:jc w:val="left"/>
        <w:rPr>
          <w:rFonts w:ascii="宋体" w:hAnsi="宋体"/>
          <w:b/>
          <w:color w:val="auto"/>
          <w:sz w:val="36"/>
          <w:szCs w:val="36"/>
          <w:highlight w:val="none"/>
        </w:rPr>
      </w:pPr>
      <w:r>
        <w:rPr>
          <w:rFonts w:hint="eastAsia" w:ascii="宋体" w:hAnsi="宋体"/>
          <w:b/>
          <w:color w:val="auto"/>
          <w:sz w:val="28"/>
          <w:szCs w:val="28"/>
          <w:highlight w:val="none"/>
        </w:rPr>
        <w:t>附表4</w:t>
      </w:r>
      <w:r>
        <w:rPr>
          <w:rFonts w:ascii="宋体" w:hAnsi="宋体"/>
          <w:b/>
          <w:color w:val="auto"/>
          <w:sz w:val="28"/>
          <w:szCs w:val="28"/>
          <w:highlight w:val="none"/>
        </w:rPr>
        <w:t>：</w:t>
      </w:r>
    </w:p>
    <w:p>
      <w:pPr>
        <w:spacing w:line="360" w:lineRule="auto"/>
        <w:jc w:val="center"/>
        <w:rPr>
          <w:rFonts w:ascii="黑体" w:hAnsi="黑体" w:eastAsia="黑体" w:cs="黑体"/>
          <w:b/>
          <w:color w:val="auto"/>
          <w:sz w:val="32"/>
          <w:szCs w:val="32"/>
          <w:highlight w:val="none"/>
        </w:rPr>
      </w:pPr>
      <w:r>
        <w:rPr>
          <w:rFonts w:hint="eastAsia" w:ascii="黑体" w:hAnsi="黑体" w:eastAsia="黑体" w:cs="黑体"/>
          <w:b/>
          <w:color w:val="auto"/>
          <w:sz w:val="32"/>
          <w:szCs w:val="32"/>
          <w:highlight w:val="none"/>
        </w:rPr>
        <w:t>投标报价文件有效性审查表</w:t>
      </w:r>
    </w:p>
    <w:p>
      <w:pPr>
        <w:rPr>
          <w:color w:val="auto"/>
          <w:szCs w:val="21"/>
          <w:highlight w:val="none"/>
        </w:rPr>
      </w:pPr>
      <w:r>
        <w:rPr>
          <w:rFonts w:hint="eastAsia" w:ascii="宋体" w:hAnsi="宋体"/>
          <w:color w:val="auto"/>
          <w:highlight w:val="none"/>
        </w:rPr>
        <w:t>工程名称：</w:t>
      </w:r>
    </w:p>
    <w:p>
      <w:pPr>
        <w:spacing w:line="300" w:lineRule="exact"/>
        <w:rPr>
          <w:rFonts w:ascii="宋体" w:hAnsi="宋体"/>
          <w:color w:val="auto"/>
          <w:szCs w:val="21"/>
          <w:highlight w:val="none"/>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7"/>
        <w:gridCol w:w="9315"/>
        <w:gridCol w:w="838"/>
        <w:gridCol w:w="776"/>
        <w:gridCol w:w="776"/>
        <w:gridCol w:w="774"/>
        <w:gridCol w:w="77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5" w:hRule="atLeast"/>
        </w:trPr>
        <w:tc>
          <w:tcPr>
            <w:tcW w:w="817" w:type="dxa"/>
            <w:tcBorders>
              <w:top w:val="single" w:color="auto" w:sz="4" w:space="0"/>
              <w:left w:val="single" w:color="auto" w:sz="4" w:space="0"/>
              <w:bottom w:val="single" w:color="auto" w:sz="6" w:space="0"/>
              <w:right w:val="single" w:color="auto" w:sz="4" w:space="0"/>
            </w:tcBorders>
            <w:vAlign w:val="center"/>
          </w:tcPr>
          <w:p>
            <w:pPr>
              <w:tabs>
                <w:tab w:val="left" w:pos="0"/>
              </w:tabs>
              <w:spacing w:line="360" w:lineRule="auto"/>
              <w:rPr>
                <w:color w:val="auto"/>
                <w:szCs w:val="21"/>
                <w:highlight w:val="none"/>
              </w:rPr>
            </w:pPr>
            <w:r>
              <w:rPr>
                <w:rFonts w:hint="eastAsia"/>
                <w:color w:val="auto"/>
                <w:szCs w:val="21"/>
                <w:highlight w:val="none"/>
              </w:rPr>
              <w:t>序号</w:t>
            </w:r>
          </w:p>
        </w:tc>
        <w:tc>
          <w:tcPr>
            <w:tcW w:w="9315" w:type="dxa"/>
            <w:tcBorders>
              <w:top w:val="single" w:color="auto" w:sz="4" w:space="0"/>
              <w:left w:val="single" w:color="auto" w:sz="4" w:space="0"/>
              <w:bottom w:val="single" w:color="auto" w:sz="4" w:space="0"/>
              <w:right w:val="single" w:color="auto" w:sz="4" w:space="0"/>
              <w:tl2br w:val="single" w:color="auto" w:sz="4" w:space="0"/>
            </w:tcBorders>
            <w:vAlign w:val="center"/>
          </w:tcPr>
          <w:p>
            <w:pPr>
              <w:tabs>
                <w:tab w:val="left" w:pos="0"/>
              </w:tabs>
              <w:wordWrap w:val="0"/>
              <w:snapToGrid w:val="0"/>
              <w:ind w:left="3700" w:leftChars="227" w:hanging="3223" w:hangingChars="1535"/>
              <w:jc w:val="right"/>
              <w:rPr>
                <w:color w:val="auto"/>
                <w:szCs w:val="21"/>
                <w:highlight w:val="none"/>
              </w:rPr>
            </w:pPr>
            <w:r>
              <w:rPr>
                <w:rFonts w:hint="eastAsia"/>
                <w:color w:val="auto"/>
                <w:szCs w:val="21"/>
                <w:highlight w:val="none"/>
                <w:lang w:bidi="ar"/>
              </w:rPr>
              <w:t xml:space="preserve">投标单位  </w:t>
            </w:r>
          </w:p>
          <w:p>
            <w:pPr>
              <w:tabs>
                <w:tab w:val="left" w:pos="0"/>
              </w:tabs>
              <w:snapToGrid w:val="0"/>
              <w:ind w:firstLine="210" w:firstLineChars="100"/>
              <w:rPr>
                <w:color w:val="auto"/>
                <w:szCs w:val="21"/>
                <w:highlight w:val="none"/>
              </w:rPr>
            </w:pPr>
            <w:r>
              <w:rPr>
                <w:rFonts w:hint="eastAsia"/>
                <w:color w:val="auto"/>
                <w:szCs w:val="21"/>
                <w:highlight w:val="none"/>
              </w:rPr>
              <w:t>评审内容</w:t>
            </w:r>
          </w:p>
        </w:tc>
        <w:tc>
          <w:tcPr>
            <w:tcW w:w="838" w:type="dxa"/>
            <w:tcBorders>
              <w:top w:val="single" w:color="auto" w:sz="4" w:space="0"/>
              <w:left w:val="single" w:color="auto" w:sz="4" w:space="0"/>
              <w:bottom w:val="single" w:color="auto" w:sz="6" w:space="0"/>
              <w:right w:val="single" w:color="auto" w:sz="6" w:space="0"/>
            </w:tcBorders>
          </w:tcPr>
          <w:p>
            <w:pPr>
              <w:tabs>
                <w:tab w:val="left" w:pos="0"/>
              </w:tabs>
              <w:spacing w:line="360" w:lineRule="auto"/>
              <w:ind w:left="550" w:leftChars="227" w:hanging="73" w:hangingChars="35"/>
              <w:rPr>
                <w:color w:val="auto"/>
                <w:szCs w:val="21"/>
                <w:highlight w:val="none"/>
              </w:rPr>
            </w:pPr>
          </w:p>
        </w:tc>
        <w:tc>
          <w:tcPr>
            <w:tcW w:w="776" w:type="dxa"/>
            <w:tcBorders>
              <w:top w:val="single" w:color="auto" w:sz="4" w:space="0"/>
              <w:left w:val="single" w:color="auto" w:sz="6" w:space="0"/>
              <w:bottom w:val="single" w:color="auto" w:sz="6" w:space="0"/>
              <w:right w:val="single" w:color="auto" w:sz="6" w:space="0"/>
            </w:tcBorders>
          </w:tcPr>
          <w:p>
            <w:pPr>
              <w:tabs>
                <w:tab w:val="left" w:pos="0"/>
              </w:tabs>
              <w:spacing w:line="360" w:lineRule="auto"/>
              <w:ind w:left="550" w:leftChars="227" w:hanging="73" w:hangingChars="35"/>
              <w:rPr>
                <w:color w:val="auto"/>
                <w:szCs w:val="21"/>
                <w:highlight w:val="none"/>
              </w:rPr>
            </w:pPr>
          </w:p>
        </w:tc>
        <w:tc>
          <w:tcPr>
            <w:tcW w:w="776" w:type="dxa"/>
            <w:tcBorders>
              <w:top w:val="single" w:color="auto" w:sz="4" w:space="0"/>
              <w:left w:val="single" w:color="auto" w:sz="6" w:space="0"/>
              <w:bottom w:val="single" w:color="auto" w:sz="6" w:space="0"/>
              <w:right w:val="single" w:color="auto" w:sz="6" w:space="0"/>
            </w:tcBorders>
          </w:tcPr>
          <w:p>
            <w:pPr>
              <w:tabs>
                <w:tab w:val="left" w:pos="0"/>
              </w:tabs>
              <w:spacing w:line="360" w:lineRule="auto"/>
              <w:ind w:left="550" w:leftChars="227" w:hanging="73" w:hangingChars="35"/>
              <w:rPr>
                <w:color w:val="auto"/>
                <w:szCs w:val="21"/>
                <w:highlight w:val="none"/>
              </w:rPr>
            </w:pPr>
          </w:p>
        </w:tc>
        <w:tc>
          <w:tcPr>
            <w:tcW w:w="774" w:type="dxa"/>
            <w:tcBorders>
              <w:top w:val="single" w:color="auto" w:sz="4" w:space="0"/>
              <w:left w:val="single" w:color="auto" w:sz="6" w:space="0"/>
              <w:bottom w:val="single" w:color="auto" w:sz="6" w:space="0"/>
              <w:right w:val="single" w:color="auto" w:sz="6" w:space="0"/>
            </w:tcBorders>
          </w:tcPr>
          <w:p>
            <w:pPr>
              <w:tabs>
                <w:tab w:val="left" w:pos="0"/>
              </w:tabs>
              <w:spacing w:line="360" w:lineRule="auto"/>
              <w:ind w:left="550" w:leftChars="227" w:hanging="73" w:hangingChars="35"/>
              <w:rPr>
                <w:color w:val="auto"/>
                <w:szCs w:val="21"/>
                <w:highlight w:val="none"/>
              </w:rPr>
            </w:pPr>
          </w:p>
        </w:tc>
        <w:tc>
          <w:tcPr>
            <w:tcW w:w="774" w:type="dxa"/>
            <w:tcBorders>
              <w:top w:val="single" w:color="auto" w:sz="4" w:space="0"/>
              <w:left w:val="single" w:color="auto" w:sz="6" w:space="0"/>
              <w:bottom w:val="single" w:color="auto" w:sz="6" w:space="0"/>
              <w:right w:val="single" w:color="auto" w:sz="6" w:space="0"/>
            </w:tcBorders>
          </w:tcPr>
          <w:p>
            <w:pPr>
              <w:tabs>
                <w:tab w:val="left" w:pos="0"/>
              </w:tabs>
              <w:spacing w:line="360" w:lineRule="auto"/>
              <w:ind w:left="550" w:leftChars="227" w:hanging="73" w:hangingChars="35"/>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6" w:space="0"/>
              <w:right w:val="single" w:color="auto" w:sz="6" w:space="0"/>
            </w:tcBorders>
            <w:vAlign w:val="center"/>
          </w:tcPr>
          <w:p>
            <w:pPr>
              <w:tabs>
                <w:tab w:val="left" w:pos="0"/>
              </w:tabs>
              <w:spacing w:line="240" w:lineRule="atLeast"/>
              <w:jc w:val="center"/>
              <w:rPr>
                <w:color w:val="auto"/>
                <w:szCs w:val="21"/>
                <w:highlight w:val="none"/>
              </w:rPr>
            </w:pPr>
            <w:r>
              <w:rPr>
                <w:rFonts w:hint="eastAsia"/>
                <w:color w:val="auto"/>
                <w:szCs w:val="21"/>
                <w:highlight w:val="none"/>
              </w:rPr>
              <w:t>1</w:t>
            </w:r>
          </w:p>
        </w:tc>
        <w:tc>
          <w:tcPr>
            <w:tcW w:w="9315" w:type="dxa"/>
            <w:tcBorders>
              <w:top w:val="single" w:color="auto" w:sz="4" w:space="0"/>
              <w:left w:val="single" w:color="auto" w:sz="6" w:space="0"/>
              <w:bottom w:val="single" w:color="auto" w:sz="6" w:space="0"/>
              <w:right w:val="single" w:color="auto" w:sz="6" w:space="0"/>
            </w:tcBorders>
            <w:vAlign w:val="center"/>
          </w:tcPr>
          <w:p>
            <w:pPr>
              <w:tabs>
                <w:tab w:val="left" w:pos="0"/>
              </w:tabs>
              <w:spacing w:line="240" w:lineRule="atLeast"/>
              <w:rPr>
                <w:color w:val="auto"/>
                <w:szCs w:val="21"/>
                <w:highlight w:val="none"/>
              </w:rPr>
            </w:pPr>
            <w:r>
              <w:rPr>
                <w:rFonts w:hint="eastAsia"/>
                <w:color w:val="auto"/>
                <w:szCs w:val="21"/>
                <w:highlight w:val="none"/>
              </w:rPr>
              <w:t>投标文件的封面</w:t>
            </w:r>
            <w:r>
              <w:rPr>
                <w:rFonts w:hint="eastAsia"/>
                <w:color w:val="auto"/>
                <w:szCs w:val="21"/>
                <w:highlight w:val="none"/>
                <w:lang w:val="en-US" w:eastAsia="zh-CN"/>
              </w:rPr>
              <w:t>有</w:t>
            </w:r>
            <w:r>
              <w:rPr>
                <w:rFonts w:hint="eastAsia"/>
                <w:color w:val="auto"/>
                <w:szCs w:val="21"/>
                <w:highlight w:val="none"/>
              </w:rPr>
              <w:t>加盖投标单位的法定印章并经投标人代表签署或盖章的。</w:t>
            </w:r>
          </w:p>
        </w:tc>
        <w:tc>
          <w:tcPr>
            <w:tcW w:w="838"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color w:val="auto"/>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color w:val="auto"/>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color w:val="auto"/>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color w:val="auto"/>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6" w:space="0"/>
              <w:right w:val="single" w:color="auto" w:sz="6" w:space="0"/>
            </w:tcBorders>
            <w:vAlign w:val="center"/>
          </w:tcPr>
          <w:p>
            <w:pPr>
              <w:tabs>
                <w:tab w:val="left" w:pos="0"/>
              </w:tabs>
              <w:spacing w:line="240" w:lineRule="atLeast"/>
              <w:jc w:val="center"/>
              <w:rPr>
                <w:color w:val="auto"/>
                <w:szCs w:val="21"/>
                <w:highlight w:val="none"/>
              </w:rPr>
            </w:pPr>
            <w:r>
              <w:rPr>
                <w:rFonts w:hint="eastAsia"/>
                <w:color w:val="auto"/>
                <w:szCs w:val="21"/>
                <w:highlight w:val="none"/>
              </w:rPr>
              <w:t>2</w:t>
            </w:r>
          </w:p>
        </w:tc>
        <w:tc>
          <w:tcPr>
            <w:tcW w:w="9315" w:type="dxa"/>
            <w:tcBorders>
              <w:top w:val="single" w:color="auto" w:sz="6" w:space="0"/>
              <w:left w:val="single" w:color="auto" w:sz="6" w:space="0"/>
              <w:bottom w:val="single" w:color="auto" w:sz="6" w:space="0"/>
              <w:right w:val="single" w:color="auto" w:sz="6" w:space="0"/>
            </w:tcBorders>
            <w:vAlign w:val="center"/>
          </w:tcPr>
          <w:p>
            <w:pPr>
              <w:tabs>
                <w:tab w:val="left" w:pos="0"/>
              </w:tabs>
              <w:spacing w:line="240" w:lineRule="atLeast"/>
              <w:rPr>
                <w:color w:val="auto"/>
                <w:szCs w:val="21"/>
                <w:highlight w:val="none"/>
              </w:rPr>
            </w:pPr>
            <w:r>
              <w:rPr>
                <w:rFonts w:hint="eastAsia"/>
                <w:color w:val="auto"/>
                <w:szCs w:val="21"/>
                <w:highlight w:val="none"/>
              </w:rPr>
              <w:t>对同一招标项目</w:t>
            </w:r>
            <w:r>
              <w:rPr>
                <w:rFonts w:hint="eastAsia"/>
                <w:color w:val="auto"/>
                <w:szCs w:val="21"/>
                <w:highlight w:val="none"/>
                <w:lang w:val="en-US" w:eastAsia="zh-CN"/>
              </w:rPr>
              <w:t>没有</w:t>
            </w:r>
            <w:r>
              <w:rPr>
                <w:rFonts w:hint="eastAsia"/>
                <w:color w:val="auto"/>
                <w:szCs w:val="21"/>
                <w:highlight w:val="none"/>
              </w:rPr>
              <w:t>出现两个或以上的投标报价。</w:t>
            </w:r>
          </w:p>
        </w:tc>
        <w:tc>
          <w:tcPr>
            <w:tcW w:w="838"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color w:val="auto"/>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color w:val="auto"/>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color w:val="auto"/>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color w:val="auto"/>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6" w:space="0"/>
              <w:right w:val="single" w:color="auto" w:sz="6" w:space="0"/>
            </w:tcBorders>
            <w:vAlign w:val="center"/>
          </w:tcPr>
          <w:p>
            <w:pPr>
              <w:tabs>
                <w:tab w:val="left" w:pos="0"/>
              </w:tabs>
              <w:spacing w:line="240" w:lineRule="atLeast"/>
              <w:jc w:val="center"/>
              <w:rPr>
                <w:color w:val="auto"/>
                <w:szCs w:val="21"/>
                <w:highlight w:val="none"/>
              </w:rPr>
            </w:pPr>
            <w:r>
              <w:rPr>
                <w:rFonts w:hint="eastAsia"/>
                <w:color w:val="auto"/>
                <w:szCs w:val="21"/>
                <w:highlight w:val="none"/>
              </w:rPr>
              <w:t>3</w:t>
            </w:r>
          </w:p>
        </w:tc>
        <w:tc>
          <w:tcPr>
            <w:tcW w:w="9315" w:type="dxa"/>
            <w:tcBorders>
              <w:top w:val="single" w:color="auto" w:sz="6" w:space="0"/>
              <w:left w:val="single" w:color="auto" w:sz="6" w:space="0"/>
              <w:bottom w:val="single" w:color="auto" w:sz="6" w:space="0"/>
              <w:right w:val="single" w:color="auto" w:sz="6" w:space="0"/>
            </w:tcBorders>
            <w:vAlign w:val="center"/>
          </w:tcPr>
          <w:p>
            <w:pPr>
              <w:jc w:val="left"/>
              <w:rPr>
                <w:b/>
                <w:color w:val="auto"/>
                <w:szCs w:val="21"/>
                <w:highlight w:val="none"/>
              </w:rPr>
            </w:pPr>
            <w:r>
              <w:rPr>
                <w:rFonts w:hint="eastAsia"/>
                <w:color w:val="auto"/>
                <w:szCs w:val="21"/>
                <w:highlight w:val="none"/>
              </w:rPr>
              <w:t>投标报价总价</w:t>
            </w:r>
            <w:r>
              <w:rPr>
                <w:rFonts w:hint="eastAsia"/>
                <w:color w:val="auto"/>
                <w:szCs w:val="21"/>
                <w:highlight w:val="none"/>
                <w:lang w:val="en-US" w:eastAsia="zh-CN"/>
              </w:rPr>
              <w:t>不</w:t>
            </w:r>
            <w:r>
              <w:rPr>
                <w:rFonts w:hint="eastAsia"/>
                <w:color w:val="auto"/>
                <w:szCs w:val="21"/>
                <w:highlight w:val="none"/>
              </w:rPr>
              <w:t>高于最高投标限价总价的，</w:t>
            </w:r>
            <w:r>
              <w:rPr>
                <w:rFonts w:hint="eastAsia"/>
                <w:color w:val="auto"/>
                <w:szCs w:val="21"/>
                <w:highlight w:val="none"/>
                <w:u w:val="single"/>
              </w:rPr>
              <w:t>各分项报价</w:t>
            </w:r>
            <w:r>
              <w:rPr>
                <w:rFonts w:hint="eastAsia"/>
                <w:color w:val="auto"/>
                <w:szCs w:val="21"/>
                <w:highlight w:val="none"/>
                <w:u w:val="single"/>
                <w:lang w:val="en-US" w:eastAsia="zh-CN"/>
              </w:rPr>
              <w:t>不</w:t>
            </w:r>
            <w:r>
              <w:rPr>
                <w:rFonts w:hint="eastAsia"/>
                <w:color w:val="auto"/>
                <w:szCs w:val="21"/>
                <w:highlight w:val="none"/>
                <w:u w:val="single"/>
              </w:rPr>
              <w:t>高于分项投标限价的</w:t>
            </w:r>
            <w:r>
              <w:rPr>
                <w:rFonts w:hint="eastAsia"/>
                <w:color w:val="auto"/>
                <w:szCs w:val="21"/>
                <w:highlight w:val="none"/>
              </w:rPr>
              <w:t>。</w:t>
            </w:r>
          </w:p>
        </w:tc>
        <w:tc>
          <w:tcPr>
            <w:tcW w:w="838"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color w:val="auto"/>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color w:val="auto"/>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color w:val="auto"/>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color w:val="auto"/>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9" w:hRule="atLeast"/>
        </w:trPr>
        <w:tc>
          <w:tcPr>
            <w:tcW w:w="817" w:type="dxa"/>
            <w:tcBorders>
              <w:top w:val="single" w:color="auto" w:sz="6" w:space="0"/>
              <w:left w:val="single" w:color="auto" w:sz="4" w:space="0"/>
              <w:bottom w:val="single" w:color="auto" w:sz="6" w:space="0"/>
              <w:right w:val="single" w:color="auto" w:sz="6" w:space="0"/>
            </w:tcBorders>
            <w:vAlign w:val="center"/>
          </w:tcPr>
          <w:p>
            <w:pPr>
              <w:tabs>
                <w:tab w:val="left" w:pos="0"/>
              </w:tabs>
              <w:spacing w:line="240" w:lineRule="atLeast"/>
              <w:jc w:val="center"/>
              <w:rPr>
                <w:rFonts w:hint="eastAsia" w:eastAsia="宋体"/>
                <w:color w:val="auto"/>
                <w:szCs w:val="21"/>
                <w:highlight w:val="none"/>
                <w:lang w:eastAsia="zh-CN"/>
              </w:rPr>
            </w:pPr>
            <w:r>
              <w:rPr>
                <w:rFonts w:hint="eastAsia"/>
                <w:color w:val="auto"/>
                <w:szCs w:val="21"/>
                <w:highlight w:val="none"/>
                <w:lang w:val="en-US" w:eastAsia="zh-CN"/>
              </w:rPr>
              <w:t>4</w:t>
            </w:r>
          </w:p>
        </w:tc>
        <w:tc>
          <w:tcPr>
            <w:tcW w:w="9315" w:type="dxa"/>
            <w:tcBorders>
              <w:top w:val="single" w:color="auto" w:sz="6" w:space="0"/>
              <w:left w:val="single" w:color="auto" w:sz="6" w:space="0"/>
              <w:bottom w:val="single" w:color="auto" w:sz="6" w:space="0"/>
              <w:right w:val="single" w:color="auto" w:sz="6" w:space="0"/>
            </w:tcBorders>
            <w:vAlign w:val="center"/>
          </w:tcPr>
          <w:p>
            <w:pPr>
              <w:tabs>
                <w:tab w:val="left" w:pos="0"/>
              </w:tabs>
              <w:spacing w:line="240" w:lineRule="atLeast"/>
              <w:rPr>
                <w:color w:val="auto"/>
                <w:szCs w:val="21"/>
                <w:highlight w:val="none"/>
              </w:rPr>
            </w:pPr>
            <w:r>
              <w:rPr>
                <w:rFonts w:hint="eastAsia"/>
                <w:color w:val="auto"/>
                <w:szCs w:val="21"/>
                <w:highlight w:val="none"/>
              </w:rPr>
              <w:t>算术复核后的投标报价总价与原投标报价总价相比</w:t>
            </w:r>
            <w:r>
              <w:rPr>
                <w:rFonts w:hint="eastAsia"/>
                <w:color w:val="auto"/>
                <w:szCs w:val="21"/>
                <w:highlight w:val="none"/>
                <w:lang w:val="en-US" w:eastAsia="zh-CN"/>
              </w:rPr>
              <w:t>不</w:t>
            </w:r>
            <w:r>
              <w:rPr>
                <w:rFonts w:hint="eastAsia"/>
                <w:color w:val="auto"/>
                <w:szCs w:val="21"/>
                <w:highlight w:val="none"/>
              </w:rPr>
              <w:t>存在1%或以上误差的。</w:t>
            </w:r>
          </w:p>
        </w:tc>
        <w:tc>
          <w:tcPr>
            <w:tcW w:w="838"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color w:val="auto"/>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color w:val="auto"/>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color w:val="auto"/>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color w:val="auto"/>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6" w:space="0"/>
              <w:right w:val="single" w:color="auto" w:sz="6" w:space="0"/>
            </w:tcBorders>
            <w:vAlign w:val="center"/>
          </w:tcPr>
          <w:p>
            <w:pPr>
              <w:tabs>
                <w:tab w:val="left" w:pos="0"/>
              </w:tabs>
              <w:spacing w:line="240" w:lineRule="atLeast"/>
              <w:jc w:val="center"/>
              <w:rPr>
                <w:rFonts w:hint="eastAsia" w:eastAsia="宋体"/>
                <w:color w:val="auto"/>
                <w:szCs w:val="21"/>
                <w:highlight w:val="none"/>
                <w:lang w:eastAsia="zh-CN"/>
              </w:rPr>
            </w:pPr>
            <w:r>
              <w:rPr>
                <w:rFonts w:hint="eastAsia"/>
                <w:color w:val="auto"/>
                <w:szCs w:val="21"/>
                <w:highlight w:val="none"/>
                <w:lang w:val="en-US" w:eastAsia="zh-CN"/>
              </w:rPr>
              <w:t>5</w:t>
            </w:r>
          </w:p>
        </w:tc>
        <w:tc>
          <w:tcPr>
            <w:tcW w:w="9315" w:type="dxa"/>
            <w:tcBorders>
              <w:top w:val="single" w:color="auto" w:sz="6" w:space="0"/>
              <w:left w:val="single" w:color="auto" w:sz="6" w:space="0"/>
              <w:bottom w:val="single" w:color="auto" w:sz="6" w:space="0"/>
              <w:right w:val="single" w:color="auto" w:sz="6" w:space="0"/>
            </w:tcBorders>
            <w:vAlign w:val="center"/>
          </w:tcPr>
          <w:p>
            <w:pPr>
              <w:tabs>
                <w:tab w:val="left" w:pos="0"/>
              </w:tabs>
              <w:spacing w:line="240" w:lineRule="atLeast"/>
              <w:rPr>
                <w:color w:val="auto"/>
                <w:szCs w:val="21"/>
                <w:highlight w:val="none"/>
              </w:rPr>
            </w:pPr>
            <w:r>
              <w:rPr>
                <w:rFonts w:hint="eastAsia"/>
                <w:color w:val="auto"/>
                <w:szCs w:val="21"/>
                <w:highlight w:val="none"/>
              </w:rPr>
              <w:t>投标文件按规定的格式填写，主要内容</w:t>
            </w:r>
            <w:r>
              <w:rPr>
                <w:rFonts w:hint="eastAsia"/>
                <w:color w:val="auto"/>
                <w:szCs w:val="21"/>
                <w:highlight w:val="none"/>
                <w:lang w:val="en-US" w:eastAsia="zh-CN"/>
              </w:rPr>
              <w:t>齐</w:t>
            </w:r>
            <w:r>
              <w:rPr>
                <w:rFonts w:hint="eastAsia"/>
                <w:color w:val="auto"/>
                <w:szCs w:val="21"/>
                <w:highlight w:val="none"/>
              </w:rPr>
              <w:t>全。</w:t>
            </w:r>
          </w:p>
        </w:tc>
        <w:tc>
          <w:tcPr>
            <w:tcW w:w="838"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color w:val="auto"/>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color w:val="auto"/>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color w:val="auto"/>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color w:val="auto"/>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6" w:space="0"/>
              <w:right w:val="single" w:color="auto" w:sz="6" w:space="0"/>
            </w:tcBorders>
            <w:vAlign w:val="center"/>
          </w:tcPr>
          <w:p>
            <w:pPr>
              <w:tabs>
                <w:tab w:val="left" w:pos="0"/>
              </w:tabs>
              <w:spacing w:line="240" w:lineRule="atLeast"/>
              <w:jc w:val="center"/>
              <w:rPr>
                <w:rFonts w:hint="eastAsia" w:eastAsia="宋体"/>
                <w:color w:val="auto"/>
                <w:szCs w:val="21"/>
                <w:highlight w:val="none"/>
                <w:lang w:eastAsia="zh-CN"/>
              </w:rPr>
            </w:pPr>
            <w:r>
              <w:rPr>
                <w:rFonts w:hint="eastAsia"/>
                <w:color w:val="auto"/>
                <w:szCs w:val="21"/>
                <w:highlight w:val="none"/>
                <w:lang w:val="en-US" w:eastAsia="zh-CN"/>
              </w:rPr>
              <w:t>6</w:t>
            </w:r>
          </w:p>
        </w:tc>
        <w:tc>
          <w:tcPr>
            <w:tcW w:w="9315" w:type="dxa"/>
            <w:tcBorders>
              <w:top w:val="single" w:color="auto" w:sz="6" w:space="0"/>
              <w:left w:val="single" w:color="auto" w:sz="6" w:space="0"/>
              <w:bottom w:val="single" w:color="auto" w:sz="6" w:space="0"/>
              <w:right w:val="single" w:color="auto" w:sz="6" w:space="0"/>
            </w:tcBorders>
            <w:vAlign w:val="center"/>
          </w:tcPr>
          <w:p>
            <w:pPr>
              <w:tabs>
                <w:tab w:val="left" w:pos="0"/>
              </w:tabs>
              <w:spacing w:line="240" w:lineRule="atLeast"/>
              <w:rPr>
                <w:color w:val="auto"/>
                <w:szCs w:val="21"/>
                <w:highlight w:val="none"/>
              </w:rPr>
            </w:pPr>
            <w:r>
              <w:rPr>
                <w:rFonts w:hint="eastAsia"/>
                <w:color w:val="auto"/>
                <w:szCs w:val="21"/>
                <w:highlight w:val="none"/>
                <w:lang w:val="en-US" w:eastAsia="zh-CN"/>
              </w:rPr>
              <w:t>不</w:t>
            </w:r>
            <w:r>
              <w:rPr>
                <w:rFonts w:hint="eastAsia"/>
                <w:color w:val="auto"/>
                <w:szCs w:val="21"/>
                <w:highlight w:val="none"/>
              </w:rPr>
              <w:t>存在串通投标情形（串通投标情形以《中华人民共和国招标投标法实施条例》的规定为准）。</w:t>
            </w:r>
          </w:p>
        </w:tc>
        <w:tc>
          <w:tcPr>
            <w:tcW w:w="838"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color w:val="auto"/>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color w:val="auto"/>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color w:val="auto"/>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color w:val="auto"/>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6" w:space="0"/>
              <w:right w:val="single" w:color="auto" w:sz="6" w:space="0"/>
            </w:tcBorders>
            <w:vAlign w:val="center"/>
          </w:tcPr>
          <w:p>
            <w:pPr>
              <w:tabs>
                <w:tab w:val="left" w:pos="0"/>
              </w:tabs>
              <w:spacing w:line="240" w:lineRule="atLeast"/>
              <w:jc w:val="center"/>
              <w:rPr>
                <w:color w:val="auto"/>
                <w:szCs w:val="21"/>
                <w:highlight w:val="none"/>
              </w:rPr>
            </w:pPr>
            <w:r>
              <w:rPr>
                <w:rFonts w:hint="eastAsia"/>
                <w:color w:val="auto"/>
                <w:szCs w:val="21"/>
                <w:highlight w:val="none"/>
                <w:lang w:val="en-US" w:eastAsia="zh-CN"/>
              </w:rPr>
              <w:t>7</w:t>
            </w:r>
          </w:p>
        </w:tc>
        <w:tc>
          <w:tcPr>
            <w:tcW w:w="9315" w:type="dxa"/>
            <w:tcBorders>
              <w:top w:val="single" w:color="auto" w:sz="6" w:space="0"/>
              <w:left w:val="single" w:color="auto" w:sz="6" w:space="0"/>
              <w:bottom w:val="single" w:color="auto" w:sz="6" w:space="0"/>
              <w:right w:val="single" w:color="auto" w:sz="6" w:space="0"/>
            </w:tcBorders>
            <w:vAlign w:val="center"/>
          </w:tcPr>
          <w:p>
            <w:pPr>
              <w:tabs>
                <w:tab w:val="left" w:pos="0"/>
              </w:tabs>
              <w:spacing w:line="240" w:lineRule="atLeast"/>
              <w:rPr>
                <w:color w:val="auto"/>
                <w:szCs w:val="21"/>
                <w:highlight w:val="none"/>
              </w:rPr>
            </w:pPr>
            <w:r>
              <w:rPr>
                <w:rFonts w:hint="eastAsia"/>
                <w:color w:val="auto"/>
                <w:szCs w:val="21"/>
                <w:highlight w:val="none"/>
                <w:lang w:val="en-US" w:eastAsia="zh-CN"/>
              </w:rPr>
              <w:t>有</w:t>
            </w:r>
            <w:r>
              <w:rPr>
                <w:rFonts w:hint="eastAsia"/>
                <w:color w:val="auto"/>
                <w:szCs w:val="21"/>
                <w:highlight w:val="none"/>
              </w:rPr>
              <w:t>《参与编制经济标投标文件人员名单》的。</w:t>
            </w:r>
          </w:p>
        </w:tc>
        <w:tc>
          <w:tcPr>
            <w:tcW w:w="838"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color w:val="auto"/>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color w:val="auto"/>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color w:val="auto"/>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color w:val="auto"/>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4" w:space="0"/>
              <w:right w:val="single" w:color="auto" w:sz="6" w:space="0"/>
            </w:tcBorders>
            <w:vAlign w:val="center"/>
          </w:tcPr>
          <w:p>
            <w:pPr>
              <w:spacing w:line="360" w:lineRule="auto"/>
              <w:jc w:val="center"/>
              <w:rPr>
                <w:color w:val="auto"/>
                <w:szCs w:val="21"/>
                <w:highlight w:val="none"/>
              </w:rPr>
            </w:pPr>
            <w:r>
              <w:rPr>
                <w:rFonts w:hint="eastAsia"/>
                <w:bCs/>
                <w:color w:val="auto"/>
                <w:szCs w:val="21"/>
                <w:highlight w:val="none"/>
              </w:rPr>
              <w:t>结论</w:t>
            </w:r>
          </w:p>
        </w:tc>
        <w:tc>
          <w:tcPr>
            <w:tcW w:w="9315" w:type="dxa"/>
            <w:tcBorders>
              <w:top w:val="single" w:color="auto" w:sz="6" w:space="0"/>
              <w:left w:val="single" w:color="auto" w:sz="6" w:space="0"/>
              <w:bottom w:val="single" w:color="auto" w:sz="4" w:space="0"/>
              <w:right w:val="single" w:color="auto" w:sz="6" w:space="0"/>
            </w:tcBorders>
            <w:vAlign w:val="center"/>
          </w:tcPr>
          <w:p>
            <w:pPr>
              <w:spacing w:line="360" w:lineRule="auto"/>
              <w:rPr>
                <w:color w:val="auto"/>
                <w:szCs w:val="21"/>
                <w:highlight w:val="none"/>
              </w:rPr>
            </w:pPr>
            <w:r>
              <w:rPr>
                <w:rFonts w:hint="eastAsia"/>
                <w:bCs/>
                <w:color w:val="auto"/>
                <w:szCs w:val="21"/>
                <w:highlight w:val="none"/>
              </w:rPr>
              <w:t>是否通过并进入下一阶段评审</w:t>
            </w:r>
          </w:p>
        </w:tc>
        <w:tc>
          <w:tcPr>
            <w:tcW w:w="838" w:type="dxa"/>
            <w:tcBorders>
              <w:top w:val="single" w:color="auto" w:sz="6" w:space="0"/>
              <w:left w:val="single" w:color="auto" w:sz="6" w:space="0"/>
              <w:bottom w:val="single" w:color="auto" w:sz="4" w:space="0"/>
              <w:right w:val="single" w:color="auto" w:sz="6" w:space="0"/>
            </w:tcBorders>
          </w:tcPr>
          <w:p>
            <w:pPr>
              <w:tabs>
                <w:tab w:val="left" w:pos="0"/>
              </w:tabs>
              <w:spacing w:line="240" w:lineRule="atLeast"/>
              <w:ind w:left="550" w:leftChars="227" w:hanging="73" w:hangingChars="35"/>
              <w:rPr>
                <w:color w:val="auto"/>
                <w:szCs w:val="21"/>
                <w:highlight w:val="none"/>
              </w:rPr>
            </w:pPr>
          </w:p>
        </w:tc>
        <w:tc>
          <w:tcPr>
            <w:tcW w:w="776" w:type="dxa"/>
            <w:tcBorders>
              <w:top w:val="single" w:color="auto" w:sz="6" w:space="0"/>
              <w:left w:val="single" w:color="auto" w:sz="6" w:space="0"/>
              <w:bottom w:val="single" w:color="auto" w:sz="4" w:space="0"/>
              <w:right w:val="single" w:color="auto" w:sz="6" w:space="0"/>
            </w:tcBorders>
          </w:tcPr>
          <w:p>
            <w:pPr>
              <w:tabs>
                <w:tab w:val="left" w:pos="0"/>
              </w:tabs>
              <w:spacing w:line="240" w:lineRule="atLeast"/>
              <w:ind w:left="550" w:leftChars="227" w:hanging="73" w:hangingChars="35"/>
              <w:rPr>
                <w:color w:val="auto"/>
                <w:szCs w:val="21"/>
                <w:highlight w:val="none"/>
              </w:rPr>
            </w:pPr>
          </w:p>
        </w:tc>
        <w:tc>
          <w:tcPr>
            <w:tcW w:w="776" w:type="dxa"/>
            <w:tcBorders>
              <w:top w:val="single" w:color="auto" w:sz="6" w:space="0"/>
              <w:left w:val="single" w:color="auto" w:sz="6" w:space="0"/>
              <w:bottom w:val="single" w:color="auto" w:sz="4" w:space="0"/>
              <w:right w:val="single" w:color="auto" w:sz="6" w:space="0"/>
            </w:tcBorders>
          </w:tcPr>
          <w:p>
            <w:pPr>
              <w:tabs>
                <w:tab w:val="left" w:pos="0"/>
              </w:tabs>
              <w:spacing w:line="240" w:lineRule="atLeast"/>
              <w:ind w:left="550" w:leftChars="227" w:hanging="73" w:hangingChars="35"/>
              <w:rPr>
                <w:color w:val="auto"/>
                <w:szCs w:val="21"/>
                <w:highlight w:val="none"/>
              </w:rPr>
            </w:pPr>
          </w:p>
        </w:tc>
        <w:tc>
          <w:tcPr>
            <w:tcW w:w="774" w:type="dxa"/>
            <w:tcBorders>
              <w:top w:val="single" w:color="auto" w:sz="6" w:space="0"/>
              <w:left w:val="single" w:color="auto" w:sz="6" w:space="0"/>
              <w:bottom w:val="single" w:color="auto" w:sz="4" w:space="0"/>
              <w:right w:val="single" w:color="auto" w:sz="6" w:space="0"/>
            </w:tcBorders>
          </w:tcPr>
          <w:p>
            <w:pPr>
              <w:tabs>
                <w:tab w:val="left" w:pos="0"/>
              </w:tabs>
              <w:spacing w:line="240" w:lineRule="atLeast"/>
              <w:ind w:left="550" w:leftChars="227" w:hanging="73" w:hangingChars="35"/>
              <w:rPr>
                <w:color w:val="auto"/>
                <w:szCs w:val="21"/>
                <w:highlight w:val="none"/>
              </w:rPr>
            </w:pPr>
          </w:p>
        </w:tc>
        <w:tc>
          <w:tcPr>
            <w:tcW w:w="774" w:type="dxa"/>
            <w:tcBorders>
              <w:top w:val="single" w:color="auto" w:sz="6" w:space="0"/>
              <w:left w:val="single" w:color="auto" w:sz="6" w:space="0"/>
              <w:bottom w:val="single" w:color="auto" w:sz="4" w:space="0"/>
              <w:right w:val="single" w:color="auto" w:sz="6" w:space="0"/>
            </w:tcBorders>
          </w:tcPr>
          <w:p>
            <w:pPr>
              <w:tabs>
                <w:tab w:val="left" w:pos="0"/>
              </w:tabs>
              <w:spacing w:line="240" w:lineRule="atLeast"/>
              <w:ind w:left="550" w:leftChars="227" w:hanging="73" w:hangingChars="35"/>
              <w:rPr>
                <w:color w:val="auto"/>
                <w:szCs w:val="21"/>
                <w:highlight w:val="none"/>
              </w:rPr>
            </w:pPr>
          </w:p>
        </w:tc>
      </w:tr>
    </w:tbl>
    <w:p>
      <w:pPr>
        <w:spacing w:line="300" w:lineRule="exact"/>
        <w:rPr>
          <w:rFonts w:ascii="宋体" w:hAnsi="宋体"/>
          <w:color w:val="auto"/>
          <w:szCs w:val="21"/>
          <w:highlight w:val="none"/>
        </w:rPr>
      </w:pPr>
    </w:p>
    <w:p>
      <w:pPr>
        <w:spacing w:line="300" w:lineRule="exact"/>
        <w:rPr>
          <w:rFonts w:ascii="宋体" w:hAnsi="宋体"/>
          <w:color w:val="auto"/>
          <w:szCs w:val="21"/>
          <w:highlight w:val="none"/>
        </w:rPr>
      </w:pPr>
      <w:r>
        <w:rPr>
          <w:rFonts w:hint="eastAsia" w:ascii="宋体" w:hAnsi="宋体"/>
          <w:color w:val="auto"/>
          <w:szCs w:val="21"/>
          <w:highlight w:val="none"/>
        </w:rPr>
        <w:t>注：</w:t>
      </w:r>
      <w:r>
        <w:rPr>
          <w:rFonts w:ascii="宋体" w:hAnsi="宋体"/>
          <w:color w:val="auto"/>
          <w:szCs w:val="21"/>
          <w:highlight w:val="none"/>
        </w:rPr>
        <w:t>1.</w:t>
      </w:r>
      <w:r>
        <w:rPr>
          <w:rFonts w:hint="eastAsia" w:ascii="宋体" w:hAnsi="宋体"/>
          <w:color w:val="auto"/>
          <w:szCs w:val="21"/>
          <w:highlight w:val="none"/>
        </w:rPr>
        <w:t>根据本表审查项目，符合的填“○”，</w:t>
      </w:r>
      <w:r>
        <w:rPr>
          <w:rFonts w:hint="eastAsia" w:ascii="宋体" w:hAnsi="宋体"/>
          <w:color w:val="auto"/>
          <w:szCs w:val="21"/>
          <w:highlight w:val="none"/>
          <w:lang w:val="en-US" w:eastAsia="zh-CN"/>
        </w:rPr>
        <w:t>不</w:t>
      </w:r>
      <w:r>
        <w:rPr>
          <w:rFonts w:hint="eastAsia" w:ascii="宋体" w:hAnsi="宋体"/>
          <w:color w:val="auto"/>
          <w:szCs w:val="21"/>
          <w:highlight w:val="none"/>
        </w:rPr>
        <w:t>符合的填“×”，评审结论填“通过“或“不通过”。。</w:t>
      </w:r>
    </w:p>
    <w:p>
      <w:pPr>
        <w:spacing w:line="3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本表中出现一个（或以上）“×”，投标人的评审结论为“不通过”，即该投标人不进入下一阶段评审。</w:t>
      </w:r>
    </w:p>
    <w:p>
      <w:pPr>
        <w:spacing w:line="300" w:lineRule="exact"/>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本表中评审项目全部为“○”，投标人的评审结论为“通过”，即该投标人进入下一阶段评审。</w:t>
      </w:r>
    </w:p>
    <w:p>
      <w:pPr>
        <w:ind w:firstLine="420" w:firstLineChars="200"/>
        <w:rPr>
          <w:color w:val="auto"/>
          <w:highlight w:val="none"/>
        </w:rPr>
      </w:pPr>
      <w:r>
        <w:rPr>
          <w:rFonts w:ascii="宋体" w:hAnsi="宋体"/>
          <w:color w:val="auto"/>
          <w:szCs w:val="21"/>
          <w:highlight w:val="none"/>
        </w:rPr>
        <w:t>4.</w:t>
      </w:r>
      <w:r>
        <w:rPr>
          <w:rFonts w:hint="eastAsia" w:ascii="宋体" w:hAnsi="宋体"/>
          <w:color w:val="auto"/>
          <w:szCs w:val="21"/>
          <w:highlight w:val="none"/>
        </w:rPr>
        <w:t>如对本表中某种情形的评审意见不一致时，以评审组过半数成员的意见作为评审组对该情形的认定结论。</w:t>
      </w:r>
    </w:p>
    <w:p>
      <w:pPr>
        <w:rPr>
          <w:rFonts w:hAnsi="宋体"/>
          <w:color w:val="auto"/>
          <w:szCs w:val="21"/>
          <w:highlight w:val="none"/>
        </w:rPr>
      </w:pPr>
    </w:p>
    <w:p>
      <w:pPr>
        <w:rPr>
          <w:rFonts w:hAnsi="宋体"/>
          <w:b/>
          <w:color w:val="auto"/>
          <w:szCs w:val="21"/>
          <w:highlight w:val="none"/>
        </w:rPr>
      </w:pPr>
      <w:r>
        <w:rPr>
          <w:rFonts w:hint="eastAsia" w:hAnsi="宋体"/>
          <w:color w:val="auto"/>
          <w:szCs w:val="21"/>
          <w:highlight w:val="none"/>
        </w:rPr>
        <w:t>评委签名：                                           日期：</w:t>
      </w:r>
    </w:p>
    <w:p>
      <w:pPr>
        <w:spacing w:line="360" w:lineRule="auto"/>
        <w:rPr>
          <w:rFonts w:ascii="宋体" w:hAnsi="宋体"/>
          <w:color w:val="auto"/>
          <w:szCs w:val="21"/>
          <w:highlight w:val="none"/>
        </w:rPr>
        <w:sectPr>
          <w:pgSz w:w="16838" w:h="11906" w:orient="landscape"/>
          <w:pgMar w:top="1134" w:right="1440" w:bottom="1134" w:left="1440" w:header="851" w:footer="992" w:gutter="0"/>
          <w:cols w:space="720" w:num="1"/>
          <w:docGrid w:type="lines" w:linePitch="312" w:charSpace="0"/>
        </w:sectPr>
      </w:pPr>
    </w:p>
    <w:p>
      <w:pPr>
        <w:spacing w:line="400" w:lineRule="exact"/>
        <w:rPr>
          <w:rFonts w:ascii="宋体" w:hAnsi="宋体"/>
          <w:b/>
          <w:color w:val="auto"/>
          <w:sz w:val="28"/>
          <w:szCs w:val="28"/>
          <w:highlight w:val="none"/>
        </w:rPr>
      </w:pPr>
      <w:r>
        <w:rPr>
          <w:rFonts w:hint="eastAsia" w:ascii="宋体" w:hAnsi="宋体"/>
          <w:b/>
          <w:color w:val="auto"/>
          <w:sz w:val="28"/>
          <w:szCs w:val="28"/>
          <w:highlight w:val="none"/>
        </w:rPr>
        <w:t>附表5</w:t>
      </w:r>
      <w:r>
        <w:rPr>
          <w:rFonts w:ascii="宋体" w:hAnsi="宋体"/>
          <w:b/>
          <w:color w:val="auto"/>
          <w:sz w:val="28"/>
          <w:szCs w:val="28"/>
          <w:highlight w:val="none"/>
        </w:rPr>
        <w:t>：</w:t>
      </w:r>
    </w:p>
    <w:p>
      <w:pPr>
        <w:spacing w:line="360" w:lineRule="auto"/>
        <w:jc w:val="center"/>
        <w:rPr>
          <w:rFonts w:ascii="宋体" w:hAnsi="宋体"/>
          <w:b/>
          <w:color w:val="auto"/>
          <w:sz w:val="36"/>
          <w:szCs w:val="36"/>
          <w:highlight w:val="none"/>
        </w:rPr>
      </w:pPr>
      <w:r>
        <w:rPr>
          <w:rFonts w:hint="eastAsia" w:ascii="宋体" w:hAnsi="宋体"/>
          <w:b/>
          <w:color w:val="auto"/>
          <w:sz w:val="32"/>
          <w:szCs w:val="32"/>
          <w:highlight w:val="none"/>
        </w:rPr>
        <w:t>建安工程费算术复核表</w:t>
      </w:r>
    </w:p>
    <w:p>
      <w:pPr>
        <w:spacing w:line="360" w:lineRule="auto"/>
        <w:rPr>
          <w:rFonts w:ascii="宋体" w:hAnsi="宋体"/>
          <w:bCs/>
          <w:color w:val="auto"/>
          <w:szCs w:val="21"/>
          <w:highlight w:val="none"/>
        </w:rPr>
      </w:pPr>
      <w:r>
        <w:rPr>
          <w:rFonts w:hint="eastAsia" w:ascii="宋体" w:hAnsi="宋体"/>
          <w:bCs/>
          <w:color w:val="auto"/>
          <w:szCs w:val="21"/>
          <w:highlight w:val="none"/>
        </w:rPr>
        <w:t>工程名称：</w:t>
      </w:r>
    </w:p>
    <w:tbl>
      <w:tblPr>
        <w:tblStyle w:val="38"/>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3775"/>
        <w:gridCol w:w="2363"/>
        <w:gridCol w:w="1841"/>
        <w:gridCol w:w="1995"/>
        <w:gridCol w:w="2205"/>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947" w:type="dxa"/>
            <w:vAlign w:val="center"/>
          </w:tcPr>
          <w:p>
            <w:pPr>
              <w:jc w:val="center"/>
              <w:rPr>
                <w:rFonts w:ascii="宋体" w:hAnsi="宋体"/>
                <w:color w:val="auto"/>
                <w:sz w:val="24"/>
                <w:highlight w:val="none"/>
              </w:rPr>
            </w:pPr>
            <w:r>
              <w:rPr>
                <w:rFonts w:hint="eastAsia" w:ascii="宋体" w:hAnsi="宋体"/>
                <w:color w:val="auto"/>
                <w:sz w:val="24"/>
                <w:highlight w:val="none"/>
              </w:rPr>
              <w:t>序号</w:t>
            </w:r>
          </w:p>
        </w:tc>
        <w:tc>
          <w:tcPr>
            <w:tcW w:w="3775" w:type="dxa"/>
            <w:vAlign w:val="center"/>
          </w:tcPr>
          <w:p>
            <w:pPr>
              <w:jc w:val="center"/>
              <w:rPr>
                <w:rFonts w:ascii="宋体" w:hAnsi="宋体"/>
                <w:color w:val="auto"/>
                <w:sz w:val="24"/>
                <w:highlight w:val="none"/>
              </w:rPr>
            </w:pPr>
            <w:r>
              <w:rPr>
                <w:rFonts w:hint="eastAsia" w:ascii="宋体" w:hAnsi="宋体"/>
                <w:color w:val="auto"/>
                <w:sz w:val="24"/>
                <w:highlight w:val="none"/>
              </w:rPr>
              <w:t>投标单位</w:t>
            </w:r>
          </w:p>
        </w:tc>
        <w:tc>
          <w:tcPr>
            <w:tcW w:w="2363" w:type="dxa"/>
            <w:vAlign w:val="center"/>
          </w:tcPr>
          <w:p>
            <w:pPr>
              <w:jc w:val="center"/>
              <w:rPr>
                <w:rFonts w:ascii="宋体" w:hAnsi="宋体"/>
                <w:color w:val="auto"/>
                <w:sz w:val="24"/>
                <w:highlight w:val="none"/>
              </w:rPr>
            </w:pPr>
            <w:r>
              <w:rPr>
                <w:rFonts w:hint="eastAsia" w:ascii="宋体" w:hAnsi="宋体"/>
                <w:color w:val="auto"/>
                <w:sz w:val="24"/>
                <w:highlight w:val="none"/>
              </w:rPr>
              <w:t>建安工程费报价（元）</w:t>
            </w:r>
          </w:p>
        </w:tc>
        <w:tc>
          <w:tcPr>
            <w:tcW w:w="1841" w:type="dxa"/>
            <w:vAlign w:val="center"/>
          </w:tcPr>
          <w:p>
            <w:pPr>
              <w:jc w:val="center"/>
              <w:rPr>
                <w:rFonts w:ascii="宋体" w:hAnsi="宋体"/>
                <w:color w:val="auto"/>
                <w:sz w:val="24"/>
                <w:highlight w:val="none"/>
              </w:rPr>
            </w:pPr>
            <w:r>
              <w:rPr>
                <w:rFonts w:hint="eastAsia" w:ascii="宋体" w:hAnsi="宋体"/>
                <w:color w:val="auto"/>
                <w:sz w:val="24"/>
                <w:highlight w:val="none"/>
              </w:rPr>
              <w:t>算术复核后报价（元）</w:t>
            </w:r>
          </w:p>
        </w:tc>
        <w:tc>
          <w:tcPr>
            <w:tcW w:w="1995" w:type="dxa"/>
            <w:vAlign w:val="center"/>
          </w:tcPr>
          <w:p>
            <w:pPr>
              <w:jc w:val="center"/>
              <w:rPr>
                <w:rFonts w:ascii="宋体" w:hAnsi="宋体"/>
                <w:color w:val="auto"/>
                <w:sz w:val="24"/>
                <w:highlight w:val="none"/>
              </w:rPr>
            </w:pPr>
            <w:r>
              <w:rPr>
                <w:rFonts w:hint="eastAsia" w:ascii="宋体" w:hAnsi="宋体"/>
                <w:color w:val="auto"/>
                <w:sz w:val="24"/>
                <w:highlight w:val="none"/>
              </w:rPr>
              <w:t>经评审的最终建安工程费报价（元）</w:t>
            </w:r>
          </w:p>
        </w:tc>
        <w:tc>
          <w:tcPr>
            <w:tcW w:w="2205" w:type="dxa"/>
            <w:vAlign w:val="center"/>
          </w:tcPr>
          <w:p>
            <w:pPr>
              <w:jc w:val="center"/>
              <w:rPr>
                <w:rFonts w:ascii="宋体" w:hAnsi="宋体"/>
                <w:color w:val="auto"/>
                <w:sz w:val="24"/>
                <w:highlight w:val="none"/>
              </w:rPr>
            </w:pPr>
            <w:r>
              <w:rPr>
                <w:rFonts w:hint="eastAsia" w:ascii="宋体" w:hAnsi="宋体"/>
                <w:color w:val="auto"/>
                <w:sz w:val="24"/>
                <w:highlight w:val="none"/>
              </w:rPr>
              <w:t>偏差率</w:t>
            </w:r>
          </w:p>
        </w:tc>
        <w:tc>
          <w:tcPr>
            <w:tcW w:w="1048" w:type="dxa"/>
            <w:vAlign w:val="center"/>
          </w:tcPr>
          <w:p>
            <w:pPr>
              <w:jc w:val="center"/>
              <w:rPr>
                <w:rFonts w:ascii="宋体" w:hAnsi="宋体"/>
                <w:color w:val="auto"/>
                <w:sz w:val="24"/>
                <w:highlight w:val="none"/>
              </w:rPr>
            </w:pPr>
            <w:r>
              <w:rPr>
                <w:rFonts w:hint="eastAsia" w:ascii="宋体" w:hAnsi="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947" w:type="dxa"/>
          </w:tcPr>
          <w:p>
            <w:pPr>
              <w:spacing w:line="360" w:lineRule="auto"/>
              <w:jc w:val="center"/>
              <w:rPr>
                <w:rFonts w:ascii="宋体" w:hAnsi="宋体"/>
                <w:color w:val="auto"/>
                <w:sz w:val="24"/>
                <w:highlight w:val="none"/>
              </w:rPr>
            </w:pPr>
          </w:p>
        </w:tc>
        <w:tc>
          <w:tcPr>
            <w:tcW w:w="3775" w:type="dxa"/>
          </w:tcPr>
          <w:p>
            <w:pPr>
              <w:spacing w:line="360" w:lineRule="auto"/>
              <w:jc w:val="center"/>
              <w:rPr>
                <w:rFonts w:ascii="宋体" w:hAnsi="宋体"/>
                <w:color w:val="auto"/>
                <w:sz w:val="24"/>
                <w:highlight w:val="none"/>
              </w:rPr>
            </w:pPr>
          </w:p>
        </w:tc>
        <w:tc>
          <w:tcPr>
            <w:tcW w:w="2363" w:type="dxa"/>
          </w:tcPr>
          <w:p>
            <w:pPr>
              <w:spacing w:line="360" w:lineRule="auto"/>
              <w:jc w:val="center"/>
              <w:rPr>
                <w:rFonts w:ascii="宋体" w:hAnsi="宋体"/>
                <w:color w:val="auto"/>
                <w:sz w:val="24"/>
                <w:highlight w:val="none"/>
              </w:rPr>
            </w:pPr>
          </w:p>
        </w:tc>
        <w:tc>
          <w:tcPr>
            <w:tcW w:w="1841" w:type="dxa"/>
          </w:tcPr>
          <w:p>
            <w:pPr>
              <w:spacing w:line="360" w:lineRule="auto"/>
              <w:jc w:val="center"/>
              <w:rPr>
                <w:rFonts w:ascii="宋体" w:hAnsi="宋体"/>
                <w:color w:val="auto"/>
                <w:sz w:val="24"/>
                <w:highlight w:val="none"/>
              </w:rPr>
            </w:pPr>
          </w:p>
        </w:tc>
        <w:tc>
          <w:tcPr>
            <w:tcW w:w="1995" w:type="dxa"/>
          </w:tcPr>
          <w:p>
            <w:pPr>
              <w:spacing w:line="360" w:lineRule="auto"/>
              <w:jc w:val="center"/>
              <w:rPr>
                <w:rFonts w:ascii="宋体" w:hAnsi="宋体"/>
                <w:color w:val="auto"/>
                <w:sz w:val="24"/>
                <w:highlight w:val="none"/>
              </w:rPr>
            </w:pPr>
          </w:p>
        </w:tc>
        <w:tc>
          <w:tcPr>
            <w:tcW w:w="2205" w:type="dxa"/>
          </w:tcPr>
          <w:p>
            <w:pPr>
              <w:spacing w:line="360" w:lineRule="auto"/>
              <w:jc w:val="center"/>
              <w:rPr>
                <w:rFonts w:ascii="宋体" w:hAnsi="宋体"/>
                <w:color w:val="auto"/>
                <w:sz w:val="24"/>
                <w:highlight w:val="none"/>
              </w:rPr>
            </w:pPr>
          </w:p>
        </w:tc>
        <w:tc>
          <w:tcPr>
            <w:tcW w:w="1048" w:type="dxa"/>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947" w:type="dxa"/>
          </w:tcPr>
          <w:p>
            <w:pPr>
              <w:spacing w:line="360" w:lineRule="auto"/>
              <w:jc w:val="center"/>
              <w:rPr>
                <w:rFonts w:ascii="宋体" w:hAnsi="宋体"/>
                <w:color w:val="auto"/>
                <w:sz w:val="24"/>
                <w:highlight w:val="none"/>
              </w:rPr>
            </w:pPr>
          </w:p>
        </w:tc>
        <w:tc>
          <w:tcPr>
            <w:tcW w:w="3775" w:type="dxa"/>
          </w:tcPr>
          <w:p>
            <w:pPr>
              <w:spacing w:line="360" w:lineRule="auto"/>
              <w:jc w:val="center"/>
              <w:rPr>
                <w:rFonts w:ascii="宋体" w:hAnsi="宋体"/>
                <w:color w:val="auto"/>
                <w:sz w:val="24"/>
                <w:highlight w:val="none"/>
              </w:rPr>
            </w:pPr>
          </w:p>
        </w:tc>
        <w:tc>
          <w:tcPr>
            <w:tcW w:w="2363" w:type="dxa"/>
          </w:tcPr>
          <w:p>
            <w:pPr>
              <w:spacing w:line="360" w:lineRule="auto"/>
              <w:jc w:val="center"/>
              <w:rPr>
                <w:rFonts w:ascii="宋体" w:hAnsi="宋体"/>
                <w:color w:val="auto"/>
                <w:sz w:val="24"/>
                <w:highlight w:val="none"/>
              </w:rPr>
            </w:pPr>
          </w:p>
        </w:tc>
        <w:tc>
          <w:tcPr>
            <w:tcW w:w="1841" w:type="dxa"/>
          </w:tcPr>
          <w:p>
            <w:pPr>
              <w:spacing w:line="360" w:lineRule="auto"/>
              <w:jc w:val="center"/>
              <w:rPr>
                <w:rFonts w:ascii="宋体" w:hAnsi="宋体"/>
                <w:color w:val="auto"/>
                <w:sz w:val="24"/>
                <w:highlight w:val="none"/>
              </w:rPr>
            </w:pPr>
          </w:p>
        </w:tc>
        <w:tc>
          <w:tcPr>
            <w:tcW w:w="1995" w:type="dxa"/>
          </w:tcPr>
          <w:p>
            <w:pPr>
              <w:spacing w:line="360" w:lineRule="auto"/>
              <w:jc w:val="center"/>
              <w:rPr>
                <w:rFonts w:ascii="宋体" w:hAnsi="宋体"/>
                <w:color w:val="auto"/>
                <w:sz w:val="24"/>
                <w:highlight w:val="none"/>
              </w:rPr>
            </w:pPr>
          </w:p>
        </w:tc>
        <w:tc>
          <w:tcPr>
            <w:tcW w:w="2205" w:type="dxa"/>
          </w:tcPr>
          <w:p>
            <w:pPr>
              <w:spacing w:line="360" w:lineRule="auto"/>
              <w:jc w:val="center"/>
              <w:rPr>
                <w:rFonts w:ascii="宋体" w:hAnsi="宋体"/>
                <w:color w:val="auto"/>
                <w:sz w:val="24"/>
                <w:highlight w:val="none"/>
              </w:rPr>
            </w:pPr>
          </w:p>
        </w:tc>
        <w:tc>
          <w:tcPr>
            <w:tcW w:w="1048" w:type="dxa"/>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947" w:type="dxa"/>
          </w:tcPr>
          <w:p>
            <w:pPr>
              <w:spacing w:line="360" w:lineRule="auto"/>
              <w:jc w:val="center"/>
              <w:rPr>
                <w:rFonts w:ascii="宋体" w:hAnsi="宋体"/>
                <w:color w:val="auto"/>
                <w:sz w:val="24"/>
                <w:highlight w:val="none"/>
              </w:rPr>
            </w:pPr>
          </w:p>
        </w:tc>
        <w:tc>
          <w:tcPr>
            <w:tcW w:w="3775" w:type="dxa"/>
          </w:tcPr>
          <w:p>
            <w:pPr>
              <w:spacing w:line="360" w:lineRule="auto"/>
              <w:jc w:val="center"/>
              <w:rPr>
                <w:rFonts w:ascii="宋体" w:hAnsi="宋体"/>
                <w:color w:val="auto"/>
                <w:sz w:val="24"/>
                <w:highlight w:val="none"/>
              </w:rPr>
            </w:pPr>
          </w:p>
        </w:tc>
        <w:tc>
          <w:tcPr>
            <w:tcW w:w="2363" w:type="dxa"/>
          </w:tcPr>
          <w:p>
            <w:pPr>
              <w:spacing w:line="360" w:lineRule="auto"/>
              <w:jc w:val="center"/>
              <w:rPr>
                <w:rFonts w:ascii="宋体" w:hAnsi="宋体"/>
                <w:color w:val="auto"/>
                <w:sz w:val="24"/>
                <w:highlight w:val="none"/>
              </w:rPr>
            </w:pPr>
          </w:p>
        </w:tc>
        <w:tc>
          <w:tcPr>
            <w:tcW w:w="1841" w:type="dxa"/>
          </w:tcPr>
          <w:p>
            <w:pPr>
              <w:spacing w:line="360" w:lineRule="auto"/>
              <w:jc w:val="center"/>
              <w:rPr>
                <w:rFonts w:ascii="宋体" w:hAnsi="宋体"/>
                <w:color w:val="auto"/>
                <w:sz w:val="24"/>
                <w:highlight w:val="none"/>
              </w:rPr>
            </w:pPr>
          </w:p>
        </w:tc>
        <w:tc>
          <w:tcPr>
            <w:tcW w:w="1995" w:type="dxa"/>
          </w:tcPr>
          <w:p>
            <w:pPr>
              <w:spacing w:line="360" w:lineRule="auto"/>
              <w:jc w:val="center"/>
              <w:rPr>
                <w:rFonts w:ascii="宋体" w:hAnsi="宋体"/>
                <w:color w:val="auto"/>
                <w:sz w:val="24"/>
                <w:highlight w:val="none"/>
              </w:rPr>
            </w:pPr>
          </w:p>
        </w:tc>
        <w:tc>
          <w:tcPr>
            <w:tcW w:w="2205" w:type="dxa"/>
          </w:tcPr>
          <w:p>
            <w:pPr>
              <w:spacing w:line="360" w:lineRule="auto"/>
              <w:jc w:val="center"/>
              <w:rPr>
                <w:rFonts w:ascii="宋体" w:hAnsi="宋体"/>
                <w:color w:val="auto"/>
                <w:sz w:val="24"/>
                <w:highlight w:val="none"/>
              </w:rPr>
            </w:pPr>
          </w:p>
        </w:tc>
        <w:tc>
          <w:tcPr>
            <w:tcW w:w="1048" w:type="dxa"/>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947" w:type="dxa"/>
          </w:tcPr>
          <w:p>
            <w:pPr>
              <w:spacing w:line="360" w:lineRule="auto"/>
              <w:jc w:val="center"/>
              <w:rPr>
                <w:rFonts w:ascii="宋体" w:hAnsi="宋体"/>
                <w:color w:val="auto"/>
                <w:sz w:val="24"/>
                <w:highlight w:val="none"/>
              </w:rPr>
            </w:pPr>
          </w:p>
        </w:tc>
        <w:tc>
          <w:tcPr>
            <w:tcW w:w="3775" w:type="dxa"/>
          </w:tcPr>
          <w:p>
            <w:pPr>
              <w:spacing w:line="360" w:lineRule="auto"/>
              <w:jc w:val="center"/>
              <w:rPr>
                <w:rFonts w:ascii="宋体" w:hAnsi="宋体"/>
                <w:color w:val="auto"/>
                <w:sz w:val="24"/>
                <w:highlight w:val="none"/>
              </w:rPr>
            </w:pPr>
          </w:p>
        </w:tc>
        <w:tc>
          <w:tcPr>
            <w:tcW w:w="2363" w:type="dxa"/>
          </w:tcPr>
          <w:p>
            <w:pPr>
              <w:spacing w:line="360" w:lineRule="auto"/>
              <w:jc w:val="center"/>
              <w:rPr>
                <w:rFonts w:ascii="宋体" w:hAnsi="宋体"/>
                <w:color w:val="auto"/>
                <w:sz w:val="24"/>
                <w:highlight w:val="none"/>
              </w:rPr>
            </w:pPr>
          </w:p>
        </w:tc>
        <w:tc>
          <w:tcPr>
            <w:tcW w:w="1841" w:type="dxa"/>
          </w:tcPr>
          <w:p>
            <w:pPr>
              <w:spacing w:line="360" w:lineRule="auto"/>
              <w:jc w:val="center"/>
              <w:rPr>
                <w:rFonts w:ascii="宋体" w:hAnsi="宋体"/>
                <w:color w:val="auto"/>
                <w:sz w:val="24"/>
                <w:highlight w:val="none"/>
              </w:rPr>
            </w:pPr>
          </w:p>
        </w:tc>
        <w:tc>
          <w:tcPr>
            <w:tcW w:w="1995" w:type="dxa"/>
          </w:tcPr>
          <w:p>
            <w:pPr>
              <w:spacing w:line="360" w:lineRule="auto"/>
              <w:jc w:val="center"/>
              <w:rPr>
                <w:rFonts w:ascii="宋体" w:hAnsi="宋体"/>
                <w:color w:val="auto"/>
                <w:sz w:val="24"/>
                <w:highlight w:val="none"/>
              </w:rPr>
            </w:pPr>
          </w:p>
        </w:tc>
        <w:tc>
          <w:tcPr>
            <w:tcW w:w="2205" w:type="dxa"/>
          </w:tcPr>
          <w:p>
            <w:pPr>
              <w:spacing w:line="360" w:lineRule="auto"/>
              <w:jc w:val="center"/>
              <w:rPr>
                <w:rFonts w:ascii="宋体" w:hAnsi="宋体"/>
                <w:color w:val="auto"/>
                <w:sz w:val="24"/>
                <w:highlight w:val="none"/>
              </w:rPr>
            </w:pPr>
          </w:p>
        </w:tc>
        <w:tc>
          <w:tcPr>
            <w:tcW w:w="1048" w:type="dxa"/>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947" w:type="dxa"/>
          </w:tcPr>
          <w:p>
            <w:pPr>
              <w:spacing w:line="360" w:lineRule="auto"/>
              <w:jc w:val="center"/>
              <w:rPr>
                <w:rFonts w:ascii="宋体" w:hAnsi="宋体"/>
                <w:color w:val="auto"/>
                <w:sz w:val="24"/>
                <w:highlight w:val="none"/>
              </w:rPr>
            </w:pPr>
          </w:p>
        </w:tc>
        <w:tc>
          <w:tcPr>
            <w:tcW w:w="3775" w:type="dxa"/>
          </w:tcPr>
          <w:p>
            <w:pPr>
              <w:spacing w:line="360" w:lineRule="auto"/>
              <w:jc w:val="center"/>
              <w:rPr>
                <w:rFonts w:ascii="宋体" w:hAnsi="宋体"/>
                <w:color w:val="auto"/>
                <w:sz w:val="24"/>
                <w:highlight w:val="none"/>
              </w:rPr>
            </w:pPr>
          </w:p>
        </w:tc>
        <w:tc>
          <w:tcPr>
            <w:tcW w:w="2363" w:type="dxa"/>
          </w:tcPr>
          <w:p>
            <w:pPr>
              <w:spacing w:line="360" w:lineRule="auto"/>
              <w:jc w:val="center"/>
              <w:rPr>
                <w:rFonts w:ascii="宋体" w:hAnsi="宋体"/>
                <w:color w:val="auto"/>
                <w:sz w:val="24"/>
                <w:highlight w:val="none"/>
              </w:rPr>
            </w:pPr>
          </w:p>
        </w:tc>
        <w:tc>
          <w:tcPr>
            <w:tcW w:w="1841" w:type="dxa"/>
          </w:tcPr>
          <w:p>
            <w:pPr>
              <w:spacing w:line="360" w:lineRule="auto"/>
              <w:jc w:val="center"/>
              <w:rPr>
                <w:rFonts w:ascii="宋体" w:hAnsi="宋体"/>
                <w:color w:val="auto"/>
                <w:sz w:val="24"/>
                <w:highlight w:val="none"/>
              </w:rPr>
            </w:pPr>
          </w:p>
        </w:tc>
        <w:tc>
          <w:tcPr>
            <w:tcW w:w="1995" w:type="dxa"/>
          </w:tcPr>
          <w:p>
            <w:pPr>
              <w:spacing w:line="360" w:lineRule="auto"/>
              <w:jc w:val="center"/>
              <w:rPr>
                <w:rFonts w:ascii="宋体" w:hAnsi="宋体"/>
                <w:color w:val="auto"/>
                <w:sz w:val="24"/>
                <w:highlight w:val="none"/>
              </w:rPr>
            </w:pPr>
          </w:p>
        </w:tc>
        <w:tc>
          <w:tcPr>
            <w:tcW w:w="2205" w:type="dxa"/>
          </w:tcPr>
          <w:p>
            <w:pPr>
              <w:spacing w:line="360" w:lineRule="auto"/>
              <w:jc w:val="center"/>
              <w:rPr>
                <w:rFonts w:ascii="宋体" w:hAnsi="宋体"/>
                <w:color w:val="auto"/>
                <w:sz w:val="24"/>
                <w:highlight w:val="none"/>
              </w:rPr>
            </w:pPr>
          </w:p>
        </w:tc>
        <w:tc>
          <w:tcPr>
            <w:tcW w:w="1048" w:type="dxa"/>
          </w:tcPr>
          <w:p>
            <w:pPr>
              <w:spacing w:line="360" w:lineRule="auto"/>
              <w:jc w:val="center"/>
              <w:rPr>
                <w:rFonts w:ascii="宋体" w:hAnsi="宋体"/>
                <w:color w:val="auto"/>
                <w:sz w:val="24"/>
                <w:highlight w:val="none"/>
              </w:rPr>
            </w:pPr>
          </w:p>
        </w:tc>
      </w:tr>
    </w:tbl>
    <w:p>
      <w:pPr>
        <w:spacing w:line="360" w:lineRule="auto"/>
        <w:rPr>
          <w:rFonts w:ascii="宋体" w:hAnsi="宋体"/>
          <w:color w:val="auto"/>
          <w:highlight w:val="none"/>
        </w:rPr>
      </w:pPr>
    </w:p>
    <w:p>
      <w:pPr>
        <w:spacing w:line="360" w:lineRule="auto"/>
        <w:rPr>
          <w:rFonts w:ascii="宋体" w:hAnsi="宋体"/>
          <w:color w:val="auto"/>
          <w:szCs w:val="21"/>
          <w:highlight w:val="none"/>
        </w:rPr>
      </w:pPr>
      <w:r>
        <w:rPr>
          <w:rFonts w:hint="eastAsia" w:ascii="宋体" w:hAnsi="宋体"/>
          <w:color w:val="auto"/>
          <w:highlight w:val="none"/>
        </w:rPr>
        <w:t>评委签名：</w:t>
      </w:r>
      <w:r>
        <w:rPr>
          <w:rFonts w:ascii="宋体" w:hAnsi="宋体"/>
          <w:color w:val="auto"/>
          <w:szCs w:val="21"/>
          <w:highlight w:val="none"/>
        </w:rPr>
        <w:t xml:space="preserve">                     日期：</w:t>
      </w:r>
    </w:p>
    <w:p>
      <w:pPr>
        <w:rPr>
          <w:rFonts w:ascii="宋体" w:hAnsi="宋体"/>
          <w:color w:val="auto"/>
          <w:szCs w:val="21"/>
          <w:highlight w:val="none"/>
        </w:rPr>
        <w:sectPr>
          <w:pgSz w:w="16838" w:h="11906" w:orient="landscape"/>
          <w:pgMar w:top="1276" w:right="1440" w:bottom="1797" w:left="1440" w:header="851" w:footer="992" w:gutter="0"/>
          <w:cols w:space="720" w:num="1"/>
          <w:docGrid w:linePitch="312" w:charSpace="0"/>
        </w:sectPr>
      </w:pPr>
    </w:p>
    <w:p>
      <w:pPr>
        <w:snapToGrid w:val="0"/>
        <w:rPr>
          <w:rFonts w:ascii="黑体" w:hAnsi="黑体" w:eastAsia="黑体"/>
          <w:b/>
          <w:color w:val="auto"/>
          <w:sz w:val="24"/>
          <w:highlight w:val="none"/>
        </w:rPr>
      </w:pPr>
      <w:r>
        <w:rPr>
          <w:rFonts w:hint="eastAsia" w:ascii="宋体" w:hAnsi="宋体"/>
          <w:b/>
          <w:color w:val="auto"/>
          <w:sz w:val="28"/>
          <w:szCs w:val="28"/>
          <w:highlight w:val="none"/>
        </w:rPr>
        <w:t xml:space="preserve">附表6：    </w:t>
      </w:r>
      <w:r>
        <w:rPr>
          <w:rFonts w:hint="eastAsia" w:ascii="黑体" w:hAnsi="黑体" w:eastAsia="黑体"/>
          <w:b/>
          <w:color w:val="auto"/>
          <w:sz w:val="24"/>
          <w:highlight w:val="none"/>
        </w:rPr>
        <w:t xml:space="preserve">                      </w:t>
      </w:r>
    </w:p>
    <w:p>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建安工程费投标报价评分表</w:t>
      </w:r>
    </w:p>
    <w:p>
      <w:pPr>
        <w:spacing w:line="360" w:lineRule="auto"/>
        <w:rPr>
          <w:rFonts w:ascii="宋体" w:hAnsi="宋体"/>
          <w:color w:val="auto"/>
          <w:sz w:val="24"/>
          <w:highlight w:val="none"/>
        </w:rPr>
      </w:pPr>
      <w:r>
        <w:rPr>
          <w:rFonts w:hint="eastAsia" w:ascii="宋体" w:hAnsi="宋体"/>
          <w:color w:val="auto"/>
          <w:sz w:val="24"/>
          <w:highlight w:val="none"/>
        </w:rPr>
        <w:t>工程名称：</w:t>
      </w:r>
    </w:p>
    <w:tbl>
      <w:tblPr>
        <w:tblStyle w:val="38"/>
        <w:tblW w:w="13982" w:type="dxa"/>
        <w:jc w:val="center"/>
        <w:tblLayout w:type="fixed"/>
        <w:tblCellMar>
          <w:top w:w="0" w:type="dxa"/>
          <w:left w:w="108" w:type="dxa"/>
          <w:bottom w:w="0" w:type="dxa"/>
          <w:right w:w="108" w:type="dxa"/>
        </w:tblCellMar>
      </w:tblPr>
      <w:tblGrid>
        <w:gridCol w:w="5718"/>
        <w:gridCol w:w="1294"/>
        <w:gridCol w:w="1296"/>
        <w:gridCol w:w="1295"/>
        <w:gridCol w:w="1296"/>
        <w:gridCol w:w="3083"/>
      </w:tblGrid>
      <w:tr>
        <w:tblPrEx>
          <w:tblCellMar>
            <w:top w:w="0" w:type="dxa"/>
            <w:left w:w="108" w:type="dxa"/>
            <w:bottom w:w="0" w:type="dxa"/>
            <w:right w:w="108" w:type="dxa"/>
          </w:tblCellMar>
        </w:tblPrEx>
        <w:trPr>
          <w:trHeight w:val="1158"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rPr>
            </w:pPr>
            <w:r>
              <w:rPr>
                <w:rFonts w:hint="eastAsia" w:ascii="宋体" w:hAnsi="宋体"/>
                <w:color w:val="auto"/>
                <w:sz w:val="24"/>
                <w:highlight w:val="none"/>
              </w:rPr>
              <w:t>投标人名称</w:t>
            </w:r>
          </w:p>
        </w:tc>
        <w:tc>
          <w:tcPr>
            <w:tcW w:w="1294"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1295"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3083"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r>
      <w:tr>
        <w:tblPrEx>
          <w:tblCellMar>
            <w:top w:w="0" w:type="dxa"/>
            <w:left w:w="108" w:type="dxa"/>
            <w:bottom w:w="0" w:type="dxa"/>
            <w:right w:w="108" w:type="dxa"/>
          </w:tblCellMar>
        </w:tblPrEx>
        <w:trPr>
          <w:trHeight w:val="749"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rPr>
            </w:pPr>
            <w:r>
              <w:rPr>
                <w:rFonts w:hint="eastAsia" w:ascii="宋体" w:hAnsi="宋体"/>
                <w:color w:val="auto"/>
                <w:sz w:val="24"/>
                <w:highlight w:val="none"/>
              </w:rPr>
              <w:t>建安工程费投标报价</w:t>
            </w:r>
            <w:r>
              <w:rPr>
                <w:rFonts w:ascii="宋体" w:hAnsi="宋体"/>
                <w:color w:val="auto"/>
                <w:sz w:val="24"/>
                <w:highlight w:val="none"/>
              </w:rPr>
              <w:t>PT（元）</w:t>
            </w:r>
          </w:p>
        </w:tc>
        <w:tc>
          <w:tcPr>
            <w:tcW w:w="1294"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1295"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3083"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r>
      <w:tr>
        <w:tblPrEx>
          <w:tblCellMar>
            <w:top w:w="0" w:type="dxa"/>
            <w:left w:w="108" w:type="dxa"/>
            <w:bottom w:w="0" w:type="dxa"/>
            <w:right w:w="108" w:type="dxa"/>
          </w:tblCellMar>
        </w:tblPrEx>
        <w:trPr>
          <w:trHeight w:val="750"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rPr>
            </w:pPr>
            <w:r>
              <w:rPr>
                <w:rFonts w:hint="eastAsia" w:ascii="宋体" w:hAnsi="宋体"/>
                <w:color w:val="auto"/>
                <w:sz w:val="24"/>
                <w:highlight w:val="none"/>
              </w:rPr>
              <w:t>计算参考数据</w:t>
            </w:r>
          </w:p>
        </w:tc>
        <w:tc>
          <w:tcPr>
            <w:tcW w:w="8264" w:type="dxa"/>
            <w:gridSpan w:val="5"/>
            <w:tcBorders>
              <w:top w:val="single" w:color="auto" w:sz="4" w:space="0"/>
              <w:left w:val="nil"/>
              <w:bottom w:val="single" w:color="auto" w:sz="4" w:space="0"/>
              <w:right w:val="single" w:color="auto" w:sz="4" w:space="0"/>
            </w:tcBorders>
            <w:vAlign w:val="center"/>
          </w:tcPr>
          <w:p>
            <w:pPr>
              <w:rPr>
                <w:rFonts w:ascii="宋体" w:hAnsi="宋体"/>
                <w:color w:val="auto"/>
                <w:sz w:val="24"/>
                <w:highlight w:val="none"/>
              </w:rPr>
            </w:pPr>
            <w:r>
              <w:rPr>
                <w:rFonts w:hint="eastAsia" w:ascii="宋体" w:hAnsi="宋体"/>
                <w:color w:val="auto"/>
                <w:highlight w:val="none"/>
              </w:rPr>
              <w:t>评标参考价（</w:t>
            </w:r>
            <w:r>
              <w:rPr>
                <w:rFonts w:ascii="宋体" w:hAnsi="宋体"/>
                <w:color w:val="auto"/>
                <w:highlight w:val="none"/>
              </w:rPr>
              <w:t>PC）：</w:t>
            </w:r>
          </w:p>
        </w:tc>
      </w:tr>
      <w:tr>
        <w:tblPrEx>
          <w:tblCellMar>
            <w:top w:w="0" w:type="dxa"/>
            <w:left w:w="108" w:type="dxa"/>
            <w:bottom w:w="0" w:type="dxa"/>
            <w:right w:w="108" w:type="dxa"/>
          </w:tblCellMar>
        </w:tblPrEx>
        <w:trPr>
          <w:trHeight w:val="750"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pacing w:val="-10"/>
                <w:sz w:val="24"/>
                <w:highlight w:val="none"/>
              </w:rPr>
            </w:pPr>
            <w:r>
              <w:rPr>
                <w:rFonts w:hint="eastAsia" w:ascii="宋体" w:hAnsi="宋体"/>
                <w:color w:val="auto"/>
                <w:spacing w:val="-10"/>
                <w:sz w:val="24"/>
                <w:highlight w:val="none"/>
              </w:rPr>
              <w:t>偏差（（</w:t>
            </w:r>
            <w:r>
              <w:rPr>
                <w:rFonts w:ascii="宋体" w:hAnsi="宋体"/>
                <w:color w:val="auto"/>
                <w:spacing w:val="-10"/>
                <w:sz w:val="24"/>
                <w:highlight w:val="none"/>
              </w:rPr>
              <w:t>PT-PC）/PC）（%）</w:t>
            </w:r>
          </w:p>
        </w:tc>
        <w:tc>
          <w:tcPr>
            <w:tcW w:w="1294"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1295"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3083"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r>
      <w:tr>
        <w:tblPrEx>
          <w:tblCellMar>
            <w:top w:w="0" w:type="dxa"/>
            <w:left w:w="108" w:type="dxa"/>
            <w:bottom w:w="0" w:type="dxa"/>
            <w:right w:w="108" w:type="dxa"/>
          </w:tblCellMar>
        </w:tblPrEx>
        <w:trPr>
          <w:trHeight w:val="749"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rPr>
            </w:pPr>
            <w:r>
              <w:rPr>
                <w:rFonts w:hint="eastAsia" w:ascii="宋体" w:hAnsi="宋体"/>
                <w:color w:val="auto"/>
                <w:sz w:val="24"/>
                <w:highlight w:val="none"/>
              </w:rPr>
              <w:t>减分（</w:t>
            </w:r>
            <w:r>
              <w:rPr>
                <w:rFonts w:ascii="宋体" w:hAnsi="宋体"/>
                <w:color w:val="auto"/>
                <w:sz w:val="24"/>
                <w:highlight w:val="none"/>
              </w:rPr>
              <w:t>A）</w:t>
            </w:r>
          </w:p>
        </w:tc>
        <w:tc>
          <w:tcPr>
            <w:tcW w:w="1294"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1295"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3083"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r>
      <w:tr>
        <w:tblPrEx>
          <w:tblCellMar>
            <w:top w:w="0" w:type="dxa"/>
            <w:left w:w="108" w:type="dxa"/>
            <w:bottom w:w="0" w:type="dxa"/>
            <w:right w:w="108" w:type="dxa"/>
          </w:tblCellMar>
        </w:tblPrEx>
        <w:trPr>
          <w:trHeight w:val="750"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rPr>
            </w:pPr>
            <w:r>
              <w:rPr>
                <w:rFonts w:hint="eastAsia" w:ascii="宋体" w:hAnsi="宋体"/>
                <w:color w:val="auto"/>
                <w:sz w:val="24"/>
                <w:highlight w:val="none"/>
              </w:rPr>
              <w:t>经济标得分</w:t>
            </w:r>
            <w:r>
              <w:rPr>
                <w:rFonts w:ascii="宋体" w:hAnsi="宋体"/>
                <w:color w:val="auto"/>
                <w:sz w:val="24"/>
                <w:highlight w:val="none"/>
              </w:rPr>
              <w:t>(I=100-A)</w:t>
            </w:r>
          </w:p>
        </w:tc>
        <w:tc>
          <w:tcPr>
            <w:tcW w:w="1294"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1295"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3083"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r>
    </w:tbl>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评委签名：                   日期：</w:t>
      </w:r>
    </w:p>
    <w:p>
      <w:pPr>
        <w:spacing w:line="400" w:lineRule="exact"/>
        <w:rPr>
          <w:rFonts w:ascii="宋体" w:hAnsi="宋体"/>
          <w:b/>
          <w:color w:val="auto"/>
          <w:sz w:val="28"/>
          <w:szCs w:val="28"/>
          <w:highlight w:val="none"/>
        </w:rPr>
      </w:pPr>
      <w:r>
        <w:rPr>
          <w:rFonts w:hint="eastAsia" w:ascii="宋体" w:hAnsi="宋体"/>
          <w:b/>
          <w:color w:val="auto"/>
          <w:sz w:val="28"/>
          <w:szCs w:val="28"/>
          <w:highlight w:val="none"/>
        </w:rPr>
        <w:br w:type="page"/>
      </w:r>
    </w:p>
    <w:p>
      <w:pPr>
        <w:spacing w:line="400" w:lineRule="exact"/>
        <w:rPr>
          <w:rFonts w:ascii="宋体" w:hAnsi="宋体"/>
          <w:b/>
          <w:color w:val="auto"/>
          <w:sz w:val="28"/>
          <w:szCs w:val="28"/>
          <w:highlight w:val="none"/>
        </w:rPr>
      </w:pPr>
      <w:r>
        <w:rPr>
          <w:rFonts w:hint="eastAsia" w:ascii="宋体" w:hAnsi="宋体"/>
          <w:b/>
          <w:color w:val="auto"/>
          <w:sz w:val="28"/>
          <w:szCs w:val="28"/>
          <w:highlight w:val="none"/>
        </w:rPr>
        <w:t>附表7：</w:t>
      </w:r>
    </w:p>
    <w:p>
      <w:pPr>
        <w:spacing w:line="360" w:lineRule="auto"/>
        <w:jc w:val="center"/>
        <w:rPr>
          <w:rFonts w:ascii="黑体" w:hAnsi="黑体" w:eastAsia="黑体" w:cs="黑体"/>
          <w:b/>
          <w:color w:val="auto"/>
          <w:sz w:val="32"/>
          <w:szCs w:val="32"/>
          <w:highlight w:val="none"/>
        </w:rPr>
      </w:pPr>
      <w:r>
        <w:rPr>
          <w:rFonts w:hint="eastAsia" w:ascii="黑体" w:hAnsi="黑体" w:eastAsia="黑体" w:cs="黑体"/>
          <w:b/>
          <w:color w:val="auto"/>
          <w:sz w:val="32"/>
          <w:szCs w:val="32"/>
          <w:highlight w:val="none"/>
        </w:rPr>
        <w:t>总得分汇总表</w:t>
      </w:r>
    </w:p>
    <w:p>
      <w:pPr>
        <w:spacing w:line="360" w:lineRule="auto"/>
        <w:jc w:val="left"/>
        <w:rPr>
          <w:color w:val="auto"/>
          <w:szCs w:val="21"/>
          <w:highlight w:val="none"/>
        </w:rPr>
      </w:pPr>
      <w:r>
        <w:rPr>
          <w:rFonts w:hint="eastAsia"/>
          <w:color w:val="auto"/>
          <w:szCs w:val="21"/>
          <w:highlight w:val="none"/>
        </w:rPr>
        <w:t xml:space="preserve">项目名称：                                                                                           </w:t>
      </w:r>
    </w:p>
    <w:tbl>
      <w:tblPr>
        <w:tblStyle w:val="38"/>
        <w:tblW w:w="14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4292"/>
        <w:gridCol w:w="2760"/>
        <w:gridCol w:w="1984"/>
        <w:gridCol w:w="1701"/>
        <w:gridCol w:w="1589"/>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80" w:type="dxa"/>
            <w:vAlign w:val="center"/>
          </w:tcPr>
          <w:p>
            <w:pPr>
              <w:spacing w:line="360" w:lineRule="auto"/>
              <w:jc w:val="center"/>
              <w:rPr>
                <w:color w:val="auto"/>
                <w:szCs w:val="21"/>
                <w:highlight w:val="none"/>
              </w:rPr>
            </w:pPr>
            <w:r>
              <w:rPr>
                <w:rFonts w:hint="eastAsia"/>
                <w:color w:val="auto"/>
                <w:szCs w:val="21"/>
                <w:highlight w:val="none"/>
              </w:rPr>
              <w:t>序号</w:t>
            </w:r>
          </w:p>
        </w:tc>
        <w:tc>
          <w:tcPr>
            <w:tcW w:w="4292" w:type="dxa"/>
            <w:vAlign w:val="center"/>
          </w:tcPr>
          <w:p>
            <w:pPr>
              <w:spacing w:line="360" w:lineRule="auto"/>
              <w:jc w:val="center"/>
              <w:rPr>
                <w:color w:val="auto"/>
                <w:szCs w:val="21"/>
                <w:highlight w:val="none"/>
              </w:rPr>
            </w:pPr>
            <w:r>
              <w:rPr>
                <w:rFonts w:hint="eastAsia"/>
                <w:color w:val="auto"/>
                <w:szCs w:val="21"/>
                <w:highlight w:val="none"/>
              </w:rPr>
              <w:t>权重</w:t>
            </w:r>
          </w:p>
        </w:tc>
        <w:tc>
          <w:tcPr>
            <w:tcW w:w="2760" w:type="dxa"/>
            <w:vAlign w:val="center"/>
          </w:tcPr>
          <w:p>
            <w:pPr>
              <w:spacing w:line="360" w:lineRule="auto"/>
              <w:jc w:val="center"/>
              <w:rPr>
                <w:color w:val="auto"/>
                <w:szCs w:val="21"/>
                <w:highlight w:val="none"/>
              </w:rPr>
            </w:pPr>
            <w:r>
              <w:rPr>
                <w:rFonts w:hint="eastAsia"/>
                <w:color w:val="auto"/>
                <w:szCs w:val="21"/>
                <w:highlight w:val="none"/>
              </w:rPr>
              <w:t>项目</w:t>
            </w:r>
          </w:p>
        </w:tc>
        <w:tc>
          <w:tcPr>
            <w:tcW w:w="1984" w:type="dxa"/>
            <w:vAlign w:val="center"/>
          </w:tcPr>
          <w:p>
            <w:pPr>
              <w:spacing w:line="360" w:lineRule="auto"/>
              <w:jc w:val="center"/>
              <w:rPr>
                <w:color w:val="auto"/>
                <w:szCs w:val="21"/>
                <w:highlight w:val="none"/>
              </w:rPr>
            </w:pPr>
            <w:r>
              <w:rPr>
                <w:rFonts w:hint="eastAsia"/>
                <w:color w:val="auto"/>
                <w:szCs w:val="21"/>
                <w:highlight w:val="none"/>
              </w:rPr>
              <w:t>投标人1</w:t>
            </w:r>
          </w:p>
        </w:tc>
        <w:tc>
          <w:tcPr>
            <w:tcW w:w="1701" w:type="dxa"/>
            <w:vAlign w:val="center"/>
          </w:tcPr>
          <w:p>
            <w:pPr>
              <w:spacing w:line="360" w:lineRule="auto"/>
              <w:jc w:val="center"/>
              <w:rPr>
                <w:color w:val="auto"/>
                <w:szCs w:val="21"/>
                <w:highlight w:val="none"/>
              </w:rPr>
            </w:pPr>
            <w:r>
              <w:rPr>
                <w:rFonts w:hint="eastAsia"/>
                <w:color w:val="auto"/>
                <w:szCs w:val="21"/>
                <w:highlight w:val="none"/>
              </w:rPr>
              <w:t>投标人2</w:t>
            </w:r>
          </w:p>
        </w:tc>
        <w:tc>
          <w:tcPr>
            <w:tcW w:w="1589" w:type="dxa"/>
            <w:vAlign w:val="center"/>
          </w:tcPr>
          <w:p>
            <w:pPr>
              <w:spacing w:line="360" w:lineRule="auto"/>
              <w:jc w:val="center"/>
              <w:rPr>
                <w:color w:val="auto"/>
                <w:szCs w:val="21"/>
                <w:highlight w:val="none"/>
              </w:rPr>
            </w:pPr>
            <w:r>
              <w:rPr>
                <w:rFonts w:hint="eastAsia"/>
                <w:color w:val="auto"/>
                <w:szCs w:val="21"/>
                <w:highlight w:val="none"/>
              </w:rPr>
              <w:t>……</w:t>
            </w:r>
          </w:p>
        </w:tc>
        <w:tc>
          <w:tcPr>
            <w:tcW w:w="876" w:type="dxa"/>
            <w:vAlign w:val="center"/>
          </w:tcPr>
          <w:p>
            <w:pPr>
              <w:spacing w:line="360" w:lineRule="auto"/>
              <w:jc w:val="center"/>
              <w:rPr>
                <w:color w:val="auto"/>
                <w:szCs w:val="21"/>
                <w:highlight w:val="none"/>
              </w:rPr>
            </w:pPr>
            <w:r>
              <w:rPr>
                <w:rFonts w:hint="eastAsia"/>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80" w:type="dxa"/>
            <w:vAlign w:val="center"/>
          </w:tcPr>
          <w:p>
            <w:pPr>
              <w:spacing w:line="360" w:lineRule="auto"/>
              <w:jc w:val="center"/>
              <w:rPr>
                <w:color w:val="auto"/>
                <w:szCs w:val="21"/>
                <w:highlight w:val="none"/>
              </w:rPr>
            </w:pPr>
            <w:r>
              <w:rPr>
                <w:rFonts w:hint="eastAsia"/>
                <w:color w:val="auto"/>
                <w:szCs w:val="21"/>
                <w:highlight w:val="none"/>
              </w:rPr>
              <w:t>1</w:t>
            </w:r>
          </w:p>
        </w:tc>
        <w:tc>
          <w:tcPr>
            <w:tcW w:w="4292" w:type="dxa"/>
            <w:vAlign w:val="center"/>
          </w:tcPr>
          <w:p>
            <w:pPr>
              <w:spacing w:line="360" w:lineRule="auto"/>
              <w:jc w:val="center"/>
              <w:rPr>
                <w:color w:val="auto"/>
                <w:szCs w:val="21"/>
                <w:highlight w:val="none"/>
              </w:rPr>
            </w:pPr>
            <w:r>
              <w:rPr>
                <w:rFonts w:hint="eastAsia"/>
                <w:color w:val="auto"/>
                <w:szCs w:val="21"/>
                <w:highlight w:val="none"/>
              </w:rPr>
              <w:t>工程总承包实施方案（含资信部分）文件得分×</w:t>
            </w:r>
            <w:r>
              <w:rPr>
                <w:rFonts w:hint="eastAsia"/>
                <w:color w:val="auto"/>
                <w:szCs w:val="21"/>
                <w:highlight w:val="none"/>
                <w:lang w:val="en-US" w:eastAsia="zh-CN"/>
              </w:rPr>
              <w:t>50</w:t>
            </w:r>
            <w:r>
              <w:rPr>
                <w:rFonts w:hint="eastAsia"/>
                <w:color w:val="auto"/>
                <w:szCs w:val="21"/>
                <w:highlight w:val="none"/>
              </w:rPr>
              <w:t>%</w:t>
            </w:r>
          </w:p>
        </w:tc>
        <w:tc>
          <w:tcPr>
            <w:tcW w:w="2760" w:type="dxa"/>
            <w:vAlign w:val="center"/>
          </w:tcPr>
          <w:p>
            <w:pPr>
              <w:spacing w:line="360" w:lineRule="auto"/>
              <w:jc w:val="center"/>
              <w:rPr>
                <w:color w:val="auto"/>
                <w:szCs w:val="21"/>
                <w:highlight w:val="none"/>
              </w:rPr>
            </w:pPr>
            <w:r>
              <w:rPr>
                <w:rFonts w:hint="eastAsia"/>
                <w:color w:val="auto"/>
                <w:szCs w:val="21"/>
                <w:highlight w:val="none"/>
              </w:rPr>
              <w:t>工程总承包实施方案（含资信部分）文件得分</w:t>
            </w:r>
          </w:p>
        </w:tc>
        <w:tc>
          <w:tcPr>
            <w:tcW w:w="1984" w:type="dxa"/>
            <w:vAlign w:val="center"/>
          </w:tcPr>
          <w:p>
            <w:pPr>
              <w:spacing w:line="360" w:lineRule="auto"/>
              <w:jc w:val="center"/>
              <w:rPr>
                <w:color w:val="auto"/>
                <w:szCs w:val="21"/>
                <w:highlight w:val="none"/>
              </w:rPr>
            </w:pPr>
          </w:p>
        </w:tc>
        <w:tc>
          <w:tcPr>
            <w:tcW w:w="1701" w:type="dxa"/>
            <w:vAlign w:val="center"/>
          </w:tcPr>
          <w:p>
            <w:pPr>
              <w:spacing w:line="360" w:lineRule="auto"/>
              <w:jc w:val="center"/>
              <w:rPr>
                <w:color w:val="auto"/>
                <w:szCs w:val="21"/>
                <w:highlight w:val="none"/>
              </w:rPr>
            </w:pPr>
          </w:p>
        </w:tc>
        <w:tc>
          <w:tcPr>
            <w:tcW w:w="1589" w:type="dxa"/>
            <w:vAlign w:val="center"/>
          </w:tcPr>
          <w:p>
            <w:pPr>
              <w:spacing w:line="360" w:lineRule="auto"/>
              <w:jc w:val="center"/>
              <w:rPr>
                <w:color w:val="auto"/>
                <w:szCs w:val="21"/>
                <w:highlight w:val="none"/>
              </w:rPr>
            </w:pPr>
          </w:p>
        </w:tc>
        <w:tc>
          <w:tcPr>
            <w:tcW w:w="876" w:type="dxa"/>
            <w:vAlign w:val="center"/>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80" w:type="dxa"/>
            <w:vAlign w:val="center"/>
          </w:tcPr>
          <w:p>
            <w:pPr>
              <w:spacing w:line="360" w:lineRule="auto"/>
              <w:jc w:val="center"/>
              <w:rPr>
                <w:color w:val="auto"/>
                <w:szCs w:val="21"/>
                <w:highlight w:val="none"/>
              </w:rPr>
            </w:pPr>
            <w:r>
              <w:rPr>
                <w:rFonts w:hint="eastAsia"/>
                <w:color w:val="auto"/>
                <w:szCs w:val="21"/>
                <w:highlight w:val="none"/>
              </w:rPr>
              <w:t>2</w:t>
            </w:r>
          </w:p>
        </w:tc>
        <w:tc>
          <w:tcPr>
            <w:tcW w:w="4292" w:type="dxa"/>
            <w:vAlign w:val="center"/>
          </w:tcPr>
          <w:p>
            <w:pPr>
              <w:spacing w:line="360" w:lineRule="auto"/>
              <w:jc w:val="center"/>
              <w:rPr>
                <w:color w:val="auto"/>
                <w:szCs w:val="21"/>
                <w:highlight w:val="none"/>
              </w:rPr>
            </w:pPr>
            <w:r>
              <w:rPr>
                <w:rFonts w:hint="eastAsia"/>
                <w:color w:val="auto"/>
                <w:szCs w:val="21"/>
                <w:highlight w:val="none"/>
              </w:rPr>
              <w:t>投标报价得分×</w:t>
            </w:r>
            <w:r>
              <w:rPr>
                <w:rFonts w:hint="eastAsia"/>
                <w:color w:val="auto"/>
                <w:szCs w:val="21"/>
                <w:highlight w:val="none"/>
                <w:lang w:val="en-US" w:eastAsia="zh-CN"/>
              </w:rPr>
              <w:t>50</w:t>
            </w:r>
            <w:r>
              <w:rPr>
                <w:rFonts w:hint="eastAsia"/>
                <w:color w:val="auto"/>
                <w:szCs w:val="21"/>
                <w:highlight w:val="none"/>
              </w:rPr>
              <w:t>%</w:t>
            </w:r>
          </w:p>
        </w:tc>
        <w:tc>
          <w:tcPr>
            <w:tcW w:w="2760" w:type="dxa"/>
            <w:vAlign w:val="center"/>
          </w:tcPr>
          <w:p>
            <w:pPr>
              <w:spacing w:line="360" w:lineRule="auto"/>
              <w:jc w:val="center"/>
              <w:rPr>
                <w:color w:val="auto"/>
                <w:szCs w:val="21"/>
                <w:highlight w:val="none"/>
              </w:rPr>
            </w:pPr>
            <w:r>
              <w:rPr>
                <w:rFonts w:hint="eastAsia"/>
                <w:color w:val="auto"/>
                <w:szCs w:val="21"/>
                <w:highlight w:val="none"/>
              </w:rPr>
              <w:t>投标报价得分</w:t>
            </w:r>
          </w:p>
        </w:tc>
        <w:tc>
          <w:tcPr>
            <w:tcW w:w="1984" w:type="dxa"/>
            <w:vAlign w:val="center"/>
          </w:tcPr>
          <w:p>
            <w:pPr>
              <w:spacing w:line="360" w:lineRule="auto"/>
              <w:jc w:val="center"/>
              <w:rPr>
                <w:color w:val="auto"/>
                <w:szCs w:val="21"/>
                <w:highlight w:val="none"/>
              </w:rPr>
            </w:pPr>
          </w:p>
        </w:tc>
        <w:tc>
          <w:tcPr>
            <w:tcW w:w="1701" w:type="dxa"/>
            <w:vAlign w:val="center"/>
          </w:tcPr>
          <w:p>
            <w:pPr>
              <w:spacing w:line="360" w:lineRule="auto"/>
              <w:jc w:val="center"/>
              <w:rPr>
                <w:color w:val="auto"/>
                <w:szCs w:val="21"/>
                <w:highlight w:val="none"/>
              </w:rPr>
            </w:pPr>
          </w:p>
        </w:tc>
        <w:tc>
          <w:tcPr>
            <w:tcW w:w="1589" w:type="dxa"/>
            <w:vAlign w:val="center"/>
          </w:tcPr>
          <w:p>
            <w:pPr>
              <w:spacing w:line="360" w:lineRule="auto"/>
              <w:jc w:val="center"/>
              <w:rPr>
                <w:color w:val="auto"/>
                <w:szCs w:val="21"/>
                <w:highlight w:val="none"/>
              </w:rPr>
            </w:pPr>
          </w:p>
        </w:tc>
        <w:tc>
          <w:tcPr>
            <w:tcW w:w="876" w:type="dxa"/>
            <w:vAlign w:val="center"/>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032" w:type="dxa"/>
            <w:gridSpan w:val="3"/>
            <w:vAlign w:val="center"/>
          </w:tcPr>
          <w:p>
            <w:pPr>
              <w:spacing w:line="360" w:lineRule="auto"/>
              <w:jc w:val="center"/>
              <w:rPr>
                <w:color w:val="auto"/>
                <w:szCs w:val="21"/>
                <w:highlight w:val="none"/>
              </w:rPr>
            </w:pPr>
            <w:r>
              <w:rPr>
                <w:rFonts w:hint="eastAsia"/>
                <w:color w:val="auto"/>
                <w:szCs w:val="21"/>
                <w:highlight w:val="none"/>
              </w:rPr>
              <w:t>总得分=工程总承包实施方案（含资信部分）文件得分×</w:t>
            </w:r>
            <w:r>
              <w:rPr>
                <w:rFonts w:hint="eastAsia"/>
                <w:color w:val="auto"/>
                <w:szCs w:val="21"/>
                <w:highlight w:val="none"/>
                <w:lang w:val="en-US" w:eastAsia="zh-CN"/>
              </w:rPr>
              <w:t>50</w:t>
            </w:r>
            <w:r>
              <w:rPr>
                <w:rFonts w:hint="eastAsia"/>
                <w:color w:val="auto"/>
                <w:szCs w:val="21"/>
                <w:highlight w:val="none"/>
              </w:rPr>
              <w:t>%+投标报价得分×</w:t>
            </w:r>
            <w:r>
              <w:rPr>
                <w:rFonts w:hint="eastAsia"/>
                <w:color w:val="auto"/>
                <w:szCs w:val="21"/>
                <w:highlight w:val="none"/>
                <w:lang w:val="en-US" w:eastAsia="zh-CN"/>
              </w:rPr>
              <w:t>50</w:t>
            </w:r>
            <w:r>
              <w:rPr>
                <w:rFonts w:hint="eastAsia"/>
                <w:color w:val="auto"/>
                <w:szCs w:val="21"/>
                <w:highlight w:val="none"/>
              </w:rPr>
              <w:t>%</w:t>
            </w:r>
          </w:p>
        </w:tc>
        <w:tc>
          <w:tcPr>
            <w:tcW w:w="1984" w:type="dxa"/>
            <w:vAlign w:val="center"/>
          </w:tcPr>
          <w:p>
            <w:pPr>
              <w:spacing w:line="360" w:lineRule="auto"/>
              <w:jc w:val="center"/>
              <w:rPr>
                <w:color w:val="auto"/>
                <w:szCs w:val="21"/>
                <w:highlight w:val="none"/>
              </w:rPr>
            </w:pPr>
          </w:p>
        </w:tc>
        <w:tc>
          <w:tcPr>
            <w:tcW w:w="1701" w:type="dxa"/>
            <w:vAlign w:val="center"/>
          </w:tcPr>
          <w:p>
            <w:pPr>
              <w:spacing w:line="360" w:lineRule="auto"/>
              <w:jc w:val="center"/>
              <w:rPr>
                <w:color w:val="auto"/>
                <w:szCs w:val="21"/>
                <w:highlight w:val="none"/>
              </w:rPr>
            </w:pPr>
          </w:p>
        </w:tc>
        <w:tc>
          <w:tcPr>
            <w:tcW w:w="1589" w:type="dxa"/>
            <w:vAlign w:val="center"/>
          </w:tcPr>
          <w:p>
            <w:pPr>
              <w:spacing w:line="360" w:lineRule="auto"/>
              <w:jc w:val="center"/>
              <w:rPr>
                <w:color w:val="auto"/>
                <w:szCs w:val="21"/>
                <w:highlight w:val="none"/>
              </w:rPr>
            </w:pPr>
          </w:p>
        </w:tc>
        <w:tc>
          <w:tcPr>
            <w:tcW w:w="876" w:type="dxa"/>
            <w:vAlign w:val="center"/>
          </w:tcPr>
          <w:p>
            <w:pPr>
              <w:spacing w:line="360" w:lineRule="auto"/>
              <w:jc w:val="center"/>
              <w:rPr>
                <w:color w:val="auto"/>
                <w:szCs w:val="21"/>
                <w:highlight w:val="none"/>
              </w:rPr>
            </w:pPr>
          </w:p>
        </w:tc>
      </w:tr>
    </w:tbl>
    <w:p>
      <w:pPr>
        <w:spacing w:line="360" w:lineRule="auto"/>
        <w:rPr>
          <w:color w:val="auto"/>
          <w:szCs w:val="21"/>
          <w:highlight w:val="none"/>
        </w:rPr>
      </w:pPr>
      <w:r>
        <w:rPr>
          <w:rFonts w:hint="eastAsia"/>
          <w:color w:val="auto"/>
          <w:szCs w:val="21"/>
          <w:highlight w:val="none"/>
        </w:rPr>
        <w:t>注：精确到小数点后两位，第三位四舍五入。</w:t>
      </w:r>
    </w:p>
    <w:p>
      <w:pPr>
        <w:spacing w:line="360" w:lineRule="auto"/>
        <w:ind w:firstLine="405"/>
        <w:rPr>
          <w:color w:val="auto"/>
          <w:szCs w:val="21"/>
          <w:highlight w:val="none"/>
        </w:rPr>
      </w:pPr>
    </w:p>
    <w:p>
      <w:pPr>
        <w:rPr>
          <w:rFonts w:ascii="宋体" w:hAnsi="宋体"/>
          <w:color w:val="auto"/>
          <w:szCs w:val="21"/>
          <w:highlight w:val="none"/>
        </w:rPr>
        <w:sectPr>
          <w:pgSz w:w="16838" w:h="11906" w:orient="landscape"/>
          <w:pgMar w:top="1134" w:right="1440" w:bottom="1134" w:left="1440" w:header="851" w:footer="992" w:gutter="0"/>
          <w:cols w:space="720" w:num="1"/>
          <w:docGrid w:type="lines" w:linePitch="312" w:charSpace="0"/>
        </w:sectPr>
      </w:pPr>
      <w:r>
        <w:rPr>
          <w:rFonts w:hint="eastAsia" w:hAnsi="宋体"/>
          <w:color w:val="auto"/>
          <w:szCs w:val="21"/>
          <w:highlight w:val="none"/>
        </w:rPr>
        <w:t>评委签名：                                           日期：</w:t>
      </w:r>
    </w:p>
    <w:p>
      <w:pPr>
        <w:spacing w:line="400" w:lineRule="exact"/>
        <w:rPr>
          <w:rFonts w:ascii="宋体" w:hAnsi="宋体"/>
          <w:b/>
          <w:color w:val="auto"/>
          <w:sz w:val="28"/>
          <w:szCs w:val="28"/>
          <w:highlight w:val="none"/>
        </w:rPr>
      </w:pPr>
    </w:p>
    <w:p>
      <w:pPr>
        <w:spacing w:line="400" w:lineRule="exact"/>
        <w:rPr>
          <w:rFonts w:ascii="宋体" w:hAnsi="宋体"/>
          <w:b/>
          <w:color w:val="auto"/>
          <w:sz w:val="28"/>
          <w:szCs w:val="28"/>
          <w:highlight w:val="none"/>
        </w:rPr>
      </w:pPr>
      <w:r>
        <w:rPr>
          <w:rFonts w:hint="eastAsia" w:ascii="宋体" w:hAnsi="宋体"/>
          <w:b/>
          <w:color w:val="auto"/>
          <w:sz w:val="28"/>
          <w:szCs w:val="28"/>
          <w:highlight w:val="none"/>
        </w:rPr>
        <w:t>附表8：</w:t>
      </w:r>
    </w:p>
    <w:p>
      <w:pPr>
        <w:jc w:val="center"/>
        <w:rPr>
          <w:rFonts w:ascii="宋体" w:hAnsi="宋体"/>
          <w:b/>
          <w:color w:val="auto"/>
          <w:sz w:val="30"/>
          <w:szCs w:val="30"/>
          <w:highlight w:val="none"/>
        </w:rPr>
      </w:pPr>
      <w:r>
        <w:rPr>
          <w:rFonts w:hint="eastAsia" w:ascii="宋体" w:hAnsi="宋体"/>
          <w:b/>
          <w:color w:val="auto"/>
          <w:sz w:val="30"/>
          <w:szCs w:val="30"/>
          <w:highlight w:val="none"/>
        </w:rPr>
        <w:t>《投标人投入主要人员基本要求表》</w:t>
      </w:r>
    </w:p>
    <w:p>
      <w:pPr>
        <w:spacing w:line="256" w:lineRule="exact"/>
        <w:jc w:val="center"/>
        <w:rPr>
          <w:rFonts w:ascii="宋体" w:hAnsi="宋体"/>
          <w:b/>
          <w:color w:val="auto"/>
          <w:highlight w:val="none"/>
        </w:rPr>
      </w:pPr>
    </w:p>
    <w:tbl>
      <w:tblPr>
        <w:tblStyle w:val="38"/>
        <w:tblW w:w="14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723"/>
        <w:gridCol w:w="6073"/>
        <w:gridCol w:w="5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823" w:type="dxa"/>
            <w:vAlign w:val="center"/>
          </w:tcPr>
          <w:p>
            <w:pPr>
              <w:widowControl/>
              <w:spacing w:line="256"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项目管理团队</w:t>
            </w:r>
          </w:p>
        </w:tc>
        <w:tc>
          <w:tcPr>
            <w:tcW w:w="723" w:type="dxa"/>
            <w:vAlign w:val="center"/>
          </w:tcPr>
          <w:p>
            <w:pPr>
              <w:widowControl/>
              <w:spacing w:line="256"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数量</w:t>
            </w:r>
          </w:p>
        </w:tc>
        <w:tc>
          <w:tcPr>
            <w:tcW w:w="6073" w:type="dxa"/>
            <w:vAlign w:val="center"/>
          </w:tcPr>
          <w:p>
            <w:pPr>
              <w:widowControl/>
              <w:spacing w:line="256"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基本要求</w:t>
            </w:r>
          </w:p>
        </w:tc>
        <w:tc>
          <w:tcPr>
            <w:tcW w:w="5647" w:type="dxa"/>
            <w:vAlign w:val="center"/>
          </w:tcPr>
          <w:p>
            <w:pPr>
              <w:widowControl/>
              <w:spacing w:line="256"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823" w:type="dxa"/>
            <w:vAlign w:val="center"/>
          </w:tcPr>
          <w:p>
            <w:pPr>
              <w:pStyle w:val="88"/>
              <w:spacing w:before="93"/>
              <w:ind w:left="93" w:right="84"/>
              <w:jc w:val="center"/>
              <w:rPr>
                <w:color w:val="auto"/>
                <w:kern w:val="0"/>
                <w:szCs w:val="21"/>
                <w:highlight w:val="none"/>
              </w:rPr>
            </w:pPr>
            <w:r>
              <w:rPr>
                <w:color w:val="auto"/>
                <w:highlight w:val="none"/>
              </w:rPr>
              <w:t>项目负责人</w:t>
            </w:r>
          </w:p>
        </w:tc>
        <w:tc>
          <w:tcPr>
            <w:tcW w:w="723" w:type="dxa"/>
            <w:vAlign w:val="center"/>
          </w:tcPr>
          <w:p>
            <w:pPr>
              <w:pStyle w:val="88"/>
              <w:spacing w:before="93"/>
              <w:ind w:left="7"/>
              <w:jc w:val="center"/>
              <w:rPr>
                <w:color w:val="auto"/>
                <w:kern w:val="0"/>
                <w:szCs w:val="21"/>
                <w:highlight w:val="none"/>
              </w:rPr>
            </w:pPr>
            <w:r>
              <w:rPr>
                <w:color w:val="auto"/>
                <w:w w:val="99"/>
                <w:highlight w:val="none"/>
              </w:rPr>
              <w:t>1</w:t>
            </w:r>
          </w:p>
        </w:tc>
        <w:tc>
          <w:tcPr>
            <w:tcW w:w="6073" w:type="dxa"/>
            <w:vAlign w:val="center"/>
          </w:tcPr>
          <w:p>
            <w:pPr>
              <w:pStyle w:val="88"/>
              <w:spacing w:before="93"/>
              <w:ind w:right="624"/>
              <w:jc w:val="left"/>
              <w:rPr>
                <w:color w:val="auto"/>
                <w:kern w:val="0"/>
                <w:szCs w:val="21"/>
                <w:highlight w:val="none"/>
              </w:rPr>
            </w:pPr>
            <w:r>
              <w:rPr>
                <w:color w:val="auto"/>
                <w:highlight w:val="none"/>
              </w:rPr>
              <w:t>二级或以上</w:t>
            </w:r>
            <w:r>
              <w:rPr>
                <w:rFonts w:hint="eastAsia"/>
                <w:color w:val="auto"/>
                <w:highlight w:val="none"/>
                <w:lang w:val="en-US" w:eastAsia="zh-CN"/>
              </w:rPr>
              <w:t>市政公用</w:t>
            </w:r>
            <w:r>
              <w:rPr>
                <w:color w:val="auto"/>
                <w:highlight w:val="none"/>
              </w:rPr>
              <w:t>工程注册建造师证</w:t>
            </w:r>
          </w:p>
        </w:tc>
        <w:tc>
          <w:tcPr>
            <w:tcW w:w="5647" w:type="dxa"/>
            <w:vAlign w:val="center"/>
          </w:tcPr>
          <w:p>
            <w:pPr>
              <w:widowControl/>
              <w:spacing w:line="256" w:lineRule="exac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823" w:type="dxa"/>
            <w:vAlign w:val="center"/>
          </w:tcPr>
          <w:p>
            <w:pPr>
              <w:pStyle w:val="88"/>
              <w:spacing w:before="92"/>
              <w:ind w:left="93" w:right="84"/>
              <w:jc w:val="center"/>
              <w:rPr>
                <w:color w:val="auto"/>
                <w:kern w:val="0"/>
                <w:szCs w:val="21"/>
                <w:highlight w:val="none"/>
              </w:rPr>
            </w:pPr>
            <w:r>
              <w:rPr>
                <w:color w:val="auto"/>
                <w:highlight w:val="none"/>
              </w:rPr>
              <w:t>技术负责人</w:t>
            </w:r>
          </w:p>
        </w:tc>
        <w:tc>
          <w:tcPr>
            <w:tcW w:w="723" w:type="dxa"/>
            <w:vAlign w:val="center"/>
          </w:tcPr>
          <w:p>
            <w:pPr>
              <w:pStyle w:val="88"/>
              <w:spacing w:before="92"/>
              <w:ind w:left="7"/>
              <w:jc w:val="center"/>
              <w:rPr>
                <w:color w:val="auto"/>
                <w:kern w:val="0"/>
                <w:szCs w:val="21"/>
                <w:highlight w:val="none"/>
              </w:rPr>
            </w:pPr>
            <w:r>
              <w:rPr>
                <w:color w:val="auto"/>
                <w:w w:val="99"/>
                <w:highlight w:val="none"/>
              </w:rPr>
              <w:t>1</w:t>
            </w:r>
          </w:p>
        </w:tc>
        <w:tc>
          <w:tcPr>
            <w:tcW w:w="6073" w:type="dxa"/>
            <w:vAlign w:val="center"/>
          </w:tcPr>
          <w:p>
            <w:pPr>
              <w:pStyle w:val="88"/>
              <w:spacing w:before="92"/>
              <w:ind w:right="624"/>
              <w:jc w:val="left"/>
              <w:rPr>
                <w:color w:val="auto"/>
                <w:kern w:val="0"/>
                <w:szCs w:val="21"/>
                <w:highlight w:val="none"/>
              </w:rPr>
            </w:pPr>
            <w:r>
              <w:rPr>
                <w:rFonts w:hint="eastAsia"/>
                <w:color w:val="auto"/>
                <w:highlight w:val="none"/>
                <w:lang w:val="en-US" w:eastAsia="zh-CN"/>
              </w:rPr>
              <w:t>二</w:t>
            </w:r>
            <w:r>
              <w:rPr>
                <w:rFonts w:hint="eastAsia"/>
                <w:color w:val="auto"/>
                <w:highlight w:val="none"/>
              </w:rPr>
              <w:t>级</w:t>
            </w:r>
            <w:r>
              <w:rPr>
                <w:rFonts w:hint="eastAsia"/>
                <w:color w:val="auto"/>
                <w:highlight w:val="none"/>
                <w:lang w:eastAsia="zh-CN"/>
              </w:rPr>
              <w:t>或以上</w:t>
            </w:r>
            <w:r>
              <w:rPr>
                <w:rFonts w:hint="eastAsia"/>
                <w:color w:val="auto"/>
                <w:highlight w:val="none"/>
              </w:rPr>
              <w:t>注册建筑师证</w:t>
            </w:r>
          </w:p>
        </w:tc>
        <w:tc>
          <w:tcPr>
            <w:tcW w:w="5647" w:type="dxa"/>
            <w:vAlign w:val="center"/>
          </w:tcPr>
          <w:p>
            <w:pPr>
              <w:widowControl/>
              <w:spacing w:line="256" w:lineRule="exac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823" w:type="dxa"/>
            <w:vAlign w:val="center"/>
          </w:tcPr>
          <w:p>
            <w:pPr>
              <w:pStyle w:val="88"/>
              <w:spacing w:before="93"/>
              <w:ind w:left="90" w:right="84"/>
              <w:jc w:val="center"/>
              <w:rPr>
                <w:color w:val="auto"/>
                <w:kern w:val="0"/>
                <w:szCs w:val="21"/>
                <w:highlight w:val="none"/>
              </w:rPr>
            </w:pPr>
            <w:r>
              <w:rPr>
                <w:color w:val="auto"/>
                <w:highlight w:val="none"/>
              </w:rPr>
              <w:t>安全员</w:t>
            </w:r>
          </w:p>
        </w:tc>
        <w:tc>
          <w:tcPr>
            <w:tcW w:w="723" w:type="dxa"/>
            <w:vAlign w:val="center"/>
          </w:tcPr>
          <w:p>
            <w:pPr>
              <w:pStyle w:val="88"/>
              <w:spacing w:before="93"/>
              <w:ind w:left="7"/>
              <w:jc w:val="center"/>
              <w:rPr>
                <w:color w:val="auto"/>
                <w:kern w:val="0"/>
                <w:szCs w:val="21"/>
                <w:highlight w:val="none"/>
              </w:rPr>
            </w:pPr>
            <w:r>
              <w:rPr>
                <w:color w:val="auto"/>
                <w:w w:val="99"/>
                <w:highlight w:val="none"/>
              </w:rPr>
              <w:t>2</w:t>
            </w:r>
          </w:p>
        </w:tc>
        <w:tc>
          <w:tcPr>
            <w:tcW w:w="6073" w:type="dxa"/>
            <w:vAlign w:val="center"/>
          </w:tcPr>
          <w:p>
            <w:pPr>
              <w:pStyle w:val="88"/>
              <w:spacing w:before="93"/>
              <w:ind w:right="619"/>
              <w:jc w:val="left"/>
              <w:rPr>
                <w:color w:val="auto"/>
                <w:kern w:val="0"/>
                <w:szCs w:val="21"/>
                <w:highlight w:val="none"/>
              </w:rPr>
            </w:pPr>
            <w:r>
              <w:rPr>
                <w:color w:val="auto"/>
                <w:highlight w:val="none"/>
              </w:rPr>
              <w:t>安全员上岗证或建安 C 证</w:t>
            </w:r>
          </w:p>
        </w:tc>
        <w:tc>
          <w:tcPr>
            <w:tcW w:w="5647" w:type="dxa"/>
            <w:vAlign w:val="center"/>
          </w:tcPr>
          <w:p>
            <w:pPr>
              <w:widowControl/>
              <w:spacing w:line="256" w:lineRule="exac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823" w:type="dxa"/>
            <w:vAlign w:val="center"/>
          </w:tcPr>
          <w:p>
            <w:pPr>
              <w:pStyle w:val="88"/>
              <w:spacing w:before="92"/>
              <w:ind w:left="90" w:right="84"/>
              <w:jc w:val="center"/>
              <w:rPr>
                <w:color w:val="auto"/>
                <w:kern w:val="0"/>
                <w:szCs w:val="21"/>
                <w:highlight w:val="none"/>
              </w:rPr>
            </w:pPr>
            <w:r>
              <w:rPr>
                <w:color w:val="auto"/>
                <w:highlight w:val="none"/>
              </w:rPr>
              <w:t>质检员</w:t>
            </w:r>
          </w:p>
        </w:tc>
        <w:tc>
          <w:tcPr>
            <w:tcW w:w="723" w:type="dxa"/>
            <w:vAlign w:val="center"/>
          </w:tcPr>
          <w:p>
            <w:pPr>
              <w:pStyle w:val="88"/>
              <w:spacing w:before="92"/>
              <w:ind w:left="7"/>
              <w:jc w:val="center"/>
              <w:rPr>
                <w:color w:val="auto"/>
                <w:kern w:val="0"/>
                <w:szCs w:val="21"/>
                <w:highlight w:val="none"/>
              </w:rPr>
            </w:pPr>
            <w:r>
              <w:rPr>
                <w:color w:val="auto"/>
                <w:w w:val="99"/>
                <w:highlight w:val="none"/>
              </w:rPr>
              <w:t>1</w:t>
            </w:r>
          </w:p>
        </w:tc>
        <w:tc>
          <w:tcPr>
            <w:tcW w:w="6073" w:type="dxa"/>
            <w:vAlign w:val="center"/>
          </w:tcPr>
          <w:p>
            <w:pPr>
              <w:pStyle w:val="88"/>
              <w:spacing w:before="92"/>
              <w:ind w:right="624"/>
              <w:jc w:val="left"/>
              <w:rPr>
                <w:color w:val="auto"/>
                <w:kern w:val="0"/>
                <w:szCs w:val="21"/>
                <w:highlight w:val="none"/>
              </w:rPr>
            </w:pPr>
            <w:r>
              <w:rPr>
                <w:color w:val="auto"/>
                <w:highlight w:val="none"/>
              </w:rPr>
              <w:t>质检员上岗证</w:t>
            </w:r>
          </w:p>
        </w:tc>
        <w:tc>
          <w:tcPr>
            <w:tcW w:w="5647" w:type="dxa"/>
            <w:vAlign w:val="center"/>
          </w:tcPr>
          <w:p>
            <w:pPr>
              <w:widowControl/>
              <w:spacing w:line="256" w:lineRule="exac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823" w:type="dxa"/>
            <w:vAlign w:val="center"/>
          </w:tcPr>
          <w:p>
            <w:pPr>
              <w:pStyle w:val="88"/>
              <w:spacing w:before="91"/>
              <w:ind w:left="90" w:right="84"/>
              <w:jc w:val="center"/>
              <w:rPr>
                <w:color w:val="auto"/>
                <w:kern w:val="0"/>
                <w:szCs w:val="21"/>
                <w:highlight w:val="none"/>
              </w:rPr>
            </w:pPr>
            <w:r>
              <w:rPr>
                <w:color w:val="auto"/>
                <w:highlight w:val="none"/>
              </w:rPr>
              <w:t>材料员</w:t>
            </w:r>
          </w:p>
        </w:tc>
        <w:tc>
          <w:tcPr>
            <w:tcW w:w="723" w:type="dxa"/>
            <w:vAlign w:val="center"/>
          </w:tcPr>
          <w:p>
            <w:pPr>
              <w:pStyle w:val="88"/>
              <w:spacing w:before="91"/>
              <w:ind w:left="7"/>
              <w:jc w:val="center"/>
              <w:rPr>
                <w:color w:val="auto"/>
                <w:kern w:val="0"/>
                <w:szCs w:val="21"/>
                <w:highlight w:val="none"/>
              </w:rPr>
            </w:pPr>
            <w:r>
              <w:rPr>
                <w:color w:val="auto"/>
                <w:w w:val="99"/>
                <w:highlight w:val="none"/>
              </w:rPr>
              <w:t>1</w:t>
            </w:r>
          </w:p>
        </w:tc>
        <w:tc>
          <w:tcPr>
            <w:tcW w:w="6073" w:type="dxa"/>
            <w:vAlign w:val="center"/>
          </w:tcPr>
          <w:p>
            <w:pPr>
              <w:pStyle w:val="88"/>
              <w:spacing w:before="91"/>
              <w:ind w:right="624"/>
              <w:jc w:val="left"/>
              <w:rPr>
                <w:color w:val="auto"/>
                <w:kern w:val="0"/>
                <w:szCs w:val="21"/>
                <w:highlight w:val="none"/>
              </w:rPr>
            </w:pPr>
            <w:r>
              <w:rPr>
                <w:color w:val="auto"/>
                <w:highlight w:val="none"/>
              </w:rPr>
              <w:t>材料员上岗证</w:t>
            </w:r>
          </w:p>
        </w:tc>
        <w:tc>
          <w:tcPr>
            <w:tcW w:w="5647" w:type="dxa"/>
            <w:vAlign w:val="center"/>
          </w:tcPr>
          <w:p>
            <w:pPr>
              <w:widowControl/>
              <w:spacing w:line="256" w:lineRule="exac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823" w:type="dxa"/>
            <w:vAlign w:val="center"/>
          </w:tcPr>
          <w:p>
            <w:pPr>
              <w:pStyle w:val="88"/>
              <w:spacing w:before="93"/>
              <w:ind w:left="90" w:right="84"/>
              <w:jc w:val="center"/>
              <w:rPr>
                <w:color w:val="auto"/>
                <w:kern w:val="0"/>
                <w:szCs w:val="21"/>
                <w:highlight w:val="none"/>
              </w:rPr>
            </w:pPr>
            <w:r>
              <w:rPr>
                <w:color w:val="auto"/>
                <w:highlight w:val="none"/>
              </w:rPr>
              <w:t>施工员</w:t>
            </w:r>
          </w:p>
        </w:tc>
        <w:tc>
          <w:tcPr>
            <w:tcW w:w="723" w:type="dxa"/>
            <w:vAlign w:val="center"/>
          </w:tcPr>
          <w:p>
            <w:pPr>
              <w:pStyle w:val="88"/>
              <w:spacing w:before="93"/>
              <w:ind w:left="7"/>
              <w:jc w:val="center"/>
              <w:rPr>
                <w:color w:val="auto"/>
                <w:kern w:val="0"/>
                <w:szCs w:val="21"/>
                <w:highlight w:val="none"/>
              </w:rPr>
            </w:pPr>
            <w:r>
              <w:rPr>
                <w:color w:val="auto"/>
                <w:w w:val="99"/>
                <w:highlight w:val="none"/>
              </w:rPr>
              <w:t>1</w:t>
            </w:r>
          </w:p>
        </w:tc>
        <w:tc>
          <w:tcPr>
            <w:tcW w:w="6073" w:type="dxa"/>
            <w:vAlign w:val="center"/>
          </w:tcPr>
          <w:p>
            <w:pPr>
              <w:pStyle w:val="88"/>
              <w:spacing w:before="93"/>
              <w:ind w:right="624"/>
              <w:jc w:val="left"/>
              <w:rPr>
                <w:color w:val="auto"/>
                <w:kern w:val="0"/>
                <w:szCs w:val="21"/>
                <w:highlight w:val="none"/>
              </w:rPr>
            </w:pPr>
            <w:r>
              <w:rPr>
                <w:color w:val="auto"/>
                <w:highlight w:val="none"/>
              </w:rPr>
              <w:t>施工员上岗证</w:t>
            </w:r>
          </w:p>
        </w:tc>
        <w:tc>
          <w:tcPr>
            <w:tcW w:w="5647" w:type="dxa"/>
            <w:vAlign w:val="center"/>
          </w:tcPr>
          <w:p>
            <w:pPr>
              <w:widowControl/>
              <w:spacing w:line="256" w:lineRule="exac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823" w:type="dxa"/>
            <w:vAlign w:val="center"/>
          </w:tcPr>
          <w:p>
            <w:pPr>
              <w:pStyle w:val="88"/>
              <w:jc w:val="center"/>
              <w:rPr>
                <w:color w:val="auto"/>
                <w:kern w:val="0"/>
                <w:szCs w:val="21"/>
                <w:highlight w:val="none"/>
              </w:rPr>
            </w:pPr>
            <w:r>
              <w:rPr>
                <w:rFonts w:hint="eastAsia" w:ascii="Times New Roman"/>
                <w:color w:val="auto"/>
                <w:sz w:val="22"/>
                <w:highlight w:val="none"/>
              </w:rPr>
              <w:t>资料员</w:t>
            </w:r>
          </w:p>
        </w:tc>
        <w:tc>
          <w:tcPr>
            <w:tcW w:w="723" w:type="dxa"/>
            <w:vAlign w:val="center"/>
          </w:tcPr>
          <w:p>
            <w:pPr>
              <w:pStyle w:val="88"/>
              <w:jc w:val="center"/>
              <w:rPr>
                <w:color w:val="auto"/>
                <w:kern w:val="0"/>
                <w:szCs w:val="21"/>
                <w:highlight w:val="none"/>
              </w:rPr>
            </w:pPr>
            <w:r>
              <w:rPr>
                <w:rFonts w:hint="eastAsia" w:ascii="Times New Roman"/>
                <w:color w:val="auto"/>
                <w:sz w:val="22"/>
                <w:highlight w:val="none"/>
                <w:lang w:val="en-US"/>
              </w:rPr>
              <w:t>1</w:t>
            </w:r>
          </w:p>
        </w:tc>
        <w:tc>
          <w:tcPr>
            <w:tcW w:w="6073" w:type="dxa"/>
            <w:vAlign w:val="center"/>
          </w:tcPr>
          <w:p>
            <w:pPr>
              <w:pStyle w:val="88"/>
              <w:jc w:val="left"/>
              <w:rPr>
                <w:color w:val="auto"/>
                <w:kern w:val="0"/>
                <w:szCs w:val="21"/>
                <w:highlight w:val="none"/>
              </w:rPr>
            </w:pPr>
            <w:r>
              <w:rPr>
                <w:rFonts w:hint="eastAsia"/>
                <w:color w:val="auto"/>
                <w:highlight w:val="none"/>
              </w:rPr>
              <w:t>资料</w:t>
            </w:r>
            <w:r>
              <w:rPr>
                <w:color w:val="auto"/>
                <w:highlight w:val="none"/>
              </w:rPr>
              <w:t>员上岗证</w:t>
            </w:r>
          </w:p>
        </w:tc>
        <w:tc>
          <w:tcPr>
            <w:tcW w:w="5647" w:type="dxa"/>
            <w:vAlign w:val="center"/>
          </w:tcPr>
          <w:p>
            <w:pPr>
              <w:widowControl/>
              <w:spacing w:line="256" w:lineRule="exac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823" w:type="dxa"/>
            <w:vAlign w:val="center"/>
          </w:tcPr>
          <w:p>
            <w:pPr>
              <w:pStyle w:val="88"/>
              <w:jc w:val="center"/>
              <w:rPr>
                <w:color w:val="auto"/>
                <w:kern w:val="0"/>
                <w:szCs w:val="21"/>
                <w:highlight w:val="none"/>
              </w:rPr>
            </w:pPr>
            <w:r>
              <w:rPr>
                <w:rFonts w:hint="eastAsia" w:ascii="Times New Roman"/>
                <w:color w:val="auto"/>
                <w:sz w:val="22"/>
                <w:highlight w:val="none"/>
              </w:rPr>
              <w:t>造价员</w:t>
            </w:r>
          </w:p>
        </w:tc>
        <w:tc>
          <w:tcPr>
            <w:tcW w:w="723" w:type="dxa"/>
            <w:vAlign w:val="center"/>
          </w:tcPr>
          <w:p>
            <w:pPr>
              <w:pStyle w:val="88"/>
              <w:jc w:val="center"/>
              <w:rPr>
                <w:color w:val="auto"/>
                <w:kern w:val="0"/>
                <w:szCs w:val="21"/>
                <w:highlight w:val="none"/>
              </w:rPr>
            </w:pPr>
            <w:r>
              <w:rPr>
                <w:rFonts w:hint="eastAsia" w:ascii="Times New Roman"/>
                <w:color w:val="auto"/>
                <w:sz w:val="22"/>
                <w:highlight w:val="none"/>
                <w:lang w:val="en-US"/>
              </w:rPr>
              <w:t>1</w:t>
            </w:r>
          </w:p>
        </w:tc>
        <w:tc>
          <w:tcPr>
            <w:tcW w:w="6073" w:type="dxa"/>
            <w:vAlign w:val="center"/>
          </w:tcPr>
          <w:p>
            <w:pPr>
              <w:pStyle w:val="88"/>
              <w:jc w:val="left"/>
              <w:rPr>
                <w:color w:val="auto"/>
                <w:kern w:val="0"/>
                <w:szCs w:val="21"/>
                <w:highlight w:val="none"/>
              </w:rPr>
            </w:pPr>
            <w:r>
              <w:rPr>
                <w:rFonts w:hint="eastAsia" w:ascii="Times New Roman"/>
                <w:color w:val="auto"/>
                <w:sz w:val="22"/>
                <w:highlight w:val="none"/>
              </w:rPr>
              <w:t>注册造价工程师</w:t>
            </w:r>
          </w:p>
        </w:tc>
        <w:tc>
          <w:tcPr>
            <w:tcW w:w="5647" w:type="dxa"/>
            <w:vAlign w:val="center"/>
          </w:tcPr>
          <w:p>
            <w:pPr>
              <w:widowControl/>
              <w:spacing w:line="256" w:lineRule="exact"/>
              <w:rPr>
                <w:rFonts w:ascii="宋体" w:hAnsi="宋体" w:cs="宋体"/>
                <w:color w:val="auto"/>
                <w:kern w:val="0"/>
                <w:szCs w:val="21"/>
                <w:highlight w:val="none"/>
              </w:rPr>
            </w:pPr>
          </w:p>
        </w:tc>
      </w:tr>
    </w:tbl>
    <w:p>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注：1、所有人员必须按要求提交相应证书和在本投标单位连续购买的</w:t>
      </w:r>
      <w:r>
        <w:rPr>
          <w:rFonts w:hint="eastAsia" w:ascii="宋体" w:hAnsi="宋体" w:cs="宋体"/>
          <w:color w:val="auto"/>
          <w:szCs w:val="21"/>
          <w:highlight w:val="none"/>
          <w:lang w:eastAsia="zh-CN"/>
        </w:rPr>
        <w:t>2021年8月至2022年1月</w:t>
      </w:r>
      <w:r>
        <w:rPr>
          <w:rFonts w:hint="eastAsia" w:ascii="宋体" w:hAnsi="宋体" w:cs="宋体"/>
          <w:color w:val="auto"/>
          <w:szCs w:val="21"/>
          <w:highlight w:val="none"/>
        </w:rPr>
        <w:t>的社保缴纳证明材料复印件并加盖投标人公章（未按要求提供完整相关资料的人员，该人员不作为评分依据)。</w:t>
      </w:r>
    </w:p>
    <w:p>
      <w:pPr>
        <w:spacing w:line="360" w:lineRule="exact"/>
        <w:ind w:firstLine="420" w:firstLineChars="200"/>
        <w:jc w:val="left"/>
        <w:rPr>
          <w:rFonts w:ascii="宋体" w:hAnsi="宋体" w:cs="宋体"/>
          <w:color w:val="auto"/>
          <w:szCs w:val="21"/>
          <w:highlight w:val="none"/>
        </w:rPr>
        <w:sectPr>
          <w:pgSz w:w="16838" w:h="11906" w:orient="landscape"/>
          <w:pgMar w:top="1276" w:right="1440" w:bottom="1797" w:left="1440" w:header="851" w:footer="992" w:gutter="0"/>
          <w:cols w:space="720" w:num="1"/>
          <w:docGrid w:linePitch="312" w:charSpace="0"/>
        </w:sectPr>
      </w:pPr>
      <w:r>
        <w:rPr>
          <w:rFonts w:hint="eastAsia" w:ascii="宋体" w:hAnsi="宋体" w:cs="宋体"/>
          <w:color w:val="auto"/>
          <w:szCs w:val="21"/>
          <w:highlight w:val="none"/>
        </w:rPr>
        <w:t>2、联合体投标的，本表所述人员均要求为联合体中负责施工任务主办方人员。</w:t>
      </w:r>
    </w:p>
    <w:p>
      <w:pPr>
        <w:rPr>
          <w:color w:val="auto"/>
          <w:highlight w:val="none"/>
        </w:rPr>
      </w:pPr>
    </w:p>
    <w:p>
      <w:pPr>
        <w:rPr>
          <w:color w:val="auto"/>
          <w:highlight w:val="none"/>
        </w:rPr>
      </w:pPr>
    </w:p>
    <w:p>
      <w:pPr>
        <w:pStyle w:val="3"/>
        <w:jc w:val="center"/>
        <w:rPr>
          <w:color w:val="auto"/>
          <w:highlight w:val="none"/>
        </w:rPr>
      </w:pPr>
      <w:bookmarkStart w:id="1012" w:name="_Toc247514033"/>
      <w:bookmarkStart w:id="1013" w:name="_Toc300835030"/>
      <w:bookmarkStart w:id="1014" w:name="_Toc22634"/>
      <w:bookmarkStart w:id="1015" w:name="_Toc2984"/>
      <w:bookmarkStart w:id="1016" w:name="_Toc16000"/>
      <w:bookmarkStart w:id="1017" w:name="_Toc152042387"/>
      <w:bookmarkStart w:id="1018" w:name="_Toc494371582"/>
      <w:bookmarkStart w:id="1019" w:name="_Toc152045609"/>
      <w:bookmarkStart w:id="1020" w:name="_Toc4736"/>
      <w:bookmarkStart w:id="1021" w:name="_Toc144974577"/>
      <w:bookmarkStart w:id="1022" w:name="_Toc17385"/>
      <w:bookmarkStart w:id="1023" w:name="_Toc247527634"/>
      <w:bookmarkStart w:id="1024" w:name="_Toc13990"/>
      <w:bookmarkStart w:id="1025" w:name="_Toc29140"/>
      <w:bookmarkStart w:id="1026" w:name="_Toc31763"/>
      <w:bookmarkStart w:id="1027" w:name="_Toc2492"/>
      <w:bookmarkStart w:id="1028" w:name="_Toc29492"/>
      <w:bookmarkStart w:id="1029" w:name="_Toc13994"/>
      <w:r>
        <w:rPr>
          <w:rFonts w:hint="eastAsia"/>
          <w:color w:val="auto"/>
          <w:highlight w:val="none"/>
        </w:rPr>
        <w:t>第四章合同条款及格式</w:t>
      </w:r>
      <w:bookmarkEnd w:id="1012"/>
      <w:bookmarkEnd w:id="1013"/>
      <w:bookmarkEnd w:id="1014"/>
      <w:bookmarkEnd w:id="1015"/>
      <w:bookmarkEnd w:id="1016"/>
      <w:bookmarkEnd w:id="1017"/>
      <w:bookmarkEnd w:id="1018"/>
      <w:bookmarkEnd w:id="1019"/>
      <w:bookmarkEnd w:id="1020"/>
      <w:bookmarkEnd w:id="1021"/>
      <w:bookmarkEnd w:id="1022"/>
      <w:bookmarkEnd w:id="1023"/>
      <w:bookmarkStart w:id="1030" w:name="_Toc247527635"/>
      <w:bookmarkStart w:id="1031" w:name="_Toc184635097"/>
      <w:bookmarkStart w:id="1032" w:name="_Toc144974578"/>
      <w:bookmarkStart w:id="1033" w:name="_Toc152045610"/>
      <w:bookmarkStart w:id="1034" w:name="_Toc152042388"/>
      <w:bookmarkStart w:id="1035" w:name="_Toc247514034"/>
      <w:r>
        <w:rPr>
          <w:rFonts w:hint="eastAsia"/>
          <w:color w:val="auto"/>
          <w:highlight w:val="none"/>
        </w:rPr>
        <w:t>（另册）</w:t>
      </w:r>
      <w:bookmarkEnd w:id="1024"/>
      <w:bookmarkEnd w:id="1025"/>
      <w:bookmarkEnd w:id="1026"/>
      <w:bookmarkEnd w:id="1027"/>
      <w:bookmarkEnd w:id="1028"/>
      <w:bookmarkEnd w:id="1029"/>
    </w:p>
    <w:p>
      <w:pPr>
        <w:rPr>
          <w:color w:val="auto"/>
          <w:highlight w:val="none"/>
        </w:rPr>
      </w:pPr>
      <w:r>
        <w:rPr>
          <w:color w:val="auto"/>
          <w:highlight w:val="none"/>
        </w:rPr>
        <w:br w:type="page"/>
      </w:r>
    </w:p>
    <w:p>
      <w:pPr>
        <w:rPr>
          <w:color w:val="auto"/>
          <w:highlight w:val="none"/>
        </w:rPr>
      </w:pPr>
    </w:p>
    <w:bookmarkEnd w:id="1030"/>
    <w:bookmarkEnd w:id="1031"/>
    <w:bookmarkEnd w:id="1032"/>
    <w:bookmarkEnd w:id="1033"/>
    <w:bookmarkEnd w:id="1034"/>
    <w:bookmarkEnd w:id="1035"/>
    <w:p>
      <w:pPr>
        <w:rPr>
          <w:color w:val="auto"/>
          <w:highlight w:val="none"/>
        </w:rPr>
      </w:pPr>
    </w:p>
    <w:p>
      <w:pPr>
        <w:rPr>
          <w:color w:val="auto"/>
          <w:highlight w:val="none"/>
        </w:rPr>
      </w:pPr>
      <w:bookmarkStart w:id="1036" w:name="_Toc247514202"/>
      <w:bookmarkEnd w:id="1036"/>
      <w:bookmarkStart w:id="1037" w:name="_Toc247527803"/>
      <w:bookmarkEnd w:id="1037"/>
      <w:bookmarkStart w:id="1038" w:name="_Toc152045772"/>
      <w:bookmarkEnd w:id="1038"/>
      <w:bookmarkStart w:id="1039" w:name="_Toc152042554"/>
      <w:bookmarkEnd w:id="1039"/>
      <w:bookmarkStart w:id="1040" w:name="_Toc144974834"/>
      <w:bookmarkEnd w:id="1040"/>
    </w:p>
    <w:p>
      <w:pPr>
        <w:spacing w:line="400" w:lineRule="exact"/>
        <w:rPr>
          <w:color w:val="auto"/>
          <w:highlight w:val="none"/>
        </w:rPr>
      </w:pPr>
    </w:p>
    <w:p>
      <w:pPr>
        <w:pStyle w:val="3"/>
        <w:rPr>
          <w:color w:val="auto"/>
          <w:highlight w:val="none"/>
        </w:rPr>
      </w:pPr>
      <w:bookmarkStart w:id="1041" w:name="_Toc247527819"/>
      <w:bookmarkStart w:id="1042" w:name="_Toc300835204"/>
      <w:bookmarkStart w:id="1043" w:name="_Toc247514232"/>
      <w:bookmarkStart w:id="1044" w:name="_Toc2433"/>
      <w:bookmarkStart w:id="1045" w:name="_Toc6632"/>
      <w:bookmarkStart w:id="1046" w:name="_Toc22"/>
      <w:bookmarkStart w:id="1047" w:name="_Toc494371583"/>
      <w:bookmarkStart w:id="1048" w:name="_Toc30942"/>
      <w:bookmarkStart w:id="1049" w:name="_Toc7709"/>
      <w:bookmarkStart w:id="1050" w:name="_Toc2710"/>
      <w:bookmarkStart w:id="1051" w:name="_Toc28468"/>
      <w:bookmarkStart w:id="1052" w:name="_Toc28286"/>
      <w:bookmarkStart w:id="1053" w:name="_Toc13932"/>
      <w:bookmarkStart w:id="1054" w:name="_Toc25726"/>
    </w:p>
    <w:p>
      <w:pPr>
        <w:pStyle w:val="3"/>
        <w:rPr>
          <w:color w:val="auto"/>
          <w:highlight w:val="none"/>
        </w:rPr>
      </w:pPr>
    </w:p>
    <w:p>
      <w:pPr>
        <w:pStyle w:val="3"/>
        <w:rPr>
          <w:color w:val="auto"/>
          <w:highlight w:val="none"/>
        </w:rPr>
      </w:pPr>
    </w:p>
    <w:p>
      <w:pPr>
        <w:pStyle w:val="3"/>
        <w:jc w:val="center"/>
        <w:rPr>
          <w:color w:val="auto"/>
          <w:sz w:val="24"/>
          <w:highlight w:val="none"/>
        </w:rPr>
      </w:pPr>
      <w:bookmarkStart w:id="1055" w:name="_Toc17655"/>
      <w:r>
        <w:rPr>
          <w:rFonts w:hint="eastAsia"/>
          <w:color w:val="auto"/>
          <w:highlight w:val="none"/>
        </w:rPr>
        <w:t>第二卷</w:t>
      </w:r>
      <w:bookmarkEnd w:id="1041"/>
      <w:bookmarkEnd w:id="1042"/>
      <w:bookmarkEnd w:id="1043"/>
      <w:r>
        <w:rPr>
          <w:color w:val="auto"/>
          <w:highlight w:val="none"/>
        </w:rPr>
        <w:br w:type="page"/>
      </w:r>
      <w:bookmarkEnd w:id="1044"/>
      <w:bookmarkEnd w:id="1045"/>
      <w:bookmarkEnd w:id="1046"/>
      <w:bookmarkEnd w:id="1047"/>
      <w:bookmarkEnd w:id="1048"/>
      <w:bookmarkEnd w:id="1049"/>
      <w:bookmarkEnd w:id="1050"/>
      <w:bookmarkEnd w:id="1051"/>
      <w:bookmarkEnd w:id="1052"/>
      <w:bookmarkEnd w:id="1053"/>
      <w:bookmarkEnd w:id="1054"/>
      <w:bookmarkEnd w:id="1055"/>
    </w:p>
    <w:p>
      <w:pPr>
        <w:pStyle w:val="20"/>
        <w:spacing w:line="360" w:lineRule="auto"/>
        <w:rPr>
          <w:color w:val="auto"/>
          <w:sz w:val="24"/>
          <w:highlight w:val="none"/>
        </w:rPr>
      </w:pPr>
      <w:r>
        <w:rPr>
          <w:rFonts w:hint="eastAsia"/>
          <w:color w:val="auto"/>
          <w:sz w:val="24"/>
          <w:highlight w:val="none"/>
        </w:rPr>
        <w:t xml:space="preserve">            </w:t>
      </w:r>
    </w:p>
    <w:p>
      <w:pPr>
        <w:pStyle w:val="3"/>
        <w:numPr>
          <w:ilvl w:val="0"/>
          <w:numId w:val="4"/>
        </w:numPr>
        <w:jc w:val="center"/>
        <w:rPr>
          <w:color w:val="auto"/>
          <w:highlight w:val="none"/>
        </w:rPr>
      </w:pPr>
      <w:bookmarkStart w:id="1056" w:name="_Toc300835205"/>
      <w:bookmarkStart w:id="1057" w:name="_Toc18835"/>
      <w:bookmarkStart w:id="1058" w:name="_Toc25249"/>
      <w:bookmarkStart w:id="1059" w:name="_Toc32359"/>
      <w:bookmarkStart w:id="1060" w:name="_Toc29491"/>
      <w:bookmarkStart w:id="1061" w:name="_Toc11303"/>
      <w:bookmarkStart w:id="1062" w:name="_Toc494371585"/>
      <w:bookmarkStart w:id="1063" w:name="_Toc15946"/>
      <w:bookmarkStart w:id="1064" w:name="_Toc300835206"/>
      <w:bookmarkStart w:id="1065" w:name="_Toc21618"/>
      <w:bookmarkStart w:id="1066" w:name="_Toc21889"/>
      <w:bookmarkStart w:id="1067" w:name="_Toc8482"/>
      <w:bookmarkStart w:id="1068" w:name="_Toc32466"/>
      <w:bookmarkStart w:id="1069" w:name="_Toc18278"/>
      <w:r>
        <w:rPr>
          <w:rFonts w:hint="eastAsia"/>
          <w:color w:val="auto"/>
          <w:highlight w:val="none"/>
        </w:rPr>
        <w:t>发包人要求</w:t>
      </w:r>
      <w:bookmarkEnd w:id="1056"/>
      <w:r>
        <w:rPr>
          <w:rFonts w:hint="eastAsia"/>
          <w:color w:val="auto"/>
          <w:highlight w:val="none"/>
        </w:rPr>
        <w:t>（另册）</w:t>
      </w:r>
      <w:bookmarkEnd w:id="1057"/>
      <w:bookmarkEnd w:id="1058"/>
      <w:bookmarkEnd w:id="1059"/>
      <w:bookmarkEnd w:id="1060"/>
      <w:bookmarkEnd w:id="1061"/>
      <w:bookmarkEnd w:id="1062"/>
      <w:bookmarkEnd w:id="1063"/>
      <w:bookmarkEnd w:id="1064"/>
      <w:bookmarkEnd w:id="1065"/>
      <w:bookmarkEnd w:id="1066"/>
      <w:bookmarkEnd w:id="1067"/>
      <w:bookmarkEnd w:id="1068"/>
      <w:bookmarkEnd w:id="1069"/>
    </w:p>
    <w:p>
      <w:pPr>
        <w:spacing w:line="360" w:lineRule="auto"/>
        <w:rPr>
          <w:color w:val="auto"/>
          <w:highlight w:val="none"/>
        </w:rPr>
      </w:pPr>
      <w:r>
        <w:rPr>
          <w:color w:val="auto"/>
          <w:highlight w:val="none"/>
        </w:rPr>
        <w:br w:type="page"/>
      </w:r>
    </w:p>
    <w:p>
      <w:pPr>
        <w:spacing w:line="360" w:lineRule="auto"/>
        <w:rPr>
          <w:color w:val="auto"/>
          <w:highlight w:val="none"/>
        </w:rPr>
      </w:pPr>
    </w:p>
    <w:p>
      <w:pPr>
        <w:pStyle w:val="3"/>
        <w:numPr>
          <w:ilvl w:val="0"/>
          <w:numId w:val="4"/>
        </w:numPr>
        <w:jc w:val="center"/>
        <w:rPr>
          <w:color w:val="auto"/>
          <w:highlight w:val="none"/>
        </w:rPr>
      </w:pPr>
      <w:bookmarkStart w:id="1070" w:name="_Toc23074"/>
      <w:r>
        <w:rPr>
          <w:rFonts w:hint="eastAsia"/>
          <w:color w:val="auto"/>
          <w:highlight w:val="none"/>
        </w:rPr>
        <w:t>第六章发包人提供的资料（另册）</w:t>
      </w:r>
      <w:bookmarkEnd w:id="1070"/>
    </w:p>
    <w:p>
      <w:pPr>
        <w:spacing w:line="400" w:lineRule="exact"/>
        <w:rPr>
          <w:color w:val="auto"/>
          <w:highlight w:val="none"/>
        </w:rPr>
      </w:pPr>
    </w:p>
    <w:p>
      <w:pPr>
        <w:spacing w:line="400" w:lineRule="exact"/>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spacing w:line="400" w:lineRule="exact"/>
        <w:rPr>
          <w:color w:val="auto"/>
          <w:highlight w:val="none"/>
        </w:rPr>
      </w:pPr>
    </w:p>
    <w:p>
      <w:pPr>
        <w:pStyle w:val="3"/>
        <w:jc w:val="center"/>
        <w:rPr>
          <w:color w:val="auto"/>
          <w:highlight w:val="none"/>
        </w:rPr>
      </w:pPr>
      <w:bookmarkStart w:id="1071" w:name="_Toc27414"/>
      <w:bookmarkStart w:id="1072" w:name="_Toc494371586"/>
      <w:bookmarkStart w:id="1073" w:name="_Toc247527825"/>
      <w:bookmarkStart w:id="1074" w:name="_Toc5743"/>
      <w:bookmarkStart w:id="1075" w:name="_Toc16430"/>
      <w:bookmarkStart w:id="1076" w:name="_Toc20209"/>
      <w:bookmarkStart w:id="1077" w:name="_Toc1901"/>
      <w:bookmarkStart w:id="1078" w:name="_Toc247514244"/>
      <w:bookmarkStart w:id="1079" w:name="_Toc25694"/>
      <w:bookmarkStart w:id="1080" w:name="_Toc300835207"/>
      <w:bookmarkStart w:id="1081" w:name="_Toc15004"/>
      <w:bookmarkStart w:id="1082" w:name="_Toc24911"/>
      <w:bookmarkStart w:id="1083" w:name="_Toc1451"/>
      <w:bookmarkStart w:id="1084" w:name="_Toc7732"/>
      <w:bookmarkStart w:id="1085" w:name="_Toc144974855"/>
      <w:bookmarkStart w:id="1086" w:name="_Toc152045786"/>
      <w:bookmarkStart w:id="1087" w:name="_Toc152042575"/>
    </w:p>
    <w:p>
      <w:pPr>
        <w:pStyle w:val="3"/>
        <w:jc w:val="center"/>
        <w:rPr>
          <w:color w:val="auto"/>
          <w:highlight w:val="none"/>
        </w:rPr>
      </w:pPr>
    </w:p>
    <w:p>
      <w:pPr>
        <w:pStyle w:val="3"/>
        <w:jc w:val="center"/>
        <w:rPr>
          <w:color w:val="auto"/>
          <w:highlight w:val="none"/>
        </w:rPr>
      </w:pPr>
    </w:p>
    <w:p>
      <w:pPr>
        <w:pStyle w:val="3"/>
        <w:jc w:val="center"/>
        <w:rPr>
          <w:color w:val="auto"/>
          <w:highlight w:val="none"/>
        </w:rPr>
      </w:pPr>
    </w:p>
    <w:p>
      <w:pPr>
        <w:pStyle w:val="3"/>
        <w:jc w:val="center"/>
        <w:rPr>
          <w:color w:val="auto"/>
          <w:highlight w:val="none"/>
        </w:rPr>
      </w:pPr>
    </w:p>
    <w:p>
      <w:pPr>
        <w:pStyle w:val="3"/>
        <w:jc w:val="center"/>
        <w:rPr>
          <w:color w:val="auto"/>
          <w:highlight w:val="none"/>
        </w:rPr>
      </w:pPr>
      <w:bookmarkStart w:id="1088" w:name="_Toc11589"/>
      <w:r>
        <w:rPr>
          <w:rFonts w:hint="eastAsia"/>
          <w:color w:val="auto"/>
          <w:highlight w:val="none"/>
        </w:rPr>
        <w:t>第三卷</w:t>
      </w:r>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8"/>
    </w:p>
    <w:p>
      <w:pPr>
        <w:spacing w:line="400" w:lineRule="exact"/>
        <w:jc w:val="center"/>
        <w:rPr>
          <w:color w:val="auto"/>
          <w:highlight w:val="none"/>
        </w:rPr>
      </w:pPr>
      <w:r>
        <w:rPr>
          <w:rFonts w:ascii="黑体" w:hAnsi="黑体" w:eastAsia="黑体"/>
          <w:b/>
          <w:bCs/>
          <w:color w:val="auto"/>
          <w:sz w:val="32"/>
          <w:highlight w:val="none"/>
        </w:rPr>
        <w:br w:type="page"/>
      </w:r>
    </w:p>
    <w:p>
      <w:pPr>
        <w:spacing w:line="400" w:lineRule="exact"/>
        <w:jc w:val="center"/>
        <w:rPr>
          <w:color w:val="auto"/>
          <w:highlight w:val="none"/>
        </w:rPr>
      </w:pPr>
    </w:p>
    <w:p>
      <w:pPr>
        <w:pStyle w:val="3"/>
        <w:jc w:val="center"/>
        <w:rPr>
          <w:color w:val="auto"/>
          <w:highlight w:val="none"/>
        </w:rPr>
      </w:pPr>
      <w:bookmarkStart w:id="1089" w:name="_Toc2828"/>
      <w:bookmarkStart w:id="1090" w:name="_Toc247527826"/>
      <w:bookmarkStart w:id="1091" w:name="_Toc494371587"/>
      <w:bookmarkStart w:id="1092" w:name="_Toc26681"/>
      <w:bookmarkStart w:id="1093" w:name="_Toc247514245"/>
      <w:bookmarkStart w:id="1094" w:name="_Toc17793"/>
      <w:bookmarkStart w:id="1095" w:name="_Toc8886"/>
      <w:bookmarkStart w:id="1096" w:name="_Toc10445"/>
      <w:bookmarkStart w:id="1097" w:name="_Toc12601"/>
      <w:bookmarkStart w:id="1098" w:name="_Toc300835208"/>
      <w:bookmarkStart w:id="1099" w:name="_Toc15238"/>
      <w:bookmarkStart w:id="1100" w:name="_Toc24639"/>
      <w:bookmarkStart w:id="1101" w:name="_Toc5024"/>
      <w:bookmarkStart w:id="1102" w:name="_Toc18331"/>
      <w:bookmarkStart w:id="1103" w:name="_Toc13416"/>
      <w:r>
        <w:rPr>
          <w:rFonts w:hint="eastAsia"/>
          <w:color w:val="auto"/>
          <w:highlight w:val="none"/>
        </w:rPr>
        <w:t>第七章投标文件格式</w:t>
      </w:r>
      <w:bookmarkEnd w:id="1085"/>
      <w:bookmarkEnd w:id="1086"/>
      <w:bookmarkEnd w:id="1087"/>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p>
    <w:p>
      <w:pPr>
        <w:spacing w:line="400" w:lineRule="exact"/>
        <w:rPr>
          <w:color w:val="auto"/>
          <w:highlight w:val="none"/>
        </w:rPr>
      </w:pPr>
    </w:p>
    <w:p>
      <w:pPr>
        <w:widowControl/>
        <w:jc w:val="left"/>
        <w:rPr>
          <w:b/>
          <w:color w:val="auto"/>
          <w:sz w:val="24"/>
          <w:highlight w:val="none"/>
        </w:rPr>
      </w:pPr>
      <w:r>
        <w:rPr>
          <w:color w:val="auto"/>
          <w:highlight w:val="none"/>
        </w:rPr>
        <w:br w:type="page"/>
      </w:r>
      <w:bookmarkStart w:id="1104" w:name="_Toc14611"/>
      <w:bookmarkStart w:id="1105" w:name="_Toc300835233"/>
      <w:bookmarkStart w:id="1106" w:name="_Toc2218"/>
      <w:bookmarkStart w:id="1107" w:name="_Toc8323"/>
      <w:bookmarkStart w:id="1108" w:name="_Toc271821942"/>
      <w:bookmarkStart w:id="1109" w:name="_Toc494371589"/>
      <w:bookmarkStart w:id="1110" w:name="_Toc194"/>
      <w:bookmarkStart w:id="1111" w:name="_Toc8355"/>
      <w:bookmarkStart w:id="1112" w:name="_Toc10741"/>
    </w:p>
    <w:bookmarkEnd w:id="1104"/>
    <w:bookmarkEnd w:id="1105"/>
    <w:bookmarkEnd w:id="1106"/>
    <w:bookmarkEnd w:id="1107"/>
    <w:bookmarkEnd w:id="1108"/>
    <w:bookmarkEnd w:id="1109"/>
    <w:bookmarkEnd w:id="1110"/>
    <w:bookmarkEnd w:id="1111"/>
    <w:bookmarkEnd w:id="1112"/>
    <w:p>
      <w:pPr>
        <w:spacing w:line="360" w:lineRule="auto"/>
        <w:jc w:val="center"/>
        <w:rPr>
          <w:rFonts w:ascii="黑体" w:hAnsi="黑体" w:eastAsia="黑体" w:cs="黑体"/>
          <w:b/>
          <w:color w:val="auto"/>
          <w:sz w:val="30"/>
          <w:szCs w:val="30"/>
          <w:highlight w:val="none"/>
        </w:rPr>
      </w:pPr>
    </w:p>
    <w:p>
      <w:pPr>
        <w:spacing w:line="360" w:lineRule="auto"/>
        <w:jc w:val="center"/>
        <w:rPr>
          <w:rFonts w:ascii="黑体" w:hAnsi="黑体" w:eastAsia="黑体" w:cs="黑体"/>
          <w:b/>
          <w:color w:val="auto"/>
          <w:sz w:val="30"/>
          <w:szCs w:val="30"/>
          <w:highlight w:val="none"/>
        </w:rPr>
      </w:pPr>
      <w:r>
        <w:rPr>
          <w:rFonts w:hint="eastAsia" w:ascii="黑体" w:hAnsi="黑体" w:eastAsia="黑体" w:cs="黑体"/>
          <w:b/>
          <w:color w:val="auto"/>
          <w:sz w:val="30"/>
          <w:szCs w:val="30"/>
          <w:highlight w:val="none"/>
        </w:rPr>
        <w:t>第一部分  资格审查文件</w:t>
      </w:r>
    </w:p>
    <w:p>
      <w:pPr>
        <w:spacing w:line="360" w:lineRule="auto"/>
        <w:jc w:val="left"/>
        <w:rPr>
          <w:bCs/>
          <w:color w:val="auto"/>
          <w:szCs w:val="21"/>
          <w:highlight w:val="none"/>
        </w:rPr>
      </w:pPr>
      <w:r>
        <w:rPr>
          <w:rFonts w:hint="eastAsia"/>
          <w:b/>
          <w:color w:val="auto"/>
          <w:sz w:val="30"/>
          <w:szCs w:val="30"/>
          <w:highlight w:val="none"/>
        </w:rPr>
        <w:br w:type="page"/>
      </w:r>
      <w:r>
        <w:rPr>
          <w:rFonts w:hint="eastAsia"/>
          <w:bCs/>
          <w:color w:val="auto"/>
          <w:szCs w:val="21"/>
          <w:highlight w:val="none"/>
        </w:rPr>
        <w:t>格式参考：</w:t>
      </w:r>
    </w:p>
    <w:p>
      <w:pPr>
        <w:spacing w:line="360" w:lineRule="auto"/>
        <w:jc w:val="right"/>
        <w:rPr>
          <w:rFonts w:ascii="黑体" w:hAnsi="黑体" w:eastAsia="黑体" w:cs="黑体"/>
          <w:b/>
          <w:color w:val="auto"/>
          <w:sz w:val="30"/>
          <w:szCs w:val="30"/>
          <w:highlight w:val="none"/>
        </w:rPr>
      </w:pPr>
      <w:r>
        <w:rPr>
          <w:rFonts w:hint="eastAsia" w:ascii="黑体" w:hAnsi="黑体" w:eastAsia="黑体" w:cs="黑体"/>
          <w:b/>
          <w:color w:val="auto"/>
          <w:sz w:val="32"/>
          <w:szCs w:val="32"/>
          <w:highlight w:val="none"/>
        </w:rPr>
        <w:t>正/副本</w:t>
      </w:r>
    </w:p>
    <w:p>
      <w:pPr>
        <w:spacing w:line="360" w:lineRule="auto"/>
        <w:rPr>
          <w:b/>
          <w:color w:val="auto"/>
          <w:sz w:val="30"/>
          <w:szCs w:val="30"/>
          <w:highlight w:val="none"/>
        </w:rPr>
      </w:pPr>
    </w:p>
    <w:p>
      <w:pPr>
        <w:spacing w:line="360" w:lineRule="auto"/>
        <w:rPr>
          <w:bCs/>
          <w:color w:val="auto"/>
          <w:szCs w:val="21"/>
          <w:highlight w:val="none"/>
        </w:rPr>
      </w:pPr>
    </w:p>
    <w:p>
      <w:pPr>
        <w:pStyle w:val="32"/>
        <w:spacing w:line="360" w:lineRule="auto"/>
        <w:jc w:val="center"/>
        <w:rPr>
          <w:rFonts w:ascii="黑体" w:hAnsi="黑体" w:eastAsia="黑体" w:cs="黑体"/>
          <w:b/>
          <w:color w:val="auto"/>
          <w:sz w:val="44"/>
          <w:szCs w:val="44"/>
          <w:highlight w:val="none"/>
          <w:lang w:bidi="ar"/>
        </w:rPr>
      </w:pPr>
      <w:r>
        <w:rPr>
          <w:rFonts w:hint="eastAsia" w:ascii="黑体" w:hAnsi="黑体" w:eastAsia="黑体" w:cs="黑体"/>
          <w:b/>
          <w:color w:val="auto"/>
          <w:sz w:val="44"/>
          <w:szCs w:val="44"/>
          <w:highlight w:val="none"/>
          <w:lang w:eastAsia="zh-CN" w:bidi="ar"/>
        </w:rPr>
        <w:t>南沙湿地二期“湿地景区公益植树林”项目</w:t>
      </w:r>
      <w:r>
        <w:rPr>
          <w:rFonts w:hint="eastAsia" w:ascii="黑体" w:hAnsi="黑体" w:eastAsia="黑体" w:cs="黑体"/>
          <w:b/>
          <w:color w:val="auto"/>
          <w:sz w:val="44"/>
          <w:szCs w:val="44"/>
          <w:highlight w:val="none"/>
          <w:lang w:bidi="ar"/>
        </w:rPr>
        <w:t>设计施工总承包</w:t>
      </w:r>
    </w:p>
    <w:p>
      <w:pPr>
        <w:pStyle w:val="32"/>
        <w:spacing w:line="360" w:lineRule="auto"/>
        <w:jc w:val="center"/>
        <w:rPr>
          <w:rFonts w:ascii="黑体" w:hAnsi="黑体" w:eastAsia="黑体" w:cs="黑体"/>
          <w:b/>
          <w:color w:val="auto"/>
          <w:sz w:val="36"/>
          <w:szCs w:val="36"/>
          <w:highlight w:val="none"/>
          <w:lang w:bidi="ar"/>
        </w:rPr>
      </w:pPr>
    </w:p>
    <w:p>
      <w:pPr>
        <w:pStyle w:val="32"/>
        <w:spacing w:line="360" w:lineRule="auto"/>
        <w:jc w:val="center"/>
        <w:rPr>
          <w:rFonts w:ascii="黑体" w:hAnsi="黑体" w:eastAsia="黑体" w:cs="黑体"/>
          <w:b/>
          <w:color w:val="auto"/>
          <w:sz w:val="36"/>
          <w:szCs w:val="36"/>
          <w:highlight w:val="none"/>
          <w:lang w:bidi="ar"/>
        </w:rPr>
      </w:pPr>
    </w:p>
    <w:p>
      <w:pPr>
        <w:pStyle w:val="32"/>
        <w:spacing w:line="360" w:lineRule="auto"/>
        <w:jc w:val="center"/>
        <w:rPr>
          <w:rFonts w:ascii="黑体" w:hAnsi="黑体" w:eastAsia="黑体" w:cs="黑体"/>
          <w:b/>
          <w:color w:val="auto"/>
          <w:sz w:val="48"/>
          <w:szCs w:val="48"/>
          <w:highlight w:val="none"/>
          <w:u w:val="none"/>
          <w:lang w:bidi="ar"/>
        </w:rPr>
      </w:pPr>
      <w:r>
        <w:rPr>
          <w:rFonts w:hint="eastAsia" w:ascii="黑体" w:hAnsi="黑体" w:eastAsia="黑体" w:cs="黑体"/>
          <w:b/>
          <w:color w:val="auto"/>
          <w:sz w:val="48"/>
          <w:szCs w:val="48"/>
          <w:highlight w:val="none"/>
          <w:u w:val="none"/>
          <w:lang w:bidi="ar"/>
        </w:rPr>
        <w:t>投标文件</w:t>
      </w:r>
    </w:p>
    <w:p>
      <w:pPr>
        <w:pStyle w:val="32"/>
        <w:spacing w:line="360" w:lineRule="auto"/>
        <w:jc w:val="center"/>
        <w:rPr>
          <w:rFonts w:ascii="黑体" w:hAnsi="黑体" w:eastAsia="黑体" w:cs="黑体"/>
          <w:b/>
          <w:color w:val="auto"/>
          <w:sz w:val="36"/>
          <w:szCs w:val="36"/>
          <w:highlight w:val="none"/>
          <w:lang w:bidi="ar"/>
        </w:rPr>
      </w:pPr>
      <w:r>
        <w:rPr>
          <w:rFonts w:hint="eastAsia" w:ascii="黑体" w:hAnsi="黑体" w:eastAsia="黑体" w:cs="黑体"/>
          <w:b/>
          <w:color w:val="auto"/>
          <w:sz w:val="36"/>
          <w:szCs w:val="36"/>
          <w:highlight w:val="none"/>
          <w:lang w:bidi="ar"/>
        </w:rPr>
        <w:t>（资格审查文件）</w:t>
      </w:r>
      <w:r>
        <w:rPr>
          <w:rFonts w:hint="eastAsia" w:ascii="黑体" w:hAnsi="黑体" w:eastAsia="黑体" w:cs="黑体"/>
          <w:bCs/>
          <w:color w:val="auto"/>
          <w:sz w:val="36"/>
          <w:szCs w:val="36"/>
          <w:highlight w:val="none"/>
          <w:u w:val="none"/>
          <w:lang w:bidi="ar"/>
        </w:rPr>
        <w:t xml:space="preserve"> </w:t>
      </w:r>
    </w:p>
    <w:p>
      <w:pPr>
        <w:spacing w:line="360" w:lineRule="auto"/>
        <w:rPr>
          <w:b/>
          <w:color w:val="auto"/>
          <w:sz w:val="48"/>
          <w:szCs w:val="48"/>
          <w:highlight w:val="none"/>
        </w:rPr>
      </w:pPr>
    </w:p>
    <w:p>
      <w:pPr>
        <w:spacing w:line="360" w:lineRule="auto"/>
        <w:rPr>
          <w:b/>
          <w:color w:val="auto"/>
          <w:sz w:val="48"/>
          <w:szCs w:val="48"/>
          <w:highlight w:val="none"/>
        </w:rPr>
      </w:pPr>
    </w:p>
    <w:p>
      <w:pPr>
        <w:spacing w:line="360" w:lineRule="auto"/>
        <w:rPr>
          <w:b/>
          <w:color w:val="auto"/>
          <w:sz w:val="48"/>
          <w:szCs w:val="48"/>
          <w:highlight w:val="none"/>
        </w:rPr>
      </w:pPr>
    </w:p>
    <w:p>
      <w:pPr>
        <w:spacing w:line="360" w:lineRule="auto"/>
        <w:rPr>
          <w:b/>
          <w:color w:val="auto"/>
          <w:sz w:val="48"/>
          <w:szCs w:val="48"/>
          <w:highlight w:val="none"/>
        </w:rPr>
      </w:pPr>
    </w:p>
    <w:p>
      <w:pPr>
        <w:spacing w:line="360" w:lineRule="auto"/>
        <w:ind w:firstLine="389" w:firstLineChars="139"/>
        <w:jc w:val="left"/>
        <w:rPr>
          <w:rFonts w:ascii="华文楷体" w:hAnsi="华文楷体" w:eastAsia="华文楷体" w:cs="华文楷体"/>
          <w:color w:val="auto"/>
          <w:sz w:val="28"/>
          <w:szCs w:val="28"/>
          <w:highlight w:val="none"/>
          <w:u w:val="single"/>
        </w:rPr>
      </w:pPr>
      <w:r>
        <w:rPr>
          <w:rFonts w:hint="eastAsia" w:ascii="华文楷体" w:hAnsi="华文楷体" w:eastAsia="华文楷体" w:cs="华文楷体"/>
          <w:color w:val="auto"/>
          <w:sz w:val="28"/>
          <w:szCs w:val="28"/>
          <w:highlight w:val="none"/>
        </w:rPr>
        <w:t>投标单位名称（盖章）：</w:t>
      </w:r>
      <w:r>
        <w:rPr>
          <w:rFonts w:hint="eastAsia" w:ascii="华文楷体" w:hAnsi="华文楷体" w:eastAsia="华文楷体" w:cs="华文楷体"/>
          <w:color w:val="auto"/>
          <w:kern w:val="0"/>
          <w:sz w:val="28"/>
          <w:szCs w:val="28"/>
          <w:highlight w:val="none"/>
          <w:u w:val="single"/>
        </w:rPr>
        <w:t xml:space="preserve">                         </w:t>
      </w:r>
    </w:p>
    <w:p>
      <w:pPr>
        <w:spacing w:line="360" w:lineRule="auto"/>
        <w:ind w:firstLine="389" w:firstLineChars="139"/>
        <w:jc w:val="left"/>
        <w:rPr>
          <w:rFonts w:ascii="华文楷体" w:hAnsi="华文楷体" w:eastAsia="华文楷体" w:cs="华文楷体"/>
          <w:color w:val="auto"/>
          <w:sz w:val="28"/>
          <w:szCs w:val="28"/>
          <w:highlight w:val="none"/>
          <w:u w:val="single"/>
        </w:rPr>
      </w:pPr>
      <w:r>
        <w:rPr>
          <w:rFonts w:hint="eastAsia" w:ascii="华文楷体" w:hAnsi="华文楷体" w:eastAsia="华文楷体" w:cs="华文楷体"/>
          <w:color w:val="auto"/>
          <w:sz w:val="28"/>
          <w:szCs w:val="28"/>
          <w:highlight w:val="none"/>
        </w:rPr>
        <w:t>法定代表人或其委托代理人（签字或盖章）：</w:t>
      </w:r>
      <w:r>
        <w:rPr>
          <w:rFonts w:hint="eastAsia" w:ascii="华文楷体" w:hAnsi="华文楷体" w:eastAsia="华文楷体" w:cs="华文楷体"/>
          <w:color w:val="auto"/>
          <w:sz w:val="28"/>
          <w:szCs w:val="28"/>
          <w:highlight w:val="none"/>
          <w:u w:val="single"/>
        </w:rPr>
        <w:t xml:space="preserve">      </w:t>
      </w:r>
      <w:r>
        <w:rPr>
          <w:rFonts w:hint="eastAsia" w:ascii="华文楷体" w:hAnsi="华文楷体" w:eastAsia="华文楷体" w:cs="华文楷体"/>
          <w:color w:val="auto"/>
          <w:sz w:val="28"/>
          <w:szCs w:val="28"/>
          <w:highlight w:val="none"/>
          <w:u w:val="single"/>
        </w:rPr>
        <w:tab/>
      </w:r>
    </w:p>
    <w:p>
      <w:pPr>
        <w:spacing w:line="360" w:lineRule="auto"/>
        <w:ind w:firstLine="389" w:firstLineChars="139"/>
        <w:jc w:val="left"/>
        <w:rPr>
          <w:rFonts w:ascii="华文楷体" w:hAnsi="华文楷体" w:eastAsia="华文楷体" w:cs="华文楷体"/>
          <w:bCs/>
          <w:color w:val="auto"/>
          <w:sz w:val="28"/>
          <w:szCs w:val="28"/>
          <w:highlight w:val="none"/>
        </w:rPr>
      </w:pPr>
      <w:r>
        <w:rPr>
          <w:rFonts w:hint="eastAsia" w:ascii="华文楷体" w:hAnsi="华文楷体" w:eastAsia="华文楷体" w:cs="华文楷体"/>
          <w:color w:val="auto"/>
          <w:sz w:val="28"/>
          <w:szCs w:val="28"/>
          <w:highlight w:val="none"/>
        </w:rPr>
        <w:t>投标日期：   年   月   日</w:t>
      </w:r>
    </w:p>
    <w:p>
      <w:pPr>
        <w:spacing w:line="360" w:lineRule="auto"/>
        <w:jc w:val="left"/>
        <w:rPr>
          <w:bCs/>
          <w:color w:val="auto"/>
          <w:szCs w:val="21"/>
          <w:highlight w:val="none"/>
        </w:rPr>
      </w:pPr>
    </w:p>
    <w:p>
      <w:pPr>
        <w:spacing w:line="360" w:lineRule="auto"/>
        <w:jc w:val="left"/>
        <w:rPr>
          <w:bCs/>
          <w:color w:val="auto"/>
          <w:szCs w:val="21"/>
          <w:highlight w:val="none"/>
        </w:rPr>
      </w:pPr>
      <w:r>
        <w:rPr>
          <w:rFonts w:hint="eastAsia"/>
          <w:bCs/>
          <w:color w:val="auto"/>
          <w:szCs w:val="21"/>
          <w:highlight w:val="none"/>
        </w:rPr>
        <w:br w:type="page"/>
      </w:r>
    </w:p>
    <w:p>
      <w:pPr>
        <w:spacing w:line="360" w:lineRule="auto"/>
        <w:jc w:val="center"/>
        <w:rPr>
          <w:rFonts w:ascii="黑体" w:hAnsi="黑体" w:eastAsia="黑体" w:cs="黑体"/>
          <w:b/>
          <w:color w:val="auto"/>
          <w:sz w:val="32"/>
          <w:szCs w:val="32"/>
          <w:highlight w:val="none"/>
        </w:rPr>
      </w:pPr>
      <w:r>
        <w:rPr>
          <w:rFonts w:hint="eastAsia" w:ascii="黑体" w:hAnsi="黑体" w:eastAsia="黑体" w:cs="黑体"/>
          <w:b/>
          <w:color w:val="auto"/>
          <w:sz w:val="32"/>
          <w:szCs w:val="32"/>
          <w:highlight w:val="none"/>
        </w:rPr>
        <w:t>目 录</w:t>
      </w:r>
    </w:p>
    <w:p>
      <w:pPr>
        <w:numPr>
          <w:ilvl w:val="0"/>
          <w:numId w:val="5"/>
        </w:numPr>
        <w:spacing w:line="360" w:lineRule="auto"/>
        <w:jc w:val="left"/>
        <w:rPr>
          <w:bCs/>
          <w:color w:val="auto"/>
          <w:szCs w:val="21"/>
          <w:highlight w:val="none"/>
        </w:rPr>
      </w:pPr>
      <w:r>
        <w:rPr>
          <w:rFonts w:hint="eastAsia"/>
          <w:bCs/>
          <w:color w:val="auto"/>
          <w:szCs w:val="21"/>
          <w:highlight w:val="none"/>
        </w:rPr>
        <w:t>投标申请公函</w:t>
      </w:r>
    </w:p>
    <w:p>
      <w:pPr>
        <w:numPr>
          <w:ilvl w:val="0"/>
          <w:numId w:val="5"/>
        </w:numPr>
        <w:spacing w:line="360" w:lineRule="auto"/>
        <w:jc w:val="left"/>
        <w:rPr>
          <w:bCs/>
          <w:color w:val="auto"/>
          <w:szCs w:val="21"/>
          <w:highlight w:val="none"/>
        </w:rPr>
      </w:pPr>
      <w:r>
        <w:rPr>
          <w:rFonts w:hint="eastAsia"/>
          <w:bCs/>
          <w:color w:val="auto"/>
          <w:szCs w:val="21"/>
          <w:highlight w:val="none"/>
          <w:lang w:val="zh-CN"/>
        </w:rPr>
        <w:t>法定代表人证明书</w:t>
      </w:r>
      <w:r>
        <w:rPr>
          <w:rFonts w:hint="eastAsia"/>
          <w:bCs/>
          <w:color w:val="auto"/>
          <w:szCs w:val="21"/>
          <w:highlight w:val="none"/>
        </w:rPr>
        <w:t>及</w:t>
      </w:r>
      <w:r>
        <w:rPr>
          <w:rFonts w:hint="eastAsia"/>
          <w:bCs/>
          <w:color w:val="auto"/>
          <w:szCs w:val="21"/>
          <w:highlight w:val="none"/>
          <w:lang w:val="zh-CN"/>
        </w:rPr>
        <w:t>法定代表人授权委托书</w:t>
      </w:r>
    </w:p>
    <w:p>
      <w:pPr>
        <w:numPr>
          <w:ilvl w:val="0"/>
          <w:numId w:val="5"/>
        </w:numPr>
        <w:spacing w:line="360" w:lineRule="auto"/>
        <w:jc w:val="left"/>
        <w:rPr>
          <w:bCs/>
          <w:color w:val="auto"/>
          <w:szCs w:val="21"/>
          <w:highlight w:val="none"/>
        </w:rPr>
      </w:pPr>
      <w:r>
        <w:rPr>
          <w:rFonts w:hint="eastAsia"/>
          <w:color w:val="auto"/>
          <w:szCs w:val="21"/>
          <w:highlight w:val="none"/>
        </w:rPr>
        <w:t>事业单位法人证书或法人营业执照（联合体投标的，联合体各方均提供）</w:t>
      </w:r>
    </w:p>
    <w:p>
      <w:pPr>
        <w:numPr>
          <w:ilvl w:val="0"/>
          <w:numId w:val="5"/>
        </w:numPr>
        <w:spacing w:line="360" w:lineRule="auto"/>
        <w:jc w:val="left"/>
        <w:rPr>
          <w:bCs/>
          <w:color w:val="auto"/>
          <w:szCs w:val="21"/>
          <w:highlight w:val="none"/>
        </w:rPr>
      </w:pPr>
      <w:r>
        <w:rPr>
          <w:rFonts w:hint="eastAsia"/>
          <w:color w:val="auto"/>
          <w:szCs w:val="21"/>
          <w:highlight w:val="none"/>
        </w:rPr>
        <w:t>企业资质证书（联合体投标的，联合体各方均提供）</w:t>
      </w:r>
    </w:p>
    <w:p>
      <w:pPr>
        <w:numPr>
          <w:ilvl w:val="0"/>
          <w:numId w:val="5"/>
        </w:numPr>
        <w:spacing w:line="360" w:lineRule="auto"/>
        <w:jc w:val="left"/>
        <w:rPr>
          <w:bCs/>
          <w:color w:val="auto"/>
          <w:szCs w:val="21"/>
          <w:highlight w:val="none"/>
        </w:rPr>
      </w:pPr>
      <w:r>
        <w:rPr>
          <w:rFonts w:hint="eastAsia"/>
          <w:color w:val="auto"/>
          <w:szCs w:val="21"/>
          <w:highlight w:val="none"/>
        </w:rPr>
        <w:t>投标人（联合体投标的，承担施工任务方提供）安全生产许可证</w:t>
      </w:r>
    </w:p>
    <w:p>
      <w:pPr>
        <w:numPr>
          <w:ilvl w:val="0"/>
          <w:numId w:val="5"/>
        </w:numPr>
        <w:spacing w:line="360" w:lineRule="auto"/>
        <w:jc w:val="left"/>
        <w:rPr>
          <w:bCs/>
          <w:color w:val="auto"/>
          <w:szCs w:val="21"/>
          <w:highlight w:val="none"/>
        </w:rPr>
      </w:pPr>
      <w:r>
        <w:rPr>
          <w:rFonts w:hint="eastAsia"/>
          <w:color w:val="auto"/>
          <w:szCs w:val="21"/>
          <w:highlight w:val="none"/>
        </w:rPr>
        <w:t>主要负责人资格要求资料</w:t>
      </w:r>
    </w:p>
    <w:p>
      <w:pPr>
        <w:numPr>
          <w:ilvl w:val="0"/>
          <w:numId w:val="5"/>
        </w:numPr>
        <w:spacing w:line="360" w:lineRule="auto"/>
        <w:jc w:val="left"/>
        <w:rPr>
          <w:bCs/>
          <w:color w:val="auto"/>
          <w:szCs w:val="21"/>
          <w:highlight w:val="none"/>
        </w:rPr>
      </w:pPr>
      <w:r>
        <w:rPr>
          <w:rFonts w:hint="eastAsia"/>
          <w:color w:val="auto"/>
          <w:kern w:val="0"/>
          <w:szCs w:val="21"/>
          <w:highlight w:val="none"/>
        </w:rPr>
        <w:t>投标人声明</w:t>
      </w:r>
    </w:p>
    <w:p>
      <w:pPr>
        <w:numPr>
          <w:ilvl w:val="0"/>
          <w:numId w:val="5"/>
        </w:numPr>
        <w:spacing w:line="360" w:lineRule="auto"/>
        <w:jc w:val="left"/>
        <w:rPr>
          <w:bCs/>
          <w:color w:val="auto"/>
          <w:sz w:val="24"/>
          <w:highlight w:val="none"/>
        </w:rPr>
      </w:pPr>
      <w:r>
        <w:rPr>
          <w:rFonts w:hint="eastAsia"/>
          <w:color w:val="auto"/>
          <w:szCs w:val="21"/>
          <w:highlight w:val="none"/>
        </w:rPr>
        <w:t>联合体投标资料（若有）</w:t>
      </w:r>
    </w:p>
    <w:p>
      <w:pPr>
        <w:numPr>
          <w:ilvl w:val="0"/>
          <w:numId w:val="5"/>
        </w:numPr>
        <w:spacing w:line="360" w:lineRule="auto"/>
        <w:jc w:val="left"/>
        <w:rPr>
          <w:bCs/>
          <w:color w:val="auto"/>
          <w:sz w:val="24"/>
          <w:highlight w:val="none"/>
        </w:rPr>
      </w:pPr>
      <w:r>
        <w:rPr>
          <w:rFonts w:hint="eastAsia"/>
          <w:color w:val="auto"/>
          <w:szCs w:val="21"/>
          <w:highlight w:val="none"/>
        </w:rPr>
        <w:t>投标人认为应提供的其他资料</w:t>
      </w:r>
    </w:p>
    <w:p>
      <w:pPr>
        <w:spacing w:line="360" w:lineRule="auto"/>
        <w:jc w:val="left"/>
        <w:rPr>
          <w:color w:val="auto"/>
          <w:szCs w:val="21"/>
          <w:highlight w:val="none"/>
        </w:rPr>
      </w:pPr>
    </w:p>
    <w:p>
      <w:pPr>
        <w:spacing w:line="360" w:lineRule="auto"/>
        <w:jc w:val="left"/>
        <w:rPr>
          <w:color w:val="auto"/>
          <w:szCs w:val="21"/>
          <w:highlight w:val="none"/>
        </w:rPr>
      </w:pPr>
      <w:r>
        <w:rPr>
          <w:rFonts w:hint="eastAsia"/>
          <w:color w:val="auto"/>
          <w:szCs w:val="21"/>
          <w:highlight w:val="none"/>
        </w:rPr>
        <w:t>注：页码由投标人自行编制；若由法定代表人递交投标文件的，不需要“</w:t>
      </w:r>
      <w:r>
        <w:rPr>
          <w:rFonts w:hint="eastAsia"/>
          <w:bCs/>
          <w:color w:val="auto"/>
          <w:szCs w:val="21"/>
          <w:highlight w:val="none"/>
          <w:lang w:val="zh-CN"/>
        </w:rPr>
        <w:t>法定代表人授权委托书”。</w:t>
      </w:r>
    </w:p>
    <w:p>
      <w:pPr>
        <w:spacing w:line="360" w:lineRule="auto"/>
        <w:jc w:val="center"/>
        <w:rPr>
          <w:rFonts w:ascii="黑体" w:hAnsi="黑体" w:eastAsia="黑体" w:cs="黑体"/>
          <w:b/>
          <w:color w:val="auto"/>
          <w:sz w:val="32"/>
          <w:szCs w:val="32"/>
          <w:highlight w:val="none"/>
        </w:rPr>
      </w:pPr>
      <w:r>
        <w:rPr>
          <w:rFonts w:hint="eastAsia"/>
          <w:bCs/>
          <w:color w:val="auto"/>
          <w:sz w:val="24"/>
          <w:highlight w:val="none"/>
        </w:rPr>
        <w:br w:type="page"/>
      </w:r>
      <w:r>
        <w:rPr>
          <w:rFonts w:hint="eastAsia" w:ascii="黑体" w:hAnsi="黑体" w:eastAsia="黑体" w:cs="黑体"/>
          <w:b/>
          <w:color w:val="auto"/>
          <w:sz w:val="32"/>
          <w:szCs w:val="32"/>
          <w:highlight w:val="none"/>
        </w:rPr>
        <w:t>投标申请公函</w:t>
      </w:r>
    </w:p>
    <w:p>
      <w:pPr>
        <w:spacing w:line="360" w:lineRule="auto"/>
        <w:jc w:val="left"/>
        <w:rPr>
          <w:bCs/>
          <w:color w:val="auto"/>
          <w:szCs w:val="21"/>
          <w:highlight w:val="none"/>
        </w:rPr>
      </w:pPr>
    </w:p>
    <w:p>
      <w:pPr>
        <w:spacing w:line="360" w:lineRule="auto"/>
        <w:jc w:val="left"/>
        <w:rPr>
          <w:bCs/>
          <w:color w:val="auto"/>
          <w:szCs w:val="21"/>
          <w:highlight w:val="none"/>
        </w:rPr>
      </w:pPr>
      <w:r>
        <w:rPr>
          <w:rFonts w:hint="eastAsia"/>
          <w:bCs/>
          <w:color w:val="auto"/>
          <w:szCs w:val="21"/>
          <w:highlight w:val="none"/>
        </w:rPr>
        <w:t>致招标人：</w:t>
      </w:r>
      <w:r>
        <w:rPr>
          <w:rFonts w:hint="eastAsia"/>
          <w:bCs/>
          <w:color w:val="auto"/>
          <w:szCs w:val="21"/>
          <w:highlight w:val="none"/>
          <w:u w:val="single"/>
        </w:rPr>
        <w:t xml:space="preserve">                              </w:t>
      </w:r>
    </w:p>
    <w:p>
      <w:pPr>
        <w:spacing w:line="360" w:lineRule="auto"/>
        <w:ind w:firstLine="315" w:firstLineChars="150"/>
        <w:jc w:val="left"/>
        <w:rPr>
          <w:bCs/>
          <w:color w:val="auto"/>
          <w:szCs w:val="21"/>
          <w:highlight w:val="none"/>
        </w:rPr>
      </w:pPr>
    </w:p>
    <w:p>
      <w:pPr>
        <w:spacing w:line="360" w:lineRule="auto"/>
        <w:ind w:firstLine="420" w:firstLineChars="200"/>
        <w:jc w:val="left"/>
        <w:rPr>
          <w:bCs/>
          <w:color w:val="auto"/>
          <w:szCs w:val="21"/>
          <w:highlight w:val="none"/>
        </w:rPr>
      </w:pPr>
      <w:r>
        <w:rPr>
          <w:rFonts w:hint="eastAsia"/>
          <w:bCs/>
          <w:color w:val="auto"/>
          <w:szCs w:val="21"/>
          <w:highlight w:val="none"/>
        </w:rPr>
        <w:t>按照本工程招标公告的要求，我们递交有关资料文件，以便贵单位审查我们参加</w:t>
      </w:r>
      <w:r>
        <w:rPr>
          <w:rFonts w:hint="eastAsia"/>
          <w:bCs/>
          <w:color w:val="auto"/>
          <w:szCs w:val="21"/>
          <w:highlight w:val="none"/>
          <w:u w:val="single"/>
          <w:lang w:eastAsia="zh-CN"/>
        </w:rPr>
        <w:t>南沙湿地二期“湿地景区公益植树林”项目</w:t>
      </w:r>
      <w:r>
        <w:rPr>
          <w:rFonts w:hint="eastAsia"/>
          <w:bCs/>
          <w:color w:val="auto"/>
          <w:szCs w:val="21"/>
          <w:highlight w:val="none"/>
          <w:u w:val="single"/>
        </w:rPr>
        <w:t>设计施工总承包</w:t>
      </w:r>
      <w:r>
        <w:rPr>
          <w:rFonts w:hint="eastAsia"/>
          <w:bCs/>
          <w:color w:val="auto"/>
          <w:szCs w:val="21"/>
          <w:highlight w:val="none"/>
        </w:rPr>
        <w:t>投标资格。</w:t>
      </w:r>
    </w:p>
    <w:p>
      <w:pPr>
        <w:spacing w:line="360" w:lineRule="auto"/>
        <w:ind w:firstLine="420" w:firstLineChars="200"/>
        <w:jc w:val="left"/>
        <w:rPr>
          <w:bCs/>
          <w:color w:val="auto"/>
          <w:szCs w:val="21"/>
          <w:highlight w:val="none"/>
        </w:rPr>
      </w:pPr>
      <w:r>
        <w:rPr>
          <w:rFonts w:hint="eastAsia"/>
          <w:bCs/>
          <w:color w:val="auto"/>
          <w:szCs w:val="21"/>
          <w:highlight w:val="none"/>
        </w:rPr>
        <w:t>此申请是</w:t>
      </w:r>
      <w:r>
        <w:rPr>
          <w:rFonts w:hint="eastAsia"/>
          <w:bCs/>
          <w:color w:val="auto"/>
          <w:szCs w:val="21"/>
          <w:highlight w:val="none"/>
          <w:u w:val="single"/>
        </w:rPr>
        <w:t xml:space="preserve">                  （单位名称）</w:t>
      </w:r>
      <w:r>
        <w:rPr>
          <w:rFonts w:hint="eastAsia"/>
          <w:bCs/>
          <w:color w:val="auto"/>
          <w:szCs w:val="21"/>
          <w:highlight w:val="none"/>
        </w:rPr>
        <w:t>以</w:t>
      </w:r>
      <w:r>
        <w:rPr>
          <w:rFonts w:hint="eastAsia"/>
          <w:bCs/>
          <w:color w:val="auto"/>
          <w:szCs w:val="21"/>
          <w:highlight w:val="none"/>
          <w:u w:val="single"/>
        </w:rPr>
        <w:t xml:space="preserve">        （人名）</w:t>
      </w:r>
      <w:r>
        <w:rPr>
          <w:rFonts w:hint="eastAsia"/>
          <w:bCs/>
          <w:color w:val="auto"/>
          <w:szCs w:val="21"/>
          <w:highlight w:val="none"/>
        </w:rPr>
        <w:t>为全权代表身份递交的。</w:t>
      </w:r>
    </w:p>
    <w:p>
      <w:pPr>
        <w:spacing w:line="360" w:lineRule="auto"/>
        <w:ind w:firstLine="420" w:firstLineChars="200"/>
        <w:jc w:val="left"/>
        <w:rPr>
          <w:bCs/>
          <w:color w:val="auto"/>
          <w:szCs w:val="21"/>
          <w:highlight w:val="none"/>
        </w:rPr>
      </w:pPr>
      <w:r>
        <w:rPr>
          <w:rFonts w:hint="eastAsia"/>
          <w:bCs/>
          <w:color w:val="auto"/>
          <w:szCs w:val="21"/>
          <w:highlight w:val="none"/>
        </w:rPr>
        <w:t>我们保证所有提交的资料是真实可靠的，并为提交的资料负有相应的法律责任。</w:t>
      </w:r>
    </w:p>
    <w:p>
      <w:pPr>
        <w:spacing w:line="360" w:lineRule="auto"/>
        <w:ind w:firstLine="420" w:firstLineChars="200"/>
        <w:jc w:val="left"/>
        <w:rPr>
          <w:bCs/>
          <w:color w:val="auto"/>
          <w:szCs w:val="21"/>
          <w:highlight w:val="none"/>
        </w:rPr>
      </w:pPr>
      <w:r>
        <w:rPr>
          <w:rFonts w:hint="eastAsia"/>
          <w:bCs/>
          <w:color w:val="auto"/>
          <w:szCs w:val="21"/>
          <w:highlight w:val="none"/>
        </w:rPr>
        <w:t>我们理解招标单位有权拒绝任何申请，而无需由招标单位承担任何责任。</w:t>
      </w:r>
    </w:p>
    <w:p>
      <w:pPr>
        <w:spacing w:line="360" w:lineRule="auto"/>
        <w:ind w:firstLine="315" w:firstLineChars="150"/>
        <w:jc w:val="left"/>
        <w:rPr>
          <w:bCs/>
          <w:color w:val="auto"/>
          <w:szCs w:val="21"/>
          <w:highlight w:val="none"/>
        </w:rPr>
      </w:pPr>
    </w:p>
    <w:p>
      <w:pPr>
        <w:spacing w:line="360" w:lineRule="auto"/>
        <w:ind w:firstLine="315" w:firstLineChars="150"/>
        <w:jc w:val="left"/>
        <w:rPr>
          <w:bCs/>
          <w:color w:val="auto"/>
          <w:szCs w:val="21"/>
          <w:highlight w:val="none"/>
        </w:rPr>
      </w:pPr>
      <w:r>
        <w:rPr>
          <w:rFonts w:hint="eastAsia"/>
          <w:bCs/>
          <w:color w:val="auto"/>
          <w:szCs w:val="21"/>
          <w:highlight w:val="none"/>
        </w:rPr>
        <w:t xml:space="preserve">                     申请单位名称：</w:t>
      </w:r>
    </w:p>
    <w:p>
      <w:pPr>
        <w:spacing w:line="360" w:lineRule="auto"/>
        <w:ind w:firstLine="315" w:firstLineChars="150"/>
        <w:jc w:val="left"/>
        <w:rPr>
          <w:color w:val="auto"/>
          <w:szCs w:val="21"/>
          <w:highlight w:val="none"/>
        </w:rPr>
      </w:pPr>
      <w:r>
        <w:rPr>
          <w:rFonts w:hint="eastAsia"/>
          <w:bCs/>
          <w:color w:val="auto"/>
          <w:szCs w:val="21"/>
          <w:highlight w:val="none"/>
        </w:rPr>
        <w:t xml:space="preserve">                     申请日期：      年   月   日</w:t>
      </w:r>
    </w:p>
    <w:p>
      <w:pPr>
        <w:spacing w:line="360" w:lineRule="auto"/>
        <w:jc w:val="left"/>
        <w:rPr>
          <w:bCs/>
          <w:color w:val="auto"/>
          <w:sz w:val="24"/>
          <w:highlight w:val="none"/>
        </w:rPr>
      </w:pPr>
    </w:p>
    <w:p>
      <w:pPr>
        <w:spacing w:line="360" w:lineRule="auto"/>
        <w:jc w:val="center"/>
        <w:rPr>
          <w:rFonts w:ascii="黑体" w:hAnsi="黑体" w:eastAsia="黑体" w:cs="黑体"/>
          <w:b/>
          <w:color w:val="auto"/>
          <w:sz w:val="32"/>
          <w:szCs w:val="32"/>
          <w:highlight w:val="none"/>
          <w:lang w:val="zh-CN"/>
        </w:rPr>
      </w:pPr>
      <w:r>
        <w:rPr>
          <w:rFonts w:hint="eastAsia"/>
          <w:bCs/>
          <w:color w:val="auto"/>
          <w:sz w:val="24"/>
          <w:highlight w:val="none"/>
        </w:rPr>
        <w:br w:type="page"/>
      </w:r>
      <w:r>
        <w:rPr>
          <w:rFonts w:hint="eastAsia" w:ascii="黑体" w:hAnsi="黑体" w:eastAsia="黑体" w:cs="黑体"/>
          <w:b/>
          <w:color w:val="auto"/>
          <w:sz w:val="32"/>
          <w:szCs w:val="32"/>
          <w:highlight w:val="none"/>
          <w:lang w:val="zh-CN"/>
        </w:rPr>
        <w:t>法人代表证明书、授权委托证明书</w:t>
      </w:r>
    </w:p>
    <w:p>
      <w:pPr>
        <w:autoSpaceDE w:val="0"/>
        <w:autoSpaceDN w:val="0"/>
        <w:adjustRightInd w:val="0"/>
        <w:spacing w:line="360" w:lineRule="auto"/>
        <w:jc w:val="center"/>
        <w:rPr>
          <w:b/>
          <w:bCs/>
          <w:color w:val="auto"/>
          <w:sz w:val="28"/>
          <w:szCs w:val="28"/>
          <w:highlight w:val="none"/>
          <w:lang w:val="zh-CN"/>
        </w:rPr>
      </w:pPr>
      <w:r>
        <w:rPr>
          <w:rFonts w:hint="eastAsia"/>
          <w:b/>
          <w:bCs/>
          <w:color w:val="auto"/>
          <w:sz w:val="28"/>
          <w:szCs w:val="28"/>
          <w:highlight w:val="none"/>
          <w:lang w:val="zh-CN"/>
        </w:rPr>
        <w:t>法定代表人证明书</w:t>
      </w:r>
    </w:p>
    <w:p>
      <w:pPr>
        <w:spacing w:line="360" w:lineRule="auto"/>
        <w:jc w:val="right"/>
        <w:rPr>
          <w:color w:val="auto"/>
          <w:szCs w:val="21"/>
          <w:highlight w:val="none"/>
        </w:rPr>
      </w:pPr>
      <w:r>
        <w:rPr>
          <w:rFonts w:hint="eastAsia"/>
          <w:color w:val="auto"/>
          <w:szCs w:val="21"/>
          <w:highlight w:val="none"/>
        </w:rPr>
        <w:t>（   ）第   号</w:t>
      </w:r>
    </w:p>
    <w:tbl>
      <w:tblPr>
        <w:tblStyle w:val="38"/>
        <w:tblW w:w="0" w:type="auto"/>
        <w:jc w:val="center"/>
        <w:tblBorders>
          <w:top w:val="single" w:color="auto" w:sz="4" w:space="0"/>
          <w:left w:val="single" w:color="auto" w:sz="4" w:space="0"/>
          <w:bottom w:val="single" w:color="auto" w:sz="4" w:space="0"/>
          <w:right w:val="single" w:color="auto" w:sz="4" w:space="0"/>
          <w:insideH w:val="thinThickSmallGap" w:color="339966" w:sz="24" w:space="0"/>
          <w:insideV w:val="none" w:color="auto" w:sz="0"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thinThickSmallGap" w:color="339966" w:sz="24" w:space="0"/>
            <w:insideV w:val="none" w:color="auto" w:sz="0" w:space="0"/>
          </w:tblBorders>
          <w:tblCellMar>
            <w:top w:w="0" w:type="dxa"/>
            <w:left w:w="108" w:type="dxa"/>
            <w:bottom w:w="0" w:type="dxa"/>
            <w:right w:w="108" w:type="dxa"/>
          </w:tblCellMar>
        </w:tblPrEx>
        <w:trPr>
          <w:jc w:val="center"/>
        </w:trPr>
        <w:tc>
          <w:tcPr>
            <w:tcW w:w="9498" w:type="dxa"/>
          </w:tcPr>
          <w:p>
            <w:pPr>
              <w:spacing w:line="360" w:lineRule="auto"/>
              <w:ind w:firstLine="420" w:firstLineChars="200"/>
              <w:rPr>
                <w:color w:val="auto"/>
                <w:szCs w:val="21"/>
                <w:highlight w:val="none"/>
              </w:rPr>
            </w:pPr>
            <w:r>
              <w:rPr>
                <w:rFonts w:hint="eastAsia"/>
                <w:color w:val="auto"/>
                <w:szCs w:val="21"/>
                <w:highlight w:val="none"/>
                <w:u w:val="single"/>
                <w:lang w:bidi="ar"/>
              </w:rPr>
              <w:t xml:space="preserve">       </w:t>
            </w:r>
            <w:r>
              <w:rPr>
                <w:rFonts w:hint="eastAsia"/>
                <w:color w:val="auto"/>
                <w:szCs w:val="21"/>
                <w:highlight w:val="none"/>
                <w:lang w:bidi="ar"/>
              </w:rPr>
              <w:t>现任我公司</w:t>
            </w:r>
            <w:r>
              <w:rPr>
                <w:rFonts w:hint="eastAsia"/>
                <w:color w:val="auto"/>
                <w:szCs w:val="21"/>
                <w:highlight w:val="none"/>
                <w:u w:val="single"/>
                <w:lang w:bidi="ar"/>
              </w:rPr>
              <w:t xml:space="preserve">      </w:t>
            </w:r>
            <w:r>
              <w:rPr>
                <w:rFonts w:hint="eastAsia"/>
                <w:color w:val="auto"/>
                <w:szCs w:val="21"/>
                <w:highlight w:val="none"/>
                <w:lang w:bidi="ar"/>
              </w:rPr>
              <w:t>职务，为法定代表人（负责人），特此证明。</w:t>
            </w:r>
          </w:p>
          <w:p>
            <w:pPr>
              <w:spacing w:line="360" w:lineRule="auto"/>
              <w:ind w:firstLine="420" w:firstLineChars="200"/>
              <w:rPr>
                <w:color w:val="auto"/>
                <w:szCs w:val="21"/>
                <w:highlight w:val="none"/>
                <w:u w:val="single"/>
              </w:rPr>
            </w:pPr>
            <w:r>
              <w:rPr>
                <w:rFonts w:hint="eastAsia"/>
                <w:color w:val="auto"/>
                <w:szCs w:val="21"/>
                <w:highlight w:val="none"/>
                <w:lang w:bidi="ar"/>
              </w:rPr>
              <w:t>有效期限：</w:t>
            </w:r>
            <w:r>
              <w:rPr>
                <w:rFonts w:hint="eastAsia"/>
                <w:color w:val="auto"/>
                <w:szCs w:val="21"/>
                <w:highlight w:val="none"/>
                <w:u w:val="single"/>
                <w:lang w:bidi="ar"/>
              </w:rPr>
              <w:t xml:space="preserve">      </w:t>
            </w:r>
          </w:p>
          <w:p>
            <w:pPr>
              <w:snapToGrid w:val="0"/>
              <w:spacing w:line="360" w:lineRule="auto"/>
              <w:rPr>
                <w:color w:val="auto"/>
                <w:szCs w:val="21"/>
                <w:highlight w:val="none"/>
                <w:u w:val="single"/>
              </w:rPr>
            </w:pPr>
            <w:r>
              <w:rPr>
                <w:rFonts w:hint="eastAsia"/>
                <w:color w:val="auto"/>
                <w:szCs w:val="21"/>
                <w:highlight w:val="none"/>
                <w:lang w:bidi="ar"/>
              </w:rPr>
              <w:t>附：法定代表人（负责人）性别：</w:t>
            </w:r>
            <w:r>
              <w:rPr>
                <w:rFonts w:hint="eastAsia"/>
                <w:color w:val="auto"/>
                <w:szCs w:val="21"/>
                <w:highlight w:val="none"/>
                <w:u w:val="single"/>
                <w:lang w:bidi="ar"/>
              </w:rPr>
              <w:t xml:space="preserve">  </w:t>
            </w:r>
            <w:r>
              <w:rPr>
                <w:rFonts w:hint="eastAsia"/>
                <w:color w:val="auto"/>
                <w:szCs w:val="21"/>
                <w:highlight w:val="none"/>
                <w:lang w:bidi="ar"/>
              </w:rPr>
              <w:t xml:space="preserve">  年龄：</w:t>
            </w:r>
            <w:r>
              <w:rPr>
                <w:rFonts w:hint="eastAsia"/>
                <w:color w:val="auto"/>
                <w:szCs w:val="21"/>
                <w:highlight w:val="none"/>
                <w:u w:val="single"/>
                <w:lang w:bidi="ar"/>
              </w:rPr>
              <w:t xml:space="preserve">  </w:t>
            </w:r>
            <w:r>
              <w:rPr>
                <w:rFonts w:hint="eastAsia"/>
                <w:color w:val="auto"/>
                <w:szCs w:val="21"/>
                <w:highlight w:val="none"/>
                <w:lang w:bidi="ar"/>
              </w:rPr>
              <w:t xml:space="preserve">  身份证号码：</w:t>
            </w:r>
            <w:r>
              <w:rPr>
                <w:rFonts w:hint="eastAsia"/>
                <w:color w:val="auto"/>
                <w:szCs w:val="21"/>
                <w:highlight w:val="none"/>
                <w:u w:val="single"/>
                <w:lang w:bidi="ar"/>
              </w:rPr>
              <w:t xml:space="preserve">                </w:t>
            </w:r>
          </w:p>
          <w:p>
            <w:pPr>
              <w:snapToGrid w:val="0"/>
              <w:spacing w:line="360" w:lineRule="auto"/>
              <w:ind w:firstLine="570"/>
              <w:rPr>
                <w:color w:val="auto"/>
                <w:szCs w:val="21"/>
                <w:highlight w:val="none"/>
                <w:u w:val="single"/>
              </w:rPr>
            </w:pPr>
            <w:r>
              <w:rPr>
                <w:rFonts w:hint="eastAsia"/>
                <w:color w:val="auto"/>
                <w:szCs w:val="21"/>
                <w:highlight w:val="none"/>
                <w:lang w:bidi="ar"/>
              </w:rPr>
              <w:t>统一社会信用代码：</w:t>
            </w:r>
            <w:r>
              <w:rPr>
                <w:rFonts w:hint="eastAsia"/>
                <w:color w:val="auto"/>
                <w:szCs w:val="21"/>
                <w:highlight w:val="none"/>
                <w:u w:val="single"/>
                <w:lang w:bidi="ar"/>
              </w:rPr>
              <w:t xml:space="preserve">            </w:t>
            </w:r>
            <w:r>
              <w:rPr>
                <w:rFonts w:hint="eastAsia"/>
                <w:color w:val="auto"/>
                <w:szCs w:val="21"/>
                <w:highlight w:val="none"/>
                <w:lang w:bidi="ar"/>
              </w:rPr>
              <w:t xml:space="preserve">  企业类型：</w:t>
            </w:r>
            <w:r>
              <w:rPr>
                <w:rFonts w:hint="eastAsia"/>
                <w:color w:val="auto"/>
                <w:szCs w:val="21"/>
                <w:highlight w:val="none"/>
                <w:u w:val="single"/>
                <w:lang w:bidi="ar"/>
              </w:rPr>
              <w:t xml:space="preserve">           </w:t>
            </w:r>
          </w:p>
          <w:p>
            <w:pPr>
              <w:snapToGrid w:val="0"/>
              <w:spacing w:line="360" w:lineRule="auto"/>
              <w:ind w:firstLine="570"/>
              <w:rPr>
                <w:color w:val="auto"/>
                <w:szCs w:val="21"/>
                <w:highlight w:val="none"/>
                <w:u w:val="single"/>
              </w:rPr>
            </w:pPr>
            <w:r>
              <w:rPr>
                <w:rFonts w:hint="eastAsia"/>
                <w:color w:val="auto"/>
                <w:szCs w:val="21"/>
                <w:highlight w:val="none"/>
                <w:lang w:bidi="ar"/>
              </w:rPr>
              <w:t>经营范围：</w:t>
            </w:r>
            <w:r>
              <w:rPr>
                <w:rFonts w:hint="eastAsia"/>
                <w:color w:val="auto"/>
                <w:szCs w:val="21"/>
                <w:highlight w:val="none"/>
                <w:u w:val="single"/>
                <w:lang w:bidi="ar"/>
              </w:rPr>
              <w:t xml:space="preserve">                                                          </w:t>
            </w:r>
          </w:p>
          <w:p>
            <w:pPr>
              <w:snapToGrid w:val="0"/>
              <w:spacing w:line="360" w:lineRule="auto"/>
              <w:ind w:firstLine="570"/>
              <w:rPr>
                <w:color w:val="auto"/>
                <w:szCs w:val="21"/>
                <w:highlight w:val="none"/>
                <w:u w:val="single"/>
              </w:rPr>
            </w:pPr>
          </w:p>
          <w:p>
            <w:pPr>
              <w:snapToGrid w:val="0"/>
              <w:spacing w:line="360" w:lineRule="auto"/>
              <w:ind w:firstLine="570"/>
              <w:rPr>
                <w:color w:val="auto"/>
                <w:szCs w:val="21"/>
                <w:highlight w:val="none"/>
              </w:rPr>
            </w:pPr>
            <w:r>
              <w:rPr>
                <w:rFonts w:hint="eastAsia"/>
                <w:color w:val="auto"/>
                <w:szCs w:val="21"/>
                <w:highlight w:val="none"/>
                <w:lang w:bidi="ar"/>
              </w:rPr>
              <w:t xml:space="preserve">                       单位：</w:t>
            </w:r>
            <w:r>
              <w:rPr>
                <w:rFonts w:hint="eastAsia"/>
                <w:color w:val="auto"/>
                <w:szCs w:val="21"/>
                <w:highlight w:val="none"/>
                <w:u w:val="single"/>
                <w:lang w:bidi="ar"/>
              </w:rPr>
              <w:t xml:space="preserve">                                    </w:t>
            </w:r>
            <w:r>
              <w:rPr>
                <w:rFonts w:hint="eastAsia"/>
                <w:color w:val="auto"/>
                <w:szCs w:val="21"/>
                <w:highlight w:val="none"/>
                <w:lang w:bidi="ar"/>
              </w:rPr>
              <w:t>（盖章）</w:t>
            </w:r>
          </w:p>
          <w:p>
            <w:pPr>
              <w:snapToGrid w:val="0"/>
              <w:spacing w:line="360" w:lineRule="auto"/>
              <w:ind w:firstLine="573"/>
              <w:rPr>
                <w:color w:val="auto"/>
                <w:szCs w:val="21"/>
                <w:highlight w:val="none"/>
              </w:rPr>
            </w:pPr>
            <w:r>
              <w:rPr>
                <w:rFonts w:hint="eastAsia"/>
                <w:color w:val="auto"/>
                <w:szCs w:val="21"/>
                <w:highlight w:val="none"/>
                <w:lang w:bidi="ar"/>
              </w:rPr>
              <w:t xml:space="preserve">                                       年  月  日</w:t>
            </w:r>
          </w:p>
        </w:tc>
      </w:tr>
    </w:tbl>
    <w:p>
      <w:pPr>
        <w:spacing w:line="360" w:lineRule="auto"/>
        <w:rPr>
          <w:color w:val="auto"/>
          <w:szCs w:val="21"/>
          <w:highlight w:val="none"/>
        </w:rPr>
      </w:pPr>
      <w:r>
        <w:rPr>
          <w:rFonts w:hint="eastAsia"/>
          <w:color w:val="auto"/>
          <w:szCs w:val="21"/>
          <w:highlight w:val="none"/>
        </w:rPr>
        <w:t>注：法定代表人证明书也可以采用工商行政管理局统一印制的格式。</w:t>
      </w:r>
    </w:p>
    <w:p>
      <w:pPr>
        <w:spacing w:line="360" w:lineRule="auto"/>
        <w:rPr>
          <w:color w:val="auto"/>
          <w:szCs w:val="21"/>
          <w:highlight w:val="none"/>
        </w:rPr>
      </w:pPr>
      <w:r>
        <w:rPr>
          <w:rFonts w:hint="eastAsia"/>
          <w:color w:val="auto"/>
          <w:szCs w:val="21"/>
          <w:highlight w:val="none"/>
        </w:rPr>
        <w:t xml:space="preserve">  </w:t>
      </w:r>
    </w:p>
    <w:p>
      <w:pPr>
        <w:autoSpaceDE w:val="0"/>
        <w:autoSpaceDN w:val="0"/>
        <w:adjustRightInd w:val="0"/>
        <w:spacing w:line="360" w:lineRule="auto"/>
        <w:jc w:val="center"/>
        <w:rPr>
          <w:b/>
          <w:bCs/>
          <w:color w:val="auto"/>
          <w:sz w:val="28"/>
          <w:szCs w:val="28"/>
          <w:highlight w:val="none"/>
          <w:lang w:val="zh-CN"/>
        </w:rPr>
      </w:pPr>
      <w:r>
        <w:rPr>
          <w:rFonts w:hint="eastAsia"/>
          <w:b/>
          <w:bCs/>
          <w:color w:val="auto"/>
          <w:sz w:val="28"/>
          <w:szCs w:val="28"/>
          <w:highlight w:val="none"/>
          <w:lang w:val="zh-CN"/>
        </w:rPr>
        <w:t>法定代表人授权委托书</w:t>
      </w:r>
    </w:p>
    <w:p>
      <w:pPr>
        <w:spacing w:line="360" w:lineRule="auto"/>
        <w:jc w:val="right"/>
        <w:rPr>
          <w:color w:val="auto"/>
          <w:szCs w:val="21"/>
          <w:highlight w:val="none"/>
        </w:rPr>
      </w:pPr>
      <w:r>
        <w:rPr>
          <w:rFonts w:hint="eastAsia"/>
          <w:color w:val="auto"/>
          <w:szCs w:val="21"/>
          <w:highlight w:val="none"/>
        </w:rPr>
        <w:t>（   ）第   号</w:t>
      </w:r>
    </w:p>
    <w:tbl>
      <w:tblPr>
        <w:tblStyle w:val="38"/>
        <w:tblW w:w="0" w:type="auto"/>
        <w:tblInd w:w="45" w:type="dxa"/>
        <w:tblBorders>
          <w:top w:val="single" w:color="auto" w:sz="4" w:space="0"/>
          <w:left w:val="single" w:color="auto" w:sz="4" w:space="0"/>
          <w:bottom w:val="single" w:color="auto" w:sz="4" w:space="0"/>
          <w:right w:val="single" w:color="auto" w:sz="4" w:space="0"/>
          <w:insideH w:val="thinThickSmallGap" w:color="339966" w:sz="24" w:space="0"/>
          <w:insideV w:val="none" w:color="auto" w:sz="0" w:space="0"/>
        </w:tblBorders>
        <w:tblLayout w:type="fixed"/>
        <w:tblCellMar>
          <w:top w:w="0" w:type="dxa"/>
          <w:left w:w="108" w:type="dxa"/>
          <w:bottom w:w="0" w:type="dxa"/>
          <w:right w:w="108" w:type="dxa"/>
        </w:tblCellMar>
      </w:tblPr>
      <w:tblGrid>
        <w:gridCol w:w="9500"/>
      </w:tblGrid>
      <w:tr>
        <w:tblPrEx>
          <w:tblBorders>
            <w:top w:val="single" w:color="auto" w:sz="4" w:space="0"/>
            <w:left w:val="single" w:color="auto" w:sz="4" w:space="0"/>
            <w:bottom w:val="single" w:color="auto" w:sz="4" w:space="0"/>
            <w:right w:val="single" w:color="auto" w:sz="4" w:space="0"/>
            <w:insideH w:val="thinThickSmallGap" w:color="339966" w:sz="24" w:space="0"/>
            <w:insideV w:val="none" w:color="auto" w:sz="0" w:space="0"/>
          </w:tblBorders>
          <w:tblCellMar>
            <w:top w:w="0" w:type="dxa"/>
            <w:left w:w="108" w:type="dxa"/>
            <w:bottom w:w="0" w:type="dxa"/>
            <w:right w:w="108" w:type="dxa"/>
          </w:tblCellMar>
        </w:tblPrEx>
        <w:tc>
          <w:tcPr>
            <w:tcW w:w="9500" w:type="dxa"/>
          </w:tcPr>
          <w:p>
            <w:pPr>
              <w:spacing w:line="360" w:lineRule="auto"/>
              <w:ind w:firstLine="420" w:firstLineChars="200"/>
              <w:rPr>
                <w:color w:val="auto"/>
                <w:szCs w:val="21"/>
                <w:highlight w:val="none"/>
              </w:rPr>
            </w:pPr>
            <w:r>
              <w:rPr>
                <w:rFonts w:hint="eastAsia"/>
                <w:color w:val="auto"/>
                <w:szCs w:val="21"/>
                <w:highlight w:val="none"/>
                <w:lang w:bidi="ar"/>
              </w:rPr>
              <w:t>兹授权</w:t>
            </w:r>
            <w:r>
              <w:rPr>
                <w:rFonts w:hint="eastAsia"/>
                <w:color w:val="auto"/>
                <w:szCs w:val="21"/>
                <w:highlight w:val="none"/>
                <w:u w:val="single"/>
                <w:lang w:bidi="ar"/>
              </w:rPr>
              <w:t xml:space="preserve">      </w:t>
            </w:r>
            <w:r>
              <w:rPr>
                <w:rFonts w:hint="eastAsia"/>
                <w:color w:val="auto"/>
                <w:szCs w:val="21"/>
                <w:highlight w:val="none"/>
                <w:lang w:bidi="ar"/>
              </w:rPr>
              <w:t>为我方委托代理人，其权限是：</w:t>
            </w:r>
            <w:r>
              <w:rPr>
                <w:rFonts w:hint="eastAsia"/>
                <w:color w:val="auto"/>
                <w:szCs w:val="21"/>
                <w:highlight w:val="none"/>
                <w:u w:val="single"/>
                <w:lang w:bidi="ar"/>
              </w:rPr>
              <w:t>负责办理         投标相关事宜</w:t>
            </w:r>
            <w:r>
              <w:rPr>
                <w:rFonts w:hint="eastAsia"/>
                <w:color w:val="auto"/>
                <w:szCs w:val="21"/>
                <w:highlight w:val="none"/>
                <w:lang w:bidi="ar"/>
              </w:rPr>
              <w:t>。</w:t>
            </w:r>
          </w:p>
          <w:p>
            <w:pPr>
              <w:spacing w:line="360" w:lineRule="auto"/>
              <w:ind w:firstLine="420" w:firstLineChars="200"/>
              <w:rPr>
                <w:color w:val="auto"/>
                <w:szCs w:val="21"/>
                <w:highlight w:val="none"/>
                <w:u w:val="single"/>
              </w:rPr>
            </w:pPr>
            <w:r>
              <w:rPr>
                <w:rFonts w:hint="eastAsia"/>
                <w:color w:val="auto"/>
                <w:szCs w:val="21"/>
                <w:highlight w:val="none"/>
                <w:lang w:bidi="ar"/>
              </w:rPr>
              <w:t>有效期限：</w:t>
            </w:r>
            <w:r>
              <w:rPr>
                <w:rFonts w:hint="eastAsia"/>
                <w:color w:val="auto"/>
                <w:szCs w:val="21"/>
                <w:highlight w:val="none"/>
                <w:u w:val="single"/>
                <w:lang w:bidi="ar"/>
              </w:rPr>
              <w:t xml:space="preserve">      </w:t>
            </w:r>
          </w:p>
          <w:p>
            <w:pPr>
              <w:spacing w:line="360" w:lineRule="auto"/>
              <w:rPr>
                <w:color w:val="auto"/>
                <w:szCs w:val="21"/>
                <w:highlight w:val="none"/>
                <w:u w:val="single"/>
              </w:rPr>
            </w:pPr>
            <w:r>
              <w:rPr>
                <w:rFonts w:hint="eastAsia"/>
                <w:color w:val="auto"/>
                <w:szCs w:val="21"/>
                <w:highlight w:val="none"/>
                <w:lang w:bidi="ar"/>
              </w:rPr>
              <w:t>附：代理人性别：</w:t>
            </w:r>
            <w:r>
              <w:rPr>
                <w:rFonts w:hint="eastAsia"/>
                <w:color w:val="auto"/>
                <w:szCs w:val="21"/>
                <w:highlight w:val="none"/>
                <w:u w:val="single"/>
                <w:lang w:bidi="ar"/>
              </w:rPr>
              <w:t xml:space="preserve">  </w:t>
            </w:r>
            <w:r>
              <w:rPr>
                <w:rFonts w:hint="eastAsia"/>
                <w:color w:val="auto"/>
                <w:szCs w:val="21"/>
                <w:highlight w:val="none"/>
                <w:lang w:bidi="ar"/>
              </w:rPr>
              <w:t xml:space="preserve"> 年龄：</w:t>
            </w:r>
            <w:r>
              <w:rPr>
                <w:rFonts w:hint="eastAsia"/>
                <w:color w:val="auto"/>
                <w:szCs w:val="21"/>
                <w:highlight w:val="none"/>
                <w:u w:val="single"/>
                <w:lang w:bidi="ar"/>
              </w:rPr>
              <w:t xml:space="preserve">  </w:t>
            </w:r>
            <w:r>
              <w:rPr>
                <w:rFonts w:hint="eastAsia"/>
                <w:color w:val="auto"/>
                <w:szCs w:val="21"/>
                <w:highlight w:val="none"/>
                <w:lang w:bidi="ar"/>
              </w:rPr>
              <w:t xml:space="preserve"> 身份证号码：</w:t>
            </w:r>
            <w:r>
              <w:rPr>
                <w:rFonts w:hint="eastAsia"/>
                <w:color w:val="auto"/>
                <w:szCs w:val="21"/>
                <w:highlight w:val="none"/>
                <w:u w:val="single"/>
                <w:lang w:bidi="ar"/>
              </w:rPr>
              <w:t xml:space="preserve">                </w:t>
            </w:r>
          </w:p>
          <w:p>
            <w:pPr>
              <w:snapToGrid w:val="0"/>
              <w:spacing w:line="360" w:lineRule="auto"/>
              <w:ind w:firstLine="570"/>
              <w:rPr>
                <w:color w:val="auto"/>
                <w:szCs w:val="21"/>
                <w:highlight w:val="none"/>
                <w:u w:val="single"/>
              </w:rPr>
            </w:pPr>
            <w:r>
              <w:rPr>
                <w:rFonts w:hint="eastAsia"/>
                <w:color w:val="auto"/>
                <w:szCs w:val="21"/>
                <w:highlight w:val="none"/>
                <w:lang w:bidi="ar"/>
              </w:rPr>
              <w:t>统一社会信用代码：</w:t>
            </w:r>
            <w:r>
              <w:rPr>
                <w:rFonts w:hint="eastAsia"/>
                <w:color w:val="auto"/>
                <w:szCs w:val="21"/>
                <w:highlight w:val="none"/>
                <w:u w:val="single"/>
                <w:lang w:bidi="ar"/>
              </w:rPr>
              <w:t xml:space="preserve">            </w:t>
            </w:r>
            <w:r>
              <w:rPr>
                <w:rFonts w:hint="eastAsia"/>
                <w:color w:val="auto"/>
                <w:szCs w:val="21"/>
                <w:highlight w:val="none"/>
                <w:lang w:bidi="ar"/>
              </w:rPr>
              <w:t xml:space="preserve">  企业类型：</w:t>
            </w:r>
            <w:r>
              <w:rPr>
                <w:rFonts w:hint="eastAsia"/>
                <w:color w:val="auto"/>
                <w:szCs w:val="21"/>
                <w:highlight w:val="none"/>
                <w:u w:val="single"/>
                <w:lang w:bidi="ar"/>
              </w:rPr>
              <w:t xml:space="preserve">           </w:t>
            </w:r>
          </w:p>
          <w:p>
            <w:pPr>
              <w:snapToGrid w:val="0"/>
              <w:spacing w:line="360" w:lineRule="auto"/>
              <w:ind w:firstLine="570"/>
              <w:rPr>
                <w:color w:val="auto"/>
                <w:szCs w:val="21"/>
                <w:highlight w:val="none"/>
                <w:u w:val="single"/>
              </w:rPr>
            </w:pPr>
            <w:r>
              <w:rPr>
                <w:rFonts w:hint="eastAsia"/>
                <w:color w:val="auto"/>
                <w:szCs w:val="21"/>
                <w:highlight w:val="none"/>
                <w:lang w:bidi="ar"/>
              </w:rPr>
              <w:t>经营范围：</w:t>
            </w:r>
            <w:r>
              <w:rPr>
                <w:rFonts w:hint="eastAsia"/>
                <w:color w:val="auto"/>
                <w:szCs w:val="21"/>
                <w:highlight w:val="none"/>
                <w:u w:val="single"/>
                <w:lang w:bidi="ar"/>
              </w:rPr>
              <w:t xml:space="preserve">                                                          </w:t>
            </w:r>
          </w:p>
          <w:p>
            <w:pPr>
              <w:snapToGrid w:val="0"/>
              <w:spacing w:line="360" w:lineRule="auto"/>
              <w:ind w:hanging="105"/>
              <w:rPr>
                <w:color w:val="auto"/>
                <w:szCs w:val="21"/>
                <w:highlight w:val="none"/>
                <w:u w:val="single"/>
              </w:rPr>
            </w:pPr>
          </w:p>
          <w:p>
            <w:pPr>
              <w:spacing w:line="360" w:lineRule="auto"/>
              <w:ind w:firstLine="420" w:firstLineChars="200"/>
              <w:rPr>
                <w:color w:val="auto"/>
                <w:szCs w:val="21"/>
                <w:highlight w:val="none"/>
              </w:rPr>
            </w:pPr>
            <w:r>
              <w:rPr>
                <w:rFonts w:hint="eastAsia"/>
                <w:color w:val="auto"/>
                <w:szCs w:val="21"/>
                <w:highlight w:val="none"/>
                <w:lang w:bidi="ar"/>
              </w:rPr>
              <w:t>法定代表人（负责人）：</w:t>
            </w:r>
            <w:r>
              <w:rPr>
                <w:rFonts w:hint="eastAsia"/>
                <w:color w:val="auto"/>
                <w:szCs w:val="21"/>
                <w:highlight w:val="none"/>
                <w:u w:val="single"/>
                <w:lang w:bidi="ar"/>
              </w:rPr>
              <w:t xml:space="preserve">          </w:t>
            </w:r>
            <w:r>
              <w:rPr>
                <w:rFonts w:hint="eastAsia"/>
                <w:color w:val="auto"/>
                <w:szCs w:val="21"/>
                <w:highlight w:val="none"/>
                <w:lang w:bidi="ar"/>
              </w:rPr>
              <w:t>（签名或盖章）</w:t>
            </w:r>
          </w:p>
          <w:p>
            <w:pPr>
              <w:spacing w:line="360" w:lineRule="auto"/>
              <w:ind w:firstLine="420" w:firstLineChars="200"/>
              <w:rPr>
                <w:color w:val="auto"/>
                <w:szCs w:val="21"/>
                <w:highlight w:val="none"/>
              </w:rPr>
            </w:pPr>
            <w:r>
              <w:rPr>
                <w:rFonts w:hint="eastAsia"/>
                <w:color w:val="auto"/>
                <w:szCs w:val="21"/>
                <w:highlight w:val="none"/>
                <w:lang w:bidi="ar"/>
              </w:rPr>
              <w:t>授权单位：（盖章）</w:t>
            </w:r>
            <w:r>
              <w:rPr>
                <w:rFonts w:hint="eastAsia"/>
                <w:color w:val="auto"/>
                <w:szCs w:val="21"/>
                <w:highlight w:val="none"/>
                <w:u w:val="single"/>
                <w:lang w:bidi="ar"/>
              </w:rPr>
              <w:t xml:space="preserve">                          </w:t>
            </w:r>
          </w:p>
          <w:p>
            <w:pPr>
              <w:snapToGrid w:val="0"/>
              <w:spacing w:line="360" w:lineRule="auto"/>
              <w:ind w:firstLine="570"/>
              <w:rPr>
                <w:color w:val="auto"/>
                <w:szCs w:val="21"/>
                <w:highlight w:val="none"/>
              </w:rPr>
            </w:pPr>
            <w:r>
              <w:rPr>
                <w:rFonts w:hint="eastAsia"/>
                <w:color w:val="auto"/>
                <w:szCs w:val="21"/>
                <w:highlight w:val="none"/>
                <w:lang w:bidi="ar"/>
              </w:rPr>
              <w:t xml:space="preserve">                      年  月  日</w:t>
            </w:r>
          </w:p>
        </w:tc>
      </w:tr>
    </w:tbl>
    <w:p>
      <w:pPr>
        <w:spacing w:line="360" w:lineRule="auto"/>
        <w:rPr>
          <w:color w:val="auto"/>
          <w:szCs w:val="21"/>
          <w:highlight w:val="none"/>
        </w:rPr>
      </w:pPr>
      <w:r>
        <w:rPr>
          <w:rFonts w:hint="eastAsia"/>
          <w:color w:val="auto"/>
          <w:szCs w:val="21"/>
          <w:highlight w:val="none"/>
        </w:rPr>
        <w:t>注：法定代表人授权委托书也可以采用工商行政管理局统一印制的格式。</w:t>
      </w:r>
    </w:p>
    <w:p>
      <w:pPr>
        <w:spacing w:line="360" w:lineRule="auto"/>
        <w:jc w:val="center"/>
        <w:rPr>
          <w:bCs/>
          <w:color w:val="auto"/>
          <w:sz w:val="24"/>
          <w:highlight w:val="none"/>
        </w:rPr>
      </w:pPr>
      <w:r>
        <w:rPr>
          <w:rFonts w:hint="eastAsia"/>
          <w:bCs/>
          <w:color w:val="auto"/>
          <w:sz w:val="24"/>
          <w:highlight w:val="none"/>
        </w:rPr>
        <w:br w:type="page"/>
      </w:r>
    </w:p>
    <w:p>
      <w:pPr>
        <w:spacing w:line="360" w:lineRule="auto"/>
        <w:jc w:val="center"/>
        <w:rPr>
          <w:rFonts w:eastAsia="黑体"/>
          <w:b/>
          <w:color w:val="auto"/>
          <w:sz w:val="30"/>
          <w:szCs w:val="30"/>
          <w:highlight w:val="none"/>
        </w:rPr>
      </w:pPr>
      <w:r>
        <w:rPr>
          <w:rFonts w:hint="eastAsia" w:ascii="黑体" w:hAnsi="黑体" w:eastAsia="黑体" w:cs="黑体"/>
          <w:b/>
          <w:color w:val="auto"/>
          <w:sz w:val="30"/>
          <w:szCs w:val="30"/>
          <w:highlight w:val="none"/>
        </w:rPr>
        <w:t>第二部分 工程总承包实施方案（含资信部分）文件</w:t>
      </w:r>
    </w:p>
    <w:p>
      <w:pPr>
        <w:spacing w:line="360" w:lineRule="auto"/>
        <w:jc w:val="center"/>
        <w:rPr>
          <w:b/>
          <w:color w:val="auto"/>
          <w:sz w:val="30"/>
          <w:szCs w:val="30"/>
          <w:highlight w:val="none"/>
        </w:rPr>
      </w:pPr>
    </w:p>
    <w:p>
      <w:pPr>
        <w:spacing w:line="360" w:lineRule="auto"/>
        <w:jc w:val="left"/>
        <w:rPr>
          <w:bCs/>
          <w:color w:val="auto"/>
          <w:szCs w:val="21"/>
          <w:highlight w:val="none"/>
        </w:rPr>
      </w:pPr>
      <w:r>
        <w:rPr>
          <w:rFonts w:hint="eastAsia"/>
          <w:b/>
          <w:color w:val="auto"/>
          <w:sz w:val="30"/>
          <w:szCs w:val="30"/>
          <w:highlight w:val="none"/>
        </w:rPr>
        <w:br w:type="page"/>
      </w:r>
      <w:r>
        <w:rPr>
          <w:rFonts w:hint="eastAsia"/>
          <w:bCs/>
          <w:color w:val="auto"/>
          <w:szCs w:val="21"/>
          <w:highlight w:val="none"/>
        </w:rPr>
        <w:t>格式参考：</w:t>
      </w:r>
    </w:p>
    <w:p>
      <w:pPr>
        <w:spacing w:line="360" w:lineRule="auto"/>
        <w:jc w:val="right"/>
        <w:rPr>
          <w:rFonts w:ascii="黑体" w:hAnsi="黑体" w:eastAsia="黑体" w:cs="黑体"/>
          <w:b/>
          <w:color w:val="auto"/>
          <w:sz w:val="30"/>
          <w:szCs w:val="30"/>
          <w:highlight w:val="none"/>
        </w:rPr>
      </w:pPr>
      <w:r>
        <w:rPr>
          <w:rFonts w:hint="eastAsia" w:ascii="黑体" w:hAnsi="黑体" w:eastAsia="黑体" w:cs="黑体"/>
          <w:b/>
          <w:color w:val="auto"/>
          <w:sz w:val="32"/>
          <w:szCs w:val="32"/>
          <w:highlight w:val="none"/>
        </w:rPr>
        <w:t>正/副本</w:t>
      </w:r>
    </w:p>
    <w:p>
      <w:pPr>
        <w:spacing w:line="360" w:lineRule="auto"/>
        <w:rPr>
          <w:b/>
          <w:color w:val="auto"/>
          <w:sz w:val="30"/>
          <w:szCs w:val="30"/>
          <w:highlight w:val="none"/>
        </w:rPr>
      </w:pPr>
    </w:p>
    <w:p>
      <w:pPr>
        <w:spacing w:line="360" w:lineRule="auto"/>
        <w:rPr>
          <w:bCs/>
          <w:color w:val="auto"/>
          <w:szCs w:val="21"/>
          <w:highlight w:val="none"/>
        </w:rPr>
      </w:pPr>
    </w:p>
    <w:p>
      <w:pPr>
        <w:pStyle w:val="32"/>
        <w:spacing w:line="360" w:lineRule="auto"/>
        <w:jc w:val="center"/>
        <w:rPr>
          <w:rFonts w:hint="eastAsia" w:ascii="黑体" w:hAnsi="黑体" w:eastAsia="黑体" w:cs="黑体"/>
          <w:b/>
          <w:color w:val="auto"/>
          <w:sz w:val="44"/>
          <w:szCs w:val="44"/>
          <w:highlight w:val="none"/>
          <w:lang w:eastAsia="zh-CN" w:bidi="ar"/>
        </w:rPr>
      </w:pPr>
      <w:r>
        <w:rPr>
          <w:rFonts w:hint="eastAsia" w:ascii="黑体" w:hAnsi="黑体" w:eastAsia="黑体" w:cs="黑体"/>
          <w:b/>
          <w:color w:val="auto"/>
          <w:sz w:val="44"/>
          <w:szCs w:val="44"/>
          <w:highlight w:val="none"/>
          <w:lang w:eastAsia="zh-CN" w:bidi="ar"/>
        </w:rPr>
        <w:t>南沙湿地二期“湿地景区公益植树林”项目</w:t>
      </w:r>
    </w:p>
    <w:p>
      <w:pPr>
        <w:pStyle w:val="32"/>
        <w:spacing w:line="360" w:lineRule="auto"/>
        <w:jc w:val="center"/>
        <w:rPr>
          <w:rFonts w:ascii="黑体" w:hAnsi="黑体" w:eastAsia="黑体" w:cs="黑体"/>
          <w:b/>
          <w:color w:val="auto"/>
          <w:sz w:val="44"/>
          <w:szCs w:val="44"/>
          <w:highlight w:val="none"/>
          <w:lang w:bidi="ar"/>
        </w:rPr>
      </w:pPr>
      <w:r>
        <w:rPr>
          <w:rFonts w:hint="eastAsia" w:ascii="黑体" w:hAnsi="黑体" w:eastAsia="黑体" w:cs="黑体"/>
          <w:b/>
          <w:color w:val="auto"/>
          <w:sz w:val="44"/>
          <w:szCs w:val="44"/>
          <w:highlight w:val="none"/>
          <w:lang w:bidi="ar"/>
        </w:rPr>
        <w:t>设计施工总承包</w:t>
      </w:r>
    </w:p>
    <w:p>
      <w:pPr>
        <w:pStyle w:val="32"/>
        <w:spacing w:line="360" w:lineRule="auto"/>
        <w:jc w:val="center"/>
        <w:rPr>
          <w:rFonts w:ascii="黑体" w:hAnsi="黑体" w:eastAsia="黑体" w:cs="黑体"/>
          <w:b/>
          <w:color w:val="auto"/>
          <w:sz w:val="36"/>
          <w:szCs w:val="36"/>
          <w:highlight w:val="none"/>
          <w:lang w:bidi="ar"/>
        </w:rPr>
      </w:pPr>
    </w:p>
    <w:p>
      <w:pPr>
        <w:pStyle w:val="32"/>
        <w:spacing w:line="360" w:lineRule="auto"/>
        <w:jc w:val="center"/>
        <w:rPr>
          <w:rFonts w:ascii="黑体" w:hAnsi="黑体" w:eastAsia="黑体" w:cs="黑体"/>
          <w:b/>
          <w:color w:val="auto"/>
          <w:sz w:val="36"/>
          <w:szCs w:val="36"/>
          <w:highlight w:val="none"/>
          <w:lang w:bidi="ar"/>
        </w:rPr>
      </w:pPr>
    </w:p>
    <w:p>
      <w:pPr>
        <w:pStyle w:val="32"/>
        <w:spacing w:line="360" w:lineRule="auto"/>
        <w:jc w:val="center"/>
        <w:rPr>
          <w:rFonts w:ascii="黑体" w:hAnsi="黑体" w:eastAsia="黑体" w:cs="黑体"/>
          <w:b/>
          <w:color w:val="auto"/>
          <w:sz w:val="48"/>
          <w:szCs w:val="48"/>
          <w:highlight w:val="none"/>
          <w:u w:val="none"/>
          <w:lang w:bidi="ar"/>
        </w:rPr>
      </w:pPr>
      <w:r>
        <w:rPr>
          <w:rFonts w:hint="eastAsia" w:ascii="黑体" w:hAnsi="黑体" w:eastAsia="黑体" w:cs="黑体"/>
          <w:b/>
          <w:color w:val="auto"/>
          <w:sz w:val="48"/>
          <w:szCs w:val="48"/>
          <w:highlight w:val="none"/>
          <w:u w:val="none"/>
          <w:lang w:bidi="ar"/>
        </w:rPr>
        <w:t>投标文件</w:t>
      </w:r>
    </w:p>
    <w:p>
      <w:pPr>
        <w:pStyle w:val="32"/>
        <w:spacing w:line="360" w:lineRule="auto"/>
        <w:jc w:val="center"/>
        <w:rPr>
          <w:rFonts w:ascii="黑体" w:hAnsi="黑体" w:eastAsia="黑体" w:cs="黑体"/>
          <w:b/>
          <w:color w:val="auto"/>
          <w:sz w:val="36"/>
          <w:szCs w:val="36"/>
          <w:highlight w:val="none"/>
          <w:lang w:bidi="ar"/>
        </w:rPr>
      </w:pPr>
      <w:r>
        <w:rPr>
          <w:rFonts w:hint="eastAsia" w:ascii="黑体" w:hAnsi="黑体" w:eastAsia="黑体" w:cs="黑体"/>
          <w:b/>
          <w:color w:val="auto"/>
          <w:sz w:val="36"/>
          <w:szCs w:val="36"/>
          <w:highlight w:val="none"/>
          <w:lang w:bidi="ar"/>
        </w:rPr>
        <w:t>（工程总承包实施方案（含资信部分）文件）</w:t>
      </w:r>
      <w:r>
        <w:rPr>
          <w:rFonts w:hint="eastAsia" w:ascii="黑体" w:hAnsi="黑体" w:eastAsia="黑体" w:cs="黑体"/>
          <w:bCs/>
          <w:color w:val="auto"/>
          <w:sz w:val="36"/>
          <w:szCs w:val="36"/>
          <w:highlight w:val="none"/>
          <w:u w:val="none"/>
          <w:lang w:bidi="ar"/>
        </w:rPr>
        <w:t xml:space="preserve"> </w:t>
      </w:r>
    </w:p>
    <w:p>
      <w:pPr>
        <w:spacing w:line="360" w:lineRule="auto"/>
        <w:rPr>
          <w:b/>
          <w:color w:val="auto"/>
          <w:sz w:val="48"/>
          <w:szCs w:val="48"/>
          <w:highlight w:val="none"/>
        </w:rPr>
      </w:pPr>
    </w:p>
    <w:p>
      <w:pPr>
        <w:spacing w:line="360" w:lineRule="auto"/>
        <w:rPr>
          <w:b/>
          <w:color w:val="auto"/>
          <w:sz w:val="48"/>
          <w:szCs w:val="48"/>
          <w:highlight w:val="none"/>
        </w:rPr>
      </w:pPr>
    </w:p>
    <w:p>
      <w:pPr>
        <w:spacing w:line="360" w:lineRule="auto"/>
        <w:rPr>
          <w:b/>
          <w:color w:val="auto"/>
          <w:sz w:val="48"/>
          <w:szCs w:val="48"/>
          <w:highlight w:val="none"/>
        </w:rPr>
      </w:pPr>
    </w:p>
    <w:p>
      <w:pPr>
        <w:spacing w:line="360" w:lineRule="auto"/>
        <w:rPr>
          <w:b/>
          <w:color w:val="auto"/>
          <w:sz w:val="48"/>
          <w:szCs w:val="48"/>
          <w:highlight w:val="none"/>
        </w:rPr>
      </w:pPr>
    </w:p>
    <w:p>
      <w:pPr>
        <w:spacing w:line="360" w:lineRule="auto"/>
        <w:ind w:firstLine="389" w:firstLineChars="139"/>
        <w:jc w:val="left"/>
        <w:rPr>
          <w:rFonts w:ascii="华文楷体" w:hAnsi="华文楷体" w:eastAsia="华文楷体" w:cs="华文楷体"/>
          <w:color w:val="auto"/>
          <w:sz w:val="28"/>
          <w:szCs w:val="28"/>
          <w:highlight w:val="none"/>
          <w:u w:val="single"/>
        </w:rPr>
      </w:pPr>
      <w:r>
        <w:rPr>
          <w:rFonts w:hint="eastAsia" w:ascii="华文楷体" w:hAnsi="华文楷体" w:eastAsia="华文楷体" w:cs="华文楷体"/>
          <w:color w:val="auto"/>
          <w:sz w:val="28"/>
          <w:szCs w:val="28"/>
          <w:highlight w:val="none"/>
        </w:rPr>
        <w:t>投标单位名称（盖章）：</w:t>
      </w:r>
      <w:r>
        <w:rPr>
          <w:rFonts w:hint="eastAsia" w:ascii="华文楷体" w:hAnsi="华文楷体" w:eastAsia="华文楷体" w:cs="华文楷体"/>
          <w:color w:val="auto"/>
          <w:kern w:val="0"/>
          <w:sz w:val="28"/>
          <w:szCs w:val="28"/>
          <w:highlight w:val="none"/>
          <w:u w:val="single"/>
        </w:rPr>
        <w:t xml:space="preserve">                         </w:t>
      </w:r>
    </w:p>
    <w:p>
      <w:pPr>
        <w:spacing w:line="360" w:lineRule="auto"/>
        <w:ind w:firstLine="389" w:firstLineChars="139"/>
        <w:jc w:val="left"/>
        <w:rPr>
          <w:rFonts w:ascii="华文楷体" w:hAnsi="华文楷体" w:eastAsia="华文楷体" w:cs="华文楷体"/>
          <w:color w:val="auto"/>
          <w:sz w:val="28"/>
          <w:szCs w:val="28"/>
          <w:highlight w:val="none"/>
          <w:u w:val="single"/>
        </w:rPr>
      </w:pPr>
      <w:r>
        <w:rPr>
          <w:rFonts w:hint="eastAsia" w:ascii="华文楷体" w:hAnsi="华文楷体" w:eastAsia="华文楷体" w:cs="华文楷体"/>
          <w:color w:val="auto"/>
          <w:sz w:val="28"/>
          <w:szCs w:val="28"/>
          <w:highlight w:val="none"/>
        </w:rPr>
        <w:t>法定代表人或其委托代理人（签字或盖章）：</w:t>
      </w:r>
      <w:r>
        <w:rPr>
          <w:rFonts w:hint="eastAsia" w:ascii="华文楷体" w:hAnsi="华文楷体" w:eastAsia="华文楷体" w:cs="华文楷体"/>
          <w:color w:val="auto"/>
          <w:sz w:val="28"/>
          <w:szCs w:val="28"/>
          <w:highlight w:val="none"/>
          <w:u w:val="single"/>
        </w:rPr>
        <w:t xml:space="preserve">      </w:t>
      </w:r>
      <w:r>
        <w:rPr>
          <w:rFonts w:hint="eastAsia" w:ascii="华文楷体" w:hAnsi="华文楷体" w:eastAsia="华文楷体" w:cs="华文楷体"/>
          <w:color w:val="auto"/>
          <w:sz w:val="28"/>
          <w:szCs w:val="28"/>
          <w:highlight w:val="none"/>
          <w:u w:val="single"/>
        </w:rPr>
        <w:tab/>
      </w:r>
    </w:p>
    <w:p>
      <w:pPr>
        <w:spacing w:line="360" w:lineRule="auto"/>
        <w:ind w:firstLine="389" w:firstLineChars="139"/>
        <w:jc w:val="left"/>
        <w:rPr>
          <w:rFonts w:ascii="华文楷体" w:hAnsi="华文楷体" w:eastAsia="华文楷体" w:cs="华文楷体"/>
          <w:bCs/>
          <w:color w:val="auto"/>
          <w:sz w:val="28"/>
          <w:szCs w:val="28"/>
          <w:highlight w:val="none"/>
        </w:rPr>
      </w:pPr>
      <w:r>
        <w:rPr>
          <w:rFonts w:hint="eastAsia" w:ascii="华文楷体" w:hAnsi="华文楷体" w:eastAsia="华文楷体" w:cs="华文楷体"/>
          <w:color w:val="auto"/>
          <w:sz w:val="28"/>
          <w:szCs w:val="28"/>
          <w:highlight w:val="none"/>
        </w:rPr>
        <w:t>投标日期：   年   月   日</w:t>
      </w:r>
    </w:p>
    <w:p>
      <w:pPr>
        <w:spacing w:line="360" w:lineRule="auto"/>
        <w:jc w:val="center"/>
        <w:rPr>
          <w:rFonts w:ascii="黑体" w:hAnsi="黑体" w:eastAsia="黑体" w:cs="黑体"/>
          <w:b/>
          <w:color w:val="auto"/>
          <w:sz w:val="32"/>
          <w:szCs w:val="32"/>
          <w:highlight w:val="none"/>
        </w:rPr>
      </w:pPr>
      <w:r>
        <w:rPr>
          <w:rFonts w:hint="eastAsia"/>
          <w:b/>
          <w:color w:val="auto"/>
          <w:sz w:val="30"/>
          <w:szCs w:val="30"/>
          <w:highlight w:val="none"/>
        </w:rPr>
        <w:br w:type="page"/>
      </w:r>
      <w:r>
        <w:rPr>
          <w:rFonts w:hint="eastAsia" w:ascii="黑体" w:hAnsi="黑体" w:eastAsia="黑体" w:cs="黑体"/>
          <w:b/>
          <w:color w:val="auto"/>
          <w:sz w:val="32"/>
          <w:szCs w:val="32"/>
          <w:highlight w:val="none"/>
        </w:rPr>
        <w:t>目 录</w:t>
      </w:r>
    </w:p>
    <w:p>
      <w:pPr>
        <w:spacing w:line="360" w:lineRule="auto"/>
        <w:jc w:val="center"/>
        <w:rPr>
          <w:rFonts w:ascii="黑体" w:hAnsi="黑体" w:eastAsia="黑体" w:cs="黑体"/>
          <w:b/>
          <w:color w:val="auto"/>
          <w:sz w:val="32"/>
          <w:szCs w:val="32"/>
          <w:highlight w:val="none"/>
        </w:rPr>
      </w:pPr>
    </w:p>
    <w:p>
      <w:pPr>
        <w:spacing w:line="360" w:lineRule="auto"/>
        <w:rPr>
          <w:color w:val="auto"/>
          <w:szCs w:val="21"/>
          <w:highlight w:val="none"/>
        </w:rPr>
      </w:pPr>
      <w:r>
        <w:rPr>
          <w:rFonts w:hint="eastAsia"/>
          <w:color w:val="auto"/>
          <w:szCs w:val="21"/>
          <w:highlight w:val="none"/>
        </w:rPr>
        <w:t>一、施工技术投标书</w:t>
      </w:r>
    </w:p>
    <w:p>
      <w:pPr>
        <w:spacing w:line="360" w:lineRule="auto"/>
        <w:rPr>
          <w:color w:val="auto"/>
          <w:szCs w:val="21"/>
          <w:highlight w:val="none"/>
        </w:rPr>
      </w:pPr>
      <w:r>
        <w:rPr>
          <w:rFonts w:hint="eastAsia"/>
          <w:color w:val="auto"/>
          <w:szCs w:val="21"/>
          <w:highlight w:val="none"/>
        </w:rPr>
        <w:t>二、设计投标书</w:t>
      </w:r>
    </w:p>
    <w:p>
      <w:pPr>
        <w:spacing w:line="360" w:lineRule="auto"/>
        <w:rPr>
          <w:color w:val="auto"/>
          <w:szCs w:val="21"/>
          <w:highlight w:val="none"/>
        </w:rPr>
      </w:pPr>
      <w:r>
        <w:rPr>
          <w:rFonts w:hint="eastAsia"/>
          <w:color w:val="auto"/>
          <w:szCs w:val="21"/>
          <w:highlight w:val="none"/>
        </w:rPr>
        <w:t>三、投标承诺书</w:t>
      </w:r>
    </w:p>
    <w:p>
      <w:pPr>
        <w:spacing w:line="360" w:lineRule="auto"/>
        <w:rPr>
          <w:color w:val="auto"/>
          <w:szCs w:val="21"/>
          <w:highlight w:val="none"/>
        </w:rPr>
      </w:pPr>
      <w:r>
        <w:rPr>
          <w:rFonts w:hint="eastAsia"/>
          <w:color w:val="auto"/>
          <w:szCs w:val="21"/>
          <w:highlight w:val="none"/>
        </w:rPr>
        <w:t>四、参与编制施工技术投标文件人员名单</w:t>
      </w:r>
    </w:p>
    <w:p>
      <w:pPr>
        <w:spacing w:line="360" w:lineRule="auto"/>
        <w:rPr>
          <w:color w:val="auto"/>
          <w:szCs w:val="21"/>
          <w:highlight w:val="none"/>
        </w:rPr>
      </w:pPr>
      <w:r>
        <w:rPr>
          <w:rFonts w:hint="eastAsia"/>
          <w:color w:val="auto"/>
          <w:szCs w:val="21"/>
          <w:highlight w:val="none"/>
        </w:rPr>
        <w:t>五、施工技术评分资料（按《工程总承包实施方案（含资信部分）文件评分表》要求提交）</w:t>
      </w:r>
    </w:p>
    <w:p>
      <w:pPr>
        <w:spacing w:line="360" w:lineRule="auto"/>
        <w:rPr>
          <w:color w:val="auto"/>
          <w:szCs w:val="21"/>
          <w:highlight w:val="none"/>
        </w:rPr>
      </w:pPr>
      <w:r>
        <w:rPr>
          <w:rFonts w:hint="eastAsia"/>
          <w:color w:val="auto"/>
          <w:szCs w:val="21"/>
          <w:highlight w:val="none"/>
        </w:rPr>
        <w:t>六、投标人认为应提供的其他资料</w:t>
      </w:r>
    </w:p>
    <w:p>
      <w:pPr>
        <w:spacing w:line="360" w:lineRule="auto"/>
        <w:rPr>
          <w:color w:val="auto"/>
          <w:szCs w:val="21"/>
          <w:highlight w:val="none"/>
        </w:rPr>
      </w:pPr>
    </w:p>
    <w:p>
      <w:pPr>
        <w:spacing w:line="360" w:lineRule="auto"/>
        <w:jc w:val="left"/>
        <w:rPr>
          <w:b/>
          <w:color w:val="auto"/>
          <w:sz w:val="30"/>
          <w:szCs w:val="30"/>
          <w:highlight w:val="none"/>
        </w:rPr>
      </w:pPr>
    </w:p>
    <w:p>
      <w:pPr>
        <w:spacing w:line="360" w:lineRule="auto"/>
        <w:rPr>
          <w:color w:val="auto"/>
          <w:szCs w:val="21"/>
          <w:highlight w:val="none"/>
        </w:rPr>
      </w:pPr>
      <w:r>
        <w:rPr>
          <w:rFonts w:hint="eastAsia"/>
          <w:color w:val="auto"/>
          <w:szCs w:val="21"/>
          <w:highlight w:val="none"/>
        </w:rPr>
        <w:t>注：页码由投标人自行编制。目录格式仅供参考，投标人可根据实际情况进行扩展及补充。</w:t>
      </w:r>
    </w:p>
    <w:p>
      <w:pPr>
        <w:spacing w:line="360" w:lineRule="auto"/>
        <w:jc w:val="center"/>
        <w:rPr>
          <w:rFonts w:ascii="黑体" w:hAnsi="黑体" w:eastAsia="黑体" w:cs="黑体"/>
          <w:b/>
          <w:color w:val="auto"/>
          <w:sz w:val="32"/>
          <w:szCs w:val="32"/>
          <w:highlight w:val="none"/>
          <w:lang w:val="zh-CN"/>
        </w:rPr>
      </w:pPr>
      <w:r>
        <w:rPr>
          <w:b/>
          <w:color w:val="auto"/>
          <w:sz w:val="48"/>
          <w:szCs w:val="48"/>
          <w:highlight w:val="none"/>
        </w:rPr>
        <w:br w:type="page"/>
      </w:r>
      <w:r>
        <w:rPr>
          <w:rFonts w:hint="eastAsia" w:ascii="黑体" w:hAnsi="黑体" w:eastAsia="黑体" w:cs="黑体"/>
          <w:b/>
          <w:color w:val="auto"/>
          <w:sz w:val="32"/>
          <w:szCs w:val="32"/>
          <w:highlight w:val="none"/>
        </w:rPr>
        <w:t>施工</w:t>
      </w:r>
      <w:r>
        <w:rPr>
          <w:rFonts w:hint="eastAsia" w:ascii="黑体" w:hAnsi="黑体" w:eastAsia="黑体" w:cs="黑体"/>
          <w:b/>
          <w:color w:val="auto"/>
          <w:sz w:val="32"/>
          <w:szCs w:val="32"/>
          <w:highlight w:val="none"/>
          <w:lang w:val="zh-CN"/>
        </w:rPr>
        <w:t>技术投标书</w:t>
      </w:r>
    </w:p>
    <w:p>
      <w:pPr>
        <w:autoSpaceDE w:val="0"/>
        <w:autoSpaceDN w:val="0"/>
        <w:adjustRightInd w:val="0"/>
        <w:spacing w:line="360" w:lineRule="auto"/>
        <w:jc w:val="right"/>
        <w:rPr>
          <w:bCs/>
          <w:color w:val="auto"/>
          <w:szCs w:val="21"/>
          <w:highlight w:val="none"/>
          <w:lang w:val="zh-CN"/>
        </w:rPr>
      </w:pPr>
      <w:r>
        <w:rPr>
          <w:rFonts w:hint="eastAsia"/>
          <w:bCs/>
          <w:color w:val="auto"/>
          <w:szCs w:val="21"/>
          <w:highlight w:val="none"/>
          <w:lang w:val="zh-CN"/>
        </w:rPr>
        <w:t>投标日期：   年  月  日</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8"/>
        <w:gridCol w:w="2294"/>
        <w:gridCol w:w="4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26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color w:val="auto"/>
                <w:szCs w:val="21"/>
                <w:highlight w:val="none"/>
                <w:lang w:val="zh-CN"/>
              </w:rPr>
            </w:pPr>
            <w:r>
              <w:rPr>
                <w:rFonts w:hint="eastAsia"/>
                <w:bCs/>
                <w:color w:val="auto"/>
                <w:szCs w:val="21"/>
                <w:highlight w:val="none"/>
              </w:rPr>
              <w:t>项目</w:t>
            </w:r>
            <w:r>
              <w:rPr>
                <w:rFonts w:hint="eastAsia"/>
                <w:bCs/>
                <w:color w:val="auto"/>
                <w:szCs w:val="21"/>
                <w:highlight w:val="none"/>
                <w:lang w:val="zh-CN"/>
              </w:rPr>
              <w:t>名称</w:t>
            </w:r>
          </w:p>
        </w:tc>
        <w:tc>
          <w:tcPr>
            <w:tcW w:w="669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color w:val="auto"/>
                <w:szCs w:val="21"/>
                <w:highlight w:val="none"/>
                <w:lang w:val="zh-CN"/>
              </w:rPr>
            </w:pPr>
            <w:r>
              <w:rPr>
                <w:rFonts w:hint="eastAsia"/>
                <w:bCs/>
                <w:color w:val="auto"/>
                <w:szCs w:val="21"/>
                <w:highlight w:val="none"/>
              </w:rPr>
              <w:t>项目</w:t>
            </w:r>
            <w:r>
              <w:rPr>
                <w:rFonts w:hint="eastAsia"/>
                <w:bCs/>
                <w:color w:val="auto"/>
                <w:szCs w:val="21"/>
                <w:highlight w:val="none"/>
                <w:lang w:val="zh-CN"/>
              </w:rPr>
              <w:t>工期</w:t>
            </w:r>
          </w:p>
        </w:tc>
        <w:tc>
          <w:tcPr>
            <w:tcW w:w="66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68" w:type="dxa"/>
            <w:tcBorders>
              <w:left w:val="single" w:color="auto" w:sz="4" w:space="0"/>
              <w:bottom w:val="single" w:color="auto" w:sz="4" w:space="0"/>
              <w:right w:val="single" w:color="auto" w:sz="4" w:space="0"/>
            </w:tcBorders>
            <w:vAlign w:val="center"/>
          </w:tcPr>
          <w:p>
            <w:pPr>
              <w:spacing w:line="360" w:lineRule="auto"/>
              <w:jc w:val="center"/>
              <w:rPr>
                <w:bCs/>
                <w:color w:val="auto"/>
                <w:szCs w:val="21"/>
                <w:highlight w:val="none"/>
                <w:lang w:val="zh-CN"/>
              </w:rPr>
            </w:pPr>
            <w:r>
              <w:rPr>
                <w:rFonts w:hint="eastAsia"/>
                <w:bCs/>
                <w:color w:val="auto"/>
                <w:szCs w:val="21"/>
                <w:highlight w:val="none"/>
                <w:lang w:val="zh-CN"/>
              </w:rPr>
              <w:t>质量标准</w:t>
            </w:r>
          </w:p>
        </w:tc>
        <w:tc>
          <w:tcPr>
            <w:tcW w:w="66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6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color w:val="auto"/>
                <w:szCs w:val="21"/>
                <w:highlight w:val="none"/>
                <w:lang w:val="zh-CN"/>
              </w:rPr>
            </w:pPr>
            <w:r>
              <w:rPr>
                <w:rFonts w:hint="eastAsia"/>
                <w:bCs/>
                <w:color w:val="auto"/>
                <w:szCs w:val="21"/>
                <w:highlight w:val="none"/>
                <w:lang w:val="zh-CN"/>
              </w:rPr>
              <w:t>保修期限</w:t>
            </w:r>
          </w:p>
        </w:tc>
        <w:tc>
          <w:tcPr>
            <w:tcW w:w="66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68"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60" w:lineRule="auto"/>
              <w:jc w:val="center"/>
              <w:rPr>
                <w:bCs/>
                <w:color w:val="auto"/>
                <w:szCs w:val="21"/>
                <w:highlight w:val="none"/>
              </w:rPr>
            </w:pPr>
            <w:r>
              <w:rPr>
                <w:rFonts w:hint="eastAsia"/>
                <w:bCs/>
                <w:color w:val="auto"/>
                <w:szCs w:val="21"/>
                <w:highlight w:val="none"/>
              </w:rPr>
              <w:t>项目负责人（</w:t>
            </w:r>
            <w:r>
              <w:rPr>
                <w:rFonts w:hint="eastAsia"/>
                <w:color w:val="auto"/>
                <w:szCs w:val="21"/>
                <w:highlight w:val="none"/>
              </w:rPr>
              <w:t>施工负责人）</w:t>
            </w:r>
          </w:p>
        </w:tc>
        <w:tc>
          <w:tcPr>
            <w:tcW w:w="22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color w:val="auto"/>
                <w:szCs w:val="21"/>
                <w:highlight w:val="none"/>
                <w:lang w:val="zh-CN"/>
              </w:rPr>
            </w:pPr>
            <w:r>
              <w:rPr>
                <w:rFonts w:hint="eastAsia"/>
                <w:bCs/>
                <w:color w:val="auto"/>
                <w:szCs w:val="21"/>
                <w:highlight w:val="none"/>
              </w:rPr>
              <w:t>姓    名</w:t>
            </w:r>
          </w:p>
        </w:tc>
        <w:tc>
          <w:tcPr>
            <w:tcW w:w="44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68"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color w:val="auto"/>
                <w:szCs w:val="21"/>
                <w:highlight w:val="none"/>
                <w:lang w:val="zh-CN"/>
              </w:rPr>
            </w:pPr>
          </w:p>
        </w:tc>
        <w:tc>
          <w:tcPr>
            <w:tcW w:w="22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color w:val="auto"/>
                <w:szCs w:val="21"/>
                <w:highlight w:val="none"/>
                <w:lang w:val="zh-CN"/>
              </w:rPr>
            </w:pPr>
            <w:r>
              <w:rPr>
                <w:rFonts w:hint="eastAsia"/>
                <w:bCs/>
                <w:color w:val="auto"/>
                <w:szCs w:val="21"/>
                <w:highlight w:val="none"/>
              </w:rPr>
              <w:t>注册证号</w:t>
            </w:r>
          </w:p>
        </w:tc>
        <w:tc>
          <w:tcPr>
            <w:tcW w:w="44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68" w:type="dxa"/>
            <w:vMerge w:val="restart"/>
            <w:tcBorders>
              <w:left w:val="single" w:color="auto" w:sz="4" w:space="0"/>
              <w:right w:val="single" w:color="auto" w:sz="4" w:space="0"/>
            </w:tcBorders>
            <w:vAlign w:val="center"/>
          </w:tcPr>
          <w:p>
            <w:pPr>
              <w:autoSpaceDE w:val="0"/>
              <w:autoSpaceDN w:val="0"/>
              <w:adjustRightInd w:val="0"/>
              <w:spacing w:line="360" w:lineRule="auto"/>
              <w:jc w:val="center"/>
              <w:rPr>
                <w:bCs/>
                <w:color w:val="auto"/>
                <w:szCs w:val="21"/>
                <w:highlight w:val="none"/>
              </w:rPr>
            </w:pPr>
            <w:r>
              <w:rPr>
                <w:rFonts w:hint="eastAsia"/>
                <w:bCs/>
                <w:color w:val="auto"/>
                <w:szCs w:val="21"/>
                <w:highlight w:val="none"/>
              </w:rPr>
              <w:t>设计负责人</w:t>
            </w:r>
          </w:p>
        </w:tc>
        <w:tc>
          <w:tcPr>
            <w:tcW w:w="22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color w:val="auto"/>
                <w:szCs w:val="21"/>
                <w:highlight w:val="none"/>
              </w:rPr>
            </w:pPr>
            <w:r>
              <w:rPr>
                <w:rFonts w:hint="eastAsia"/>
                <w:bCs/>
                <w:color w:val="auto"/>
                <w:szCs w:val="21"/>
                <w:highlight w:val="none"/>
              </w:rPr>
              <w:t>姓    名</w:t>
            </w:r>
          </w:p>
        </w:tc>
        <w:tc>
          <w:tcPr>
            <w:tcW w:w="44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68"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color w:val="auto"/>
                <w:szCs w:val="21"/>
                <w:highlight w:val="none"/>
                <w:lang w:val="zh-CN"/>
              </w:rPr>
            </w:pPr>
          </w:p>
        </w:tc>
        <w:tc>
          <w:tcPr>
            <w:tcW w:w="22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color w:val="auto"/>
                <w:szCs w:val="21"/>
                <w:highlight w:val="none"/>
              </w:rPr>
            </w:pPr>
            <w:r>
              <w:rPr>
                <w:rFonts w:hint="eastAsia"/>
                <w:bCs/>
                <w:color w:val="auto"/>
                <w:szCs w:val="21"/>
                <w:highlight w:val="none"/>
              </w:rPr>
              <w:t>职称证号或注册证号</w:t>
            </w:r>
          </w:p>
        </w:tc>
        <w:tc>
          <w:tcPr>
            <w:tcW w:w="44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68" w:type="dxa"/>
            <w:vMerge w:val="restart"/>
            <w:tcBorders>
              <w:left w:val="single" w:color="auto" w:sz="4" w:space="0"/>
              <w:right w:val="single" w:color="auto" w:sz="4" w:space="0"/>
            </w:tcBorders>
            <w:vAlign w:val="center"/>
          </w:tcPr>
          <w:p>
            <w:pPr>
              <w:autoSpaceDE w:val="0"/>
              <w:autoSpaceDN w:val="0"/>
              <w:adjustRightInd w:val="0"/>
              <w:spacing w:line="360" w:lineRule="auto"/>
              <w:jc w:val="center"/>
              <w:rPr>
                <w:bCs/>
                <w:color w:val="auto"/>
                <w:szCs w:val="21"/>
                <w:highlight w:val="none"/>
              </w:rPr>
            </w:pPr>
            <w:r>
              <w:rPr>
                <w:rFonts w:hint="eastAsia"/>
                <w:bCs/>
                <w:color w:val="auto"/>
                <w:szCs w:val="21"/>
                <w:highlight w:val="none"/>
              </w:rPr>
              <w:t>安全员</w:t>
            </w:r>
          </w:p>
        </w:tc>
        <w:tc>
          <w:tcPr>
            <w:tcW w:w="22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308" w:firstLineChars="147"/>
              <w:jc w:val="center"/>
              <w:rPr>
                <w:color w:val="auto"/>
                <w:szCs w:val="21"/>
                <w:highlight w:val="none"/>
              </w:rPr>
            </w:pPr>
            <w:r>
              <w:rPr>
                <w:rFonts w:hint="eastAsia"/>
                <w:color w:val="auto"/>
                <w:szCs w:val="21"/>
                <w:highlight w:val="none"/>
                <w:lang w:val="zh-CN"/>
              </w:rPr>
              <w:t>姓</w:t>
            </w:r>
            <w:r>
              <w:rPr>
                <w:color w:val="auto"/>
                <w:szCs w:val="21"/>
                <w:highlight w:val="none"/>
                <w:lang w:val="zh-CN"/>
              </w:rPr>
              <w:t xml:space="preserve">   </w:t>
            </w:r>
            <w:r>
              <w:rPr>
                <w:rFonts w:hint="eastAsia"/>
                <w:color w:val="auto"/>
                <w:szCs w:val="21"/>
                <w:highlight w:val="none"/>
                <w:lang w:val="zh-CN"/>
              </w:rPr>
              <w:t>名</w:t>
            </w:r>
          </w:p>
        </w:tc>
        <w:tc>
          <w:tcPr>
            <w:tcW w:w="44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68"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color w:val="auto"/>
                <w:szCs w:val="21"/>
                <w:highlight w:val="none"/>
                <w:lang w:val="zh-CN"/>
              </w:rPr>
            </w:pPr>
          </w:p>
        </w:tc>
        <w:tc>
          <w:tcPr>
            <w:tcW w:w="22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color w:val="auto"/>
                <w:szCs w:val="21"/>
                <w:highlight w:val="none"/>
              </w:rPr>
            </w:pPr>
            <w:r>
              <w:rPr>
                <w:rFonts w:hint="eastAsia"/>
                <w:color w:val="auto"/>
                <w:szCs w:val="21"/>
                <w:highlight w:val="none"/>
              </w:rPr>
              <w:t>安全生产考核</w:t>
            </w:r>
          </w:p>
          <w:p>
            <w:pPr>
              <w:autoSpaceDE w:val="0"/>
              <w:autoSpaceDN w:val="0"/>
              <w:adjustRightInd w:val="0"/>
              <w:spacing w:line="360" w:lineRule="auto"/>
              <w:jc w:val="center"/>
              <w:rPr>
                <w:color w:val="auto"/>
                <w:szCs w:val="21"/>
                <w:highlight w:val="none"/>
              </w:rPr>
            </w:pPr>
            <w:r>
              <w:rPr>
                <w:rFonts w:hint="eastAsia"/>
                <w:color w:val="auto"/>
                <w:szCs w:val="21"/>
                <w:highlight w:val="none"/>
              </w:rPr>
              <w:t>合格证（</w:t>
            </w:r>
            <w:r>
              <w:rPr>
                <w:color w:val="auto"/>
                <w:szCs w:val="21"/>
                <w:highlight w:val="none"/>
              </w:rPr>
              <w:t>C</w:t>
            </w:r>
            <w:r>
              <w:rPr>
                <w:rFonts w:hint="eastAsia"/>
                <w:color w:val="auto"/>
                <w:szCs w:val="21"/>
                <w:highlight w:val="none"/>
              </w:rPr>
              <w:t>类）编号</w:t>
            </w:r>
          </w:p>
        </w:tc>
        <w:tc>
          <w:tcPr>
            <w:tcW w:w="44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26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color w:val="auto"/>
                <w:szCs w:val="21"/>
                <w:highlight w:val="none"/>
                <w:lang w:val="zh-CN"/>
              </w:rPr>
            </w:pPr>
            <w:r>
              <w:rPr>
                <w:rFonts w:hint="eastAsia"/>
                <w:bCs/>
                <w:color w:val="auto"/>
                <w:szCs w:val="21"/>
                <w:highlight w:val="none"/>
                <w:lang w:val="zh-CN"/>
              </w:rPr>
              <w:t>法定代表人</w:t>
            </w:r>
          </w:p>
          <w:p>
            <w:pPr>
              <w:autoSpaceDE w:val="0"/>
              <w:autoSpaceDN w:val="0"/>
              <w:adjustRightInd w:val="0"/>
              <w:spacing w:line="360" w:lineRule="auto"/>
              <w:jc w:val="center"/>
              <w:rPr>
                <w:bCs/>
                <w:color w:val="auto"/>
                <w:szCs w:val="21"/>
                <w:highlight w:val="none"/>
                <w:lang w:val="zh-CN"/>
              </w:rPr>
            </w:pPr>
            <w:r>
              <w:rPr>
                <w:rFonts w:hint="eastAsia"/>
                <w:bCs/>
                <w:color w:val="auto"/>
                <w:szCs w:val="21"/>
                <w:highlight w:val="none"/>
                <w:lang w:val="zh-CN"/>
              </w:rPr>
              <w:t>（签名或盖章）</w:t>
            </w:r>
          </w:p>
        </w:tc>
        <w:tc>
          <w:tcPr>
            <w:tcW w:w="669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26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color w:val="auto"/>
                <w:szCs w:val="21"/>
                <w:highlight w:val="none"/>
                <w:lang w:val="zh-CN"/>
              </w:rPr>
            </w:pPr>
            <w:r>
              <w:rPr>
                <w:rFonts w:hint="eastAsia"/>
                <w:bCs/>
                <w:color w:val="auto"/>
                <w:szCs w:val="21"/>
                <w:highlight w:val="none"/>
                <w:lang w:val="zh-CN"/>
              </w:rPr>
              <w:t>授权委托人</w:t>
            </w:r>
          </w:p>
          <w:p>
            <w:pPr>
              <w:autoSpaceDE w:val="0"/>
              <w:autoSpaceDN w:val="0"/>
              <w:adjustRightInd w:val="0"/>
              <w:spacing w:line="360" w:lineRule="auto"/>
              <w:jc w:val="center"/>
              <w:rPr>
                <w:bCs/>
                <w:color w:val="auto"/>
                <w:szCs w:val="21"/>
                <w:highlight w:val="none"/>
                <w:lang w:val="zh-CN"/>
              </w:rPr>
            </w:pPr>
            <w:r>
              <w:rPr>
                <w:rFonts w:hint="eastAsia"/>
                <w:bCs/>
                <w:color w:val="auto"/>
                <w:szCs w:val="21"/>
                <w:highlight w:val="none"/>
                <w:lang w:val="zh-CN"/>
              </w:rPr>
              <w:t>（签名或盖章）</w:t>
            </w:r>
          </w:p>
        </w:tc>
        <w:tc>
          <w:tcPr>
            <w:tcW w:w="669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26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color w:val="auto"/>
                <w:szCs w:val="21"/>
                <w:highlight w:val="none"/>
                <w:lang w:val="zh-CN"/>
              </w:rPr>
            </w:pPr>
            <w:r>
              <w:rPr>
                <w:rFonts w:hint="eastAsia"/>
                <w:bCs/>
                <w:color w:val="auto"/>
                <w:szCs w:val="21"/>
                <w:highlight w:val="none"/>
                <w:lang w:val="zh-CN"/>
              </w:rPr>
              <w:t>投标单位</w:t>
            </w:r>
          </w:p>
          <w:p>
            <w:pPr>
              <w:autoSpaceDE w:val="0"/>
              <w:autoSpaceDN w:val="0"/>
              <w:adjustRightInd w:val="0"/>
              <w:spacing w:line="360" w:lineRule="auto"/>
              <w:jc w:val="center"/>
              <w:rPr>
                <w:bCs/>
                <w:color w:val="auto"/>
                <w:szCs w:val="21"/>
                <w:highlight w:val="none"/>
                <w:lang w:val="zh-CN"/>
              </w:rPr>
            </w:pPr>
            <w:r>
              <w:rPr>
                <w:rFonts w:hint="eastAsia"/>
                <w:bCs/>
                <w:color w:val="auto"/>
                <w:szCs w:val="21"/>
                <w:highlight w:val="none"/>
                <w:lang w:val="zh-CN"/>
              </w:rPr>
              <w:t>（企业公章）</w:t>
            </w:r>
          </w:p>
        </w:tc>
        <w:tc>
          <w:tcPr>
            <w:tcW w:w="669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color w:val="auto"/>
                <w:szCs w:val="21"/>
                <w:highlight w:val="none"/>
                <w:lang w:val="zh-CN"/>
              </w:rPr>
            </w:pPr>
          </w:p>
        </w:tc>
      </w:tr>
    </w:tbl>
    <w:p>
      <w:pPr>
        <w:spacing w:line="360" w:lineRule="auto"/>
        <w:jc w:val="center"/>
        <w:rPr>
          <w:rFonts w:ascii="黑体" w:hAnsi="黑体" w:eastAsia="黑体" w:cs="黑体"/>
          <w:b/>
          <w:bCs/>
          <w:color w:val="auto"/>
          <w:sz w:val="32"/>
          <w:szCs w:val="32"/>
          <w:highlight w:val="none"/>
          <w:lang w:val="zh-CN"/>
        </w:rPr>
      </w:pPr>
      <w:r>
        <w:rPr>
          <w:b/>
          <w:color w:val="auto"/>
          <w:szCs w:val="21"/>
          <w:highlight w:val="none"/>
        </w:rPr>
        <w:br w:type="page"/>
      </w:r>
      <w:r>
        <w:rPr>
          <w:rFonts w:hint="eastAsia" w:ascii="黑体" w:hAnsi="黑体" w:eastAsia="黑体" w:cs="黑体"/>
          <w:b/>
          <w:bCs/>
          <w:color w:val="auto"/>
          <w:sz w:val="32"/>
          <w:szCs w:val="32"/>
          <w:highlight w:val="none"/>
          <w:lang w:val="zh-CN"/>
        </w:rPr>
        <w:t>设计投标书</w:t>
      </w:r>
    </w:p>
    <w:p>
      <w:pPr>
        <w:spacing w:line="360" w:lineRule="auto"/>
        <w:rPr>
          <w:color w:val="auto"/>
          <w:szCs w:val="21"/>
          <w:highlight w:val="none"/>
        </w:rPr>
      </w:pPr>
    </w:p>
    <w:p>
      <w:pPr>
        <w:spacing w:line="360" w:lineRule="auto"/>
        <w:jc w:val="left"/>
        <w:rPr>
          <w:color w:val="auto"/>
          <w:szCs w:val="21"/>
          <w:highlight w:val="none"/>
        </w:rPr>
      </w:pPr>
      <w:r>
        <w:rPr>
          <w:rFonts w:hint="eastAsia"/>
          <w:color w:val="auto"/>
          <w:szCs w:val="21"/>
          <w:highlight w:val="none"/>
        </w:rPr>
        <w:t>工程名称：</w:t>
      </w:r>
      <w:r>
        <w:rPr>
          <w:rFonts w:hint="eastAsia"/>
          <w:color w:val="auto"/>
          <w:szCs w:val="21"/>
          <w:highlight w:val="none"/>
          <w:u w:val="single"/>
        </w:rPr>
        <w:t xml:space="preserve">                                    </w:t>
      </w:r>
    </w:p>
    <w:p>
      <w:pPr>
        <w:pStyle w:val="20"/>
        <w:spacing w:line="360" w:lineRule="auto"/>
        <w:rPr>
          <w:rFonts w:hAnsi="宋体"/>
          <w:color w:val="auto"/>
          <w:sz w:val="21"/>
          <w:szCs w:val="21"/>
          <w:highlight w:val="none"/>
        </w:rPr>
      </w:pPr>
    </w:p>
    <w:p>
      <w:pPr>
        <w:pStyle w:val="20"/>
        <w:spacing w:line="360" w:lineRule="auto"/>
        <w:rPr>
          <w:rFonts w:hAnsi="宋体"/>
          <w:color w:val="auto"/>
          <w:sz w:val="21"/>
          <w:szCs w:val="21"/>
          <w:highlight w:val="none"/>
        </w:rPr>
      </w:pPr>
      <w:r>
        <w:rPr>
          <w:rFonts w:hint="eastAsia" w:hAnsi="宋体"/>
          <w:color w:val="auto"/>
          <w:sz w:val="21"/>
          <w:szCs w:val="21"/>
          <w:highlight w:val="none"/>
        </w:rPr>
        <w:t>致：</w:t>
      </w:r>
      <w:r>
        <w:rPr>
          <w:rFonts w:hint="eastAsia" w:hAnsi="宋体"/>
          <w:color w:val="auto"/>
          <w:sz w:val="21"/>
          <w:szCs w:val="21"/>
          <w:highlight w:val="none"/>
          <w:u w:val="single"/>
        </w:rPr>
        <w:t xml:space="preserve">                                    </w:t>
      </w:r>
      <w:r>
        <w:rPr>
          <w:rFonts w:hint="eastAsia" w:hAnsi="宋体"/>
          <w:color w:val="auto"/>
          <w:sz w:val="21"/>
          <w:szCs w:val="21"/>
          <w:highlight w:val="none"/>
        </w:rPr>
        <w:t>（招标人名称）</w:t>
      </w:r>
    </w:p>
    <w:p>
      <w:pPr>
        <w:spacing w:line="360" w:lineRule="auto"/>
        <w:jc w:val="left"/>
        <w:rPr>
          <w:color w:val="auto"/>
          <w:szCs w:val="21"/>
          <w:highlight w:val="none"/>
        </w:rPr>
      </w:pPr>
    </w:p>
    <w:p>
      <w:pPr>
        <w:pStyle w:val="20"/>
        <w:spacing w:line="360" w:lineRule="auto"/>
        <w:ind w:firstLine="420" w:firstLineChars="200"/>
        <w:rPr>
          <w:rFonts w:hAnsi="宋体"/>
          <w:color w:val="auto"/>
          <w:sz w:val="21"/>
          <w:szCs w:val="21"/>
          <w:highlight w:val="none"/>
        </w:rPr>
      </w:pPr>
      <w:r>
        <w:rPr>
          <w:rFonts w:hint="eastAsia" w:hAnsi="宋体"/>
          <w:color w:val="auto"/>
          <w:sz w:val="21"/>
          <w:szCs w:val="21"/>
          <w:highlight w:val="none"/>
        </w:rPr>
        <w:t>我方已收到并研究了上述项目的招标文件、合同条件、技术文件等文件。我方已检查和核对了这些文件，未发现他们有错误或其他缺陷。据此，我方愿按这些文件的规定，按照本投标书，包括一并提交的所有文件材料和所附建议书，承担上述项目并修补其中任何缺陷。</w:t>
      </w:r>
    </w:p>
    <w:p>
      <w:pPr>
        <w:pStyle w:val="20"/>
        <w:spacing w:line="360" w:lineRule="auto"/>
        <w:ind w:firstLine="420" w:firstLineChars="200"/>
        <w:rPr>
          <w:rFonts w:hAnsi="宋体"/>
          <w:color w:val="auto"/>
          <w:sz w:val="21"/>
          <w:szCs w:val="21"/>
          <w:highlight w:val="none"/>
        </w:rPr>
      </w:pPr>
      <w:r>
        <w:rPr>
          <w:rFonts w:hint="eastAsia" w:hAnsi="宋体"/>
          <w:color w:val="auto"/>
          <w:sz w:val="21"/>
          <w:szCs w:val="21"/>
          <w:highlight w:val="none"/>
        </w:rPr>
        <w:t>我方遵守本投标书直至投标有效期满，在该日期前，本投标书对我方一直具有约束力，随时可接受中标。如果我方投标书含有不符合招标文件规定的内容，我方同意按招标文件规定予以修正。我方接受你方关于任命争端裁决委员会的建议。</w:t>
      </w:r>
    </w:p>
    <w:p>
      <w:pPr>
        <w:pStyle w:val="20"/>
        <w:spacing w:line="360" w:lineRule="auto"/>
        <w:ind w:firstLine="480"/>
        <w:rPr>
          <w:rFonts w:hAnsi="宋体"/>
          <w:color w:val="auto"/>
          <w:sz w:val="21"/>
          <w:szCs w:val="21"/>
          <w:highlight w:val="none"/>
        </w:rPr>
      </w:pPr>
      <w:r>
        <w:rPr>
          <w:rFonts w:hint="eastAsia" w:hAnsi="宋体"/>
          <w:color w:val="auto"/>
          <w:sz w:val="21"/>
          <w:szCs w:val="21"/>
          <w:highlight w:val="none"/>
        </w:rPr>
        <w:t>我方认同招标文件规定的评审规则，遵守评标委员会的裁决结果，并且不会采取妨碍项目进展的行为。</w:t>
      </w:r>
    </w:p>
    <w:p>
      <w:pPr>
        <w:pStyle w:val="20"/>
        <w:spacing w:line="360" w:lineRule="auto"/>
        <w:ind w:firstLine="420" w:firstLineChars="200"/>
        <w:rPr>
          <w:rFonts w:hAnsi="宋体"/>
          <w:color w:val="auto"/>
          <w:sz w:val="21"/>
          <w:szCs w:val="21"/>
          <w:highlight w:val="none"/>
        </w:rPr>
      </w:pPr>
      <w:r>
        <w:rPr>
          <w:rFonts w:hint="eastAsia" w:hAnsi="宋体"/>
          <w:color w:val="auto"/>
          <w:sz w:val="21"/>
          <w:szCs w:val="21"/>
          <w:highlight w:val="none"/>
        </w:rPr>
        <w:t>除非制订正式合同协议书并生效，本投标书以及你方中标通知书，应构成你我双方间具有约束力的合同。</w:t>
      </w:r>
    </w:p>
    <w:p>
      <w:pPr>
        <w:spacing w:line="360" w:lineRule="auto"/>
        <w:ind w:firstLine="420" w:firstLineChars="200"/>
        <w:rPr>
          <w:color w:val="auto"/>
          <w:szCs w:val="21"/>
          <w:highlight w:val="none"/>
        </w:rPr>
      </w:pPr>
      <w:r>
        <w:rPr>
          <w:rFonts w:hint="eastAsia"/>
          <w:color w:val="auto"/>
          <w:szCs w:val="21"/>
          <w:highlight w:val="none"/>
        </w:rPr>
        <w:t>本投标书同时作为法人证明书或法人授权委托书。</w:t>
      </w:r>
    </w:p>
    <w:p>
      <w:pPr>
        <w:spacing w:line="360" w:lineRule="auto"/>
        <w:rPr>
          <w:color w:val="auto"/>
          <w:szCs w:val="21"/>
          <w:highlight w:val="none"/>
        </w:rPr>
      </w:pPr>
    </w:p>
    <w:p>
      <w:pPr>
        <w:spacing w:line="360" w:lineRule="auto"/>
        <w:ind w:firstLine="3360" w:firstLineChars="1600"/>
        <w:rPr>
          <w:color w:val="auto"/>
          <w:szCs w:val="21"/>
          <w:highlight w:val="none"/>
        </w:rPr>
      </w:pPr>
      <w:r>
        <w:rPr>
          <w:color w:val="auto"/>
          <w:szCs w:val="21"/>
          <w:highlight w:val="none"/>
        </w:rPr>
        <w:t>投标人</w:t>
      </w:r>
      <w:r>
        <w:rPr>
          <w:rFonts w:hint="eastAsia"/>
          <w:color w:val="auto"/>
          <w:szCs w:val="21"/>
          <w:highlight w:val="none"/>
        </w:rPr>
        <w:t>（</w:t>
      </w:r>
      <w:r>
        <w:rPr>
          <w:color w:val="auto"/>
          <w:szCs w:val="21"/>
          <w:highlight w:val="none"/>
        </w:rPr>
        <w:t>盖章</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rPr>
        <w:t xml:space="preserve">                 </w:t>
      </w:r>
    </w:p>
    <w:p>
      <w:pPr>
        <w:spacing w:line="360" w:lineRule="auto"/>
        <w:ind w:firstLine="3360" w:firstLineChars="1600"/>
        <w:rPr>
          <w:color w:val="auto"/>
          <w:szCs w:val="21"/>
          <w:highlight w:val="none"/>
          <w:u w:val="single"/>
        </w:rPr>
      </w:pPr>
      <w:r>
        <w:rPr>
          <w:color w:val="auto"/>
          <w:szCs w:val="21"/>
          <w:highlight w:val="none"/>
        </w:rPr>
        <w:t>法定代表人或其授权代理人(签名</w:t>
      </w:r>
      <w:r>
        <w:rPr>
          <w:rFonts w:hint="eastAsia"/>
          <w:color w:val="auto"/>
          <w:szCs w:val="21"/>
          <w:highlight w:val="none"/>
        </w:rPr>
        <w:t>或盖章</w:t>
      </w:r>
      <w:r>
        <w:rPr>
          <w:color w:val="auto"/>
          <w:szCs w:val="21"/>
          <w:highlight w:val="none"/>
        </w:rPr>
        <w:t>)：</w:t>
      </w:r>
      <w:r>
        <w:rPr>
          <w:rFonts w:hint="eastAsia"/>
          <w:color w:val="auto"/>
          <w:szCs w:val="21"/>
          <w:highlight w:val="none"/>
          <w:u w:val="single"/>
        </w:rPr>
        <w:t xml:space="preserve">         </w:t>
      </w:r>
    </w:p>
    <w:p>
      <w:pPr>
        <w:spacing w:line="360" w:lineRule="auto"/>
        <w:ind w:firstLine="3360" w:firstLineChars="1600"/>
        <w:rPr>
          <w:color w:val="auto"/>
          <w:szCs w:val="21"/>
          <w:highlight w:val="none"/>
        </w:rPr>
      </w:pPr>
      <w:r>
        <w:rPr>
          <w:color w:val="auto"/>
          <w:szCs w:val="21"/>
          <w:highlight w:val="none"/>
        </w:rPr>
        <w:t>日期：    年    月    日</w:t>
      </w:r>
    </w:p>
    <w:p>
      <w:pPr>
        <w:pStyle w:val="20"/>
        <w:spacing w:line="360" w:lineRule="auto"/>
        <w:rPr>
          <w:rFonts w:hAnsi="宋体"/>
          <w:color w:val="auto"/>
          <w:sz w:val="21"/>
          <w:szCs w:val="21"/>
          <w:highlight w:val="none"/>
        </w:rPr>
      </w:pPr>
    </w:p>
    <w:p>
      <w:pPr>
        <w:pStyle w:val="20"/>
        <w:spacing w:line="360" w:lineRule="auto"/>
        <w:ind w:firstLine="210" w:firstLineChars="100"/>
        <w:rPr>
          <w:rFonts w:hAnsi="宋体"/>
          <w:color w:val="auto"/>
          <w:sz w:val="21"/>
          <w:szCs w:val="21"/>
          <w:highlight w:val="none"/>
        </w:rPr>
      </w:pPr>
    </w:p>
    <w:p>
      <w:pPr>
        <w:pStyle w:val="20"/>
        <w:spacing w:line="360" w:lineRule="auto"/>
        <w:jc w:val="left"/>
        <w:rPr>
          <w:color w:val="auto"/>
          <w:sz w:val="21"/>
          <w:szCs w:val="21"/>
          <w:highlight w:val="none"/>
        </w:rPr>
      </w:pPr>
      <w:r>
        <w:rPr>
          <w:rFonts w:hint="eastAsia" w:hAnsi="宋体"/>
          <w:b/>
          <w:color w:val="auto"/>
          <w:sz w:val="21"/>
          <w:szCs w:val="21"/>
          <w:highlight w:val="none"/>
        </w:rPr>
        <w:t>注：联合体投标的，“投标人”一栏需书写所有联合体成员的单位全称，可由主办方签字、盖章。</w:t>
      </w:r>
    </w:p>
    <w:p>
      <w:pPr>
        <w:spacing w:line="400" w:lineRule="exact"/>
        <w:rPr>
          <w:color w:val="auto"/>
          <w:highlight w:val="none"/>
        </w:rPr>
      </w:pPr>
    </w:p>
    <w:p>
      <w:pPr>
        <w:pStyle w:val="91"/>
        <w:spacing w:beforeLines="0" w:afterLines="0" w:line="360" w:lineRule="auto"/>
        <w:jc w:val="center"/>
        <w:rPr>
          <w:rFonts w:hAnsi="黑体" w:cs="黑体"/>
          <w:color w:val="auto"/>
          <w:spacing w:val="0"/>
          <w:sz w:val="32"/>
          <w:szCs w:val="32"/>
          <w:highlight w:val="none"/>
        </w:rPr>
      </w:pPr>
    </w:p>
    <w:p>
      <w:pPr>
        <w:pStyle w:val="91"/>
        <w:spacing w:beforeLines="0" w:afterLines="0" w:line="360" w:lineRule="auto"/>
        <w:jc w:val="center"/>
        <w:rPr>
          <w:rFonts w:hAnsi="黑体" w:cs="黑体"/>
          <w:color w:val="auto"/>
          <w:spacing w:val="0"/>
          <w:sz w:val="32"/>
          <w:szCs w:val="32"/>
          <w:highlight w:val="none"/>
        </w:rPr>
      </w:pPr>
    </w:p>
    <w:p>
      <w:pPr>
        <w:pStyle w:val="91"/>
        <w:spacing w:beforeLines="0" w:afterLines="0" w:line="360" w:lineRule="auto"/>
        <w:jc w:val="center"/>
        <w:rPr>
          <w:rFonts w:hAnsi="黑体" w:cs="黑体"/>
          <w:color w:val="auto"/>
          <w:spacing w:val="0"/>
          <w:sz w:val="32"/>
          <w:szCs w:val="32"/>
          <w:highlight w:val="none"/>
        </w:rPr>
      </w:pPr>
    </w:p>
    <w:p>
      <w:pPr>
        <w:pStyle w:val="91"/>
        <w:spacing w:beforeLines="0" w:afterLines="0" w:line="360" w:lineRule="auto"/>
        <w:jc w:val="center"/>
        <w:rPr>
          <w:rFonts w:hAnsi="黑体" w:cs="黑体"/>
          <w:color w:val="auto"/>
          <w:spacing w:val="0"/>
          <w:sz w:val="32"/>
          <w:szCs w:val="32"/>
          <w:highlight w:val="none"/>
        </w:rPr>
      </w:pPr>
      <w:r>
        <w:rPr>
          <w:rFonts w:hint="eastAsia" w:hAnsi="黑体" w:cs="黑体"/>
          <w:color w:val="auto"/>
          <w:spacing w:val="0"/>
          <w:sz w:val="32"/>
          <w:szCs w:val="32"/>
          <w:highlight w:val="none"/>
        </w:rPr>
        <w:t>投标承诺书</w:t>
      </w:r>
    </w:p>
    <w:p>
      <w:pPr>
        <w:spacing w:line="360" w:lineRule="auto"/>
        <w:rPr>
          <w:color w:val="auto"/>
          <w:szCs w:val="21"/>
          <w:highlight w:val="none"/>
        </w:rPr>
      </w:pPr>
    </w:p>
    <w:p>
      <w:pPr>
        <w:spacing w:line="360" w:lineRule="auto"/>
        <w:rPr>
          <w:color w:val="auto"/>
          <w:szCs w:val="21"/>
          <w:highlight w:val="none"/>
        </w:rPr>
      </w:pPr>
      <w:r>
        <w:rPr>
          <w:rFonts w:hint="eastAsia"/>
          <w:color w:val="auto"/>
          <w:szCs w:val="21"/>
          <w:highlight w:val="none"/>
        </w:rPr>
        <w:t>致</w:t>
      </w:r>
      <w:r>
        <w:rPr>
          <w:rFonts w:hint="eastAsia"/>
          <w:color w:val="auto"/>
          <w:szCs w:val="21"/>
          <w:highlight w:val="none"/>
          <w:u w:val="single"/>
          <w:lang w:eastAsia="zh-CN"/>
        </w:rPr>
        <w:t>广州南沙湿地旅游发展有限公司</w:t>
      </w:r>
      <w:r>
        <w:rPr>
          <w:rFonts w:hint="eastAsia"/>
          <w:color w:val="auto"/>
          <w:szCs w:val="21"/>
          <w:highlight w:val="none"/>
        </w:rPr>
        <w:t>：</w:t>
      </w:r>
    </w:p>
    <w:p>
      <w:pPr>
        <w:spacing w:line="360" w:lineRule="auto"/>
        <w:ind w:firstLine="420" w:firstLineChars="200"/>
        <w:rPr>
          <w:color w:val="auto"/>
          <w:szCs w:val="21"/>
          <w:highlight w:val="none"/>
        </w:rPr>
      </w:pPr>
    </w:p>
    <w:p>
      <w:pPr>
        <w:spacing w:line="360" w:lineRule="auto"/>
        <w:ind w:firstLine="420" w:firstLineChars="200"/>
        <w:rPr>
          <w:color w:val="auto"/>
          <w:szCs w:val="21"/>
          <w:highlight w:val="none"/>
        </w:rPr>
      </w:pPr>
      <w:r>
        <w:rPr>
          <w:rFonts w:hint="eastAsia"/>
          <w:color w:val="auto"/>
          <w:szCs w:val="21"/>
          <w:highlight w:val="none"/>
        </w:rPr>
        <w:t>若我方成为“</w:t>
      </w:r>
      <w:r>
        <w:rPr>
          <w:rFonts w:hint="eastAsia"/>
          <w:color w:val="auto"/>
          <w:szCs w:val="21"/>
          <w:highlight w:val="none"/>
          <w:u w:val="single"/>
          <w:lang w:eastAsia="zh-CN"/>
        </w:rPr>
        <w:t>南沙湿地二期“湿地景区公益植树林”项目</w:t>
      </w:r>
      <w:r>
        <w:rPr>
          <w:rFonts w:hint="eastAsia"/>
          <w:color w:val="auto"/>
          <w:szCs w:val="21"/>
          <w:highlight w:val="none"/>
          <w:u w:val="single"/>
        </w:rPr>
        <w:t>设计施工总承包</w:t>
      </w:r>
      <w:r>
        <w:rPr>
          <w:rFonts w:hint="eastAsia"/>
          <w:color w:val="auto"/>
          <w:szCs w:val="21"/>
          <w:highlight w:val="none"/>
        </w:rPr>
        <w:t>”的中标单位，我方郑重承诺，将切实完成以下工作，若不在限定时间内完成以下任何一项工作，可视为我方放弃本次中标资格，招标人可另择中标单位：</w:t>
      </w:r>
    </w:p>
    <w:p>
      <w:pPr>
        <w:spacing w:line="360" w:lineRule="auto"/>
        <w:ind w:firstLine="420" w:firstLineChars="200"/>
        <w:rPr>
          <w:color w:val="auto"/>
          <w:szCs w:val="21"/>
          <w:highlight w:val="none"/>
        </w:rPr>
      </w:pPr>
      <w:r>
        <w:rPr>
          <w:rFonts w:hint="eastAsia"/>
          <w:color w:val="auto"/>
          <w:szCs w:val="21"/>
          <w:highlight w:val="none"/>
        </w:rPr>
        <w:t>1、在招标代理通知的时间内，派委托代理人携带身份证及法人授权委托证明及时收取中标通知书，收到中标通知书后2个工作日内提交按照招投标文件、答疑纪要及有关补充说明、通知拟写的合同稿及其电子文件给招标人。</w:t>
      </w:r>
    </w:p>
    <w:p>
      <w:pPr>
        <w:spacing w:line="360" w:lineRule="auto"/>
        <w:ind w:firstLine="420" w:firstLineChars="200"/>
        <w:rPr>
          <w:color w:val="auto"/>
          <w:szCs w:val="21"/>
          <w:highlight w:val="none"/>
        </w:rPr>
      </w:pPr>
      <w:r>
        <w:rPr>
          <w:rFonts w:hint="eastAsia"/>
          <w:color w:val="auto"/>
          <w:szCs w:val="21"/>
          <w:highlight w:val="none"/>
        </w:rPr>
        <w:t>2、我单位合同签订负责人收到已审定的合同正式稿后5个工作日内签订合同并送达招标人。</w:t>
      </w:r>
    </w:p>
    <w:p>
      <w:pPr>
        <w:spacing w:line="360" w:lineRule="auto"/>
        <w:ind w:firstLine="420" w:firstLineChars="200"/>
        <w:rPr>
          <w:color w:val="auto"/>
          <w:szCs w:val="21"/>
          <w:highlight w:val="none"/>
        </w:rPr>
      </w:pPr>
      <w:r>
        <w:rPr>
          <w:rFonts w:hint="eastAsia"/>
          <w:color w:val="auto"/>
          <w:szCs w:val="21"/>
          <w:highlight w:val="none"/>
        </w:rPr>
        <w:t>3、招标人通知领取已签订的合同文件后2个工作日内领取合同文件。</w:t>
      </w:r>
    </w:p>
    <w:p>
      <w:pPr>
        <w:spacing w:line="360" w:lineRule="auto"/>
        <w:ind w:firstLine="420" w:firstLineChars="200"/>
        <w:rPr>
          <w:color w:val="auto"/>
          <w:szCs w:val="21"/>
          <w:highlight w:val="none"/>
        </w:rPr>
      </w:pPr>
      <w:r>
        <w:rPr>
          <w:rFonts w:hint="eastAsia"/>
          <w:color w:val="auto"/>
          <w:szCs w:val="21"/>
          <w:highlight w:val="none"/>
        </w:rPr>
        <w:t>4、我方承诺，严格按照上述1～3项要求办理相关工作，若不能按上述1～3项要求办理相关工作，我方自动放弃中标人资格，接受相关条款处罚。</w:t>
      </w:r>
    </w:p>
    <w:p>
      <w:pPr>
        <w:spacing w:line="360" w:lineRule="auto"/>
        <w:ind w:firstLine="420" w:firstLineChars="200"/>
        <w:rPr>
          <w:color w:val="auto"/>
          <w:szCs w:val="21"/>
          <w:highlight w:val="none"/>
        </w:rPr>
      </w:pPr>
      <w:r>
        <w:rPr>
          <w:rFonts w:hint="eastAsia"/>
          <w:color w:val="auto"/>
          <w:szCs w:val="21"/>
          <w:highlight w:val="none"/>
        </w:rPr>
        <w:t>5、合同签订负责人和项目负责人保持电话联系畅通。</w:t>
      </w:r>
    </w:p>
    <w:p>
      <w:pPr>
        <w:spacing w:line="360" w:lineRule="auto"/>
        <w:ind w:firstLine="420" w:firstLineChars="200"/>
        <w:rPr>
          <w:color w:val="auto"/>
          <w:szCs w:val="21"/>
          <w:highlight w:val="none"/>
        </w:rPr>
      </w:pPr>
    </w:p>
    <w:p>
      <w:pPr>
        <w:spacing w:line="360" w:lineRule="auto"/>
        <w:rPr>
          <w:color w:val="auto"/>
          <w:szCs w:val="21"/>
          <w:highlight w:val="none"/>
        </w:rPr>
      </w:pPr>
      <w:r>
        <w:rPr>
          <w:rFonts w:hint="eastAsia"/>
          <w:color w:val="auto"/>
          <w:szCs w:val="21"/>
          <w:highlight w:val="none"/>
        </w:rPr>
        <w:t>投标单位（盖公章）：</w:t>
      </w:r>
    </w:p>
    <w:p>
      <w:pPr>
        <w:spacing w:line="360" w:lineRule="auto"/>
        <w:rPr>
          <w:color w:val="auto"/>
          <w:szCs w:val="21"/>
          <w:highlight w:val="none"/>
        </w:rPr>
      </w:pPr>
      <w:r>
        <w:rPr>
          <w:rFonts w:hint="eastAsia"/>
          <w:color w:val="auto"/>
          <w:szCs w:val="21"/>
          <w:highlight w:val="none"/>
        </w:rPr>
        <w:t>法定代表人（签字或盖章）：</w:t>
      </w:r>
    </w:p>
    <w:p>
      <w:pPr>
        <w:spacing w:line="360" w:lineRule="auto"/>
        <w:rPr>
          <w:color w:val="auto"/>
          <w:szCs w:val="21"/>
          <w:highlight w:val="none"/>
        </w:rPr>
      </w:pPr>
      <w:r>
        <w:rPr>
          <w:rFonts w:hint="eastAsia"/>
          <w:color w:val="auto"/>
          <w:szCs w:val="21"/>
          <w:highlight w:val="none"/>
        </w:rPr>
        <w:t>项目负责人（签名或盖章）：</w:t>
      </w:r>
    </w:p>
    <w:p>
      <w:pPr>
        <w:spacing w:line="360" w:lineRule="auto"/>
        <w:rPr>
          <w:color w:val="auto"/>
          <w:szCs w:val="21"/>
          <w:highlight w:val="none"/>
        </w:rPr>
      </w:pPr>
      <w:r>
        <w:rPr>
          <w:rFonts w:hint="eastAsia"/>
          <w:color w:val="auto"/>
          <w:szCs w:val="21"/>
          <w:highlight w:val="none"/>
        </w:rPr>
        <w:t>项目负责人联系电话：</w:t>
      </w:r>
    </w:p>
    <w:p>
      <w:pPr>
        <w:spacing w:line="360" w:lineRule="auto"/>
        <w:rPr>
          <w:color w:val="auto"/>
          <w:szCs w:val="21"/>
          <w:highlight w:val="none"/>
        </w:rPr>
      </w:pPr>
      <w:r>
        <w:rPr>
          <w:rFonts w:hint="eastAsia"/>
          <w:color w:val="auto"/>
          <w:szCs w:val="21"/>
          <w:highlight w:val="none"/>
        </w:rPr>
        <w:t>合同签订负责人（签名或盖章）：</w:t>
      </w:r>
    </w:p>
    <w:p>
      <w:pPr>
        <w:spacing w:line="360" w:lineRule="auto"/>
        <w:rPr>
          <w:color w:val="auto"/>
          <w:szCs w:val="21"/>
          <w:highlight w:val="none"/>
        </w:rPr>
      </w:pPr>
      <w:r>
        <w:rPr>
          <w:rFonts w:hint="eastAsia"/>
          <w:color w:val="auto"/>
          <w:szCs w:val="21"/>
          <w:highlight w:val="none"/>
        </w:rPr>
        <w:t>合同签订负责人联系电话：</w:t>
      </w:r>
    </w:p>
    <w:p>
      <w:pPr>
        <w:pStyle w:val="70"/>
        <w:ind w:right="458" w:firstLine="0"/>
        <w:jc w:val="right"/>
        <w:rPr>
          <w:rFonts w:ascii="宋体" w:hAnsi="宋体" w:eastAsia="宋体"/>
          <w:color w:val="auto"/>
          <w:sz w:val="21"/>
          <w:szCs w:val="21"/>
          <w:highlight w:val="none"/>
        </w:rPr>
      </w:pPr>
    </w:p>
    <w:p>
      <w:pPr>
        <w:pStyle w:val="70"/>
        <w:ind w:right="458" w:firstLine="0"/>
        <w:jc w:val="righ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年  月  日</w:t>
      </w:r>
    </w:p>
    <w:p>
      <w:pPr>
        <w:autoSpaceDE w:val="0"/>
        <w:autoSpaceDN w:val="0"/>
        <w:adjustRightInd w:val="0"/>
        <w:spacing w:line="360" w:lineRule="auto"/>
        <w:rPr>
          <w:b/>
          <w:color w:val="auto"/>
          <w:szCs w:val="21"/>
          <w:highlight w:val="none"/>
        </w:rPr>
      </w:pPr>
    </w:p>
    <w:p>
      <w:pPr>
        <w:pStyle w:val="89"/>
        <w:rPr>
          <w:color w:val="auto"/>
          <w:highlight w:val="none"/>
        </w:rPr>
      </w:pPr>
      <w:r>
        <w:rPr>
          <w:b/>
          <w:color w:val="auto"/>
          <w:szCs w:val="21"/>
          <w:highlight w:val="none"/>
        </w:rPr>
        <w:br w:type="page"/>
      </w:r>
    </w:p>
    <w:p>
      <w:pPr>
        <w:autoSpaceDE w:val="0"/>
        <w:autoSpaceDN w:val="0"/>
        <w:adjustRightInd w:val="0"/>
        <w:spacing w:line="360" w:lineRule="auto"/>
        <w:jc w:val="center"/>
        <w:rPr>
          <w:b/>
          <w:color w:val="auto"/>
          <w:szCs w:val="21"/>
          <w:highlight w:val="none"/>
        </w:rPr>
      </w:pPr>
    </w:p>
    <w:p>
      <w:pPr>
        <w:autoSpaceDE w:val="0"/>
        <w:autoSpaceDN w:val="0"/>
        <w:adjustRightInd w:val="0"/>
        <w:spacing w:line="360" w:lineRule="auto"/>
        <w:jc w:val="center"/>
        <w:rPr>
          <w:rFonts w:ascii="黑体" w:hAnsi="黑体" w:eastAsia="黑体" w:cs="黑体"/>
          <w:b/>
          <w:color w:val="auto"/>
          <w:sz w:val="32"/>
          <w:szCs w:val="32"/>
          <w:highlight w:val="none"/>
        </w:rPr>
      </w:pPr>
      <w:r>
        <w:rPr>
          <w:rFonts w:hint="eastAsia" w:ascii="黑体" w:hAnsi="黑体" w:eastAsia="黑体" w:cs="黑体"/>
          <w:b/>
          <w:color w:val="auto"/>
          <w:sz w:val="32"/>
          <w:szCs w:val="32"/>
          <w:highlight w:val="none"/>
        </w:rPr>
        <w:t>参与编制施工技术投标文件人员名单</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9"/>
        <w:gridCol w:w="1311"/>
        <w:gridCol w:w="2320"/>
        <w:gridCol w:w="2449"/>
        <w:gridCol w:w="242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749" w:type="dxa"/>
            <w:vAlign w:val="center"/>
          </w:tcPr>
          <w:p>
            <w:pPr>
              <w:tabs>
                <w:tab w:val="left" w:pos="0"/>
                <w:tab w:val="left" w:pos="720"/>
              </w:tabs>
              <w:adjustRightInd w:val="0"/>
              <w:snapToGrid w:val="0"/>
              <w:spacing w:line="360" w:lineRule="auto"/>
              <w:jc w:val="center"/>
              <w:rPr>
                <w:color w:val="auto"/>
                <w:szCs w:val="21"/>
                <w:highlight w:val="none"/>
              </w:rPr>
            </w:pPr>
            <w:r>
              <w:rPr>
                <w:rFonts w:hint="eastAsia"/>
                <w:color w:val="auto"/>
                <w:szCs w:val="21"/>
                <w:highlight w:val="none"/>
              </w:rPr>
              <w:t>姓名</w:t>
            </w:r>
          </w:p>
        </w:tc>
        <w:tc>
          <w:tcPr>
            <w:tcW w:w="1311" w:type="dxa"/>
            <w:vAlign w:val="center"/>
          </w:tcPr>
          <w:p>
            <w:pPr>
              <w:tabs>
                <w:tab w:val="left" w:pos="0"/>
                <w:tab w:val="left" w:pos="720"/>
              </w:tabs>
              <w:adjustRightInd w:val="0"/>
              <w:snapToGrid w:val="0"/>
              <w:spacing w:line="360" w:lineRule="auto"/>
              <w:jc w:val="center"/>
              <w:rPr>
                <w:color w:val="auto"/>
                <w:szCs w:val="21"/>
                <w:highlight w:val="none"/>
              </w:rPr>
            </w:pPr>
            <w:r>
              <w:rPr>
                <w:rFonts w:hint="eastAsia"/>
                <w:color w:val="auto"/>
                <w:szCs w:val="21"/>
                <w:highlight w:val="none"/>
              </w:rPr>
              <w:t>职务</w:t>
            </w:r>
          </w:p>
        </w:tc>
        <w:tc>
          <w:tcPr>
            <w:tcW w:w="2320" w:type="dxa"/>
            <w:vAlign w:val="center"/>
          </w:tcPr>
          <w:p>
            <w:pPr>
              <w:tabs>
                <w:tab w:val="left" w:pos="0"/>
                <w:tab w:val="left" w:pos="720"/>
              </w:tabs>
              <w:adjustRightInd w:val="0"/>
              <w:snapToGrid w:val="0"/>
              <w:spacing w:line="360" w:lineRule="auto"/>
              <w:jc w:val="center"/>
              <w:rPr>
                <w:color w:val="auto"/>
                <w:szCs w:val="21"/>
                <w:highlight w:val="none"/>
              </w:rPr>
            </w:pPr>
            <w:r>
              <w:rPr>
                <w:rFonts w:hint="eastAsia"/>
                <w:color w:val="auto"/>
                <w:szCs w:val="21"/>
                <w:highlight w:val="none"/>
              </w:rPr>
              <w:t>所承担工作</w:t>
            </w:r>
          </w:p>
        </w:tc>
        <w:tc>
          <w:tcPr>
            <w:tcW w:w="2449" w:type="dxa"/>
            <w:vAlign w:val="center"/>
          </w:tcPr>
          <w:p>
            <w:pPr>
              <w:tabs>
                <w:tab w:val="left" w:pos="0"/>
                <w:tab w:val="left" w:pos="720"/>
              </w:tabs>
              <w:adjustRightInd w:val="0"/>
              <w:snapToGrid w:val="0"/>
              <w:spacing w:line="360" w:lineRule="auto"/>
              <w:jc w:val="center"/>
              <w:rPr>
                <w:color w:val="auto"/>
                <w:szCs w:val="21"/>
                <w:highlight w:val="none"/>
              </w:rPr>
            </w:pPr>
            <w:r>
              <w:rPr>
                <w:rFonts w:hint="eastAsia"/>
                <w:color w:val="auto"/>
                <w:szCs w:val="21"/>
                <w:highlight w:val="none"/>
              </w:rPr>
              <w:t>身份证号码</w:t>
            </w:r>
          </w:p>
        </w:tc>
        <w:tc>
          <w:tcPr>
            <w:tcW w:w="2425" w:type="dxa"/>
            <w:vAlign w:val="center"/>
          </w:tcPr>
          <w:p>
            <w:pPr>
              <w:tabs>
                <w:tab w:val="left" w:pos="0"/>
                <w:tab w:val="left" w:pos="720"/>
              </w:tabs>
              <w:adjustRightInd w:val="0"/>
              <w:snapToGrid w:val="0"/>
              <w:spacing w:line="360" w:lineRule="auto"/>
              <w:jc w:val="center"/>
              <w:rPr>
                <w:color w:val="auto"/>
                <w:szCs w:val="21"/>
                <w:highlight w:val="none"/>
              </w:rPr>
            </w:pPr>
            <w:r>
              <w:rPr>
                <w:rFonts w:hint="eastAsia"/>
                <w:color w:val="auto"/>
                <w:szCs w:val="21"/>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749" w:type="dxa"/>
            <w:vAlign w:val="center"/>
          </w:tcPr>
          <w:p>
            <w:pPr>
              <w:tabs>
                <w:tab w:val="left" w:pos="0"/>
                <w:tab w:val="left" w:pos="720"/>
              </w:tabs>
              <w:adjustRightInd w:val="0"/>
              <w:snapToGrid w:val="0"/>
              <w:spacing w:line="360" w:lineRule="auto"/>
              <w:jc w:val="center"/>
              <w:rPr>
                <w:color w:val="auto"/>
                <w:szCs w:val="21"/>
                <w:highlight w:val="none"/>
              </w:rPr>
            </w:pPr>
          </w:p>
        </w:tc>
        <w:tc>
          <w:tcPr>
            <w:tcW w:w="1311" w:type="dxa"/>
            <w:vAlign w:val="center"/>
          </w:tcPr>
          <w:p>
            <w:pPr>
              <w:tabs>
                <w:tab w:val="left" w:pos="0"/>
                <w:tab w:val="left" w:pos="720"/>
              </w:tabs>
              <w:adjustRightInd w:val="0"/>
              <w:snapToGrid w:val="0"/>
              <w:spacing w:line="360" w:lineRule="auto"/>
              <w:jc w:val="center"/>
              <w:rPr>
                <w:color w:val="auto"/>
                <w:szCs w:val="21"/>
                <w:highlight w:val="none"/>
              </w:rPr>
            </w:pPr>
          </w:p>
        </w:tc>
        <w:tc>
          <w:tcPr>
            <w:tcW w:w="2320" w:type="dxa"/>
            <w:vAlign w:val="center"/>
          </w:tcPr>
          <w:p>
            <w:pPr>
              <w:tabs>
                <w:tab w:val="left" w:pos="0"/>
                <w:tab w:val="left" w:pos="720"/>
              </w:tabs>
              <w:adjustRightInd w:val="0"/>
              <w:snapToGrid w:val="0"/>
              <w:spacing w:line="360" w:lineRule="auto"/>
              <w:jc w:val="center"/>
              <w:rPr>
                <w:color w:val="auto"/>
                <w:szCs w:val="21"/>
                <w:highlight w:val="none"/>
              </w:rPr>
            </w:pPr>
          </w:p>
        </w:tc>
        <w:tc>
          <w:tcPr>
            <w:tcW w:w="2449" w:type="dxa"/>
            <w:vAlign w:val="center"/>
          </w:tcPr>
          <w:p>
            <w:pPr>
              <w:tabs>
                <w:tab w:val="left" w:pos="0"/>
                <w:tab w:val="left" w:pos="720"/>
              </w:tabs>
              <w:adjustRightInd w:val="0"/>
              <w:snapToGrid w:val="0"/>
              <w:spacing w:line="360" w:lineRule="auto"/>
              <w:jc w:val="center"/>
              <w:rPr>
                <w:color w:val="auto"/>
                <w:szCs w:val="21"/>
                <w:highlight w:val="none"/>
              </w:rPr>
            </w:pPr>
          </w:p>
        </w:tc>
        <w:tc>
          <w:tcPr>
            <w:tcW w:w="2425" w:type="dxa"/>
            <w:vAlign w:val="center"/>
          </w:tcPr>
          <w:p>
            <w:pPr>
              <w:tabs>
                <w:tab w:val="left" w:pos="0"/>
                <w:tab w:val="left" w:pos="720"/>
              </w:tabs>
              <w:adjustRightInd w:val="0"/>
              <w:snapToGrid w:val="0"/>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color w:val="auto"/>
                <w:szCs w:val="21"/>
                <w:highlight w:val="none"/>
              </w:rPr>
            </w:pPr>
          </w:p>
        </w:tc>
        <w:tc>
          <w:tcPr>
            <w:tcW w:w="1311" w:type="dxa"/>
            <w:vAlign w:val="center"/>
          </w:tcPr>
          <w:p>
            <w:pPr>
              <w:tabs>
                <w:tab w:val="left" w:pos="0"/>
                <w:tab w:val="left" w:pos="720"/>
              </w:tabs>
              <w:adjustRightInd w:val="0"/>
              <w:snapToGrid w:val="0"/>
              <w:spacing w:line="360" w:lineRule="auto"/>
              <w:jc w:val="center"/>
              <w:rPr>
                <w:color w:val="auto"/>
                <w:szCs w:val="21"/>
                <w:highlight w:val="none"/>
              </w:rPr>
            </w:pPr>
          </w:p>
        </w:tc>
        <w:tc>
          <w:tcPr>
            <w:tcW w:w="2320" w:type="dxa"/>
            <w:vAlign w:val="center"/>
          </w:tcPr>
          <w:p>
            <w:pPr>
              <w:tabs>
                <w:tab w:val="left" w:pos="0"/>
                <w:tab w:val="left" w:pos="720"/>
              </w:tabs>
              <w:adjustRightInd w:val="0"/>
              <w:snapToGrid w:val="0"/>
              <w:spacing w:line="360" w:lineRule="auto"/>
              <w:jc w:val="center"/>
              <w:rPr>
                <w:color w:val="auto"/>
                <w:szCs w:val="21"/>
                <w:highlight w:val="none"/>
              </w:rPr>
            </w:pPr>
          </w:p>
        </w:tc>
        <w:tc>
          <w:tcPr>
            <w:tcW w:w="2449" w:type="dxa"/>
            <w:vAlign w:val="center"/>
          </w:tcPr>
          <w:p>
            <w:pPr>
              <w:tabs>
                <w:tab w:val="left" w:pos="0"/>
                <w:tab w:val="left" w:pos="720"/>
              </w:tabs>
              <w:adjustRightInd w:val="0"/>
              <w:snapToGrid w:val="0"/>
              <w:spacing w:line="360" w:lineRule="auto"/>
              <w:jc w:val="center"/>
              <w:rPr>
                <w:color w:val="auto"/>
                <w:szCs w:val="21"/>
                <w:highlight w:val="none"/>
              </w:rPr>
            </w:pPr>
          </w:p>
        </w:tc>
        <w:tc>
          <w:tcPr>
            <w:tcW w:w="2425" w:type="dxa"/>
            <w:vAlign w:val="center"/>
          </w:tcPr>
          <w:p>
            <w:pPr>
              <w:tabs>
                <w:tab w:val="left" w:pos="0"/>
                <w:tab w:val="left" w:pos="720"/>
              </w:tabs>
              <w:adjustRightInd w:val="0"/>
              <w:snapToGrid w:val="0"/>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color w:val="auto"/>
                <w:szCs w:val="21"/>
                <w:highlight w:val="none"/>
              </w:rPr>
            </w:pPr>
          </w:p>
        </w:tc>
        <w:tc>
          <w:tcPr>
            <w:tcW w:w="1311" w:type="dxa"/>
            <w:vAlign w:val="center"/>
          </w:tcPr>
          <w:p>
            <w:pPr>
              <w:tabs>
                <w:tab w:val="left" w:pos="0"/>
                <w:tab w:val="left" w:pos="720"/>
              </w:tabs>
              <w:adjustRightInd w:val="0"/>
              <w:snapToGrid w:val="0"/>
              <w:spacing w:line="360" w:lineRule="auto"/>
              <w:jc w:val="center"/>
              <w:rPr>
                <w:color w:val="auto"/>
                <w:szCs w:val="21"/>
                <w:highlight w:val="none"/>
              </w:rPr>
            </w:pPr>
          </w:p>
        </w:tc>
        <w:tc>
          <w:tcPr>
            <w:tcW w:w="2320" w:type="dxa"/>
            <w:vAlign w:val="center"/>
          </w:tcPr>
          <w:p>
            <w:pPr>
              <w:tabs>
                <w:tab w:val="left" w:pos="0"/>
                <w:tab w:val="left" w:pos="720"/>
              </w:tabs>
              <w:adjustRightInd w:val="0"/>
              <w:snapToGrid w:val="0"/>
              <w:spacing w:line="360" w:lineRule="auto"/>
              <w:jc w:val="center"/>
              <w:rPr>
                <w:color w:val="auto"/>
                <w:szCs w:val="21"/>
                <w:highlight w:val="none"/>
              </w:rPr>
            </w:pPr>
          </w:p>
        </w:tc>
        <w:tc>
          <w:tcPr>
            <w:tcW w:w="2449" w:type="dxa"/>
            <w:vAlign w:val="center"/>
          </w:tcPr>
          <w:p>
            <w:pPr>
              <w:tabs>
                <w:tab w:val="left" w:pos="0"/>
                <w:tab w:val="left" w:pos="720"/>
              </w:tabs>
              <w:adjustRightInd w:val="0"/>
              <w:snapToGrid w:val="0"/>
              <w:spacing w:line="360" w:lineRule="auto"/>
              <w:jc w:val="center"/>
              <w:rPr>
                <w:color w:val="auto"/>
                <w:szCs w:val="21"/>
                <w:highlight w:val="none"/>
              </w:rPr>
            </w:pPr>
          </w:p>
        </w:tc>
        <w:tc>
          <w:tcPr>
            <w:tcW w:w="2425" w:type="dxa"/>
            <w:vAlign w:val="center"/>
          </w:tcPr>
          <w:p>
            <w:pPr>
              <w:tabs>
                <w:tab w:val="left" w:pos="0"/>
                <w:tab w:val="left" w:pos="720"/>
              </w:tabs>
              <w:adjustRightInd w:val="0"/>
              <w:snapToGrid w:val="0"/>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color w:val="auto"/>
                <w:szCs w:val="21"/>
                <w:highlight w:val="none"/>
              </w:rPr>
            </w:pPr>
          </w:p>
        </w:tc>
        <w:tc>
          <w:tcPr>
            <w:tcW w:w="1311" w:type="dxa"/>
            <w:vAlign w:val="center"/>
          </w:tcPr>
          <w:p>
            <w:pPr>
              <w:tabs>
                <w:tab w:val="left" w:pos="0"/>
                <w:tab w:val="left" w:pos="720"/>
              </w:tabs>
              <w:adjustRightInd w:val="0"/>
              <w:snapToGrid w:val="0"/>
              <w:spacing w:line="360" w:lineRule="auto"/>
              <w:jc w:val="center"/>
              <w:rPr>
                <w:color w:val="auto"/>
                <w:szCs w:val="21"/>
                <w:highlight w:val="none"/>
              </w:rPr>
            </w:pPr>
          </w:p>
        </w:tc>
        <w:tc>
          <w:tcPr>
            <w:tcW w:w="2320" w:type="dxa"/>
            <w:vAlign w:val="center"/>
          </w:tcPr>
          <w:p>
            <w:pPr>
              <w:tabs>
                <w:tab w:val="left" w:pos="0"/>
                <w:tab w:val="left" w:pos="720"/>
              </w:tabs>
              <w:adjustRightInd w:val="0"/>
              <w:snapToGrid w:val="0"/>
              <w:spacing w:line="360" w:lineRule="auto"/>
              <w:jc w:val="center"/>
              <w:rPr>
                <w:color w:val="auto"/>
                <w:szCs w:val="21"/>
                <w:highlight w:val="none"/>
              </w:rPr>
            </w:pPr>
          </w:p>
        </w:tc>
        <w:tc>
          <w:tcPr>
            <w:tcW w:w="2449" w:type="dxa"/>
            <w:vAlign w:val="center"/>
          </w:tcPr>
          <w:p>
            <w:pPr>
              <w:tabs>
                <w:tab w:val="left" w:pos="0"/>
                <w:tab w:val="left" w:pos="720"/>
              </w:tabs>
              <w:adjustRightInd w:val="0"/>
              <w:snapToGrid w:val="0"/>
              <w:spacing w:line="360" w:lineRule="auto"/>
              <w:jc w:val="center"/>
              <w:rPr>
                <w:color w:val="auto"/>
                <w:szCs w:val="21"/>
                <w:highlight w:val="none"/>
              </w:rPr>
            </w:pPr>
          </w:p>
        </w:tc>
        <w:tc>
          <w:tcPr>
            <w:tcW w:w="2425" w:type="dxa"/>
            <w:vAlign w:val="center"/>
          </w:tcPr>
          <w:p>
            <w:pPr>
              <w:tabs>
                <w:tab w:val="left" w:pos="0"/>
                <w:tab w:val="left" w:pos="720"/>
              </w:tabs>
              <w:adjustRightInd w:val="0"/>
              <w:snapToGrid w:val="0"/>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color w:val="auto"/>
                <w:szCs w:val="21"/>
                <w:highlight w:val="none"/>
              </w:rPr>
            </w:pPr>
          </w:p>
        </w:tc>
        <w:tc>
          <w:tcPr>
            <w:tcW w:w="1311" w:type="dxa"/>
            <w:vAlign w:val="center"/>
          </w:tcPr>
          <w:p>
            <w:pPr>
              <w:tabs>
                <w:tab w:val="left" w:pos="0"/>
                <w:tab w:val="left" w:pos="720"/>
              </w:tabs>
              <w:adjustRightInd w:val="0"/>
              <w:snapToGrid w:val="0"/>
              <w:spacing w:line="360" w:lineRule="auto"/>
              <w:jc w:val="center"/>
              <w:rPr>
                <w:color w:val="auto"/>
                <w:szCs w:val="21"/>
                <w:highlight w:val="none"/>
              </w:rPr>
            </w:pPr>
          </w:p>
        </w:tc>
        <w:tc>
          <w:tcPr>
            <w:tcW w:w="2320" w:type="dxa"/>
            <w:vAlign w:val="center"/>
          </w:tcPr>
          <w:p>
            <w:pPr>
              <w:tabs>
                <w:tab w:val="left" w:pos="0"/>
                <w:tab w:val="left" w:pos="720"/>
              </w:tabs>
              <w:adjustRightInd w:val="0"/>
              <w:snapToGrid w:val="0"/>
              <w:spacing w:line="360" w:lineRule="auto"/>
              <w:jc w:val="center"/>
              <w:rPr>
                <w:color w:val="auto"/>
                <w:szCs w:val="21"/>
                <w:highlight w:val="none"/>
              </w:rPr>
            </w:pPr>
          </w:p>
        </w:tc>
        <w:tc>
          <w:tcPr>
            <w:tcW w:w="2449" w:type="dxa"/>
            <w:vAlign w:val="center"/>
          </w:tcPr>
          <w:p>
            <w:pPr>
              <w:tabs>
                <w:tab w:val="left" w:pos="0"/>
                <w:tab w:val="left" w:pos="720"/>
              </w:tabs>
              <w:adjustRightInd w:val="0"/>
              <w:snapToGrid w:val="0"/>
              <w:spacing w:line="360" w:lineRule="auto"/>
              <w:jc w:val="center"/>
              <w:rPr>
                <w:color w:val="auto"/>
                <w:szCs w:val="21"/>
                <w:highlight w:val="none"/>
              </w:rPr>
            </w:pPr>
          </w:p>
        </w:tc>
        <w:tc>
          <w:tcPr>
            <w:tcW w:w="2425" w:type="dxa"/>
            <w:vAlign w:val="center"/>
          </w:tcPr>
          <w:p>
            <w:pPr>
              <w:tabs>
                <w:tab w:val="left" w:pos="0"/>
                <w:tab w:val="left" w:pos="720"/>
              </w:tabs>
              <w:adjustRightInd w:val="0"/>
              <w:snapToGrid w:val="0"/>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color w:val="auto"/>
                <w:szCs w:val="21"/>
                <w:highlight w:val="none"/>
              </w:rPr>
            </w:pPr>
          </w:p>
        </w:tc>
        <w:tc>
          <w:tcPr>
            <w:tcW w:w="1311" w:type="dxa"/>
            <w:vAlign w:val="center"/>
          </w:tcPr>
          <w:p>
            <w:pPr>
              <w:tabs>
                <w:tab w:val="left" w:pos="0"/>
                <w:tab w:val="left" w:pos="720"/>
              </w:tabs>
              <w:adjustRightInd w:val="0"/>
              <w:snapToGrid w:val="0"/>
              <w:spacing w:line="360" w:lineRule="auto"/>
              <w:jc w:val="center"/>
              <w:rPr>
                <w:color w:val="auto"/>
                <w:szCs w:val="21"/>
                <w:highlight w:val="none"/>
              </w:rPr>
            </w:pPr>
          </w:p>
        </w:tc>
        <w:tc>
          <w:tcPr>
            <w:tcW w:w="2320" w:type="dxa"/>
            <w:vAlign w:val="center"/>
          </w:tcPr>
          <w:p>
            <w:pPr>
              <w:tabs>
                <w:tab w:val="left" w:pos="0"/>
                <w:tab w:val="left" w:pos="720"/>
              </w:tabs>
              <w:adjustRightInd w:val="0"/>
              <w:snapToGrid w:val="0"/>
              <w:spacing w:line="360" w:lineRule="auto"/>
              <w:jc w:val="center"/>
              <w:rPr>
                <w:color w:val="auto"/>
                <w:szCs w:val="21"/>
                <w:highlight w:val="none"/>
              </w:rPr>
            </w:pPr>
          </w:p>
        </w:tc>
        <w:tc>
          <w:tcPr>
            <w:tcW w:w="2449" w:type="dxa"/>
            <w:vAlign w:val="center"/>
          </w:tcPr>
          <w:p>
            <w:pPr>
              <w:tabs>
                <w:tab w:val="left" w:pos="0"/>
                <w:tab w:val="left" w:pos="720"/>
              </w:tabs>
              <w:adjustRightInd w:val="0"/>
              <w:snapToGrid w:val="0"/>
              <w:spacing w:line="360" w:lineRule="auto"/>
              <w:jc w:val="center"/>
              <w:rPr>
                <w:color w:val="auto"/>
                <w:szCs w:val="21"/>
                <w:highlight w:val="none"/>
              </w:rPr>
            </w:pPr>
          </w:p>
        </w:tc>
        <w:tc>
          <w:tcPr>
            <w:tcW w:w="2425" w:type="dxa"/>
            <w:vAlign w:val="center"/>
          </w:tcPr>
          <w:p>
            <w:pPr>
              <w:tabs>
                <w:tab w:val="left" w:pos="0"/>
                <w:tab w:val="left" w:pos="720"/>
              </w:tabs>
              <w:adjustRightInd w:val="0"/>
              <w:snapToGrid w:val="0"/>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color w:val="auto"/>
                <w:szCs w:val="21"/>
                <w:highlight w:val="none"/>
              </w:rPr>
            </w:pPr>
          </w:p>
        </w:tc>
        <w:tc>
          <w:tcPr>
            <w:tcW w:w="1311" w:type="dxa"/>
            <w:vAlign w:val="center"/>
          </w:tcPr>
          <w:p>
            <w:pPr>
              <w:tabs>
                <w:tab w:val="left" w:pos="0"/>
                <w:tab w:val="left" w:pos="720"/>
              </w:tabs>
              <w:adjustRightInd w:val="0"/>
              <w:snapToGrid w:val="0"/>
              <w:spacing w:line="360" w:lineRule="auto"/>
              <w:jc w:val="center"/>
              <w:rPr>
                <w:color w:val="auto"/>
                <w:szCs w:val="21"/>
                <w:highlight w:val="none"/>
              </w:rPr>
            </w:pPr>
          </w:p>
        </w:tc>
        <w:tc>
          <w:tcPr>
            <w:tcW w:w="2320" w:type="dxa"/>
            <w:vAlign w:val="center"/>
          </w:tcPr>
          <w:p>
            <w:pPr>
              <w:tabs>
                <w:tab w:val="left" w:pos="0"/>
                <w:tab w:val="left" w:pos="720"/>
              </w:tabs>
              <w:adjustRightInd w:val="0"/>
              <w:snapToGrid w:val="0"/>
              <w:spacing w:line="360" w:lineRule="auto"/>
              <w:jc w:val="center"/>
              <w:rPr>
                <w:color w:val="auto"/>
                <w:szCs w:val="21"/>
                <w:highlight w:val="none"/>
              </w:rPr>
            </w:pPr>
          </w:p>
        </w:tc>
        <w:tc>
          <w:tcPr>
            <w:tcW w:w="2449" w:type="dxa"/>
            <w:vAlign w:val="center"/>
          </w:tcPr>
          <w:p>
            <w:pPr>
              <w:tabs>
                <w:tab w:val="left" w:pos="0"/>
                <w:tab w:val="left" w:pos="720"/>
              </w:tabs>
              <w:adjustRightInd w:val="0"/>
              <w:snapToGrid w:val="0"/>
              <w:spacing w:line="360" w:lineRule="auto"/>
              <w:jc w:val="center"/>
              <w:rPr>
                <w:color w:val="auto"/>
                <w:szCs w:val="21"/>
                <w:highlight w:val="none"/>
              </w:rPr>
            </w:pPr>
          </w:p>
        </w:tc>
        <w:tc>
          <w:tcPr>
            <w:tcW w:w="2425" w:type="dxa"/>
            <w:vAlign w:val="center"/>
          </w:tcPr>
          <w:p>
            <w:pPr>
              <w:tabs>
                <w:tab w:val="left" w:pos="0"/>
                <w:tab w:val="left" w:pos="720"/>
              </w:tabs>
              <w:adjustRightInd w:val="0"/>
              <w:snapToGrid w:val="0"/>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color w:val="auto"/>
                <w:szCs w:val="21"/>
                <w:highlight w:val="none"/>
              </w:rPr>
            </w:pPr>
          </w:p>
        </w:tc>
        <w:tc>
          <w:tcPr>
            <w:tcW w:w="1311" w:type="dxa"/>
            <w:vAlign w:val="center"/>
          </w:tcPr>
          <w:p>
            <w:pPr>
              <w:tabs>
                <w:tab w:val="left" w:pos="0"/>
                <w:tab w:val="left" w:pos="720"/>
              </w:tabs>
              <w:adjustRightInd w:val="0"/>
              <w:snapToGrid w:val="0"/>
              <w:spacing w:line="360" w:lineRule="auto"/>
              <w:jc w:val="center"/>
              <w:rPr>
                <w:color w:val="auto"/>
                <w:szCs w:val="21"/>
                <w:highlight w:val="none"/>
              </w:rPr>
            </w:pPr>
          </w:p>
        </w:tc>
        <w:tc>
          <w:tcPr>
            <w:tcW w:w="2320" w:type="dxa"/>
            <w:vAlign w:val="center"/>
          </w:tcPr>
          <w:p>
            <w:pPr>
              <w:tabs>
                <w:tab w:val="left" w:pos="0"/>
                <w:tab w:val="left" w:pos="720"/>
              </w:tabs>
              <w:adjustRightInd w:val="0"/>
              <w:snapToGrid w:val="0"/>
              <w:spacing w:line="360" w:lineRule="auto"/>
              <w:jc w:val="center"/>
              <w:rPr>
                <w:color w:val="auto"/>
                <w:szCs w:val="21"/>
                <w:highlight w:val="none"/>
              </w:rPr>
            </w:pPr>
          </w:p>
        </w:tc>
        <w:tc>
          <w:tcPr>
            <w:tcW w:w="2449" w:type="dxa"/>
            <w:vAlign w:val="center"/>
          </w:tcPr>
          <w:p>
            <w:pPr>
              <w:tabs>
                <w:tab w:val="left" w:pos="0"/>
                <w:tab w:val="left" w:pos="720"/>
              </w:tabs>
              <w:adjustRightInd w:val="0"/>
              <w:snapToGrid w:val="0"/>
              <w:spacing w:line="360" w:lineRule="auto"/>
              <w:jc w:val="center"/>
              <w:rPr>
                <w:color w:val="auto"/>
                <w:szCs w:val="21"/>
                <w:highlight w:val="none"/>
              </w:rPr>
            </w:pPr>
          </w:p>
        </w:tc>
        <w:tc>
          <w:tcPr>
            <w:tcW w:w="2425" w:type="dxa"/>
            <w:vAlign w:val="center"/>
          </w:tcPr>
          <w:p>
            <w:pPr>
              <w:tabs>
                <w:tab w:val="left" w:pos="0"/>
                <w:tab w:val="left" w:pos="720"/>
              </w:tabs>
              <w:adjustRightInd w:val="0"/>
              <w:snapToGrid w:val="0"/>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color w:val="auto"/>
                <w:szCs w:val="21"/>
                <w:highlight w:val="none"/>
              </w:rPr>
            </w:pPr>
          </w:p>
        </w:tc>
        <w:tc>
          <w:tcPr>
            <w:tcW w:w="1311" w:type="dxa"/>
            <w:vAlign w:val="center"/>
          </w:tcPr>
          <w:p>
            <w:pPr>
              <w:tabs>
                <w:tab w:val="left" w:pos="0"/>
                <w:tab w:val="left" w:pos="720"/>
              </w:tabs>
              <w:adjustRightInd w:val="0"/>
              <w:snapToGrid w:val="0"/>
              <w:spacing w:line="360" w:lineRule="auto"/>
              <w:jc w:val="center"/>
              <w:rPr>
                <w:color w:val="auto"/>
                <w:szCs w:val="21"/>
                <w:highlight w:val="none"/>
              </w:rPr>
            </w:pPr>
          </w:p>
        </w:tc>
        <w:tc>
          <w:tcPr>
            <w:tcW w:w="2320" w:type="dxa"/>
            <w:vAlign w:val="center"/>
          </w:tcPr>
          <w:p>
            <w:pPr>
              <w:tabs>
                <w:tab w:val="left" w:pos="0"/>
                <w:tab w:val="left" w:pos="720"/>
              </w:tabs>
              <w:adjustRightInd w:val="0"/>
              <w:snapToGrid w:val="0"/>
              <w:spacing w:line="360" w:lineRule="auto"/>
              <w:jc w:val="center"/>
              <w:rPr>
                <w:color w:val="auto"/>
                <w:szCs w:val="21"/>
                <w:highlight w:val="none"/>
              </w:rPr>
            </w:pPr>
          </w:p>
        </w:tc>
        <w:tc>
          <w:tcPr>
            <w:tcW w:w="2449" w:type="dxa"/>
            <w:vAlign w:val="center"/>
          </w:tcPr>
          <w:p>
            <w:pPr>
              <w:tabs>
                <w:tab w:val="left" w:pos="0"/>
                <w:tab w:val="left" w:pos="720"/>
              </w:tabs>
              <w:adjustRightInd w:val="0"/>
              <w:snapToGrid w:val="0"/>
              <w:spacing w:line="360" w:lineRule="auto"/>
              <w:jc w:val="center"/>
              <w:rPr>
                <w:color w:val="auto"/>
                <w:szCs w:val="21"/>
                <w:highlight w:val="none"/>
              </w:rPr>
            </w:pPr>
          </w:p>
        </w:tc>
        <w:tc>
          <w:tcPr>
            <w:tcW w:w="2425" w:type="dxa"/>
            <w:vAlign w:val="center"/>
          </w:tcPr>
          <w:p>
            <w:pPr>
              <w:tabs>
                <w:tab w:val="left" w:pos="0"/>
                <w:tab w:val="left" w:pos="720"/>
              </w:tabs>
              <w:adjustRightInd w:val="0"/>
              <w:snapToGrid w:val="0"/>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color w:val="auto"/>
                <w:szCs w:val="21"/>
                <w:highlight w:val="none"/>
              </w:rPr>
            </w:pPr>
          </w:p>
        </w:tc>
        <w:tc>
          <w:tcPr>
            <w:tcW w:w="1311" w:type="dxa"/>
            <w:vAlign w:val="center"/>
          </w:tcPr>
          <w:p>
            <w:pPr>
              <w:tabs>
                <w:tab w:val="left" w:pos="0"/>
                <w:tab w:val="left" w:pos="720"/>
              </w:tabs>
              <w:adjustRightInd w:val="0"/>
              <w:snapToGrid w:val="0"/>
              <w:spacing w:line="360" w:lineRule="auto"/>
              <w:jc w:val="center"/>
              <w:rPr>
                <w:color w:val="auto"/>
                <w:szCs w:val="21"/>
                <w:highlight w:val="none"/>
              </w:rPr>
            </w:pPr>
          </w:p>
        </w:tc>
        <w:tc>
          <w:tcPr>
            <w:tcW w:w="2320" w:type="dxa"/>
            <w:vAlign w:val="center"/>
          </w:tcPr>
          <w:p>
            <w:pPr>
              <w:tabs>
                <w:tab w:val="left" w:pos="0"/>
                <w:tab w:val="left" w:pos="720"/>
              </w:tabs>
              <w:adjustRightInd w:val="0"/>
              <w:snapToGrid w:val="0"/>
              <w:spacing w:line="360" w:lineRule="auto"/>
              <w:jc w:val="center"/>
              <w:rPr>
                <w:color w:val="auto"/>
                <w:szCs w:val="21"/>
                <w:highlight w:val="none"/>
              </w:rPr>
            </w:pPr>
          </w:p>
        </w:tc>
        <w:tc>
          <w:tcPr>
            <w:tcW w:w="2449" w:type="dxa"/>
            <w:vAlign w:val="center"/>
          </w:tcPr>
          <w:p>
            <w:pPr>
              <w:tabs>
                <w:tab w:val="left" w:pos="0"/>
                <w:tab w:val="left" w:pos="720"/>
              </w:tabs>
              <w:adjustRightInd w:val="0"/>
              <w:snapToGrid w:val="0"/>
              <w:spacing w:line="360" w:lineRule="auto"/>
              <w:jc w:val="center"/>
              <w:rPr>
                <w:color w:val="auto"/>
                <w:szCs w:val="21"/>
                <w:highlight w:val="none"/>
              </w:rPr>
            </w:pPr>
          </w:p>
        </w:tc>
        <w:tc>
          <w:tcPr>
            <w:tcW w:w="2425" w:type="dxa"/>
            <w:vAlign w:val="center"/>
          </w:tcPr>
          <w:p>
            <w:pPr>
              <w:tabs>
                <w:tab w:val="left" w:pos="0"/>
                <w:tab w:val="left" w:pos="720"/>
              </w:tabs>
              <w:adjustRightInd w:val="0"/>
              <w:snapToGrid w:val="0"/>
              <w:spacing w:line="360" w:lineRule="auto"/>
              <w:jc w:val="center"/>
              <w:rPr>
                <w:color w:val="auto"/>
                <w:szCs w:val="21"/>
                <w:highlight w:val="none"/>
              </w:rPr>
            </w:pPr>
          </w:p>
        </w:tc>
      </w:tr>
    </w:tbl>
    <w:p>
      <w:pPr>
        <w:autoSpaceDE w:val="0"/>
        <w:autoSpaceDN w:val="0"/>
        <w:adjustRightInd w:val="0"/>
        <w:spacing w:line="360" w:lineRule="auto"/>
        <w:ind w:left="-420" w:leftChars="-200" w:right="-506" w:rightChars="-241"/>
        <w:jc w:val="left"/>
        <w:rPr>
          <w:color w:val="auto"/>
          <w:szCs w:val="21"/>
          <w:highlight w:val="none"/>
        </w:rPr>
      </w:pPr>
      <w:r>
        <w:rPr>
          <w:rFonts w:hint="eastAsia"/>
          <w:color w:val="auto"/>
          <w:szCs w:val="21"/>
          <w:highlight w:val="none"/>
        </w:rPr>
        <w:t>注：参与编制施工技术投标文件人员名单应包括如编制文件资料、负责清样校对、负责打印及复印等人员在内的人员名单。</w:t>
      </w:r>
    </w:p>
    <w:p>
      <w:pPr>
        <w:spacing w:line="360" w:lineRule="auto"/>
        <w:jc w:val="left"/>
        <w:rPr>
          <w:b/>
          <w:color w:val="auto"/>
          <w:sz w:val="30"/>
          <w:szCs w:val="30"/>
          <w:highlight w:val="none"/>
        </w:rPr>
      </w:pPr>
      <w:r>
        <w:rPr>
          <w:rFonts w:hint="eastAsia" w:ascii="黑体" w:hAnsi="黑体" w:eastAsia="黑体" w:cs="黑体"/>
          <w:b/>
          <w:color w:val="auto"/>
          <w:sz w:val="32"/>
          <w:szCs w:val="32"/>
          <w:highlight w:val="none"/>
        </w:rPr>
        <w:br w:type="page"/>
      </w:r>
    </w:p>
    <w:p>
      <w:pPr>
        <w:spacing w:line="360" w:lineRule="auto"/>
        <w:jc w:val="center"/>
        <w:rPr>
          <w:b/>
          <w:color w:val="auto"/>
          <w:sz w:val="30"/>
          <w:szCs w:val="30"/>
          <w:highlight w:val="none"/>
        </w:rPr>
      </w:pPr>
    </w:p>
    <w:p>
      <w:pPr>
        <w:spacing w:line="360" w:lineRule="auto"/>
        <w:jc w:val="center"/>
        <w:rPr>
          <w:rFonts w:eastAsia="黑体"/>
          <w:b/>
          <w:color w:val="auto"/>
          <w:sz w:val="30"/>
          <w:szCs w:val="30"/>
          <w:highlight w:val="none"/>
        </w:rPr>
      </w:pPr>
      <w:r>
        <w:rPr>
          <w:rFonts w:hint="eastAsia" w:ascii="黑体" w:hAnsi="黑体" w:eastAsia="黑体" w:cs="黑体"/>
          <w:b/>
          <w:color w:val="auto"/>
          <w:sz w:val="30"/>
          <w:szCs w:val="30"/>
          <w:highlight w:val="none"/>
        </w:rPr>
        <w:t>第五部分 投标报价文件</w:t>
      </w:r>
    </w:p>
    <w:p>
      <w:pPr>
        <w:spacing w:line="360" w:lineRule="auto"/>
        <w:jc w:val="center"/>
        <w:rPr>
          <w:b/>
          <w:color w:val="auto"/>
          <w:sz w:val="30"/>
          <w:szCs w:val="30"/>
          <w:highlight w:val="none"/>
        </w:rPr>
      </w:pPr>
    </w:p>
    <w:p>
      <w:pPr>
        <w:spacing w:line="360" w:lineRule="auto"/>
        <w:jc w:val="left"/>
        <w:rPr>
          <w:bCs/>
          <w:color w:val="auto"/>
          <w:szCs w:val="21"/>
          <w:highlight w:val="none"/>
        </w:rPr>
      </w:pPr>
      <w:r>
        <w:rPr>
          <w:rFonts w:hint="eastAsia"/>
          <w:b/>
          <w:color w:val="auto"/>
          <w:sz w:val="30"/>
          <w:szCs w:val="30"/>
          <w:highlight w:val="none"/>
        </w:rPr>
        <w:br w:type="page"/>
      </w:r>
      <w:r>
        <w:rPr>
          <w:rFonts w:hint="eastAsia"/>
          <w:bCs/>
          <w:color w:val="auto"/>
          <w:szCs w:val="21"/>
          <w:highlight w:val="none"/>
        </w:rPr>
        <w:t>格式参考：</w:t>
      </w:r>
    </w:p>
    <w:p>
      <w:pPr>
        <w:spacing w:line="360" w:lineRule="auto"/>
        <w:jc w:val="right"/>
        <w:rPr>
          <w:rFonts w:ascii="黑体" w:hAnsi="黑体" w:eastAsia="黑体" w:cs="黑体"/>
          <w:b/>
          <w:color w:val="auto"/>
          <w:sz w:val="30"/>
          <w:szCs w:val="30"/>
          <w:highlight w:val="none"/>
        </w:rPr>
      </w:pPr>
      <w:r>
        <w:rPr>
          <w:rFonts w:hint="eastAsia" w:ascii="黑体" w:hAnsi="黑体" w:eastAsia="黑体" w:cs="黑体"/>
          <w:b/>
          <w:color w:val="auto"/>
          <w:sz w:val="32"/>
          <w:szCs w:val="32"/>
          <w:highlight w:val="none"/>
        </w:rPr>
        <w:t>正/副本</w:t>
      </w:r>
    </w:p>
    <w:p>
      <w:pPr>
        <w:spacing w:line="360" w:lineRule="auto"/>
        <w:rPr>
          <w:b/>
          <w:color w:val="auto"/>
          <w:sz w:val="30"/>
          <w:szCs w:val="30"/>
          <w:highlight w:val="none"/>
        </w:rPr>
      </w:pPr>
    </w:p>
    <w:p>
      <w:pPr>
        <w:spacing w:line="360" w:lineRule="auto"/>
        <w:rPr>
          <w:bCs/>
          <w:color w:val="auto"/>
          <w:szCs w:val="21"/>
          <w:highlight w:val="none"/>
        </w:rPr>
      </w:pPr>
    </w:p>
    <w:p>
      <w:pPr>
        <w:pStyle w:val="32"/>
        <w:spacing w:line="360" w:lineRule="auto"/>
        <w:jc w:val="center"/>
        <w:rPr>
          <w:rFonts w:hint="eastAsia" w:ascii="黑体" w:hAnsi="黑体" w:eastAsia="黑体" w:cs="黑体"/>
          <w:b/>
          <w:color w:val="auto"/>
          <w:sz w:val="44"/>
          <w:szCs w:val="44"/>
          <w:highlight w:val="none"/>
          <w:lang w:eastAsia="zh-CN" w:bidi="ar"/>
        </w:rPr>
      </w:pPr>
      <w:r>
        <w:rPr>
          <w:rFonts w:hint="eastAsia" w:ascii="黑体" w:hAnsi="黑体" w:eastAsia="黑体" w:cs="黑体"/>
          <w:b/>
          <w:color w:val="auto"/>
          <w:sz w:val="44"/>
          <w:szCs w:val="44"/>
          <w:highlight w:val="none"/>
          <w:lang w:eastAsia="zh-CN" w:bidi="ar"/>
        </w:rPr>
        <w:t>南沙湿地二期“湿地景区公益植树林”项目</w:t>
      </w:r>
    </w:p>
    <w:p>
      <w:pPr>
        <w:pStyle w:val="32"/>
        <w:spacing w:line="360" w:lineRule="auto"/>
        <w:jc w:val="center"/>
        <w:rPr>
          <w:rFonts w:ascii="黑体" w:hAnsi="黑体" w:eastAsia="黑体" w:cs="黑体"/>
          <w:b/>
          <w:color w:val="auto"/>
          <w:sz w:val="44"/>
          <w:szCs w:val="44"/>
          <w:highlight w:val="none"/>
          <w:lang w:bidi="ar"/>
        </w:rPr>
      </w:pPr>
      <w:r>
        <w:rPr>
          <w:rFonts w:hint="eastAsia" w:ascii="黑体" w:hAnsi="黑体" w:eastAsia="黑体" w:cs="黑体"/>
          <w:b/>
          <w:color w:val="auto"/>
          <w:sz w:val="44"/>
          <w:szCs w:val="44"/>
          <w:highlight w:val="none"/>
          <w:lang w:bidi="ar"/>
        </w:rPr>
        <w:t>设计施工总承包</w:t>
      </w:r>
    </w:p>
    <w:p>
      <w:pPr>
        <w:pStyle w:val="32"/>
        <w:spacing w:line="360" w:lineRule="auto"/>
        <w:jc w:val="center"/>
        <w:rPr>
          <w:rFonts w:ascii="黑体" w:hAnsi="黑体" w:eastAsia="黑体" w:cs="黑体"/>
          <w:b/>
          <w:color w:val="auto"/>
          <w:sz w:val="36"/>
          <w:szCs w:val="36"/>
          <w:highlight w:val="none"/>
          <w:lang w:bidi="ar"/>
        </w:rPr>
      </w:pPr>
    </w:p>
    <w:p>
      <w:pPr>
        <w:pStyle w:val="32"/>
        <w:spacing w:line="360" w:lineRule="auto"/>
        <w:jc w:val="center"/>
        <w:rPr>
          <w:rFonts w:ascii="黑体" w:hAnsi="黑体" w:eastAsia="黑体" w:cs="黑体"/>
          <w:b/>
          <w:color w:val="auto"/>
          <w:sz w:val="36"/>
          <w:szCs w:val="36"/>
          <w:highlight w:val="none"/>
          <w:lang w:bidi="ar"/>
        </w:rPr>
      </w:pPr>
    </w:p>
    <w:p>
      <w:pPr>
        <w:pStyle w:val="32"/>
        <w:spacing w:line="360" w:lineRule="auto"/>
        <w:jc w:val="center"/>
        <w:rPr>
          <w:rFonts w:ascii="黑体" w:hAnsi="黑体" w:eastAsia="黑体" w:cs="黑体"/>
          <w:b/>
          <w:color w:val="auto"/>
          <w:sz w:val="36"/>
          <w:szCs w:val="36"/>
          <w:highlight w:val="none"/>
          <w:lang w:bidi="ar"/>
        </w:rPr>
      </w:pPr>
    </w:p>
    <w:p>
      <w:pPr>
        <w:pStyle w:val="32"/>
        <w:spacing w:line="360" w:lineRule="auto"/>
        <w:jc w:val="center"/>
        <w:rPr>
          <w:rFonts w:ascii="黑体" w:hAnsi="黑体" w:eastAsia="黑体" w:cs="黑体"/>
          <w:b/>
          <w:color w:val="auto"/>
          <w:sz w:val="48"/>
          <w:szCs w:val="48"/>
          <w:highlight w:val="none"/>
          <w:u w:val="none"/>
          <w:lang w:bidi="ar"/>
        </w:rPr>
      </w:pPr>
      <w:r>
        <w:rPr>
          <w:rFonts w:hint="eastAsia" w:ascii="黑体" w:hAnsi="黑体" w:eastAsia="黑体" w:cs="黑体"/>
          <w:b/>
          <w:color w:val="auto"/>
          <w:sz w:val="48"/>
          <w:szCs w:val="48"/>
          <w:highlight w:val="none"/>
          <w:u w:val="none"/>
          <w:lang w:bidi="ar"/>
        </w:rPr>
        <w:t>投标文件</w:t>
      </w:r>
    </w:p>
    <w:p>
      <w:pPr>
        <w:pStyle w:val="32"/>
        <w:spacing w:line="360" w:lineRule="auto"/>
        <w:jc w:val="center"/>
        <w:rPr>
          <w:rFonts w:ascii="黑体" w:hAnsi="黑体" w:eastAsia="黑体" w:cs="黑体"/>
          <w:b/>
          <w:color w:val="auto"/>
          <w:sz w:val="36"/>
          <w:szCs w:val="36"/>
          <w:highlight w:val="none"/>
          <w:lang w:bidi="ar"/>
        </w:rPr>
      </w:pPr>
      <w:r>
        <w:rPr>
          <w:rFonts w:hint="eastAsia" w:ascii="黑体" w:hAnsi="黑体" w:eastAsia="黑体" w:cs="黑体"/>
          <w:b/>
          <w:color w:val="auto"/>
          <w:sz w:val="36"/>
          <w:szCs w:val="36"/>
          <w:highlight w:val="none"/>
          <w:lang w:bidi="ar"/>
        </w:rPr>
        <w:t>（投标报价文件）</w:t>
      </w:r>
      <w:r>
        <w:rPr>
          <w:rFonts w:hint="eastAsia" w:ascii="黑体" w:hAnsi="黑体" w:eastAsia="黑体" w:cs="黑体"/>
          <w:bCs/>
          <w:color w:val="auto"/>
          <w:sz w:val="36"/>
          <w:szCs w:val="36"/>
          <w:highlight w:val="none"/>
          <w:u w:val="none"/>
          <w:lang w:bidi="ar"/>
        </w:rPr>
        <w:t xml:space="preserve"> </w:t>
      </w:r>
    </w:p>
    <w:p>
      <w:pPr>
        <w:spacing w:line="360" w:lineRule="auto"/>
        <w:rPr>
          <w:b/>
          <w:color w:val="auto"/>
          <w:sz w:val="48"/>
          <w:szCs w:val="48"/>
          <w:highlight w:val="none"/>
        </w:rPr>
      </w:pPr>
    </w:p>
    <w:p>
      <w:pPr>
        <w:spacing w:line="360" w:lineRule="auto"/>
        <w:rPr>
          <w:b/>
          <w:color w:val="auto"/>
          <w:sz w:val="48"/>
          <w:szCs w:val="48"/>
          <w:highlight w:val="none"/>
        </w:rPr>
      </w:pPr>
    </w:p>
    <w:p>
      <w:pPr>
        <w:spacing w:line="360" w:lineRule="auto"/>
        <w:rPr>
          <w:b/>
          <w:color w:val="auto"/>
          <w:sz w:val="48"/>
          <w:szCs w:val="48"/>
          <w:highlight w:val="none"/>
        </w:rPr>
      </w:pPr>
    </w:p>
    <w:p>
      <w:pPr>
        <w:spacing w:line="360" w:lineRule="auto"/>
        <w:rPr>
          <w:b/>
          <w:color w:val="auto"/>
          <w:sz w:val="48"/>
          <w:szCs w:val="48"/>
          <w:highlight w:val="none"/>
        </w:rPr>
      </w:pPr>
    </w:p>
    <w:p>
      <w:pPr>
        <w:spacing w:line="360" w:lineRule="auto"/>
        <w:ind w:firstLine="389" w:firstLineChars="139"/>
        <w:jc w:val="left"/>
        <w:rPr>
          <w:rFonts w:ascii="华文楷体" w:hAnsi="华文楷体" w:eastAsia="华文楷体" w:cs="华文楷体"/>
          <w:color w:val="auto"/>
          <w:sz w:val="28"/>
          <w:szCs w:val="28"/>
          <w:highlight w:val="none"/>
          <w:u w:val="single"/>
        </w:rPr>
      </w:pPr>
      <w:r>
        <w:rPr>
          <w:rFonts w:hint="eastAsia" w:ascii="华文楷体" w:hAnsi="华文楷体" w:eastAsia="华文楷体" w:cs="华文楷体"/>
          <w:color w:val="auto"/>
          <w:sz w:val="28"/>
          <w:szCs w:val="28"/>
          <w:highlight w:val="none"/>
        </w:rPr>
        <w:t>投标单位名称（盖章）：</w:t>
      </w:r>
      <w:r>
        <w:rPr>
          <w:rFonts w:hint="eastAsia" w:ascii="华文楷体" w:hAnsi="华文楷体" w:eastAsia="华文楷体" w:cs="华文楷体"/>
          <w:color w:val="auto"/>
          <w:kern w:val="0"/>
          <w:sz w:val="28"/>
          <w:szCs w:val="28"/>
          <w:highlight w:val="none"/>
          <w:u w:val="single"/>
        </w:rPr>
        <w:t xml:space="preserve">                         </w:t>
      </w:r>
    </w:p>
    <w:p>
      <w:pPr>
        <w:spacing w:line="360" w:lineRule="auto"/>
        <w:ind w:firstLine="389" w:firstLineChars="139"/>
        <w:jc w:val="left"/>
        <w:rPr>
          <w:rFonts w:ascii="华文楷体" w:hAnsi="华文楷体" w:eastAsia="华文楷体" w:cs="华文楷体"/>
          <w:color w:val="auto"/>
          <w:sz w:val="28"/>
          <w:szCs w:val="28"/>
          <w:highlight w:val="none"/>
          <w:u w:val="single"/>
        </w:rPr>
      </w:pPr>
      <w:r>
        <w:rPr>
          <w:rFonts w:hint="eastAsia" w:ascii="华文楷体" w:hAnsi="华文楷体" w:eastAsia="华文楷体" w:cs="华文楷体"/>
          <w:color w:val="auto"/>
          <w:sz w:val="28"/>
          <w:szCs w:val="28"/>
          <w:highlight w:val="none"/>
        </w:rPr>
        <w:t>法定代表人或其委托代理人（签字或盖章）：</w:t>
      </w:r>
      <w:r>
        <w:rPr>
          <w:rFonts w:hint="eastAsia" w:ascii="华文楷体" w:hAnsi="华文楷体" w:eastAsia="华文楷体" w:cs="华文楷体"/>
          <w:color w:val="auto"/>
          <w:sz w:val="28"/>
          <w:szCs w:val="28"/>
          <w:highlight w:val="none"/>
          <w:u w:val="single"/>
        </w:rPr>
        <w:t xml:space="preserve">      </w:t>
      </w:r>
      <w:r>
        <w:rPr>
          <w:rFonts w:hint="eastAsia" w:ascii="华文楷体" w:hAnsi="华文楷体" w:eastAsia="华文楷体" w:cs="华文楷体"/>
          <w:color w:val="auto"/>
          <w:sz w:val="28"/>
          <w:szCs w:val="28"/>
          <w:highlight w:val="none"/>
          <w:u w:val="single"/>
        </w:rPr>
        <w:tab/>
      </w:r>
    </w:p>
    <w:p>
      <w:pPr>
        <w:spacing w:line="360" w:lineRule="auto"/>
        <w:ind w:firstLine="389" w:firstLineChars="139"/>
        <w:jc w:val="left"/>
        <w:rPr>
          <w:rFonts w:ascii="华文楷体" w:hAnsi="华文楷体" w:eastAsia="华文楷体" w:cs="华文楷体"/>
          <w:bCs/>
          <w:color w:val="auto"/>
          <w:sz w:val="28"/>
          <w:szCs w:val="28"/>
          <w:highlight w:val="none"/>
        </w:rPr>
      </w:pPr>
      <w:r>
        <w:rPr>
          <w:rFonts w:hint="eastAsia" w:ascii="华文楷体" w:hAnsi="华文楷体" w:eastAsia="华文楷体" w:cs="华文楷体"/>
          <w:color w:val="auto"/>
          <w:sz w:val="28"/>
          <w:szCs w:val="28"/>
          <w:highlight w:val="none"/>
        </w:rPr>
        <w:t>投标日期：   年   月   日</w:t>
      </w:r>
    </w:p>
    <w:p>
      <w:pPr>
        <w:spacing w:line="360" w:lineRule="auto"/>
        <w:jc w:val="center"/>
        <w:rPr>
          <w:rFonts w:ascii="黑体" w:hAnsi="黑体" w:eastAsia="黑体" w:cs="黑体"/>
          <w:b/>
          <w:color w:val="auto"/>
          <w:sz w:val="32"/>
          <w:szCs w:val="32"/>
          <w:highlight w:val="none"/>
        </w:rPr>
      </w:pPr>
      <w:r>
        <w:rPr>
          <w:rFonts w:hint="eastAsia"/>
          <w:b/>
          <w:color w:val="auto"/>
          <w:sz w:val="30"/>
          <w:szCs w:val="30"/>
          <w:highlight w:val="none"/>
        </w:rPr>
        <w:br w:type="page"/>
      </w:r>
      <w:r>
        <w:rPr>
          <w:rFonts w:hint="eastAsia" w:ascii="黑体" w:hAnsi="黑体" w:eastAsia="黑体" w:cs="黑体"/>
          <w:b/>
          <w:color w:val="auto"/>
          <w:sz w:val="32"/>
          <w:szCs w:val="32"/>
          <w:highlight w:val="none"/>
        </w:rPr>
        <w:t>目 录</w:t>
      </w:r>
    </w:p>
    <w:p>
      <w:pPr>
        <w:spacing w:line="360" w:lineRule="auto"/>
        <w:jc w:val="center"/>
        <w:rPr>
          <w:rFonts w:ascii="黑体" w:hAnsi="黑体" w:eastAsia="黑体" w:cs="黑体"/>
          <w:b/>
          <w:color w:val="auto"/>
          <w:sz w:val="32"/>
          <w:szCs w:val="32"/>
          <w:highlight w:val="none"/>
        </w:rPr>
      </w:pPr>
    </w:p>
    <w:p>
      <w:pPr>
        <w:spacing w:line="360" w:lineRule="auto"/>
        <w:rPr>
          <w:color w:val="auto"/>
          <w:szCs w:val="21"/>
          <w:highlight w:val="none"/>
        </w:rPr>
      </w:pPr>
      <w:r>
        <w:rPr>
          <w:rFonts w:hint="eastAsia"/>
          <w:color w:val="auto"/>
          <w:szCs w:val="21"/>
          <w:highlight w:val="none"/>
        </w:rPr>
        <w:t>一、投标报价书</w:t>
      </w:r>
    </w:p>
    <w:p>
      <w:pPr>
        <w:spacing w:line="360" w:lineRule="auto"/>
        <w:rPr>
          <w:color w:val="auto"/>
          <w:szCs w:val="21"/>
          <w:highlight w:val="none"/>
        </w:rPr>
      </w:pPr>
      <w:r>
        <w:rPr>
          <w:rFonts w:hint="eastAsia"/>
          <w:color w:val="auto"/>
          <w:szCs w:val="21"/>
          <w:highlight w:val="none"/>
        </w:rPr>
        <w:t>二、参与编制投标报价文件人员名单</w:t>
      </w:r>
    </w:p>
    <w:p>
      <w:pPr>
        <w:spacing w:line="360" w:lineRule="auto"/>
        <w:rPr>
          <w:color w:val="auto"/>
          <w:szCs w:val="21"/>
          <w:highlight w:val="none"/>
        </w:rPr>
      </w:pPr>
      <w:r>
        <w:rPr>
          <w:rFonts w:hint="eastAsia"/>
          <w:color w:val="auto"/>
          <w:szCs w:val="21"/>
          <w:highlight w:val="none"/>
        </w:rPr>
        <w:t>三、投标人认为应提供的其他资料</w:t>
      </w:r>
    </w:p>
    <w:p>
      <w:pPr>
        <w:spacing w:line="360" w:lineRule="auto"/>
        <w:rPr>
          <w:color w:val="auto"/>
          <w:szCs w:val="21"/>
          <w:highlight w:val="none"/>
        </w:rPr>
      </w:pPr>
    </w:p>
    <w:p>
      <w:pPr>
        <w:spacing w:line="360" w:lineRule="auto"/>
        <w:jc w:val="left"/>
        <w:rPr>
          <w:b/>
          <w:color w:val="auto"/>
          <w:sz w:val="30"/>
          <w:szCs w:val="30"/>
          <w:highlight w:val="none"/>
        </w:rPr>
      </w:pPr>
    </w:p>
    <w:p>
      <w:pPr>
        <w:spacing w:line="360" w:lineRule="auto"/>
        <w:rPr>
          <w:color w:val="auto"/>
          <w:szCs w:val="21"/>
          <w:highlight w:val="none"/>
        </w:rPr>
      </w:pPr>
      <w:r>
        <w:rPr>
          <w:rFonts w:hint="eastAsia"/>
          <w:color w:val="auto"/>
          <w:szCs w:val="21"/>
          <w:highlight w:val="none"/>
        </w:rPr>
        <w:t>注：页码由投标人自行编制。目录格式仅供参考，投标人可根据实际情况进行扩展及补充。</w:t>
      </w:r>
    </w:p>
    <w:p>
      <w:pPr>
        <w:autoSpaceDE w:val="0"/>
        <w:autoSpaceDN w:val="0"/>
        <w:adjustRightInd w:val="0"/>
        <w:spacing w:line="360" w:lineRule="auto"/>
        <w:jc w:val="center"/>
        <w:rPr>
          <w:rFonts w:ascii="黑体" w:hAnsi="黑体" w:eastAsia="黑体" w:cs="黑体"/>
          <w:b/>
          <w:bCs/>
          <w:color w:val="auto"/>
          <w:sz w:val="32"/>
          <w:szCs w:val="32"/>
          <w:highlight w:val="none"/>
          <w:lang w:val="zh-CN"/>
        </w:rPr>
      </w:pPr>
      <w:r>
        <w:rPr>
          <w:rFonts w:hint="eastAsia" w:ascii="黑体" w:hAnsi="黑体" w:eastAsia="黑体" w:cs="黑体"/>
          <w:b/>
          <w:color w:val="auto"/>
          <w:sz w:val="32"/>
          <w:szCs w:val="32"/>
          <w:highlight w:val="none"/>
        </w:rPr>
        <w:br w:type="page"/>
      </w:r>
      <w:r>
        <w:rPr>
          <w:rFonts w:hint="eastAsia" w:ascii="黑体" w:hAnsi="黑体" w:eastAsia="黑体" w:cs="黑体"/>
          <w:b/>
          <w:bCs/>
          <w:color w:val="auto"/>
          <w:sz w:val="32"/>
          <w:szCs w:val="32"/>
          <w:highlight w:val="none"/>
        </w:rPr>
        <w:t>投标报价</w:t>
      </w:r>
      <w:r>
        <w:rPr>
          <w:rFonts w:hint="eastAsia" w:ascii="黑体" w:hAnsi="黑体" w:eastAsia="黑体" w:cs="黑体"/>
          <w:b/>
          <w:bCs/>
          <w:color w:val="auto"/>
          <w:sz w:val="32"/>
          <w:szCs w:val="32"/>
          <w:highlight w:val="none"/>
          <w:lang w:val="zh-CN"/>
        </w:rPr>
        <w:t>书</w:t>
      </w:r>
    </w:p>
    <w:p>
      <w:pPr>
        <w:autoSpaceDE w:val="0"/>
        <w:autoSpaceDN w:val="0"/>
        <w:adjustRightInd w:val="0"/>
        <w:spacing w:line="360" w:lineRule="auto"/>
        <w:jc w:val="right"/>
        <w:rPr>
          <w:bCs/>
          <w:color w:val="auto"/>
          <w:szCs w:val="21"/>
          <w:highlight w:val="none"/>
          <w:lang w:val="zh-CN"/>
        </w:rPr>
      </w:pPr>
      <w:r>
        <w:rPr>
          <w:rFonts w:hint="eastAsia"/>
          <w:bCs/>
          <w:color w:val="auto"/>
          <w:szCs w:val="21"/>
          <w:highlight w:val="none"/>
          <w:lang w:val="zh-CN"/>
        </w:rPr>
        <w:t>投标日期：   年  月  日</w:t>
      </w:r>
    </w:p>
    <w:tbl>
      <w:tblPr>
        <w:tblStyle w:val="38"/>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1764"/>
        <w:gridCol w:w="6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color w:val="auto"/>
                <w:szCs w:val="21"/>
                <w:highlight w:val="none"/>
                <w:lang w:val="zh-CN"/>
              </w:rPr>
            </w:pPr>
            <w:r>
              <w:rPr>
                <w:rFonts w:hint="eastAsia"/>
                <w:bCs/>
                <w:color w:val="auto"/>
                <w:szCs w:val="21"/>
                <w:highlight w:val="none"/>
              </w:rPr>
              <w:t>项目</w:t>
            </w:r>
            <w:r>
              <w:rPr>
                <w:rFonts w:hint="eastAsia"/>
                <w:bCs/>
                <w:color w:val="auto"/>
                <w:szCs w:val="21"/>
                <w:highlight w:val="none"/>
                <w:lang w:val="zh-CN"/>
              </w:rPr>
              <w:t>名称</w:t>
            </w: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940" w:type="dxa"/>
            <w:gridSpan w:val="2"/>
            <w:vMerge w:val="restart"/>
            <w:tcBorders>
              <w:top w:val="single" w:color="auto" w:sz="4" w:space="0"/>
              <w:left w:val="single" w:color="auto" w:sz="4" w:space="0"/>
              <w:right w:val="single" w:color="auto" w:sz="4" w:space="0"/>
            </w:tcBorders>
            <w:vAlign w:val="center"/>
          </w:tcPr>
          <w:p>
            <w:pPr>
              <w:autoSpaceDE w:val="0"/>
              <w:autoSpaceDN w:val="0"/>
              <w:adjustRightInd w:val="0"/>
              <w:snapToGrid w:val="0"/>
              <w:spacing w:line="360" w:lineRule="auto"/>
              <w:jc w:val="center"/>
              <w:rPr>
                <w:bCs/>
                <w:color w:val="auto"/>
                <w:szCs w:val="21"/>
                <w:highlight w:val="none"/>
                <w:lang w:val="zh-CN"/>
              </w:rPr>
            </w:pPr>
            <w:r>
              <w:rPr>
                <w:rFonts w:hint="eastAsia"/>
                <w:bCs/>
                <w:color w:val="auto"/>
                <w:szCs w:val="21"/>
                <w:highlight w:val="none"/>
                <w:lang w:val="zh-CN"/>
              </w:rPr>
              <w:t>投标总报价（元）</w:t>
            </w: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bCs/>
                <w:color w:val="auto"/>
                <w:szCs w:val="21"/>
                <w:highlight w:val="none"/>
              </w:rPr>
            </w:pPr>
            <w:r>
              <w:rPr>
                <w:rFonts w:hint="eastAsia"/>
                <w:bCs/>
                <w:color w:val="auto"/>
                <w:szCs w:val="21"/>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940" w:type="dxa"/>
            <w:gridSpan w:val="2"/>
            <w:vMerge w:val="continue"/>
            <w:tcBorders>
              <w:left w:val="single" w:color="auto" w:sz="4" w:space="0"/>
              <w:right w:val="single" w:color="auto" w:sz="4" w:space="0"/>
            </w:tcBorders>
            <w:vAlign w:val="center"/>
          </w:tcPr>
          <w:p>
            <w:pPr>
              <w:autoSpaceDE w:val="0"/>
              <w:autoSpaceDN w:val="0"/>
              <w:adjustRightInd w:val="0"/>
              <w:snapToGrid w:val="0"/>
              <w:spacing w:line="360" w:lineRule="auto"/>
              <w:jc w:val="center"/>
              <w:rPr>
                <w:bCs/>
                <w:color w:val="auto"/>
                <w:szCs w:val="21"/>
                <w:highlight w:val="none"/>
                <w:lang w:val="zh-CN"/>
              </w:rPr>
            </w:pP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bCs/>
                <w:color w:val="auto"/>
                <w:szCs w:val="21"/>
                <w:highlight w:val="none"/>
              </w:rPr>
            </w:pPr>
            <w:r>
              <w:rPr>
                <w:rFonts w:hint="eastAsia"/>
                <w:bCs/>
                <w:color w:val="auto"/>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176" w:type="dxa"/>
            <w:vMerge w:val="restart"/>
            <w:tcBorders>
              <w:left w:val="single" w:color="auto" w:sz="4" w:space="0"/>
              <w:right w:val="single" w:color="auto" w:sz="4" w:space="0"/>
            </w:tcBorders>
            <w:vAlign w:val="center"/>
          </w:tcPr>
          <w:p>
            <w:pPr>
              <w:adjustRightInd w:val="0"/>
              <w:snapToGrid w:val="0"/>
              <w:spacing w:line="360" w:lineRule="auto"/>
              <w:jc w:val="center"/>
              <w:rPr>
                <w:bCs/>
                <w:color w:val="auto"/>
                <w:szCs w:val="21"/>
                <w:highlight w:val="none"/>
                <w:lang w:val="zh-CN"/>
              </w:rPr>
            </w:pPr>
          </w:p>
        </w:tc>
        <w:tc>
          <w:tcPr>
            <w:tcW w:w="1764" w:type="dxa"/>
            <w:vMerge w:val="restart"/>
            <w:tcBorders>
              <w:left w:val="single" w:color="auto" w:sz="4" w:space="0"/>
              <w:right w:val="single" w:color="auto" w:sz="4" w:space="0"/>
            </w:tcBorders>
            <w:vAlign w:val="center"/>
          </w:tcPr>
          <w:p>
            <w:pPr>
              <w:adjustRightInd w:val="0"/>
              <w:snapToGrid w:val="0"/>
              <w:spacing w:line="360" w:lineRule="auto"/>
              <w:jc w:val="center"/>
              <w:rPr>
                <w:bCs/>
                <w:color w:val="auto"/>
                <w:szCs w:val="21"/>
                <w:highlight w:val="none"/>
                <w:lang w:val="zh-CN"/>
              </w:rPr>
            </w:pPr>
            <w:r>
              <w:rPr>
                <w:rFonts w:hint="eastAsia"/>
                <w:bCs/>
                <w:color w:val="auto"/>
                <w:szCs w:val="21"/>
                <w:highlight w:val="none"/>
                <w:lang w:val="zh-CN"/>
              </w:rPr>
              <w:t>设计费（元）</w:t>
            </w: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bCs/>
                <w:color w:val="auto"/>
                <w:szCs w:val="21"/>
                <w:highlight w:val="none"/>
              </w:rPr>
            </w:pPr>
            <w:r>
              <w:rPr>
                <w:rFonts w:hint="eastAsia"/>
                <w:bCs/>
                <w:color w:val="auto"/>
                <w:szCs w:val="21"/>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176" w:type="dxa"/>
            <w:vMerge w:val="continue"/>
            <w:tcBorders>
              <w:left w:val="single" w:color="auto" w:sz="4" w:space="0"/>
              <w:right w:val="single" w:color="auto" w:sz="4" w:space="0"/>
            </w:tcBorders>
            <w:vAlign w:val="center"/>
          </w:tcPr>
          <w:p>
            <w:pPr>
              <w:adjustRightInd w:val="0"/>
              <w:snapToGrid w:val="0"/>
              <w:spacing w:line="360" w:lineRule="auto"/>
              <w:jc w:val="center"/>
              <w:rPr>
                <w:bCs/>
                <w:color w:val="auto"/>
                <w:szCs w:val="21"/>
                <w:highlight w:val="none"/>
                <w:lang w:val="zh-CN"/>
              </w:rPr>
            </w:pPr>
          </w:p>
        </w:tc>
        <w:tc>
          <w:tcPr>
            <w:tcW w:w="1764" w:type="dxa"/>
            <w:vMerge w:val="continue"/>
            <w:tcBorders>
              <w:left w:val="single" w:color="auto" w:sz="4" w:space="0"/>
              <w:right w:val="single" w:color="auto" w:sz="4" w:space="0"/>
            </w:tcBorders>
            <w:vAlign w:val="center"/>
          </w:tcPr>
          <w:p>
            <w:pPr>
              <w:adjustRightInd w:val="0"/>
              <w:snapToGrid w:val="0"/>
              <w:spacing w:line="360" w:lineRule="auto"/>
              <w:jc w:val="center"/>
              <w:rPr>
                <w:bCs/>
                <w:color w:val="auto"/>
                <w:szCs w:val="21"/>
                <w:highlight w:val="none"/>
                <w:lang w:val="zh-CN"/>
              </w:rPr>
            </w:pP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bCs/>
                <w:color w:val="auto"/>
                <w:szCs w:val="21"/>
                <w:highlight w:val="none"/>
                <w:u w:val="single"/>
                <w:lang w:val="zh-CN"/>
              </w:rPr>
            </w:pPr>
            <w:r>
              <w:rPr>
                <w:rFonts w:hint="eastAsia"/>
                <w:bCs/>
                <w:color w:val="auto"/>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176" w:type="dxa"/>
            <w:vMerge w:val="continue"/>
            <w:tcBorders>
              <w:left w:val="single" w:color="auto" w:sz="4" w:space="0"/>
              <w:right w:val="single" w:color="auto" w:sz="4" w:space="0"/>
            </w:tcBorders>
            <w:vAlign w:val="center"/>
          </w:tcPr>
          <w:p>
            <w:pPr>
              <w:adjustRightInd w:val="0"/>
              <w:snapToGrid w:val="0"/>
              <w:spacing w:line="360" w:lineRule="auto"/>
              <w:jc w:val="center"/>
              <w:rPr>
                <w:bCs/>
                <w:color w:val="auto"/>
                <w:szCs w:val="21"/>
                <w:highlight w:val="none"/>
                <w:lang w:val="zh-CN"/>
              </w:rPr>
            </w:pPr>
          </w:p>
        </w:tc>
        <w:tc>
          <w:tcPr>
            <w:tcW w:w="1764" w:type="dxa"/>
            <w:vMerge w:val="continue"/>
            <w:tcBorders>
              <w:left w:val="single" w:color="auto" w:sz="4" w:space="0"/>
              <w:right w:val="single" w:color="auto" w:sz="4" w:space="0"/>
            </w:tcBorders>
            <w:vAlign w:val="center"/>
          </w:tcPr>
          <w:p>
            <w:pPr>
              <w:adjustRightInd w:val="0"/>
              <w:snapToGrid w:val="0"/>
              <w:spacing w:line="360" w:lineRule="auto"/>
              <w:jc w:val="center"/>
              <w:rPr>
                <w:bCs/>
                <w:color w:val="auto"/>
                <w:szCs w:val="21"/>
                <w:highlight w:val="none"/>
                <w:lang w:val="zh-CN"/>
              </w:rPr>
            </w:pP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bCs/>
                <w:color w:val="auto"/>
                <w:szCs w:val="21"/>
                <w:highlight w:val="none"/>
                <w:u w:val="single"/>
                <w:lang w:val="zh-CN"/>
              </w:rPr>
            </w:pPr>
            <w:r>
              <w:rPr>
                <w:rFonts w:hint="eastAsia"/>
                <w:bCs/>
                <w:color w:val="auto"/>
                <w:szCs w:val="21"/>
                <w:highlight w:val="none"/>
              </w:rPr>
              <w:t>下浮率：</w:t>
            </w:r>
            <w:r>
              <w:rPr>
                <w:rFonts w:hint="eastAsia"/>
                <w:bCs/>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176" w:type="dxa"/>
            <w:vMerge w:val="continue"/>
            <w:tcBorders>
              <w:left w:val="single" w:color="auto" w:sz="4" w:space="0"/>
              <w:right w:val="single" w:color="auto" w:sz="4" w:space="0"/>
            </w:tcBorders>
            <w:vAlign w:val="center"/>
          </w:tcPr>
          <w:p>
            <w:pPr>
              <w:adjustRightInd w:val="0"/>
              <w:snapToGrid w:val="0"/>
              <w:spacing w:line="360" w:lineRule="auto"/>
              <w:jc w:val="center"/>
              <w:rPr>
                <w:bCs/>
                <w:color w:val="auto"/>
                <w:szCs w:val="21"/>
                <w:highlight w:val="none"/>
                <w:lang w:val="zh-CN"/>
              </w:rPr>
            </w:pPr>
          </w:p>
        </w:tc>
        <w:tc>
          <w:tcPr>
            <w:tcW w:w="1764" w:type="dxa"/>
            <w:vMerge w:val="continue"/>
            <w:tcBorders>
              <w:left w:val="single" w:color="auto" w:sz="4" w:space="0"/>
              <w:right w:val="single" w:color="auto" w:sz="4" w:space="0"/>
            </w:tcBorders>
            <w:vAlign w:val="center"/>
          </w:tcPr>
          <w:p>
            <w:pPr>
              <w:adjustRightInd w:val="0"/>
              <w:snapToGrid w:val="0"/>
              <w:spacing w:line="360" w:lineRule="auto"/>
              <w:jc w:val="center"/>
              <w:rPr>
                <w:bCs/>
                <w:color w:val="auto"/>
                <w:szCs w:val="21"/>
                <w:highlight w:val="none"/>
                <w:lang w:val="zh-CN"/>
              </w:rPr>
            </w:pP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bCs/>
                <w:color w:val="auto"/>
                <w:szCs w:val="21"/>
                <w:highlight w:val="none"/>
              </w:rPr>
            </w:pPr>
            <w:r>
              <w:rPr>
                <w:rFonts w:hint="eastAsia"/>
                <w:bCs/>
                <w:color w:val="auto"/>
                <w:szCs w:val="21"/>
                <w:highlight w:val="none"/>
              </w:rPr>
              <w:t>注：</w:t>
            </w:r>
            <w:r>
              <w:rPr>
                <w:rFonts w:hint="eastAsia"/>
                <w:bCs/>
                <w:color w:val="auto"/>
                <w:szCs w:val="21"/>
                <w:highlight w:val="none"/>
                <w:lang w:val="zh-CN"/>
              </w:rPr>
              <w:t>设计</w:t>
            </w:r>
            <w:r>
              <w:rPr>
                <w:rFonts w:hint="eastAsia"/>
                <w:bCs/>
                <w:color w:val="auto"/>
                <w:szCs w:val="21"/>
                <w:highlight w:val="none"/>
              </w:rPr>
              <w:t>费报价=</w:t>
            </w:r>
            <w:r>
              <w:rPr>
                <w:rFonts w:hint="eastAsia"/>
                <w:bCs/>
                <w:color w:val="auto"/>
                <w:szCs w:val="21"/>
                <w:highlight w:val="none"/>
                <w:lang w:val="zh-CN"/>
              </w:rPr>
              <w:t>设计</w:t>
            </w:r>
            <w:r>
              <w:rPr>
                <w:rFonts w:hint="eastAsia"/>
                <w:bCs/>
                <w:color w:val="auto"/>
                <w:szCs w:val="21"/>
                <w:highlight w:val="none"/>
              </w:rPr>
              <w:t>最高投标限价*（1-下浮率）。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176" w:type="dxa"/>
            <w:vMerge w:val="continue"/>
            <w:tcBorders>
              <w:left w:val="single" w:color="auto" w:sz="4" w:space="0"/>
              <w:right w:val="single" w:color="auto" w:sz="4" w:space="0"/>
            </w:tcBorders>
            <w:vAlign w:val="center"/>
          </w:tcPr>
          <w:p>
            <w:pPr>
              <w:adjustRightInd w:val="0"/>
              <w:snapToGrid w:val="0"/>
              <w:spacing w:line="360" w:lineRule="auto"/>
              <w:jc w:val="center"/>
              <w:rPr>
                <w:bCs/>
                <w:color w:val="auto"/>
                <w:szCs w:val="21"/>
                <w:highlight w:val="none"/>
                <w:lang w:val="zh-CN"/>
              </w:rPr>
            </w:pPr>
          </w:p>
        </w:tc>
        <w:tc>
          <w:tcPr>
            <w:tcW w:w="1764" w:type="dxa"/>
            <w:vMerge w:val="restart"/>
            <w:tcBorders>
              <w:left w:val="single" w:color="auto" w:sz="4" w:space="0"/>
              <w:right w:val="single" w:color="auto" w:sz="4" w:space="0"/>
            </w:tcBorders>
            <w:vAlign w:val="center"/>
          </w:tcPr>
          <w:p>
            <w:pPr>
              <w:adjustRightInd w:val="0"/>
              <w:snapToGrid w:val="0"/>
              <w:spacing w:line="360" w:lineRule="auto"/>
              <w:jc w:val="center"/>
              <w:rPr>
                <w:bCs/>
                <w:color w:val="auto"/>
                <w:szCs w:val="21"/>
                <w:highlight w:val="none"/>
                <w:lang w:val="zh-CN"/>
              </w:rPr>
            </w:pPr>
            <w:r>
              <w:rPr>
                <w:rFonts w:hint="eastAsia"/>
                <w:bCs/>
                <w:color w:val="auto"/>
                <w:szCs w:val="21"/>
                <w:highlight w:val="none"/>
                <w:lang w:val="en-US" w:eastAsia="zh-CN"/>
              </w:rPr>
              <w:t>建安</w:t>
            </w:r>
            <w:r>
              <w:rPr>
                <w:rFonts w:hint="eastAsia"/>
                <w:bCs/>
                <w:color w:val="auto"/>
                <w:szCs w:val="21"/>
                <w:highlight w:val="none"/>
                <w:lang w:val="zh-CN"/>
              </w:rPr>
              <w:t>费（元）</w:t>
            </w: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bCs/>
                <w:color w:val="auto"/>
                <w:szCs w:val="21"/>
                <w:highlight w:val="none"/>
                <w:lang w:val="zh-CN"/>
              </w:rPr>
            </w:pPr>
            <w:r>
              <w:rPr>
                <w:rFonts w:hint="eastAsia"/>
                <w:bCs/>
                <w:color w:val="auto"/>
                <w:szCs w:val="21"/>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176" w:type="dxa"/>
            <w:vMerge w:val="continue"/>
            <w:tcBorders>
              <w:left w:val="single" w:color="auto" w:sz="4" w:space="0"/>
              <w:right w:val="single" w:color="auto" w:sz="4" w:space="0"/>
            </w:tcBorders>
            <w:vAlign w:val="center"/>
          </w:tcPr>
          <w:p>
            <w:pPr>
              <w:adjustRightInd w:val="0"/>
              <w:snapToGrid w:val="0"/>
              <w:spacing w:line="360" w:lineRule="auto"/>
              <w:jc w:val="center"/>
              <w:rPr>
                <w:bCs/>
                <w:color w:val="auto"/>
                <w:szCs w:val="21"/>
                <w:highlight w:val="none"/>
                <w:lang w:val="zh-CN"/>
              </w:rPr>
            </w:pPr>
          </w:p>
        </w:tc>
        <w:tc>
          <w:tcPr>
            <w:tcW w:w="1764" w:type="dxa"/>
            <w:vMerge w:val="continue"/>
            <w:tcBorders>
              <w:left w:val="single" w:color="auto" w:sz="4" w:space="0"/>
              <w:right w:val="single" w:color="auto" w:sz="4" w:space="0"/>
            </w:tcBorders>
            <w:vAlign w:val="center"/>
          </w:tcPr>
          <w:p>
            <w:pPr>
              <w:adjustRightInd w:val="0"/>
              <w:snapToGrid w:val="0"/>
              <w:spacing w:line="360" w:lineRule="auto"/>
              <w:jc w:val="center"/>
              <w:rPr>
                <w:bCs/>
                <w:color w:val="auto"/>
                <w:szCs w:val="21"/>
                <w:highlight w:val="none"/>
                <w:lang w:val="zh-CN"/>
              </w:rPr>
            </w:pP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bCs/>
                <w:color w:val="auto"/>
                <w:szCs w:val="21"/>
                <w:highlight w:val="none"/>
                <w:u w:val="single"/>
                <w:lang w:val="zh-CN"/>
              </w:rPr>
            </w:pPr>
            <w:r>
              <w:rPr>
                <w:rFonts w:hint="eastAsia"/>
                <w:bCs/>
                <w:color w:val="auto"/>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176" w:type="dxa"/>
            <w:vMerge w:val="continue"/>
            <w:tcBorders>
              <w:left w:val="single" w:color="auto" w:sz="4" w:space="0"/>
              <w:right w:val="single" w:color="auto" w:sz="4" w:space="0"/>
            </w:tcBorders>
            <w:vAlign w:val="center"/>
          </w:tcPr>
          <w:p>
            <w:pPr>
              <w:adjustRightInd w:val="0"/>
              <w:snapToGrid w:val="0"/>
              <w:spacing w:line="360" w:lineRule="auto"/>
              <w:jc w:val="center"/>
              <w:rPr>
                <w:bCs/>
                <w:color w:val="auto"/>
                <w:szCs w:val="21"/>
                <w:highlight w:val="none"/>
                <w:lang w:val="zh-CN"/>
              </w:rPr>
            </w:pPr>
          </w:p>
        </w:tc>
        <w:tc>
          <w:tcPr>
            <w:tcW w:w="1764" w:type="dxa"/>
            <w:vMerge w:val="continue"/>
            <w:tcBorders>
              <w:left w:val="single" w:color="auto" w:sz="4" w:space="0"/>
              <w:right w:val="single" w:color="auto" w:sz="4" w:space="0"/>
            </w:tcBorders>
            <w:vAlign w:val="center"/>
          </w:tcPr>
          <w:p>
            <w:pPr>
              <w:adjustRightInd w:val="0"/>
              <w:snapToGrid w:val="0"/>
              <w:spacing w:line="360" w:lineRule="auto"/>
              <w:jc w:val="center"/>
              <w:rPr>
                <w:bCs/>
                <w:color w:val="auto"/>
                <w:szCs w:val="21"/>
                <w:highlight w:val="none"/>
                <w:lang w:val="zh-CN"/>
              </w:rPr>
            </w:pP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bCs/>
                <w:color w:val="auto"/>
                <w:szCs w:val="21"/>
                <w:highlight w:val="none"/>
                <w:u w:val="single"/>
                <w:lang w:val="zh-CN"/>
              </w:rPr>
            </w:pPr>
            <w:r>
              <w:rPr>
                <w:rFonts w:hint="eastAsia"/>
                <w:bCs/>
                <w:color w:val="auto"/>
                <w:szCs w:val="21"/>
                <w:highlight w:val="none"/>
              </w:rPr>
              <w:t>下浮率：</w:t>
            </w:r>
            <w:r>
              <w:rPr>
                <w:rFonts w:hint="eastAsia"/>
                <w:bCs/>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176" w:type="dxa"/>
            <w:vMerge w:val="continue"/>
            <w:tcBorders>
              <w:left w:val="single" w:color="auto" w:sz="4" w:space="0"/>
              <w:bottom w:val="single" w:color="auto" w:sz="4" w:space="0"/>
              <w:right w:val="single" w:color="auto" w:sz="4" w:space="0"/>
            </w:tcBorders>
            <w:vAlign w:val="center"/>
          </w:tcPr>
          <w:p>
            <w:pPr>
              <w:adjustRightInd w:val="0"/>
              <w:snapToGrid w:val="0"/>
              <w:spacing w:line="360" w:lineRule="auto"/>
              <w:jc w:val="center"/>
              <w:rPr>
                <w:bCs/>
                <w:color w:val="auto"/>
                <w:szCs w:val="21"/>
                <w:highlight w:val="none"/>
                <w:lang w:val="zh-CN"/>
              </w:rPr>
            </w:pPr>
          </w:p>
        </w:tc>
        <w:tc>
          <w:tcPr>
            <w:tcW w:w="1764" w:type="dxa"/>
            <w:vMerge w:val="continue"/>
            <w:tcBorders>
              <w:left w:val="single" w:color="auto" w:sz="4" w:space="0"/>
              <w:bottom w:val="single" w:color="auto" w:sz="4" w:space="0"/>
              <w:right w:val="single" w:color="auto" w:sz="4" w:space="0"/>
            </w:tcBorders>
            <w:vAlign w:val="center"/>
          </w:tcPr>
          <w:p>
            <w:pPr>
              <w:adjustRightInd w:val="0"/>
              <w:snapToGrid w:val="0"/>
              <w:spacing w:line="360" w:lineRule="auto"/>
              <w:jc w:val="center"/>
              <w:rPr>
                <w:bCs/>
                <w:color w:val="auto"/>
                <w:szCs w:val="21"/>
                <w:highlight w:val="none"/>
                <w:lang w:val="zh-CN"/>
              </w:rPr>
            </w:pP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bCs/>
                <w:color w:val="auto"/>
                <w:szCs w:val="21"/>
                <w:highlight w:val="none"/>
              </w:rPr>
            </w:pPr>
            <w:r>
              <w:rPr>
                <w:rFonts w:hint="eastAsia"/>
                <w:bCs/>
                <w:color w:val="auto"/>
                <w:szCs w:val="21"/>
                <w:highlight w:val="none"/>
              </w:rPr>
              <w:t>注：</w:t>
            </w:r>
            <w:r>
              <w:rPr>
                <w:rFonts w:hint="eastAsia"/>
                <w:bCs/>
                <w:color w:val="auto"/>
                <w:szCs w:val="21"/>
                <w:highlight w:val="none"/>
                <w:lang w:val="en-US" w:eastAsia="zh-CN"/>
              </w:rPr>
              <w:t>建安</w:t>
            </w:r>
            <w:r>
              <w:rPr>
                <w:rFonts w:hint="eastAsia"/>
                <w:bCs/>
                <w:color w:val="auto"/>
                <w:szCs w:val="21"/>
                <w:highlight w:val="none"/>
              </w:rPr>
              <w:t>费报价=</w:t>
            </w:r>
            <w:r>
              <w:rPr>
                <w:rFonts w:hint="eastAsia"/>
                <w:bCs/>
                <w:color w:val="auto"/>
                <w:szCs w:val="21"/>
                <w:highlight w:val="none"/>
                <w:lang w:val="en-US" w:eastAsia="zh-CN"/>
              </w:rPr>
              <w:t>建安</w:t>
            </w:r>
            <w:r>
              <w:rPr>
                <w:rFonts w:hint="eastAsia"/>
                <w:bCs/>
                <w:color w:val="auto"/>
                <w:szCs w:val="21"/>
                <w:highlight w:val="none"/>
              </w:rPr>
              <w:t>最高投标限价*（1-下浮率）。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94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color w:val="auto"/>
                <w:szCs w:val="21"/>
                <w:highlight w:val="none"/>
                <w:lang w:val="zh-CN"/>
              </w:rPr>
            </w:pPr>
            <w:r>
              <w:rPr>
                <w:rFonts w:hint="eastAsia"/>
                <w:bCs/>
                <w:color w:val="auto"/>
                <w:szCs w:val="21"/>
                <w:highlight w:val="none"/>
                <w:lang w:val="zh-CN"/>
              </w:rPr>
              <w:t>法定代表人</w:t>
            </w:r>
          </w:p>
          <w:p>
            <w:pPr>
              <w:autoSpaceDE w:val="0"/>
              <w:autoSpaceDN w:val="0"/>
              <w:adjustRightInd w:val="0"/>
              <w:snapToGrid w:val="0"/>
              <w:spacing w:line="360" w:lineRule="auto"/>
              <w:jc w:val="center"/>
              <w:rPr>
                <w:bCs/>
                <w:color w:val="auto"/>
                <w:szCs w:val="21"/>
                <w:highlight w:val="none"/>
                <w:lang w:val="zh-CN"/>
              </w:rPr>
            </w:pPr>
            <w:r>
              <w:rPr>
                <w:rFonts w:hint="eastAsia"/>
                <w:bCs/>
                <w:color w:val="auto"/>
                <w:szCs w:val="21"/>
                <w:highlight w:val="none"/>
                <w:lang w:val="zh-CN"/>
              </w:rPr>
              <w:t>（签名或盖章）</w:t>
            </w: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94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color w:val="auto"/>
                <w:szCs w:val="21"/>
                <w:highlight w:val="none"/>
                <w:lang w:val="zh-CN"/>
              </w:rPr>
            </w:pPr>
            <w:r>
              <w:rPr>
                <w:rFonts w:hint="eastAsia"/>
                <w:bCs/>
                <w:color w:val="auto"/>
                <w:szCs w:val="21"/>
                <w:highlight w:val="none"/>
                <w:lang w:val="zh-CN"/>
              </w:rPr>
              <w:t>授权委托人</w:t>
            </w:r>
          </w:p>
          <w:p>
            <w:pPr>
              <w:autoSpaceDE w:val="0"/>
              <w:autoSpaceDN w:val="0"/>
              <w:adjustRightInd w:val="0"/>
              <w:snapToGrid w:val="0"/>
              <w:spacing w:line="360" w:lineRule="auto"/>
              <w:jc w:val="center"/>
              <w:rPr>
                <w:bCs/>
                <w:color w:val="auto"/>
                <w:szCs w:val="21"/>
                <w:highlight w:val="none"/>
                <w:lang w:val="zh-CN"/>
              </w:rPr>
            </w:pPr>
            <w:r>
              <w:rPr>
                <w:rFonts w:hint="eastAsia"/>
                <w:bCs/>
                <w:color w:val="auto"/>
                <w:szCs w:val="21"/>
                <w:highlight w:val="none"/>
                <w:lang w:val="zh-CN"/>
              </w:rPr>
              <w:t>（签名或盖章）</w:t>
            </w: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94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color w:val="auto"/>
                <w:szCs w:val="21"/>
                <w:highlight w:val="none"/>
                <w:lang w:val="zh-CN"/>
              </w:rPr>
            </w:pPr>
            <w:r>
              <w:rPr>
                <w:rFonts w:hint="eastAsia"/>
                <w:bCs/>
                <w:color w:val="auto"/>
                <w:szCs w:val="21"/>
                <w:highlight w:val="none"/>
                <w:lang w:val="zh-CN"/>
              </w:rPr>
              <w:t>投标单位</w:t>
            </w:r>
          </w:p>
          <w:p>
            <w:pPr>
              <w:autoSpaceDE w:val="0"/>
              <w:autoSpaceDN w:val="0"/>
              <w:adjustRightInd w:val="0"/>
              <w:snapToGrid w:val="0"/>
              <w:spacing w:line="360" w:lineRule="auto"/>
              <w:jc w:val="center"/>
              <w:rPr>
                <w:bCs/>
                <w:color w:val="auto"/>
                <w:szCs w:val="21"/>
                <w:highlight w:val="none"/>
                <w:lang w:val="zh-CN"/>
              </w:rPr>
            </w:pPr>
            <w:r>
              <w:rPr>
                <w:rFonts w:hint="eastAsia"/>
                <w:bCs/>
                <w:color w:val="auto"/>
                <w:szCs w:val="21"/>
                <w:highlight w:val="none"/>
                <w:lang w:val="zh-CN"/>
              </w:rPr>
              <w:t>（企业公章）</w:t>
            </w: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color w:val="auto"/>
                <w:szCs w:val="21"/>
                <w:highlight w:val="none"/>
                <w:lang w:val="zh-CN"/>
              </w:rPr>
            </w:pPr>
          </w:p>
        </w:tc>
      </w:tr>
    </w:tbl>
    <w:p>
      <w:pPr>
        <w:autoSpaceDE w:val="0"/>
        <w:autoSpaceDN w:val="0"/>
        <w:adjustRightInd w:val="0"/>
        <w:spacing w:line="360" w:lineRule="auto"/>
        <w:ind w:left="-199" w:leftChars="-95" w:right="-405" w:rightChars="-193"/>
        <w:jc w:val="left"/>
        <w:rPr>
          <w:rFonts w:hint="eastAsia"/>
          <w:bCs/>
          <w:color w:val="auto"/>
          <w:szCs w:val="21"/>
          <w:highlight w:val="none"/>
        </w:rPr>
      </w:pPr>
      <w:r>
        <w:rPr>
          <w:rFonts w:hint="eastAsia"/>
          <w:bCs/>
          <w:color w:val="auto"/>
          <w:szCs w:val="21"/>
          <w:highlight w:val="none"/>
        </w:rPr>
        <w:t>注：</w:t>
      </w:r>
    </w:p>
    <w:p>
      <w:pPr>
        <w:autoSpaceDE w:val="0"/>
        <w:autoSpaceDN w:val="0"/>
        <w:adjustRightInd w:val="0"/>
        <w:spacing w:line="360" w:lineRule="auto"/>
        <w:ind w:left="-199" w:leftChars="-95" w:right="-405" w:rightChars="-193"/>
        <w:jc w:val="left"/>
        <w:rPr>
          <w:rFonts w:hint="eastAsia" w:eastAsia="宋体" w:cs="Times New Roman"/>
          <w:bCs/>
          <w:color w:val="auto"/>
          <w:szCs w:val="21"/>
          <w:highlight w:val="none"/>
          <w:lang w:val="en-US" w:eastAsia="zh-CN"/>
        </w:rPr>
      </w:pPr>
      <w:r>
        <w:rPr>
          <w:rFonts w:hint="eastAsia" w:eastAsia="宋体" w:cs="Times New Roman"/>
          <w:bCs/>
          <w:color w:val="auto"/>
          <w:szCs w:val="21"/>
          <w:highlight w:val="none"/>
          <w:lang w:val="en-US" w:eastAsia="zh-CN"/>
        </w:rPr>
        <w:t>1、</w:t>
      </w:r>
      <w:r>
        <w:rPr>
          <w:rFonts w:hint="eastAsia" w:eastAsia="宋体" w:cs="Times New Roman"/>
          <w:bCs/>
          <w:color w:val="auto"/>
          <w:szCs w:val="21"/>
          <w:highlight w:val="none"/>
        </w:rPr>
        <w:t>项目</w:t>
      </w:r>
      <w:r>
        <w:rPr>
          <w:rFonts w:hint="eastAsia" w:ascii="宋体" w:hAnsi="宋体" w:eastAsia="宋体" w:cs="宋体"/>
          <w:color w:val="auto"/>
          <w:sz w:val="24"/>
          <w:szCs w:val="24"/>
          <w:highlight w:val="none"/>
        </w:rPr>
        <w:t>最高投标限价：¥</w:t>
      </w:r>
      <w:r>
        <w:rPr>
          <w:rFonts w:hint="eastAsia" w:ascii="宋体" w:hAnsi="宋体" w:eastAsia="宋体" w:cs="宋体"/>
          <w:color w:val="auto"/>
          <w:sz w:val="24"/>
          <w:szCs w:val="24"/>
          <w:highlight w:val="none"/>
          <w:u w:val="single"/>
          <w:lang w:val="en-US" w:eastAsia="zh-CN"/>
        </w:rPr>
        <w:t>3203534.97</w:t>
      </w:r>
      <w:r>
        <w:rPr>
          <w:rFonts w:hint="eastAsia" w:ascii="宋体" w:hAnsi="宋体" w:eastAsia="宋体" w:cs="宋体"/>
          <w:color w:val="auto"/>
          <w:sz w:val="24"/>
          <w:szCs w:val="24"/>
          <w:highlight w:val="none"/>
        </w:rPr>
        <w:t>元，其中：设计费最高投标限价¥</w:t>
      </w:r>
      <w:r>
        <w:rPr>
          <w:rFonts w:hint="eastAsia" w:ascii="宋体" w:hAnsi="宋体" w:eastAsia="宋体" w:cs="宋体"/>
          <w:color w:val="auto"/>
          <w:sz w:val="24"/>
          <w:szCs w:val="24"/>
          <w:highlight w:val="none"/>
          <w:u w:val="single"/>
          <w:lang w:val="en-US" w:eastAsia="zh-CN"/>
        </w:rPr>
        <w:t>73866.04</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建安工程费最高投标限价¥</w:t>
      </w:r>
      <w:r>
        <w:rPr>
          <w:rFonts w:hint="eastAsia" w:ascii="宋体" w:hAnsi="宋体" w:eastAsia="宋体" w:cs="宋体"/>
          <w:color w:val="auto"/>
          <w:sz w:val="24"/>
          <w:szCs w:val="24"/>
          <w:highlight w:val="none"/>
          <w:u w:val="single"/>
          <w:lang w:val="en-US" w:eastAsia="zh-CN"/>
        </w:rPr>
        <w:t>3129668.93</w:t>
      </w:r>
      <w:r>
        <w:rPr>
          <w:rFonts w:hint="eastAsia" w:ascii="宋体" w:hAnsi="宋体" w:eastAsia="宋体" w:cs="宋体"/>
          <w:color w:val="auto"/>
          <w:sz w:val="24"/>
          <w:szCs w:val="24"/>
          <w:highlight w:val="none"/>
        </w:rPr>
        <w:t>元（含安全文明施工措施费）</w:t>
      </w:r>
      <w:r>
        <w:rPr>
          <w:rFonts w:hint="eastAsia" w:eastAsia="宋体" w:cs="Times New Roman"/>
          <w:bCs/>
          <w:color w:val="auto"/>
          <w:szCs w:val="21"/>
          <w:highlight w:val="none"/>
        </w:rPr>
        <w:t>。投标总报价或设计费、施工费超过招标控制价的投标文件均作废标处理。</w:t>
      </w:r>
    </w:p>
    <w:p>
      <w:pPr>
        <w:autoSpaceDE w:val="0"/>
        <w:autoSpaceDN w:val="0"/>
        <w:adjustRightInd w:val="0"/>
        <w:spacing w:line="360" w:lineRule="auto"/>
        <w:ind w:left="-199" w:leftChars="-95" w:right="-405" w:rightChars="-193"/>
        <w:jc w:val="left"/>
        <w:rPr>
          <w:rFonts w:hint="eastAsia" w:eastAsia="宋体" w:cs="Times New Roman"/>
          <w:bCs/>
          <w:color w:val="auto"/>
          <w:szCs w:val="21"/>
          <w:highlight w:val="none"/>
        </w:rPr>
      </w:pPr>
      <w:r>
        <w:rPr>
          <w:rFonts w:hint="eastAsia" w:eastAsia="宋体" w:cs="Times New Roman"/>
          <w:bCs/>
          <w:color w:val="auto"/>
          <w:szCs w:val="21"/>
          <w:highlight w:val="none"/>
          <w:lang w:val="en-US" w:eastAsia="zh-CN"/>
        </w:rPr>
        <w:t>2、</w:t>
      </w:r>
      <w:r>
        <w:rPr>
          <w:rFonts w:hint="eastAsia" w:eastAsia="宋体" w:cs="Times New Roman"/>
          <w:bCs/>
          <w:color w:val="auto"/>
          <w:szCs w:val="21"/>
          <w:highlight w:val="none"/>
        </w:rPr>
        <w:t>投标总报价的大写金额和小写金额不一致的，以大写金额为准，投标报价精确到小数点后两位。</w:t>
      </w:r>
    </w:p>
    <w:p>
      <w:pPr>
        <w:autoSpaceDE w:val="0"/>
        <w:autoSpaceDN w:val="0"/>
        <w:adjustRightInd w:val="0"/>
        <w:spacing w:line="360" w:lineRule="auto"/>
        <w:jc w:val="center"/>
        <w:rPr>
          <w:rFonts w:ascii="黑体" w:hAnsi="黑体" w:eastAsia="黑体" w:cs="黑体"/>
          <w:b/>
          <w:color w:val="auto"/>
          <w:sz w:val="32"/>
          <w:szCs w:val="32"/>
          <w:highlight w:val="none"/>
        </w:rPr>
      </w:pPr>
      <w:r>
        <w:rPr>
          <w:rFonts w:hint="eastAsia" w:ascii="黑体" w:hAnsi="黑体" w:eastAsia="黑体" w:cs="黑体"/>
          <w:b/>
          <w:color w:val="auto"/>
          <w:szCs w:val="21"/>
          <w:highlight w:val="none"/>
        </w:rPr>
        <w:br w:type="page"/>
      </w:r>
      <w:r>
        <w:rPr>
          <w:rFonts w:hint="eastAsia" w:ascii="黑体" w:hAnsi="黑体" w:eastAsia="黑体" w:cs="黑体"/>
          <w:b/>
          <w:color w:val="auto"/>
          <w:sz w:val="32"/>
          <w:szCs w:val="32"/>
          <w:highlight w:val="none"/>
        </w:rPr>
        <w:t>参与编制投标报价文件人员名单</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9"/>
        <w:gridCol w:w="1311"/>
        <w:gridCol w:w="2320"/>
        <w:gridCol w:w="2449"/>
        <w:gridCol w:w="242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749" w:type="dxa"/>
            <w:vAlign w:val="center"/>
          </w:tcPr>
          <w:p>
            <w:pPr>
              <w:tabs>
                <w:tab w:val="left" w:pos="0"/>
                <w:tab w:val="left" w:pos="720"/>
              </w:tabs>
              <w:adjustRightInd w:val="0"/>
              <w:snapToGrid w:val="0"/>
              <w:spacing w:line="360" w:lineRule="auto"/>
              <w:jc w:val="center"/>
              <w:rPr>
                <w:color w:val="auto"/>
                <w:szCs w:val="21"/>
                <w:highlight w:val="none"/>
              </w:rPr>
            </w:pPr>
            <w:r>
              <w:rPr>
                <w:rFonts w:hint="eastAsia"/>
                <w:color w:val="auto"/>
                <w:szCs w:val="21"/>
                <w:highlight w:val="none"/>
              </w:rPr>
              <w:t>姓名</w:t>
            </w:r>
          </w:p>
        </w:tc>
        <w:tc>
          <w:tcPr>
            <w:tcW w:w="1311" w:type="dxa"/>
            <w:vAlign w:val="center"/>
          </w:tcPr>
          <w:p>
            <w:pPr>
              <w:tabs>
                <w:tab w:val="left" w:pos="0"/>
                <w:tab w:val="left" w:pos="720"/>
              </w:tabs>
              <w:adjustRightInd w:val="0"/>
              <w:snapToGrid w:val="0"/>
              <w:spacing w:line="360" w:lineRule="auto"/>
              <w:jc w:val="center"/>
              <w:rPr>
                <w:color w:val="auto"/>
                <w:szCs w:val="21"/>
                <w:highlight w:val="none"/>
              </w:rPr>
            </w:pPr>
            <w:r>
              <w:rPr>
                <w:rFonts w:hint="eastAsia"/>
                <w:color w:val="auto"/>
                <w:szCs w:val="21"/>
                <w:highlight w:val="none"/>
              </w:rPr>
              <w:t>职务</w:t>
            </w:r>
          </w:p>
        </w:tc>
        <w:tc>
          <w:tcPr>
            <w:tcW w:w="2320" w:type="dxa"/>
            <w:vAlign w:val="center"/>
          </w:tcPr>
          <w:p>
            <w:pPr>
              <w:tabs>
                <w:tab w:val="left" w:pos="0"/>
                <w:tab w:val="left" w:pos="720"/>
              </w:tabs>
              <w:adjustRightInd w:val="0"/>
              <w:snapToGrid w:val="0"/>
              <w:spacing w:line="360" w:lineRule="auto"/>
              <w:jc w:val="center"/>
              <w:rPr>
                <w:color w:val="auto"/>
                <w:szCs w:val="21"/>
                <w:highlight w:val="none"/>
              </w:rPr>
            </w:pPr>
            <w:r>
              <w:rPr>
                <w:rFonts w:hint="eastAsia"/>
                <w:color w:val="auto"/>
                <w:szCs w:val="21"/>
                <w:highlight w:val="none"/>
              </w:rPr>
              <w:t>所承担工作</w:t>
            </w:r>
          </w:p>
        </w:tc>
        <w:tc>
          <w:tcPr>
            <w:tcW w:w="2449" w:type="dxa"/>
            <w:vAlign w:val="center"/>
          </w:tcPr>
          <w:p>
            <w:pPr>
              <w:tabs>
                <w:tab w:val="left" w:pos="0"/>
                <w:tab w:val="left" w:pos="720"/>
              </w:tabs>
              <w:adjustRightInd w:val="0"/>
              <w:snapToGrid w:val="0"/>
              <w:spacing w:line="360" w:lineRule="auto"/>
              <w:jc w:val="center"/>
              <w:rPr>
                <w:color w:val="auto"/>
                <w:szCs w:val="21"/>
                <w:highlight w:val="none"/>
              </w:rPr>
            </w:pPr>
            <w:r>
              <w:rPr>
                <w:rFonts w:hint="eastAsia"/>
                <w:color w:val="auto"/>
                <w:szCs w:val="21"/>
                <w:highlight w:val="none"/>
              </w:rPr>
              <w:t>身份证号码</w:t>
            </w:r>
          </w:p>
        </w:tc>
        <w:tc>
          <w:tcPr>
            <w:tcW w:w="2425" w:type="dxa"/>
            <w:vAlign w:val="center"/>
          </w:tcPr>
          <w:p>
            <w:pPr>
              <w:tabs>
                <w:tab w:val="left" w:pos="0"/>
                <w:tab w:val="left" w:pos="720"/>
              </w:tabs>
              <w:adjustRightInd w:val="0"/>
              <w:snapToGrid w:val="0"/>
              <w:spacing w:line="360" w:lineRule="auto"/>
              <w:jc w:val="center"/>
              <w:rPr>
                <w:color w:val="auto"/>
                <w:szCs w:val="21"/>
                <w:highlight w:val="none"/>
              </w:rPr>
            </w:pPr>
            <w:r>
              <w:rPr>
                <w:rFonts w:hint="eastAsia"/>
                <w:color w:val="auto"/>
                <w:szCs w:val="21"/>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749" w:type="dxa"/>
            <w:vAlign w:val="center"/>
          </w:tcPr>
          <w:p>
            <w:pPr>
              <w:tabs>
                <w:tab w:val="left" w:pos="0"/>
                <w:tab w:val="left" w:pos="720"/>
              </w:tabs>
              <w:adjustRightInd w:val="0"/>
              <w:snapToGrid w:val="0"/>
              <w:spacing w:line="360" w:lineRule="auto"/>
              <w:jc w:val="center"/>
              <w:rPr>
                <w:color w:val="auto"/>
                <w:szCs w:val="21"/>
                <w:highlight w:val="none"/>
              </w:rPr>
            </w:pPr>
          </w:p>
        </w:tc>
        <w:tc>
          <w:tcPr>
            <w:tcW w:w="1311" w:type="dxa"/>
            <w:vAlign w:val="center"/>
          </w:tcPr>
          <w:p>
            <w:pPr>
              <w:tabs>
                <w:tab w:val="left" w:pos="0"/>
                <w:tab w:val="left" w:pos="720"/>
              </w:tabs>
              <w:adjustRightInd w:val="0"/>
              <w:snapToGrid w:val="0"/>
              <w:spacing w:line="360" w:lineRule="auto"/>
              <w:jc w:val="center"/>
              <w:rPr>
                <w:color w:val="auto"/>
                <w:szCs w:val="21"/>
                <w:highlight w:val="none"/>
              </w:rPr>
            </w:pPr>
          </w:p>
        </w:tc>
        <w:tc>
          <w:tcPr>
            <w:tcW w:w="2320" w:type="dxa"/>
            <w:vAlign w:val="center"/>
          </w:tcPr>
          <w:p>
            <w:pPr>
              <w:tabs>
                <w:tab w:val="left" w:pos="0"/>
                <w:tab w:val="left" w:pos="720"/>
              </w:tabs>
              <w:adjustRightInd w:val="0"/>
              <w:snapToGrid w:val="0"/>
              <w:spacing w:line="360" w:lineRule="auto"/>
              <w:jc w:val="center"/>
              <w:rPr>
                <w:color w:val="auto"/>
                <w:szCs w:val="21"/>
                <w:highlight w:val="none"/>
              </w:rPr>
            </w:pPr>
          </w:p>
        </w:tc>
        <w:tc>
          <w:tcPr>
            <w:tcW w:w="2449" w:type="dxa"/>
            <w:vAlign w:val="center"/>
          </w:tcPr>
          <w:p>
            <w:pPr>
              <w:tabs>
                <w:tab w:val="left" w:pos="0"/>
                <w:tab w:val="left" w:pos="720"/>
              </w:tabs>
              <w:adjustRightInd w:val="0"/>
              <w:snapToGrid w:val="0"/>
              <w:spacing w:line="360" w:lineRule="auto"/>
              <w:jc w:val="center"/>
              <w:rPr>
                <w:color w:val="auto"/>
                <w:szCs w:val="21"/>
                <w:highlight w:val="none"/>
              </w:rPr>
            </w:pPr>
          </w:p>
        </w:tc>
        <w:tc>
          <w:tcPr>
            <w:tcW w:w="2425" w:type="dxa"/>
            <w:vAlign w:val="center"/>
          </w:tcPr>
          <w:p>
            <w:pPr>
              <w:tabs>
                <w:tab w:val="left" w:pos="0"/>
                <w:tab w:val="left" w:pos="720"/>
              </w:tabs>
              <w:adjustRightInd w:val="0"/>
              <w:snapToGrid w:val="0"/>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color w:val="auto"/>
                <w:szCs w:val="21"/>
                <w:highlight w:val="none"/>
              </w:rPr>
            </w:pPr>
          </w:p>
        </w:tc>
        <w:tc>
          <w:tcPr>
            <w:tcW w:w="1311" w:type="dxa"/>
            <w:vAlign w:val="center"/>
          </w:tcPr>
          <w:p>
            <w:pPr>
              <w:tabs>
                <w:tab w:val="left" w:pos="0"/>
                <w:tab w:val="left" w:pos="720"/>
              </w:tabs>
              <w:adjustRightInd w:val="0"/>
              <w:snapToGrid w:val="0"/>
              <w:spacing w:line="360" w:lineRule="auto"/>
              <w:jc w:val="center"/>
              <w:rPr>
                <w:color w:val="auto"/>
                <w:szCs w:val="21"/>
                <w:highlight w:val="none"/>
              </w:rPr>
            </w:pPr>
          </w:p>
        </w:tc>
        <w:tc>
          <w:tcPr>
            <w:tcW w:w="2320" w:type="dxa"/>
            <w:vAlign w:val="center"/>
          </w:tcPr>
          <w:p>
            <w:pPr>
              <w:tabs>
                <w:tab w:val="left" w:pos="0"/>
                <w:tab w:val="left" w:pos="720"/>
              </w:tabs>
              <w:adjustRightInd w:val="0"/>
              <w:snapToGrid w:val="0"/>
              <w:spacing w:line="360" w:lineRule="auto"/>
              <w:jc w:val="center"/>
              <w:rPr>
                <w:color w:val="auto"/>
                <w:szCs w:val="21"/>
                <w:highlight w:val="none"/>
              </w:rPr>
            </w:pPr>
          </w:p>
        </w:tc>
        <w:tc>
          <w:tcPr>
            <w:tcW w:w="2449" w:type="dxa"/>
            <w:vAlign w:val="center"/>
          </w:tcPr>
          <w:p>
            <w:pPr>
              <w:tabs>
                <w:tab w:val="left" w:pos="0"/>
                <w:tab w:val="left" w:pos="720"/>
              </w:tabs>
              <w:adjustRightInd w:val="0"/>
              <w:snapToGrid w:val="0"/>
              <w:spacing w:line="360" w:lineRule="auto"/>
              <w:jc w:val="center"/>
              <w:rPr>
                <w:color w:val="auto"/>
                <w:szCs w:val="21"/>
                <w:highlight w:val="none"/>
              </w:rPr>
            </w:pPr>
          </w:p>
        </w:tc>
        <w:tc>
          <w:tcPr>
            <w:tcW w:w="2425" w:type="dxa"/>
            <w:vAlign w:val="center"/>
          </w:tcPr>
          <w:p>
            <w:pPr>
              <w:tabs>
                <w:tab w:val="left" w:pos="0"/>
                <w:tab w:val="left" w:pos="720"/>
              </w:tabs>
              <w:adjustRightInd w:val="0"/>
              <w:snapToGrid w:val="0"/>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color w:val="auto"/>
                <w:szCs w:val="21"/>
                <w:highlight w:val="none"/>
              </w:rPr>
            </w:pPr>
          </w:p>
        </w:tc>
        <w:tc>
          <w:tcPr>
            <w:tcW w:w="1311" w:type="dxa"/>
            <w:vAlign w:val="center"/>
          </w:tcPr>
          <w:p>
            <w:pPr>
              <w:tabs>
                <w:tab w:val="left" w:pos="0"/>
                <w:tab w:val="left" w:pos="720"/>
              </w:tabs>
              <w:adjustRightInd w:val="0"/>
              <w:snapToGrid w:val="0"/>
              <w:spacing w:line="360" w:lineRule="auto"/>
              <w:jc w:val="center"/>
              <w:rPr>
                <w:color w:val="auto"/>
                <w:szCs w:val="21"/>
                <w:highlight w:val="none"/>
              </w:rPr>
            </w:pPr>
          </w:p>
        </w:tc>
        <w:tc>
          <w:tcPr>
            <w:tcW w:w="2320" w:type="dxa"/>
            <w:vAlign w:val="center"/>
          </w:tcPr>
          <w:p>
            <w:pPr>
              <w:tabs>
                <w:tab w:val="left" w:pos="0"/>
                <w:tab w:val="left" w:pos="720"/>
              </w:tabs>
              <w:adjustRightInd w:val="0"/>
              <w:snapToGrid w:val="0"/>
              <w:spacing w:line="360" w:lineRule="auto"/>
              <w:jc w:val="center"/>
              <w:rPr>
                <w:color w:val="auto"/>
                <w:szCs w:val="21"/>
                <w:highlight w:val="none"/>
              </w:rPr>
            </w:pPr>
          </w:p>
        </w:tc>
        <w:tc>
          <w:tcPr>
            <w:tcW w:w="2449" w:type="dxa"/>
            <w:vAlign w:val="center"/>
          </w:tcPr>
          <w:p>
            <w:pPr>
              <w:tabs>
                <w:tab w:val="left" w:pos="0"/>
                <w:tab w:val="left" w:pos="720"/>
              </w:tabs>
              <w:adjustRightInd w:val="0"/>
              <w:snapToGrid w:val="0"/>
              <w:spacing w:line="360" w:lineRule="auto"/>
              <w:jc w:val="center"/>
              <w:rPr>
                <w:color w:val="auto"/>
                <w:szCs w:val="21"/>
                <w:highlight w:val="none"/>
              </w:rPr>
            </w:pPr>
          </w:p>
        </w:tc>
        <w:tc>
          <w:tcPr>
            <w:tcW w:w="2425" w:type="dxa"/>
            <w:vAlign w:val="center"/>
          </w:tcPr>
          <w:p>
            <w:pPr>
              <w:tabs>
                <w:tab w:val="left" w:pos="0"/>
                <w:tab w:val="left" w:pos="720"/>
              </w:tabs>
              <w:adjustRightInd w:val="0"/>
              <w:snapToGrid w:val="0"/>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color w:val="auto"/>
                <w:szCs w:val="21"/>
                <w:highlight w:val="none"/>
              </w:rPr>
            </w:pPr>
          </w:p>
        </w:tc>
        <w:tc>
          <w:tcPr>
            <w:tcW w:w="1311" w:type="dxa"/>
            <w:vAlign w:val="center"/>
          </w:tcPr>
          <w:p>
            <w:pPr>
              <w:tabs>
                <w:tab w:val="left" w:pos="0"/>
                <w:tab w:val="left" w:pos="720"/>
              </w:tabs>
              <w:adjustRightInd w:val="0"/>
              <w:snapToGrid w:val="0"/>
              <w:spacing w:line="360" w:lineRule="auto"/>
              <w:jc w:val="center"/>
              <w:rPr>
                <w:color w:val="auto"/>
                <w:szCs w:val="21"/>
                <w:highlight w:val="none"/>
              </w:rPr>
            </w:pPr>
          </w:p>
        </w:tc>
        <w:tc>
          <w:tcPr>
            <w:tcW w:w="2320" w:type="dxa"/>
            <w:vAlign w:val="center"/>
          </w:tcPr>
          <w:p>
            <w:pPr>
              <w:tabs>
                <w:tab w:val="left" w:pos="0"/>
                <w:tab w:val="left" w:pos="720"/>
              </w:tabs>
              <w:adjustRightInd w:val="0"/>
              <w:snapToGrid w:val="0"/>
              <w:spacing w:line="360" w:lineRule="auto"/>
              <w:jc w:val="center"/>
              <w:rPr>
                <w:color w:val="auto"/>
                <w:szCs w:val="21"/>
                <w:highlight w:val="none"/>
              </w:rPr>
            </w:pPr>
          </w:p>
        </w:tc>
        <w:tc>
          <w:tcPr>
            <w:tcW w:w="2449" w:type="dxa"/>
            <w:vAlign w:val="center"/>
          </w:tcPr>
          <w:p>
            <w:pPr>
              <w:tabs>
                <w:tab w:val="left" w:pos="0"/>
                <w:tab w:val="left" w:pos="720"/>
              </w:tabs>
              <w:adjustRightInd w:val="0"/>
              <w:snapToGrid w:val="0"/>
              <w:spacing w:line="360" w:lineRule="auto"/>
              <w:jc w:val="center"/>
              <w:rPr>
                <w:color w:val="auto"/>
                <w:szCs w:val="21"/>
                <w:highlight w:val="none"/>
              </w:rPr>
            </w:pPr>
          </w:p>
        </w:tc>
        <w:tc>
          <w:tcPr>
            <w:tcW w:w="2425" w:type="dxa"/>
            <w:vAlign w:val="center"/>
          </w:tcPr>
          <w:p>
            <w:pPr>
              <w:tabs>
                <w:tab w:val="left" w:pos="0"/>
                <w:tab w:val="left" w:pos="720"/>
              </w:tabs>
              <w:adjustRightInd w:val="0"/>
              <w:snapToGrid w:val="0"/>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color w:val="auto"/>
                <w:szCs w:val="21"/>
                <w:highlight w:val="none"/>
              </w:rPr>
            </w:pPr>
          </w:p>
        </w:tc>
        <w:tc>
          <w:tcPr>
            <w:tcW w:w="1311" w:type="dxa"/>
            <w:vAlign w:val="center"/>
          </w:tcPr>
          <w:p>
            <w:pPr>
              <w:tabs>
                <w:tab w:val="left" w:pos="0"/>
                <w:tab w:val="left" w:pos="720"/>
              </w:tabs>
              <w:adjustRightInd w:val="0"/>
              <w:snapToGrid w:val="0"/>
              <w:spacing w:line="360" w:lineRule="auto"/>
              <w:jc w:val="center"/>
              <w:rPr>
                <w:color w:val="auto"/>
                <w:szCs w:val="21"/>
                <w:highlight w:val="none"/>
              </w:rPr>
            </w:pPr>
          </w:p>
        </w:tc>
        <w:tc>
          <w:tcPr>
            <w:tcW w:w="2320" w:type="dxa"/>
            <w:vAlign w:val="center"/>
          </w:tcPr>
          <w:p>
            <w:pPr>
              <w:tabs>
                <w:tab w:val="left" w:pos="0"/>
                <w:tab w:val="left" w:pos="720"/>
              </w:tabs>
              <w:adjustRightInd w:val="0"/>
              <w:snapToGrid w:val="0"/>
              <w:spacing w:line="360" w:lineRule="auto"/>
              <w:jc w:val="center"/>
              <w:rPr>
                <w:color w:val="auto"/>
                <w:szCs w:val="21"/>
                <w:highlight w:val="none"/>
              </w:rPr>
            </w:pPr>
          </w:p>
        </w:tc>
        <w:tc>
          <w:tcPr>
            <w:tcW w:w="2449" w:type="dxa"/>
            <w:vAlign w:val="center"/>
          </w:tcPr>
          <w:p>
            <w:pPr>
              <w:tabs>
                <w:tab w:val="left" w:pos="0"/>
                <w:tab w:val="left" w:pos="720"/>
              </w:tabs>
              <w:adjustRightInd w:val="0"/>
              <w:snapToGrid w:val="0"/>
              <w:spacing w:line="360" w:lineRule="auto"/>
              <w:jc w:val="center"/>
              <w:rPr>
                <w:color w:val="auto"/>
                <w:szCs w:val="21"/>
                <w:highlight w:val="none"/>
              </w:rPr>
            </w:pPr>
          </w:p>
        </w:tc>
        <w:tc>
          <w:tcPr>
            <w:tcW w:w="2425" w:type="dxa"/>
            <w:vAlign w:val="center"/>
          </w:tcPr>
          <w:p>
            <w:pPr>
              <w:tabs>
                <w:tab w:val="left" w:pos="0"/>
                <w:tab w:val="left" w:pos="720"/>
              </w:tabs>
              <w:adjustRightInd w:val="0"/>
              <w:snapToGrid w:val="0"/>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color w:val="auto"/>
                <w:szCs w:val="21"/>
                <w:highlight w:val="none"/>
              </w:rPr>
            </w:pPr>
          </w:p>
        </w:tc>
        <w:tc>
          <w:tcPr>
            <w:tcW w:w="1311" w:type="dxa"/>
            <w:vAlign w:val="center"/>
          </w:tcPr>
          <w:p>
            <w:pPr>
              <w:tabs>
                <w:tab w:val="left" w:pos="0"/>
                <w:tab w:val="left" w:pos="720"/>
              </w:tabs>
              <w:adjustRightInd w:val="0"/>
              <w:snapToGrid w:val="0"/>
              <w:spacing w:line="360" w:lineRule="auto"/>
              <w:jc w:val="center"/>
              <w:rPr>
                <w:color w:val="auto"/>
                <w:szCs w:val="21"/>
                <w:highlight w:val="none"/>
              </w:rPr>
            </w:pPr>
          </w:p>
        </w:tc>
        <w:tc>
          <w:tcPr>
            <w:tcW w:w="2320" w:type="dxa"/>
            <w:vAlign w:val="center"/>
          </w:tcPr>
          <w:p>
            <w:pPr>
              <w:tabs>
                <w:tab w:val="left" w:pos="0"/>
                <w:tab w:val="left" w:pos="720"/>
              </w:tabs>
              <w:adjustRightInd w:val="0"/>
              <w:snapToGrid w:val="0"/>
              <w:spacing w:line="360" w:lineRule="auto"/>
              <w:jc w:val="center"/>
              <w:rPr>
                <w:color w:val="auto"/>
                <w:szCs w:val="21"/>
                <w:highlight w:val="none"/>
              </w:rPr>
            </w:pPr>
          </w:p>
        </w:tc>
        <w:tc>
          <w:tcPr>
            <w:tcW w:w="2449" w:type="dxa"/>
            <w:vAlign w:val="center"/>
          </w:tcPr>
          <w:p>
            <w:pPr>
              <w:tabs>
                <w:tab w:val="left" w:pos="0"/>
                <w:tab w:val="left" w:pos="720"/>
              </w:tabs>
              <w:adjustRightInd w:val="0"/>
              <w:snapToGrid w:val="0"/>
              <w:spacing w:line="360" w:lineRule="auto"/>
              <w:jc w:val="center"/>
              <w:rPr>
                <w:color w:val="auto"/>
                <w:szCs w:val="21"/>
                <w:highlight w:val="none"/>
              </w:rPr>
            </w:pPr>
          </w:p>
        </w:tc>
        <w:tc>
          <w:tcPr>
            <w:tcW w:w="2425" w:type="dxa"/>
            <w:vAlign w:val="center"/>
          </w:tcPr>
          <w:p>
            <w:pPr>
              <w:tabs>
                <w:tab w:val="left" w:pos="0"/>
                <w:tab w:val="left" w:pos="720"/>
              </w:tabs>
              <w:adjustRightInd w:val="0"/>
              <w:snapToGrid w:val="0"/>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color w:val="auto"/>
                <w:szCs w:val="21"/>
                <w:highlight w:val="none"/>
              </w:rPr>
            </w:pPr>
          </w:p>
        </w:tc>
        <w:tc>
          <w:tcPr>
            <w:tcW w:w="1311" w:type="dxa"/>
            <w:vAlign w:val="center"/>
          </w:tcPr>
          <w:p>
            <w:pPr>
              <w:tabs>
                <w:tab w:val="left" w:pos="0"/>
                <w:tab w:val="left" w:pos="720"/>
              </w:tabs>
              <w:adjustRightInd w:val="0"/>
              <w:snapToGrid w:val="0"/>
              <w:spacing w:line="360" w:lineRule="auto"/>
              <w:jc w:val="center"/>
              <w:rPr>
                <w:color w:val="auto"/>
                <w:szCs w:val="21"/>
                <w:highlight w:val="none"/>
              </w:rPr>
            </w:pPr>
          </w:p>
        </w:tc>
        <w:tc>
          <w:tcPr>
            <w:tcW w:w="2320" w:type="dxa"/>
            <w:vAlign w:val="center"/>
          </w:tcPr>
          <w:p>
            <w:pPr>
              <w:tabs>
                <w:tab w:val="left" w:pos="0"/>
                <w:tab w:val="left" w:pos="720"/>
              </w:tabs>
              <w:adjustRightInd w:val="0"/>
              <w:snapToGrid w:val="0"/>
              <w:spacing w:line="360" w:lineRule="auto"/>
              <w:jc w:val="center"/>
              <w:rPr>
                <w:color w:val="auto"/>
                <w:szCs w:val="21"/>
                <w:highlight w:val="none"/>
              </w:rPr>
            </w:pPr>
          </w:p>
        </w:tc>
        <w:tc>
          <w:tcPr>
            <w:tcW w:w="2449" w:type="dxa"/>
            <w:vAlign w:val="center"/>
          </w:tcPr>
          <w:p>
            <w:pPr>
              <w:tabs>
                <w:tab w:val="left" w:pos="0"/>
                <w:tab w:val="left" w:pos="720"/>
              </w:tabs>
              <w:adjustRightInd w:val="0"/>
              <w:snapToGrid w:val="0"/>
              <w:spacing w:line="360" w:lineRule="auto"/>
              <w:jc w:val="center"/>
              <w:rPr>
                <w:color w:val="auto"/>
                <w:szCs w:val="21"/>
                <w:highlight w:val="none"/>
              </w:rPr>
            </w:pPr>
          </w:p>
        </w:tc>
        <w:tc>
          <w:tcPr>
            <w:tcW w:w="2425" w:type="dxa"/>
            <w:vAlign w:val="center"/>
          </w:tcPr>
          <w:p>
            <w:pPr>
              <w:tabs>
                <w:tab w:val="left" w:pos="0"/>
                <w:tab w:val="left" w:pos="720"/>
              </w:tabs>
              <w:adjustRightInd w:val="0"/>
              <w:snapToGrid w:val="0"/>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color w:val="auto"/>
                <w:szCs w:val="21"/>
                <w:highlight w:val="none"/>
              </w:rPr>
            </w:pPr>
          </w:p>
        </w:tc>
        <w:tc>
          <w:tcPr>
            <w:tcW w:w="1311" w:type="dxa"/>
            <w:vAlign w:val="center"/>
          </w:tcPr>
          <w:p>
            <w:pPr>
              <w:tabs>
                <w:tab w:val="left" w:pos="0"/>
                <w:tab w:val="left" w:pos="720"/>
              </w:tabs>
              <w:adjustRightInd w:val="0"/>
              <w:snapToGrid w:val="0"/>
              <w:spacing w:line="360" w:lineRule="auto"/>
              <w:jc w:val="center"/>
              <w:rPr>
                <w:color w:val="auto"/>
                <w:szCs w:val="21"/>
                <w:highlight w:val="none"/>
              </w:rPr>
            </w:pPr>
          </w:p>
        </w:tc>
        <w:tc>
          <w:tcPr>
            <w:tcW w:w="2320" w:type="dxa"/>
            <w:vAlign w:val="center"/>
          </w:tcPr>
          <w:p>
            <w:pPr>
              <w:tabs>
                <w:tab w:val="left" w:pos="0"/>
                <w:tab w:val="left" w:pos="720"/>
              </w:tabs>
              <w:adjustRightInd w:val="0"/>
              <w:snapToGrid w:val="0"/>
              <w:spacing w:line="360" w:lineRule="auto"/>
              <w:jc w:val="center"/>
              <w:rPr>
                <w:color w:val="auto"/>
                <w:szCs w:val="21"/>
                <w:highlight w:val="none"/>
              </w:rPr>
            </w:pPr>
          </w:p>
        </w:tc>
        <w:tc>
          <w:tcPr>
            <w:tcW w:w="2449" w:type="dxa"/>
            <w:vAlign w:val="center"/>
          </w:tcPr>
          <w:p>
            <w:pPr>
              <w:tabs>
                <w:tab w:val="left" w:pos="0"/>
                <w:tab w:val="left" w:pos="720"/>
              </w:tabs>
              <w:adjustRightInd w:val="0"/>
              <w:snapToGrid w:val="0"/>
              <w:spacing w:line="360" w:lineRule="auto"/>
              <w:jc w:val="center"/>
              <w:rPr>
                <w:color w:val="auto"/>
                <w:szCs w:val="21"/>
                <w:highlight w:val="none"/>
              </w:rPr>
            </w:pPr>
          </w:p>
        </w:tc>
        <w:tc>
          <w:tcPr>
            <w:tcW w:w="2425" w:type="dxa"/>
            <w:vAlign w:val="center"/>
          </w:tcPr>
          <w:p>
            <w:pPr>
              <w:tabs>
                <w:tab w:val="left" w:pos="0"/>
                <w:tab w:val="left" w:pos="720"/>
              </w:tabs>
              <w:adjustRightInd w:val="0"/>
              <w:snapToGrid w:val="0"/>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color w:val="auto"/>
                <w:szCs w:val="21"/>
                <w:highlight w:val="none"/>
              </w:rPr>
            </w:pPr>
          </w:p>
        </w:tc>
        <w:tc>
          <w:tcPr>
            <w:tcW w:w="1311" w:type="dxa"/>
            <w:vAlign w:val="center"/>
          </w:tcPr>
          <w:p>
            <w:pPr>
              <w:tabs>
                <w:tab w:val="left" w:pos="0"/>
                <w:tab w:val="left" w:pos="720"/>
              </w:tabs>
              <w:adjustRightInd w:val="0"/>
              <w:snapToGrid w:val="0"/>
              <w:spacing w:line="360" w:lineRule="auto"/>
              <w:jc w:val="center"/>
              <w:rPr>
                <w:color w:val="auto"/>
                <w:szCs w:val="21"/>
                <w:highlight w:val="none"/>
              </w:rPr>
            </w:pPr>
          </w:p>
        </w:tc>
        <w:tc>
          <w:tcPr>
            <w:tcW w:w="2320" w:type="dxa"/>
            <w:vAlign w:val="center"/>
          </w:tcPr>
          <w:p>
            <w:pPr>
              <w:tabs>
                <w:tab w:val="left" w:pos="0"/>
                <w:tab w:val="left" w:pos="720"/>
              </w:tabs>
              <w:adjustRightInd w:val="0"/>
              <w:snapToGrid w:val="0"/>
              <w:spacing w:line="360" w:lineRule="auto"/>
              <w:jc w:val="center"/>
              <w:rPr>
                <w:color w:val="auto"/>
                <w:szCs w:val="21"/>
                <w:highlight w:val="none"/>
              </w:rPr>
            </w:pPr>
          </w:p>
        </w:tc>
        <w:tc>
          <w:tcPr>
            <w:tcW w:w="2449" w:type="dxa"/>
            <w:vAlign w:val="center"/>
          </w:tcPr>
          <w:p>
            <w:pPr>
              <w:tabs>
                <w:tab w:val="left" w:pos="0"/>
                <w:tab w:val="left" w:pos="720"/>
              </w:tabs>
              <w:adjustRightInd w:val="0"/>
              <w:snapToGrid w:val="0"/>
              <w:spacing w:line="360" w:lineRule="auto"/>
              <w:jc w:val="center"/>
              <w:rPr>
                <w:color w:val="auto"/>
                <w:szCs w:val="21"/>
                <w:highlight w:val="none"/>
              </w:rPr>
            </w:pPr>
          </w:p>
        </w:tc>
        <w:tc>
          <w:tcPr>
            <w:tcW w:w="2425" w:type="dxa"/>
            <w:vAlign w:val="center"/>
          </w:tcPr>
          <w:p>
            <w:pPr>
              <w:tabs>
                <w:tab w:val="left" w:pos="0"/>
                <w:tab w:val="left" w:pos="720"/>
              </w:tabs>
              <w:adjustRightInd w:val="0"/>
              <w:snapToGrid w:val="0"/>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color w:val="auto"/>
                <w:szCs w:val="21"/>
                <w:highlight w:val="none"/>
              </w:rPr>
            </w:pPr>
          </w:p>
        </w:tc>
        <w:tc>
          <w:tcPr>
            <w:tcW w:w="1311" w:type="dxa"/>
            <w:vAlign w:val="center"/>
          </w:tcPr>
          <w:p>
            <w:pPr>
              <w:tabs>
                <w:tab w:val="left" w:pos="0"/>
                <w:tab w:val="left" w:pos="720"/>
              </w:tabs>
              <w:adjustRightInd w:val="0"/>
              <w:snapToGrid w:val="0"/>
              <w:spacing w:line="360" w:lineRule="auto"/>
              <w:jc w:val="center"/>
              <w:rPr>
                <w:color w:val="auto"/>
                <w:szCs w:val="21"/>
                <w:highlight w:val="none"/>
              </w:rPr>
            </w:pPr>
          </w:p>
        </w:tc>
        <w:tc>
          <w:tcPr>
            <w:tcW w:w="2320" w:type="dxa"/>
            <w:vAlign w:val="center"/>
          </w:tcPr>
          <w:p>
            <w:pPr>
              <w:tabs>
                <w:tab w:val="left" w:pos="0"/>
                <w:tab w:val="left" w:pos="720"/>
              </w:tabs>
              <w:adjustRightInd w:val="0"/>
              <w:snapToGrid w:val="0"/>
              <w:spacing w:line="360" w:lineRule="auto"/>
              <w:jc w:val="center"/>
              <w:rPr>
                <w:color w:val="auto"/>
                <w:szCs w:val="21"/>
                <w:highlight w:val="none"/>
              </w:rPr>
            </w:pPr>
          </w:p>
        </w:tc>
        <w:tc>
          <w:tcPr>
            <w:tcW w:w="2449" w:type="dxa"/>
            <w:vAlign w:val="center"/>
          </w:tcPr>
          <w:p>
            <w:pPr>
              <w:tabs>
                <w:tab w:val="left" w:pos="0"/>
                <w:tab w:val="left" w:pos="720"/>
              </w:tabs>
              <w:adjustRightInd w:val="0"/>
              <w:snapToGrid w:val="0"/>
              <w:spacing w:line="360" w:lineRule="auto"/>
              <w:jc w:val="center"/>
              <w:rPr>
                <w:color w:val="auto"/>
                <w:szCs w:val="21"/>
                <w:highlight w:val="none"/>
              </w:rPr>
            </w:pPr>
          </w:p>
        </w:tc>
        <w:tc>
          <w:tcPr>
            <w:tcW w:w="2425" w:type="dxa"/>
            <w:vAlign w:val="center"/>
          </w:tcPr>
          <w:p>
            <w:pPr>
              <w:tabs>
                <w:tab w:val="left" w:pos="0"/>
                <w:tab w:val="left" w:pos="720"/>
              </w:tabs>
              <w:adjustRightInd w:val="0"/>
              <w:snapToGrid w:val="0"/>
              <w:spacing w:line="360" w:lineRule="auto"/>
              <w:jc w:val="center"/>
              <w:rPr>
                <w:color w:val="auto"/>
                <w:szCs w:val="21"/>
                <w:highlight w:val="none"/>
              </w:rPr>
            </w:pPr>
          </w:p>
        </w:tc>
      </w:tr>
    </w:tbl>
    <w:p>
      <w:pPr>
        <w:pStyle w:val="20"/>
        <w:spacing w:line="360" w:lineRule="auto"/>
        <w:jc w:val="left"/>
        <w:rPr>
          <w:rFonts w:hAnsi="宋体"/>
          <w:color w:val="auto"/>
          <w:sz w:val="21"/>
          <w:szCs w:val="21"/>
          <w:highlight w:val="none"/>
        </w:rPr>
      </w:pPr>
      <w:r>
        <w:rPr>
          <w:rFonts w:hint="eastAsia" w:hAnsi="宋体"/>
          <w:color w:val="auto"/>
          <w:sz w:val="21"/>
          <w:szCs w:val="21"/>
          <w:highlight w:val="none"/>
        </w:rPr>
        <w:t>注：参与编制投标报价人员名单应包括如编制文件资料、负责清样校对、负责打印及复印等人员在内的人员名单。</w:t>
      </w:r>
    </w:p>
    <w:p>
      <w:pPr>
        <w:pStyle w:val="20"/>
        <w:spacing w:line="360" w:lineRule="auto"/>
        <w:jc w:val="left"/>
        <w:rPr>
          <w:rFonts w:hAnsi="宋体"/>
          <w:color w:val="auto"/>
          <w:sz w:val="21"/>
          <w:szCs w:val="21"/>
          <w:highlight w:val="none"/>
        </w:rPr>
      </w:pPr>
    </w:p>
    <w:p>
      <w:pPr>
        <w:pStyle w:val="14"/>
        <w:rPr>
          <w:color w:val="auto"/>
          <w:highlight w:val="none"/>
        </w:rPr>
      </w:pPr>
    </w:p>
    <w:sectPr>
      <w:footerReference r:id="rId7" w:type="default"/>
      <w:pgSz w:w="11906" w:h="16838"/>
      <w:pgMar w:top="1247" w:right="1134" w:bottom="1247" w:left="1361"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华文细黑">
    <w:altName w:val="微软雅黑"/>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left" w:pos="6270"/>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4"/>
                            <w:rPr>
                              <w:rStyle w:val="41"/>
                            </w:rPr>
                          </w:pPr>
                          <w:r>
                            <w:fldChar w:fldCharType="begin"/>
                          </w:r>
                          <w:r>
                            <w:rPr>
                              <w:rStyle w:val="41"/>
                            </w:rPr>
                            <w:instrText xml:space="preserve">PAGE  </w:instrText>
                          </w:r>
                          <w:r>
                            <w:fldChar w:fldCharType="separate"/>
                          </w:r>
                          <w:r>
                            <w:rPr>
                              <w:rStyle w:val="41"/>
                            </w:rPr>
                            <w:t>I</w:t>
                          </w:r>
                          <w:r>
                            <w:fldChar w:fldCharType="end"/>
                          </w:r>
                        </w:p>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aD3B8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RoMs8JYbbY6SR8qSpwwhLDJNDT5i5TuuWduRPP1c9/m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ZoPcHzwEAAKoDAAAOAAAAAAAAAAEAIAAAAB4BAABkcnMv&#10;ZTJvRG9jLnhtbFBLBQYAAAAABgAGAFkBAABfBQAAAAA=&#10;">
              <v:fill on="f" focussize="0,0"/>
              <v:stroke on="f"/>
              <v:imagedata o:title=""/>
              <o:lock v:ext="edit" aspectratio="f"/>
              <v:textbox inset="0mm,0mm,0mm,0mm" style="mso-fit-shape-to-text:t;">
                <w:txbxContent>
                  <w:p>
                    <w:pPr>
                      <w:pStyle w:val="24"/>
                      <w:rPr>
                        <w:rStyle w:val="41"/>
                      </w:rPr>
                    </w:pPr>
                    <w:r>
                      <w:fldChar w:fldCharType="begin"/>
                    </w:r>
                    <w:r>
                      <w:rPr>
                        <w:rStyle w:val="41"/>
                      </w:rPr>
                      <w:instrText xml:space="preserve">PAGE  </w:instrText>
                    </w:r>
                    <w:r>
                      <w:fldChar w:fldCharType="separate"/>
                    </w:r>
                    <w:r>
                      <w:rPr>
                        <w:rStyle w:val="41"/>
                      </w:rPr>
                      <w:t>I</w:t>
                    </w:r>
                    <w:r>
                      <w:fldChar w:fldCharType="end"/>
                    </w:r>
                  </w:p>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left" w:pos="6270"/>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4"/>
                            <w:rPr>
                              <w:rStyle w:val="41"/>
                            </w:rPr>
                          </w:pPr>
                          <w:r>
                            <w:fldChar w:fldCharType="begin"/>
                          </w:r>
                          <w:r>
                            <w:rPr>
                              <w:rStyle w:val="41"/>
                            </w:rPr>
                            <w:instrText xml:space="preserve">PAGE  </w:instrText>
                          </w:r>
                          <w:r>
                            <w:fldChar w:fldCharType="separate"/>
                          </w:r>
                          <w:r>
                            <w:rPr>
                              <w:rStyle w:val="41"/>
                            </w:rPr>
                            <w:t>29</w:t>
                          </w:r>
                          <w:r>
                            <w:fldChar w:fldCharType="end"/>
                          </w:r>
                        </w:p>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09mDazwEAAKoDAAAOAAAAAAAAAAEAIAAAAB4BAABkcnMv&#10;ZTJvRG9jLnhtbFBLBQYAAAAABgAGAFkBAABfBQAAAAA=&#10;">
              <v:fill on="f" focussize="0,0"/>
              <v:stroke on="f"/>
              <v:imagedata o:title=""/>
              <o:lock v:ext="edit" aspectratio="f"/>
              <v:textbox inset="0mm,0mm,0mm,0mm" style="mso-fit-shape-to-text:t;">
                <w:txbxContent>
                  <w:p>
                    <w:pPr>
                      <w:pStyle w:val="24"/>
                      <w:rPr>
                        <w:rStyle w:val="41"/>
                      </w:rPr>
                    </w:pPr>
                    <w:r>
                      <w:fldChar w:fldCharType="begin"/>
                    </w:r>
                    <w:r>
                      <w:rPr>
                        <w:rStyle w:val="41"/>
                      </w:rPr>
                      <w:instrText xml:space="preserve">PAGE  </w:instrText>
                    </w:r>
                    <w:r>
                      <w:fldChar w:fldCharType="separate"/>
                    </w:r>
                    <w:r>
                      <w:rPr>
                        <w:rStyle w:val="41"/>
                      </w:rPr>
                      <w:t>29</w:t>
                    </w:r>
                    <w:r>
                      <w:fldChar w:fldCharType="end"/>
                    </w:r>
                  </w:p>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4"/>
                            <w:jc w:val="center"/>
                          </w:pPr>
                          <w:r>
                            <w:fldChar w:fldCharType="begin"/>
                          </w:r>
                          <w:r>
                            <w:instrText xml:space="preserve">PAGE   \* MERGEFORMAT</w:instrText>
                          </w:r>
                          <w:r>
                            <w:fldChar w:fldCharType="separate"/>
                          </w:r>
                          <w:r>
                            <w:rPr>
                              <w:lang w:val="zh-CN"/>
                            </w:rPr>
                            <w:t>51</w:t>
                          </w:r>
                          <w:r>
                            <w:rPr>
                              <w:lang w:val="zh-CN"/>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QxsInzwEAAKoDAAAOAAAAAAAAAAEAIAAAAB4BAABkcnMv&#10;ZTJvRG9jLnhtbFBLBQYAAAAABgAGAFkBAABfBQAAAAA=&#10;">
              <v:fill on="f" focussize="0,0"/>
              <v:stroke on="f"/>
              <v:imagedata o:title=""/>
              <o:lock v:ext="edit" aspectratio="f"/>
              <v:textbox inset="0mm,0mm,0mm,0mm" style="mso-fit-shape-to-text:t;">
                <w:txbxContent>
                  <w:p>
                    <w:pPr>
                      <w:pStyle w:val="24"/>
                      <w:jc w:val="center"/>
                    </w:pPr>
                    <w:r>
                      <w:fldChar w:fldCharType="begin"/>
                    </w:r>
                    <w:r>
                      <w:instrText xml:space="preserve">PAGE   \* MERGEFORMAT</w:instrText>
                    </w:r>
                    <w:r>
                      <w:fldChar w:fldCharType="separate"/>
                    </w:r>
                    <w:r>
                      <w:rPr>
                        <w:lang w:val="zh-CN"/>
                      </w:rPr>
                      <w:t>51</w:t>
                    </w:r>
                    <w:r>
                      <w:rPr>
                        <w:lang w:val="zh-CN"/>
                      </w:rPr>
                      <w:fldChar w:fldCharType="end"/>
                    </w:r>
                  </w:p>
                </w:txbxContent>
              </v:textbox>
            </v:shape>
          </w:pict>
        </mc:Fallback>
      </mc:AlternateContent>
    </w:r>
  </w:p>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5F5374"/>
    <w:multiLevelType w:val="singleLevel"/>
    <w:tmpl w:val="BC5F5374"/>
    <w:lvl w:ilvl="0" w:tentative="0">
      <w:start w:val="1"/>
      <w:numFmt w:val="decimal"/>
      <w:suff w:val="nothing"/>
      <w:lvlText w:val="%1）"/>
      <w:lvlJc w:val="left"/>
      <w:pPr>
        <w:ind w:left="50"/>
      </w:pPr>
    </w:lvl>
  </w:abstractNum>
  <w:abstractNum w:abstractNumId="1">
    <w:nsid w:val="CB8718C6"/>
    <w:multiLevelType w:val="singleLevel"/>
    <w:tmpl w:val="CB8718C6"/>
    <w:lvl w:ilvl="0" w:tentative="0">
      <w:start w:val="3"/>
      <w:numFmt w:val="decimal"/>
      <w:suff w:val="nothing"/>
      <w:lvlText w:val="%1、"/>
      <w:lvlJc w:val="left"/>
    </w:lvl>
  </w:abstractNum>
  <w:abstractNum w:abstractNumId="2">
    <w:nsid w:val="EC11FC5A"/>
    <w:multiLevelType w:val="singleLevel"/>
    <w:tmpl w:val="EC11FC5A"/>
    <w:lvl w:ilvl="0" w:tentative="0">
      <w:start w:val="5"/>
      <w:numFmt w:val="chineseCounting"/>
      <w:suff w:val="space"/>
      <w:lvlText w:val="第%1章"/>
      <w:lvlJc w:val="left"/>
      <w:rPr>
        <w:rFonts w:hint="eastAsia"/>
      </w:rPr>
    </w:lvl>
  </w:abstractNum>
  <w:abstractNum w:abstractNumId="3">
    <w:nsid w:val="00000004"/>
    <w:multiLevelType w:val="singleLevel"/>
    <w:tmpl w:val="00000004"/>
    <w:lvl w:ilvl="0" w:tentative="0">
      <w:start w:val="1"/>
      <w:numFmt w:val="chineseCounting"/>
      <w:suff w:val="nothing"/>
      <w:lvlText w:val="%1、"/>
      <w:lvlJc w:val="left"/>
      <w:rPr>
        <w:rFonts w:hint="eastAsia"/>
      </w:rPr>
    </w:lvl>
  </w:abstractNum>
  <w:abstractNum w:abstractNumId="4">
    <w:nsid w:val="2E1027E6"/>
    <w:multiLevelType w:val="singleLevel"/>
    <w:tmpl w:val="2E1027E6"/>
    <w:lvl w:ilvl="0" w:tentative="0">
      <w:start w:val="1"/>
      <w:numFmt w:val="decimal"/>
      <w:suff w:val="nothing"/>
      <w:lvlText w:val="%1）"/>
      <w:lvlJc w:val="left"/>
      <w:pPr>
        <w:ind w:left="5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removePersonalInformation/>
  <w:doNotDisplayPageBoundaries w:val="1"/>
  <w:bordersDoNotSurroundHeader w:val="1"/>
  <w:bordersDoNotSurroundFooter w:val="1"/>
  <w:documentProtection w:enforcement="0"/>
  <w:defaultTabStop w:val="420"/>
  <w:drawingGridHorizontalSpacing w:val="210"/>
  <w:drawingGridVerticalSpacing w:val="-7946"/>
  <w:noPunctuationKerning w:val="1"/>
  <w:characterSpacingControl w:val="compressPunctuation"/>
  <w:doNotValidateAgainstSchema/>
  <w:doNotDemarcateInvalidXml/>
  <w:hdrShapeDefaults>
    <o:shapelayout v:ext="edit">
      <o:idmap v:ext="edit" data="3,4"/>
    </o:shapelayout>
  </w:hdrShapeDefaults>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230"/>
    <w:rsid w:val="00007188"/>
    <w:rsid w:val="000113DF"/>
    <w:rsid w:val="000117B8"/>
    <w:rsid w:val="00012AC2"/>
    <w:rsid w:val="00015068"/>
    <w:rsid w:val="00023E15"/>
    <w:rsid w:val="0002575D"/>
    <w:rsid w:val="0002681D"/>
    <w:rsid w:val="00027581"/>
    <w:rsid w:val="00031634"/>
    <w:rsid w:val="000417B5"/>
    <w:rsid w:val="00042361"/>
    <w:rsid w:val="0004358C"/>
    <w:rsid w:val="000452D4"/>
    <w:rsid w:val="000468D8"/>
    <w:rsid w:val="00046EC8"/>
    <w:rsid w:val="00051D5E"/>
    <w:rsid w:val="0005348B"/>
    <w:rsid w:val="00057EF8"/>
    <w:rsid w:val="0006240A"/>
    <w:rsid w:val="000630D0"/>
    <w:rsid w:val="00065BBB"/>
    <w:rsid w:val="00067B9C"/>
    <w:rsid w:val="00070695"/>
    <w:rsid w:val="00071CA8"/>
    <w:rsid w:val="00075215"/>
    <w:rsid w:val="00076AA7"/>
    <w:rsid w:val="00081EDE"/>
    <w:rsid w:val="0008300A"/>
    <w:rsid w:val="00084F7C"/>
    <w:rsid w:val="000962E6"/>
    <w:rsid w:val="00096B88"/>
    <w:rsid w:val="000A0965"/>
    <w:rsid w:val="000A0A2B"/>
    <w:rsid w:val="000A598F"/>
    <w:rsid w:val="000B1384"/>
    <w:rsid w:val="000B64EC"/>
    <w:rsid w:val="000C05B3"/>
    <w:rsid w:val="000C0C24"/>
    <w:rsid w:val="000C4A6B"/>
    <w:rsid w:val="000D3682"/>
    <w:rsid w:val="000D4775"/>
    <w:rsid w:val="000D5442"/>
    <w:rsid w:val="000D62FF"/>
    <w:rsid w:val="000E0895"/>
    <w:rsid w:val="000E29C0"/>
    <w:rsid w:val="000E2D7E"/>
    <w:rsid w:val="000E481A"/>
    <w:rsid w:val="000E6C51"/>
    <w:rsid w:val="000E782D"/>
    <w:rsid w:val="000F0A0A"/>
    <w:rsid w:val="000F0E34"/>
    <w:rsid w:val="000F2299"/>
    <w:rsid w:val="000F296A"/>
    <w:rsid w:val="000F339D"/>
    <w:rsid w:val="000F3E9A"/>
    <w:rsid w:val="000F5B26"/>
    <w:rsid w:val="000F7192"/>
    <w:rsid w:val="00102E96"/>
    <w:rsid w:val="00103F59"/>
    <w:rsid w:val="00106A1C"/>
    <w:rsid w:val="00107450"/>
    <w:rsid w:val="001077F6"/>
    <w:rsid w:val="001116F9"/>
    <w:rsid w:val="00115F66"/>
    <w:rsid w:val="0012198A"/>
    <w:rsid w:val="00122C81"/>
    <w:rsid w:val="00123751"/>
    <w:rsid w:val="00125A68"/>
    <w:rsid w:val="00127F71"/>
    <w:rsid w:val="001306DD"/>
    <w:rsid w:val="001318DB"/>
    <w:rsid w:val="001319FB"/>
    <w:rsid w:val="00132349"/>
    <w:rsid w:val="00132926"/>
    <w:rsid w:val="00133784"/>
    <w:rsid w:val="001366F6"/>
    <w:rsid w:val="00137F8B"/>
    <w:rsid w:val="00140E29"/>
    <w:rsid w:val="00140F9F"/>
    <w:rsid w:val="001458C2"/>
    <w:rsid w:val="0015134D"/>
    <w:rsid w:val="00152107"/>
    <w:rsid w:val="001611C6"/>
    <w:rsid w:val="0016177A"/>
    <w:rsid w:val="001617FA"/>
    <w:rsid w:val="00165FAD"/>
    <w:rsid w:val="00172A27"/>
    <w:rsid w:val="00174E7B"/>
    <w:rsid w:val="00180812"/>
    <w:rsid w:val="001829A7"/>
    <w:rsid w:val="001909E2"/>
    <w:rsid w:val="001913E5"/>
    <w:rsid w:val="0019337B"/>
    <w:rsid w:val="00195EB4"/>
    <w:rsid w:val="001963AA"/>
    <w:rsid w:val="00196C50"/>
    <w:rsid w:val="001A17E0"/>
    <w:rsid w:val="001A2E3B"/>
    <w:rsid w:val="001A4C34"/>
    <w:rsid w:val="001A6A2B"/>
    <w:rsid w:val="001B1192"/>
    <w:rsid w:val="001B1764"/>
    <w:rsid w:val="001B2C9E"/>
    <w:rsid w:val="001B6A2F"/>
    <w:rsid w:val="001C23C6"/>
    <w:rsid w:val="001C7E56"/>
    <w:rsid w:val="001D5EF9"/>
    <w:rsid w:val="001D6A79"/>
    <w:rsid w:val="001E1B1A"/>
    <w:rsid w:val="001E4701"/>
    <w:rsid w:val="001E646A"/>
    <w:rsid w:val="001E7266"/>
    <w:rsid w:val="001F6658"/>
    <w:rsid w:val="00212460"/>
    <w:rsid w:val="00213A1D"/>
    <w:rsid w:val="002179E9"/>
    <w:rsid w:val="0022061E"/>
    <w:rsid w:val="00220BF2"/>
    <w:rsid w:val="00226D25"/>
    <w:rsid w:val="00226D67"/>
    <w:rsid w:val="00227956"/>
    <w:rsid w:val="002339E9"/>
    <w:rsid w:val="00233C38"/>
    <w:rsid w:val="00234435"/>
    <w:rsid w:val="00237140"/>
    <w:rsid w:val="00240F35"/>
    <w:rsid w:val="00242449"/>
    <w:rsid w:val="00242D77"/>
    <w:rsid w:val="00245470"/>
    <w:rsid w:val="00246C87"/>
    <w:rsid w:val="00247D97"/>
    <w:rsid w:val="00252161"/>
    <w:rsid w:val="00252E9D"/>
    <w:rsid w:val="00257989"/>
    <w:rsid w:val="00263DCA"/>
    <w:rsid w:val="00264259"/>
    <w:rsid w:val="00265988"/>
    <w:rsid w:val="00273152"/>
    <w:rsid w:val="0027506B"/>
    <w:rsid w:val="00280853"/>
    <w:rsid w:val="00282687"/>
    <w:rsid w:val="00283153"/>
    <w:rsid w:val="0028390B"/>
    <w:rsid w:val="002854BF"/>
    <w:rsid w:val="0028793A"/>
    <w:rsid w:val="002A083E"/>
    <w:rsid w:val="002A2D1E"/>
    <w:rsid w:val="002A4A00"/>
    <w:rsid w:val="002A72E8"/>
    <w:rsid w:val="002B1995"/>
    <w:rsid w:val="002B2253"/>
    <w:rsid w:val="002B3F10"/>
    <w:rsid w:val="002B6D7A"/>
    <w:rsid w:val="002C67FA"/>
    <w:rsid w:val="002D3AFB"/>
    <w:rsid w:val="002D3B4A"/>
    <w:rsid w:val="002E0CB9"/>
    <w:rsid w:val="002E4EA0"/>
    <w:rsid w:val="002E5C78"/>
    <w:rsid w:val="002E7D9E"/>
    <w:rsid w:val="002F0FF2"/>
    <w:rsid w:val="002F2775"/>
    <w:rsid w:val="002F38DB"/>
    <w:rsid w:val="00300677"/>
    <w:rsid w:val="00300F4A"/>
    <w:rsid w:val="00305E76"/>
    <w:rsid w:val="003060B9"/>
    <w:rsid w:val="003109D1"/>
    <w:rsid w:val="00310BE5"/>
    <w:rsid w:val="003131B0"/>
    <w:rsid w:val="00316641"/>
    <w:rsid w:val="00327297"/>
    <w:rsid w:val="003310DB"/>
    <w:rsid w:val="00331328"/>
    <w:rsid w:val="0033193F"/>
    <w:rsid w:val="00331B60"/>
    <w:rsid w:val="003343C3"/>
    <w:rsid w:val="0033631D"/>
    <w:rsid w:val="00337C47"/>
    <w:rsid w:val="00340F11"/>
    <w:rsid w:val="00341413"/>
    <w:rsid w:val="0034235F"/>
    <w:rsid w:val="00343096"/>
    <w:rsid w:val="00343E4D"/>
    <w:rsid w:val="00344A1D"/>
    <w:rsid w:val="0035270C"/>
    <w:rsid w:val="00352D41"/>
    <w:rsid w:val="00354253"/>
    <w:rsid w:val="00355029"/>
    <w:rsid w:val="003550AB"/>
    <w:rsid w:val="00357E24"/>
    <w:rsid w:val="00360675"/>
    <w:rsid w:val="00363049"/>
    <w:rsid w:val="00363B59"/>
    <w:rsid w:val="00366FC9"/>
    <w:rsid w:val="00372266"/>
    <w:rsid w:val="0037227B"/>
    <w:rsid w:val="00375F64"/>
    <w:rsid w:val="00381A89"/>
    <w:rsid w:val="0038478C"/>
    <w:rsid w:val="00390457"/>
    <w:rsid w:val="00391AC9"/>
    <w:rsid w:val="00392815"/>
    <w:rsid w:val="003961A6"/>
    <w:rsid w:val="003A2B32"/>
    <w:rsid w:val="003A6AEF"/>
    <w:rsid w:val="003B180D"/>
    <w:rsid w:val="003B1EA1"/>
    <w:rsid w:val="003B4876"/>
    <w:rsid w:val="003C0159"/>
    <w:rsid w:val="003C2C42"/>
    <w:rsid w:val="003C382C"/>
    <w:rsid w:val="003C51C7"/>
    <w:rsid w:val="003D2DC9"/>
    <w:rsid w:val="003D3C44"/>
    <w:rsid w:val="003D4E4E"/>
    <w:rsid w:val="003D6897"/>
    <w:rsid w:val="003D7678"/>
    <w:rsid w:val="003E25D3"/>
    <w:rsid w:val="003E33EC"/>
    <w:rsid w:val="003E3687"/>
    <w:rsid w:val="003E3B8A"/>
    <w:rsid w:val="003E7EDA"/>
    <w:rsid w:val="003F2299"/>
    <w:rsid w:val="003F34B9"/>
    <w:rsid w:val="003F38DA"/>
    <w:rsid w:val="003F4F1C"/>
    <w:rsid w:val="00401E95"/>
    <w:rsid w:val="0040727B"/>
    <w:rsid w:val="00407EA8"/>
    <w:rsid w:val="004105F1"/>
    <w:rsid w:val="00410628"/>
    <w:rsid w:val="00415D40"/>
    <w:rsid w:val="00416F68"/>
    <w:rsid w:val="00417E61"/>
    <w:rsid w:val="004209B6"/>
    <w:rsid w:val="00424088"/>
    <w:rsid w:val="00427828"/>
    <w:rsid w:val="00431FFF"/>
    <w:rsid w:val="00436281"/>
    <w:rsid w:val="00437774"/>
    <w:rsid w:val="00443072"/>
    <w:rsid w:val="00447656"/>
    <w:rsid w:val="0045122F"/>
    <w:rsid w:val="00454684"/>
    <w:rsid w:val="004555E3"/>
    <w:rsid w:val="00457AB6"/>
    <w:rsid w:val="00460BC8"/>
    <w:rsid w:val="00467902"/>
    <w:rsid w:val="00467949"/>
    <w:rsid w:val="00470CA4"/>
    <w:rsid w:val="004759D1"/>
    <w:rsid w:val="00476DF0"/>
    <w:rsid w:val="00476FB2"/>
    <w:rsid w:val="004804C0"/>
    <w:rsid w:val="00481CA5"/>
    <w:rsid w:val="00482866"/>
    <w:rsid w:val="00484002"/>
    <w:rsid w:val="00484EB2"/>
    <w:rsid w:val="004905C3"/>
    <w:rsid w:val="0049208D"/>
    <w:rsid w:val="0049701D"/>
    <w:rsid w:val="004A0D63"/>
    <w:rsid w:val="004A6ADB"/>
    <w:rsid w:val="004B0BA1"/>
    <w:rsid w:val="004B1DC2"/>
    <w:rsid w:val="004B3889"/>
    <w:rsid w:val="004B6875"/>
    <w:rsid w:val="004B72C2"/>
    <w:rsid w:val="004B7395"/>
    <w:rsid w:val="004B7B5A"/>
    <w:rsid w:val="004C25EB"/>
    <w:rsid w:val="004C2C30"/>
    <w:rsid w:val="004C3176"/>
    <w:rsid w:val="004C4B98"/>
    <w:rsid w:val="004D249D"/>
    <w:rsid w:val="004D3406"/>
    <w:rsid w:val="004D475F"/>
    <w:rsid w:val="004D692C"/>
    <w:rsid w:val="004D7BBA"/>
    <w:rsid w:val="004E34EA"/>
    <w:rsid w:val="004E59CF"/>
    <w:rsid w:val="004F7FEA"/>
    <w:rsid w:val="00502EDB"/>
    <w:rsid w:val="005057F6"/>
    <w:rsid w:val="00511238"/>
    <w:rsid w:val="00511BF2"/>
    <w:rsid w:val="00512AE7"/>
    <w:rsid w:val="005246AF"/>
    <w:rsid w:val="00524A7A"/>
    <w:rsid w:val="00525070"/>
    <w:rsid w:val="005256C4"/>
    <w:rsid w:val="00527108"/>
    <w:rsid w:val="005351BD"/>
    <w:rsid w:val="0053559E"/>
    <w:rsid w:val="0053595F"/>
    <w:rsid w:val="005414CA"/>
    <w:rsid w:val="0054505B"/>
    <w:rsid w:val="00551E54"/>
    <w:rsid w:val="005520FF"/>
    <w:rsid w:val="00557D6C"/>
    <w:rsid w:val="00560714"/>
    <w:rsid w:val="00561674"/>
    <w:rsid w:val="00565A62"/>
    <w:rsid w:val="0056651E"/>
    <w:rsid w:val="005670C4"/>
    <w:rsid w:val="00567F96"/>
    <w:rsid w:val="0057228C"/>
    <w:rsid w:val="00572D98"/>
    <w:rsid w:val="00575618"/>
    <w:rsid w:val="00577799"/>
    <w:rsid w:val="005811BF"/>
    <w:rsid w:val="0058247A"/>
    <w:rsid w:val="00583B3F"/>
    <w:rsid w:val="005840C0"/>
    <w:rsid w:val="00584D50"/>
    <w:rsid w:val="00584F55"/>
    <w:rsid w:val="00585D52"/>
    <w:rsid w:val="00585FBB"/>
    <w:rsid w:val="00591C86"/>
    <w:rsid w:val="00591F57"/>
    <w:rsid w:val="00594035"/>
    <w:rsid w:val="005A2D60"/>
    <w:rsid w:val="005A34A9"/>
    <w:rsid w:val="005A3D4A"/>
    <w:rsid w:val="005A75B2"/>
    <w:rsid w:val="005B00D5"/>
    <w:rsid w:val="005B27F9"/>
    <w:rsid w:val="005C04E9"/>
    <w:rsid w:val="005C0574"/>
    <w:rsid w:val="005C0F2A"/>
    <w:rsid w:val="005C2242"/>
    <w:rsid w:val="005C224C"/>
    <w:rsid w:val="005C64ED"/>
    <w:rsid w:val="005C7694"/>
    <w:rsid w:val="005C793A"/>
    <w:rsid w:val="005D0DC7"/>
    <w:rsid w:val="005D2195"/>
    <w:rsid w:val="005D2353"/>
    <w:rsid w:val="005D2376"/>
    <w:rsid w:val="005D304B"/>
    <w:rsid w:val="005D3F84"/>
    <w:rsid w:val="005D50E5"/>
    <w:rsid w:val="005D7063"/>
    <w:rsid w:val="005E0F52"/>
    <w:rsid w:val="005E1503"/>
    <w:rsid w:val="005E46F7"/>
    <w:rsid w:val="005E4D7A"/>
    <w:rsid w:val="005E5BC6"/>
    <w:rsid w:val="005E690F"/>
    <w:rsid w:val="005F035D"/>
    <w:rsid w:val="005F07A7"/>
    <w:rsid w:val="005F15BB"/>
    <w:rsid w:val="005F2383"/>
    <w:rsid w:val="005F5EAB"/>
    <w:rsid w:val="0060108E"/>
    <w:rsid w:val="006030C6"/>
    <w:rsid w:val="00604A39"/>
    <w:rsid w:val="00605AB4"/>
    <w:rsid w:val="006117C5"/>
    <w:rsid w:val="0061377D"/>
    <w:rsid w:val="006145E8"/>
    <w:rsid w:val="00615A5D"/>
    <w:rsid w:val="00615C56"/>
    <w:rsid w:val="006161D9"/>
    <w:rsid w:val="0062026D"/>
    <w:rsid w:val="00620DE6"/>
    <w:rsid w:val="00622770"/>
    <w:rsid w:val="006229B7"/>
    <w:rsid w:val="0062392B"/>
    <w:rsid w:val="00625CAF"/>
    <w:rsid w:val="00630B8A"/>
    <w:rsid w:val="00637342"/>
    <w:rsid w:val="00637968"/>
    <w:rsid w:val="0064148A"/>
    <w:rsid w:val="006421AB"/>
    <w:rsid w:val="00642FB0"/>
    <w:rsid w:val="006512D7"/>
    <w:rsid w:val="006529D7"/>
    <w:rsid w:val="00652C22"/>
    <w:rsid w:val="006534FE"/>
    <w:rsid w:val="00655B4F"/>
    <w:rsid w:val="006565E6"/>
    <w:rsid w:val="00656650"/>
    <w:rsid w:val="0066276E"/>
    <w:rsid w:val="00663694"/>
    <w:rsid w:val="00670A87"/>
    <w:rsid w:val="00673BA9"/>
    <w:rsid w:val="00674FFE"/>
    <w:rsid w:val="006762B0"/>
    <w:rsid w:val="00676F1B"/>
    <w:rsid w:val="006778E0"/>
    <w:rsid w:val="00681609"/>
    <w:rsid w:val="006825F0"/>
    <w:rsid w:val="00686CDA"/>
    <w:rsid w:val="00691C81"/>
    <w:rsid w:val="00693AE7"/>
    <w:rsid w:val="006943F0"/>
    <w:rsid w:val="006A0389"/>
    <w:rsid w:val="006A056B"/>
    <w:rsid w:val="006A2919"/>
    <w:rsid w:val="006A5A4E"/>
    <w:rsid w:val="006B5A75"/>
    <w:rsid w:val="006B62D5"/>
    <w:rsid w:val="006C0A86"/>
    <w:rsid w:val="006C5902"/>
    <w:rsid w:val="006D10F7"/>
    <w:rsid w:val="006D3182"/>
    <w:rsid w:val="006D3448"/>
    <w:rsid w:val="006D46AD"/>
    <w:rsid w:val="006D4CDC"/>
    <w:rsid w:val="006E29FB"/>
    <w:rsid w:val="006E41D4"/>
    <w:rsid w:val="006E6F10"/>
    <w:rsid w:val="006F0268"/>
    <w:rsid w:val="006F1AE4"/>
    <w:rsid w:val="006F42F3"/>
    <w:rsid w:val="006F4C7A"/>
    <w:rsid w:val="006F669A"/>
    <w:rsid w:val="006F6942"/>
    <w:rsid w:val="006F6DA8"/>
    <w:rsid w:val="006F7C52"/>
    <w:rsid w:val="0070077A"/>
    <w:rsid w:val="00700C14"/>
    <w:rsid w:val="007029FF"/>
    <w:rsid w:val="0070319B"/>
    <w:rsid w:val="00711267"/>
    <w:rsid w:val="00713515"/>
    <w:rsid w:val="00713DA6"/>
    <w:rsid w:val="0072125B"/>
    <w:rsid w:val="00725C1E"/>
    <w:rsid w:val="007310FC"/>
    <w:rsid w:val="007358ED"/>
    <w:rsid w:val="007411CE"/>
    <w:rsid w:val="00747474"/>
    <w:rsid w:val="007474F4"/>
    <w:rsid w:val="00750C55"/>
    <w:rsid w:val="00750CCE"/>
    <w:rsid w:val="00751345"/>
    <w:rsid w:val="00753713"/>
    <w:rsid w:val="00756A43"/>
    <w:rsid w:val="00761DA3"/>
    <w:rsid w:val="007643C5"/>
    <w:rsid w:val="00774A6D"/>
    <w:rsid w:val="007755BB"/>
    <w:rsid w:val="00783621"/>
    <w:rsid w:val="00785A93"/>
    <w:rsid w:val="00791AD8"/>
    <w:rsid w:val="00793574"/>
    <w:rsid w:val="00795F1D"/>
    <w:rsid w:val="00797AA2"/>
    <w:rsid w:val="007A0927"/>
    <w:rsid w:val="007A2961"/>
    <w:rsid w:val="007A2D9C"/>
    <w:rsid w:val="007A319E"/>
    <w:rsid w:val="007B4241"/>
    <w:rsid w:val="007B4BFF"/>
    <w:rsid w:val="007B5238"/>
    <w:rsid w:val="007C122D"/>
    <w:rsid w:val="007C3CD4"/>
    <w:rsid w:val="007C5957"/>
    <w:rsid w:val="007C7D65"/>
    <w:rsid w:val="007D254C"/>
    <w:rsid w:val="007D2CA7"/>
    <w:rsid w:val="007D6D25"/>
    <w:rsid w:val="007E17B2"/>
    <w:rsid w:val="007F60BA"/>
    <w:rsid w:val="007F6569"/>
    <w:rsid w:val="007F6CD6"/>
    <w:rsid w:val="007F7097"/>
    <w:rsid w:val="007F7804"/>
    <w:rsid w:val="008003A6"/>
    <w:rsid w:val="00800A59"/>
    <w:rsid w:val="00801B1D"/>
    <w:rsid w:val="00801B51"/>
    <w:rsid w:val="00812575"/>
    <w:rsid w:val="008227AE"/>
    <w:rsid w:val="00822BB2"/>
    <w:rsid w:val="008245DF"/>
    <w:rsid w:val="0082645F"/>
    <w:rsid w:val="008304BB"/>
    <w:rsid w:val="00830812"/>
    <w:rsid w:val="00844A78"/>
    <w:rsid w:val="00845B28"/>
    <w:rsid w:val="0085052E"/>
    <w:rsid w:val="008518E3"/>
    <w:rsid w:val="00851983"/>
    <w:rsid w:val="0085411E"/>
    <w:rsid w:val="008543AA"/>
    <w:rsid w:val="0085583D"/>
    <w:rsid w:val="00864B3F"/>
    <w:rsid w:val="00864E9C"/>
    <w:rsid w:val="00865CB4"/>
    <w:rsid w:val="00866624"/>
    <w:rsid w:val="00870AC3"/>
    <w:rsid w:val="00872A26"/>
    <w:rsid w:val="00874402"/>
    <w:rsid w:val="00874A07"/>
    <w:rsid w:val="00875E2E"/>
    <w:rsid w:val="00880985"/>
    <w:rsid w:val="0088205F"/>
    <w:rsid w:val="00883E07"/>
    <w:rsid w:val="00887F29"/>
    <w:rsid w:val="008902AA"/>
    <w:rsid w:val="00897BFF"/>
    <w:rsid w:val="008A0E9B"/>
    <w:rsid w:val="008A0FBD"/>
    <w:rsid w:val="008A15BC"/>
    <w:rsid w:val="008A48E5"/>
    <w:rsid w:val="008B06BA"/>
    <w:rsid w:val="008B415D"/>
    <w:rsid w:val="008B41E3"/>
    <w:rsid w:val="008B5A88"/>
    <w:rsid w:val="008B5E9F"/>
    <w:rsid w:val="008B7C7D"/>
    <w:rsid w:val="008C0BB7"/>
    <w:rsid w:val="008C58AC"/>
    <w:rsid w:val="008C6DCD"/>
    <w:rsid w:val="008D083B"/>
    <w:rsid w:val="008D26EC"/>
    <w:rsid w:val="008D29BD"/>
    <w:rsid w:val="008D659C"/>
    <w:rsid w:val="008E1588"/>
    <w:rsid w:val="008E4374"/>
    <w:rsid w:val="008E58E9"/>
    <w:rsid w:val="008F1919"/>
    <w:rsid w:val="008F4D9C"/>
    <w:rsid w:val="008F7D64"/>
    <w:rsid w:val="009008E3"/>
    <w:rsid w:val="0090125D"/>
    <w:rsid w:val="00905FF1"/>
    <w:rsid w:val="0090768D"/>
    <w:rsid w:val="009114EA"/>
    <w:rsid w:val="009115DB"/>
    <w:rsid w:val="0091183D"/>
    <w:rsid w:val="009138E1"/>
    <w:rsid w:val="009141F6"/>
    <w:rsid w:val="00916FB2"/>
    <w:rsid w:val="00917615"/>
    <w:rsid w:val="00917D4C"/>
    <w:rsid w:val="00920D50"/>
    <w:rsid w:val="00923203"/>
    <w:rsid w:val="00927BBB"/>
    <w:rsid w:val="00930601"/>
    <w:rsid w:val="0093074C"/>
    <w:rsid w:val="00934F2C"/>
    <w:rsid w:val="009434E9"/>
    <w:rsid w:val="00945CF0"/>
    <w:rsid w:val="00946637"/>
    <w:rsid w:val="00952CC6"/>
    <w:rsid w:val="00954147"/>
    <w:rsid w:val="00960385"/>
    <w:rsid w:val="00960F2C"/>
    <w:rsid w:val="00961D87"/>
    <w:rsid w:val="009628E2"/>
    <w:rsid w:val="0096540B"/>
    <w:rsid w:val="00966644"/>
    <w:rsid w:val="00967137"/>
    <w:rsid w:val="00970B7B"/>
    <w:rsid w:val="00971F7D"/>
    <w:rsid w:val="009777BD"/>
    <w:rsid w:val="00977945"/>
    <w:rsid w:val="00984967"/>
    <w:rsid w:val="0099010E"/>
    <w:rsid w:val="00991163"/>
    <w:rsid w:val="009921F5"/>
    <w:rsid w:val="00994512"/>
    <w:rsid w:val="0099466B"/>
    <w:rsid w:val="00994EDE"/>
    <w:rsid w:val="00995ACF"/>
    <w:rsid w:val="00997F03"/>
    <w:rsid w:val="009A0062"/>
    <w:rsid w:val="009A1C2D"/>
    <w:rsid w:val="009A4B82"/>
    <w:rsid w:val="009A5D25"/>
    <w:rsid w:val="009A5EEA"/>
    <w:rsid w:val="009B54F4"/>
    <w:rsid w:val="009B5511"/>
    <w:rsid w:val="009B6193"/>
    <w:rsid w:val="009B6A13"/>
    <w:rsid w:val="009B7D28"/>
    <w:rsid w:val="009C2B93"/>
    <w:rsid w:val="009C4801"/>
    <w:rsid w:val="009C6CB9"/>
    <w:rsid w:val="009D60FA"/>
    <w:rsid w:val="009D7DEA"/>
    <w:rsid w:val="009E0751"/>
    <w:rsid w:val="009E36B2"/>
    <w:rsid w:val="009E659C"/>
    <w:rsid w:val="009E7E53"/>
    <w:rsid w:val="009F594B"/>
    <w:rsid w:val="009F68BC"/>
    <w:rsid w:val="009F6E0C"/>
    <w:rsid w:val="00A06454"/>
    <w:rsid w:val="00A07628"/>
    <w:rsid w:val="00A1430D"/>
    <w:rsid w:val="00A16AE6"/>
    <w:rsid w:val="00A2213F"/>
    <w:rsid w:val="00A24E3F"/>
    <w:rsid w:val="00A2645E"/>
    <w:rsid w:val="00A26914"/>
    <w:rsid w:val="00A30041"/>
    <w:rsid w:val="00A30A27"/>
    <w:rsid w:val="00A3166E"/>
    <w:rsid w:val="00A333D2"/>
    <w:rsid w:val="00A361C5"/>
    <w:rsid w:val="00A3662B"/>
    <w:rsid w:val="00A41C27"/>
    <w:rsid w:val="00A45C4A"/>
    <w:rsid w:val="00A50701"/>
    <w:rsid w:val="00A529DF"/>
    <w:rsid w:val="00A53DF0"/>
    <w:rsid w:val="00A53E44"/>
    <w:rsid w:val="00A55149"/>
    <w:rsid w:val="00A5595A"/>
    <w:rsid w:val="00A62EEC"/>
    <w:rsid w:val="00A63C4A"/>
    <w:rsid w:val="00A64610"/>
    <w:rsid w:val="00A66684"/>
    <w:rsid w:val="00A677C7"/>
    <w:rsid w:val="00A71A59"/>
    <w:rsid w:val="00A75297"/>
    <w:rsid w:val="00A7644D"/>
    <w:rsid w:val="00A76C70"/>
    <w:rsid w:val="00A76D08"/>
    <w:rsid w:val="00A81AC2"/>
    <w:rsid w:val="00A82324"/>
    <w:rsid w:val="00A8279D"/>
    <w:rsid w:val="00A837AD"/>
    <w:rsid w:val="00A843C6"/>
    <w:rsid w:val="00A86A54"/>
    <w:rsid w:val="00A90746"/>
    <w:rsid w:val="00A90F8F"/>
    <w:rsid w:val="00A92BFD"/>
    <w:rsid w:val="00A95D6A"/>
    <w:rsid w:val="00A969BA"/>
    <w:rsid w:val="00A974D8"/>
    <w:rsid w:val="00A97C94"/>
    <w:rsid w:val="00AA17D4"/>
    <w:rsid w:val="00AA2B29"/>
    <w:rsid w:val="00AA6A1D"/>
    <w:rsid w:val="00AB12DF"/>
    <w:rsid w:val="00AB202C"/>
    <w:rsid w:val="00AB2630"/>
    <w:rsid w:val="00AB49B2"/>
    <w:rsid w:val="00AB4CB6"/>
    <w:rsid w:val="00AC2F54"/>
    <w:rsid w:val="00AC5F49"/>
    <w:rsid w:val="00AC6548"/>
    <w:rsid w:val="00AC6E95"/>
    <w:rsid w:val="00AC7AFD"/>
    <w:rsid w:val="00AD14B7"/>
    <w:rsid w:val="00AD1CB8"/>
    <w:rsid w:val="00AD1D29"/>
    <w:rsid w:val="00AD313C"/>
    <w:rsid w:val="00AD351C"/>
    <w:rsid w:val="00AD356B"/>
    <w:rsid w:val="00AD3E69"/>
    <w:rsid w:val="00AD448D"/>
    <w:rsid w:val="00AD79FF"/>
    <w:rsid w:val="00AE14BB"/>
    <w:rsid w:val="00AE1589"/>
    <w:rsid w:val="00AE331E"/>
    <w:rsid w:val="00AF18C3"/>
    <w:rsid w:val="00AF3232"/>
    <w:rsid w:val="00AF4A01"/>
    <w:rsid w:val="00AF5B2D"/>
    <w:rsid w:val="00AF5D05"/>
    <w:rsid w:val="00B06E6E"/>
    <w:rsid w:val="00B07FC5"/>
    <w:rsid w:val="00B10C4A"/>
    <w:rsid w:val="00B11643"/>
    <w:rsid w:val="00B13F83"/>
    <w:rsid w:val="00B1674F"/>
    <w:rsid w:val="00B22DAD"/>
    <w:rsid w:val="00B2569E"/>
    <w:rsid w:val="00B268CF"/>
    <w:rsid w:val="00B26917"/>
    <w:rsid w:val="00B302C1"/>
    <w:rsid w:val="00B35C59"/>
    <w:rsid w:val="00B35F6F"/>
    <w:rsid w:val="00B366A9"/>
    <w:rsid w:val="00B36990"/>
    <w:rsid w:val="00B4070B"/>
    <w:rsid w:val="00B43A3F"/>
    <w:rsid w:val="00B4437C"/>
    <w:rsid w:val="00B44BE2"/>
    <w:rsid w:val="00B512B7"/>
    <w:rsid w:val="00B52A2F"/>
    <w:rsid w:val="00B5775D"/>
    <w:rsid w:val="00B612A8"/>
    <w:rsid w:val="00B62AA7"/>
    <w:rsid w:val="00B6389C"/>
    <w:rsid w:val="00B6469F"/>
    <w:rsid w:val="00B65C4B"/>
    <w:rsid w:val="00B67BC6"/>
    <w:rsid w:val="00B733E7"/>
    <w:rsid w:val="00B73F33"/>
    <w:rsid w:val="00B765EB"/>
    <w:rsid w:val="00B76CE6"/>
    <w:rsid w:val="00B77907"/>
    <w:rsid w:val="00B82FBD"/>
    <w:rsid w:val="00B845D3"/>
    <w:rsid w:val="00B86FF2"/>
    <w:rsid w:val="00B94291"/>
    <w:rsid w:val="00B94493"/>
    <w:rsid w:val="00B96C0C"/>
    <w:rsid w:val="00BA2497"/>
    <w:rsid w:val="00BA29AB"/>
    <w:rsid w:val="00BA2B5E"/>
    <w:rsid w:val="00BA6ED4"/>
    <w:rsid w:val="00BA7F79"/>
    <w:rsid w:val="00BB0341"/>
    <w:rsid w:val="00BB2E00"/>
    <w:rsid w:val="00BB3888"/>
    <w:rsid w:val="00BB3A8E"/>
    <w:rsid w:val="00BB4867"/>
    <w:rsid w:val="00BB61D6"/>
    <w:rsid w:val="00BB63A3"/>
    <w:rsid w:val="00BB70F3"/>
    <w:rsid w:val="00BB7597"/>
    <w:rsid w:val="00BC0A1A"/>
    <w:rsid w:val="00BC11CB"/>
    <w:rsid w:val="00BC26D4"/>
    <w:rsid w:val="00BC4B47"/>
    <w:rsid w:val="00BC4CDB"/>
    <w:rsid w:val="00BD0A0C"/>
    <w:rsid w:val="00BD64E0"/>
    <w:rsid w:val="00BD667A"/>
    <w:rsid w:val="00BD683A"/>
    <w:rsid w:val="00BE0661"/>
    <w:rsid w:val="00BE34AB"/>
    <w:rsid w:val="00BE391B"/>
    <w:rsid w:val="00BF13F5"/>
    <w:rsid w:val="00BF21A8"/>
    <w:rsid w:val="00BF3C4F"/>
    <w:rsid w:val="00C02A44"/>
    <w:rsid w:val="00C03D0C"/>
    <w:rsid w:val="00C118E4"/>
    <w:rsid w:val="00C11A87"/>
    <w:rsid w:val="00C13A95"/>
    <w:rsid w:val="00C1545E"/>
    <w:rsid w:val="00C15E14"/>
    <w:rsid w:val="00C21D5E"/>
    <w:rsid w:val="00C31284"/>
    <w:rsid w:val="00C315DA"/>
    <w:rsid w:val="00C32E11"/>
    <w:rsid w:val="00C34CA2"/>
    <w:rsid w:val="00C368B0"/>
    <w:rsid w:val="00C5394D"/>
    <w:rsid w:val="00C56A31"/>
    <w:rsid w:val="00C61A7F"/>
    <w:rsid w:val="00C62DA4"/>
    <w:rsid w:val="00C631ED"/>
    <w:rsid w:val="00C63260"/>
    <w:rsid w:val="00C63D46"/>
    <w:rsid w:val="00C6754B"/>
    <w:rsid w:val="00C7047C"/>
    <w:rsid w:val="00C70DAB"/>
    <w:rsid w:val="00C72E7F"/>
    <w:rsid w:val="00C75C52"/>
    <w:rsid w:val="00C76D86"/>
    <w:rsid w:val="00C77FF9"/>
    <w:rsid w:val="00C800F3"/>
    <w:rsid w:val="00C802E0"/>
    <w:rsid w:val="00C845DE"/>
    <w:rsid w:val="00C84BC4"/>
    <w:rsid w:val="00C91154"/>
    <w:rsid w:val="00C96474"/>
    <w:rsid w:val="00CA1FDC"/>
    <w:rsid w:val="00CA27E1"/>
    <w:rsid w:val="00CA2FF1"/>
    <w:rsid w:val="00CA31B1"/>
    <w:rsid w:val="00CA4166"/>
    <w:rsid w:val="00CA6B78"/>
    <w:rsid w:val="00CA771C"/>
    <w:rsid w:val="00CA7F18"/>
    <w:rsid w:val="00CB1064"/>
    <w:rsid w:val="00CB1AB4"/>
    <w:rsid w:val="00CB4C9C"/>
    <w:rsid w:val="00CB6B76"/>
    <w:rsid w:val="00CC13C3"/>
    <w:rsid w:val="00CC1FC3"/>
    <w:rsid w:val="00CC3197"/>
    <w:rsid w:val="00CC3864"/>
    <w:rsid w:val="00CC4FC7"/>
    <w:rsid w:val="00CD012B"/>
    <w:rsid w:val="00CD696D"/>
    <w:rsid w:val="00CE1A6C"/>
    <w:rsid w:val="00CE4DAF"/>
    <w:rsid w:val="00CE5EC3"/>
    <w:rsid w:val="00CF41DA"/>
    <w:rsid w:val="00CF66AD"/>
    <w:rsid w:val="00D06E23"/>
    <w:rsid w:val="00D07EB6"/>
    <w:rsid w:val="00D10320"/>
    <w:rsid w:val="00D15BCB"/>
    <w:rsid w:val="00D16A58"/>
    <w:rsid w:val="00D1775B"/>
    <w:rsid w:val="00D22430"/>
    <w:rsid w:val="00D24EC5"/>
    <w:rsid w:val="00D25B7D"/>
    <w:rsid w:val="00D2789B"/>
    <w:rsid w:val="00D27B4B"/>
    <w:rsid w:val="00D3180A"/>
    <w:rsid w:val="00D319BC"/>
    <w:rsid w:val="00D33438"/>
    <w:rsid w:val="00D35805"/>
    <w:rsid w:val="00D41CF3"/>
    <w:rsid w:val="00D43A89"/>
    <w:rsid w:val="00D440E7"/>
    <w:rsid w:val="00D44328"/>
    <w:rsid w:val="00D4550B"/>
    <w:rsid w:val="00D46095"/>
    <w:rsid w:val="00D46B1C"/>
    <w:rsid w:val="00D510BC"/>
    <w:rsid w:val="00D55723"/>
    <w:rsid w:val="00D60997"/>
    <w:rsid w:val="00D61486"/>
    <w:rsid w:val="00D61491"/>
    <w:rsid w:val="00D653D3"/>
    <w:rsid w:val="00D6626D"/>
    <w:rsid w:val="00D67545"/>
    <w:rsid w:val="00D71ADA"/>
    <w:rsid w:val="00D803C4"/>
    <w:rsid w:val="00D82B2D"/>
    <w:rsid w:val="00D902E0"/>
    <w:rsid w:val="00D9075D"/>
    <w:rsid w:val="00D91748"/>
    <w:rsid w:val="00D9479B"/>
    <w:rsid w:val="00D95D0F"/>
    <w:rsid w:val="00D96FB1"/>
    <w:rsid w:val="00D97A94"/>
    <w:rsid w:val="00DB06B4"/>
    <w:rsid w:val="00DB1662"/>
    <w:rsid w:val="00DB17FE"/>
    <w:rsid w:val="00DB3070"/>
    <w:rsid w:val="00DB5035"/>
    <w:rsid w:val="00DB5119"/>
    <w:rsid w:val="00DB5FCA"/>
    <w:rsid w:val="00DC0DE2"/>
    <w:rsid w:val="00DC12B7"/>
    <w:rsid w:val="00DC1853"/>
    <w:rsid w:val="00DC1DC7"/>
    <w:rsid w:val="00DC24CD"/>
    <w:rsid w:val="00DC7CF1"/>
    <w:rsid w:val="00DD0306"/>
    <w:rsid w:val="00DD57E3"/>
    <w:rsid w:val="00DE1F36"/>
    <w:rsid w:val="00DE4A8A"/>
    <w:rsid w:val="00DE559C"/>
    <w:rsid w:val="00DE5DF1"/>
    <w:rsid w:val="00DE65D8"/>
    <w:rsid w:val="00DF35D9"/>
    <w:rsid w:val="00DF490B"/>
    <w:rsid w:val="00DF5209"/>
    <w:rsid w:val="00E00F54"/>
    <w:rsid w:val="00E03603"/>
    <w:rsid w:val="00E045C4"/>
    <w:rsid w:val="00E12E76"/>
    <w:rsid w:val="00E15074"/>
    <w:rsid w:val="00E1511B"/>
    <w:rsid w:val="00E16004"/>
    <w:rsid w:val="00E222E5"/>
    <w:rsid w:val="00E22EAD"/>
    <w:rsid w:val="00E26C12"/>
    <w:rsid w:val="00E26FDD"/>
    <w:rsid w:val="00E33A7F"/>
    <w:rsid w:val="00E34476"/>
    <w:rsid w:val="00E34C0C"/>
    <w:rsid w:val="00E4128B"/>
    <w:rsid w:val="00E4506C"/>
    <w:rsid w:val="00E46C3A"/>
    <w:rsid w:val="00E4718C"/>
    <w:rsid w:val="00E5153D"/>
    <w:rsid w:val="00E52717"/>
    <w:rsid w:val="00E54270"/>
    <w:rsid w:val="00E60068"/>
    <w:rsid w:val="00E6235E"/>
    <w:rsid w:val="00E65F50"/>
    <w:rsid w:val="00E701E7"/>
    <w:rsid w:val="00E74251"/>
    <w:rsid w:val="00E77EEA"/>
    <w:rsid w:val="00E77F41"/>
    <w:rsid w:val="00E82C89"/>
    <w:rsid w:val="00E83FCE"/>
    <w:rsid w:val="00E84AE9"/>
    <w:rsid w:val="00E86C9E"/>
    <w:rsid w:val="00E91698"/>
    <w:rsid w:val="00E93926"/>
    <w:rsid w:val="00E956EE"/>
    <w:rsid w:val="00EA2630"/>
    <w:rsid w:val="00EA7B8A"/>
    <w:rsid w:val="00EB24A1"/>
    <w:rsid w:val="00EB6D08"/>
    <w:rsid w:val="00EC0E08"/>
    <w:rsid w:val="00EC358D"/>
    <w:rsid w:val="00EC66CB"/>
    <w:rsid w:val="00EC7456"/>
    <w:rsid w:val="00ED195F"/>
    <w:rsid w:val="00ED2631"/>
    <w:rsid w:val="00ED29B1"/>
    <w:rsid w:val="00ED41BD"/>
    <w:rsid w:val="00ED61BF"/>
    <w:rsid w:val="00ED689D"/>
    <w:rsid w:val="00ED6C17"/>
    <w:rsid w:val="00EE6228"/>
    <w:rsid w:val="00EE6E97"/>
    <w:rsid w:val="00EF40A4"/>
    <w:rsid w:val="00F00BF2"/>
    <w:rsid w:val="00F03024"/>
    <w:rsid w:val="00F05781"/>
    <w:rsid w:val="00F05BD6"/>
    <w:rsid w:val="00F07766"/>
    <w:rsid w:val="00F07CCC"/>
    <w:rsid w:val="00F10EF5"/>
    <w:rsid w:val="00F17344"/>
    <w:rsid w:val="00F17BCE"/>
    <w:rsid w:val="00F25568"/>
    <w:rsid w:val="00F26312"/>
    <w:rsid w:val="00F267DC"/>
    <w:rsid w:val="00F269C5"/>
    <w:rsid w:val="00F3028C"/>
    <w:rsid w:val="00F30CEA"/>
    <w:rsid w:val="00F30F39"/>
    <w:rsid w:val="00F32F03"/>
    <w:rsid w:val="00F34197"/>
    <w:rsid w:val="00F34BB6"/>
    <w:rsid w:val="00F37559"/>
    <w:rsid w:val="00F37A96"/>
    <w:rsid w:val="00F45B2C"/>
    <w:rsid w:val="00F461B3"/>
    <w:rsid w:val="00F511B3"/>
    <w:rsid w:val="00F51B49"/>
    <w:rsid w:val="00F54306"/>
    <w:rsid w:val="00F5433C"/>
    <w:rsid w:val="00F604D6"/>
    <w:rsid w:val="00F613D2"/>
    <w:rsid w:val="00F66821"/>
    <w:rsid w:val="00F66B2A"/>
    <w:rsid w:val="00F722A3"/>
    <w:rsid w:val="00F75CB6"/>
    <w:rsid w:val="00F8047B"/>
    <w:rsid w:val="00F80F0E"/>
    <w:rsid w:val="00F81057"/>
    <w:rsid w:val="00F81F05"/>
    <w:rsid w:val="00F83E85"/>
    <w:rsid w:val="00F863C6"/>
    <w:rsid w:val="00F86DCE"/>
    <w:rsid w:val="00F916DE"/>
    <w:rsid w:val="00F92BAE"/>
    <w:rsid w:val="00F942D6"/>
    <w:rsid w:val="00F967D0"/>
    <w:rsid w:val="00FA0FD2"/>
    <w:rsid w:val="00FA15EB"/>
    <w:rsid w:val="00FA1680"/>
    <w:rsid w:val="00FA4FF7"/>
    <w:rsid w:val="00FA5789"/>
    <w:rsid w:val="00FB5988"/>
    <w:rsid w:val="00FB7894"/>
    <w:rsid w:val="00FC52E5"/>
    <w:rsid w:val="00FC5C28"/>
    <w:rsid w:val="00FC602E"/>
    <w:rsid w:val="00FC6429"/>
    <w:rsid w:val="00FC77B6"/>
    <w:rsid w:val="00FD2790"/>
    <w:rsid w:val="00FD6AD5"/>
    <w:rsid w:val="00FD7C7F"/>
    <w:rsid w:val="00FE05C2"/>
    <w:rsid w:val="00FF19AD"/>
    <w:rsid w:val="00FF7B92"/>
    <w:rsid w:val="010C528E"/>
    <w:rsid w:val="013250C0"/>
    <w:rsid w:val="01334788"/>
    <w:rsid w:val="01A66FB4"/>
    <w:rsid w:val="01B4367D"/>
    <w:rsid w:val="01C20632"/>
    <w:rsid w:val="01F84FD7"/>
    <w:rsid w:val="02346138"/>
    <w:rsid w:val="0239418B"/>
    <w:rsid w:val="0242733A"/>
    <w:rsid w:val="026736B8"/>
    <w:rsid w:val="0269377A"/>
    <w:rsid w:val="028E4DDB"/>
    <w:rsid w:val="02C52150"/>
    <w:rsid w:val="02DB6548"/>
    <w:rsid w:val="02F27EAE"/>
    <w:rsid w:val="02FA119A"/>
    <w:rsid w:val="030502E0"/>
    <w:rsid w:val="032F22E2"/>
    <w:rsid w:val="0331353B"/>
    <w:rsid w:val="034372F4"/>
    <w:rsid w:val="036D7EE4"/>
    <w:rsid w:val="03B8267A"/>
    <w:rsid w:val="03C21F10"/>
    <w:rsid w:val="03D206D8"/>
    <w:rsid w:val="03EA07D9"/>
    <w:rsid w:val="046E6F3C"/>
    <w:rsid w:val="04762458"/>
    <w:rsid w:val="04942A4D"/>
    <w:rsid w:val="04AB667F"/>
    <w:rsid w:val="04B276B1"/>
    <w:rsid w:val="04D764F5"/>
    <w:rsid w:val="04F77729"/>
    <w:rsid w:val="052B5C4D"/>
    <w:rsid w:val="0547174E"/>
    <w:rsid w:val="057476A3"/>
    <w:rsid w:val="05802F9C"/>
    <w:rsid w:val="05A207AE"/>
    <w:rsid w:val="05C66AF7"/>
    <w:rsid w:val="05E56E6E"/>
    <w:rsid w:val="06216546"/>
    <w:rsid w:val="06257654"/>
    <w:rsid w:val="06330903"/>
    <w:rsid w:val="064A7DDF"/>
    <w:rsid w:val="067558A7"/>
    <w:rsid w:val="068C1967"/>
    <w:rsid w:val="06947230"/>
    <w:rsid w:val="06AB5199"/>
    <w:rsid w:val="06E75E06"/>
    <w:rsid w:val="06EA07A8"/>
    <w:rsid w:val="07244B6B"/>
    <w:rsid w:val="073672C8"/>
    <w:rsid w:val="076E6BAF"/>
    <w:rsid w:val="0788707B"/>
    <w:rsid w:val="07A0671C"/>
    <w:rsid w:val="07BC73B5"/>
    <w:rsid w:val="07C5321A"/>
    <w:rsid w:val="07C85D0D"/>
    <w:rsid w:val="07E06088"/>
    <w:rsid w:val="07EA1975"/>
    <w:rsid w:val="07F5090D"/>
    <w:rsid w:val="081E5C8D"/>
    <w:rsid w:val="086D635E"/>
    <w:rsid w:val="087113E5"/>
    <w:rsid w:val="087930B4"/>
    <w:rsid w:val="089A5DBD"/>
    <w:rsid w:val="08A32603"/>
    <w:rsid w:val="08EA7A02"/>
    <w:rsid w:val="090A081B"/>
    <w:rsid w:val="090A7312"/>
    <w:rsid w:val="094A14CB"/>
    <w:rsid w:val="0997692D"/>
    <w:rsid w:val="09CB7DBA"/>
    <w:rsid w:val="09E85792"/>
    <w:rsid w:val="09EF7D98"/>
    <w:rsid w:val="0A1870FD"/>
    <w:rsid w:val="0A255586"/>
    <w:rsid w:val="0A576C98"/>
    <w:rsid w:val="0A5B31A0"/>
    <w:rsid w:val="0AB51B04"/>
    <w:rsid w:val="0AE2394F"/>
    <w:rsid w:val="0AF669C7"/>
    <w:rsid w:val="0B1B0ED2"/>
    <w:rsid w:val="0B261B7D"/>
    <w:rsid w:val="0B2A1901"/>
    <w:rsid w:val="0B4C33E8"/>
    <w:rsid w:val="0B5F6424"/>
    <w:rsid w:val="0B9C5CFE"/>
    <w:rsid w:val="0BA57E29"/>
    <w:rsid w:val="0BFB5994"/>
    <w:rsid w:val="0C444B52"/>
    <w:rsid w:val="0C833461"/>
    <w:rsid w:val="0C930B8B"/>
    <w:rsid w:val="0CBA5558"/>
    <w:rsid w:val="0CC6479D"/>
    <w:rsid w:val="0CD361AE"/>
    <w:rsid w:val="0CEF1DD4"/>
    <w:rsid w:val="0D193E25"/>
    <w:rsid w:val="0D1D2641"/>
    <w:rsid w:val="0D2D41AC"/>
    <w:rsid w:val="0D364901"/>
    <w:rsid w:val="0D3E2BC2"/>
    <w:rsid w:val="0D4E6308"/>
    <w:rsid w:val="0D511930"/>
    <w:rsid w:val="0D6E463D"/>
    <w:rsid w:val="0D93638B"/>
    <w:rsid w:val="0DAF5AF8"/>
    <w:rsid w:val="0DB83735"/>
    <w:rsid w:val="0DE46919"/>
    <w:rsid w:val="0DF65E24"/>
    <w:rsid w:val="0E165C5A"/>
    <w:rsid w:val="0E215250"/>
    <w:rsid w:val="0E415CE8"/>
    <w:rsid w:val="0E4D2492"/>
    <w:rsid w:val="0E537719"/>
    <w:rsid w:val="0E650431"/>
    <w:rsid w:val="0EAC7CBC"/>
    <w:rsid w:val="0ECC55BC"/>
    <w:rsid w:val="0ECD68A1"/>
    <w:rsid w:val="0EDC3A7D"/>
    <w:rsid w:val="0F0710E1"/>
    <w:rsid w:val="0F120D4E"/>
    <w:rsid w:val="0F1D5312"/>
    <w:rsid w:val="0F587BBB"/>
    <w:rsid w:val="0F6018A7"/>
    <w:rsid w:val="0F97156B"/>
    <w:rsid w:val="0FA978A5"/>
    <w:rsid w:val="0FB5357C"/>
    <w:rsid w:val="1001579B"/>
    <w:rsid w:val="10141CD8"/>
    <w:rsid w:val="101A7974"/>
    <w:rsid w:val="103D6844"/>
    <w:rsid w:val="1056152C"/>
    <w:rsid w:val="108D6BDC"/>
    <w:rsid w:val="10B04615"/>
    <w:rsid w:val="10B564AE"/>
    <w:rsid w:val="10F17346"/>
    <w:rsid w:val="10F60360"/>
    <w:rsid w:val="110D108E"/>
    <w:rsid w:val="11160AA8"/>
    <w:rsid w:val="1117092B"/>
    <w:rsid w:val="112809FB"/>
    <w:rsid w:val="113E11D1"/>
    <w:rsid w:val="114602AE"/>
    <w:rsid w:val="11512BB8"/>
    <w:rsid w:val="11685B05"/>
    <w:rsid w:val="11AF6357"/>
    <w:rsid w:val="11B91958"/>
    <w:rsid w:val="11CA59B9"/>
    <w:rsid w:val="11F77ECD"/>
    <w:rsid w:val="12042FE4"/>
    <w:rsid w:val="1205136C"/>
    <w:rsid w:val="125F6DBC"/>
    <w:rsid w:val="12656274"/>
    <w:rsid w:val="127D35B3"/>
    <w:rsid w:val="12934512"/>
    <w:rsid w:val="12D32F6F"/>
    <w:rsid w:val="12FF3426"/>
    <w:rsid w:val="132F24EA"/>
    <w:rsid w:val="136C46F4"/>
    <w:rsid w:val="139D1AD6"/>
    <w:rsid w:val="13AF75FF"/>
    <w:rsid w:val="13B401F1"/>
    <w:rsid w:val="13ED394E"/>
    <w:rsid w:val="1407788E"/>
    <w:rsid w:val="14157B94"/>
    <w:rsid w:val="141D110B"/>
    <w:rsid w:val="142D74CC"/>
    <w:rsid w:val="14565475"/>
    <w:rsid w:val="14AA1960"/>
    <w:rsid w:val="14FA6CA3"/>
    <w:rsid w:val="14FB6263"/>
    <w:rsid w:val="14FD62EA"/>
    <w:rsid w:val="15035722"/>
    <w:rsid w:val="153D2BE9"/>
    <w:rsid w:val="154B5DAC"/>
    <w:rsid w:val="156B2FF9"/>
    <w:rsid w:val="15D31466"/>
    <w:rsid w:val="15F87AFC"/>
    <w:rsid w:val="15FC0905"/>
    <w:rsid w:val="160944AB"/>
    <w:rsid w:val="163B6F9E"/>
    <w:rsid w:val="16421D82"/>
    <w:rsid w:val="164B77EF"/>
    <w:rsid w:val="165A7AB5"/>
    <w:rsid w:val="168960C6"/>
    <w:rsid w:val="1692644F"/>
    <w:rsid w:val="16931DB3"/>
    <w:rsid w:val="169D6502"/>
    <w:rsid w:val="16A47360"/>
    <w:rsid w:val="16C06660"/>
    <w:rsid w:val="16E87689"/>
    <w:rsid w:val="17150BFB"/>
    <w:rsid w:val="173F6C31"/>
    <w:rsid w:val="17400F9C"/>
    <w:rsid w:val="17501932"/>
    <w:rsid w:val="177213C1"/>
    <w:rsid w:val="17B61944"/>
    <w:rsid w:val="17C5378A"/>
    <w:rsid w:val="17C67E95"/>
    <w:rsid w:val="17DD1B3D"/>
    <w:rsid w:val="17E157A6"/>
    <w:rsid w:val="180A5717"/>
    <w:rsid w:val="18276000"/>
    <w:rsid w:val="18313FA8"/>
    <w:rsid w:val="185233F5"/>
    <w:rsid w:val="18611D26"/>
    <w:rsid w:val="186231B5"/>
    <w:rsid w:val="1862413D"/>
    <w:rsid w:val="18933137"/>
    <w:rsid w:val="189E0B68"/>
    <w:rsid w:val="18BF44DB"/>
    <w:rsid w:val="18D04E9E"/>
    <w:rsid w:val="18D33550"/>
    <w:rsid w:val="19827BA3"/>
    <w:rsid w:val="19852BDB"/>
    <w:rsid w:val="198A18F4"/>
    <w:rsid w:val="19982894"/>
    <w:rsid w:val="199D17B2"/>
    <w:rsid w:val="1A0772AB"/>
    <w:rsid w:val="1A150751"/>
    <w:rsid w:val="1A1D7568"/>
    <w:rsid w:val="1A3C6101"/>
    <w:rsid w:val="1A5F13D5"/>
    <w:rsid w:val="1AB13457"/>
    <w:rsid w:val="1AC71E4A"/>
    <w:rsid w:val="1AD87795"/>
    <w:rsid w:val="1ADD291A"/>
    <w:rsid w:val="1AE91AD2"/>
    <w:rsid w:val="1AEF4F2F"/>
    <w:rsid w:val="1B072721"/>
    <w:rsid w:val="1B282499"/>
    <w:rsid w:val="1B317F33"/>
    <w:rsid w:val="1B3B029F"/>
    <w:rsid w:val="1B3B13F5"/>
    <w:rsid w:val="1B3D7BDF"/>
    <w:rsid w:val="1B473410"/>
    <w:rsid w:val="1B53692C"/>
    <w:rsid w:val="1BA8495C"/>
    <w:rsid w:val="1BB61DD9"/>
    <w:rsid w:val="1BE01F16"/>
    <w:rsid w:val="1C0E648D"/>
    <w:rsid w:val="1C1E1DC1"/>
    <w:rsid w:val="1C314A29"/>
    <w:rsid w:val="1C317C7E"/>
    <w:rsid w:val="1C5356EF"/>
    <w:rsid w:val="1C8B7974"/>
    <w:rsid w:val="1CB36944"/>
    <w:rsid w:val="1D16412B"/>
    <w:rsid w:val="1D1A0DBF"/>
    <w:rsid w:val="1D1E7745"/>
    <w:rsid w:val="1D2B0216"/>
    <w:rsid w:val="1D2D53EC"/>
    <w:rsid w:val="1D350C0D"/>
    <w:rsid w:val="1D3A7C22"/>
    <w:rsid w:val="1D5B61E6"/>
    <w:rsid w:val="1D5F6F9E"/>
    <w:rsid w:val="1D7B5F47"/>
    <w:rsid w:val="1D917F0B"/>
    <w:rsid w:val="1D9259F6"/>
    <w:rsid w:val="1DA046A6"/>
    <w:rsid w:val="1DA85311"/>
    <w:rsid w:val="1DB774C0"/>
    <w:rsid w:val="1E431CAF"/>
    <w:rsid w:val="1E557791"/>
    <w:rsid w:val="1E64188F"/>
    <w:rsid w:val="1E666DE3"/>
    <w:rsid w:val="1E6F7F18"/>
    <w:rsid w:val="1E7148AD"/>
    <w:rsid w:val="1EA556AE"/>
    <w:rsid w:val="1EC60F40"/>
    <w:rsid w:val="1EEE706A"/>
    <w:rsid w:val="1EF56774"/>
    <w:rsid w:val="1F00136A"/>
    <w:rsid w:val="1F445432"/>
    <w:rsid w:val="1F4A3B9F"/>
    <w:rsid w:val="1F9048FC"/>
    <w:rsid w:val="1FA56D3B"/>
    <w:rsid w:val="1FF32162"/>
    <w:rsid w:val="2018173E"/>
    <w:rsid w:val="203B7048"/>
    <w:rsid w:val="204775B2"/>
    <w:rsid w:val="206A4C40"/>
    <w:rsid w:val="20A522BB"/>
    <w:rsid w:val="20B0162F"/>
    <w:rsid w:val="20E27E60"/>
    <w:rsid w:val="20F62E33"/>
    <w:rsid w:val="21304699"/>
    <w:rsid w:val="214E7870"/>
    <w:rsid w:val="215E4FAB"/>
    <w:rsid w:val="216D5541"/>
    <w:rsid w:val="217F7A86"/>
    <w:rsid w:val="21E23326"/>
    <w:rsid w:val="222258EE"/>
    <w:rsid w:val="223C36D7"/>
    <w:rsid w:val="223F1EE9"/>
    <w:rsid w:val="22976AE8"/>
    <w:rsid w:val="22AA267B"/>
    <w:rsid w:val="22B86265"/>
    <w:rsid w:val="22BE3CB0"/>
    <w:rsid w:val="22D91F81"/>
    <w:rsid w:val="232E269F"/>
    <w:rsid w:val="23736E8D"/>
    <w:rsid w:val="2385319A"/>
    <w:rsid w:val="23856B46"/>
    <w:rsid w:val="239973DA"/>
    <w:rsid w:val="23A8156D"/>
    <w:rsid w:val="23C37A6E"/>
    <w:rsid w:val="23CE57AE"/>
    <w:rsid w:val="23EB789A"/>
    <w:rsid w:val="242B5917"/>
    <w:rsid w:val="243741D6"/>
    <w:rsid w:val="243B00FC"/>
    <w:rsid w:val="245528AC"/>
    <w:rsid w:val="247D5AA8"/>
    <w:rsid w:val="24A417BB"/>
    <w:rsid w:val="24AE3B6A"/>
    <w:rsid w:val="24B40631"/>
    <w:rsid w:val="24CC07A8"/>
    <w:rsid w:val="24E56989"/>
    <w:rsid w:val="250066FE"/>
    <w:rsid w:val="253379D6"/>
    <w:rsid w:val="25373087"/>
    <w:rsid w:val="255D1336"/>
    <w:rsid w:val="259A2EBC"/>
    <w:rsid w:val="25A94438"/>
    <w:rsid w:val="25DD42B4"/>
    <w:rsid w:val="25ED42A4"/>
    <w:rsid w:val="260332E1"/>
    <w:rsid w:val="2604237F"/>
    <w:rsid w:val="26123EE1"/>
    <w:rsid w:val="261E4108"/>
    <w:rsid w:val="2621768A"/>
    <w:rsid w:val="26257636"/>
    <w:rsid w:val="26292A28"/>
    <w:rsid w:val="262E2431"/>
    <w:rsid w:val="263877EF"/>
    <w:rsid w:val="26427C13"/>
    <w:rsid w:val="265A438E"/>
    <w:rsid w:val="26BC38BA"/>
    <w:rsid w:val="26D174E0"/>
    <w:rsid w:val="26EA1DB4"/>
    <w:rsid w:val="2718248E"/>
    <w:rsid w:val="271A44C8"/>
    <w:rsid w:val="27215E65"/>
    <w:rsid w:val="272D1A5A"/>
    <w:rsid w:val="2742136D"/>
    <w:rsid w:val="276D4EBD"/>
    <w:rsid w:val="276D624A"/>
    <w:rsid w:val="277527C9"/>
    <w:rsid w:val="279B0BE0"/>
    <w:rsid w:val="27AC55ED"/>
    <w:rsid w:val="27B65134"/>
    <w:rsid w:val="27BD7CB3"/>
    <w:rsid w:val="27F81F2C"/>
    <w:rsid w:val="282A2FBF"/>
    <w:rsid w:val="284D4CE1"/>
    <w:rsid w:val="28884F3F"/>
    <w:rsid w:val="288A3A6E"/>
    <w:rsid w:val="289B53DE"/>
    <w:rsid w:val="28EA36A0"/>
    <w:rsid w:val="29230D98"/>
    <w:rsid w:val="29734AA2"/>
    <w:rsid w:val="29975184"/>
    <w:rsid w:val="29B27D0E"/>
    <w:rsid w:val="29B60371"/>
    <w:rsid w:val="29B96DA4"/>
    <w:rsid w:val="29EB44B2"/>
    <w:rsid w:val="2A1C19FE"/>
    <w:rsid w:val="2A560798"/>
    <w:rsid w:val="2A6B032A"/>
    <w:rsid w:val="2A7864C1"/>
    <w:rsid w:val="2A8D307C"/>
    <w:rsid w:val="2A9F612F"/>
    <w:rsid w:val="2AAF2EFC"/>
    <w:rsid w:val="2ADD4741"/>
    <w:rsid w:val="2AF66151"/>
    <w:rsid w:val="2AF9698D"/>
    <w:rsid w:val="2B09048E"/>
    <w:rsid w:val="2B1400CF"/>
    <w:rsid w:val="2B1701F4"/>
    <w:rsid w:val="2B4138A5"/>
    <w:rsid w:val="2B843AC4"/>
    <w:rsid w:val="2B8A15BC"/>
    <w:rsid w:val="2B947C37"/>
    <w:rsid w:val="2B960392"/>
    <w:rsid w:val="2BAC24A6"/>
    <w:rsid w:val="2BAC6B19"/>
    <w:rsid w:val="2BBF0E89"/>
    <w:rsid w:val="2BC75583"/>
    <w:rsid w:val="2BEB29E9"/>
    <w:rsid w:val="2C336D31"/>
    <w:rsid w:val="2C337AAD"/>
    <w:rsid w:val="2C461694"/>
    <w:rsid w:val="2C4E6FBB"/>
    <w:rsid w:val="2C623D16"/>
    <w:rsid w:val="2C78448C"/>
    <w:rsid w:val="2C875270"/>
    <w:rsid w:val="2C965415"/>
    <w:rsid w:val="2CB23F2C"/>
    <w:rsid w:val="2CD813D3"/>
    <w:rsid w:val="2CE74F46"/>
    <w:rsid w:val="2D084BDC"/>
    <w:rsid w:val="2D0869D1"/>
    <w:rsid w:val="2D266300"/>
    <w:rsid w:val="2D430728"/>
    <w:rsid w:val="2D470279"/>
    <w:rsid w:val="2D67146E"/>
    <w:rsid w:val="2D786683"/>
    <w:rsid w:val="2D962B7E"/>
    <w:rsid w:val="2DB83D5C"/>
    <w:rsid w:val="2DED5358"/>
    <w:rsid w:val="2DEE79B2"/>
    <w:rsid w:val="2DF410A0"/>
    <w:rsid w:val="2DF64E15"/>
    <w:rsid w:val="2DF802B3"/>
    <w:rsid w:val="2E152094"/>
    <w:rsid w:val="2E1F33B7"/>
    <w:rsid w:val="2E2B674B"/>
    <w:rsid w:val="2E3B4D8F"/>
    <w:rsid w:val="2E690389"/>
    <w:rsid w:val="2E705D56"/>
    <w:rsid w:val="2E93460F"/>
    <w:rsid w:val="2ED628B7"/>
    <w:rsid w:val="2EF354FE"/>
    <w:rsid w:val="2F0371B0"/>
    <w:rsid w:val="2F6273BF"/>
    <w:rsid w:val="2F7560D1"/>
    <w:rsid w:val="2F822E24"/>
    <w:rsid w:val="2F90501C"/>
    <w:rsid w:val="2FE8455B"/>
    <w:rsid w:val="2FE95C27"/>
    <w:rsid w:val="2FFC638E"/>
    <w:rsid w:val="302B23F0"/>
    <w:rsid w:val="302D1C95"/>
    <w:rsid w:val="30334951"/>
    <w:rsid w:val="303F1F52"/>
    <w:rsid w:val="30600FDD"/>
    <w:rsid w:val="30656F02"/>
    <w:rsid w:val="30A51AD1"/>
    <w:rsid w:val="30B413CC"/>
    <w:rsid w:val="30FD6FF5"/>
    <w:rsid w:val="3131082A"/>
    <w:rsid w:val="313425ED"/>
    <w:rsid w:val="313F1551"/>
    <w:rsid w:val="31A937D0"/>
    <w:rsid w:val="31B0675F"/>
    <w:rsid w:val="31B52536"/>
    <w:rsid w:val="31CC7FFB"/>
    <w:rsid w:val="31D04654"/>
    <w:rsid w:val="31E63009"/>
    <w:rsid w:val="31E92B10"/>
    <w:rsid w:val="31F26519"/>
    <w:rsid w:val="322D122B"/>
    <w:rsid w:val="322E4F53"/>
    <w:rsid w:val="326D247F"/>
    <w:rsid w:val="32A75BAB"/>
    <w:rsid w:val="32D71E4A"/>
    <w:rsid w:val="330E4AA6"/>
    <w:rsid w:val="3327108A"/>
    <w:rsid w:val="33370807"/>
    <w:rsid w:val="3347396E"/>
    <w:rsid w:val="334808EA"/>
    <w:rsid w:val="337803D8"/>
    <w:rsid w:val="33CE2E13"/>
    <w:rsid w:val="3425303A"/>
    <w:rsid w:val="343C3638"/>
    <w:rsid w:val="347B3F37"/>
    <w:rsid w:val="34AE330A"/>
    <w:rsid w:val="34F84A14"/>
    <w:rsid w:val="34FD55E0"/>
    <w:rsid w:val="350C652A"/>
    <w:rsid w:val="355634B1"/>
    <w:rsid w:val="355A1802"/>
    <w:rsid w:val="35842B40"/>
    <w:rsid w:val="35B25B7D"/>
    <w:rsid w:val="35C0722D"/>
    <w:rsid w:val="35C91C5E"/>
    <w:rsid w:val="3642530D"/>
    <w:rsid w:val="36436038"/>
    <w:rsid w:val="36546FA8"/>
    <w:rsid w:val="367312C8"/>
    <w:rsid w:val="367C374B"/>
    <w:rsid w:val="36876A24"/>
    <w:rsid w:val="36A106FF"/>
    <w:rsid w:val="36A20F50"/>
    <w:rsid w:val="36A91052"/>
    <w:rsid w:val="37074A11"/>
    <w:rsid w:val="37095609"/>
    <w:rsid w:val="3772755D"/>
    <w:rsid w:val="37941B92"/>
    <w:rsid w:val="379C15D3"/>
    <w:rsid w:val="37AF2962"/>
    <w:rsid w:val="37B04A5B"/>
    <w:rsid w:val="37C026C0"/>
    <w:rsid w:val="37D0665A"/>
    <w:rsid w:val="38054D85"/>
    <w:rsid w:val="38146F9B"/>
    <w:rsid w:val="38436ADE"/>
    <w:rsid w:val="38883265"/>
    <w:rsid w:val="38AC1CC4"/>
    <w:rsid w:val="390455C8"/>
    <w:rsid w:val="392711B7"/>
    <w:rsid w:val="394043E4"/>
    <w:rsid w:val="394A00C4"/>
    <w:rsid w:val="39704603"/>
    <w:rsid w:val="399A2295"/>
    <w:rsid w:val="39D73083"/>
    <w:rsid w:val="39F914B3"/>
    <w:rsid w:val="3A076BBA"/>
    <w:rsid w:val="3A0D1C58"/>
    <w:rsid w:val="3A136626"/>
    <w:rsid w:val="3A2E4CC2"/>
    <w:rsid w:val="3A45433C"/>
    <w:rsid w:val="3A486CF8"/>
    <w:rsid w:val="3A66264B"/>
    <w:rsid w:val="3ACA4067"/>
    <w:rsid w:val="3AD136DE"/>
    <w:rsid w:val="3B456C6F"/>
    <w:rsid w:val="3B494BA9"/>
    <w:rsid w:val="3B6A0C9F"/>
    <w:rsid w:val="3B884EC9"/>
    <w:rsid w:val="3B8D4D19"/>
    <w:rsid w:val="3BA03824"/>
    <w:rsid w:val="3BD020C5"/>
    <w:rsid w:val="3C0071B8"/>
    <w:rsid w:val="3C4533E3"/>
    <w:rsid w:val="3C604625"/>
    <w:rsid w:val="3C7D63B9"/>
    <w:rsid w:val="3C876A14"/>
    <w:rsid w:val="3CA05622"/>
    <w:rsid w:val="3CB27731"/>
    <w:rsid w:val="3CB55E96"/>
    <w:rsid w:val="3CE443F3"/>
    <w:rsid w:val="3D00259E"/>
    <w:rsid w:val="3D0C105D"/>
    <w:rsid w:val="3D3F0331"/>
    <w:rsid w:val="3D80093F"/>
    <w:rsid w:val="3D9520B5"/>
    <w:rsid w:val="3D9C10B4"/>
    <w:rsid w:val="3DA9522F"/>
    <w:rsid w:val="3DC908C6"/>
    <w:rsid w:val="3E5102CA"/>
    <w:rsid w:val="3E9075B2"/>
    <w:rsid w:val="3EA730B9"/>
    <w:rsid w:val="3ED43F1F"/>
    <w:rsid w:val="3EF04AEB"/>
    <w:rsid w:val="3F0F69F4"/>
    <w:rsid w:val="3F1009E8"/>
    <w:rsid w:val="3F3B517E"/>
    <w:rsid w:val="3F9D1749"/>
    <w:rsid w:val="3F9E5C9A"/>
    <w:rsid w:val="3FA0335B"/>
    <w:rsid w:val="3FF06B46"/>
    <w:rsid w:val="3FF838DD"/>
    <w:rsid w:val="3FFC1470"/>
    <w:rsid w:val="3FFF0F4C"/>
    <w:rsid w:val="401459E2"/>
    <w:rsid w:val="401A097A"/>
    <w:rsid w:val="402B188B"/>
    <w:rsid w:val="403E1E5B"/>
    <w:rsid w:val="408D38DE"/>
    <w:rsid w:val="40A1023E"/>
    <w:rsid w:val="40B64517"/>
    <w:rsid w:val="40BA4DAE"/>
    <w:rsid w:val="40FE1E1B"/>
    <w:rsid w:val="41006500"/>
    <w:rsid w:val="413C236F"/>
    <w:rsid w:val="4171143D"/>
    <w:rsid w:val="417B61D8"/>
    <w:rsid w:val="41973131"/>
    <w:rsid w:val="41C74FFE"/>
    <w:rsid w:val="421B2ECC"/>
    <w:rsid w:val="42485461"/>
    <w:rsid w:val="42624102"/>
    <w:rsid w:val="426376A0"/>
    <w:rsid w:val="426E55B3"/>
    <w:rsid w:val="4280555E"/>
    <w:rsid w:val="42A87727"/>
    <w:rsid w:val="42B100E1"/>
    <w:rsid w:val="42CD1A7E"/>
    <w:rsid w:val="42D515B0"/>
    <w:rsid w:val="42E01C7B"/>
    <w:rsid w:val="430D6BDD"/>
    <w:rsid w:val="430F35F3"/>
    <w:rsid w:val="43100147"/>
    <w:rsid w:val="431D7965"/>
    <w:rsid w:val="432C64AC"/>
    <w:rsid w:val="43581E5B"/>
    <w:rsid w:val="436718F8"/>
    <w:rsid w:val="439523B0"/>
    <w:rsid w:val="43953AB7"/>
    <w:rsid w:val="4395585E"/>
    <w:rsid w:val="43A507CE"/>
    <w:rsid w:val="43E000F9"/>
    <w:rsid w:val="43F90F3B"/>
    <w:rsid w:val="43FF7BD1"/>
    <w:rsid w:val="440230F8"/>
    <w:rsid w:val="44313ADA"/>
    <w:rsid w:val="44655647"/>
    <w:rsid w:val="44655966"/>
    <w:rsid w:val="44732E22"/>
    <w:rsid w:val="44EC7F57"/>
    <w:rsid w:val="456D6971"/>
    <w:rsid w:val="457134D6"/>
    <w:rsid w:val="45AF3BB4"/>
    <w:rsid w:val="45C707CE"/>
    <w:rsid w:val="45FA1099"/>
    <w:rsid w:val="46050A63"/>
    <w:rsid w:val="460D747C"/>
    <w:rsid w:val="46194719"/>
    <w:rsid w:val="462A6BF3"/>
    <w:rsid w:val="4641173A"/>
    <w:rsid w:val="466035F5"/>
    <w:rsid w:val="467A6960"/>
    <w:rsid w:val="46CB25FB"/>
    <w:rsid w:val="46E73A9D"/>
    <w:rsid w:val="47187E9A"/>
    <w:rsid w:val="473E40AB"/>
    <w:rsid w:val="4744627B"/>
    <w:rsid w:val="47456547"/>
    <w:rsid w:val="474F3022"/>
    <w:rsid w:val="47B81E47"/>
    <w:rsid w:val="47C20D98"/>
    <w:rsid w:val="47FE3492"/>
    <w:rsid w:val="48483F7F"/>
    <w:rsid w:val="4853644C"/>
    <w:rsid w:val="48697D37"/>
    <w:rsid w:val="486D0579"/>
    <w:rsid w:val="488F3F8D"/>
    <w:rsid w:val="48904946"/>
    <w:rsid w:val="489E4331"/>
    <w:rsid w:val="48A77428"/>
    <w:rsid w:val="48F701F3"/>
    <w:rsid w:val="490546FB"/>
    <w:rsid w:val="490D4385"/>
    <w:rsid w:val="492F0336"/>
    <w:rsid w:val="496B053C"/>
    <w:rsid w:val="498A6BB7"/>
    <w:rsid w:val="498E2FDD"/>
    <w:rsid w:val="499758D7"/>
    <w:rsid w:val="499A1FBF"/>
    <w:rsid w:val="49AE1E44"/>
    <w:rsid w:val="49B465E4"/>
    <w:rsid w:val="49D36B22"/>
    <w:rsid w:val="4A2D795D"/>
    <w:rsid w:val="4A5339DF"/>
    <w:rsid w:val="4A786F8C"/>
    <w:rsid w:val="4ABD1827"/>
    <w:rsid w:val="4AD51900"/>
    <w:rsid w:val="4AE75E3F"/>
    <w:rsid w:val="4B1F151D"/>
    <w:rsid w:val="4B4E43C2"/>
    <w:rsid w:val="4B7C795F"/>
    <w:rsid w:val="4B9E1622"/>
    <w:rsid w:val="4B9E5499"/>
    <w:rsid w:val="4BAA7DA5"/>
    <w:rsid w:val="4BD73E5B"/>
    <w:rsid w:val="4BDC61D3"/>
    <w:rsid w:val="4C30340E"/>
    <w:rsid w:val="4C371ED4"/>
    <w:rsid w:val="4C3F09F6"/>
    <w:rsid w:val="4C577947"/>
    <w:rsid w:val="4CAA56B2"/>
    <w:rsid w:val="4CAA5EE5"/>
    <w:rsid w:val="4CB40769"/>
    <w:rsid w:val="4CB81C26"/>
    <w:rsid w:val="4CD66B95"/>
    <w:rsid w:val="4CDB1460"/>
    <w:rsid w:val="4D1B13DF"/>
    <w:rsid w:val="4D33299C"/>
    <w:rsid w:val="4D345AFC"/>
    <w:rsid w:val="4D66747F"/>
    <w:rsid w:val="4D8957DD"/>
    <w:rsid w:val="4D98627E"/>
    <w:rsid w:val="4DB57276"/>
    <w:rsid w:val="4DB608B0"/>
    <w:rsid w:val="4DC2344C"/>
    <w:rsid w:val="4DCC5302"/>
    <w:rsid w:val="4DD27F78"/>
    <w:rsid w:val="4DD95517"/>
    <w:rsid w:val="4E265F35"/>
    <w:rsid w:val="4E2C43E6"/>
    <w:rsid w:val="4E4F07F9"/>
    <w:rsid w:val="4E581AB8"/>
    <w:rsid w:val="4E6C371F"/>
    <w:rsid w:val="4E7960B8"/>
    <w:rsid w:val="4E80380F"/>
    <w:rsid w:val="4E883291"/>
    <w:rsid w:val="4E8B2172"/>
    <w:rsid w:val="4E8B7D73"/>
    <w:rsid w:val="4E944E04"/>
    <w:rsid w:val="4E9D3F55"/>
    <w:rsid w:val="4ED34C95"/>
    <w:rsid w:val="4EF0430E"/>
    <w:rsid w:val="4F0066A1"/>
    <w:rsid w:val="4F460EAC"/>
    <w:rsid w:val="4F6039D5"/>
    <w:rsid w:val="4F6A65DF"/>
    <w:rsid w:val="4FA55E13"/>
    <w:rsid w:val="4FA92537"/>
    <w:rsid w:val="4FB6225D"/>
    <w:rsid w:val="4FD16883"/>
    <w:rsid w:val="4FE71F4D"/>
    <w:rsid w:val="4FEE547C"/>
    <w:rsid w:val="500451B4"/>
    <w:rsid w:val="50513DBE"/>
    <w:rsid w:val="50634346"/>
    <w:rsid w:val="506E0E2C"/>
    <w:rsid w:val="50A12BDE"/>
    <w:rsid w:val="50A22415"/>
    <w:rsid w:val="50D13A2E"/>
    <w:rsid w:val="512831A6"/>
    <w:rsid w:val="51287539"/>
    <w:rsid w:val="513349FD"/>
    <w:rsid w:val="513A07B6"/>
    <w:rsid w:val="513A2D43"/>
    <w:rsid w:val="51505520"/>
    <w:rsid w:val="51530094"/>
    <w:rsid w:val="51545314"/>
    <w:rsid w:val="515C0C04"/>
    <w:rsid w:val="51646D1A"/>
    <w:rsid w:val="51BD1681"/>
    <w:rsid w:val="51BE54FC"/>
    <w:rsid w:val="51C50C88"/>
    <w:rsid w:val="51C57BB6"/>
    <w:rsid w:val="51CF3A07"/>
    <w:rsid w:val="51D171E5"/>
    <w:rsid w:val="51D25FE1"/>
    <w:rsid w:val="51E1750A"/>
    <w:rsid w:val="51E33E74"/>
    <w:rsid w:val="520B7B24"/>
    <w:rsid w:val="521C0BB6"/>
    <w:rsid w:val="521C3A78"/>
    <w:rsid w:val="52363A6E"/>
    <w:rsid w:val="523A133F"/>
    <w:rsid w:val="52736C91"/>
    <w:rsid w:val="5293771F"/>
    <w:rsid w:val="529B64F9"/>
    <w:rsid w:val="52AB57B0"/>
    <w:rsid w:val="52BC6B1E"/>
    <w:rsid w:val="52D16BF7"/>
    <w:rsid w:val="53072F3F"/>
    <w:rsid w:val="5324447A"/>
    <w:rsid w:val="53301796"/>
    <w:rsid w:val="535378DE"/>
    <w:rsid w:val="53A25C1A"/>
    <w:rsid w:val="53C26E85"/>
    <w:rsid w:val="53D85BFC"/>
    <w:rsid w:val="540E28F0"/>
    <w:rsid w:val="542E491F"/>
    <w:rsid w:val="543B6AE0"/>
    <w:rsid w:val="546062BA"/>
    <w:rsid w:val="546C4910"/>
    <w:rsid w:val="547D3B66"/>
    <w:rsid w:val="54922220"/>
    <w:rsid w:val="549B7165"/>
    <w:rsid w:val="54D53B92"/>
    <w:rsid w:val="54E925B3"/>
    <w:rsid w:val="55002B5A"/>
    <w:rsid w:val="556C3448"/>
    <w:rsid w:val="558B56DE"/>
    <w:rsid w:val="559A60A0"/>
    <w:rsid w:val="56426652"/>
    <w:rsid w:val="56535110"/>
    <w:rsid w:val="566057C7"/>
    <w:rsid w:val="566A15A8"/>
    <w:rsid w:val="569354B1"/>
    <w:rsid w:val="569F2C55"/>
    <w:rsid w:val="56B471B4"/>
    <w:rsid w:val="56BC5B54"/>
    <w:rsid w:val="56C13B29"/>
    <w:rsid w:val="57064EA9"/>
    <w:rsid w:val="57305B52"/>
    <w:rsid w:val="575631D2"/>
    <w:rsid w:val="5762594A"/>
    <w:rsid w:val="576D7290"/>
    <w:rsid w:val="57C33473"/>
    <w:rsid w:val="57EB4109"/>
    <w:rsid w:val="580751C1"/>
    <w:rsid w:val="58471CAD"/>
    <w:rsid w:val="585574D5"/>
    <w:rsid w:val="58582053"/>
    <w:rsid w:val="58680E1B"/>
    <w:rsid w:val="58705FC5"/>
    <w:rsid w:val="58745084"/>
    <w:rsid w:val="587D1CE7"/>
    <w:rsid w:val="59076E25"/>
    <w:rsid w:val="592E4D8C"/>
    <w:rsid w:val="59321703"/>
    <w:rsid w:val="594930E9"/>
    <w:rsid w:val="5959534D"/>
    <w:rsid w:val="596B460B"/>
    <w:rsid w:val="59A66247"/>
    <w:rsid w:val="59AD0976"/>
    <w:rsid w:val="59BA7A63"/>
    <w:rsid w:val="59EE166C"/>
    <w:rsid w:val="59EF00DD"/>
    <w:rsid w:val="59FA3DCB"/>
    <w:rsid w:val="5A2019FD"/>
    <w:rsid w:val="5A4A011A"/>
    <w:rsid w:val="5A9B5664"/>
    <w:rsid w:val="5AAF1D42"/>
    <w:rsid w:val="5AB56805"/>
    <w:rsid w:val="5AC926ED"/>
    <w:rsid w:val="5AD672EA"/>
    <w:rsid w:val="5AE62910"/>
    <w:rsid w:val="5AF654A7"/>
    <w:rsid w:val="5B2E25C1"/>
    <w:rsid w:val="5B526DEA"/>
    <w:rsid w:val="5B93240F"/>
    <w:rsid w:val="5BA814CE"/>
    <w:rsid w:val="5BAD3376"/>
    <w:rsid w:val="5BC46201"/>
    <w:rsid w:val="5BC648F3"/>
    <w:rsid w:val="5C1A514B"/>
    <w:rsid w:val="5C321CD1"/>
    <w:rsid w:val="5C431A93"/>
    <w:rsid w:val="5C806A3E"/>
    <w:rsid w:val="5C8A3E79"/>
    <w:rsid w:val="5CC905AC"/>
    <w:rsid w:val="5CDA3CA1"/>
    <w:rsid w:val="5CE65D3B"/>
    <w:rsid w:val="5CEA2F22"/>
    <w:rsid w:val="5D301B5E"/>
    <w:rsid w:val="5D537D35"/>
    <w:rsid w:val="5D6338BC"/>
    <w:rsid w:val="5D737B74"/>
    <w:rsid w:val="5D851D93"/>
    <w:rsid w:val="5DB52ED4"/>
    <w:rsid w:val="5DC3245D"/>
    <w:rsid w:val="5DFB2052"/>
    <w:rsid w:val="5E111628"/>
    <w:rsid w:val="5E2249E7"/>
    <w:rsid w:val="5E2A0012"/>
    <w:rsid w:val="5E3407B3"/>
    <w:rsid w:val="5E424B36"/>
    <w:rsid w:val="5E575074"/>
    <w:rsid w:val="5E6B289C"/>
    <w:rsid w:val="5E706ACF"/>
    <w:rsid w:val="5E771697"/>
    <w:rsid w:val="5E9C653C"/>
    <w:rsid w:val="5EA3001C"/>
    <w:rsid w:val="5ECB712B"/>
    <w:rsid w:val="5EE13914"/>
    <w:rsid w:val="5EFA66AB"/>
    <w:rsid w:val="5F0251E8"/>
    <w:rsid w:val="5F095D8A"/>
    <w:rsid w:val="5F0B2DAF"/>
    <w:rsid w:val="5F135C40"/>
    <w:rsid w:val="5F3563C3"/>
    <w:rsid w:val="5F4D5468"/>
    <w:rsid w:val="5FAB7A18"/>
    <w:rsid w:val="5FC25AB6"/>
    <w:rsid w:val="5FC363A7"/>
    <w:rsid w:val="5FD96164"/>
    <w:rsid w:val="600C03BB"/>
    <w:rsid w:val="60135AAD"/>
    <w:rsid w:val="60212DA9"/>
    <w:rsid w:val="60215989"/>
    <w:rsid w:val="602C59C3"/>
    <w:rsid w:val="60506531"/>
    <w:rsid w:val="607118EE"/>
    <w:rsid w:val="60AC24F6"/>
    <w:rsid w:val="60C277F5"/>
    <w:rsid w:val="60E73EB1"/>
    <w:rsid w:val="60FF253F"/>
    <w:rsid w:val="610B655F"/>
    <w:rsid w:val="611067EB"/>
    <w:rsid w:val="616552B2"/>
    <w:rsid w:val="618417B4"/>
    <w:rsid w:val="61931EF3"/>
    <w:rsid w:val="619839DD"/>
    <w:rsid w:val="61AE3AC8"/>
    <w:rsid w:val="61C13BFA"/>
    <w:rsid w:val="61C50D79"/>
    <w:rsid w:val="61CA2071"/>
    <w:rsid w:val="61D01336"/>
    <w:rsid w:val="61D63EDA"/>
    <w:rsid w:val="61F544E2"/>
    <w:rsid w:val="6201592A"/>
    <w:rsid w:val="62084976"/>
    <w:rsid w:val="621363A6"/>
    <w:rsid w:val="622760E3"/>
    <w:rsid w:val="622D2C02"/>
    <w:rsid w:val="622F6651"/>
    <w:rsid w:val="6233790A"/>
    <w:rsid w:val="62523F0C"/>
    <w:rsid w:val="62687D5B"/>
    <w:rsid w:val="62701383"/>
    <w:rsid w:val="62752629"/>
    <w:rsid w:val="627D4BC8"/>
    <w:rsid w:val="62871E0E"/>
    <w:rsid w:val="629501CE"/>
    <w:rsid w:val="62A220EF"/>
    <w:rsid w:val="62D17084"/>
    <w:rsid w:val="62E223F2"/>
    <w:rsid w:val="62FC405D"/>
    <w:rsid w:val="63175D3F"/>
    <w:rsid w:val="632F59FF"/>
    <w:rsid w:val="634B337E"/>
    <w:rsid w:val="636C0CDB"/>
    <w:rsid w:val="63772071"/>
    <w:rsid w:val="63814C5E"/>
    <w:rsid w:val="63B72EE5"/>
    <w:rsid w:val="63ED50B6"/>
    <w:rsid w:val="640763BE"/>
    <w:rsid w:val="64416D9B"/>
    <w:rsid w:val="64555769"/>
    <w:rsid w:val="64761778"/>
    <w:rsid w:val="647A3012"/>
    <w:rsid w:val="64873E0F"/>
    <w:rsid w:val="64C70A52"/>
    <w:rsid w:val="64F14070"/>
    <w:rsid w:val="6540192B"/>
    <w:rsid w:val="65D515B1"/>
    <w:rsid w:val="661659C4"/>
    <w:rsid w:val="66457067"/>
    <w:rsid w:val="666D35AE"/>
    <w:rsid w:val="6673247C"/>
    <w:rsid w:val="668654DE"/>
    <w:rsid w:val="669C0C38"/>
    <w:rsid w:val="66F7206B"/>
    <w:rsid w:val="66FB6A7C"/>
    <w:rsid w:val="674404A6"/>
    <w:rsid w:val="674D23CD"/>
    <w:rsid w:val="67520465"/>
    <w:rsid w:val="67526E31"/>
    <w:rsid w:val="67897AF0"/>
    <w:rsid w:val="67D16432"/>
    <w:rsid w:val="67EB1D0F"/>
    <w:rsid w:val="67ED5E98"/>
    <w:rsid w:val="67F93045"/>
    <w:rsid w:val="68030C59"/>
    <w:rsid w:val="68053CDC"/>
    <w:rsid w:val="683315F2"/>
    <w:rsid w:val="68384F8F"/>
    <w:rsid w:val="685346F8"/>
    <w:rsid w:val="685A600A"/>
    <w:rsid w:val="685E7E08"/>
    <w:rsid w:val="68732318"/>
    <w:rsid w:val="68825E19"/>
    <w:rsid w:val="68DC128B"/>
    <w:rsid w:val="68F24AF6"/>
    <w:rsid w:val="691A62C6"/>
    <w:rsid w:val="691C603D"/>
    <w:rsid w:val="6969456F"/>
    <w:rsid w:val="69705AF8"/>
    <w:rsid w:val="697344C0"/>
    <w:rsid w:val="698A50AC"/>
    <w:rsid w:val="699F4416"/>
    <w:rsid w:val="69D7212A"/>
    <w:rsid w:val="69FD776F"/>
    <w:rsid w:val="6A4643CF"/>
    <w:rsid w:val="6A4928BD"/>
    <w:rsid w:val="6A6B044D"/>
    <w:rsid w:val="6A6B7140"/>
    <w:rsid w:val="6A8C371C"/>
    <w:rsid w:val="6A9034D2"/>
    <w:rsid w:val="6AA84FFB"/>
    <w:rsid w:val="6AF771C8"/>
    <w:rsid w:val="6AFA6964"/>
    <w:rsid w:val="6B001842"/>
    <w:rsid w:val="6B01423D"/>
    <w:rsid w:val="6B0A2AF3"/>
    <w:rsid w:val="6B4414F0"/>
    <w:rsid w:val="6B565AA8"/>
    <w:rsid w:val="6B5748FF"/>
    <w:rsid w:val="6B7B2B55"/>
    <w:rsid w:val="6B9F0C46"/>
    <w:rsid w:val="6BC321EF"/>
    <w:rsid w:val="6BD41082"/>
    <w:rsid w:val="6BE43EF7"/>
    <w:rsid w:val="6BF9582A"/>
    <w:rsid w:val="6C1C58EB"/>
    <w:rsid w:val="6C2B64B6"/>
    <w:rsid w:val="6C4B06A2"/>
    <w:rsid w:val="6C6555E3"/>
    <w:rsid w:val="6C6F1CAD"/>
    <w:rsid w:val="6C8501AE"/>
    <w:rsid w:val="6CA060FB"/>
    <w:rsid w:val="6CA06AC4"/>
    <w:rsid w:val="6D2263C3"/>
    <w:rsid w:val="6D357968"/>
    <w:rsid w:val="6D7A6056"/>
    <w:rsid w:val="6D8212B7"/>
    <w:rsid w:val="6D830E12"/>
    <w:rsid w:val="6DB91241"/>
    <w:rsid w:val="6DE366CA"/>
    <w:rsid w:val="6DEF1072"/>
    <w:rsid w:val="6DF66873"/>
    <w:rsid w:val="6DF87BD4"/>
    <w:rsid w:val="6DFE5E41"/>
    <w:rsid w:val="6E027CA2"/>
    <w:rsid w:val="6E115D2C"/>
    <w:rsid w:val="6E3423AA"/>
    <w:rsid w:val="6E9A5546"/>
    <w:rsid w:val="6EE27C76"/>
    <w:rsid w:val="6EE946BF"/>
    <w:rsid w:val="6EF13F81"/>
    <w:rsid w:val="6F0F3454"/>
    <w:rsid w:val="6F3F4000"/>
    <w:rsid w:val="6F4469B9"/>
    <w:rsid w:val="6F5B58A9"/>
    <w:rsid w:val="6F7870DC"/>
    <w:rsid w:val="7014078E"/>
    <w:rsid w:val="703062F3"/>
    <w:rsid w:val="706E1F45"/>
    <w:rsid w:val="706F49DA"/>
    <w:rsid w:val="7071160C"/>
    <w:rsid w:val="709F2080"/>
    <w:rsid w:val="70A2025E"/>
    <w:rsid w:val="70A30984"/>
    <w:rsid w:val="70C917AA"/>
    <w:rsid w:val="70D41C98"/>
    <w:rsid w:val="70E819EC"/>
    <w:rsid w:val="70F02008"/>
    <w:rsid w:val="70F14C5F"/>
    <w:rsid w:val="7132631C"/>
    <w:rsid w:val="717E1969"/>
    <w:rsid w:val="7184468B"/>
    <w:rsid w:val="71BB560F"/>
    <w:rsid w:val="71CD5DBA"/>
    <w:rsid w:val="71DA1C38"/>
    <w:rsid w:val="71E05DC1"/>
    <w:rsid w:val="721026A7"/>
    <w:rsid w:val="721C3518"/>
    <w:rsid w:val="721E66BD"/>
    <w:rsid w:val="723104CD"/>
    <w:rsid w:val="72536B56"/>
    <w:rsid w:val="72787E4E"/>
    <w:rsid w:val="729E164B"/>
    <w:rsid w:val="72C3452E"/>
    <w:rsid w:val="72F70913"/>
    <w:rsid w:val="733E5D12"/>
    <w:rsid w:val="73AA2F3F"/>
    <w:rsid w:val="73DC55C9"/>
    <w:rsid w:val="73E412FE"/>
    <w:rsid w:val="73EF726A"/>
    <w:rsid w:val="74115BC8"/>
    <w:rsid w:val="741268A9"/>
    <w:rsid w:val="741369A5"/>
    <w:rsid w:val="74435A34"/>
    <w:rsid w:val="74657F16"/>
    <w:rsid w:val="74675EF3"/>
    <w:rsid w:val="74A1707C"/>
    <w:rsid w:val="74BD16B9"/>
    <w:rsid w:val="750521E8"/>
    <w:rsid w:val="75364955"/>
    <w:rsid w:val="75396C52"/>
    <w:rsid w:val="753D4076"/>
    <w:rsid w:val="754B71DC"/>
    <w:rsid w:val="757A4188"/>
    <w:rsid w:val="757F3C79"/>
    <w:rsid w:val="759444D0"/>
    <w:rsid w:val="75B207EF"/>
    <w:rsid w:val="75B96A41"/>
    <w:rsid w:val="75DC6E28"/>
    <w:rsid w:val="75E05530"/>
    <w:rsid w:val="762A5C5B"/>
    <w:rsid w:val="76557DF7"/>
    <w:rsid w:val="767D12A6"/>
    <w:rsid w:val="76987D42"/>
    <w:rsid w:val="76992F80"/>
    <w:rsid w:val="76A676CF"/>
    <w:rsid w:val="76AD1C2C"/>
    <w:rsid w:val="76AD7DBE"/>
    <w:rsid w:val="76C52F8C"/>
    <w:rsid w:val="76D35374"/>
    <w:rsid w:val="76DB7DBB"/>
    <w:rsid w:val="76F740F6"/>
    <w:rsid w:val="76FC652B"/>
    <w:rsid w:val="7729054A"/>
    <w:rsid w:val="772D3436"/>
    <w:rsid w:val="772F2752"/>
    <w:rsid w:val="77C667E4"/>
    <w:rsid w:val="77DD6545"/>
    <w:rsid w:val="77EF25BF"/>
    <w:rsid w:val="77FA1E94"/>
    <w:rsid w:val="7835260B"/>
    <w:rsid w:val="78572C09"/>
    <w:rsid w:val="78AC2E84"/>
    <w:rsid w:val="78B26C4E"/>
    <w:rsid w:val="78C91043"/>
    <w:rsid w:val="79292F6F"/>
    <w:rsid w:val="792B19AA"/>
    <w:rsid w:val="793F37F2"/>
    <w:rsid w:val="79AE1496"/>
    <w:rsid w:val="79F67585"/>
    <w:rsid w:val="7A032C19"/>
    <w:rsid w:val="7A1507E2"/>
    <w:rsid w:val="7A193607"/>
    <w:rsid w:val="7A343E7F"/>
    <w:rsid w:val="7A3451CC"/>
    <w:rsid w:val="7A436A2A"/>
    <w:rsid w:val="7A52047C"/>
    <w:rsid w:val="7A6355C1"/>
    <w:rsid w:val="7A784B83"/>
    <w:rsid w:val="7A8F545A"/>
    <w:rsid w:val="7AB74CE8"/>
    <w:rsid w:val="7ABF146A"/>
    <w:rsid w:val="7AC2517E"/>
    <w:rsid w:val="7AF449DF"/>
    <w:rsid w:val="7AF828C6"/>
    <w:rsid w:val="7B1468FA"/>
    <w:rsid w:val="7B284CE0"/>
    <w:rsid w:val="7B366E08"/>
    <w:rsid w:val="7B53662E"/>
    <w:rsid w:val="7B6A615D"/>
    <w:rsid w:val="7B7E5148"/>
    <w:rsid w:val="7B9D72A8"/>
    <w:rsid w:val="7BF90168"/>
    <w:rsid w:val="7C0E27F5"/>
    <w:rsid w:val="7C1B2050"/>
    <w:rsid w:val="7C3009AD"/>
    <w:rsid w:val="7C3837D0"/>
    <w:rsid w:val="7C553194"/>
    <w:rsid w:val="7C627104"/>
    <w:rsid w:val="7C6B7CF2"/>
    <w:rsid w:val="7C6C2208"/>
    <w:rsid w:val="7C6F7FDF"/>
    <w:rsid w:val="7C7472F4"/>
    <w:rsid w:val="7C8829AF"/>
    <w:rsid w:val="7C9062CD"/>
    <w:rsid w:val="7C926EDE"/>
    <w:rsid w:val="7CB93445"/>
    <w:rsid w:val="7CD16BE7"/>
    <w:rsid w:val="7CD27EE2"/>
    <w:rsid w:val="7CDB2690"/>
    <w:rsid w:val="7CE60296"/>
    <w:rsid w:val="7CFA35EF"/>
    <w:rsid w:val="7D0470A8"/>
    <w:rsid w:val="7D356BBC"/>
    <w:rsid w:val="7D45427D"/>
    <w:rsid w:val="7D8F6910"/>
    <w:rsid w:val="7D970AD2"/>
    <w:rsid w:val="7DF75E96"/>
    <w:rsid w:val="7E2D6D82"/>
    <w:rsid w:val="7E3A5658"/>
    <w:rsid w:val="7E704ED7"/>
    <w:rsid w:val="7E83284D"/>
    <w:rsid w:val="7EC10DC2"/>
    <w:rsid w:val="7EE709A7"/>
    <w:rsid w:val="7F1A40D9"/>
    <w:rsid w:val="7F227DCD"/>
    <w:rsid w:val="7F3A1A7A"/>
    <w:rsid w:val="7F3B0416"/>
    <w:rsid w:val="7F4209F2"/>
    <w:rsid w:val="7F50673F"/>
    <w:rsid w:val="7F9937B2"/>
    <w:rsid w:val="7F9C554F"/>
    <w:rsid w:val="7FE91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46"/>
    <w:qFormat/>
    <w:uiPriority w:val="0"/>
    <w:pPr>
      <w:keepNext/>
      <w:keepLines/>
      <w:spacing w:before="340" w:after="330" w:line="576" w:lineRule="auto"/>
      <w:outlineLvl w:val="0"/>
    </w:pPr>
    <w:rPr>
      <w:rFonts w:ascii="Times New Roman" w:hAnsi="Times New Roman"/>
      <w:bCs/>
      <w:kern w:val="44"/>
      <w:sz w:val="44"/>
      <w:szCs w:val="44"/>
    </w:rPr>
  </w:style>
  <w:style w:type="paragraph" w:styleId="4">
    <w:name w:val="heading 2"/>
    <w:basedOn w:val="1"/>
    <w:next w:val="1"/>
    <w:link w:val="52"/>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57"/>
    <w:qFormat/>
    <w:uiPriority w:val="0"/>
    <w:pPr>
      <w:keepNext/>
      <w:keepLines/>
      <w:spacing w:before="260" w:after="260" w:line="415" w:lineRule="auto"/>
      <w:ind w:firstLine="137" w:firstLineChars="49"/>
      <w:outlineLvl w:val="2"/>
    </w:pPr>
    <w:rPr>
      <w:rFonts w:ascii="黑体" w:hAnsi="宋体" w:eastAsia="黑体"/>
      <w:bCs/>
      <w:sz w:val="28"/>
      <w:szCs w:val="28"/>
    </w:rPr>
  </w:style>
  <w:style w:type="paragraph" w:styleId="6">
    <w:name w:val="heading 4"/>
    <w:basedOn w:val="1"/>
    <w:next w:val="1"/>
    <w:link w:val="62"/>
    <w:qFormat/>
    <w:uiPriority w:val="0"/>
    <w:pPr>
      <w:keepNext/>
      <w:keepLines/>
      <w:spacing w:before="280" w:after="290" w:line="374" w:lineRule="auto"/>
      <w:outlineLvl w:val="3"/>
    </w:pPr>
    <w:rPr>
      <w:rFonts w:ascii="Arial" w:hAnsi="Arial" w:eastAsia="黑体"/>
      <w:b/>
      <w:bCs/>
      <w:sz w:val="28"/>
      <w:szCs w:val="28"/>
    </w:rPr>
  </w:style>
  <w:style w:type="paragraph" w:styleId="7">
    <w:name w:val="heading 6"/>
    <w:basedOn w:val="1"/>
    <w:next w:val="1"/>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Note Heading"/>
    <w:basedOn w:val="1"/>
    <w:next w:val="1"/>
    <w:qFormat/>
    <w:uiPriority w:val="0"/>
    <w:pPr>
      <w:snapToGrid w:val="0"/>
      <w:spacing w:before="120" w:after="120" w:line="320" w:lineRule="exact"/>
      <w:ind w:firstLine="413" w:firstLineChars="200"/>
    </w:pPr>
    <w:rPr>
      <w:rFonts w:ascii="宋体" w:hAnsi="宋体"/>
      <w:b/>
      <w:color w:val="000000"/>
    </w:rPr>
  </w:style>
  <w:style w:type="paragraph" w:styleId="11">
    <w:name w:val="toc 7"/>
    <w:basedOn w:val="1"/>
    <w:next w:val="1"/>
    <w:qFormat/>
    <w:uiPriority w:val="0"/>
    <w:pPr>
      <w:ind w:left="1260"/>
      <w:jc w:val="left"/>
    </w:pPr>
    <w:rPr>
      <w:sz w:val="18"/>
      <w:szCs w:val="18"/>
    </w:rPr>
  </w:style>
  <w:style w:type="paragraph" w:styleId="12">
    <w:name w:val="Normal Indent"/>
    <w:basedOn w:val="1"/>
    <w:qFormat/>
    <w:uiPriority w:val="0"/>
    <w:pPr>
      <w:ind w:firstLine="420" w:firstLineChars="200"/>
    </w:pPr>
  </w:style>
  <w:style w:type="paragraph" w:styleId="13">
    <w:name w:val="Document Map"/>
    <w:basedOn w:val="1"/>
    <w:link w:val="51"/>
    <w:qFormat/>
    <w:uiPriority w:val="0"/>
    <w:pPr>
      <w:shd w:val="clear" w:color="auto" w:fill="000080"/>
    </w:pPr>
    <w:rPr>
      <w:rFonts w:ascii="Times New Roman" w:hAnsi="Times New Roman"/>
    </w:rPr>
  </w:style>
  <w:style w:type="paragraph" w:styleId="14">
    <w:name w:val="annotation text"/>
    <w:basedOn w:val="1"/>
    <w:link w:val="60"/>
    <w:qFormat/>
    <w:uiPriority w:val="0"/>
    <w:pPr>
      <w:jc w:val="left"/>
    </w:pPr>
    <w:rPr>
      <w:rFonts w:ascii="Times New Roman" w:hAnsi="Times New Roman"/>
    </w:rPr>
  </w:style>
  <w:style w:type="paragraph" w:styleId="15">
    <w:name w:val="Body Text 3"/>
    <w:basedOn w:val="1"/>
    <w:qFormat/>
    <w:uiPriority w:val="0"/>
    <w:rPr>
      <w:rFonts w:ascii="宋体"/>
      <w:sz w:val="24"/>
      <w:szCs w:val="20"/>
    </w:rPr>
  </w:style>
  <w:style w:type="paragraph" w:styleId="16">
    <w:name w:val="Body Text"/>
    <w:basedOn w:val="1"/>
    <w:link w:val="58"/>
    <w:qFormat/>
    <w:uiPriority w:val="0"/>
    <w:pPr>
      <w:spacing w:after="120"/>
    </w:pPr>
    <w:rPr>
      <w:rFonts w:ascii="Times New Roman" w:hAnsi="Times New Roman"/>
    </w:rPr>
  </w:style>
  <w:style w:type="paragraph" w:styleId="17">
    <w:name w:val="Body Text Indent"/>
    <w:basedOn w:val="1"/>
    <w:qFormat/>
    <w:uiPriority w:val="0"/>
    <w:pPr>
      <w:spacing w:after="120"/>
      <w:ind w:left="420" w:leftChars="200"/>
    </w:pPr>
  </w:style>
  <w:style w:type="paragraph" w:styleId="18">
    <w:name w:val="toc 5"/>
    <w:basedOn w:val="1"/>
    <w:next w:val="1"/>
    <w:qFormat/>
    <w:uiPriority w:val="0"/>
    <w:pPr>
      <w:ind w:left="840"/>
      <w:jc w:val="left"/>
    </w:pPr>
    <w:rPr>
      <w:sz w:val="18"/>
      <w:szCs w:val="18"/>
    </w:rPr>
  </w:style>
  <w:style w:type="paragraph" w:styleId="19">
    <w:name w:val="toc 3"/>
    <w:basedOn w:val="1"/>
    <w:next w:val="1"/>
    <w:qFormat/>
    <w:uiPriority w:val="0"/>
    <w:pPr>
      <w:ind w:left="420"/>
      <w:jc w:val="left"/>
    </w:pPr>
    <w:rPr>
      <w:iCs/>
      <w:sz w:val="20"/>
      <w:szCs w:val="20"/>
    </w:rPr>
  </w:style>
  <w:style w:type="paragraph" w:styleId="20">
    <w:name w:val="Plain Text"/>
    <w:basedOn w:val="1"/>
    <w:next w:val="1"/>
    <w:link w:val="53"/>
    <w:qFormat/>
    <w:uiPriority w:val="0"/>
    <w:rPr>
      <w:rFonts w:hAnsi="Courier New"/>
      <w:sz w:val="20"/>
    </w:rPr>
  </w:style>
  <w:style w:type="paragraph" w:styleId="21">
    <w:name w:val="toc 8"/>
    <w:basedOn w:val="1"/>
    <w:next w:val="1"/>
    <w:qFormat/>
    <w:uiPriority w:val="0"/>
    <w:pPr>
      <w:ind w:left="1470"/>
      <w:jc w:val="left"/>
    </w:pPr>
    <w:rPr>
      <w:sz w:val="18"/>
      <w:szCs w:val="18"/>
    </w:rPr>
  </w:style>
  <w:style w:type="paragraph" w:styleId="22">
    <w:name w:val="Date"/>
    <w:basedOn w:val="1"/>
    <w:next w:val="1"/>
    <w:qFormat/>
    <w:uiPriority w:val="0"/>
    <w:rPr>
      <w:sz w:val="24"/>
      <w:szCs w:val="20"/>
    </w:rPr>
  </w:style>
  <w:style w:type="paragraph" w:styleId="23">
    <w:name w:val="Balloon Text"/>
    <w:basedOn w:val="1"/>
    <w:qFormat/>
    <w:uiPriority w:val="0"/>
    <w:rPr>
      <w:sz w:val="18"/>
      <w:szCs w:val="18"/>
    </w:rPr>
  </w:style>
  <w:style w:type="paragraph" w:styleId="24">
    <w:name w:val="footer"/>
    <w:basedOn w:val="1"/>
    <w:link w:val="48"/>
    <w:qFormat/>
    <w:uiPriority w:val="99"/>
    <w:pPr>
      <w:tabs>
        <w:tab w:val="center" w:pos="4153"/>
        <w:tab w:val="right" w:pos="8306"/>
      </w:tabs>
      <w:snapToGrid w:val="0"/>
      <w:jc w:val="left"/>
    </w:pPr>
    <w:rPr>
      <w:rFonts w:ascii="Times New Roman" w:hAnsi="Times New Roman"/>
      <w:sz w:val="18"/>
      <w:szCs w:val="18"/>
    </w:rPr>
  </w:style>
  <w:style w:type="paragraph" w:styleId="25">
    <w:name w:val="header"/>
    <w:basedOn w:val="1"/>
    <w:link w:val="55"/>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26">
    <w:name w:val="toc 1"/>
    <w:basedOn w:val="1"/>
    <w:next w:val="1"/>
    <w:qFormat/>
    <w:uiPriority w:val="0"/>
    <w:pPr>
      <w:spacing w:before="120" w:after="120"/>
      <w:jc w:val="left"/>
    </w:pPr>
    <w:rPr>
      <w:b/>
      <w:bCs/>
      <w:caps/>
      <w:sz w:val="20"/>
      <w:szCs w:val="20"/>
    </w:rPr>
  </w:style>
  <w:style w:type="paragraph" w:styleId="27">
    <w:name w:val="toc 4"/>
    <w:basedOn w:val="1"/>
    <w:next w:val="1"/>
    <w:qFormat/>
    <w:uiPriority w:val="0"/>
    <w:pPr>
      <w:ind w:left="630"/>
      <w:jc w:val="left"/>
    </w:pPr>
    <w:rPr>
      <w:sz w:val="18"/>
      <w:szCs w:val="18"/>
    </w:rPr>
  </w:style>
  <w:style w:type="paragraph" w:styleId="28">
    <w:name w:val="toc 6"/>
    <w:basedOn w:val="1"/>
    <w:next w:val="1"/>
    <w:qFormat/>
    <w:uiPriority w:val="0"/>
    <w:pPr>
      <w:ind w:left="1050"/>
      <w:jc w:val="left"/>
    </w:pPr>
    <w:rPr>
      <w:sz w:val="18"/>
      <w:szCs w:val="18"/>
    </w:rPr>
  </w:style>
  <w:style w:type="paragraph" w:styleId="29">
    <w:name w:val="Body Text Indent 3"/>
    <w:basedOn w:val="1"/>
    <w:qFormat/>
    <w:uiPriority w:val="0"/>
    <w:pPr>
      <w:spacing w:after="120"/>
      <w:ind w:left="420" w:leftChars="200"/>
    </w:pPr>
    <w:rPr>
      <w:sz w:val="16"/>
      <w:szCs w:val="16"/>
    </w:rPr>
  </w:style>
  <w:style w:type="paragraph" w:styleId="30">
    <w:name w:val="toc 2"/>
    <w:basedOn w:val="1"/>
    <w:next w:val="1"/>
    <w:qFormat/>
    <w:uiPriority w:val="0"/>
    <w:pPr>
      <w:ind w:left="210"/>
      <w:jc w:val="left"/>
    </w:pPr>
    <w:rPr>
      <w:smallCaps/>
      <w:sz w:val="20"/>
      <w:szCs w:val="20"/>
    </w:rPr>
  </w:style>
  <w:style w:type="paragraph" w:styleId="31">
    <w:name w:val="toc 9"/>
    <w:basedOn w:val="1"/>
    <w:next w:val="1"/>
    <w:qFormat/>
    <w:uiPriority w:val="0"/>
    <w:pPr>
      <w:ind w:left="1680"/>
      <w:jc w:val="left"/>
    </w:pPr>
    <w:rPr>
      <w:sz w:val="18"/>
      <w:szCs w:val="18"/>
    </w:rPr>
  </w:style>
  <w:style w:type="paragraph" w:styleId="32">
    <w:name w:val="Body Text 2"/>
    <w:basedOn w:val="1"/>
    <w:qFormat/>
    <w:uiPriority w:val="0"/>
    <w:rPr>
      <w:rFonts w:ascii="宋体" w:hAnsi="宋体"/>
      <w:kern w:val="0"/>
      <w:sz w:val="20"/>
      <w:u w:val="single"/>
    </w:rPr>
  </w:style>
  <w:style w:type="paragraph" w:styleId="3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4">
    <w:name w:val="index 1"/>
    <w:basedOn w:val="1"/>
    <w:next w:val="1"/>
    <w:qFormat/>
    <w:uiPriority w:val="0"/>
    <w:pPr>
      <w:spacing w:line="220" w:lineRule="exact"/>
      <w:jc w:val="center"/>
    </w:pPr>
    <w:rPr>
      <w:rFonts w:ascii="仿宋_GB2312" w:eastAsia="仿宋_GB2312"/>
      <w:szCs w:val="21"/>
    </w:rPr>
  </w:style>
  <w:style w:type="paragraph" w:styleId="35">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6">
    <w:name w:val="annotation subject"/>
    <w:basedOn w:val="14"/>
    <w:next w:val="14"/>
    <w:link w:val="50"/>
    <w:qFormat/>
    <w:uiPriority w:val="0"/>
    <w:pPr>
      <w:jc w:val="both"/>
    </w:pPr>
    <w:rPr>
      <w:b/>
      <w:bCs/>
    </w:rPr>
  </w:style>
  <w:style w:type="paragraph" w:styleId="37">
    <w:name w:val="Body Text First Indent"/>
    <w:basedOn w:val="16"/>
    <w:link w:val="56"/>
    <w:qFormat/>
    <w:uiPriority w:val="0"/>
    <w:pPr>
      <w:spacing w:line="312" w:lineRule="auto"/>
      <w:ind w:firstLine="420"/>
    </w:pPr>
  </w:style>
  <w:style w:type="table" w:styleId="39">
    <w:name w:val="Table Grid"/>
    <w:basedOn w:val="3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page number"/>
    <w:basedOn w:val="40"/>
    <w:qFormat/>
    <w:uiPriority w:val="0"/>
  </w:style>
  <w:style w:type="character" w:styleId="42">
    <w:name w:val="FollowedHyperlink"/>
    <w:qFormat/>
    <w:uiPriority w:val="0"/>
    <w:rPr>
      <w:color w:val="000000"/>
      <w:u w:val="none"/>
    </w:rPr>
  </w:style>
  <w:style w:type="character" w:styleId="43">
    <w:name w:val="Hyperlink"/>
    <w:qFormat/>
    <w:uiPriority w:val="0"/>
    <w:rPr>
      <w:color w:val="000000"/>
      <w:u w:val="none"/>
    </w:rPr>
  </w:style>
  <w:style w:type="character" w:styleId="44">
    <w:name w:val="annotation reference"/>
    <w:qFormat/>
    <w:uiPriority w:val="0"/>
    <w:rPr>
      <w:sz w:val="21"/>
      <w:szCs w:val="21"/>
    </w:rPr>
  </w:style>
  <w:style w:type="character" w:styleId="45">
    <w:name w:val="footnote reference"/>
    <w:qFormat/>
    <w:uiPriority w:val="0"/>
    <w:rPr>
      <w:vertAlign w:val="superscript"/>
    </w:rPr>
  </w:style>
  <w:style w:type="character" w:customStyle="1" w:styleId="46">
    <w:name w:val="标题 1 Char"/>
    <w:link w:val="3"/>
    <w:qFormat/>
    <w:uiPriority w:val="0"/>
    <w:rPr>
      <w:rFonts w:eastAsia="宋体"/>
      <w:b/>
      <w:bCs/>
      <w:kern w:val="44"/>
      <w:sz w:val="44"/>
      <w:szCs w:val="44"/>
      <w:lang w:val="en-US" w:eastAsia="zh-CN" w:bidi="ar-SA"/>
    </w:rPr>
  </w:style>
  <w:style w:type="character" w:customStyle="1" w:styleId="47">
    <w:name w:val="times1"/>
    <w:qFormat/>
    <w:uiPriority w:val="0"/>
    <w:rPr>
      <w:color w:val="CDCDCD"/>
      <w:bdr w:val="single" w:color="CDCDCD" w:sz="6" w:space="0"/>
      <w:shd w:val="clear" w:color="auto" w:fill="EFEFEF"/>
    </w:rPr>
  </w:style>
  <w:style w:type="character" w:customStyle="1" w:styleId="48">
    <w:name w:val="页脚 Char"/>
    <w:link w:val="24"/>
    <w:qFormat/>
    <w:uiPriority w:val="99"/>
    <w:rPr>
      <w:rFonts w:eastAsia="宋体"/>
      <w:kern w:val="2"/>
      <w:sz w:val="18"/>
      <w:szCs w:val="18"/>
      <w:lang w:val="en-US" w:eastAsia="zh-CN" w:bidi="ar-SA"/>
    </w:rPr>
  </w:style>
  <w:style w:type="character" w:customStyle="1" w:styleId="49">
    <w:name w:val="font161"/>
    <w:qFormat/>
    <w:uiPriority w:val="0"/>
    <w:rPr>
      <w:b/>
      <w:bCs/>
      <w:sz w:val="32"/>
      <w:szCs w:val="32"/>
    </w:rPr>
  </w:style>
  <w:style w:type="character" w:customStyle="1" w:styleId="50">
    <w:name w:val="批注主题 Char"/>
    <w:link w:val="36"/>
    <w:qFormat/>
    <w:uiPriority w:val="0"/>
    <w:rPr>
      <w:rFonts w:eastAsia="宋体"/>
      <w:b/>
      <w:bCs/>
      <w:kern w:val="2"/>
      <w:sz w:val="21"/>
      <w:szCs w:val="24"/>
      <w:lang w:val="en-US" w:eastAsia="zh-CN" w:bidi="ar-SA"/>
    </w:rPr>
  </w:style>
  <w:style w:type="character" w:customStyle="1" w:styleId="51">
    <w:name w:val="文档结构图 Char"/>
    <w:link w:val="13"/>
    <w:qFormat/>
    <w:uiPriority w:val="0"/>
    <w:rPr>
      <w:rFonts w:eastAsia="宋体"/>
      <w:kern w:val="2"/>
      <w:sz w:val="21"/>
      <w:szCs w:val="24"/>
      <w:lang w:val="en-US" w:eastAsia="zh-CN" w:bidi="ar-SA"/>
    </w:rPr>
  </w:style>
  <w:style w:type="character" w:customStyle="1" w:styleId="52">
    <w:name w:val="标题 2 Char"/>
    <w:link w:val="4"/>
    <w:qFormat/>
    <w:uiPriority w:val="0"/>
    <w:rPr>
      <w:rFonts w:ascii="Arial" w:hAnsi="Arial" w:eastAsia="黑体"/>
      <w:b/>
      <w:bCs/>
      <w:kern w:val="2"/>
      <w:sz w:val="32"/>
      <w:szCs w:val="32"/>
      <w:lang w:val="en-US" w:eastAsia="zh-CN" w:bidi="ar-SA"/>
    </w:rPr>
  </w:style>
  <w:style w:type="character" w:customStyle="1" w:styleId="53">
    <w:name w:val="纯文本 Char"/>
    <w:basedOn w:val="40"/>
    <w:link w:val="20"/>
    <w:qFormat/>
    <w:uiPriority w:val="0"/>
    <w:rPr>
      <w:rFonts w:hint="eastAsia" w:ascii="宋体" w:hAnsi="Courier New" w:eastAsia="宋体" w:cs="Courier New"/>
      <w:kern w:val="2"/>
      <w:sz w:val="21"/>
      <w:szCs w:val="21"/>
    </w:rPr>
  </w:style>
  <w:style w:type="character" w:customStyle="1" w:styleId="54">
    <w:name w:val="hover41"/>
    <w:basedOn w:val="40"/>
    <w:qFormat/>
    <w:uiPriority w:val="0"/>
  </w:style>
  <w:style w:type="character" w:customStyle="1" w:styleId="55">
    <w:name w:val="页眉 Char"/>
    <w:link w:val="25"/>
    <w:qFormat/>
    <w:uiPriority w:val="99"/>
    <w:rPr>
      <w:rFonts w:eastAsia="宋体"/>
      <w:kern w:val="2"/>
      <w:sz w:val="18"/>
      <w:szCs w:val="18"/>
      <w:lang w:val="en-US" w:eastAsia="zh-CN" w:bidi="ar-SA"/>
    </w:rPr>
  </w:style>
  <w:style w:type="character" w:customStyle="1" w:styleId="56">
    <w:name w:val="正文首行缩进 Char"/>
    <w:link w:val="37"/>
    <w:qFormat/>
    <w:uiPriority w:val="0"/>
    <w:rPr>
      <w:rFonts w:eastAsia="宋体"/>
      <w:kern w:val="2"/>
      <w:sz w:val="21"/>
      <w:szCs w:val="24"/>
      <w:lang w:val="en-US" w:eastAsia="zh-CN" w:bidi="ar-SA"/>
    </w:rPr>
  </w:style>
  <w:style w:type="character" w:customStyle="1" w:styleId="57">
    <w:name w:val="标题 3 Char"/>
    <w:link w:val="5"/>
    <w:qFormat/>
    <w:uiPriority w:val="0"/>
    <w:rPr>
      <w:rFonts w:ascii="黑体" w:hAnsi="宋体" w:eastAsia="黑体"/>
      <w:bCs/>
      <w:kern w:val="2"/>
      <w:sz w:val="28"/>
      <w:szCs w:val="28"/>
      <w:lang w:val="en-US" w:eastAsia="zh-CN" w:bidi="ar-SA"/>
    </w:rPr>
  </w:style>
  <w:style w:type="character" w:customStyle="1" w:styleId="58">
    <w:name w:val="正文文本 Char"/>
    <w:link w:val="16"/>
    <w:qFormat/>
    <w:uiPriority w:val="0"/>
    <w:rPr>
      <w:rFonts w:eastAsia="宋体"/>
      <w:kern w:val="2"/>
      <w:sz w:val="21"/>
      <w:szCs w:val="24"/>
      <w:lang w:val="en-US" w:eastAsia="zh-CN" w:bidi="ar-SA"/>
    </w:rPr>
  </w:style>
  <w:style w:type="character" w:customStyle="1" w:styleId="59">
    <w:name w:val="times"/>
    <w:qFormat/>
    <w:uiPriority w:val="0"/>
    <w:rPr>
      <w:color w:val="3399FF"/>
      <w:bdr w:val="single" w:color="D1EDF8" w:sz="6" w:space="0"/>
      <w:shd w:val="clear" w:color="auto" w:fill="EAF9FF"/>
    </w:rPr>
  </w:style>
  <w:style w:type="character" w:customStyle="1" w:styleId="60">
    <w:name w:val="批注文字 Char"/>
    <w:link w:val="14"/>
    <w:qFormat/>
    <w:uiPriority w:val="0"/>
    <w:rPr>
      <w:rFonts w:eastAsia="宋体"/>
      <w:kern w:val="2"/>
      <w:sz w:val="21"/>
      <w:szCs w:val="24"/>
      <w:lang w:val="en-US" w:eastAsia="zh-CN" w:bidi="ar-SA"/>
    </w:rPr>
  </w:style>
  <w:style w:type="character" w:customStyle="1" w:styleId="61">
    <w:name w:val="p12"/>
    <w:basedOn w:val="40"/>
    <w:qFormat/>
    <w:uiPriority w:val="0"/>
  </w:style>
  <w:style w:type="character" w:customStyle="1" w:styleId="62">
    <w:name w:val="标题 4 Char"/>
    <w:link w:val="6"/>
    <w:qFormat/>
    <w:uiPriority w:val="0"/>
    <w:rPr>
      <w:rFonts w:ascii="Arial" w:hAnsi="Arial" w:eastAsia="黑体"/>
      <w:b/>
      <w:bCs/>
      <w:kern w:val="2"/>
      <w:sz w:val="28"/>
      <w:szCs w:val="28"/>
      <w:lang w:val="en-US" w:eastAsia="zh-CN" w:bidi="ar-SA"/>
    </w:rPr>
  </w:style>
  <w:style w:type="paragraph" w:customStyle="1" w:styleId="63">
    <w:name w:val="修订1"/>
    <w:qFormat/>
    <w:uiPriority w:val="0"/>
    <w:rPr>
      <w:rFonts w:ascii="Calibri" w:hAnsi="Calibri" w:eastAsia="宋体" w:cs="Times New Roman"/>
      <w:kern w:val="2"/>
      <w:sz w:val="21"/>
      <w:szCs w:val="24"/>
      <w:lang w:val="en-US" w:eastAsia="zh-CN" w:bidi="ar-SA"/>
    </w:rPr>
  </w:style>
  <w:style w:type="paragraph" w:customStyle="1" w:styleId="64">
    <w:name w:val="Char Char Char Char"/>
    <w:basedOn w:val="1"/>
    <w:qFormat/>
    <w:uiPriority w:val="0"/>
    <w:rPr>
      <w:rFonts w:eastAsia="楷体_GB2312"/>
      <w:szCs w:val="20"/>
    </w:rPr>
  </w:style>
  <w:style w:type="paragraph" w:customStyle="1" w:styleId="65">
    <w:name w:val="样式1"/>
    <w:basedOn w:val="1"/>
    <w:next w:val="6"/>
    <w:qFormat/>
    <w:uiPriority w:val="0"/>
    <w:pPr>
      <w:spacing w:line="360" w:lineRule="auto"/>
      <w:ind w:firstLine="420" w:firstLineChars="200"/>
    </w:pPr>
    <w:rPr>
      <w:rFonts w:ascii="宋体" w:hAnsi="宋体"/>
      <w:szCs w:val="21"/>
    </w:rPr>
  </w:style>
  <w:style w:type="paragraph" w:customStyle="1" w:styleId="66">
    <w:name w:val="样式 标题 1 + 黑体 三号 非加粗 居中 段前: 6 磅 段后: 6 磅 行距: 固定值 20 磅"/>
    <w:basedOn w:val="3"/>
    <w:qFormat/>
    <w:uiPriority w:val="0"/>
    <w:pPr>
      <w:spacing w:before="120" w:after="120" w:line="400" w:lineRule="exact"/>
    </w:pPr>
    <w:rPr>
      <w:rFonts w:ascii="黑体" w:hAnsi="黑体" w:eastAsia="黑体" w:cs="宋体"/>
      <w:bCs w:val="0"/>
      <w:sz w:val="32"/>
      <w:szCs w:val="20"/>
    </w:rPr>
  </w:style>
  <w:style w:type="paragraph" w:customStyle="1" w:styleId="67">
    <w:name w:val="正文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68">
    <w:name w:val="章节二"/>
    <w:basedOn w:val="1"/>
    <w:next w:val="1"/>
    <w:qFormat/>
    <w:uiPriority w:val="0"/>
    <w:pPr>
      <w:topLinePunct/>
      <w:adjustRightInd w:val="0"/>
      <w:snapToGrid w:val="0"/>
      <w:spacing w:beforeLines="50" w:afterLines="50"/>
      <w:jc w:val="center"/>
      <w:outlineLvl w:val="1"/>
    </w:pPr>
    <w:rPr>
      <w:rFonts w:eastAsia="黑体"/>
      <w:b/>
      <w:snapToGrid w:val="0"/>
      <w:spacing w:val="4"/>
      <w:kern w:val="0"/>
      <w:sz w:val="30"/>
      <w:szCs w:val="30"/>
    </w:rPr>
  </w:style>
  <w:style w:type="paragraph" w:customStyle="1" w:styleId="69">
    <w:name w:val="样式2"/>
    <w:basedOn w:val="5"/>
    <w:qFormat/>
    <w:uiPriority w:val="0"/>
    <w:rPr>
      <w:i/>
    </w:rPr>
  </w:style>
  <w:style w:type="paragraph" w:customStyle="1" w:styleId="70">
    <w:name w:val="公文正文"/>
    <w:qFormat/>
    <w:uiPriority w:val="0"/>
    <w:pPr>
      <w:widowControl w:val="0"/>
      <w:spacing w:line="360" w:lineRule="auto"/>
      <w:ind w:firstLine="629"/>
      <w:jc w:val="both"/>
    </w:pPr>
    <w:rPr>
      <w:rFonts w:ascii="仿宋_GB2312" w:hAnsi="Calisto MT" w:eastAsia="仿宋_GB2312" w:cs="Times New Roman"/>
      <w:color w:val="000000"/>
      <w:sz w:val="32"/>
      <w:szCs w:val="22"/>
      <w:lang w:val="en-US" w:eastAsia="zh-CN" w:bidi="ar-SA"/>
    </w:rPr>
  </w:style>
  <w:style w:type="paragraph" w:styleId="71">
    <w:name w:val="List Paragraph"/>
    <w:basedOn w:val="1"/>
    <w:qFormat/>
    <w:uiPriority w:val="34"/>
    <w:pPr>
      <w:ind w:firstLine="420" w:firstLineChars="200"/>
    </w:pPr>
    <w:rPr>
      <w:szCs w:val="22"/>
    </w:rPr>
  </w:style>
  <w:style w:type="paragraph" w:customStyle="1" w:styleId="72">
    <w:name w:val="表格"/>
    <w:basedOn w:val="1"/>
    <w:qFormat/>
    <w:uiPriority w:val="0"/>
    <w:pPr>
      <w:jc w:val="center"/>
      <w:textAlignment w:val="center"/>
    </w:pPr>
    <w:rPr>
      <w:rFonts w:ascii="华文细黑" w:hAnsi="华文细黑"/>
      <w:kern w:val="0"/>
      <w:szCs w:val="20"/>
    </w:rPr>
  </w:style>
  <w:style w:type="paragraph" w:customStyle="1" w:styleId="73">
    <w:name w:val="文一"/>
    <w:basedOn w:val="1"/>
    <w:qFormat/>
    <w:uiPriority w:val="0"/>
    <w:pPr>
      <w:topLinePunct/>
      <w:adjustRightInd w:val="0"/>
      <w:snapToGrid w:val="0"/>
      <w:spacing w:line="360" w:lineRule="auto"/>
      <w:ind w:firstLine="200" w:firstLineChars="200"/>
    </w:pPr>
    <w:rPr>
      <w:snapToGrid w:val="0"/>
      <w:spacing w:val="4"/>
      <w:kern w:val="0"/>
      <w:sz w:val="24"/>
    </w:rPr>
  </w:style>
  <w:style w:type="paragraph" w:customStyle="1" w:styleId="74">
    <w:name w:val="1"/>
    <w:basedOn w:val="1"/>
    <w:qFormat/>
    <w:uiPriority w:val="0"/>
  </w:style>
  <w:style w:type="paragraph" w:customStyle="1" w:styleId="75">
    <w:name w:val="正文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6">
    <w:name w:val="Char"/>
    <w:basedOn w:val="1"/>
    <w:qFormat/>
    <w:uiPriority w:val="0"/>
    <w:pPr>
      <w:tabs>
        <w:tab w:val="left" w:pos="360"/>
      </w:tabs>
    </w:pPr>
    <w:rPr>
      <w:sz w:val="24"/>
    </w:rPr>
  </w:style>
  <w:style w:type="paragraph" w:customStyle="1" w:styleId="77">
    <w:name w:val="表格文字"/>
    <w:basedOn w:val="1"/>
    <w:qFormat/>
    <w:uiPriority w:val="0"/>
    <w:pPr>
      <w:adjustRightInd w:val="0"/>
      <w:spacing w:line="420" w:lineRule="atLeast"/>
      <w:jc w:val="left"/>
      <w:textAlignment w:val="baseline"/>
    </w:pPr>
    <w:rPr>
      <w:kern w:val="0"/>
      <w:szCs w:val="20"/>
    </w:rPr>
  </w:style>
  <w:style w:type="paragraph" w:customStyle="1" w:styleId="78">
    <w:name w:val="正文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9">
    <w:name w:val="列出段落1"/>
    <w:basedOn w:val="1"/>
    <w:qFormat/>
    <w:uiPriority w:val="34"/>
    <w:pPr>
      <w:ind w:firstLine="420" w:firstLineChars="200"/>
    </w:pPr>
    <w:rPr>
      <w:szCs w:val="20"/>
    </w:rPr>
  </w:style>
  <w:style w:type="paragraph" w:customStyle="1" w:styleId="80">
    <w:name w:val="文二"/>
    <w:basedOn w:val="1"/>
    <w:qFormat/>
    <w:uiPriority w:val="0"/>
    <w:pPr>
      <w:jc w:val="left"/>
    </w:pPr>
    <w:rPr>
      <w:rFonts w:ascii="宋体" w:hAnsi="宋体"/>
      <w:szCs w:val="21"/>
    </w:rPr>
  </w:style>
  <w:style w:type="paragraph" w:customStyle="1" w:styleId="81">
    <w:name w:val="样式 标题 3 + 首行缩进:  1.06 厘米"/>
    <w:basedOn w:val="5"/>
    <w:qFormat/>
    <w:uiPriority w:val="0"/>
    <w:pPr>
      <w:spacing w:before="120" w:after="0" w:line="240" w:lineRule="auto"/>
      <w:jc w:val="center"/>
    </w:pPr>
    <w:rPr>
      <w:rFonts w:ascii="宋体" w:cs="宋体"/>
      <w:color w:val="000000"/>
    </w:rPr>
  </w:style>
  <w:style w:type="paragraph" w:customStyle="1" w:styleId="82">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83">
    <w:name w:val="表头"/>
    <w:basedOn w:val="1"/>
    <w:qFormat/>
    <w:uiPriority w:val="0"/>
    <w:pPr>
      <w:spacing w:line="360" w:lineRule="auto"/>
      <w:jc w:val="center"/>
    </w:pPr>
    <w:rPr>
      <w:rFonts w:ascii="黑体" w:eastAsia="黑体"/>
      <w:kern w:val="0"/>
      <w:sz w:val="24"/>
      <w:szCs w:val="20"/>
    </w:rPr>
  </w:style>
  <w:style w:type="paragraph" w:customStyle="1" w:styleId="84">
    <w:name w:val="样式 标题 3 + (中文) 黑体 小四 非加粗 段前: 7.8 磅 段后: 0 磅 行距: 固定值 20 磅"/>
    <w:basedOn w:val="5"/>
    <w:qFormat/>
    <w:uiPriority w:val="0"/>
    <w:pPr>
      <w:spacing w:before="0" w:after="0" w:line="400" w:lineRule="exact"/>
    </w:pPr>
    <w:rPr>
      <w:rFonts w:cs="宋体"/>
      <w:bCs w:val="0"/>
      <w:sz w:val="24"/>
      <w:szCs w:val="20"/>
    </w:rPr>
  </w:style>
  <w:style w:type="paragraph" w:customStyle="1" w:styleId="85">
    <w:name w:val="正题"/>
    <w:basedOn w:val="73"/>
    <w:next w:val="73"/>
    <w:qFormat/>
    <w:uiPriority w:val="0"/>
    <w:pPr>
      <w:ind w:firstLine="0" w:firstLineChars="0"/>
      <w:jc w:val="center"/>
    </w:pPr>
    <w:rPr>
      <w:rFonts w:eastAsia="黑体"/>
      <w:b/>
      <w:sz w:val="36"/>
      <w:szCs w:val="36"/>
    </w:rPr>
  </w:style>
  <w:style w:type="paragraph" w:customStyle="1" w:styleId="86">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87">
    <w:name w:val="Char1"/>
    <w:basedOn w:val="1"/>
    <w:qFormat/>
    <w:uiPriority w:val="0"/>
    <w:pPr>
      <w:tabs>
        <w:tab w:val="left" w:pos="360"/>
      </w:tabs>
    </w:pPr>
    <w:rPr>
      <w:sz w:val="24"/>
    </w:rPr>
  </w:style>
  <w:style w:type="paragraph" w:customStyle="1" w:styleId="88">
    <w:name w:val="Table Paragraph"/>
    <w:basedOn w:val="1"/>
    <w:qFormat/>
    <w:uiPriority w:val="1"/>
    <w:rPr>
      <w:rFonts w:ascii="宋体" w:hAnsi="宋体" w:cs="宋体"/>
      <w:lang w:val="zh-CN" w:bidi="zh-CN"/>
    </w:rPr>
  </w:style>
  <w:style w:type="paragraph" w:customStyle="1" w:styleId="89">
    <w:name w:val="BodyText"/>
    <w:basedOn w:val="1"/>
    <w:qFormat/>
    <w:uiPriority w:val="0"/>
    <w:pPr>
      <w:spacing w:after="120"/>
    </w:pPr>
    <w:rPr>
      <w:rFonts w:ascii="Times New Roman" w:hAnsi="Times New Roman"/>
      <w:kern w:val="0"/>
      <w:sz w:val="20"/>
      <w:szCs w:val="20"/>
    </w:rPr>
  </w:style>
  <w:style w:type="paragraph" w:customStyle="1" w:styleId="90">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
    <w:name w:val="章节三"/>
    <w:basedOn w:val="1"/>
    <w:next w:val="1"/>
    <w:qFormat/>
    <w:uiPriority w:val="0"/>
    <w:pPr>
      <w:topLinePunct/>
      <w:adjustRightInd w:val="0"/>
      <w:snapToGrid w:val="0"/>
      <w:spacing w:beforeLines="50" w:afterLines="50"/>
      <w:jc w:val="left"/>
      <w:outlineLvl w:val="2"/>
    </w:pPr>
    <w:rPr>
      <w:rFonts w:ascii="黑体" w:hAnsi="宋体" w:eastAsia="黑体"/>
      <w:b/>
      <w:spacing w:val="4"/>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554CA3-9E43-452D-BF13-196A5856E859}">
  <ds:schemaRefs/>
</ds:datastoreItem>
</file>

<file path=docProps/app.xml><?xml version="1.0" encoding="utf-8"?>
<Properties xmlns="http://schemas.openxmlformats.org/officeDocument/2006/extended-properties" xmlns:vt="http://schemas.openxmlformats.org/officeDocument/2006/docPropsVTypes">
  <Template>Normal.dotm</Template>
  <Pages>54</Pages>
  <Words>3282</Words>
  <Characters>18714</Characters>
  <Lines>155</Lines>
  <Paragraphs>43</Paragraphs>
  <TotalTime>4</TotalTime>
  <ScaleCrop>false</ScaleCrop>
  <LinksUpToDate>false</LinksUpToDate>
  <CharactersWithSpaces>21953</CharactersWithSpaces>
  <Application>WPS Office_11.1.0.10395_F1E327BC-269C-435d-A152-05C5408002CA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2020-02-17T08:45:00Z</dcterms:created>
  <cp:lastPrinted>2020-03-18T04:32:00Z</cp:lastPrinted>
  <dcterms:modified xsi:type="dcterms:W3CDTF">2022-02-14T11:02:42Z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2052-11.1.0.10395</vt:lpwstr>
  </property>
  <property fmtid="{D5CDD505-2E9C-101B-9397-08002B2CF9AE}" pid="3" name="ICV">
    <vt:lpwstr>4704BB2C65BF4CC089C4D2C91E8ED9B0</vt:lpwstr>
  </property>
</Properties>
</file>