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rPr>
          <w:rFonts w:ascii="宋体" w:hAnsi="宋体" w:eastAsia="宋体" w:cs="宋体"/>
          <w:color w:val="auto"/>
          <w:szCs w:val="21"/>
          <w:highlight w:val="none"/>
        </w:rPr>
      </w:pPr>
      <w:bookmarkStart w:id="49" w:name="_GoBack"/>
    </w:p>
    <w:p>
      <w:pPr>
        <w:spacing w:beforeLines="300"/>
        <w:jc w:val="center"/>
        <w:rPr>
          <w:rFonts w:ascii="宋体" w:hAnsi="宋体" w:eastAsia="黑体" w:cs="宋体"/>
          <w:b/>
          <w:color w:val="auto"/>
          <w:sz w:val="44"/>
          <w:szCs w:val="44"/>
          <w:highlight w:val="none"/>
        </w:rPr>
      </w:pPr>
      <w:r>
        <w:rPr>
          <w:rFonts w:ascii="宋体" w:hAnsi="宋体" w:eastAsia="黑体"/>
          <w:color w:val="auto"/>
          <w:sz w:val="48"/>
          <w:szCs w:val="48"/>
          <w:highlight w:val="none"/>
        </w:rPr>
        <w:t>广州市海防教育基地项目交通渡口码头工程</w:t>
      </w:r>
      <w:r>
        <w:rPr>
          <w:rFonts w:hint="eastAsia" w:ascii="宋体" w:hAnsi="宋体" w:eastAsia="黑体"/>
          <w:color w:val="auto"/>
          <w:sz w:val="48"/>
          <w:szCs w:val="48"/>
          <w:highlight w:val="none"/>
          <w:lang w:eastAsia="zh-CN"/>
        </w:rPr>
        <w:t>勘察测量设计</w:t>
      </w:r>
      <w:r>
        <w:rPr>
          <w:rFonts w:hint="eastAsia" w:ascii="宋体" w:hAnsi="宋体" w:eastAsia="黑体"/>
          <w:color w:val="auto"/>
          <w:sz w:val="48"/>
          <w:szCs w:val="48"/>
          <w:highlight w:val="none"/>
        </w:rPr>
        <w:t>服务</w:t>
      </w:r>
    </w:p>
    <w:p>
      <w:pPr>
        <w:jc w:val="center"/>
        <w:rPr>
          <w:rFonts w:ascii="宋体" w:hAnsi="宋体" w:eastAsia="宋体" w:cs="宋体"/>
          <w:color w:val="auto"/>
          <w:sz w:val="44"/>
          <w:szCs w:val="44"/>
          <w:highlight w:val="none"/>
        </w:rPr>
      </w:pPr>
      <w:r>
        <w:rPr>
          <w:rFonts w:hint="eastAsia" w:ascii="宋体" w:hAnsi="宋体" w:eastAsia="宋体" w:cs="宋体"/>
          <w:color w:val="auto"/>
          <w:sz w:val="44"/>
          <w:szCs w:val="44"/>
          <w:highlight w:val="none"/>
        </w:rPr>
        <w:t xml:space="preserve"> </w:t>
      </w:r>
    </w:p>
    <w:p>
      <w:pPr>
        <w:rPr>
          <w:rFonts w:ascii="宋体" w:hAnsi="宋体" w:eastAsia="宋体" w:cs="宋体"/>
          <w:color w:val="auto"/>
          <w:sz w:val="72"/>
          <w:szCs w:val="72"/>
          <w:highlight w:val="none"/>
        </w:rPr>
      </w:pPr>
    </w:p>
    <w:p>
      <w:pPr>
        <w:rPr>
          <w:rFonts w:ascii="宋体" w:hAnsi="宋体" w:eastAsia="宋体" w:cs="宋体"/>
          <w:color w:val="auto"/>
          <w:sz w:val="72"/>
          <w:szCs w:val="72"/>
          <w:highlight w:val="none"/>
        </w:rPr>
      </w:pPr>
      <w:r>
        <w:rPr>
          <w:rFonts w:hint="eastAsia" w:ascii="宋体" w:hAnsi="宋体" w:eastAsia="宋体" w:cs="宋体"/>
          <w:color w:val="auto"/>
          <w:sz w:val="72"/>
          <w:szCs w:val="72"/>
          <w:highlight w:val="none"/>
        </w:rPr>
        <w:t xml:space="preserve"> </w:t>
      </w:r>
    </w:p>
    <w:p>
      <w:pPr>
        <w:jc w:val="center"/>
        <w:rPr>
          <w:rFonts w:ascii="楷体" w:hAnsi="楷体" w:eastAsia="楷体" w:cs="楷体"/>
          <w:b/>
          <w:color w:val="auto"/>
          <w:sz w:val="110"/>
          <w:szCs w:val="110"/>
          <w:highlight w:val="none"/>
        </w:rPr>
      </w:pPr>
      <w:r>
        <w:rPr>
          <w:rFonts w:hint="eastAsia" w:ascii="楷体" w:hAnsi="楷体" w:eastAsia="楷体" w:cs="楷体"/>
          <w:b/>
          <w:color w:val="auto"/>
          <w:sz w:val="110"/>
          <w:szCs w:val="110"/>
          <w:highlight w:val="none"/>
        </w:rPr>
        <w:t>招 标 文 件</w:t>
      </w:r>
    </w:p>
    <w:p>
      <w:pPr>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w:t>
      </w:r>
    </w:p>
    <w:p>
      <w:pPr>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w:t>
      </w:r>
    </w:p>
    <w:p>
      <w:pPr>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w:t>
      </w:r>
    </w:p>
    <w:p>
      <w:pPr>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w:t>
      </w:r>
    </w:p>
    <w:p>
      <w:pPr>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w:t>
      </w:r>
    </w:p>
    <w:p>
      <w:pPr>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w:t>
      </w:r>
    </w:p>
    <w:p>
      <w:pPr>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w:t>
      </w:r>
    </w:p>
    <w:p>
      <w:pPr>
        <w:jc w:val="center"/>
        <w:rPr>
          <w:rFonts w:ascii="宋体" w:hAnsi="宋体" w:eastAsia="宋体" w:cs="宋体"/>
          <w:color w:val="auto"/>
          <w:sz w:val="32"/>
          <w:szCs w:val="32"/>
          <w:highlight w:val="none"/>
        </w:rPr>
      </w:pPr>
      <w:bookmarkStart w:id="0" w:name="_Toc29976"/>
      <w:r>
        <w:rPr>
          <w:rFonts w:hint="eastAsia" w:ascii="宋体" w:hAnsi="宋体" w:eastAsia="宋体" w:cs="宋体"/>
          <w:b/>
          <w:color w:val="auto"/>
          <w:sz w:val="32"/>
          <w:szCs w:val="32"/>
          <w:highlight w:val="none"/>
        </w:rPr>
        <w:t>招标人：</w:t>
      </w:r>
      <w:r>
        <w:rPr>
          <w:rFonts w:hint="eastAsia" w:ascii="宋体" w:hAnsi="宋体" w:eastAsia="宋体" w:cs="宋体"/>
          <w:b/>
          <w:color w:val="auto"/>
          <w:sz w:val="32"/>
          <w:szCs w:val="32"/>
          <w:highlight w:val="none"/>
          <w:lang w:eastAsia="zh-CN"/>
        </w:rPr>
        <w:t>广州南沙旅游发展有限公司</w:t>
      </w:r>
      <w:r>
        <w:rPr>
          <w:rFonts w:hint="eastAsia" w:ascii="宋体" w:hAnsi="宋体" w:eastAsia="宋体" w:cs="宋体"/>
          <w:b/>
          <w:color w:val="auto"/>
          <w:sz w:val="32"/>
          <w:szCs w:val="32"/>
          <w:highlight w:val="none"/>
        </w:rPr>
        <w:t>（业主单位）</w:t>
      </w:r>
    </w:p>
    <w:p>
      <w:pPr>
        <w:spacing w:line="360" w:lineRule="auto"/>
        <w:ind w:firstLine="2445" w:firstLineChars="761"/>
        <w:rPr>
          <w:rFonts w:ascii="宋体" w:hAnsi="宋体" w:eastAsia="宋体" w:cs="宋体"/>
          <w:b/>
          <w:color w:val="auto"/>
          <w:sz w:val="32"/>
          <w:szCs w:val="32"/>
          <w:highlight w:val="none"/>
        </w:rPr>
      </w:pPr>
      <w:bookmarkStart w:id="1" w:name="OLE_LINK4"/>
      <w:bookmarkEnd w:id="1"/>
      <w:r>
        <w:rPr>
          <w:rFonts w:hint="eastAsia" w:ascii="宋体" w:hAnsi="宋体" w:eastAsia="宋体" w:cs="宋体"/>
          <w:b/>
          <w:color w:val="auto"/>
          <w:sz w:val="32"/>
          <w:szCs w:val="32"/>
          <w:highlight w:val="none"/>
        </w:rPr>
        <w:t>广州南沙建设维护管理有限公司（建设管理单位）</w:t>
      </w:r>
    </w:p>
    <w:p>
      <w:pPr>
        <w:spacing w:line="520" w:lineRule="exact"/>
        <w:ind w:right="-101" w:rightChars="-48" w:firstLine="1285" w:firstLineChars="400"/>
        <w:rPr>
          <w:rFonts w:ascii="宋体" w:hAnsi="宋体" w:eastAsia="宋体" w:cs="宋体"/>
          <w:color w:val="auto"/>
          <w:spacing w:val="28"/>
          <w:position w:val="8"/>
          <w:sz w:val="28"/>
          <w:szCs w:val="28"/>
          <w:highlight w:val="none"/>
        </w:rPr>
      </w:pPr>
      <w:r>
        <w:rPr>
          <w:rFonts w:hint="eastAsia" w:ascii="宋体" w:hAnsi="宋体" w:eastAsia="宋体" w:cs="宋体"/>
          <w:b/>
          <w:color w:val="auto"/>
          <w:sz w:val="32"/>
          <w:szCs w:val="32"/>
          <w:highlight w:val="none"/>
        </w:rPr>
        <w:t>日    期：2022年</w:t>
      </w:r>
      <w:r>
        <w:rPr>
          <w:rFonts w:hint="eastAsia" w:ascii="宋体" w:hAnsi="宋体" w:eastAsia="宋体" w:cs="宋体"/>
          <w:b/>
          <w:color w:val="auto"/>
          <w:sz w:val="32"/>
          <w:szCs w:val="32"/>
          <w:highlight w:val="none"/>
          <w:lang w:val="en-US" w:eastAsia="zh-CN"/>
        </w:rPr>
        <w:t>3</w:t>
      </w:r>
      <w:r>
        <w:rPr>
          <w:rFonts w:hint="eastAsia" w:ascii="宋体" w:hAnsi="宋体" w:eastAsia="宋体" w:cs="宋体"/>
          <w:b/>
          <w:color w:val="auto"/>
          <w:sz w:val="32"/>
          <w:szCs w:val="32"/>
          <w:highlight w:val="none"/>
        </w:rPr>
        <w:t>月</w:t>
      </w:r>
    </w:p>
    <w:p>
      <w:pPr>
        <w:rPr>
          <w:rFonts w:ascii="黑体" w:hAnsi="宋体" w:eastAsia="黑体" w:cs="黑体"/>
          <w:color w:val="auto"/>
          <w:sz w:val="36"/>
          <w:szCs w:val="36"/>
          <w:highlight w:val="none"/>
        </w:rPr>
        <w:sectPr>
          <w:pgSz w:w="11915" w:h="16840"/>
          <w:pgMar w:top="1247" w:right="1135" w:bottom="1247" w:left="1361" w:header="720" w:footer="720" w:gutter="0"/>
          <w:cols w:space="425" w:num="1"/>
          <w:docGrid w:type="lines" w:linePitch="285" w:charSpace="0"/>
        </w:sectPr>
      </w:pPr>
    </w:p>
    <w:p>
      <w:pPr>
        <w:rPr>
          <w:rFonts w:ascii="黑体" w:hAnsi="宋体" w:eastAsia="黑体" w:cs="黑体"/>
          <w:color w:val="auto"/>
          <w:sz w:val="36"/>
          <w:szCs w:val="36"/>
          <w:highlight w:val="none"/>
        </w:rPr>
      </w:pPr>
    </w:p>
    <w:bookmarkEnd w:id="0"/>
    <w:sdt>
      <w:sdtPr>
        <w:rPr>
          <w:rFonts w:ascii="宋体" w:hAnsi="宋体" w:eastAsia="宋体"/>
          <w:color w:val="auto"/>
          <w:highlight w:val="none"/>
        </w:rPr>
        <w:id w:val="147481204"/>
        <w:docPartObj>
          <w:docPartGallery w:val="Table of Contents"/>
          <w:docPartUnique/>
        </w:docPartObj>
      </w:sdtPr>
      <w:sdtEndPr>
        <w:rPr>
          <w:rFonts w:ascii="宋体" w:hAnsi="宋体" w:eastAsia="宋体"/>
          <w:color w:val="auto"/>
          <w:highlight w:val="none"/>
        </w:rPr>
      </w:sdtEndPr>
      <w:sdtContent>
        <w:p>
          <w:pPr>
            <w:jc w:val="center"/>
            <w:rPr>
              <w:b/>
              <w:bCs/>
              <w:color w:val="auto"/>
              <w:sz w:val="36"/>
              <w:szCs w:val="36"/>
              <w:highlight w:val="none"/>
            </w:rPr>
          </w:pPr>
          <w:r>
            <w:rPr>
              <w:rFonts w:ascii="宋体" w:hAnsi="宋体" w:eastAsia="宋体"/>
              <w:b/>
              <w:bCs/>
              <w:color w:val="auto"/>
              <w:sz w:val="36"/>
              <w:szCs w:val="36"/>
              <w:highlight w:val="none"/>
            </w:rPr>
            <w:t>目</w:t>
          </w:r>
          <w:r>
            <w:rPr>
              <w:rFonts w:hint="eastAsia" w:ascii="宋体" w:hAnsi="宋体" w:eastAsia="宋体"/>
              <w:b/>
              <w:bCs/>
              <w:color w:val="auto"/>
              <w:sz w:val="36"/>
              <w:szCs w:val="36"/>
              <w:highlight w:val="none"/>
            </w:rPr>
            <w:t xml:space="preserve"> </w:t>
          </w:r>
          <w:r>
            <w:rPr>
              <w:rFonts w:ascii="宋体" w:hAnsi="宋体" w:eastAsia="宋体"/>
              <w:b/>
              <w:bCs/>
              <w:color w:val="auto"/>
              <w:sz w:val="36"/>
              <w:szCs w:val="36"/>
              <w:highlight w:val="none"/>
            </w:rPr>
            <w:t>录</w:t>
          </w:r>
        </w:p>
        <w:p>
          <w:pPr>
            <w:pStyle w:val="11"/>
            <w:tabs>
              <w:tab w:val="right" w:leader="dot" w:pos="9419"/>
            </w:tabs>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color w:val="auto"/>
              <w:sz w:val="24"/>
              <w:szCs w:val="24"/>
              <w:highlight w:val="none"/>
            </w:rPr>
            <w:instrText xml:space="preserve">TOC \o "1-1" \h \u </w:instrText>
          </w:r>
          <w:r>
            <w:rPr>
              <w:rFonts w:hint="eastAsia" w:asciiTheme="minorEastAsia" w:hAnsiTheme="minorEastAsia" w:eastAsiaTheme="minorEastAsia" w:cstheme="minorEastAsia"/>
              <w:color w:val="auto"/>
              <w:sz w:val="24"/>
              <w:szCs w:val="24"/>
              <w:highlight w:val="none"/>
            </w:rPr>
            <w:fldChar w:fldCharType="separate"/>
          </w:r>
        </w:p>
        <w:p>
          <w:pPr>
            <w:pStyle w:val="11"/>
            <w:tabs>
              <w:tab w:val="right" w:leader="dot" w:pos="9419"/>
            </w:tabs>
            <w:rPr>
              <w:rFonts w:asciiTheme="minorEastAsia" w:hAnsiTheme="minorEastAsia" w:eastAsiaTheme="minorEastAsia" w:cstheme="minorEastAsia"/>
              <w:color w:val="auto"/>
              <w:sz w:val="24"/>
              <w:szCs w:val="24"/>
              <w:highlight w:val="none"/>
            </w:rPr>
          </w:pPr>
          <w:r>
            <w:rPr>
              <w:color w:val="auto"/>
              <w:highlight w:val="none"/>
            </w:rPr>
            <w:fldChar w:fldCharType="begin"/>
          </w:r>
          <w:r>
            <w:rPr>
              <w:color w:val="auto"/>
              <w:highlight w:val="none"/>
            </w:rPr>
            <w:instrText xml:space="preserve"> HYPERLINK \l "_Toc13302" </w:instrText>
          </w:r>
          <w:r>
            <w:rPr>
              <w:color w:val="auto"/>
              <w:highlight w:val="none"/>
            </w:rPr>
            <w:fldChar w:fldCharType="separate"/>
          </w:r>
          <w:r>
            <w:rPr>
              <w:rFonts w:hint="eastAsia" w:asciiTheme="minorEastAsia" w:hAnsiTheme="minorEastAsia" w:eastAsiaTheme="minorEastAsia" w:cstheme="minorEastAsia"/>
              <w:color w:val="auto"/>
              <w:kern w:val="44"/>
              <w:sz w:val="24"/>
              <w:szCs w:val="24"/>
              <w:highlight w:val="none"/>
            </w:rPr>
            <w:t>第1章 投标须知及前附表</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color w:val="auto"/>
              <w:sz w:val="24"/>
              <w:szCs w:val="24"/>
              <w:highlight w:val="none"/>
            </w:rPr>
            <w:instrText xml:space="preserve"> PAGEREF _Toc13302 </w:instrText>
          </w:r>
          <w:r>
            <w:rPr>
              <w:rFonts w:hint="eastAsia" w:asciiTheme="minorEastAsia" w:hAnsiTheme="minorEastAsia" w:eastAsiaTheme="minorEastAsia" w:cstheme="minorEastAsia"/>
              <w:color w:val="auto"/>
              <w:sz w:val="24"/>
              <w:szCs w:val="24"/>
              <w:highlight w:val="none"/>
            </w:rPr>
            <w:fldChar w:fldCharType="separate"/>
          </w: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tabs>
              <w:tab w:val="right" w:leader="dot" w:pos="9419"/>
            </w:tabs>
            <w:rPr>
              <w:rFonts w:asciiTheme="minorEastAsia" w:hAnsiTheme="minorEastAsia" w:eastAsiaTheme="minorEastAsia" w:cstheme="minorEastAsia"/>
              <w:color w:val="auto"/>
              <w:sz w:val="24"/>
              <w:szCs w:val="24"/>
              <w:highlight w:val="none"/>
            </w:rPr>
          </w:pPr>
          <w:r>
            <w:rPr>
              <w:color w:val="auto"/>
              <w:highlight w:val="none"/>
            </w:rPr>
            <w:fldChar w:fldCharType="begin"/>
          </w:r>
          <w:r>
            <w:rPr>
              <w:color w:val="auto"/>
              <w:highlight w:val="none"/>
            </w:rPr>
            <w:instrText xml:space="preserve"> HYPERLINK \l "_Toc1632" </w:instrText>
          </w:r>
          <w:r>
            <w:rPr>
              <w:color w:val="auto"/>
              <w:highlight w:val="none"/>
            </w:rPr>
            <w:fldChar w:fldCharType="separate"/>
          </w:r>
          <w:r>
            <w:rPr>
              <w:rFonts w:hint="eastAsia" w:asciiTheme="minorEastAsia" w:hAnsiTheme="minorEastAsia" w:eastAsiaTheme="minorEastAsia" w:cstheme="minorEastAsia"/>
              <w:color w:val="auto"/>
              <w:kern w:val="44"/>
              <w:sz w:val="24"/>
              <w:szCs w:val="24"/>
              <w:highlight w:val="none"/>
            </w:rPr>
            <w:t>第2章 项目需求书</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color w:val="auto"/>
              <w:sz w:val="24"/>
              <w:szCs w:val="24"/>
              <w:highlight w:val="none"/>
            </w:rPr>
            <w:instrText xml:space="preserve"> PAGEREF _Toc1632 </w:instrText>
          </w:r>
          <w:r>
            <w:rPr>
              <w:rFonts w:hint="eastAsia" w:asciiTheme="minorEastAsia" w:hAnsiTheme="minorEastAsia" w:eastAsiaTheme="minorEastAsia" w:cstheme="minorEastAsia"/>
              <w:color w:val="auto"/>
              <w:sz w:val="24"/>
              <w:szCs w:val="24"/>
              <w:highlight w:val="none"/>
            </w:rPr>
            <w:fldChar w:fldCharType="separate"/>
          </w:r>
          <w:r>
            <w:rPr>
              <w:rFonts w:hint="eastAsia" w:asciiTheme="minorEastAsia" w:hAnsiTheme="minorEastAsia" w:eastAsiaTheme="minorEastAsia" w:cstheme="minorEastAsia"/>
              <w:color w:val="auto"/>
              <w:sz w:val="24"/>
              <w:szCs w:val="24"/>
              <w:highlight w:val="none"/>
            </w:rPr>
            <w:t>14</w:t>
          </w:r>
          <w:r>
            <w:rPr>
              <w:rFonts w:hint="eastAsia" w:asciiTheme="minorEastAsia" w:hAnsiTheme="minorEastAsia" w:eastAsiaTheme="minorEastAsia" w:cstheme="minorEastAsia"/>
              <w:color w:val="auto"/>
              <w:sz w:val="24"/>
              <w:szCs w:val="24"/>
              <w:highlight w:val="none"/>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tabs>
              <w:tab w:val="right" w:leader="dot" w:pos="9419"/>
            </w:tabs>
            <w:rPr>
              <w:rFonts w:asciiTheme="minorEastAsia" w:hAnsiTheme="minorEastAsia" w:eastAsiaTheme="minorEastAsia" w:cstheme="minorEastAsia"/>
              <w:color w:val="auto"/>
              <w:sz w:val="24"/>
              <w:szCs w:val="24"/>
              <w:highlight w:val="none"/>
            </w:rPr>
          </w:pPr>
          <w:r>
            <w:rPr>
              <w:color w:val="auto"/>
              <w:highlight w:val="none"/>
            </w:rPr>
            <w:fldChar w:fldCharType="begin"/>
          </w:r>
          <w:r>
            <w:rPr>
              <w:color w:val="auto"/>
              <w:highlight w:val="none"/>
            </w:rPr>
            <w:instrText xml:space="preserve"> HYPERLINK \l "_Toc27492" </w:instrText>
          </w:r>
          <w:r>
            <w:rPr>
              <w:color w:val="auto"/>
              <w:highlight w:val="none"/>
            </w:rPr>
            <w:fldChar w:fldCharType="separate"/>
          </w:r>
          <w:r>
            <w:rPr>
              <w:rFonts w:hint="eastAsia" w:asciiTheme="minorEastAsia" w:hAnsiTheme="minorEastAsia" w:eastAsiaTheme="minorEastAsia" w:cstheme="minorEastAsia"/>
              <w:color w:val="auto"/>
              <w:kern w:val="44"/>
              <w:sz w:val="24"/>
              <w:szCs w:val="24"/>
              <w:highlight w:val="none"/>
            </w:rPr>
            <w:t>第3章  投标格式文件</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color w:val="auto"/>
              <w:sz w:val="24"/>
              <w:szCs w:val="24"/>
              <w:highlight w:val="none"/>
            </w:rPr>
            <w:instrText xml:space="preserve"> PAGEREF _Toc27492 </w:instrText>
          </w:r>
          <w:r>
            <w:rPr>
              <w:rFonts w:hint="eastAsia" w:asciiTheme="minorEastAsia" w:hAnsiTheme="minorEastAsia" w:eastAsiaTheme="minorEastAsia" w:cstheme="minorEastAsia"/>
              <w:color w:val="auto"/>
              <w:sz w:val="24"/>
              <w:szCs w:val="24"/>
              <w:highlight w:val="none"/>
            </w:rPr>
            <w:fldChar w:fldCharType="separate"/>
          </w:r>
          <w:r>
            <w:rPr>
              <w:rFonts w:hint="eastAsia" w:asciiTheme="minorEastAsia" w:hAnsiTheme="minorEastAsia" w:eastAsiaTheme="minorEastAsia" w:cstheme="minorEastAsia"/>
              <w:color w:val="auto"/>
              <w:sz w:val="24"/>
              <w:szCs w:val="24"/>
              <w:highlight w:val="none"/>
            </w:rPr>
            <w:t>14</w:t>
          </w:r>
          <w:r>
            <w:rPr>
              <w:rFonts w:hint="eastAsia" w:asciiTheme="minorEastAsia" w:hAnsiTheme="minorEastAsia" w:eastAsiaTheme="minorEastAsia" w:cstheme="minorEastAsia"/>
              <w:color w:val="auto"/>
              <w:sz w:val="24"/>
              <w:szCs w:val="24"/>
              <w:highlight w:val="none"/>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tabs>
              <w:tab w:val="right" w:leader="dot" w:pos="9419"/>
            </w:tabs>
            <w:rPr>
              <w:rFonts w:asciiTheme="minorEastAsia" w:hAnsiTheme="minorEastAsia" w:eastAsiaTheme="minorEastAsia" w:cstheme="minorEastAsia"/>
              <w:color w:val="auto"/>
              <w:sz w:val="24"/>
              <w:szCs w:val="24"/>
              <w:highlight w:val="none"/>
            </w:rPr>
          </w:pPr>
          <w:r>
            <w:rPr>
              <w:color w:val="auto"/>
              <w:highlight w:val="none"/>
            </w:rPr>
            <w:fldChar w:fldCharType="begin"/>
          </w:r>
          <w:r>
            <w:rPr>
              <w:color w:val="auto"/>
              <w:highlight w:val="none"/>
            </w:rPr>
            <w:instrText xml:space="preserve"> HYPERLINK \l "_Toc30913" </w:instrText>
          </w:r>
          <w:r>
            <w:rPr>
              <w:color w:val="auto"/>
              <w:highlight w:val="none"/>
            </w:rPr>
            <w:fldChar w:fldCharType="separate"/>
          </w:r>
          <w:r>
            <w:rPr>
              <w:rFonts w:hint="eastAsia" w:asciiTheme="minorEastAsia" w:hAnsiTheme="minorEastAsia" w:eastAsiaTheme="minorEastAsia" w:cstheme="minorEastAsia"/>
              <w:color w:val="auto"/>
              <w:kern w:val="44"/>
              <w:sz w:val="24"/>
              <w:szCs w:val="24"/>
              <w:highlight w:val="none"/>
            </w:rPr>
            <w:t>第4章 评标办法</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color w:val="auto"/>
              <w:sz w:val="24"/>
              <w:szCs w:val="24"/>
              <w:highlight w:val="none"/>
            </w:rPr>
            <w:instrText xml:space="preserve"> PAGEREF _Toc30913 </w:instrText>
          </w:r>
          <w:r>
            <w:rPr>
              <w:rFonts w:hint="eastAsia" w:asciiTheme="minorEastAsia" w:hAnsiTheme="minorEastAsia" w:eastAsiaTheme="minorEastAsia" w:cstheme="minorEastAsia"/>
              <w:color w:val="auto"/>
              <w:sz w:val="24"/>
              <w:szCs w:val="24"/>
              <w:highlight w:val="none"/>
            </w:rPr>
            <w:fldChar w:fldCharType="separate"/>
          </w:r>
          <w:r>
            <w:rPr>
              <w:rFonts w:hint="eastAsia" w:asciiTheme="minorEastAsia" w:hAnsiTheme="minorEastAsia" w:eastAsiaTheme="minorEastAsia" w:cstheme="minorEastAsia"/>
              <w:color w:val="auto"/>
              <w:sz w:val="24"/>
              <w:szCs w:val="24"/>
              <w:highlight w:val="none"/>
            </w:rPr>
            <w:t>31</w:t>
          </w:r>
          <w:r>
            <w:rPr>
              <w:rFonts w:hint="eastAsia" w:asciiTheme="minorEastAsia" w:hAnsiTheme="minorEastAsia" w:eastAsiaTheme="minorEastAsia" w:cstheme="minorEastAsia"/>
              <w:color w:val="auto"/>
              <w:sz w:val="24"/>
              <w:szCs w:val="24"/>
              <w:highlight w:val="none"/>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tabs>
              <w:tab w:val="right" w:leader="dot" w:pos="9419"/>
            </w:tabs>
            <w:rPr>
              <w:rFonts w:asciiTheme="minorEastAsia" w:hAnsiTheme="minorEastAsia" w:eastAsiaTheme="minorEastAsia" w:cstheme="minorEastAsia"/>
              <w:color w:val="auto"/>
              <w:sz w:val="24"/>
              <w:szCs w:val="24"/>
              <w:highlight w:val="none"/>
            </w:rPr>
          </w:pPr>
          <w:r>
            <w:rPr>
              <w:color w:val="auto"/>
              <w:highlight w:val="none"/>
            </w:rPr>
            <w:fldChar w:fldCharType="begin"/>
          </w:r>
          <w:r>
            <w:rPr>
              <w:color w:val="auto"/>
              <w:highlight w:val="none"/>
            </w:rPr>
            <w:instrText xml:space="preserve"> HYPERLINK \l "_Toc26593" </w:instrText>
          </w:r>
          <w:r>
            <w:rPr>
              <w:color w:val="auto"/>
              <w:highlight w:val="none"/>
            </w:rPr>
            <w:fldChar w:fldCharType="separate"/>
          </w:r>
          <w:r>
            <w:rPr>
              <w:rFonts w:hint="eastAsia" w:asciiTheme="minorEastAsia" w:hAnsiTheme="minorEastAsia" w:eastAsiaTheme="minorEastAsia" w:cstheme="minorEastAsia"/>
              <w:color w:val="auto"/>
              <w:kern w:val="44"/>
              <w:sz w:val="24"/>
              <w:szCs w:val="24"/>
              <w:highlight w:val="none"/>
            </w:rPr>
            <w:t>第5章 附件</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color w:val="auto"/>
              <w:sz w:val="24"/>
              <w:szCs w:val="24"/>
              <w:highlight w:val="none"/>
            </w:rPr>
            <w:instrText xml:space="preserve"> PAGEREF _Toc26593 </w:instrText>
          </w:r>
          <w:r>
            <w:rPr>
              <w:rFonts w:hint="eastAsia" w:asciiTheme="minorEastAsia" w:hAnsiTheme="minorEastAsia" w:eastAsiaTheme="minorEastAsia" w:cstheme="minorEastAsia"/>
              <w:color w:val="auto"/>
              <w:sz w:val="24"/>
              <w:szCs w:val="24"/>
              <w:highlight w:val="none"/>
            </w:rPr>
            <w:fldChar w:fldCharType="separate"/>
          </w:r>
          <w:r>
            <w:rPr>
              <w:rFonts w:hint="eastAsia" w:asciiTheme="minorEastAsia" w:hAnsiTheme="minorEastAsia" w:eastAsiaTheme="minorEastAsia" w:cstheme="minorEastAsia"/>
              <w:color w:val="auto"/>
              <w:sz w:val="24"/>
              <w:szCs w:val="24"/>
              <w:highlight w:val="none"/>
            </w:rPr>
            <w:t>38</w:t>
          </w:r>
          <w:r>
            <w:rPr>
              <w:rFonts w:hint="eastAsia" w:asciiTheme="minorEastAsia" w:hAnsiTheme="minorEastAsia" w:eastAsiaTheme="minorEastAsia" w:cstheme="minorEastAsia"/>
              <w:color w:val="auto"/>
              <w:sz w:val="24"/>
              <w:szCs w:val="24"/>
              <w:highlight w:val="none"/>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tabs>
              <w:tab w:val="right" w:leader="dot" w:pos="9419"/>
            </w:tabs>
            <w:rPr>
              <w:rFonts w:asciiTheme="minorEastAsia" w:hAnsiTheme="minorEastAsia" w:eastAsiaTheme="minorEastAsia" w:cstheme="minorEastAsia"/>
              <w:color w:val="auto"/>
              <w:sz w:val="24"/>
              <w:szCs w:val="24"/>
              <w:highlight w:val="none"/>
            </w:rPr>
          </w:pPr>
          <w:r>
            <w:rPr>
              <w:color w:val="auto"/>
              <w:highlight w:val="none"/>
            </w:rPr>
            <w:fldChar w:fldCharType="begin"/>
          </w:r>
          <w:r>
            <w:rPr>
              <w:color w:val="auto"/>
              <w:highlight w:val="none"/>
            </w:rPr>
            <w:instrText xml:space="preserve"> HYPERLINK \l "_Toc12170" </w:instrText>
          </w:r>
          <w:r>
            <w:rPr>
              <w:color w:val="auto"/>
              <w:highlight w:val="none"/>
            </w:rPr>
            <w:fldChar w:fldCharType="separate"/>
          </w:r>
          <w:r>
            <w:rPr>
              <w:rFonts w:hint="eastAsia" w:asciiTheme="minorEastAsia" w:hAnsiTheme="minorEastAsia" w:eastAsiaTheme="minorEastAsia" w:cstheme="minorEastAsia"/>
              <w:color w:val="auto"/>
              <w:sz w:val="24"/>
              <w:szCs w:val="24"/>
              <w:highlight w:val="none"/>
            </w:rPr>
            <w:t>附件1：符合性审查表</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color w:val="auto"/>
              <w:sz w:val="24"/>
              <w:szCs w:val="24"/>
              <w:highlight w:val="none"/>
            </w:rPr>
            <w:instrText xml:space="preserve"> PAGEREF _Toc12170 </w:instrText>
          </w:r>
          <w:r>
            <w:rPr>
              <w:rFonts w:hint="eastAsia" w:asciiTheme="minorEastAsia" w:hAnsiTheme="minorEastAsia" w:eastAsiaTheme="minorEastAsia" w:cstheme="minorEastAsia"/>
              <w:color w:val="auto"/>
              <w:sz w:val="24"/>
              <w:szCs w:val="24"/>
              <w:highlight w:val="none"/>
            </w:rPr>
            <w:fldChar w:fldCharType="separate"/>
          </w:r>
          <w:r>
            <w:rPr>
              <w:rFonts w:hint="eastAsia" w:asciiTheme="minorEastAsia" w:hAnsiTheme="minorEastAsia" w:eastAsiaTheme="minorEastAsia" w:cstheme="minorEastAsia"/>
              <w:color w:val="auto"/>
              <w:sz w:val="24"/>
              <w:szCs w:val="24"/>
              <w:highlight w:val="none"/>
            </w:rPr>
            <w:t>39</w:t>
          </w:r>
          <w:r>
            <w:rPr>
              <w:rFonts w:hint="eastAsia" w:asciiTheme="minorEastAsia" w:hAnsiTheme="minorEastAsia" w:eastAsiaTheme="minorEastAsia" w:cstheme="minorEastAsia"/>
              <w:color w:val="auto"/>
              <w:sz w:val="24"/>
              <w:szCs w:val="24"/>
              <w:highlight w:val="none"/>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tabs>
              <w:tab w:val="right" w:leader="dot" w:pos="9419"/>
            </w:tabs>
            <w:rPr>
              <w:rFonts w:asciiTheme="minorEastAsia" w:hAnsiTheme="minorEastAsia" w:eastAsiaTheme="minorEastAsia" w:cstheme="minorEastAsia"/>
              <w:color w:val="auto"/>
              <w:sz w:val="24"/>
              <w:szCs w:val="24"/>
              <w:highlight w:val="none"/>
            </w:rPr>
          </w:pPr>
          <w:r>
            <w:rPr>
              <w:color w:val="auto"/>
              <w:highlight w:val="none"/>
            </w:rPr>
            <w:fldChar w:fldCharType="begin"/>
          </w:r>
          <w:r>
            <w:rPr>
              <w:color w:val="auto"/>
              <w:highlight w:val="none"/>
            </w:rPr>
            <w:instrText xml:space="preserve"> HYPERLINK \l "_Toc18783" </w:instrText>
          </w:r>
          <w:r>
            <w:rPr>
              <w:color w:val="auto"/>
              <w:highlight w:val="none"/>
            </w:rPr>
            <w:fldChar w:fldCharType="separate"/>
          </w:r>
          <w:r>
            <w:rPr>
              <w:rFonts w:hint="eastAsia" w:asciiTheme="minorEastAsia" w:hAnsiTheme="minorEastAsia" w:eastAsiaTheme="minorEastAsia" w:cstheme="minorEastAsia"/>
              <w:color w:val="auto"/>
              <w:sz w:val="24"/>
              <w:szCs w:val="24"/>
              <w:highlight w:val="none"/>
            </w:rPr>
            <w:t>附件2综合评分表（100分）</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color w:val="auto"/>
              <w:sz w:val="24"/>
              <w:szCs w:val="24"/>
              <w:highlight w:val="none"/>
            </w:rPr>
            <w:instrText xml:space="preserve"> PAGEREF _Toc18783 </w:instrText>
          </w:r>
          <w:r>
            <w:rPr>
              <w:rFonts w:hint="eastAsia" w:asciiTheme="minorEastAsia" w:hAnsiTheme="minorEastAsia" w:eastAsiaTheme="minorEastAsia" w:cstheme="minorEastAsia"/>
              <w:color w:val="auto"/>
              <w:sz w:val="24"/>
              <w:szCs w:val="24"/>
              <w:highlight w:val="none"/>
            </w:rPr>
            <w:fldChar w:fldCharType="separate"/>
          </w:r>
          <w:r>
            <w:rPr>
              <w:rFonts w:hint="eastAsia" w:asciiTheme="minorEastAsia" w:hAnsiTheme="minorEastAsia" w:eastAsiaTheme="minorEastAsia" w:cstheme="minorEastAsia"/>
              <w:color w:val="auto"/>
              <w:sz w:val="24"/>
              <w:szCs w:val="24"/>
              <w:highlight w:val="none"/>
            </w:rPr>
            <w:t>39</w:t>
          </w:r>
          <w:r>
            <w:rPr>
              <w:rFonts w:hint="eastAsia" w:asciiTheme="minorEastAsia" w:hAnsiTheme="minorEastAsia" w:eastAsiaTheme="minorEastAsia" w:cstheme="minorEastAsia"/>
              <w:color w:val="auto"/>
              <w:sz w:val="24"/>
              <w:szCs w:val="24"/>
              <w:highlight w:val="none"/>
            </w:rPr>
            <w:fldChar w:fldCharType="end"/>
          </w:r>
          <w:r>
            <w:rPr>
              <w:rFonts w:hint="eastAsia" w:asciiTheme="minorEastAsia" w:hAnsiTheme="minorEastAsia" w:eastAsiaTheme="minorEastAsia" w:cstheme="minorEastAsia"/>
              <w:color w:val="auto"/>
              <w:sz w:val="24"/>
              <w:szCs w:val="24"/>
              <w:highlight w:val="none"/>
            </w:rPr>
            <w:fldChar w:fldCharType="end"/>
          </w:r>
        </w:p>
        <w:p>
          <w:pPr>
            <w:rPr>
              <w:color w:val="auto"/>
              <w:highlight w:val="none"/>
            </w:rPr>
          </w:pPr>
          <w:r>
            <w:rPr>
              <w:rFonts w:hint="eastAsia" w:asciiTheme="minorEastAsia" w:hAnsiTheme="minorEastAsia" w:cstheme="minorEastAsia"/>
              <w:color w:val="auto"/>
              <w:sz w:val="24"/>
              <w:highlight w:val="none"/>
            </w:rPr>
            <w:fldChar w:fldCharType="end"/>
          </w:r>
        </w:p>
      </w:sdtContent>
    </w:sdt>
    <w:p>
      <w:pPr>
        <w:pStyle w:val="12"/>
        <w:widowControl/>
        <w:spacing w:after="0"/>
        <w:ind w:firstLine="0"/>
        <w:rPr>
          <w:rFonts w:ascii="宋体" w:hAnsi="宋体" w:cs="宋体"/>
          <w:color w:val="auto"/>
          <w:highlight w:val="none"/>
        </w:rPr>
        <w:sectPr>
          <w:pgSz w:w="11915" w:h="16840"/>
          <w:pgMar w:top="1247" w:right="1135" w:bottom="1247" w:left="1361" w:header="720" w:footer="720" w:gutter="0"/>
          <w:cols w:space="425" w:num="1"/>
          <w:docGrid w:type="lines" w:linePitch="285" w:charSpace="0"/>
        </w:sectPr>
      </w:pPr>
      <w:r>
        <w:rPr>
          <w:rFonts w:hint="eastAsia" w:ascii="宋体" w:hAnsi="宋体" w:cs="宋体"/>
          <w:color w:val="auto"/>
          <w:highlight w:val="none"/>
        </w:rPr>
        <w:t xml:space="preserve"> </w:t>
      </w:r>
    </w:p>
    <w:p>
      <w:pPr>
        <w:pStyle w:val="3"/>
        <w:widowControl/>
        <w:spacing w:before="0" w:after="0" w:line="360" w:lineRule="auto"/>
        <w:jc w:val="center"/>
        <w:rPr>
          <w:rFonts w:ascii="黑体" w:hAnsi="宋体" w:cs="黑体"/>
          <w:b/>
          <w:color w:val="auto"/>
          <w:kern w:val="44"/>
          <w:sz w:val="44"/>
          <w:szCs w:val="44"/>
          <w:highlight w:val="none"/>
        </w:rPr>
      </w:pPr>
      <w:bookmarkStart w:id="2" w:name="_Toc13302"/>
      <w:bookmarkStart w:id="3" w:name="_Toc374128472"/>
      <w:r>
        <w:rPr>
          <w:rFonts w:hint="eastAsia" w:ascii="黑体" w:hAnsi="宋体" w:cs="黑体"/>
          <w:b/>
          <w:color w:val="auto"/>
          <w:kern w:val="44"/>
          <w:sz w:val="44"/>
          <w:szCs w:val="44"/>
          <w:highlight w:val="none"/>
        </w:rPr>
        <w:t>第1章 投标须知及前附表</w:t>
      </w:r>
      <w:bookmarkEnd w:id="2"/>
      <w:bookmarkEnd w:id="3"/>
    </w:p>
    <w:p>
      <w:pPr>
        <w:spacing w:afterLines="50"/>
        <w:jc w:val="center"/>
        <w:outlineLvl w:val="1"/>
        <w:rPr>
          <w:rFonts w:ascii="黑体" w:hAnsi="宋体" w:eastAsia="黑体" w:cs="黑体"/>
          <w:color w:val="auto"/>
          <w:sz w:val="30"/>
          <w:szCs w:val="30"/>
          <w:highlight w:val="none"/>
        </w:rPr>
      </w:pPr>
      <w:r>
        <w:rPr>
          <w:rFonts w:hint="eastAsia" w:ascii="黑体" w:hAnsi="宋体" w:eastAsia="黑体" w:cs="黑体"/>
          <w:color w:val="auto"/>
          <w:sz w:val="30"/>
          <w:szCs w:val="30"/>
          <w:highlight w:val="none"/>
        </w:rPr>
        <w:t>一、投标须知前附表</w:t>
      </w:r>
    </w:p>
    <w:tbl>
      <w:tblPr>
        <w:tblStyle w:val="13"/>
        <w:tblW w:w="9709" w:type="dxa"/>
        <w:jc w:val="center"/>
        <w:tblLayout w:type="fixed"/>
        <w:tblCellMar>
          <w:top w:w="0" w:type="dxa"/>
          <w:left w:w="108" w:type="dxa"/>
          <w:bottom w:w="0" w:type="dxa"/>
          <w:right w:w="108" w:type="dxa"/>
        </w:tblCellMar>
      </w:tblPr>
      <w:tblGrid>
        <w:gridCol w:w="720"/>
        <w:gridCol w:w="990"/>
        <w:gridCol w:w="1706"/>
        <w:gridCol w:w="6293"/>
      </w:tblGrid>
      <w:tr>
        <w:tblPrEx>
          <w:tblCellMar>
            <w:top w:w="0" w:type="dxa"/>
            <w:left w:w="108" w:type="dxa"/>
            <w:bottom w:w="0" w:type="dxa"/>
            <w:right w:w="108" w:type="dxa"/>
          </w:tblCellMar>
        </w:tblPrEx>
        <w:trPr>
          <w:trHeight w:val="623" w:hRule="atLeast"/>
          <w:jc w:val="center"/>
        </w:trPr>
        <w:tc>
          <w:tcPr>
            <w:tcW w:w="720" w:type="dxa"/>
            <w:tcBorders>
              <w:top w:val="double" w:color="auto" w:sz="2"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b/>
                <w:color w:val="auto"/>
                <w:highlight w:val="none"/>
              </w:rPr>
            </w:pPr>
            <w:r>
              <w:rPr>
                <w:rFonts w:hint="eastAsia" w:ascii="宋体" w:hAnsi="宋体" w:cs="宋体"/>
                <w:b/>
                <w:color w:val="auto"/>
                <w:highlight w:val="none"/>
              </w:rPr>
              <w:t>项目</w:t>
            </w:r>
          </w:p>
        </w:tc>
        <w:tc>
          <w:tcPr>
            <w:tcW w:w="990" w:type="dxa"/>
            <w:tcBorders>
              <w:top w:val="double" w:color="auto" w:sz="2"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b/>
                <w:color w:val="auto"/>
                <w:highlight w:val="none"/>
              </w:rPr>
            </w:pPr>
            <w:r>
              <w:rPr>
                <w:rFonts w:hint="eastAsia" w:ascii="宋体" w:hAnsi="宋体" w:cs="宋体"/>
                <w:b/>
                <w:color w:val="auto"/>
                <w:highlight w:val="none"/>
              </w:rPr>
              <w:t>条款号</w:t>
            </w:r>
          </w:p>
        </w:tc>
        <w:tc>
          <w:tcPr>
            <w:tcW w:w="1706" w:type="dxa"/>
            <w:tcBorders>
              <w:top w:val="double" w:color="auto" w:sz="2"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b/>
                <w:color w:val="auto"/>
                <w:highlight w:val="none"/>
              </w:rPr>
            </w:pPr>
            <w:r>
              <w:rPr>
                <w:rFonts w:hint="eastAsia" w:ascii="宋体" w:hAnsi="宋体" w:cs="宋体"/>
                <w:b/>
                <w:color w:val="auto"/>
                <w:highlight w:val="none"/>
              </w:rPr>
              <w:t>内容</w:t>
            </w:r>
          </w:p>
        </w:tc>
        <w:tc>
          <w:tcPr>
            <w:tcW w:w="6293" w:type="dxa"/>
            <w:tcBorders>
              <w:top w:val="double" w:color="auto" w:sz="2" w:space="0"/>
              <w:left w:val="single" w:color="auto" w:sz="4" w:space="0"/>
              <w:bottom w:val="single" w:color="auto" w:sz="4" w:space="0"/>
              <w:right w:val="double" w:color="auto" w:sz="2" w:space="0"/>
            </w:tcBorders>
            <w:shd w:val="clear" w:color="auto" w:fill="auto"/>
            <w:vAlign w:val="center"/>
          </w:tcPr>
          <w:p>
            <w:pPr>
              <w:pStyle w:val="12"/>
              <w:widowControl/>
              <w:spacing w:after="0" w:line="440" w:lineRule="exact"/>
              <w:ind w:firstLine="0"/>
              <w:jc w:val="center"/>
              <w:rPr>
                <w:rFonts w:ascii="宋体" w:hAnsi="宋体" w:cs="宋体"/>
                <w:b/>
                <w:color w:val="auto"/>
                <w:highlight w:val="none"/>
              </w:rPr>
            </w:pPr>
            <w:r>
              <w:rPr>
                <w:rFonts w:hint="eastAsia" w:ascii="宋体" w:hAnsi="宋体" w:cs="宋体"/>
                <w:b/>
                <w:color w:val="auto"/>
                <w:highlight w:val="none"/>
              </w:rPr>
              <w:t>说明与要求</w:t>
            </w:r>
          </w:p>
        </w:tc>
      </w:tr>
      <w:tr>
        <w:tblPrEx>
          <w:tblCellMar>
            <w:top w:w="0" w:type="dxa"/>
            <w:left w:w="108" w:type="dxa"/>
            <w:bottom w:w="0" w:type="dxa"/>
            <w:right w:w="108" w:type="dxa"/>
          </w:tblCellMar>
        </w:tblPrEx>
        <w:trPr>
          <w:trHeight w:val="541"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1</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2.2.1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项目名称</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2"/>
              <w:widowControl/>
              <w:spacing w:after="0" w:line="320" w:lineRule="exact"/>
              <w:ind w:firstLine="0"/>
              <w:rPr>
                <w:rFonts w:ascii="宋体" w:hAnsi="宋体" w:cs="宋体"/>
                <w:color w:val="auto"/>
                <w:highlight w:val="none"/>
                <w:u w:val="none"/>
              </w:rPr>
            </w:pPr>
            <w:r>
              <w:rPr>
                <w:rFonts w:ascii="宋体" w:hAnsi="宋体" w:cs="宋体"/>
                <w:color w:val="auto"/>
                <w:highlight w:val="none"/>
                <w:u w:val="none"/>
              </w:rPr>
              <w:t>广州市海防教育基地项目交通渡口码头工程</w:t>
            </w:r>
          </w:p>
        </w:tc>
      </w:tr>
      <w:tr>
        <w:tblPrEx>
          <w:tblCellMar>
            <w:top w:w="0" w:type="dxa"/>
            <w:left w:w="108" w:type="dxa"/>
            <w:bottom w:w="0" w:type="dxa"/>
            <w:right w:w="108" w:type="dxa"/>
          </w:tblCellMar>
        </w:tblPrEx>
        <w:trPr>
          <w:trHeight w:val="462"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2</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2.2.2</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建设地点</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2"/>
              <w:widowControl/>
              <w:spacing w:after="0" w:line="320" w:lineRule="exact"/>
              <w:ind w:firstLine="0"/>
              <w:rPr>
                <w:rFonts w:ascii="宋体" w:hAnsi="宋体" w:cs="宋体"/>
                <w:color w:val="auto"/>
                <w:highlight w:val="none"/>
                <w:u w:val="none"/>
              </w:rPr>
            </w:pPr>
            <w:r>
              <w:rPr>
                <w:rFonts w:hint="eastAsia" w:ascii="宋体" w:hAnsi="宋体" w:cs="宋体"/>
                <w:color w:val="auto"/>
                <w:highlight w:val="none"/>
                <w:u w:val="none"/>
              </w:rPr>
              <w:t>广州市南沙区</w:t>
            </w:r>
          </w:p>
        </w:tc>
      </w:tr>
      <w:tr>
        <w:tblPrEx>
          <w:tblCellMar>
            <w:top w:w="0" w:type="dxa"/>
            <w:left w:w="108" w:type="dxa"/>
            <w:bottom w:w="0" w:type="dxa"/>
            <w:right w:w="108" w:type="dxa"/>
          </w:tblCellMar>
        </w:tblPrEx>
        <w:trPr>
          <w:trHeight w:val="963"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3</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2.2.3</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建设规模</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2"/>
              <w:widowControl/>
              <w:spacing w:after="0" w:line="320" w:lineRule="exact"/>
              <w:ind w:firstLine="0"/>
              <w:rPr>
                <w:rFonts w:ascii="宋体" w:hAnsi="宋体" w:cs="宋体"/>
                <w:color w:val="auto"/>
                <w:highlight w:val="none"/>
                <w:u w:val="none"/>
              </w:rPr>
            </w:pPr>
            <w:r>
              <w:rPr>
                <w:rFonts w:hint="eastAsia" w:ascii="宋体" w:hAnsi="宋体" w:cs="宋体"/>
                <w:color w:val="auto"/>
                <w:highlight w:val="none"/>
                <w:u w:val="none"/>
              </w:rPr>
              <w:t>拟建项目共三</w:t>
            </w:r>
            <w:r>
              <w:rPr>
                <w:rFonts w:ascii="宋体" w:hAnsi="宋体" w:cs="宋体"/>
                <w:color w:val="auto"/>
                <w:highlight w:val="none"/>
                <w:u w:val="none"/>
              </w:rPr>
              <w:t>个港</w:t>
            </w:r>
            <w:r>
              <w:rPr>
                <w:rFonts w:hint="eastAsia" w:ascii="宋体" w:hAnsi="宋体" w:cs="宋体"/>
                <w:color w:val="auto"/>
                <w:highlight w:val="none"/>
                <w:u w:val="none"/>
              </w:rPr>
              <w:t>点，拟建设三座渡口码头及其附属设施，上横档岛、下横档岛、天后宫（大角山）各建设</w:t>
            </w:r>
            <w:r>
              <w:rPr>
                <w:rFonts w:ascii="宋体" w:hAnsi="宋体" w:cs="宋体"/>
                <w:color w:val="auto"/>
                <w:highlight w:val="none"/>
                <w:u w:val="none"/>
              </w:rPr>
              <w:t>30</w:t>
            </w:r>
            <w:r>
              <w:rPr>
                <w:rFonts w:hint="eastAsia" w:ascii="宋体" w:hAnsi="宋体" w:cs="宋体"/>
                <w:color w:val="auto"/>
                <w:highlight w:val="none"/>
                <w:u w:val="none"/>
              </w:rPr>
              <w:t>0GT渡轮泊位</w:t>
            </w:r>
            <w:r>
              <w:rPr>
                <w:rFonts w:ascii="宋体" w:hAnsi="宋体" w:cs="宋体"/>
                <w:color w:val="auto"/>
                <w:highlight w:val="none"/>
                <w:u w:val="none"/>
              </w:rPr>
              <w:t>1</w:t>
            </w:r>
            <w:r>
              <w:rPr>
                <w:rFonts w:hint="eastAsia" w:ascii="宋体" w:hAnsi="宋体" w:cs="宋体"/>
                <w:color w:val="auto"/>
                <w:highlight w:val="none"/>
                <w:u w:val="none"/>
              </w:rPr>
              <w:t>个，设计通过能力</w:t>
            </w:r>
            <w:r>
              <w:rPr>
                <w:rFonts w:hint="eastAsia" w:ascii="宋体" w:hAnsi="宋体" w:cs="宋体"/>
                <w:color w:val="auto"/>
                <w:highlight w:val="none"/>
                <w:u w:val="none"/>
                <w:lang w:val="en-US" w:eastAsia="zh-CN"/>
              </w:rPr>
              <w:t>36万</w:t>
            </w:r>
            <w:r>
              <w:rPr>
                <w:rFonts w:hint="eastAsia" w:ascii="宋体" w:hAnsi="宋体" w:cs="宋体"/>
                <w:color w:val="auto"/>
                <w:highlight w:val="none"/>
                <w:u w:val="none"/>
              </w:rPr>
              <w:t>人次/年。</w:t>
            </w:r>
          </w:p>
        </w:tc>
      </w:tr>
      <w:tr>
        <w:tblPrEx>
          <w:tblCellMar>
            <w:top w:w="0" w:type="dxa"/>
            <w:left w:w="108" w:type="dxa"/>
            <w:bottom w:w="0" w:type="dxa"/>
            <w:right w:w="108" w:type="dxa"/>
          </w:tblCellMar>
        </w:tblPrEx>
        <w:trPr>
          <w:trHeight w:val="562"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4</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2.2.4</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项目总投资</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2"/>
              <w:widowControl/>
              <w:spacing w:after="0" w:line="320" w:lineRule="exact"/>
              <w:ind w:firstLine="0"/>
              <w:rPr>
                <w:rFonts w:ascii="宋体" w:hAnsi="宋体" w:cs="宋体"/>
                <w:color w:val="auto"/>
                <w:highlight w:val="none"/>
                <w:u w:val="none"/>
              </w:rPr>
            </w:pPr>
            <w:r>
              <w:rPr>
                <w:rFonts w:hint="eastAsia" w:ascii="宋体" w:hAnsi="宋体" w:cs="宋体"/>
                <w:color w:val="auto"/>
                <w:highlight w:val="none"/>
                <w:u w:val="none"/>
              </w:rPr>
              <w:t>项目总投资4769.04万元，其中建安费3581.46万元</w:t>
            </w:r>
          </w:p>
        </w:tc>
      </w:tr>
      <w:tr>
        <w:tblPrEx>
          <w:tblCellMar>
            <w:top w:w="0" w:type="dxa"/>
            <w:left w:w="108" w:type="dxa"/>
            <w:bottom w:w="0" w:type="dxa"/>
            <w:right w:w="108" w:type="dxa"/>
          </w:tblCellMar>
        </w:tblPrEx>
        <w:trPr>
          <w:trHeight w:val="776"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5</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2.2.5</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质量目标</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spacing w:line="320" w:lineRule="exact"/>
              <w:rPr>
                <w:rFonts w:ascii="宋体" w:hAnsi="宋体" w:eastAsia="宋体" w:cs="宋体"/>
                <w:color w:val="auto"/>
                <w:highlight w:val="none"/>
                <w:u w:val="none"/>
              </w:rPr>
            </w:pPr>
            <w:r>
              <w:rPr>
                <w:rFonts w:hint="eastAsia" w:ascii="宋体" w:hAnsi="宋体" w:eastAsia="宋体" w:cs="宋体"/>
                <w:color w:val="auto"/>
                <w:szCs w:val="21"/>
                <w:highlight w:val="none"/>
                <w:u w:val="none"/>
              </w:rPr>
              <w:t>质量目标：合格</w:t>
            </w:r>
          </w:p>
        </w:tc>
      </w:tr>
      <w:tr>
        <w:tblPrEx>
          <w:tblCellMar>
            <w:top w:w="0" w:type="dxa"/>
            <w:left w:w="108" w:type="dxa"/>
            <w:bottom w:w="0" w:type="dxa"/>
            <w:right w:w="108" w:type="dxa"/>
          </w:tblCellMar>
        </w:tblPrEx>
        <w:trPr>
          <w:trHeight w:val="335"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6</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2.3.1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招标范围</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2"/>
              <w:widowControl/>
              <w:spacing w:after="0" w:line="320" w:lineRule="exact"/>
              <w:ind w:firstLine="0"/>
              <w:rPr>
                <w:rFonts w:ascii="宋体" w:hAnsi="宋体" w:cs="宋体"/>
                <w:color w:val="auto"/>
                <w:highlight w:val="none"/>
                <w:u w:val="none"/>
              </w:rPr>
            </w:pPr>
            <w:r>
              <w:rPr>
                <w:rFonts w:hint="eastAsia" w:ascii="宋体" w:hAnsi="宋体" w:cs="宋体"/>
                <w:color w:val="auto"/>
                <w:sz w:val="21"/>
                <w:szCs w:val="21"/>
                <w:highlight w:val="none"/>
                <w:lang w:eastAsia="zh-CN"/>
              </w:rPr>
              <w:t>本项目为广州市海防教育基地项目交通渡口码头工程的总平面布置、工艺、水工结构（趸船码头形式），以及相关的配套工程设计（码头趸船船体设计及建造由招标人另行委托）。具体包括：在可研报告基础上进行本项目的初步设计及概算编制、施工图设计，包括但不限于总平面布置、装卸工艺、水工建筑物、配套工程、节能、安全、劳动卫生、环境保护、投资概算、竣工图审核盖章等。</w:t>
            </w:r>
          </w:p>
        </w:tc>
      </w:tr>
      <w:tr>
        <w:tblPrEx>
          <w:tblCellMar>
            <w:top w:w="0" w:type="dxa"/>
            <w:left w:w="108" w:type="dxa"/>
            <w:bottom w:w="0" w:type="dxa"/>
            <w:right w:w="108" w:type="dxa"/>
          </w:tblCellMar>
        </w:tblPrEx>
        <w:trPr>
          <w:trHeight w:val="914"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7</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2.3.2</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服务任务期限</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spacing w:line="360" w:lineRule="auto"/>
              <w:rPr>
                <w:rFonts w:ascii="宋体" w:hAnsi="宋体" w:eastAsia="宋体" w:cs="宋体"/>
                <w:color w:val="auto"/>
                <w:highlight w:val="none"/>
                <w:u w:val="none"/>
              </w:rPr>
            </w:pPr>
            <w:r>
              <w:rPr>
                <w:rFonts w:hint="eastAsia" w:ascii="宋体" w:hAnsi="宋体" w:eastAsia="宋体" w:cs="宋体"/>
                <w:color w:val="auto"/>
                <w:szCs w:val="21"/>
                <w:highlight w:val="none"/>
                <w:u w:val="none"/>
                <w:lang w:eastAsia="zh-CN"/>
              </w:rPr>
              <w:t>自中标通知书发出后，至工程竣工验收结算备案，完成合同约定全部工作为止</w:t>
            </w:r>
            <w:r>
              <w:rPr>
                <w:rFonts w:hint="eastAsia" w:ascii="宋体" w:hAnsi="宋体" w:eastAsia="宋体" w:cs="宋体"/>
                <w:color w:val="auto"/>
                <w:szCs w:val="21"/>
                <w:highlight w:val="none"/>
                <w:u w:val="none"/>
              </w:rPr>
              <w:t>。（出图要求：</w:t>
            </w:r>
            <w:r>
              <w:rPr>
                <w:rFonts w:hint="eastAsia" w:ascii="宋体" w:hAnsi="宋体" w:eastAsia="宋体" w:cs="宋体"/>
                <w:color w:val="auto"/>
                <w:szCs w:val="21"/>
                <w:highlight w:val="none"/>
                <w:u w:val="none"/>
                <w:lang w:val="en-US" w:eastAsia="zh-CN"/>
              </w:rPr>
              <w:t>按合同条款第5条执行</w:t>
            </w:r>
            <w:r>
              <w:rPr>
                <w:rFonts w:hint="eastAsia" w:ascii="宋体" w:hAnsi="宋体" w:eastAsia="宋体" w:cs="宋体"/>
                <w:color w:val="auto"/>
                <w:szCs w:val="21"/>
                <w:highlight w:val="none"/>
                <w:u w:val="none"/>
              </w:rPr>
              <w:t>）</w:t>
            </w:r>
          </w:p>
        </w:tc>
      </w:tr>
      <w:tr>
        <w:tblPrEx>
          <w:tblCellMar>
            <w:top w:w="0" w:type="dxa"/>
            <w:left w:w="108" w:type="dxa"/>
            <w:bottom w:w="0" w:type="dxa"/>
            <w:right w:w="108" w:type="dxa"/>
          </w:tblCellMar>
        </w:tblPrEx>
        <w:trPr>
          <w:trHeight w:val="444"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8</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3.1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资金来源</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2"/>
              <w:widowControl/>
              <w:spacing w:after="0" w:line="320" w:lineRule="exact"/>
              <w:ind w:firstLine="0"/>
              <w:rPr>
                <w:rFonts w:ascii="宋体" w:hAnsi="宋体" w:cs="宋体"/>
                <w:color w:val="auto"/>
                <w:highlight w:val="none"/>
                <w:u w:val="none"/>
              </w:rPr>
            </w:pPr>
            <w:r>
              <w:rPr>
                <w:rFonts w:hint="eastAsia" w:ascii="宋体" w:hAnsi="宋体" w:cs="宋体"/>
                <w:color w:val="auto"/>
                <w:highlight w:val="none"/>
                <w:u w:val="none"/>
              </w:rPr>
              <w:t>自筹资金</w:t>
            </w:r>
          </w:p>
        </w:tc>
      </w:tr>
      <w:tr>
        <w:tblPrEx>
          <w:tblCellMar>
            <w:top w:w="0" w:type="dxa"/>
            <w:left w:w="108" w:type="dxa"/>
            <w:bottom w:w="0" w:type="dxa"/>
            <w:right w:w="108" w:type="dxa"/>
          </w:tblCellMar>
        </w:tblPrEx>
        <w:trPr>
          <w:trHeight w:val="453"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9</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4.1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投标人资质要求</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2"/>
              <w:widowControl/>
              <w:numPr>
                <w:ilvl w:val="0"/>
                <w:numId w:val="1"/>
              </w:numPr>
              <w:spacing w:after="0" w:line="320" w:lineRule="exact"/>
              <w:ind w:firstLine="0"/>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lang w:eastAsia="zh-CN"/>
              </w:rPr>
              <w:t>设计资质：</w:t>
            </w:r>
            <w:r>
              <w:rPr>
                <w:rFonts w:hint="eastAsia" w:ascii="宋体" w:hAnsi="宋体" w:eastAsia="宋体" w:cs="宋体"/>
                <w:color w:val="auto"/>
                <w:sz w:val="21"/>
                <w:szCs w:val="21"/>
                <w:highlight w:val="none"/>
                <w:u w:val="none"/>
              </w:rPr>
              <w:t>水运行业乙级或以上。</w:t>
            </w:r>
          </w:p>
          <w:p>
            <w:pPr>
              <w:pStyle w:val="12"/>
              <w:widowControl/>
              <w:numPr>
                <w:ilvl w:val="0"/>
                <w:numId w:val="1"/>
              </w:numPr>
              <w:spacing w:after="0" w:line="320" w:lineRule="exact"/>
              <w:ind w:firstLine="0"/>
              <w:rPr>
                <w:rFonts w:ascii="宋体" w:hAnsi="宋体" w:cs="宋体"/>
                <w:color w:val="auto"/>
                <w:highlight w:val="none"/>
                <w:u w:val="none"/>
              </w:rPr>
            </w:pPr>
            <w:r>
              <w:rPr>
                <w:rFonts w:hint="eastAsia" w:ascii="宋体" w:hAnsi="宋体" w:eastAsia="宋体" w:cs="宋体"/>
                <w:color w:val="auto"/>
                <w:sz w:val="21"/>
                <w:szCs w:val="21"/>
                <w:highlight w:val="none"/>
                <w:u w:val="none"/>
                <w:lang w:val="en-US" w:eastAsia="zh-CN"/>
              </w:rPr>
              <w:t>勘察资质：</w:t>
            </w:r>
            <w:r>
              <w:rPr>
                <w:rFonts w:hint="eastAsia" w:ascii="宋体" w:hAnsi="宋体" w:eastAsia="宋体" w:cs="宋体"/>
                <w:color w:val="auto"/>
                <w:sz w:val="21"/>
                <w:szCs w:val="21"/>
                <w:highlight w:val="none"/>
                <w:u w:val="none"/>
              </w:rPr>
              <w:t>工程勘察专业类</w:t>
            </w:r>
            <w:r>
              <w:rPr>
                <w:rFonts w:hint="eastAsia" w:ascii="宋体" w:hAnsi="宋体" w:eastAsia="宋体" w:cs="宋体"/>
                <w:color w:val="auto"/>
                <w:sz w:val="21"/>
                <w:szCs w:val="21"/>
                <w:highlight w:val="none"/>
                <w:u w:val="none"/>
                <w:lang w:eastAsia="zh-CN"/>
              </w:rPr>
              <w:t>乙</w:t>
            </w:r>
            <w:r>
              <w:rPr>
                <w:rFonts w:hint="eastAsia" w:ascii="宋体" w:hAnsi="宋体" w:eastAsia="宋体" w:cs="宋体"/>
                <w:color w:val="auto"/>
                <w:sz w:val="21"/>
                <w:szCs w:val="21"/>
                <w:highlight w:val="none"/>
                <w:u w:val="none"/>
              </w:rPr>
              <w:t>级</w:t>
            </w:r>
            <w:r>
              <w:rPr>
                <w:rFonts w:hint="eastAsia" w:ascii="宋体" w:hAnsi="宋体" w:eastAsia="宋体" w:cs="宋体"/>
                <w:color w:val="auto"/>
                <w:sz w:val="21"/>
                <w:szCs w:val="21"/>
                <w:highlight w:val="none"/>
                <w:u w:val="none"/>
                <w:lang w:eastAsia="zh-CN"/>
              </w:rPr>
              <w:t>或以上。</w:t>
            </w:r>
          </w:p>
        </w:tc>
      </w:tr>
      <w:tr>
        <w:tblPrEx>
          <w:tblCellMar>
            <w:top w:w="0" w:type="dxa"/>
            <w:left w:w="108" w:type="dxa"/>
            <w:bottom w:w="0" w:type="dxa"/>
            <w:right w:w="108" w:type="dxa"/>
          </w:tblCellMar>
        </w:tblPrEx>
        <w:trPr>
          <w:trHeight w:val="453"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firstLineChars="0"/>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10</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hint="eastAsia" w:ascii="宋体" w:hAnsi="宋体" w:cs="宋体"/>
                <w:color w:val="auto"/>
                <w:highlight w:val="none"/>
              </w:rPr>
            </w:pP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投标、分包要求</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7"/>
              <w:rPr>
                <w:rFonts w:hint="eastAsia" w:ascii="宋体" w:hAnsi="宋体" w:cs="宋体"/>
                <w:color w:val="auto"/>
                <w:sz w:val="21"/>
                <w:szCs w:val="21"/>
                <w:highlight w:val="none"/>
                <w:u w:val="none"/>
                <w:lang w:val="en-US" w:eastAsia="zh-CN"/>
              </w:rPr>
            </w:pPr>
            <w:r>
              <w:rPr>
                <w:rFonts w:hint="eastAsia" w:hAnsi="宋体" w:cs="宋体"/>
                <w:color w:val="auto"/>
                <w:sz w:val="21"/>
                <w:szCs w:val="21"/>
                <w:highlight w:val="none"/>
                <w:u w:val="none"/>
                <w:lang w:val="en-US" w:eastAsia="zh-CN"/>
              </w:rPr>
              <w:t>（1）</w:t>
            </w:r>
            <w:r>
              <w:rPr>
                <w:rFonts w:hint="eastAsia" w:ascii="宋体" w:hAnsi="宋体" w:cs="宋体"/>
                <w:color w:val="auto"/>
                <w:sz w:val="21"/>
                <w:szCs w:val="21"/>
                <w:highlight w:val="none"/>
                <w:u w:val="none"/>
                <w:lang w:val="en-US" w:eastAsia="zh-CN"/>
              </w:rPr>
              <w:t>允许联合体投标</w:t>
            </w:r>
            <w:r>
              <w:rPr>
                <w:rFonts w:hint="eastAsia" w:hAnsi="宋体" w:cs="宋体"/>
                <w:color w:val="auto"/>
                <w:sz w:val="21"/>
                <w:szCs w:val="21"/>
                <w:highlight w:val="none"/>
                <w:u w:val="none"/>
                <w:lang w:val="en-US" w:eastAsia="zh-CN"/>
              </w:rPr>
              <w:t>。</w:t>
            </w:r>
            <w:r>
              <w:rPr>
                <w:rFonts w:hint="eastAsia" w:ascii="宋体" w:hAnsi="宋体" w:cs="宋体"/>
                <w:color w:val="auto"/>
                <w:sz w:val="21"/>
                <w:szCs w:val="21"/>
                <w:highlight w:val="none"/>
                <w:u w:val="none"/>
                <w:lang w:val="en-US" w:eastAsia="zh-CN"/>
              </w:rPr>
              <w:t>联合体投标的，应满足下列要求：申请人可以组成联合体投标，并签订联合体共同投标协议（联合体共同投标协议应明确约定各方拟承担的工作和责任。投标登记截止后联合体增减、更换成员的，其投标无效）。以承担设计职责的一方为牵头方。联合体各方（包括牵头方及联合体成员）不得再单独或与其他单位组成联合体参与本项目投标，投标人拟任本工程项目负责人应为牵头方正式员工。联合体各方应当共同与招标人签订合同，为履行合同向招标人承担连带责任，联合体的牵头方负责整个合同的全面履行和接受本招标工程项目工程款的支付。</w:t>
            </w:r>
          </w:p>
          <w:p>
            <w:pPr>
              <w:pStyle w:val="7"/>
              <w:rPr>
                <w:rFonts w:hint="default" w:ascii="宋体" w:hAnsi="宋体" w:eastAsia="宋体" w:cs="宋体"/>
                <w:color w:val="auto"/>
                <w:sz w:val="21"/>
                <w:szCs w:val="21"/>
                <w:highlight w:val="none"/>
                <w:u w:val="none"/>
                <w:lang w:val="en-US" w:eastAsia="zh-CN"/>
              </w:rPr>
            </w:pPr>
            <w:r>
              <w:rPr>
                <w:rFonts w:hint="eastAsia" w:hAnsi="宋体" w:cs="宋体"/>
                <w:color w:val="auto"/>
                <w:sz w:val="21"/>
                <w:szCs w:val="21"/>
                <w:highlight w:val="none"/>
                <w:u w:val="none"/>
                <w:lang w:val="en-US" w:eastAsia="zh-CN"/>
              </w:rPr>
              <w:t>（2）</w:t>
            </w:r>
            <w:r>
              <w:rPr>
                <w:rFonts w:hint="eastAsia" w:ascii="宋体" w:hAnsi="宋体" w:cs="宋体"/>
                <w:color w:val="auto"/>
                <w:sz w:val="21"/>
                <w:szCs w:val="21"/>
                <w:highlight w:val="none"/>
                <w:u w:val="none"/>
                <w:lang w:val="en-US" w:eastAsia="zh-CN"/>
              </w:rPr>
              <w:t>允许专业分包。</w:t>
            </w:r>
          </w:p>
        </w:tc>
      </w:tr>
      <w:tr>
        <w:tblPrEx>
          <w:tblCellMar>
            <w:top w:w="0" w:type="dxa"/>
            <w:left w:w="108" w:type="dxa"/>
            <w:bottom w:w="0" w:type="dxa"/>
            <w:right w:w="108" w:type="dxa"/>
          </w:tblCellMar>
        </w:tblPrEx>
        <w:trPr>
          <w:trHeight w:val="592"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firstLineChars="0"/>
              <w:jc w:val="center"/>
              <w:rPr>
                <w:rFonts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11</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2.3.3</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服务人员的专业配套要求</w:t>
            </w:r>
          </w:p>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（据实配备）</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spacing w:line="320" w:lineRule="exact"/>
              <w:ind w:right="150"/>
              <w:jc w:val="left"/>
              <w:rPr>
                <w:rFonts w:ascii="宋体" w:hAnsi="宋体" w:eastAsia="宋体" w:cs="宋体"/>
                <w:b/>
                <w:color w:val="auto"/>
                <w:highlight w:val="none"/>
                <w:u w:val="none"/>
              </w:rPr>
            </w:pPr>
            <w:r>
              <w:rPr>
                <w:rFonts w:hint="eastAsia" w:ascii="宋体" w:hAnsi="宋体" w:eastAsia="宋体" w:cs="宋体"/>
                <w:b/>
                <w:color w:val="auto"/>
                <w:szCs w:val="21"/>
                <w:highlight w:val="none"/>
                <w:u w:val="none"/>
              </w:rPr>
              <w:t>（1）项目负责人要求： </w:t>
            </w:r>
          </w:p>
          <w:p>
            <w:pPr>
              <w:pStyle w:val="12"/>
              <w:widowControl/>
              <w:spacing w:before="100" w:beforeAutospacing="0" w:after="0" w:line="320" w:lineRule="exact"/>
              <w:ind w:right="150" w:firstLine="0"/>
              <w:jc w:val="left"/>
              <w:rPr>
                <w:rFonts w:ascii="宋体" w:hAnsi="宋体" w:cs="宋体"/>
                <w:color w:val="auto"/>
                <w:highlight w:val="none"/>
                <w:u w:val="none"/>
              </w:rPr>
            </w:pPr>
            <w:r>
              <w:rPr>
                <w:rFonts w:hint="eastAsia" w:ascii="宋体" w:hAnsi="宋体"/>
                <w:color w:val="auto"/>
                <w:highlight w:val="none"/>
                <w:u w:val="none"/>
                <w:lang w:eastAsia="zh-CN"/>
              </w:rPr>
              <w:t>项目</w:t>
            </w:r>
            <w:r>
              <w:rPr>
                <w:rFonts w:hint="eastAsia" w:ascii="宋体" w:hAnsi="宋体"/>
                <w:color w:val="auto"/>
                <w:highlight w:val="none"/>
                <w:u w:val="none"/>
              </w:rPr>
              <w:t>负责人具备注册土木工程师（港口与航道工程）执业资格。</w:t>
            </w:r>
          </w:p>
          <w:p>
            <w:pPr>
              <w:pStyle w:val="12"/>
              <w:widowControl/>
              <w:spacing w:before="100" w:beforeAutospacing="0" w:after="0" w:line="320" w:lineRule="exact"/>
              <w:ind w:left="535" w:right="150" w:hanging="535" w:hangingChars="254"/>
              <w:jc w:val="left"/>
              <w:rPr>
                <w:rFonts w:ascii="宋体" w:hAnsi="宋体" w:cs="宋体"/>
                <w:b/>
                <w:color w:val="auto"/>
                <w:highlight w:val="none"/>
                <w:u w:val="none"/>
              </w:rPr>
            </w:pPr>
            <w:r>
              <w:rPr>
                <w:rFonts w:hint="eastAsia" w:ascii="宋体" w:hAnsi="宋体" w:cs="宋体"/>
                <w:b/>
                <w:color w:val="auto"/>
                <w:highlight w:val="none"/>
                <w:u w:val="none"/>
              </w:rPr>
              <w:t>（2）设计专业人员最低配套要求：</w:t>
            </w:r>
          </w:p>
          <w:p>
            <w:pPr>
              <w:spacing w:line="320" w:lineRule="exact"/>
              <w:ind w:right="150"/>
              <w:jc w:val="left"/>
              <w:rPr>
                <w:rFonts w:ascii="宋体" w:hAnsi="宋体" w:eastAsia="宋体" w:cs="宋体"/>
                <w:color w:val="auto"/>
                <w:highlight w:val="none"/>
                <w:u w:val="none"/>
              </w:rPr>
            </w:pPr>
            <w:r>
              <w:rPr>
                <w:rFonts w:hint="eastAsia" w:ascii="宋体" w:hAnsi="宋体" w:eastAsia="宋体" w:cs="宋体"/>
                <w:color w:val="auto"/>
                <w:szCs w:val="21"/>
                <w:highlight w:val="none"/>
                <w:u w:val="none"/>
              </w:rPr>
              <w:t>总图1名、水工结构2名、岩土1名、造价1名，</w:t>
            </w:r>
            <w:r>
              <w:rPr>
                <w:rFonts w:hint="eastAsia" w:ascii="宋体" w:hAnsi="宋体" w:eastAsia="宋体" w:cs="宋体"/>
                <w:color w:val="auto"/>
                <w:szCs w:val="21"/>
                <w:highlight w:val="none"/>
                <w:u w:val="none"/>
                <w:lang w:eastAsia="zh-CN"/>
              </w:rPr>
              <w:t>均具有中级</w:t>
            </w:r>
            <w:r>
              <w:rPr>
                <w:rFonts w:hint="eastAsia" w:ascii="宋体" w:hAnsi="宋体" w:eastAsia="宋体" w:cs="宋体"/>
                <w:color w:val="auto"/>
                <w:szCs w:val="21"/>
                <w:highlight w:val="none"/>
                <w:u w:val="none"/>
                <w:lang w:val="en-US" w:eastAsia="zh-CN"/>
              </w:rPr>
              <w:t>或以上</w:t>
            </w:r>
            <w:r>
              <w:rPr>
                <w:rFonts w:hint="eastAsia" w:ascii="宋体" w:hAnsi="宋体" w:eastAsia="宋体" w:cs="宋体"/>
                <w:color w:val="auto"/>
                <w:szCs w:val="21"/>
                <w:highlight w:val="none"/>
                <w:u w:val="none"/>
                <w:lang w:eastAsia="zh-CN"/>
              </w:rPr>
              <w:t>职称，</w:t>
            </w:r>
            <w:r>
              <w:rPr>
                <w:rFonts w:hint="eastAsia" w:ascii="宋体" w:hAnsi="宋体" w:eastAsia="宋体" w:cs="宋体"/>
                <w:color w:val="auto"/>
                <w:szCs w:val="21"/>
                <w:highlight w:val="none"/>
                <w:u w:val="none"/>
              </w:rPr>
              <w:t>其他专业人员根据项目规模自行考虑。</w:t>
            </w:r>
          </w:p>
        </w:tc>
      </w:tr>
      <w:tr>
        <w:tblPrEx>
          <w:tblCellMar>
            <w:top w:w="0" w:type="dxa"/>
            <w:left w:w="108" w:type="dxa"/>
            <w:bottom w:w="0" w:type="dxa"/>
            <w:right w:w="108" w:type="dxa"/>
          </w:tblCellMar>
        </w:tblPrEx>
        <w:trPr>
          <w:trHeight w:val="515"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firstLineChars="0"/>
              <w:jc w:val="center"/>
              <w:rPr>
                <w:rFonts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12</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beforeAutospacing="0" w:after="0"/>
              <w:ind w:firstLine="0"/>
              <w:jc w:val="center"/>
              <w:rPr>
                <w:rFonts w:ascii="宋体" w:hAnsi="宋体" w:cs="宋体"/>
                <w:color w:val="auto"/>
                <w:highlight w:val="none"/>
              </w:rPr>
            </w:pPr>
            <w:r>
              <w:rPr>
                <w:rFonts w:hint="eastAsia" w:ascii="宋体" w:hAnsi="宋体" w:cs="宋体"/>
                <w:color w:val="auto"/>
                <w:highlight w:val="none"/>
              </w:rPr>
              <w:t>4.5</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beforeAutospacing="0" w:after="0"/>
              <w:ind w:left="-59" w:leftChars="-28" w:right="-59" w:rightChars="-28" w:firstLine="0"/>
              <w:jc w:val="center"/>
              <w:rPr>
                <w:rFonts w:ascii="宋体" w:hAnsi="宋体" w:cs="宋体"/>
                <w:color w:val="auto"/>
                <w:highlight w:val="none"/>
              </w:rPr>
            </w:pPr>
            <w:r>
              <w:rPr>
                <w:rFonts w:hint="eastAsia" w:ascii="宋体" w:hAnsi="宋体" w:cs="宋体"/>
                <w:color w:val="auto"/>
                <w:highlight w:val="none"/>
              </w:rPr>
              <w:t>资格审查方式</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2"/>
              <w:widowControl/>
              <w:spacing w:after="0" w:line="320" w:lineRule="exact"/>
              <w:ind w:firstLine="0"/>
              <w:rPr>
                <w:rFonts w:ascii="宋体" w:hAnsi="宋体" w:cs="宋体"/>
                <w:color w:val="auto"/>
                <w:highlight w:val="none"/>
                <w:u w:val="none"/>
              </w:rPr>
            </w:pPr>
            <w:r>
              <w:rPr>
                <w:rFonts w:hint="eastAsia"/>
                <w:color w:val="auto"/>
                <w:highlight w:val="none"/>
                <w:u w:val="none"/>
              </w:rPr>
              <w:t>/</w:t>
            </w:r>
          </w:p>
        </w:tc>
      </w:tr>
      <w:tr>
        <w:tblPrEx>
          <w:tblCellMar>
            <w:top w:w="0" w:type="dxa"/>
            <w:left w:w="108" w:type="dxa"/>
            <w:bottom w:w="0" w:type="dxa"/>
            <w:right w:w="108" w:type="dxa"/>
          </w:tblCellMar>
        </w:tblPrEx>
        <w:trPr>
          <w:trHeight w:val="515"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firstLineChars="0"/>
              <w:jc w:val="center"/>
              <w:rPr>
                <w:rFonts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13</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宋体" w:hAnsi="宋体" w:eastAsia="宋体" w:cs="宋体"/>
                <w:color w:val="auto"/>
                <w:highlight w:val="none"/>
              </w:rPr>
            </w:pPr>
            <w:r>
              <w:rPr>
                <w:rFonts w:hint="eastAsia" w:ascii="宋体" w:hAnsi="宋体" w:eastAsia="宋体" w:cs="宋体"/>
                <w:color w:val="auto"/>
                <w:szCs w:val="21"/>
                <w:highlight w:val="none"/>
              </w:rPr>
              <w:t>5.1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宋体" w:hAnsi="宋体" w:eastAsia="宋体" w:cs="宋体"/>
                <w:color w:val="auto"/>
                <w:highlight w:val="none"/>
              </w:rPr>
            </w:pPr>
            <w:r>
              <w:rPr>
                <w:rFonts w:hint="eastAsia" w:ascii="宋体" w:hAnsi="宋体" w:eastAsia="宋体" w:cs="宋体"/>
                <w:color w:val="auto"/>
                <w:szCs w:val="21"/>
                <w:highlight w:val="none"/>
              </w:rPr>
              <w:t>踏勘现场</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spacing w:line="320" w:lineRule="exact"/>
              <w:rPr>
                <w:rFonts w:ascii="宋体" w:hAnsi="宋体" w:eastAsia="宋体" w:cs="宋体"/>
                <w:color w:val="auto"/>
                <w:highlight w:val="none"/>
                <w:u w:val="none"/>
              </w:rPr>
            </w:pPr>
            <w:r>
              <w:rPr>
                <w:rFonts w:hint="eastAsia" w:ascii="宋体" w:hAnsi="宋体" w:eastAsia="宋体" w:cs="宋体"/>
                <w:color w:val="auto"/>
                <w:szCs w:val="21"/>
                <w:highlight w:val="none"/>
                <w:u w:val="none"/>
              </w:rPr>
              <w:t>由投标人自行考察。</w:t>
            </w:r>
          </w:p>
        </w:tc>
      </w:tr>
      <w:tr>
        <w:tblPrEx>
          <w:tblCellMar>
            <w:top w:w="0" w:type="dxa"/>
            <w:left w:w="108" w:type="dxa"/>
            <w:bottom w:w="0" w:type="dxa"/>
            <w:right w:w="108" w:type="dxa"/>
          </w:tblCellMar>
        </w:tblPrEx>
        <w:trPr>
          <w:trHeight w:val="515"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firstLineChars="0"/>
              <w:jc w:val="center"/>
              <w:rPr>
                <w:rFonts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14</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宋体" w:hAnsi="宋体" w:eastAsia="宋体" w:cs="宋体"/>
                <w:color w:val="auto"/>
                <w:highlight w:val="none"/>
              </w:rPr>
            </w:pPr>
            <w:r>
              <w:rPr>
                <w:rFonts w:hint="eastAsia" w:ascii="宋体" w:hAnsi="宋体" w:eastAsia="宋体" w:cs="宋体"/>
                <w:color w:val="auto"/>
                <w:szCs w:val="21"/>
                <w:highlight w:val="none"/>
              </w:rPr>
              <w:t>8.1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宋体" w:hAnsi="宋体" w:eastAsia="宋体" w:cs="宋体"/>
                <w:color w:val="auto"/>
                <w:highlight w:val="none"/>
              </w:rPr>
            </w:pPr>
            <w:r>
              <w:rPr>
                <w:rFonts w:hint="eastAsia" w:ascii="宋体" w:hAnsi="宋体" w:eastAsia="宋体" w:cs="宋体"/>
                <w:color w:val="auto"/>
                <w:szCs w:val="21"/>
                <w:highlight w:val="none"/>
              </w:rPr>
              <w:t>招标答疑</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spacing w:line="320" w:lineRule="exact"/>
              <w:jc w:val="center"/>
              <w:rPr>
                <w:color w:val="auto"/>
                <w:highlight w:val="none"/>
                <w:u w:val="none"/>
              </w:rPr>
            </w:pPr>
            <w:r>
              <w:rPr>
                <w:rFonts w:hint="eastAsia"/>
                <w:color w:val="auto"/>
                <w:highlight w:val="none"/>
                <w:u w:val="none"/>
              </w:rPr>
              <w:t>/</w:t>
            </w:r>
          </w:p>
        </w:tc>
      </w:tr>
      <w:tr>
        <w:tblPrEx>
          <w:tblCellMar>
            <w:top w:w="0" w:type="dxa"/>
            <w:left w:w="108" w:type="dxa"/>
            <w:bottom w:w="0" w:type="dxa"/>
            <w:right w:w="108" w:type="dxa"/>
          </w:tblCellMar>
        </w:tblPrEx>
        <w:trPr>
          <w:trHeight w:val="758"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firstLineChars="0"/>
              <w:jc w:val="center"/>
              <w:rPr>
                <w:rFonts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15</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13.1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before="100" w:beforeAutospacing="0" w:after="0" w:line="440" w:lineRule="exact"/>
              <w:ind w:left="-59" w:leftChars="-28" w:right="-44" w:rightChars="-21" w:firstLine="0"/>
              <w:jc w:val="center"/>
              <w:rPr>
                <w:rFonts w:ascii="宋体" w:hAnsi="宋体" w:cs="宋体"/>
                <w:color w:val="auto"/>
                <w:highlight w:val="none"/>
              </w:rPr>
            </w:pPr>
            <w:r>
              <w:rPr>
                <w:rFonts w:hint="eastAsia" w:ascii="宋体" w:hAnsi="宋体" w:cs="宋体"/>
                <w:color w:val="auto"/>
                <w:highlight w:val="none"/>
              </w:rPr>
              <w:t>报价及结算方式</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7"/>
              <w:widowControl/>
              <w:spacing w:line="360" w:lineRule="auto"/>
              <w:ind w:firstLine="420" w:firstLineChars="200"/>
              <w:rPr>
                <w:rFonts w:hint="eastAsia" w:hAnsi="宋体" w:cs="宋体"/>
                <w:color w:val="auto"/>
                <w:sz w:val="21"/>
                <w:szCs w:val="21"/>
                <w:highlight w:val="none"/>
                <w:u w:val="none"/>
                <w:lang w:val="en-US" w:eastAsia="zh-CN"/>
              </w:rPr>
            </w:pPr>
            <w:r>
              <w:rPr>
                <w:rFonts w:hint="eastAsia" w:hAnsi="宋体" w:cs="宋体"/>
                <w:color w:val="auto"/>
                <w:sz w:val="21"/>
                <w:szCs w:val="21"/>
                <w:highlight w:val="none"/>
                <w:u w:val="none"/>
                <w:lang w:val="en-US" w:eastAsia="zh-CN"/>
              </w:rPr>
              <w:t>招标总控制价为</w:t>
            </w:r>
            <w:r>
              <w:rPr>
                <w:rFonts w:hint="default" w:hAnsi="宋体" w:cs="宋体"/>
                <w:color w:val="auto"/>
                <w:sz w:val="21"/>
                <w:szCs w:val="21"/>
                <w:highlight w:val="none"/>
                <w:u w:val="none"/>
                <w:lang w:val="en-US" w:eastAsia="zh-CN"/>
              </w:rPr>
              <w:t>¥</w:t>
            </w:r>
            <w:r>
              <w:rPr>
                <w:rFonts w:hint="eastAsia" w:hAnsi="宋体" w:cs="宋体"/>
                <w:color w:val="auto"/>
                <w:sz w:val="21"/>
                <w:szCs w:val="21"/>
                <w:highlight w:val="none"/>
                <w:u w:val="none"/>
                <w:lang w:val="en-US" w:eastAsia="zh-CN"/>
              </w:rPr>
              <w:t>955735.00元，其中：</w:t>
            </w:r>
          </w:p>
          <w:p>
            <w:pPr>
              <w:pStyle w:val="7"/>
              <w:widowControl/>
              <w:spacing w:line="360" w:lineRule="auto"/>
              <w:ind w:firstLine="420" w:firstLineChars="200"/>
              <w:rPr>
                <w:rFonts w:hint="eastAsia" w:hAnsi="宋体" w:cs="宋体"/>
                <w:color w:val="auto"/>
                <w:sz w:val="21"/>
                <w:szCs w:val="21"/>
                <w:highlight w:val="none"/>
                <w:u w:val="none"/>
                <w:lang w:val="en-US" w:eastAsia="zh-CN"/>
              </w:rPr>
            </w:pPr>
            <w:r>
              <w:rPr>
                <w:rFonts w:hint="eastAsia" w:hAnsi="宋体" w:cs="宋体"/>
                <w:color w:val="auto"/>
                <w:sz w:val="21"/>
                <w:szCs w:val="21"/>
                <w:highlight w:val="none"/>
                <w:u w:val="none"/>
                <w:lang w:val="en-US" w:eastAsia="zh-CN"/>
              </w:rPr>
              <w:t>1、设计费：含初步设计及概算编制、施工图设计（含初设评审费，不含施工图预算编制费），限价为¥622535.00元（暂按工程费用1400万元为计算基数，基价为¥655300.00元，下浮5%作为限价，投标人需根据上述基价进行报价，下浮率需大于5%），系数为：水运工程专业调整系数1.10、开敞式码头复杂程度调整系数1.15、附加调整系数1.0。结算价最终以审定的施工招标控制价为基数，并结合中标下浮率计算得出。</w:t>
            </w:r>
          </w:p>
          <w:p>
            <w:pPr>
              <w:pStyle w:val="7"/>
              <w:widowControl/>
              <w:spacing w:line="360" w:lineRule="auto"/>
              <w:ind w:firstLine="420" w:firstLineChars="200"/>
              <w:rPr>
                <w:rFonts w:hint="default" w:hAnsi="宋体" w:cs="宋体"/>
                <w:color w:val="auto"/>
                <w:sz w:val="21"/>
                <w:szCs w:val="21"/>
                <w:highlight w:val="none"/>
                <w:u w:val="none"/>
                <w:lang w:val="en-US" w:eastAsia="zh-CN"/>
              </w:rPr>
            </w:pPr>
            <w:r>
              <w:rPr>
                <w:rFonts w:hint="eastAsia" w:hAnsi="宋体" w:cs="宋体"/>
                <w:color w:val="auto"/>
                <w:sz w:val="21"/>
                <w:szCs w:val="21"/>
                <w:highlight w:val="none"/>
                <w:u w:val="none"/>
                <w:lang w:val="en-US" w:eastAsia="zh-CN"/>
              </w:rPr>
              <w:t>2、勘察费（水上）限价为综合单价</w:t>
            </w:r>
            <w:r>
              <w:rPr>
                <w:rFonts w:hint="default" w:hAnsi="宋体" w:cs="宋体"/>
                <w:color w:val="auto"/>
                <w:sz w:val="21"/>
                <w:szCs w:val="21"/>
                <w:highlight w:val="none"/>
                <w:u w:val="none"/>
                <w:lang w:val="en-US" w:eastAsia="zh-CN"/>
              </w:rPr>
              <w:t>¥</w:t>
            </w:r>
            <w:r>
              <w:rPr>
                <w:rFonts w:hint="eastAsia" w:hAnsi="宋体" w:cs="宋体"/>
                <w:color w:val="auto"/>
                <w:sz w:val="21"/>
                <w:szCs w:val="21"/>
                <w:highlight w:val="none"/>
                <w:u w:val="none"/>
                <w:lang w:val="en-US" w:eastAsia="zh-CN"/>
              </w:rPr>
              <w:t>500元/米（含办理勘察作业手续），暂按13个孔、每个孔勘察33米计算，总价暂定为</w:t>
            </w:r>
            <w:r>
              <w:rPr>
                <w:rFonts w:hint="default" w:hAnsi="宋体" w:cs="宋体"/>
                <w:color w:val="auto"/>
                <w:sz w:val="21"/>
                <w:szCs w:val="21"/>
                <w:highlight w:val="none"/>
                <w:u w:val="none"/>
                <w:lang w:val="en-US" w:eastAsia="zh-CN"/>
              </w:rPr>
              <w:t>¥</w:t>
            </w:r>
            <w:r>
              <w:rPr>
                <w:rFonts w:hint="eastAsia" w:hAnsi="宋体" w:cs="宋体"/>
                <w:color w:val="auto"/>
                <w:sz w:val="21"/>
                <w:szCs w:val="21"/>
                <w:highlight w:val="none"/>
                <w:u w:val="none"/>
                <w:lang w:val="en-US" w:eastAsia="zh-CN"/>
              </w:rPr>
              <w:t>214500.00元。结算价=实际钻孔数×实际勘察深度×综合单价。</w:t>
            </w:r>
          </w:p>
          <w:p>
            <w:pPr>
              <w:pStyle w:val="7"/>
              <w:widowControl/>
              <w:spacing w:line="360" w:lineRule="auto"/>
              <w:ind w:firstLine="420" w:firstLineChars="200"/>
              <w:rPr>
                <w:rFonts w:hint="default" w:hAnsi="宋体" w:cs="宋体"/>
                <w:color w:val="auto"/>
                <w:sz w:val="21"/>
                <w:szCs w:val="21"/>
                <w:highlight w:val="none"/>
                <w:u w:val="none"/>
                <w:lang w:val="en-US" w:eastAsia="zh-CN"/>
              </w:rPr>
            </w:pPr>
            <w:r>
              <w:rPr>
                <w:rFonts w:hint="eastAsia" w:hAnsi="宋体" w:cs="宋体"/>
                <w:color w:val="auto"/>
                <w:sz w:val="21"/>
                <w:szCs w:val="21"/>
                <w:highlight w:val="none"/>
                <w:u w:val="none"/>
                <w:lang w:val="en-US" w:eastAsia="zh-CN"/>
              </w:rPr>
              <w:t>3、勘察费（陆上）限价为综合单价</w:t>
            </w:r>
            <w:r>
              <w:rPr>
                <w:rFonts w:hint="default" w:hAnsi="宋体" w:cs="宋体"/>
                <w:color w:val="auto"/>
                <w:sz w:val="21"/>
                <w:szCs w:val="21"/>
                <w:highlight w:val="none"/>
                <w:u w:val="none"/>
                <w:lang w:val="en-US" w:eastAsia="zh-CN"/>
              </w:rPr>
              <w:t>¥</w:t>
            </w:r>
            <w:r>
              <w:rPr>
                <w:rFonts w:hint="eastAsia" w:hAnsi="宋体" w:cs="宋体"/>
                <w:color w:val="auto"/>
                <w:sz w:val="21"/>
                <w:szCs w:val="21"/>
                <w:highlight w:val="none"/>
                <w:u w:val="none"/>
                <w:lang w:val="en-US" w:eastAsia="zh-CN"/>
              </w:rPr>
              <w:t>180元/米（含办理勘察作业手续），暂按2个孔、每个孔勘察30米计算，总价暂定为</w:t>
            </w:r>
            <w:r>
              <w:rPr>
                <w:rFonts w:hint="default" w:hAnsi="宋体" w:cs="宋体"/>
                <w:color w:val="auto"/>
                <w:sz w:val="21"/>
                <w:szCs w:val="21"/>
                <w:highlight w:val="none"/>
                <w:u w:val="none"/>
                <w:lang w:val="en-US" w:eastAsia="zh-CN"/>
              </w:rPr>
              <w:t>¥</w:t>
            </w:r>
            <w:r>
              <w:rPr>
                <w:rFonts w:hint="eastAsia" w:hAnsi="宋体" w:cs="宋体"/>
                <w:color w:val="auto"/>
                <w:sz w:val="21"/>
                <w:szCs w:val="21"/>
                <w:highlight w:val="none"/>
                <w:u w:val="none"/>
                <w:lang w:val="en-US" w:eastAsia="zh-CN"/>
              </w:rPr>
              <w:t>10800.00元。结算价=实际钻孔数×实际勘察深度×综合单价。</w:t>
            </w:r>
          </w:p>
          <w:p>
            <w:pPr>
              <w:pStyle w:val="7"/>
              <w:widowControl/>
              <w:spacing w:line="360" w:lineRule="auto"/>
              <w:ind w:firstLine="420" w:firstLineChars="200"/>
              <w:rPr>
                <w:rFonts w:hint="eastAsia" w:hAnsi="宋体" w:cs="宋体"/>
                <w:color w:val="auto"/>
                <w:sz w:val="21"/>
                <w:szCs w:val="21"/>
                <w:highlight w:val="none"/>
                <w:u w:val="none"/>
                <w:lang w:val="en-US" w:eastAsia="zh-CN"/>
              </w:rPr>
            </w:pPr>
            <w:r>
              <w:rPr>
                <w:rFonts w:hint="eastAsia" w:hAnsi="宋体" w:cs="宋体"/>
                <w:color w:val="auto"/>
                <w:sz w:val="21"/>
                <w:szCs w:val="21"/>
                <w:highlight w:val="none"/>
                <w:u w:val="none"/>
                <w:lang w:val="en-US" w:eastAsia="zh-CN"/>
              </w:rPr>
              <w:t>测量费限价为综合单价</w:t>
            </w:r>
            <w:r>
              <w:rPr>
                <w:rFonts w:hint="default" w:hAnsi="宋体" w:cs="宋体"/>
                <w:color w:val="auto"/>
                <w:sz w:val="21"/>
                <w:szCs w:val="21"/>
                <w:highlight w:val="none"/>
                <w:u w:val="none"/>
                <w:lang w:val="en-US" w:eastAsia="zh-CN"/>
              </w:rPr>
              <w:t>¥</w:t>
            </w:r>
            <w:r>
              <w:rPr>
                <w:rFonts w:hint="eastAsia" w:hAnsi="宋体" w:cs="宋体"/>
                <w:color w:val="auto"/>
                <w:sz w:val="21"/>
                <w:szCs w:val="21"/>
                <w:highlight w:val="none"/>
                <w:u w:val="none"/>
                <w:lang w:val="en-US" w:eastAsia="zh-CN"/>
              </w:rPr>
              <w:t>0.13元/㎡，暂按测量面积0.83km²计算，总价暂定为</w:t>
            </w:r>
            <w:r>
              <w:rPr>
                <w:rFonts w:hint="default" w:hAnsi="宋体" w:cs="宋体"/>
                <w:color w:val="auto"/>
                <w:sz w:val="21"/>
                <w:szCs w:val="21"/>
                <w:highlight w:val="none"/>
                <w:u w:val="none"/>
                <w:lang w:val="en-US" w:eastAsia="zh-CN"/>
              </w:rPr>
              <w:t>¥</w:t>
            </w:r>
            <w:r>
              <w:rPr>
                <w:rFonts w:hint="eastAsia" w:hAnsi="宋体" w:cs="宋体"/>
                <w:color w:val="auto"/>
                <w:sz w:val="21"/>
                <w:szCs w:val="21"/>
                <w:highlight w:val="none"/>
                <w:u w:val="none"/>
                <w:lang w:val="en-US" w:eastAsia="zh-CN"/>
              </w:rPr>
              <w:t>107900.00元。结算价=实际测量面积×综合单价。</w:t>
            </w:r>
          </w:p>
          <w:p>
            <w:pPr>
              <w:pStyle w:val="7"/>
              <w:widowControl/>
              <w:spacing w:line="360" w:lineRule="auto"/>
              <w:ind w:firstLine="420" w:firstLineChars="200"/>
              <w:rPr>
                <w:rFonts w:hint="default" w:hAnsi="宋体" w:cs="宋体"/>
                <w:color w:val="auto"/>
                <w:sz w:val="21"/>
                <w:szCs w:val="21"/>
                <w:highlight w:val="none"/>
                <w:u w:val="none"/>
                <w:lang w:val="en-US" w:eastAsia="zh-CN"/>
              </w:rPr>
            </w:pPr>
            <w:r>
              <w:rPr>
                <w:rFonts w:hint="eastAsia" w:hAnsi="宋体" w:cs="宋体"/>
                <w:color w:val="auto"/>
                <w:sz w:val="21"/>
                <w:szCs w:val="21"/>
                <w:highlight w:val="none"/>
                <w:u w:val="none"/>
                <w:lang w:val="en-US" w:eastAsia="zh-CN"/>
              </w:rPr>
              <w:t>注：以上费用均参照计价格[2002]10号文为计费标准。</w:t>
            </w:r>
          </w:p>
          <w:p>
            <w:pPr>
              <w:pStyle w:val="7"/>
              <w:widowControl/>
              <w:spacing w:line="360" w:lineRule="auto"/>
              <w:ind w:firstLine="420" w:firstLineChars="200"/>
              <w:rPr>
                <w:rFonts w:ascii="宋体" w:hAnsi="宋体" w:cs="宋体"/>
                <w:color w:val="auto"/>
                <w:highlight w:val="none"/>
                <w:u w:val="none"/>
              </w:rPr>
            </w:pPr>
            <w:r>
              <w:rPr>
                <w:rFonts w:hint="eastAsia" w:ascii="宋体" w:hAnsi="宋体" w:cs="宋体"/>
                <w:color w:val="auto"/>
                <w:highlight w:val="none"/>
                <w:u w:val="none"/>
              </w:rPr>
              <w:t>投标单位自行报价</w:t>
            </w:r>
            <w:r>
              <w:rPr>
                <w:rFonts w:hint="eastAsia" w:ascii="宋体" w:hAnsi="宋体" w:eastAsia="宋体" w:cs="宋体"/>
                <w:color w:val="auto"/>
                <w:sz w:val="21"/>
                <w:szCs w:val="21"/>
                <w:highlight w:val="none"/>
                <w:u w:val="none"/>
              </w:rPr>
              <w:t>（投标</w:t>
            </w:r>
            <w:r>
              <w:rPr>
                <w:rFonts w:hint="eastAsia" w:hAnsi="宋体" w:cs="宋体"/>
                <w:color w:val="auto"/>
                <w:sz w:val="21"/>
                <w:szCs w:val="21"/>
                <w:highlight w:val="none"/>
                <w:u w:val="none"/>
                <w:lang w:eastAsia="zh-CN"/>
              </w:rPr>
              <w:t>总</w:t>
            </w:r>
            <w:r>
              <w:rPr>
                <w:rFonts w:hint="eastAsia" w:ascii="宋体" w:hAnsi="宋体" w:eastAsia="宋体" w:cs="宋体"/>
                <w:color w:val="auto"/>
                <w:sz w:val="21"/>
                <w:szCs w:val="21"/>
                <w:highlight w:val="none"/>
                <w:u w:val="none"/>
              </w:rPr>
              <w:t>报价</w:t>
            </w:r>
            <w:r>
              <w:rPr>
                <w:rFonts w:hint="eastAsia" w:hAnsi="宋体" w:cs="宋体"/>
                <w:color w:val="auto"/>
                <w:sz w:val="21"/>
                <w:szCs w:val="21"/>
                <w:highlight w:val="none"/>
                <w:u w:val="none"/>
                <w:lang w:eastAsia="zh-CN"/>
              </w:rPr>
              <w:t>及各分项报价</w:t>
            </w:r>
            <w:r>
              <w:rPr>
                <w:rFonts w:hint="eastAsia" w:ascii="宋体" w:hAnsi="宋体" w:eastAsia="宋体" w:cs="宋体"/>
                <w:color w:val="auto"/>
                <w:sz w:val="21"/>
                <w:szCs w:val="21"/>
                <w:highlight w:val="none"/>
                <w:u w:val="none"/>
              </w:rPr>
              <w:t>均不</w:t>
            </w:r>
            <w:r>
              <w:rPr>
                <w:rFonts w:hint="eastAsia" w:hAnsi="宋体" w:cs="宋体"/>
                <w:color w:val="auto"/>
                <w:sz w:val="21"/>
                <w:szCs w:val="21"/>
                <w:highlight w:val="none"/>
                <w:u w:val="none"/>
                <w:lang w:eastAsia="zh-CN"/>
              </w:rPr>
              <w:t>能</w:t>
            </w:r>
            <w:r>
              <w:rPr>
                <w:rFonts w:hint="eastAsia" w:ascii="宋体" w:hAnsi="宋体" w:eastAsia="宋体" w:cs="宋体"/>
                <w:color w:val="auto"/>
                <w:sz w:val="21"/>
                <w:szCs w:val="21"/>
                <w:highlight w:val="none"/>
                <w:u w:val="none"/>
              </w:rPr>
              <w:t>超过</w:t>
            </w:r>
            <w:r>
              <w:rPr>
                <w:rFonts w:hint="eastAsia" w:hAnsi="宋体" w:cs="宋体"/>
                <w:color w:val="auto"/>
                <w:sz w:val="21"/>
                <w:szCs w:val="21"/>
                <w:highlight w:val="none"/>
                <w:u w:val="none"/>
                <w:lang w:eastAsia="zh-CN"/>
              </w:rPr>
              <w:t>限价，否则按废标处理</w:t>
            </w:r>
            <w:r>
              <w:rPr>
                <w:rFonts w:hint="eastAsia" w:ascii="宋体" w:hAnsi="宋体" w:eastAsia="宋体" w:cs="宋体"/>
                <w:color w:val="auto"/>
                <w:sz w:val="21"/>
                <w:szCs w:val="21"/>
                <w:highlight w:val="none"/>
                <w:u w:val="none"/>
              </w:rPr>
              <w:t>）</w:t>
            </w:r>
            <w:r>
              <w:rPr>
                <w:rFonts w:hint="eastAsia" w:ascii="宋体" w:hAnsi="宋体" w:cs="宋体"/>
                <w:color w:val="auto"/>
                <w:highlight w:val="none"/>
                <w:u w:val="none"/>
              </w:rPr>
              <w:t>。（小数点后保留二位小数，第三位小数四舍五入）</w:t>
            </w:r>
          </w:p>
        </w:tc>
      </w:tr>
      <w:tr>
        <w:tblPrEx>
          <w:tblCellMar>
            <w:top w:w="0" w:type="dxa"/>
            <w:left w:w="108" w:type="dxa"/>
            <w:bottom w:w="0" w:type="dxa"/>
            <w:right w:w="108" w:type="dxa"/>
          </w:tblCellMar>
        </w:tblPrEx>
        <w:trPr>
          <w:trHeight w:val="580"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firstLineChars="0"/>
              <w:jc w:val="center"/>
              <w:rPr>
                <w:rFonts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16</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15.1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投标有效期</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2"/>
              <w:widowControl/>
              <w:spacing w:after="0" w:line="320" w:lineRule="exact"/>
              <w:ind w:firstLine="0"/>
              <w:rPr>
                <w:rFonts w:ascii="宋体" w:hAnsi="宋体" w:cs="宋体"/>
                <w:color w:val="auto"/>
                <w:highlight w:val="none"/>
                <w:u w:val="none"/>
              </w:rPr>
            </w:pPr>
            <w:r>
              <w:rPr>
                <w:rFonts w:hint="eastAsia" w:ascii="宋体" w:hAnsi="宋体" w:cs="宋体"/>
                <w:color w:val="auto"/>
                <w:highlight w:val="none"/>
                <w:u w:val="none"/>
              </w:rPr>
              <w:t>90日历天（从投标截止之日算起）。</w:t>
            </w:r>
          </w:p>
        </w:tc>
      </w:tr>
      <w:tr>
        <w:tblPrEx>
          <w:tblCellMar>
            <w:top w:w="0" w:type="dxa"/>
            <w:left w:w="108" w:type="dxa"/>
            <w:bottom w:w="0" w:type="dxa"/>
            <w:right w:w="108" w:type="dxa"/>
          </w:tblCellMar>
        </w:tblPrEx>
        <w:trPr>
          <w:trHeight w:val="741"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firstLineChars="0"/>
              <w:jc w:val="center"/>
              <w:rPr>
                <w:rFonts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17</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16.1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spacing w:val="-4"/>
                <w:highlight w:val="none"/>
              </w:rPr>
            </w:pPr>
            <w:r>
              <w:rPr>
                <w:rFonts w:hint="eastAsia" w:ascii="宋体" w:hAnsi="宋体" w:cs="宋体"/>
                <w:color w:val="auto"/>
                <w:spacing w:val="-4"/>
                <w:highlight w:val="none"/>
              </w:rPr>
              <w:t>投标保证金</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2"/>
              <w:widowControl/>
              <w:spacing w:after="0" w:line="320" w:lineRule="exact"/>
              <w:ind w:firstLine="0"/>
              <w:rPr>
                <w:rFonts w:ascii="宋体" w:hAnsi="宋体" w:cs="宋体"/>
                <w:color w:val="auto"/>
                <w:highlight w:val="none"/>
                <w:u w:val="none"/>
              </w:rPr>
            </w:pPr>
            <w:r>
              <w:rPr>
                <w:rFonts w:hint="eastAsia" w:ascii="宋体" w:hAnsi="宋体" w:cs="宋体"/>
                <w:color w:val="auto"/>
                <w:highlight w:val="none"/>
                <w:u w:val="none"/>
              </w:rPr>
              <w:t>本项目不收投标保证金</w:t>
            </w:r>
          </w:p>
        </w:tc>
      </w:tr>
      <w:tr>
        <w:tblPrEx>
          <w:tblCellMar>
            <w:top w:w="0" w:type="dxa"/>
            <w:left w:w="108" w:type="dxa"/>
            <w:bottom w:w="0" w:type="dxa"/>
            <w:right w:w="108" w:type="dxa"/>
          </w:tblCellMar>
        </w:tblPrEx>
        <w:trPr>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firstLineChars="0"/>
              <w:jc w:val="center"/>
              <w:rPr>
                <w:rFonts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18</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17.1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before="100" w:beforeAutospacing="0" w:after="0" w:line="440" w:lineRule="exact"/>
              <w:ind w:left="-46" w:leftChars="-22" w:right="-59" w:rightChars="-28" w:firstLine="0"/>
              <w:jc w:val="center"/>
              <w:rPr>
                <w:rFonts w:ascii="宋体" w:hAnsi="宋体" w:cs="宋体"/>
                <w:color w:val="auto"/>
                <w:highlight w:val="none"/>
              </w:rPr>
            </w:pPr>
            <w:r>
              <w:rPr>
                <w:rFonts w:hint="eastAsia" w:ascii="宋体" w:hAnsi="宋体" w:cs="宋体"/>
                <w:color w:val="auto"/>
                <w:highlight w:val="none"/>
              </w:rPr>
              <w:t>投标文件份数</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2"/>
              <w:widowControl/>
              <w:spacing w:after="0" w:line="320" w:lineRule="exact"/>
              <w:ind w:firstLine="0"/>
              <w:rPr>
                <w:rFonts w:ascii="黑体" w:hAnsi="宋体" w:eastAsia="黑体" w:cs="黑体"/>
                <w:color w:val="auto"/>
                <w:highlight w:val="none"/>
                <w:u w:val="none"/>
              </w:rPr>
            </w:pPr>
            <w:r>
              <w:rPr>
                <w:rFonts w:hint="eastAsia" w:ascii="宋体" w:hAnsi="宋体" w:cs="宋体"/>
                <w:color w:val="auto"/>
                <w:highlight w:val="none"/>
                <w:u w:val="none"/>
              </w:rPr>
              <w:t>投标文件：1份正本（含电子文件一套），4份副本。</w:t>
            </w:r>
          </w:p>
        </w:tc>
      </w:tr>
      <w:tr>
        <w:tblPrEx>
          <w:tblCellMar>
            <w:top w:w="0" w:type="dxa"/>
            <w:left w:w="108" w:type="dxa"/>
            <w:bottom w:w="0" w:type="dxa"/>
            <w:right w:w="108" w:type="dxa"/>
          </w:tblCellMar>
        </w:tblPrEx>
        <w:trPr>
          <w:trHeight w:val="898"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firstLineChars="0"/>
              <w:jc w:val="center"/>
              <w:rPr>
                <w:rFonts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19</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19.1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before="100" w:beforeAutospacing="0" w:after="0" w:line="440" w:lineRule="exact"/>
              <w:ind w:left="-19" w:leftChars="-9" w:right="-17" w:rightChars="-8" w:firstLine="0"/>
              <w:jc w:val="center"/>
              <w:rPr>
                <w:rFonts w:ascii="宋体" w:hAnsi="宋体" w:cs="宋体"/>
                <w:color w:val="auto"/>
                <w:highlight w:val="none"/>
              </w:rPr>
            </w:pPr>
            <w:r>
              <w:rPr>
                <w:rFonts w:hint="eastAsia" w:ascii="宋体" w:hAnsi="宋体" w:cs="宋体"/>
                <w:color w:val="auto"/>
                <w:highlight w:val="none"/>
              </w:rPr>
              <w:t>投标文件</w:t>
            </w:r>
          </w:p>
          <w:p>
            <w:pPr>
              <w:pStyle w:val="12"/>
              <w:widowControl/>
              <w:spacing w:before="100" w:beforeAutospacing="0" w:after="0" w:line="440" w:lineRule="exact"/>
              <w:ind w:left="-19" w:leftChars="-9" w:right="-17" w:rightChars="-8" w:firstLine="0"/>
              <w:jc w:val="center"/>
              <w:rPr>
                <w:rFonts w:ascii="宋体" w:hAnsi="宋体" w:cs="宋体"/>
                <w:color w:val="auto"/>
                <w:highlight w:val="none"/>
              </w:rPr>
            </w:pPr>
            <w:r>
              <w:rPr>
                <w:rFonts w:hint="eastAsia" w:ascii="宋体" w:hAnsi="宋体" w:cs="宋体"/>
                <w:color w:val="auto"/>
                <w:highlight w:val="none"/>
              </w:rPr>
              <w:t>提交地点及</w:t>
            </w:r>
          </w:p>
          <w:p>
            <w:pPr>
              <w:pStyle w:val="12"/>
              <w:widowControl/>
              <w:spacing w:before="100" w:beforeAutospacing="0" w:after="0" w:line="440" w:lineRule="exact"/>
              <w:ind w:left="-19" w:leftChars="-9" w:right="-17" w:rightChars="-8" w:firstLine="0"/>
              <w:jc w:val="center"/>
              <w:rPr>
                <w:rFonts w:ascii="宋体" w:hAnsi="宋体" w:cs="宋体"/>
                <w:color w:val="auto"/>
                <w:highlight w:val="none"/>
              </w:rPr>
            </w:pPr>
            <w:r>
              <w:rPr>
                <w:rFonts w:hint="eastAsia" w:ascii="宋体" w:hAnsi="宋体" w:cs="宋体"/>
                <w:color w:val="auto"/>
                <w:highlight w:val="none"/>
              </w:rPr>
              <w:t>截止时间</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spacing w:line="320" w:lineRule="exact"/>
              <w:rPr>
                <w:rFonts w:hint="default"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rPr>
              <w:t>收件人：</w:t>
            </w:r>
            <w:r>
              <w:rPr>
                <w:rFonts w:hint="eastAsia" w:ascii="宋体" w:hAnsi="宋体" w:eastAsia="宋体" w:cs="宋体"/>
                <w:color w:val="auto"/>
                <w:szCs w:val="21"/>
                <w:highlight w:val="none"/>
                <w:u w:val="none"/>
                <w:lang w:eastAsia="zh-CN"/>
              </w:rPr>
              <w:t>李工，</w:t>
            </w:r>
            <w:r>
              <w:rPr>
                <w:rFonts w:hint="eastAsia" w:ascii="宋体" w:hAnsi="宋体" w:eastAsia="宋体" w:cs="宋体"/>
                <w:color w:val="auto"/>
                <w:szCs w:val="21"/>
                <w:highlight w:val="none"/>
                <w:u w:val="none"/>
                <w:lang w:val="en-US" w:eastAsia="zh-CN"/>
              </w:rPr>
              <w:t>66806279</w:t>
            </w:r>
          </w:p>
          <w:p>
            <w:pPr>
              <w:spacing w:line="320" w:lineRule="exact"/>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rPr>
              <w:t>提交地点：广州</w:t>
            </w:r>
            <w:r>
              <w:rPr>
                <w:rFonts w:hint="eastAsia" w:ascii="宋体" w:hAnsi="宋体" w:eastAsia="宋体" w:cs="宋体"/>
                <w:color w:val="auto"/>
                <w:szCs w:val="21"/>
                <w:highlight w:val="none"/>
                <w:u w:val="none"/>
                <w:lang w:eastAsia="zh-CN"/>
              </w:rPr>
              <w:t>市</w:t>
            </w:r>
            <w:r>
              <w:rPr>
                <w:rFonts w:hint="eastAsia" w:ascii="宋体" w:hAnsi="宋体" w:eastAsia="宋体" w:cs="宋体"/>
                <w:color w:val="auto"/>
                <w:szCs w:val="21"/>
                <w:highlight w:val="none"/>
                <w:u w:val="none"/>
              </w:rPr>
              <w:t>南沙区金融大厦</w:t>
            </w:r>
            <w:r>
              <w:rPr>
                <w:rFonts w:hint="eastAsia" w:ascii="宋体" w:hAnsi="宋体" w:eastAsia="宋体" w:cs="宋体"/>
                <w:color w:val="auto"/>
                <w:szCs w:val="21"/>
                <w:highlight w:val="none"/>
                <w:u w:val="none"/>
                <w:lang w:val="en-US" w:eastAsia="zh-CN"/>
              </w:rPr>
              <w:t>1807会议</w:t>
            </w:r>
            <w:r>
              <w:rPr>
                <w:rFonts w:hint="eastAsia" w:ascii="宋体" w:hAnsi="宋体" w:eastAsia="宋体" w:cs="宋体"/>
                <w:color w:val="auto"/>
                <w:szCs w:val="21"/>
                <w:highlight w:val="none"/>
                <w:u w:val="none"/>
              </w:rPr>
              <w:t>室</w:t>
            </w:r>
          </w:p>
          <w:p>
            <w:pPr>
              <w:spacing w:line="320" w:lineRule="exact"/>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投标时间：</w:t>
            </w:r>
            <w:r>
              <w:rPr>
                <w:rFonts w:hint="eastAsia" w:ascii="宋体" w:hAnsi="宋体" w:eastAsia="宋体" w:cs="宋体"/>
                <w:color w:val="auto"/>
                <w:kern w:val="2"/>
                <w:sz w:val="21"/>
                <w:szCs w:val="21"/>
                <w:highlight w:val="none"/>
                <w:u w:val="none"/>
                <w:lang w:val="en-US" w:eastAsia="zh-CN" w:bidi="ar-SA"/>
              </w:rPr>
              <w:t>2022年3月25日（星期五）09时00分至2022年3月25日（星期五）09时30分前。</w:t>
            </w:r>
          </w:p>
          <w:p>
            <w:pPr>
              <w:spacing w:line="320" w:lineRule="exact"/>
              <w:rPr>
                <w:rFonts w:ascii="宋体" w:hAnsi="宋体" w:cs="宋体"/>
                <w:b/>
                <w:color w:val="auto"/>
                <w:highlight w:val="none"/>
                <w:u w:val="none"/>
              </w:rPr>
            </w:pPr>
            <w:r>
              <w:rPr>
                <w:rFonts w:hint="eastAsia" w:ascii="宋体" w:hAnsi="宋体" w:cs="宋体"/>
                <w:color w:val="auto"/>
                <w:highlight w:val="none"/>
                <w:u w:val="none"/>
              </w:rPr>
              <w:t>法定代表人应凭本人身份证和法定代表人证明书原件提交投标文件，委托代理人应凭本人身份证、法定代表人证明书原件和法定代表人授权委托证明书原件提交投标文件。否则其投标文件不被招标人接收。</w:t>
            </w:r>
          </w:p>
        </w:tc>
      </w:tr>
      <w:tr>
        <w:tblPrEx>
          <w:tblCellMar>
            <w:top w:w="0" w:type="dxa"/>
            <w:left w:w="108" w:type="dxa"/>
            <w:bottom w:w="0" w:type="dxa"/>
            <w:right w:w="108" w:type="dxa"/>
          </w:tblCellMar>
        </w:tblPrEx>
        <w:trPr>
          <w:trHeight w:val="1542"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2"/>
              <w:widowControl/>
              <w:spacing w:after="0" w:line="440" w:lineRule="exact"/>
              <w:ind w:firstLine="0" w:firstLineChars="0"/>
              <w:jc w:val="center"/>
              <w:rPr>
                <w:rFonts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20</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24.1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开标</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spacing w:line="320" w:lineRule="exact"/>
              <w:rPr>
                <w:rFonts w:ascii="宋体" w:hAnsi="宋体" w:eastAsia="宋体" w:cs="宋体"/>
                <w:color w:val="auto"/>
                <w:highlight w:val="none"/>
                <w:u w:val="none"/>
              </w:rPr>
            </w:pPr>
            <w:r>
              <w:rPr>
                <w:rFonts w:hint="eastAsia" w:ascii="宋体" w:hAnsi="宋体" w:eastAsia="宋体" w:cs="宋体"/>
                <w:color w:val="auto"/>
                <w:szCs w:val="21"/>
                <w:highlight w:val="none"/>
                <w:u w:val="none"/>
              </w:rPr>
              <w:t>开标时间：</w:t>
            </w:r>
            <w:r>
              <w:rPr>
                <w:rFonts w:hint="eastAsia" w:ascii="宋体" w:hAnsi="宋体" w:eastAsia="宋体" w:cs="宋体"/>
                <w:color w:val="auto"/>
                <w:kern w:val="2"/>
                <w:sz w:val="21"/>
                <w:szCs w:val="21"/>
                <w:highlight w:val="none"/>
                <w:u w:val="none"/>
                <w:lang w:val="en-US" w:eastAsia="zh-CN" w:bidi="ar-SA"/>
              </w:rPr>
              <w:t>2022年3月25日（星期五）09时30分前</w:t>
            </w:r>
          </w:p>
          <w:p>
            <w:pPr>
              <w:spacing w:line="320" w:lineRule="exact"/>
              <w:rPr>
                <w:rFonts w:ascii="宋体" w:hAnsi="宋体" w:eastAsia="宋体" w:cs="宋体"/>
                <w:color w:val="auto"/>
                <w:highlight w:val="none"/>
                <w:u w:val="none"/>
              </w:rPr>
            </w:pPr>
            <w:r>
              <w:rPr>
                <w:rFonts w:hint="eastAsia" w:ascii="宋体" w:hAnsi="宋体" w:eastAsia="宋体" w:cs="宋体"/>
                <w:color w:val="auto"/>
                <w:szCs w:val="21"/>
                <w:highlight w:val="none"/>
                <w:u w:val="none"/>
              </w:rPr>
              <w:t>地点：广州</w:t>
            </w:r>
            <w:r>
              <w:rPr>
                <w:rFonts w:hint="eastAsia" w:ascii="宋体" w:hAnsi="宋体" w:eastAsia="宋体" w:cs="宋体"/>
                <w:color w:val="auto"/>
                <w:szCs w:val="21"/>
                <w:highlight w:val="none"/>
                <w:u w:val="none"/>
                <w:lang w:eastAsia="zh-CN"/>
              </w:rPr>
              <w:t>市</w:t>
            </w:r>
            <w:r>
              <w:rPr>
                <w:rFonts w:hint="eastAsia" w:ascii="宋体" w:hAnsi="宋体" w:eastAsia="宋体" w:cs="宋体"/>
                <w:color w:val="auto"/>
                <w:szCs w:val="21"/>
                <w:highlight w:val="none"/>
                <w:u w:val="none"/>
              </w:rPr>
              <w:t>南沙区金融大厦</w:t>
            </w:r>
            <w:r>
              <w:rPr>
                <w:rFonts w:hint="eastAsia" w:ascii="宋体" w:hAnsi="宋体" w:eastAsia="宋体" w:cs="宋体"/>
                <w:color w:val="auto"/>
                <w:szCs w:val="21"/>
                <w:highlight w:val="none"/>
                <w:u w:val="none"/>
                <w:lang w:val="en-US" w:eastAsia="zh-CN"/>
              </w:rPr>
              <w:t>1807会议</w:t>
            </w:r>
            <w:r>
              <w:rPr>
                <w:rFonts w:hint="eastAsia" w:ascii="宋体" w:hAnsi="宋体" w:eastAsia="宋体" w:cs="宋体"/>
                <w:color w:val="auto"/>
                <w:szCs w:val="21"/>
                <w:highlight w:val="none"/>
                <w:u w:val="none"/>
              </w:rPr>
              <w:t>室</w:t>
            </w:r>
          </w:p>
          <w:p>
            <w:pPr>
              <w:spacing w:line="320" w:lineRule="exact"/>
              <w:rPr>
                <w:rFonts w:ascii="宋体" w:hAnsi="宋体" w:eastAsia="宋体" w:cs="宋体"/>
                <w:b/>
                <w:color w:val="auto"/>
                <w:highlight w:val="none"/>
                <w:u w:val="none"/>
              </w:rPr>
            </w:pPr>
            <w:r>
              <w:rPr>
                <w:rFonts w:hint="eastAsia" w:ascii="宋体" w:hAnsi="宋体" w:eastAsia="宋体" w:cs="宋体"/>
                <w:color w:val="auto"/>
                <w:szCs w:val="21"/>
                <w:highlight w:val="none"/>
                <w:u w:val="none"/>
              </w:rPr>
              <w:t>请各投标人的法定代表人或其有效授权委托人务必准时出席，并须带本人身份证以供招标人审查，否则作弃权处理。</w:t>
            </w:r>
          </w:p>
        </w:tc>
      </w:tr>
      <w:tr>
        <w:tblPrEx>
          <w:tblCellMar>
            <w:top w:w="0" w:type="dxa"/>
            <w:left w:w="108" w:type="dxa"/>
            <w:bottom w:w="0" w:type="dxa"/>
            <w:right w:w="108" w:type="dxa"/>
          </w:tblCellMar>
        </w:tblPrEx>
        <w:trPr>
          <w:jc w:val="center"/>
        </w:trPr>
        <w:tc>
          <w:tcPr>
            <w:tcW w:w="720" w:type="dxa"/>
            <w:tcBorders>
              <w:top w:val="single" w:color="auto" w:sz="4" w:space="0"/>
              <w:left w:val="double" w:color="auto" w:sz="2" w:space="0"/>
              <w:bottom w:val="double" w:color="auto" w:sz="2" w:space="0"/>
              <w:right w:val="single" w:color="auto" w:sz="4" w:space="0"/>
            </w:tcBorders>
            <w:shd w:val="clear" w:color="auto" w:fill="auto"/>
            <w:vAlign w:val="center"/>
          </w:tcPr>
          <w:p>
            <w:pPr>
              <w:pStyle w:val="12"/>
              <w:widowControl/>
              <w:spacing w:after="0" w:line="440" w:lineRule="exact"/>
              <w:ind w:firstLine="0"/>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21</w:t>
            </w:r>
          </w:p>
        </w:tc>
        <w:tc>
          <w:tcPr>
            <w:tcW w:w="990" w:type="dxa"/>
            <w:tcBorders>
              <w:top w:val="single" w:color="auto" w:sz="4" w:space="0"/>
              <w:left w:val="single" w:color="auto" w:sz="4" w:space="0"/>
              <w:bottom w:val="double" w:color="auto" w:sz="2"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27.3</w:t>
            </w:r>
          </w:p>
        </w:tc>
        <w:tc>
          <w:tcPr>
            <w:tcW w:w="1706" w:type="dxa"/>
            <w:tcBorders>
              <w:top w:val="single" w:color="auto" w:sz="4" w:space="0"/>
              <w:left w:val="single" w:color="auto" w:sz="4" w:space="0"/>
              <w:bottom w:val="double" w:color="auto" w:sz="2" w:space="0"/>
              <w:right w:val="single" w:color="auto" w:sz="4" w:space="0"/>
            </w:tcBorders>
            <w:shd w:val="clear" w:color="auto" w:fill="auto"/>
            <w:vAlign w:val="center"/>
          </w:tcPr>
          <w:p>
            <w:pPr>
              <w:pStyle w:val="12"/>
              <w:widowControl/>
              <w:spacing w:after="0" w:line="440" w:lineRule="exact"/>
              <w:ind w:firstLine="0"/>
              <w:jc w:val="center"/>
              <w:rPr>
                <w:rFonts w:ascii="宋体" w:hAnsi="宋体" w:cs="宋体"/>
                <w:color w:val="auto"/>
                <w:highlight w:val="none"/>
              </w:rPr>
            </w:pPr>
            <w:r>
              <w:rPr>
                <w:rFonts w:hint="eastAsia" w:ascii="宋体" w:hAnsi="宋体" w:cs="宋体"/>
                <w:color w:val="auto"/>
                <w:highlight w:val="none"/>
              </w:rPr>
              <w:t>评标方法</w:t>
            </w:r>
          </w:p>
        </w:tc>
        <w:tc>
          <w:tcPr>
            <w:tcW w:w="6293" w:type="dxa"/>
            <w:tcBorders>
              <w:top w:val="single" w:color="auto" w:sz="4" w:space="0"/>
              <w:left w:val="single" w:color="auto" w:sz="4" w:space="0"/>
              <w:bottom w:val="double" w:color="auto" w:sz="2" w:space="0"/>
              <w:right w:val="double" w:color="auto" w:sz="2" w:space="0"/>
            </w:tcBorders>
            <w:shd w:val="clear" w:color="auto" w:fill="auto"/>
            <w:vAlign w:val="center"/>
          </w:tcPr>
          <w:p>
            <w:pPr>
              <w:spacing w:line="320" w:lineRule="exact"/>
              <w:rPr>
                <w:rFonts w:ascii="宋体" w:hAnsi="宋体" w:eastAsia="宋体" w:cs="宋体"/>
                <w:color w:val="auto"/>
                <w:highlight w:val="none"/>
                <w:u w:val="none"/>
              </w:rPr>
            </w:pPr>
            <w:r>
              <w:rPr>
                <w:rFonts w:hint="eastAsia" w:ascii="宋体" w:hAnsi="宋体" w:eastAsia="宋体" w:cs="宋体"/>
                <w:color w:val="auto"/>
                <w:szCs w:val="21"/>
                <w:highlight w:val="none"/>
                <w:u w:val="none"/>
              </w:rPr>
              <w:t>综合评分法</w:t>
            </w:r>
          </w:p>
        </w:tc>
      </w:tr>
    </w:tbl>
    <w:p>
      <w:pPr>
        <w:rPr>
          <w:rFonts w:ascii="宋体" w:hAnsi="宋体" w:eastAsia="宋体" w:cs="宋体"/>
          <w:color w:val="auto"/>
          <w:highlight w:val="none"/>
        </w:rPr>
      </w:pPr>
      <w:r>
        <w:rPr>
          <w:rFonts w:hint="eastAsia" w:ascii="宋体" w:hAnsi="宋体" w:eastAsia="宋体" w:cs="宋体"/>
          <w:color w:val="auto"/>
          <w:szCs w:val="21"/>
          <w:highlight w:val="none"/>
        </w:rPr>
        <w:t xml:space="preserve"> </w:t>
      </w:r>
    </w:p>
    <w:p>
      <w:pPr>
        <w:spacing w:line="360" w:lineRule="auto"/>
        <w:jc w:val="center"/>
        <w:rPr>
          <w:b/>
          <w:color w:val="auto"/>
          <w:highlight w:val="none"/>
        </w:rPr>
      </w:pPr>
      <w:r>
        <w:rPr>
          <w:b/>
          <w:color w:val="auto"/>
          <w:highlight w:val="none"/>
        </w:rPr>
        <w:t xml:space="preserve"> </w:t>
      </w:r>
    </w:p>
    <w:p>
      <w:pPr>
        <w:rPr>
          <w:b/>
          <w:color w:val="auto"/>
          <w:highlight w:val="none"/>
        </w:rPr>
      </w:pPr>
      <w:r>
        <w:rPr>
          <w:b/>
          <w:color w:val="auto"/>
          <w:highlight w:val="none"/>
        </w:rPr>
        <w:br w:type="page"/>
      </w:r>
    </w:p>
    <w:p>
      <w:pPr>
        <w:spacing w:line="360" w:lineRule="auto"/>
        <w:jc w:val="center"/>
        <w:outlineLvl w:val="1"/>
        <w:rPr>
          <w:rFonts w:ascii="宋体" w:hAnsi="宋体" w:eastAsia="宋体" w:cs="宋体"/>
          <w:b/>
          <w:color w:val="auto"/>
          <w:sz w:val="36"/>
          <w:szCs w:val="36"/>
          <w:highlight w:val="none"/>
        </w:rPr>
      </w:pPr>
      <w:r>
        <w:rPr>
          <w:rFonts w:hint="eastAsia" w:ascii="宋体" w:hAnsi="宋体" w:eastAsia="宋体" w:cs="宋体"/>
          <w:b/>
          <w:color w:val="auto"/>
          <w:sz w:val="36"/>
          <w:szCs w:val="36"/>
          <w:highlight w:val="none"/>
        </w:rPr>
        <w:t>二、投标须知</w:t>
      </w:r>
    </w:p>
    <w:p>
      <w:pPr>
        <w:spacing w:line="360" w:lineRule="auto"/>
        <w:ind w:firstLine="482" w:firstLineChars="200"/>
        <w:outlineLvl w:val="2"/>
        <w:rPr>
          <w:rFonts w:ascii="宋体" w:hAnsi="宋体" w:eastAsia="宋体" w:cs="宋体"/>
          <w:b/>
          <w:color w:val="auto"/>
          <w:sz w:val="24"/>
          <w:highlight w:val="none"/>
        </w:rPr>
      </w:pPr>
      <w:r>
        <w:rPr>
          <w:rFonts w:hint="eastAsia" w:ascii="宋体" w:hAnsi="宋体" w:eastAsia="宋体" w:cs="宋体"/>
          <w:b/>
          <w:color w:val="auto"/>
          <w:sz w:val="24"/>
          <w:highlight w:val="none"/>
        </w:rPr>
        <w:t>（一）总则</w:t>
      </w:r>
    </w:p>
    <w:p>
      <w:pPr>
        <w:spacing w:line="360" w:lineRule="auto"/>
        <w:ind w:firstLine="482" w:firstLineChars="200"/>
        <w:outlineLvl w:val="3"/>
        <w:rPr>
          <w:rFonts w:ascii="宋体" w:hAnsi="宋体" w:eastAsia="宋体" w:cs="宋体"/>
          <w:b/>
          <w:color w:val="auto"/>
          <w:sz w:val="24"/>
          <w:highlight w:val="none"/>
        </w:rPr>
      </w:pPr>
      <w:r>
        <w:rPr>
          <w:rFonts w:hint="eastAsia" w:ascii="宋体" w:hAnsi="宋体" w:eastAsia="宋体" w:cs="宋体"/>
          <w:b/>
          <w:color w:val="auto"/>
          <w:sz w:val="24"/>
          <w:highlight w:val="none"/>
        </w:rPr>
        <w:t>1．定义</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本招标文件使用的下列词语具有如下规定的意义：</w:t>
      </w:r>
    </w:p>
    <w:p>
      <w:pPr>
        <w:spacing w:line="360" w:lineRule="auto"/>
        <w:ind w:firstLine="480" w:firstLineChars="200"/>
        <w:rPr>
          <w:rFonts w:ascii="宋体" w:hAnsi="宋体" w:eastAsia="宋体" w:cs="宋体"/>
          <w:color w:val="auto"/>
          <w:sz w:val="24"/>
          <w:highlight w:val="none"/>
          <w:u w:val="single"/>
        </w:rPr>
      </w:pPr>
      <w:r>
        <w:rPr>
          <w:rFonts w:hint="eastAsia" w:ascii="宋体" w:hAnsi="宋体" w:eastAsia="宋体" w:cs="宋体"/>
          <w:color w:val="auto"/>
          <w:sz w:val="24"/>
          <w:highlight w:val="none"/>
        </w:rPr>
        <w:t>1.1 “招标人”（即委托人）指</w:t>
      </w:r>
      <w:r>
        <w:rPr>
          <w:rFonts w:hint="eastAsia" w:ascii="宋体" w:hAnsi="宋体" w:eastAsia="宋体" w:cs="宋体"/>
          <w:color w:val="auto"/>
          <w:sz w:val="24"/>
          <w:highlight w:val="none"/>
          <w:u w:val="single"/>
          <w:lang w:eastAsia="zh-CN"/>
        </w:rPr>
        <w:t>广州南沙旅游发展有限公司</w:t>
      </w:r>
      <w:r>
        <w:rPr>
          <w:rFonts w:hint="eastAsia" w:ascii="宋体" w:hAnsi="宋体" w:eastAsia="宋体" w:cs="宋体"/>
          <w:color w:val="auto"/>
          <w:sz w:val="24"/>
          <w:highlight w:val="none"/>
          <w:u w:val="single"/>
        </w:rPr>
        <w:t>、南沙建设维护管理有限公司。</w:t>
      </w:r>
    </w:p>
    <w:p>
      <w:pPr>
        <w:spacing w:line="360" w:lineRule="auto"/>
        <w:ind w:firstLine="480" w:firstLineChars="200"/>
        <w:rPr>
          <w:rFonts w:ascii="宋体" w:hAnsi="宋体" w:eastAsia="宋体" w:cs="宋体"/>
          <w:b/>
          <w:color w:val="auto"/>
          <w:sz w:val="24"/>
          <w:highlight w:val="none"/>
        </w:rPr>
      </w:pPr>
      <w:r>
        <w:rPr>
          <w:rFonts w:hint="eastAsia" w:ascii="宋体" w:hAnsi="宋体" w:eastAsia="宋体" w:cs="宋体"/>
          <w:color w:val="auto"/>
          <w:sz w:val="24"/>
          <w:highlight w:val="none"/>
        </w:rPr>
        <w:t>1.2 “项目建设管理单位”指</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1.3 “投标人”指向招标人提交投标文件的当事人。</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1.4 “承包商”指被招标人接受并与其签订承包合同的当事人；</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1.5 “招标代理”指</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w:t>
      </w:r>
    </w:p>
    <w:p>
      <w:pPr>
        <w:spacing w:line="360" w:lineRule="auto"/>
        <w:ind w:firstLine="480" w:firstLineChars="200"/>
        <w:rPr>
          <w:rFonts w:ascii="宋体" w:hAnsi="宋体" w:eastAsia="宋体" w:cs="宋体"/>
          <w:color w:val="auto"/>
          <w:sz w:val="24"/>
          <w:highlight w:val="none"/>
          <w:shd w:val="clear" w:color="auto" w:fill="FFFF00"/>
        </w:rPr>
      </w:pPr>
      <w:r>
        <w:rPr>
          <w:rFonts w:hint="eastAsia" w:ascii="宋体" w:hAnsi="宋体" w:eastAsia="宋体" w:cs="宋体"/>
          <w:color w:val="auto"/>
          <w:sz w:val="24"/>
          <w:highlight w:val="none"/>
        </w:rPr>
        <w:t>1.6 “设计人”指</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1.7 “招标文件”指由招标代理发出的本文件（包括全部章节、附件）及澄清补充文件。</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1.8 “投标文件”指投标人根据本招标文件向招标人提交的全部文件。</w:t>
      </w:r>
    </w:p>
    <w:p>
      <w:pPr>
        <w:pStyle w:val="12"/>
        <w:widowControl/>
        <w:spacing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1.9 “书面函件”指打字或印刷的函件，包括电传、电报和传真。</w:t>
      </w:r>
    </w:p>
    <w:p>
      <w:pPr>
        <w:spacing w:line="360" w:lineRule="auto"/>
        <w:ind w:firstLine="482" w:firstLineChars="200"/>
        <w:outlineLvl w:val="3"/>
        <w:rPr>
          <w:rFonts w:ascii="宋体" w:hAnsi="宋体" w:eastAsia="宋体" w:cs="宋体"/>
          <w:b/>
          <w:color w:val="auto"/>
          <w:sz w:val="24"/>
          <w:highlight w:val="none"/>
        </w:rPr>
      </w:pPr>
      <w:r>
        <w:rPr>
          <w:rFonts w:hint="eastAsia" w:ascii="宋体" w:hAnsi="宋体" w:eastAsia="宋体" w:cs="宋体"/>
          <w:b/>
          <w:color w:val="auto"/>
          <w:sz w:val="24"/>
          <w:highlight w:val="none"/>
        </w:rPr>
        <w:t>2、招标说明</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2.1本招标项目按照《中华人民共和国招标投标法》等有关法律、行政法规和部门规章，采取邀请招标的办法，选择有经验、有实力、社会信誉好的设计咨询单位承担</w:t>
      </w:r>
      <w:r>
        <w:rPr>
          <w:rFonts w:hint="eastAsia" w:ascii="宋体" w:hAnsi="宋体" w:eastAsia="宋体" w:cs="宋体"/>
          <w:color w:val="auto"/>
          <w:sz w:val="24"/>
          <w:highlight w:val="none"/>
          <w:lang w:eastAsia="zh-CN"/>
        </w:rPr>
        <w:t>勘察测量设计</w:t>
      </w:r>
      <w:r>
        <w:rPr>
          <w:rFonts w:hint="eastAsia" w:ascii="宋体" w:hAnsi="宋体" w:eastAsia="宋体" w:cs="宋体"/>
          <w:color w:val="auto"/>
          <w:sz w:val="24"/>
          <w:highlight w:val="none"/>
        </w:rPr>
        <w:t>服务，确保本</w:t>
      </w:r>
      <w:r>
        <w:rPr>
          <w:rFonts w:hint="eastAsia" w:ascii="宋体" w:hAnsi="宋体" w:cs="宋体"/>
          <w:color w:val="auto"/>
          <w:highlight w:val="none"/>
        </w:rPr>
        <w:t>项目</w:t>
      </w:r>
      <w:r>
        <w:rPr>
          <w:rFonts w:hint="eastAsia" w:ascii="宋体" w:hAnsi="宋体" w:eastAsia="宋体" w:cs="宋体"/>
          <w:color w:val="auto"/>
          <w:sz w:val="24"/>
          <w:highlight w:val="none"/>
        </w:rPr>
        <w:t>能按期、优质、经济地完成。</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w:t>
      </w:r>
      <w:r>
        <w:rPr>
          <w:rFonts w:hint="eastAsia" w:ascii="宋体" w:hAnsi="宋体" w:cs="宋体"/>
          <w:color w:val="auto"/>
          <w:highlight w:val="none"/>
        </w:rPr>
        <w:t>项目</w:t>
      </w:r>
      <w:r>
        <w:rPr>
          <w:rFonts w:hint="eastAsia" w:ascii="宋体" w:hAnsi="宋体" w:eastAsia="宋体" w:cs="宋体"/>
          <w:color w:val="auto"/>
          <w:sz w:val="24"/>
          <w:highlight w:val="none"/>
        </w:rPr>
        <w:t>概况：</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2.2.1</w:t>
      </w:r>
      <w:r>
        <w:rPr>
          <w:rFonts w:hint="eastAsia" w:ascii="宋体" w:hAnsi="宋体" w:cs="宋体"/>
          <w:color w:val="auto"/>
          <w:highlight w:val="none"/>
        </w:rPr>
        <w:t>项目</w:t>
      </w:r>
      <w:r>
        <w:rPr>
          <w:rFonts w:hint="eastAsia" w:ascii="宋体" w:hAnsi="宋体" w:eastAsia="宋体" w:cs="宋体"/>
          <w:color w:val="auto"/>
          <w:sz w:val="24"/>
          <w:highlight w:val="none"/>
        </w:rPr>
        <w:t>名称：见投标须知前附表第1项。</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2.2.2建设地点：见投标须知前附表第2项。</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2.2.3建设规模：见投标须知前附表第3项。</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2.2.4投资概算：见投标须知前附表第4项。</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2.2.5服务目标：见投标须知前附表第5项。</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2.3招标范围及服务期及专业配套要求</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2.3.1 本招标项目的招标范围：见投标须知前附表第6项。</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2.3.2 本招标项目的设计咨询服务期要求：见投标须知前附表第7项。</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2.3.3 项目管理架构要求：见投标须知前附表第10项。</w:t>
      </w:r>
    </w:p>
    <w:p>
      <w:pPr>
        <w:spacing w:line="360" w:lineRule="auto"/>
        <w:ind w:firstLine="482" w:firstLineChars="200"/>
        <w:outlineLvl w:val="3"/>
        <w:rPr>
          <w:rFonts w:ascii="宋体" w:hAnsi="宋体" w:eastAsia="宋体" w:cs="宋体"/>
          <w:b/>
          <w:color w:val="auto"/>
          <w:sz w:val="24"/>
          <w:highlight w:val="none"/>
        </w:rPr>
      </w:pPr>
      <w:r>
        <w:rPr>
          <w:rFonts w:hint="eastAsia" w:ascii="宋体" w:hAnsi="宋体" w:eastAsia="宋体" w:cs="宋体"/>
          <w:b/>
          <w:color w:val="auto"/>
          <w:sz w:val="24"/>
          <w:highlight w:val="none"/>
        </w:rPr>
        <w:t>3．资金来源</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本招标项目资金来源见投标须知前附表第8项。</w:t>
      </w:r>
    </w:p>
    <w:p>
      <w:pPr>
        <w:spacing w:line="360" w:lineRule="auto"/>
        <w:ind w:firstLine="482" w:firstLineChars="200"/>
        <w:outlineLvl w:val="3"/>
        <w:rPr>
          <w:rFonts w:ascii="宋体" w:hAnsi="宋体" w:eastAsia="宋体" w:cs="宋体"/>
          <w:b/>
          <w:color w:val="auto"/>
          <w:sz w:val="24"/>
          <w:highlight w:val="none"/>
        </w:rPr>
      </w:pPr>
      <w:r>
        <w:rPr>
          <w:rFonts w:hint="eastAsia" w:ascii="宋体" w:hAnsi="宋体" w:eastAsia="宋体" w:cs="宋体"/>
          <w:b/>
          <w:color w:val="auto"/>
          <w:sz w:val="24"/>
          <w:highlight w:val="none"/>
        </w:rPr>
        <w:t>4．合格投标人的条件</w:t>
      </w:r>
    </w:p>
    <w:p>
      <w:pPr>
        <w:spacing w:line="360" w:lineRule="auto"/>
        <w:ind w:firstLine="480" w:firstLineChars="200"/>
        <w:rPr>
          <w:rFonts w:ascii="宋体" w:hAnsi="宋体" w:eastAsia="宋体" w:cs="宋体"/>
          <w:b/>
          <w:color w:val="auto"/>
          <w:sz w:val="24"/>
          <w:highlight w:val="none"/>
        </w:rPr>
      </w:pPr>
      <w:r>
        <w:rPr>
          <w:rFonts w:hint="eastAsia" w:ascii="宋体" w:hAnsi="宋体" w:eastAsia="宋体" w:cs="宋体"/>
          <w:color w:val="auto"/>
          <w:sz w:val="24"/>
          <w:highlight w:val="none"/>
        </w:rPr>
        <w:t>详见投标须知前附表第9项。</w:t>
      </w:r>
    </w:p>
    <w:p>
      <w:pPr>
        <w:spacing w:line="360" w:lineRule="auto"/>
        <w:ind w:firstLine="482" w:firstLineChars="200"/>
        <w:outlineLvl w:val="3"/>
        <w:rPr>
          <w:rFonts w:ascii="宋体" w:hAnsi="宋体" w:eastAsia="宋体" w:cs="宋体"/>
          <w:b/>
          <w:color w:val="auto"/>
          <w:sz w:val="24"/>
          <w:highlight w:val="none"/>
        </w:rPr>
      </w:pPr>
      <w:r>
        <w:rPr>
          <w:rFonts w:hint="eastAsia" w:ascii="宋体" w:hAnsi="宋体" w:eastAsia="宋体" w:cs="宋体"/>
          <w:b/>
          <w:color w:val="auto"/>
          <w:sz w:val="24"/>
          <w:highlight w:val="none"/>
        </w:rPr>
        <w:t>5．踏勘现场</w:t>
      </w:r>
    </w:p>
    <w:p>
      <w:pPr>
        <w:spacing w:line="360" w:lineRule="auto"/>
        <w:ind w:firstLine="480" w:firstLineChars="200"/>
        <w:rPr>
          <w:rFonts w:ascii="宋体" w:hAnsi="宋体" w:eastAsia="宋体" w:cs="宋体"/>
          <w:color w:val="auto"/>
          <w:sz w:val="24"/>
          <w:highlight w:val="none"/>
          <w:u w:val="single"/>
        </w:rPr>
      </w:pPr>
      <w:r>
        <w:rPr>
          <w:rFonts w:hint="eastAsia" w:ascii="宋体" w:hAnsi="宋体" w:eastAsia="宋体" w:cs="宋体"/>
          <w:color w:val="auto"/>
          <w:sz w:val="24"/>
          <w:highlight w:val="none"/>
        </w:rPr>
        <w:t>5.1投标人应对各个项目现场及周围环境自行踏勘，投标人应充分重视和仔细地进行这种考察，以便投标人获取那些须投标人自己负责的有关编制投标文件和签署合同所涉及现场所有的资料。一旦中标，这种考察即被认为其结果已在中标文件中得到充分反映。考察现场的费用由投标人自己承担。</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5.2招标人向投标人提供的有关现场的数据和资料，是招标人现有的能被投标人利用的资料，招标人对投标人做出的任何推论、理解和结论均不负责任。</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5.3经招标人允许，投标人可为踏勘目的进入招标人的项目现场，投标人及其代表必须承担那些进入现场后，由于他们的行为所造成的人身伤害（不管是否致命）、财产损失或损坏，以及其他任何原因造成的损失、损坏或费用。招标人在投标人及其代表考察过程中不负任何责任。但投标人不得因此使招标人承担有关的责任和蒙受损失。投标人应承担踏勘现场的责任和风险。</w:t>
      </w:r>
    </w:p>
    <w:p>
      <w:pPr>
        <w:spacing w:line="360" w:lineRule="auto"/>
        <w:ind w:firstLine="482" w:firstLineChars="200"/>
        <w:outlineLvl w:val="3"/>
        <w:rPr>
          <w:rFonts w:ascii="宋体" w:hAnsi="宋体" w:eastAsia="宋体" w:cs="宋体"/>
          <w:b/>
          <w:color w:val="auto"/>
          <w:sz w:val="24"/>
          <w:highlight w:val="none"/>
        </w:rPr>
      </w:pPr>
      <w:r>
        <w:rPr>
          <w:rFonts w:hint="eastAsia" w:ascii="宋体" w:hAnsi="宋体" w:eastAsia="宋体" w:cs="宋体"/>
          <w:b/>
          <w:color w:val="auto"/>
          <w:sz w:val="24"/>
          <w:highlight w:val="none"/>
        </w:rPr>
        <w:t>6．投标费用</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6.1不论投标结果如何，投标人应承担购买招标文件等相关资料及其投标文件编制与递交所涉及的一切费用。</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6.2投标人应承担其参加本招标活动自身所发生的其他一切费用，招标人对上述费用均不负任何责任。</w:t>
      </w:r>
    </w:p>
    <w:p>
      <w:pPr>
        <w:spacing w:line="360" w:lineRule="auto"/>
        <w:ind w:firstLine="241" w:firstLineChars="100"/>
        <w:outlineLvl w:val="2"/>
        <w:rPr>
          <w:rFonts w:ascii="宋体" w:hAnsi="宋体" w:eastAsia="宋体" w:cs="宋体"/>
          <w:b/>
          <w:color w:val="auto"/>
          <w:sz w:val="24"/>
          <w:highlight w:val="none"/>
        </w:rPr>
      </w:pPr>
      <w:r>
        <w:rPr>
          <w:rFonts w:hint="eastAsia" w:ascii="宋体" w:hAnsi="宋体" w:eastAsia="宋体" w:cs="宋体"/>
          <w:b/>
          <w:color w:val="auto"/>
          <w:sz w:val="24"/>
          <w:highlight w:val="none"/>
        </w:rPr>
        <w:t>（二）招标文件</w:t>
      </w:r>
    </w:p>
    <w:p>
      <w:pPr>
        <w:spacing w:line="360" w:lineRule="auto"/>
        <w:ind w:firstLine="482" w:firstLineChars="200"/>
        <w:outlineLvl w:val="3"/>
        <w:rPr>
          <w:rFonts w:ascii="宋体" w:hAnsi="宋体" w:eastAsia="宋体" w:cs="宋体"/>
          <w:b/>
          <w:color w:val="auto"/>
          <w:sz w:val="24"/>
          <w:highlight w:val="none"/>
        </w:rPr>
      </w:pPr>
      <w:r>
        <w:rPr>
          <w:rFonts w:hint="eastAsia" w:ascii="宋体" w:hAnsi="宋体" w:eastAsia="宋体" w:cs="宋体"/>
          <w:b/>
          <w:color w:val="auto"/>
          <w:sz w:val="24"/>
          <w:highlight w:val="none"/>
        </w:rPr>
        <w:t>7.招标文件的组成</w:t>
      </w:r>
    </w:p>
    <w:p>
      <w:pPr>
        <w:pStyle w:val="12"/>
        <w:widowControl/>
        <w:spacing w:after="0" w:line="360" w:lineRule="auto"/>
        <w:ind w:firstLine="480" w:firstLineChars="200"/>
        <w:rPr>
          <w:rFonts w:ascii="宋体" w:hAnsi="宋体" w:cs="宋体"/>
          <w:b/>
          <w:color w:val="auto"/>
          <w:sz w:val="24"/>
          <w:szCs w:val="24"/>
          <w:highlight w:val="none"/>
        </w:rPr>
      </w:pPr>
      <w:r>
        <w:rPr>
          <w:rFonts w:hint="eastAsia" w:ascii="宋体" w:hAnsi="宋体" w:cs="宋体"/>
          <w:color w:val="auto"/>
          <w:sz w:val="24"/>
          <w:szCs w:val="24"/>
          <w:highlight w:val="none"/>
        </w:rPr>
        <w:t>7.1本招标文件包括下列文件，以及所有按本须知第8条发出的招标答疑会会议纪要和按本须知第9条发出的澄清或修改：</w:t>
      </w:r>
    </w:p>
    <w:p>
      <w:pPr>
        <w:spacing w:line="360" w:lineRule="auto"/>
        <w:ind w:firstLine="480" w:firstLineChars="200"/>
        <w:rPr>
          <w:rFonts w:ascii="黑体" w:hAnsi="华文楷体" w:eastAsia="黑体" w:cs="黑体"/>
          <w:color w:val="auto"/>
          <w:sz w:val="24"/>
          <w:highlight w:val="none"/>
        </w:rPr>
      </w:pPr>
      <w:r>
        <w:rPr>
          <w:rFonts w:hint="eastAsia" w:ascii="黑体" w:hAnsi="宋体" w:eastAsia="黑体" w:cs="黑体"/>
          <w:color w:val="auto"/>
          <w:sz w:val="24"/>
          <w:highlight w:val="none"/>
        </w:rPr>
        <w:t>（</w:t>
      </w:r>
      <w:r>
        <w:rPr>
          <w:rFonts w:hint="eastAsia" w:ascii="黑体" w:hAnsi="华文楷体" w:eastAsia="黑体" w:cs="黑体"/>
          <w:color w:val="auto"/>
          <w:sz w:val="24"/>
          <w:highlight w:val="none"/>
        </w:rPr>
        <w:t>1）投标须知及前附表</w:t>
      </w:r>
    </w:p>
    <w:p>
      <w:pPr>
        <w:spacing w:line="360" w:lineRule="auto"/>
        <w:ind w:firstLine="480" w:firstLineChars="200"/>
        <w:rPr>
          <w:rFonts w:ascii="黑体" w:hAnsi="华文楷体" w:eastAsia="黑体" w:cs="黑体"/>
          <w:color w:val="auto"/>
          <w:sz w:val="24"/>
          <w:highlight w:val="none"/>
        </w:rPr>
      </w:pPr>
      <w:r>
        <w:rPr>
          <w:rFonts w:hint="eastAsia" w:ascii="黑体" w:hAnsi="宋体" w:eastAsia="黑体" w:cs="黑体"/>
          <w:color w:val="auto"/>
          <w:sz w:val="24"/>
          <w:highlight w:val="none"/>
        </w:rPr>
        <w:t>（</w:t>
      </w:r>
      <w:r>
        <w:rPr>
          <w:rFonts w:hint="eastAsia" w:ascii="黑体" w:hAnsi="华文楷体" w:eastAsia="黑体" w:cs="黑体"/>
          <w:color w:val="auto"/>
          <w:sz w:val="24"/>
          <w:highlight w:val="none"/>
        </w:rPr>
        <w:t>2）</w:t>
      </w:r>
      <w:r>
        <w:rPr>
          <w:rFonts w:hint="eastAsia" w:ascii="黑体" w:hAnsi="宋体" w:eastAsia="黑体" w:cs="黑体"/>
          <w:color w:val="auto"/>
          <w:sz w:val="24"/>
          <w:highlight w:val="none"/>
        </w:rPr>
        <w:t>项目需求书</w:t>
      </w:r>
    </w:p>
    <w:p>
      <w:pPr>
        <w:spacing w:line="360" w:lineRule="auto"/>
        <w:ind w:firstLine="480" w:firstLineChars="200"/>
        <w:rPr>
          <w:rFonts w:ascii="黑体" w:hAnsi="华文楷体" w:eastAsia="黑体" w:cs="黑体"/>
          <w:color w:val="auto"/>
          <w:sz w:val="24"/>
          <w:highlight w:val="none"/>
        </w:rPr>
      </w:pPr>
      <w:r>
        <w:rPr>
          <w:rFonts w:hint="eastAsia" w:ascii="黑体" w:hAnsi="宋体" w:eastAsia="黑体" w:cs="黑体"/>
          <w:color w:val="auto"/>
          <w:sz w:val="24"/>
          <w:highlight w:val="none"/>
        </w:rPr>
        <w:t>（</w:t>
      </w:r>
      <w:r>
        <w:rPr>
          <w:rFonts w:hint="eastAsia" w:ascii="黑体" w:hAnsi="华文楷体" w:eastAsia="黑体" w:cs="黑体"/>
          <w:color w:val="auto"/>
          <w:sz w:val="24"/>
          <w:highlight w:val="none"/>
        </w:rPr>
        <w:t>3）投标文件格式</w:t>
      </w:r>
    </w:p>
    <w:p>
      <w:pPr>
        <w:spacing w:line="360" w:lineRule="auto"/>
        <w:ind w:firstLine="480" w:firstLineChars="200"/>
        <w:rPr>
          <w:rFonts w:ascii="黑体" w:hAnsi="华文楷体" w:eastAsia="黑体" w:cs="黑体"/>
          <w:color w:val="auto"/>
          <w:sz w:val="24"/>
          <w:highlight w:val="none"/>
        </w:rPr>
      </w:pPr>
      <w:r>
        <w:rPr>
          <w:rFonts w:hint="eastAsia" w:ascii="黑体" w:hAnsi="宋体" w:eastAsia="黑体" w:cs="黑体"/>
          <w:color w:val="auto"/>
          <w:sz w:val="24"/>
          <w:highlight w:val="none"/>
        </w:rPr>
        <w:t>（</w:t>
      </w:r>
      <w:r>
        <w:rPr>
          <w:rFonts w:hint="eastAsia" w:ascii="黑体" w:hAnsi="华文楷体" w:eastAsia="黑体" w:cs="黑体"/>
          <w:color w:val="auto"/>
          <w:sz w:val="24"/>
          <w:highlight w:val="none"/>
        </w:rPr>
        <w:t>4）服务合同</w:t>
      </w:r>
    </w:p>
    <w:p>
      <w:pPr>
        <w:spacing w:line="360" w:lineRule="auto"/>
        <w:ind w:firstLine="480" w:firstLineChars="200"/>
        <w:rPr>
          <w:rFonts w:ascii="黑体" w:hAnsi="华文楷体" w:eastAsia="黑体" w:cs="黑体"/>
          <w:color w:val="auto"/>
          <w:sz w:val="24"/>
          <w:highlight w:val="none"/>
        </w:rPr>
      </w:pPr>
      <w:r>
        <w:rPr>
          <w:rFonts w:hint="eastAsia" w:ascii="黑体" w:hAnsi="宋体" w:eastAsia="黑体" w:cs="黑体"/>
          <w:color w:val="auto"/>
          <w:sz w:val="24"/>
          <w:highlight w:val="none"/>
        </w:rPr>
        <w:t>（</w:t>
      </w:r>
      <w:r>
        <w:rPr>
          <w:rFonts w:hint="eastAsia" w:ascii="黑体" w:hAnsi="华文楷体" w:eastAsia="黑体" w:cs="黑体"/>
          <w:color w:val="auto"/>
          <w:sz w:val="24"/>
          <w:highlight w:val="none"/>
        </w:rPr>
        <w:t>5）评标办法</w:t>
      </w:r>
    </w:p>
    <w:p>
      <w:pPr>
        <w:spacing w:line="360" w:lineRule="auto"/>
        <w:ind w:firstLine="480" w:firstLineChars="200"/>
        <w:rPr>
          <w:rFonts w:ascii="宋体" w:hAnsi="宋体" w:eastAsia="宋体" w:cs="宋体"/>
          <w:color w:val="auto"/>
          <w:sz w:val="24"/>
          <w:highlight w:val="none"/>
        </w:rPr>
      </w:pPr>
      <w:r>
        <w:rPr>
          <w:rFonts w:hint="eastAsia" w:ascii="黑体" w:hAnsi="宋体" w:eastAsia="黑体" w:cs="黑体"/>
          <w:color w:val="auto"/>
          <w:sz w:val="24"/>
          <w:highlight w:val="none"/>
        </w:rPr>
        <w:t>（</w:t>
      </w:r>
      <w:r>
        <w:rPr>
          <w:rFonts w:hint="eastAsia" w:ascii="黑体" w:hAnsi="华文楷体" w:eastAsia="黑体" w:cs="黑体"/>
          <w:color w:val="auto"/>
          <w:sz w:val="24"/>
          <w:highlight w:val="none"/>
        </w:rPr>
        <w:t>6）附件</w:t>
      </w:r>
    </w:p>
    <w:p>
      <w:pPr>
        <w:pStyle w:val="12"/>
        <w:widowControl/>
        <w:spacing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7.2除7.1内容外，招标人在提交投标文件截止时间</w:t>
      </w:r>
      <w:r>
        <w:rPr>
          <w:rFonts w:hint="eastAsia" w:ascii="宋体" w:hAnsi="宋体" w:cs="宋体"/>
          <w:b/>
          <w:color w:val="auto"/>
          <w:sz w:val="24"/>
          <w:szCs w:val="24"/>
          <w:highlight w:val="none"/>
          <w:u w:val="single"/>
        </w:rPr>
        <w:t>3</w:t>
      </w:r>
      <w:r>
        <w:rPr>
          <w:rFonts w:hint="eastAsia" w:ascii="宋体" w:hAnsi="宋体" w:cs="宋体"/>
          <w:color w:val="auto"/>
          <w:sz w:val="24"/>
          <w:szCs w:val="24"/>
          <w:highlight w:val="none"/>
        </w:rPr>
        <w:t>天前，以书面形式发出的对招标文件的澄清或修改内容，均为招标文件的组成部分，对招标人和投标人起约束作用。</w:t>
      </w:r>
    </w:p>
    <w:p>
      <w:pPr>
        <w:pStyle w:val="12"/>
        <w:widowControl/>
        <w:spacing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7.3投标人获取招标文件后，应仔细检查招标文件的所有内容，如有残缺等问题应在获得招标文件3日内向招标人提出，否则，由此引起的损失由投标人自己承担。投标人同时应认真审阅招标文件中所有的事项、格式、条款和规范要求等，若投标人的投标文件没有按招标文件要求提交全部资料，或投标文件实质上没有响应招标文件的要求，招标人将有权予以拒绝，并且不允许投标人通过修改或撤消其不符合要求的差异或保留使之成为具有响应性的投标文件。</w:t>
      </w:r>
    </w:p>
    <w:p>
      <w:pPr>
        <w:spacing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8．招标答疑</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8.1投标人若对招标文件中有疑问，可以书面形式提交或传真给招标人或招标代理人，提交或传真地点见投标须知前附表第13项要求。招标人或招标代理人将于投标须知前附表第13项指定的地点和时间对疑问进行答复。</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8.2招标答疑会会议纪要将在提交投标文件截止时间3日前以书面形式答复给所有投标人，投标人收到答疑纪要后24小时内以书面形式确认收到。如投标人届时无书面确认，招标人将在合适的第三方见证下再次发出招标答疑会会议纪要，并以发出时间作为送达时间。</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8.3答疑会会议纪要为招标文件的一部分。</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8.4若招标答疑会会议纪要与招标文件有矛盾，以答疑会议纪要最后发出的书面文件为准。</w:t>
      </w:r>
    </w:p>
    <w:p>
      <w:pPr>
        <w:spacing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9.招标文件的澄清与修改</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9.1招标文件发出后,在提交投标文件截止时间</w:t>
      </w:r>
      <w:r>
        <w:rPr>
          <w:rFonts w:hint="eastAsia" w:ascii="宋体" w:hAnsi="宋体" w:cs="宋体"/>
          <w:b/>
          <w:color w:val="auto"/>
          <w:sz w:val="24"/>
          <w:szCs w:val="24"/>
          <w:highlight w:val="none"/>
          <w:u w:val="single"/>
        </w:rPr>
        <w:t>3</w:t>
      </w:r>
      <w:r>
        <w:rPr>
          <w:rFonts w:hint="eastAsia" w:ascii="宋体" w:hAnsi="宋体" w:cs="宋体"/>
          <w:color w:val="auto"/>
          <w:sz w:val="24"/>
          <w:szCs w:val="24"/>
          <w:highlight w:val="none"/>
        </w:rPr>
        <w:t>日前，招标人可对招标文件进行必要的澄清或修改。</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9.2招标文件的修改将以书面形式发送给所有投标人，投标人应于收到该修改文件后24小时内，以书面形式给予确认，招标文件的修改内容作为招标文件的组成部分，具有约束作用。</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9.3招标文件的澄清、修改、补充等内容均以书面形式明确的内容为准。当招标文件的澄清、修改、补充等在同一内容的表述不一致时，以最后发出的书面文件为准。</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9.4为使投标人在编制投标文件时有充分的时间对招标文件的澄清、修改、补充等内容考虑进去，招标人将酌情延长提交投标文件的截止时间，具体时间将在招标文件的修改、补充通知中予以明确。若通知中没有明确延长时间，即表示投标时间不延长。</w:t>
      </w:r>
    </w:p>
    <w:p>
      <w:pPr>
        <w:pStyle w:val="12"/>
        <w:widowControl/>
        <w:spacing w:beforeAutospacing="0" w:after="0" w:line="360" w:lineRule="auto"/>
        <w:ind w:firstLine="482" w:firstLineChars="200"/>
        <w:outlineLvl w:val="2"/>
        <w:rPr>
          <w:rFonts w:ascii="宋体" w:hAnsi="宋体" w:cs="宋体"/>
          <w:b/>
          <w:color w:val="auto"/>
          <w:sz w:val="24"/>
          <w:szCs w:val="24"/>
          <w:highlight w:val="none"/>
        </w:rPr>
      </w:pPr>
      <w:r>
        <w:rPr>
          <w:rFonts w:hint="eastAsia" w:ascii="宋体" w:hAnsi="宋体" w:cs="宋体"/>
          <w:b/>
          <w:color w:val="auto"/>
          <w:sz w:val="24"/>
          <w:szCs w:val="24"/>
          <w:highlight w:val="none"/>
        </w:rPr>
        <w:t>（三）投标文件的编制</w:t>
      </w:r>
    </w:p>
    <w:p>
      <w:pPr>
        <w:pStyle w:val="12"/>
        <w:widowControl/>
        <w:spacing w:beforeAutospacing="0" w:after="0" w:line="360" w:lineRule="auto"/>
        <w:ind w:firstLine="482" w:firstLineChars="200"/>
        <w:outlineLvl w:val="3"/>
        <w:rPr>
          <w:rFonts w:ascii="宋体" w:hAnsi="宋体" w:cs="宋体"/>
          <w:b/>
          <w:color w:val="auto"/>
          <w:sz w:val="24"/>
          <w:szCs w:val="24"/>
          <w:highlight w:val="none"/>
        </w:rPr>
      </w:pPr>
      <w:r>
        <w:rPr>
          <w:rFonts w:hint="eastAsia" w:ascii="宋体" w:hAnsi="宋体" w:cs="宋体"/>
          <w:b/>
          <w:color w:val="auto"/>
          <w:sz w:val="24"/>
          <w:szCs w:val="24"/>
          <w:highlight w:val="none"/>
        </w:rPr>
        <w:t>10．投标文件的语言及度量衡单位</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10.1 投标文件和与投标有关的所有文件均应使用</w:t>
      </w:r>
      <w:r>
        <w:rPr>
          <w:rFonts w:hint="eastAsia" w:ascii="宋体" w:hAnsi="宋体" w:cs="宋体"/>
          <w:color w:val="auto"/>
          <w:sz w:val="24"/>
          <w:szCs w:val="24"/>
          <w:highlight w:val="none"/>
          <w:u w:val="single"/>
        </w:rPr>
        <w:t>中文</w:t>
      </w:r>
      <w:r>
        <w:rPr>
          <w:rFonts w:hint="eastAsia" w:ascii="宋体" w:hAnsi="宋体" w:cs="宋体"/>
          <w:color w:val="auto"/>
          <w:sz w:val="24"/>
          <w:szCs w:val="24"/>
          <w:highlight w:val="none"/>
        </w:rPr>
        <w:t>。</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10.2 除项目规范另有规定外，投标文件使用的度量衡单位，均采用中华人民共和国法定计量单位。</w:t>
      </w:r>
    </w:p>
    <w:p>
      <w:pPr>
        <w:pStyle w:val="12"/>
        <w:widowControl/>
        <w:spacing w:beforeAutospacing="0" w:after="0" w:line="360" w:lineRule="auto"/>
        <w:ind w:firstLine="482" w:firstLineChars="200"/>
        <w:outlineLvl w:val="3"/>
        <w:rPr>
          <w:rFonts w:ascii="宋体" w:hAnsi="宋体" w:cs="宋体"/>
          <w:b/>
          <w:color w:val="auto"/>
          <w:sz w:val="24"/>
          <w:szCs w:val="24"/>
          <w:highlight w:val="none"/>
        </w:rPr>
      </w:pPr>
      <w:r>
        <w:rPr>
          <w:rFonts w:hint="eastAsia" w:ascii="宋体" w:hAnsi="宋体" w:cs="宋体"/>
          <w:b/>
          <w:color w:val="auto"/>
          <w:sz w:val="24"/>
          <w:szCs w:val="24"/>
          <w:highlight w:val="none"/>
        </w:rPr>
        <w:t>11．投标文件的组成</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11.1投标文件目录。</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11.2投标函（按招标文件第3章格式填写）</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11.3服务承诺书（按招标文件第3章格式填写）。</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11.4企业法定代表人证明书及法定代表人授权委托证明书（按招标文件第3章格式填写，或使用从工商管理部门购买的版本填写）。</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11.5公司法人营业执照及资质证书复印件。</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11.6项目负责人职称证复印件。</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11.7设计人员到位承诺书（按招标文件第3章格式填写）；</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11.8投标人综合概况（按招标文件第3章格式填写）；</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11.9企业自2017年1月1日至今企业承担的同类项目（按招标文件第3章格式填写）；</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11.10参与本项目的人员一览表及证明文件（按招标文件第3章格式填写）；</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11.11项目负责人相关经验及业绩（按招标文件第3章格式填写）；</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11.12报价表。</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11.13技术标文件（独立成册）。</w:t>
      </w:r>
    </w:p>
    <w:p>
      <w:pPr>
        <w:pStyle w:val="7"/>
        <w:ind w:firstLine="480" w:firstLineChars="200"/>
        <w:rPr>
          <w:rFonts w:hint="default"/>
          <w:color w:val="auto"/>
          <w:highlight w:val="none"/>
        </w:rPr>
      </w:pPr>
      <w:r>
        <w:rPr>
          <w:rFonts w:hAnsi="宋体" w:cs="宋体"/>
          <w:color w:val="auto"/>
          <w:sz w:val="24"/>
          <w:highlight w:val="none"/>
        </w:rPr>
        <w:t>11.14 投标文件电子版（刻录光盘</w:t>
      </w:r>
      <w:r>
        <w:rPr>
          <w:rFonts w:hint="eastAsia" w:hAnsi="宋体" w:cs="宋体"/>
          <w:color w:val="auto"/>
          <w:sz w:val="24"/>
          <w:highlight w:val="none"/>
          <w:lang w:eastAsia="zh-CN"/>
        </w:rPr>
        <w:t>或提供</w:t>
      </w:r>
      <w:r>
        <w:rPr>
          <w:rFonts w:hint="eastAsia" w:hAnsi="宋体" w:cs="宋体"/>
          <w:color w:val="auto"/>
          <w:sz w:val="24"/>
          <w:highlight w:val="none"/>
          <w:lang w:val="en-US" w:eastAsia="zh-CN"/>
        </w:rPr>
        <w:t>U盘</w:t>
      </w:r>
      <w:r>
        <w:rPr>
          <w:rFonts w:hAnsi="宋体" w:cs="宋体"/>
          <w:color w:val="auto"/>
          <w:sz w:val="24"/>
          <w:highlight w:val="none"/>
        </w:rPr>
        <w:t>）</w:t>
      </w:r>
    </w:p>
    <w:p>
      <w:pPr>
        <w:pStyle w:val="12"/>
        <w:widowControl/>
        <w:spacing w:beforeAutospacing="0" w:after="0" w:line="360" w:lineRule="auto"/>
        <w:ind w:firstLine="482" w:firstLineChars="200"/>
        <w:outlineLvl w:val="3"/>
        <w:rPr>
          <w:rFonts w:ascii="宋体" w:hAnsi="宋体" w:cs="宋体"/>
          <w:b/>
          <w:color w:val="auto"/>
          <w:sz w:val="24"/>
          <w:szCs w:val="24"/>
          <w:highlight w:val="none"/>
        </w:rPr>
      </w:pPr>
      <w:r>
        <w:rPr>
          <w:rFonts w:hint="eastAsia" w:ascii="宋体" w:hAnsi="宋体" w:cs="宋体"/>
          <w:b/>
          <w:color w:val="auto"/>
          <w:sz w:val="24"/>
          <w:szCs w:val="24"/>
          <w:highlight w:val="none"/>
        </w:rPr>
        <w:t>12．投标文件格式</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12.1 投标文件包括本须知第11条中规定的内容，投标人提交的投标文件应当使用招标文件所提供的投标格式文件的格式（表格可以按同样格式扩展）。</w:t>
      </w:r>
    </w:p>
    <w:p>
      <w:pPr>
        <w:pStyle w:val="12"/>
        <w:widowControl/>
        <w:spacing w:beforeAutospacing="0" w:after="0" w:line="360" w:lineRule="auto"/>
        <w:ind w:firstLine="482" w:firstLineChars="200"/>
        <w:outlineLvl w:val="3"/>
        <w:rPr>
          <w:rFonts w:ascii="宋体" w:hAnsi="宋体" w:cs="宋体"/>
          <w:b/>
          <w:color w:val="auto"/>
          <w:sz w:val="24"/>
          <w:szCs w:val="24"/>
          <w:highlight w:val="none"/>
        </w:rPr>
      </w:pPr>
      <w:r>
        <w:rPr>
          <w:rFonts w:hint="eastAsia" w:ascii="宋体" w:hAnsi="宋体" w:cs="宋体"/>
          <w:b/>
          <w:color w:val="auto"/>
          <w:sz w:val="24"/>
          <w:szCs w:val="24"/>
          <w:highlight w:val="none"/>
        </w:rPr>
        <w:t>13．投标报价</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13.1 本次投标报价采用投标须知前附表第14项所规定的方式。</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13.2 投标人的投标报价，应是完成本须知第2.3款和合同条款所列招标项目服务范围的全部内容为计算投标报价基础。</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13.3投标报价方式：投标单位自行报价（投标</w:t>
      </w:r>
      <w:r>
        <w:rPr>
          <w:rFonts w:hint="eastAsia" w:ascii="宋体" w:hAnsi="宋体" w:cs="宋体"/>
          <w:color w:val="auto"/>
          <w:sz w:val="24"/>
          <w:szCs w:val="24"/>
          <w:highlight w:val="none"/>
          <w:lang w:eastAsia="zh-CN"/>
        </w:rPr>
        <w:t>总</w:t>
      </w:r>
      <w:r>
        <w:rPr>
          <w:rFonts w:hint="eastAsia" w:ascii="宋体" w:hAnsi="宋体" w:cs="宋体"/>
          <w:color w:val="auto"/>
          <w:sz w:val="24"/>
          <w:szCs w:val="24"/>
          <w:highlight w:val="none"/>
        </w:rPr>
        <w:t>报价</w:t>
      </w:r>
      <w:r>
        <w:rPr>
          <w:rFonts w:hint="eastAsia" w:ascii="宋体" w:hAnsi="宋体" w:cs="宋体"/>
          <w:color w:val="auto"/>
          <w:sz w:val="24"/>
          <w:szCs w:val="24"/>
          <w:highlight w:val="none"/>
          <w:lang w:eastAsia="zh-CN"/>
        </w:rPr>
        <w:t>及各分项报价</w:t>
      </w:r>
      <w:r>
        <w:rPr>
          <w:rFonts w:hint="eastAsia" w:ascii="宋体" w:hAnsi="宋体" w:cs="宋体"/>
          <w:color w:val="auto"/>
          <w:sz w:val="24"/>
          <w:szCs w:val="24"/>
          <w:highlight w:val="none"/>
        </w:rPr>
        <w:t>均不</w:t>
      </w:r>
      <w:r>
        <w:rPr>
          <w:rFonts w:hint="eastAsia" w:ascii="宋体" w:hAnsi="宋体" w:cs="宋体"/>
          <w:color w:val="auto"/>
          <w:sz w:val="24"/>
          <w:szCs w:val="24"/>
          <w:highlight w:val="none"/>
          <w:lang w:eastAsia="zh-CN"/>
        </w:rPr>
        <w:t>能</w:t>
      </w:r>
      <w:r>
        <w:rPr>
          <w:rFonts w:hint="eastAsia" w:ascii="宋体" w:hAnsi="宋体" w:cs="宋体"/>
          <w:color w:val="auto"/>
          <w:sz w:val="24"/>
          <w:szCs w:val="24"/>
          <w:highlight w:val="none"/>
        </w:rPr>
        <w:t>超过</w:t>
      </w:r>
      <w:r>
        <w:rPr>
          <w:rFonts w:hint="eastAsia" w:ascii="宋体" w:hAnsi="宋体" w:cs="宋体"/>
          <w:color w:val="auto"/>
          <w:sz w:val="24"/>
          <w:szCs w:val="24"/>
          <w:highlight w:val="none"/>
          <w:lang w:eastAsia="zh-CN"/>
        </w:rPr>
        <w:t>限价，否则按废标处理</w:t>
      </w:r>
      <w:r>
        <w:rPr>
          <w:rFonts w:hint="eastAsia" w:ascii="宋体" w:hAnsi="宋体" w:cs="宋体"/>
          <w:color w:val="auto"/>
          <w:sz w:val="24"/>
          <w:szCs w:val="24"/>
          <w:highlight w:val="none"/>
        </w:rPr>
        <w:t>）。（小数点后保留二位小数，第三位小数四舍五入）</w:t>
      </w:r>
    </w:p>
    <w:p>
      <w:pPr>
        <w:pStyle w:val="7"/>
        <w:widowControl/>
        <w:numPr>
          <w:ilvl w:val="0"/>
          <w:numId w:val="0"/>
        </w:num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13.4本项目</w:t>
      </w:r>
      <w:r>
        <w:rPr>
          <w:rFonts w:hint="eastAsia" w:hAnsi="宋体" w:cs="宋体"/>
          <w:color w:val="auto"/>
          <w:sz w:val="24"/>
          <w:szCs w:val="24"/>
          <w:highlight w:val="none"/>
          <w:lang w:val="en-US" w:eastAsia="zh-CN"/>
        </w:rPr>
        <w:t>招标总控制价</w:t>
      </w:r>
      <w:r>
        <w:rPr>
          <w:rFonts w:hint="eastAsia" w:ascii="宋体" w:hAnsi="宋体" w:eastAsia="宋体" w:cs="宋体"/>
          <w:color w:val="auto"/>
          <w:sz w:val="24"/>
          <w:szCs w:val="24"/>
          <w:highlight w:val="none"/>
          <w:lang w:val="en-US" w:eastAsia="zh-CN"/>
        </w:rPr>
        <w:t>为</w:t>
      </w:r>
      <w:r>
        <w:rPr>
          <w:rFonts w:hint="default"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955735.00元，其中：</w:t>
      </w:r>
    </w:p>
    <w:p>
      <w:pPr>
        <w:pStyle w:val="7"/>
        <w:widowControl/>
        <w:numPr>
          <w:ilvl w:val="0"/>
          <w:numId w:val="0"/>
        </w:num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hAnsi="宋体" w:cs="宋体"/>
          <w:color w:val="auto"/>
          <w:sz w:val="24"/>
          <w:szCs w:val="24"/>
          <w:highlight w:val="none"/>
          <w:lang w:val="en-US" w:eastAsia="zh-CN"/>
        </w:rPr>
        <w:t>设计费：含初步设计及概算编制、施工图设计（含初设评审费，不含施工图预算编制费），限价为¥622535.00元（暂按工程费用1400万元为计算基数，基价为¥655300.00元，下浮5%作为限价，投标人需根据上述基价进行报价，下浮率需大于5%），系数为：水运工程专业调整系数1.10、开敞式码头复杂程度调整系数1.15、附加调整系数1.0。结算价最终以审定的施工招标控制价为基数，并结合中标下浮率计算得出</w:t>
      </w:r>
      <w:r>
        <w:rPr>
          <w:rFonts w:hint="eastAsia" w:ascii="宋体" w:hAnsi="宋体" w:eastAsia="宋体" w:cs="宋体"/>
          <w:color w:val="auto"/>
          <w:sz w:val="24"/>
          <w:szCs w:val="24"/>
          <w:highlight w:val="none"/>
          <w:lang w:val="en-US" w:eastAsia="zh-CN"/>
        </w:rPr>
        <w:t>；</w:t>
      </w:r>
    </w:p>
    <w:p>
      <w:pPr>
        <w:pStyle w:val="7"/>
        <w:widowControl/>
        <w:numPr>
          <w:ilvl w:val="0"/>
          <w:numId w:val="0"/>
        </w:numPr>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2、勘察费（水上）限价为综合单价</w:t>
      </w:r>
      <w:r>
        <w:rPr>
          <w:rFonts w:hint="default"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500元/米（含办理勘察作业手续），暂按13个孔、每个孔勘察33米计算，总价暂定为</w:t>
      </w:r>
      <w:r>
        <w:rPr>
          <w:rFonts w:hint="default"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214500.00元。</w:t>
      </w:r>
      <w:r>
        <w:rPr>
          <w:rFonts w:hint="eastAsia" w:hAnsi="宋体" w:cs="宋体"/>
          <w:color w:val="auto"/>
          <w:sz w:val="24"/>
          <w:szCs w:val="24"/>
          <w:highlight w:val="none"/>
          <w:lang w:val="en-US" w:eastAsia="zh-CN"/>
        </w:rPr>
        <w:t>结算价</w:t>
      </w:r>
      <w:r>
        <w:rPr>
          <w:rFonts w:hint="eastAsia" w:ascii="宋体" w:hAnsi="宋体" w:eastAsia="宋体" w:cs="宋体"/>
          <w:color w:val="auto"/>
          <w:sz w:val="24"/>
          <w:szCs w:val="24"/>
          <w:highlight w:val="none"/>
          <w:lang w:val="en-US" w:eastAsia="zh-CN"/>
        </w:rPr>
        <w:t>=实际钻孔数×实际勘察深度×综合单价。</w:t>
      </w:r>
    </w:p>
    <w:p>
      <w:pPr>
        <w:pStyle w:val="7"/>
        <w:widowControl/>
        <w:numPr>
          <w:ilvl w:val="0"/>
          <w:numId w:val="0"/>
        </w:numPr>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3、勘察费（陆上）限价为综合单价</w:t>
      </w:r>
      <w:r>
        <w:rPr>
          <w:rFonts w:hint="default"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180元/米（含办理勘察作业手续），暂按2个孔、每个孔勘察30米计算，总价暂定为</w:t>
      </w:r>
      <w:r>
        <w:rPr>
          <w:rFonts w:hint="default"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10800.00元。</w:t>
      </w:r>
      <w:r>
        <w:rPr>
          <w:rFonts w:hint="eastAsia" w:hAnsi="宋体" w:cs="宋体"/>
          <w:color w:val="auto"/>
          <w:sz w:val="24"/>
          <w:szCs w:val="24"/>
          <w:highlight w:val="none"/>
          <w:lang w:val="en-US" w:eastAsia="zh-CN"/>
        </w:rPr>
        <w:t>结算价</w:t>
      </w:r>
      <w:r>
        <w:rPr>
          <w:rFonts w:hint="eastAsia" w:ascii="宋体" w:hAnsi="宋体" w:eastAsia="宋体" w:cs="宋体"/>
          <w:color w:val="auto"/>
          <w:sz w:val="24"/>
          <w:szCs w:val="24"/>
          <w:highlight w:val="none"/>
          <w:lang w:val="en-US" w:eastAsia="zh-CN"/>
        </w:rPr>
        <w:t>=实际钻孔数×实际勘察深度×综合单价。</w:t>
      </w:r>
    </w:p>
    <w:p>
      <w:pPr>
        <w:pStyle w:val="7"/>
        <w:widowControl/>
        <w:numPr>
          <w:ilvl w:val="0"/>
          <w:numId w:val="0"/>
        </w:num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hAnsi="宋体" w:cs="宋体"/>
          <w:color w:val="auto"/>
          <w:sz w:val="24"/>
          <w:szCs w:val="24"/>
          <w:highlight w:val="none"/>
          <w:lang w:val="en-US" w:eastAsia="zh-CN"/>
        </w:rPr>
        <w:t>4、测量费</w:t>
      </w:r>
      <w:r>
        <w:rPr>
          <w:rFonts w:hint="eastAsia" w:ascii="宋体" w:hAnsi="宋体" w:eastAsia="宋体" w:cs="宋体"/>
          <w:color w:val="auto"/>
          <w:sz w:val="24"/>
          <w:szCs w:val="24"/>
          <w:highlight w:val="none"/>
          <w:lang w:val="en-US" w:eastAsia="zh-CN"/>
        </w:rPr>
        <w:t>限价为综合单价</w:t>
      </w:r>
      <w:r>
        <w:rPr>
          <w:rFonts w:hint="default"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0.13元/㎡，暂按测量面积0.83km²计算，总价暂定为</w:t>
      </w:r>
      <w:r>
        <w:rPr>
          <w:rFonts w:hint="default"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107900.00元。</w:t>
      </w:r>
      <w:r>
        <w:rPr>
          <w:rFonts w:hint="eastAsia" w:hAnsi="宋体" w:cs="宋体"/>
          <w:color w:val="auto"/>
          <w:sz w:val="24"/>
          <w:szCs w:val="24"/>
          <w:highlight w:val="none"/>
          <w:lang w:val="en-US" w:eastAsia="zh-CN"/>
        </w:rPr>
        <w:t>结算价</w:t>
      </w:r>
      <w:r>
        <w:rPr>
          <w:rFonts w:hint="eastAsia" w:ascii="宋体" w:hAnsi="宋体" w:eastAsia="宋体" w:cs="宋体"/>
          <w:color w:val="auto"/>
          <w:sz w:val="24"/>
          <w:szCs w:val="24"/>
          <w:highlight w:val="none"/>
          <w:lang w:val="en-US" w:eastAsia="zh-CN"/>
        </w:rPr>
        <w:t>=实际测量面积×综合单价。</w:t>
      </w:r>
    </w:p>
    <w:p>
      <w:pPr>
        <w:pStyle w:val="7"/>
        <w:widowControl/>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注：以上费用均参照计价格[2002]10号文为计费标准。</w:t>
      </w:r>
    </w:p>
    <w:p>
      <w:pPr>
        <w:pStyle w:val="12"/>
        <w:widowControl/>
        <w:spacing w:beforeAutospacing="0" w:after="0" w:line="360" w:lineRule="auto"/>
        <w:ind w:firstLine="482" w:firstLineChars="200"/>
        <w:outlineLvl w:val="3"/>
        <w:rPr>
          <w:rFonts w:ascii="宋体" w:hAnsi="宋体" w:cs="宋体"/>
          <w:b/>
          <w:color w:val="auto"/>
          <w:sz w:val="24"/>
          <w:szCs w:val="24"/>
          <w:highlight w:val="none"/>
        </w:rPr>
      </w:pPr>
      <w:r>
        <w:rPr>
          <w:rFonts w:hint="eastAsia" w:ascii="宋体" w:hAnsi="宋体" w:cs="宋体"/>
          <w:b/>
          <w:color w:val="auto"/>
          <w:sz w:val="24"/>
          <w:szCs w:val="24"/>
          <w:highlight w:val="none"/>
        </w:rPr>
        <w:t>14．投标货币</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14.1 本次投标报价采用的币种为</w:t>
      </w:r>
      <w:r>
        <w:rPr>
          <w:rFonts w:hint="eastAsia" w:ascii="宋体" w:hAnsi="宋体" w:cs="宋体"/>
          <w:b/>
          <w:color w:val="auto"/>
          <w:sz w:val="24"/>
          <w:szCs w:val="24"/>
          <w:highlight w:val="none"/>
        </w:rPr>
        <w:t>人民币</w:t>
      </w:r>
      <w:r>
        <w:rPr>
          <w:rFonts w:hint="eastAsia" w:ascii="宋体" w:hAnsi="宋体" w:cs="宋体"/>
          <w:color w:val="auto"/>
          <w:sz w:val="24"/>
          <w:szCs w:val="24"/>
          <w:highlight w:val="none"/>
        </w:rPr>
        <w:t>。</w:t>
      </w:r>
    </w:p>
    <w:p>
      <w:pPr>
        <w:pStyle w:val="12"/>
        <w:widowControl/>
        <w:spacing w:beforeAutospacing="0" w:after="0" w:line="360" w:lineRule="auto"/>
        <w:ind w:firstLine="482" w:firstLineChars="200"/>
        <w:outlineLvl w:val="3"/>
        <w:rPr>
          <w:rFonts w:ascii="宋体" w:hAnsi="宋体" w:cs="宋体"/>
          <w:b/>
          <w:color w:val="auto"/>
          <w:sz w:val="24"/>
          <w:szCs w:val="24"/>
          <w:highlight w:val="none"/>
        </w:rPr>
      </w:pPr>
      <w:r>
        <w:rPr>
          <w:rFonts w:hint="eastAsia" w:ascii="宋体" w:hAnsi="宋体" w:cs="宋体"/>
          <w:b/>
          <w:color w:val="auto"/>
          <w:sz w:val="24"/>
          <w:szCs w:val="24"/>
          <w:highlight w:val="none"/>
        </w:rPr>
        <w:t>15．投标有效期</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15.1 投标有效期见投标须知前附表第15项所规定的期限，在此期限内，凡符合本招标文件要求的投标文件均保持有效。</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15.2 在特殊情况下，招标人在原定投标有效期内，可以根据需要以书面形式向投标人提出延长投标有效期的要求，对此要求投标人须以书面形式予以答复。投标人可以拒绝招标人这种要求。同意延长投标有效期的投标人既不能要求也不允许修改其投标文件。</w:t>
      </w:r>
    </w:p>
    <w:p>
      <w:pPr>
        <w:pStyle w:val="12"/>
        <w:widowControl/>
        <w:spacing w:beforeAutospacing="0" w:after="0" w:line="360" w:lineRule="auto"/>
        <w:ind w:firstLine="482" w:firstLineChars="200"/>
        <w:outlineLvl w:val="3"/>
        <w:rPr>
          <w:rFonts w:ascii="宋体" w:hAnsi="宋体" w:cs="宋体"/>
          <w:b/>
          <w:color w:val="auto"/>
          <w:sz w:val="24"/>
          <w:szCs w:val="24"/>
          <w:highlight w:val="none"/>
        </w:rPr>
      </w:pPr>
      <w:r>
        <w:rPr>
          <w:rFonts w:hint="eastAsia" w:ascii="宋体" w:hAnsi="宋体" w:cs="宋体"/>
          <w:b/>
          <w:color w:val="auto"/>
          <w:sz w:val="24"/>
          <w:szCs w:val="24"/>
          <w:highlight w:val="none"/>
        </w:rPr>
        <w:t>16．投标保证金</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本项目不要求递交投标保证金。</w:t>
      </w:r>
    </w:p>
    <w:p>
      <w:pPr>
        <w:pStyle w:val="12"/>
        <w:widowControl/>
        <w:spacing w:beforeAutospacing="0" w:after="0" w:line="360" w:lineRule="auto"/>
        <w:ind w:firstLine="482" w:firstLineChars="200"/>
        <w:outlineLvl w:val="3"/>
        <w:rPr>
          <w:rFonts w:ascii="宋体" w:hAnsi="宋体" w:cs="宋体"/>
          <w:b/>
          <w:color w:val="auto"/>
          <w:sz w:val="24"/>
          <w:szCs w:val="24"/>
          <w:highlight w:val="none"/>
        </w:rPr>
      </w:pPr>
      <w:r>
        <w:rPr>
          <w:rFonts w:hint="eastAsia" w:ascii="宋体" w:hAnsi="宋体" w:cs="宋体"/>
          <w:b/>
          <w:color w:val="auto"/>
          <w:sz w:val="24"/>
          <w:szCs w:val="24"/>
          <w:highlight w:val="none"/>
        </w:rPr>
        <w:t>17．投标文件的份数和签署</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17.1 投标人应按投标须知前附表第17项规定的份数提交投标文件。</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17.2 投标文件的正本和副本均需打印或使用不褪色的蓝、黑墨水笔书写，副本可以是正本的复印件，字迹应清晰易于辨认，并应在投标文件封面的右上角清楚地注明“正本”或“副本”。正本和副本如有不一致之处，以正本为准。</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17.3 投标文件封面必须有法定代表人或其委托代理人签字（或盖章）并加盖投标单位公章。由委托代理人签字（或盖章）的投标文件中须同时提交法定代表人签署授权委托书。投标文件中递交的法定代表人证明书、授权委托证明书格式、签字、盖章及内容均应符合要求，否则证明书无效。</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17.4 除投标人对错误处须修改外，全套投标文件应无涂改或行间插字和增删。如有修改，修改处应盖校对章或法定代表人签字（或盖私章）或委托代理人签字（或盖私章），并加盖单位公章。</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17.5投标文件的规格：统一A4印刷本，纸质封面，可双面或单面打印。封面标明招标项目名称、编号、投标人、投标时间，右上角打上正本（或副本）。使用书式装订，装订时书订不外露；不能使用塑料面或塑料胶条装订。</w:t>
      </w:r>
    </w:p>
    <w:p>
      <w:pPr>
        <w:pStyle w:val="12"/>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17.6投标文件的页码：必须按每本逐页从1开始，按照流水号编号（包括附图、证件、图片等），页号编在右下角，若双面打印的页号编在左下角（空白页面不编号）。</w:t>
      </w:r>
    </w:p>
    <w:p>
      <w:pPr>
        <w:spacing w:line="360" w:lineRule="auto"/>
        <w:ind w:firstLine="482" w:firstLineChars="200"/>
        <w:outlineLvl w:val="2"/>
        <w:rPr>
          <w:rFonts w:ascii="宋体" w:hAnsi="宋体" w:cs="宋体"/>
          <w:b/>
          <w:color w:val="auto"/>
          <w:sz w:val="24"/>
          <w:highlight w:val="none"/>
        </w:rPr>
      </w:pPr>
      <w:r>
        <w:rPr>
          <w:rFonts w:hint="eastAsia" w:ascii="宋体" w:hAnsi="宋体" w:cs="宋体"/>
          <w:b/>
          <w:color w:val="auto"/>
          <w:sz w:val="24"/>
          <w:highlight w:val="none"/>
        </w:rPr>
        <w:t>（四）投标文件的提交</w:t>
      </w:r>
    </w:p>
    <w:p>
      <w:pPr>
        <w:pStyle w:val="12"/>
        <w:widowControl/>
        <w:spacing w:beforeAutospacing="0" w:after="0" w:line="360" w:lineRule="auto"/>
        <w:ind w:firstLine="482" w:firstLineChars="200"/>
        <w:outlineLvl w:val="3"/>
        <w:rPr>
          <w:rFonts w:ascii="宋体" w:hAnsi="宋体" w:cs="宋体"/>
          <w:b/>
          <w:color w:val="auto"/>
          <w:sz w:val="24"/>
          <w:szCs w:val="24"/>
          <w:highlight w:val="none"/>
        </w:rPr>
      </w:pPr>
      <w:r>
        <w:rPr>
          <w:rFonts w:hint="eastAsia" w:ascii="宋体" w:hAnsi="宋体" w:cs="宋体"/>
          <w:b/>
          <w:color w:val="auto"/>
          <w:sz w:val="24"/>
          <w:szCs w:val="24"/>
          <w:highlight w:val="none"/>
        </w:rPr>
        <w:t>18．投标文件的包封、密封和标记</w:t>
      </w:r>
    </w:p>
    <w:p>
      <w:pPr>
        <w:snapToGrid w:val="0"/>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18.1 投标文件的包封要求：商务标正本（1本）、副本（4本）一起包封；技术标正本（1本）、副本（4本）一起包封。</w:t>
      </w:r>
    </w:p>
    <w:p>
      <w:pPr>
        <w:snapToGrid w:val="0"/>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18.2投标文件的密封要求：投标人应确保密闭封装、并加盖骑缝公章。</w:t>
      </w:r>
    </w:p>
    <w:p>
      <w:pPr>
        <w:snapToGrid w:val="0"/>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18.3投标文件的标记要求：每个包封上应具有以下标记：</w:t>
      </w:r>
    </w:p>
    <w:p>
      <w:pPr>
        <w:snapToGrid w:val="0"/>
        <w:spacing w:line="360" w:lineRule="auto"/>
        <w:ind w:left="1" w:hanging="1"/>
        <w:rPr>
          <w:rFonts w:ascii="宋体" w:hAnsi="宋体" w:eastAsia="宋体" w:cs="宋体"/>
          <w:color w:val="auto"/>
          <w:sz w:val="24"/>
          <w:highlight w:val="none"/>
          <w:u w:val="single"/>
        </w:rPr>
      </w:pPr>
      <w:r>
        <w:rPr>
          <w:rFonts w:hint="eastAsia" w:ascii="宋体" w:hAnsi="宋体" w:eastAsia="宋体" w:cs="宋体"/>
          <w:color w:val="auto"/>
          <w:sz w:val="24"/>
          <w:highlight w:val="none"/>
        </w:rPr>
        <w:t xml:space="preserve">    18.3.1招标人的名称和地址：</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w:t>
      </w:r>
      <w:r>
        <w:rPr>
          <w:rFonts w:hint="eastAsia" w:ascii="宋体" w:hAnsi="宋体" w:eastAsia="宋体" w:cs="宋体"/>
          <w:color w:val="auto"/>
          <w:sz w:val="24"/>
          <w:highlight w:val="none"/>
          <w:u w:val="single"/>
        </w:rPr>
        <w:t xml:space="preserve">           </w:t>
      </w:r>
    </w:p>
    <w:p>
      <w:pPr>
        <w:snapToGrid w:val="0"/>
        <w:spacing w:line="360" w:lineRule="auto"/>
        <w:ind w:left="1" w:hanging="1"/>
        <w:rPr>
          <w:rFonts w:ascii="宋体" w:hAnsi="宋体" w:eastAsia="宋体" w:cs="宋体"/>
          <w:color w:val="auto"/>
          <w:sz w:val="24"/>
          <w:highlight w:val="none"/>
        </w:rPr>
      </w:pPr>
      <w:r>
        <w:rPr>
          <w:rFonts w:hint="eastAsia" w:ascii="宋体" w:hAnsi="宋体" w:eastAsia="宋体" w:cs="宋体"/>
          <w:color w:val="auto"/>
          <w:sz w:val="24"/>
          <w:highlight w:val="none"/>
        </w:rPr>
        <w:t xml:space="preserve">    18.3.2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w:t>
      </w:r>
    </w:p>
    <w:p>
      <w:pPr>
        <w:snapToGrid w:val="0"/>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18.3.3</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前不得开封（填入前附表第19项所述日期及时间）</w:t>
      </w:r>
    </w:p>
    <w:p>
      <w:pPr>
        <w:snapToGrid w:val="0"/>
        <w:spacing w:line="360" w:lineRule="auto"/>
        <w:ind w:left="1" w:hanging="1"/>
        <w:rPr>
          <w:rFonts w:ascii="宋体" w:hAnsi="宋体" w:eastAsia="宋体" w:cs="宋体"/>
          <w:color w:val="auto"/>
          <w:sz w:val="24"/>
          <w:highlight w:val="none"/>
        </w:rPr>
      </w:pPr>
      <w:r>
        <w:rPr>
          <w:rFonts w:hint="eastAsia" w:ascii="宋体" w:hAnsi="宋体" w:eastAsia="宋体" w:cs="宋体"/>
          <w:color w:val="auto"/>
          <w:sz w:val="24"/>
          <w:highlight w:val="none"/>
        </w:rPr>
        <w:t xml:space="preserve">    18.4在包封上应写明投标人的名称与地址，以便投标被宣布迟到时，能原封退回。</w:t>
      </w:r>
    </w:p>
    <w:p>
      <w:pPr>
        <w:snapToGrid w:val="0"/>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18.5如果包封上没有按上述规定密封并加写标志，招标人将不承担投标文件错放或提前开封的责任，由此造成的提前开封的投标文件，招标人予以拒绝，并退还给投标人。</w:t>
      </w:r>
    </w:p>
    <w:p>
      <w:pPr>
        <w:pStyle w:val="12"/>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19．投标</w:t>
      </w:r>
      <w:r>
        <w:rPr>
          <w:rFonts w:hint="eastAsia" w:ascii="宋体" w:hAnsi="宋体" w:cs="宋体"/>
          <w:b/>
          <w:color w:val="auto"/>
          <w:sz w:val="24"/>
          <w:szCs w:val="24"/>
          <w:highlight w:val="none"/>
        </w:rPr>
        <w:t>文件</w:t>
      </w:r>
      <w:r>
        <w:rPr>
          <w:rFonts w:hint="eastAsia" w:ascii="宋体" w:hAnsi="宋体" w:cs="宋体"/>
          <w:b/>
          <w:color w:val="auto"/>
          <w:sz w:val="24"/>
          <w:highlight w:val="none"/>
        </w:rPr>
        <w:t>的提交</w:t>
      </w:r>
    </w:p>
    <w:p>
      <w:pPr>
        <w:snapToGrid w:val="0"/>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19.1 投标人应按投标须知前附表第19项所规定的地点，于截止时间前提交投标文件，并办理好送达签认手续。</w:t>
      </w:r>
    </w:p>
    <w:p>
      <w:pPr>
        <w:snapToGrid w:val="0"/>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19.2投标文件提交人在提交投标文件时应出示法定代表人证明书（原件）、法定代表人授权委托证明书（原件）及本人身份证（原件）提交投标文件。</w:t>
      </w:r>
    </w:p>
    <w:p>
      <w:pPr>
        <w:pStyle w:val="12"/>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20．投标文件提交的截止时间</w:t>
      </w:r>
    </w:p>
    <w:p>
      <w:pPr>
        <w:spacing w:line="360" w:lineRule="auto"/>
        <w:ind w:firstLine="480" w:firstLineChars="200"/>
        <w:rPr>
          <w:rFonts w:ascii="宋体" w:hAnsi="宋体" w:eastAsia="宋体" w:cs="宋体"/>
          <w:b/>
          <w:color w:val="auto"/>
          <w:sz w:val="24"/>
          <w:highlight w:val="none"/>
        </w:rPr>
      </w:pPr>
      <w:r>
        <w:rPr>
          <w:rFonts w:hint="eastAsia" w:ascii="宋体" w:hAnsi="宋体" w:eastAsia="宋体" w:cs="宋体"/>
          <w:color w:val="auto"/>
          <w:sz w:val="24"/>
          <w:highlight w:val="none"/>
        </w:rPr>
        <w:t>20.1投标人应按前附表第18项所述的地点、日期和时间将投标文件提交给招标人。</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20.2招标人可按本须知第9条规定以修改补充通知的方式，酌情延长提交投标文件的截止时间。在此情况下，投标人的所有权利和义务以及投标人受制约的截止时间，均以延长后新的投标截止时间为准。</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20.3 到投标截止时间止，招标人收到的投标文件少于3家的，招标人将依法重新选择邀请单位重新组织招标，三次招标仍少于三家投标单位则由投标人自行指定服务单位承接该项目。</w:t>
      </w:r>
    </w:p>
    <w:p>
      <w:pPr>
        <w:pStyle w:val="12"/>
        <w:widowControl/>
        <w:spacing w:beforeAutospacing="0" w:after="0" w:line="360" w:lineRule="auto"/>
        <w:ind w:firstLine="482" w:firstLineChars="200"/>
        <w:outlineLvl w:val="3"/>
        <w:rPr>
          <w:rFonts w:ascii="宋体" w:hAnsi="宋体" w:cs="宋体"/>
          <w:color w:val="auto"/>
          <w:sz w:val="24"/>
          <w:highlight w:val="none"/>
        </w:rPr>
      </w:pPr>
      <w:r>
        <w:rPr>
          <w:rFonts w:hint="eastAsia" w:ascii="宋体" w:hAnsi="宋体" w:cs="宋体"/>
          <w:b/>
          <w:color w:val="auto"/>
          <w:sz w:val="24"/>
          <w:highlight w:val="none"/>
        </w:rPr>
        <w:t>21．迟交的投标文件</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21.1 招标人在本须知第19条规定的投标截止时间以后收到的投标文件，将被拒绝并退回给投标人。</w:t>
      </w:r>
    </w:p>
    <w:p>
      <w:pPr>
        <w:pStyle w:val="12"/>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22．投标文件的补充、修改与撤回</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22.1 投标人在提交投标文件以后，在规定的投标截止时间之前，可以以书面形式补充修改或撤回已提交的投标文件，并以书面形式通知招标人。补充、修改的内容为投标文件的组成部分。</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22.2 投标人对投标文件的补充、修改，应按本须知第18条有关规定密封、标记和提交，并在投标文件密封袋上清楚标明“补充、修改”或“撤回”字样。</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22.3 在投标截止时间之后，投标人不得补充、修改投标文件。</w:t>
      </w:r>
    </w:p>
    <w:p>
      <w:pPr>
        <w:snapToGrid w:val="0"/>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22.4根据本须知第16条的规定，在投标截止期与招标人在招标文件中规定的有效期终止日之间的这段时期内，投标人不能撤回投标文件，否则其投标保证金将被没收。</w:t>
      </w:r>
    </w:p>
    <w:p>
      <w:pPr>
        <w:spacing w:line="360" w:lineRule="auto"/>
        <w:ind w:firstLine="482" w:firstLineChars="200"/>
        <w:outlineLvl w:val="2"/>
        <w:rPr>
          <w:rFonts w:ascii="宋体" w:hAnsi="宋体" w:eastAsia="宋体" w:cs="宋体"/>
          <w:b/>
          <w:color w:val="auto"/>
          <w:sz w:val="24"/>
          <w:highlight w:val="none"/>
        </w:rPr>
      </w:pPr>
      <w:r>
        <w:rPr>
          <w:rFonts w:hint="eastAsia" w:ascii="宋体" w:hAnsi="宋体" w:eastAsia="宋体" w:cs="宋体"/>
          <w:b/>
          <w:color w:val="auto"/>
          <w:sz w:val="24"/>
          <w:highlight w:val="none"/>
        </w:rPr>
        <w:t>（五）开标</w:t>
      </w:r>
    </w:p>
    <w:p>
      <w:pPr>
        <w:pStyle w:val="12"/>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24．开标</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24.1 招标人按投标须知前附表第19项所规定的时间和地点公开开标，并邀请所有投标人参加。请各投标人的法定代表人或其有效授权委托代理人届时务必带本人身份证出席开标会，否则作弃权处理。</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24.2 按规定提交合格的撤回通知的投标文件不予开封，并退回给投标人；</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24.3 招标人在招标文件要求提交投标文件的截止时间前收到的投标文件，开标时都当众予以拆封、宣读。</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24.4开标程序：</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1）开标由招标人主持；</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2）宣读投标人名称，由投标人或其推选的代表检查投标文件的密封情况，投标人出示本人身份证原件（身份证件应与投标文件中的法定代表人或其委托人一致，无身份证原件的作弃权处理）；</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3）经确认无误后，由有关工作人员公布下列内容：a.法定代表人证明及授权委托；b.</w:t>
      </w:r>
      <w:r>
        <w:rPr>
          <w:rFonts w:hint="eastAsia" w:ascii="宋体" w:hAnsi="宋体" w:eastAsia="宋体" w:cs="宋体"/>
          <w:color w:val="auto"/>
          <w:szCs w:val="21"/>
          <w:highlight w:val="none"/>
        </w:rPr>
        <w:t xml:space="preserve"> </w:t>
      </w:r>
      <w:r>
        <w:rPr>
          <w:rFonts w:hint="eastAsia" w:ascii="宋体" w:hAnsi="宋体" w:eastAsia="宋体" w:cs="宋体"/>
          <w:color w:val="auto"/>
          <w:sz w:val="24"/>
          <w:highlight w:val="none"/>
        </w:rPr>
        <w:t>标书密封情况；c.投标报价；d.服务期；e. 质量目标；f.项目负责人等主要内容。</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24.5 招标人对开标过程进行记录，并存档备查，投标人在开标记录上签字，以确认对所宣读的内容没有任何异议。</w:t>
      </w:r>
    </w:p>
    <w:p>
      <w:pPr>
        <w:spacing w:line="360" w:lineRule="auto"/>
        <w:ind w:firstLine="482" w:firstLineChars="200"/>
        <w:rPr>
          <w:rFonts w:ascii="宋体" w:hAnsi="宋体" w:eastAsia="宋体" w:cs="宋体"/>
          <w:b/>
          <w:color w:val="auto"/>
          <w:sz w:val="24"/>
          <w:highlight w:val="none"/>
        </w:rPr>
      </w:pPr>
      <w:r>
        <w:rPr>
          <w:rFonts w:hint="eastAsia" w:ascii="宋体" w:hAnsi="宋体" w:eastAsia="宋体" w:cs="宋体"/>
          <w:b/>
          <w:color w:val="auto"/>
          <w:sz w:val="24"/>
          <w:highlight w:val="none"/>
        </w:rPr>
        <w:t>24.6 投标文件有下列情形之一的，招标人不予受理：</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24.6.1逾期送达的或者未送达指定地点的；</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24.6.2未按招标文件要求密封的。</w:t>
      </w:r>
    </w:p>
    <w:p>
      <w:pPr>
        <w:spacing w:line="360" w:lineRule="auto"/>
        <w:ind w:firstLine="482" w:firstLineChars="200"/>
        <w:rPr>
          <w:rFonts w:ascii="宋体" w:hAnsi="宋体" w:eastAsia="宋体" w:cs="宋体"/>
          <w:b/>
          <w:color w:val="auto"/>
          <w:sz w:val="24"/>
          <w:highlight w:val="none"/>
        </w:rPr>
      </w:pPr>
      <w:r>
        <w:rPr>
          <w:rFonts w:hint="eastAsia" w:ascii="宋体" w:hAnsi="宋体" w:eastAsia="宋体" w:cs="宋体"/>
          <w:b/>
          <w:color w:val="auto"/>
          <w:sz w:val="24"/>
          <w:highlight w:val="none"/>
        </w:rPr>
        <w:t>24.7招标人将上述符合要求的投标文件，送至</w:t>
      </w:r>
      <w:r>
        <w:rPr>
          <w:rFonts w:hint="eastAsia" w:ascii="宋体" w:hAnsi="宋体" w:eastAsia="宋体" w:cs="宋体"/>
          <w:b/>
          <w:color w:val="auto"/>
          <w:sz w:val="24"/>
          <w:highlight w:val="none"/>
          <w:lang w:eastAsia="zh-CN"/>
        </w:rPr>
        <w:t>评标小组</w:t>
      </w:r>
      <w:r>
        <w:rPr>
          <w:rFonts w:hint="eastAsia" w:ascii="宋体" w:hAnsi="宋体" w:eastAsia="宋体" w:cs="宋体"/>
          <w:b/>
          <w:color w:val="auto"/>
          <w:sz w:val="24"/>
          <w:highlight w:val="none"/>
        </w:rPr>
        <w:t>进行评审的。</w:t>
      </w:r>
    </w:p>
    <w:p>
      <w:pPr>
        <w:spacing w:line="360" w:lineRule="auto"/>
        <w:ind w:firstLine="482" w:firstLineChars="200"/>
        <w:outlineLvl w:val="2"/>
        <w:rPr>
          <w:rFonts w:ascii="宋体" w:hAnsi="宋体" w:eastAsia="宋体" w:cs="宋体"/>
          <w:b/>
          <w:color w:val="auto"/>
          <w:sz w:val="24"/>
          <w:highlight w:val="none"/>
        </w:rPr>
      </w:pPr>
      <w:r>
        <w:rPr>
          <w:rFonts w:hint="eastAsia" w:ascii="宋体" w:hAnsi="宋体" w:eastAsia="宋体" w:cs="宋体"/>
          <w:b/>
          <w:color w:val="auto"/>
          <w:sz w:val="24"/>
          <w:highlight w:val="none"/>
        </w:rPr>
        <w:t>（六） 评标</w:t>
      </w:r>
    </w:p>
    <w:p>
      <w:pPr>
        <w:pStyle w:val="12"/>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25．评标过程的保密</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25.1 开标后，直至授予中标人合同为止，凡属于对投标文件的审查、澄清、评价和比较有关的资料以及中标候选人的推荐情况，与评标有关的其他任何情况均严格保密。</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25.2 在投标文件的评审和比较、中标候选人推荐以及授予合同的过程中，投标人向招标人和</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施加影响的任何行为，都将会导致其投标被拒绝。</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25.3 中标人确定后，招标人不对未中标人就评标过程以及未能中标原因作出任何解释。未中标人不得向</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组成人员或其他有关人员索问评标过程的情况和材料。</w:t>
      </w:r>
    </w:p>
    <w:p>
      <w:pPr>
        <w:pStyle w:val="12"/>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26．投标文件的澄清</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26.1 为有助于投标文件的审查、评价和比较，</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可以以书面形式要求投标人对投标文件含义不明确的内容作必要的澄清或说明，投标人应书面形式进行澄清或说明，但不得超出投标文件的范围或改变投标文件的实质性内容。</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26.2 如果投标文件实质上不响应招标文件的各项要求，</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将予以拒绝，并且不允许投标人通过修改或撤销其不符合要求的差异或保留，使之成为具有响应性的投标。</w:t>
      </w:r>
    </w:p>
    <w:p>
      <w:pPr>
        <w:pStyle w:val="12"/>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27．投标文件的评审、比较和否决</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 xml:space="preserve">27.1 </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将按照本须知第26条规定，仅对在实质上响应招标文件要求的投标文件进行评审和比较。</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27.2 在评审过程中，</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可以以书面形式要求投标人就投标文件中含义不明确的内容进行书面说明并提供相关材料。</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 xml:space="preserve">27.3 </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依据投标须知前附表第20项规定的评标标准和方法，详见本招标文件《评标办法》，对投标文件进行评审和比较，向招标人提出书面评标报告，并推荐经评审投标报价由低至高排序的前一～三名为第一、第二和第三中标候选人。招标人根据</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提出的书面评标报告和推荐的中标候选人中，按排序依法确定中标人。</w:t>
      </w:r>
    </w:p>
    <w:p>
      <w:pPr>
        <w:spacing w:line="360" w:lineRule="auto"/>
        <w:ind w:firstLine="482" w:firstLineChars="200"/>
        <w:rPr>
          <w:rFonts w:ascii="宋体" w:hAnsi="宋体" w:eastAsia="宋体" w:cs="宋体"/>
          <w:b/>
          <w:color w:val="auto"/>
          <w:sz w:val="24"/>
          <w:highlight w:val="none"/>
        </w:rPr>
      </w:pPr>
      <w:r>
        <w:rPr>
          <w:rFonts w:hint="eastAsia" w:ascii="宋体" w:hAnsi="宋体" w:eastAsia="宋体" w:cs="宋体"/>
          <w:b/>
          <w:color w:val="auto"/>
          <w:sz w:val="24"/>
          <w:highlight w:val="none"/>
        </w:rPr>
        <w:t>28．</w:t>
      </w:r>
      <w:r>
        <w:rPr>
          <w:rFonts w:hint="eastAsia" w:ascii="宋体" w:hAnsi="宋体" w:eastAsia="宋体" w:cs="宋体"/>
          <w:b/>
          <w:color w:val="auto"/>
          <w:sz w:val="24"/>
          <w:highlight w:val="none"/>
          <w:lang w:eastAsia="zh-CN"/>
        </w:rPr>
        <w:t>评标小组</w:t>
      </w:r>
      <w:r>
        <w:rPr>
          <w:rFonts w:hint="eastAsia" w:ascii="宋体" w:hAnsi="宋体" w:eastAsia="宋体" w:cs="宋体"/>
          <w:b/>
          <w:color w:val="auto"/>
          <w:sz w:val="24"/>
          <w:highlight w:val="none"/>
        </w:rPr>
        <w:t>依据有关法律、法规和招标文件的规定对投标文件进行评审，经评定的有效投标人不足三名时，招标人应当依法重新组织招标。</w:t>
      </w:r>
    </w:p>
    <w:p>
      <w:pPr>
        <w:spacing w:line="360" w:lineRule="auto"/>
        <w:ind w:firstLine="482" w:firstLineChars="200"/>
        <w:outlineLvl w:val="2"/>
        <w:rPr>
          <w:rFonts w:ascii="宋体" w:hAnsi="宋体" w:eastAsia="宋体" w:cs="宋体"/>
          <w:b/>
          <w:color w:val="auto"/>
          <w:sz w:val="24"/>
          <w:highlight w:val="none"/>
        </w:rPr>
      </w:pPr>
      <w:r>
        <w:rPr>
          <w:rFonts w:hint="eastAsia" w:ascii="宋体" w:hAnsi="宋体" w:eastAsia="宋体" w:cs="宋体"/>
          <w:b/>
          <w:color w:val="auto"/>
          <w:sz w:val="24"/>
          <w:highlight w:val="none"/>
        </w:rPr>
        <w:t>（七）合同的授予</w:t>
      </w:r>
    </w:p>
    <w:p>
      <w:pPr>
        <w:pStyle w:val="12"/>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29．合同授予标准</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29.1 本招标(项目)的设计咨询合同将授予按本须知第27.3款所确定的中标人。</w:t>
      </w:r>
    </w:p>
    <w:p>
      <w:pPr>
        <w:pStyle w:val="12"/>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30．招标人保留接受或拒绝任何某一投标或所有投标的权力</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30.1 招标人不承诺将合同授予报价最低的投标人。招标人在发出中标通知书前，有权依据</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的评标报告拒绝不合格的投标。</w:t>
      </w:r>
    </w:p>
    <w:p>
      <w:pPr>
        <w:snapToGrid w:val="0"/>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30.2招标人保留接受或拒绝任何某一投标或所有投标的权力。尽管有本须知第27.3款的规定，但是招标人在授予合同前任何时候有权接受或拒绝任何投标书，宣布招标程序无效并拒绝所有投标书，而且对由此引起的对投标人的影响不承担任何责任，也无须将这样做的理由通知受影响的投标人。</w:t>
      </w:r>
    </w:p>
    <w:p>
      <w:pPr>
        <w:pStyle w:val="12"/>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31．中标通知书</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31.1中标通知书经招标人确认，并由招标人颁发。</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31.2中标人必须在收到中标通知书后24小时之内以书面形式回复招标人，确认收到。</w:t>
      </w:r>
    </w:p>
    <w:p>
      <w:pPr>
        <w:pStyle w:val="12"/>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32．合同协议书的签订</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32.1 招标人与中标人将于中标通知书发出之日起30日内，按照招标文件和中标人的投标文件商定合同和签订合同，招标人和中标人不得再行订立背离合同实质性内容的其他协议。</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32.2中标人放弃中标资格的，无正当理由不按投标须知第32.1款的规定不与招标人签订合同的，在签订合同时向招标人提出附加条件或者更改合同实质性内容的，招标人可取消其中标资格，并没收其投标保证金；给招标人的损失超过投标保证金数额的，中标人应当对超过部分予以赔偿；没有提交投标保证金的，应当对招标人的损失承担赔偿责任。</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32.3中标人在投标过程使用的投标人名称、银行名称和账号至项目完成竣工结算不得变更，否则，招标人有权停止</w:t>
      </w:r>
      <w:r>
        <w:rPr>
          <w:rFonts w:hint="eastAsia" w:ascii="宋体" w:hAnsi="宋体" w:eastAsia="宋体" w:cs="宋体"/>
          <w:color w:val="auto"/>
          <w:sz w:val="24"/>
          <w:highlight w:val="none"/>
          <w:lang w:eastAsia="zh-CN"/>
        </w:rPr>
        <w:t>勘察测量设计</w:t>
      </w:r>
      <w:r>
        <w:rPr>
          <w:rFonts w:hint="eastAsia" w:ascii="宋体" w:hAnsi="宋体" w:eastAsia="宋体" w:cs="宋体"/>
          <w:color w:val="auto"/>
          <w:sz w:val="24"/>
          <w:highlight w:val="none"/>
        </w:rPr>
        <w:t>服务款项的拨付及至解除合同，由此造成的一切责任由中标人承担。</w:t>
      </w:r>
    </w:p>
    <w:p>
      <w:pPr>
        <w:pStyle w:val="12"/>
        <w:widowControl/>
        <w:numPr>
          <w:ilvl w:val="0"/>
          <w:numId w:val="2"/>
        </w:numPr>
        <w:spacing w:beforeAutospacing="0" w:after="0" w:line="360" w:lineRule="auto"/>
        <w:ind w:firstLine="482" w:firstLineChars="200"/>
        <w:outlineLvl w:val="3"/>
        <w:rPr>
          <w:rFonts w:hint="eastAsia" w:ascii="宋体" w:hAnsi="宋体" w:cs="宋体"/>
          <w:b/>
          <w:color w:val="auto"/>
          <w:sz w:val="24"/>
          <w:highlight w:val="none"/>
        </w:rPr>
      </w:pPr>
      <w:r>
        <w:rPr>
          <w:rFonts w:hint="eastAsia" w:ascii="宋体" w:hAnsi="宋体" w:cs="宋体"/>
          <w:b/>
          <w:color w:val="auto"/>
          <w:sz w:val="24"/>
          <w:highlight w:val="none"/>
        </w:rPr>
        <w:t>合同生效</w:t>
      </w:r>
    </w:p>
    <w:p>
      <w:pPr>
        <w:pStyle w:val="12"/>
        <w:widowControl/>
        <w:numPr>
          <w:ilvl w:val="0"/>
          <w:numId w:val="0"/>
        </w:numPr>
        <w:spacing w:beforeAutospacing="0" w:after="0" w:line="360" w:lineRule="auto"/>
        <w:ind w:firstLine="480" w:firstLineChars="200"/>
        <w:outlineLvl w:val="3"/>
        <w:rPr>
          <w:rFonts w:ascii="黑体" w:hAnsi="宋体" w:cs="黑体"/>
          <w:b/>
          <w:color w:val="auto"/>
          <w:kern w:val="44"/>
          <w:sz w:val="44"/>
          <w:szCs w:val="44"/>
          <w:highlight w:val="none"/>
        </w:rPr>
      </w:pPr>
      <w:r>
        <w:rPr>
          <w:rFonts w:hint="eastAsia" w:ascii="宋体" w:hAnsi="宋体" w:eastAsia="宋体" w:cs="宋体"/>
          <w:color w:val="auto"/>
          <w:sz w:val="24"/>
          <w:highlight w:val="none"/>
        </w:rPr>
        <w:t>33.1在合同双方全权代表在合同协议书上签字，并分别加盖双方单位的公章，合同正式生效。</w:t>
      </w:r>
      <w:bookmarkStart w:id="4" w:name="_Toc1632"/>
      <w:bookmarkStart w:id="5" w:name="_Toc27492"/>
    </w:p>
    <w:p>
      <w:pPr>
        <w:pStyle w:val="3"/>
        <w:widowControl/>
        <w:spacing w:before="0" w:after="0" w:line="360" w:lineRule="auto"/>
        <w:jc w:val="center"/>
        <w:rPr>
          <w:rFonts w:ascii="黑体" w:hAnsi="宋体" w:cs="黑体"/>
          <w:b/>
          <w:color w:val="auto"/>
          <w:kern w:val="44"/>
          <w:sz w:val="44"/>
          <w:szCs w:val="44"/>
          <w:highlight w:val="none"/>
        </w:rPr>
      </w:pPr>
    </w:p>
    <w:p>
      <w:pPr>
        <w:pStyle w:val="3"/>
        <w:widowControl/>
        <w:spacing w:before="0" w:after="0" w:line="360" w:lineRule="auto"/>
        <w:jc w:val="center"/>
        <w:rPr>
          <w:rFonts w:ascii="黑体" w:hAnsi="宋体" w:cs="黑体"/>
          <w:b/>
          <w:color w:val="auto"/>
          <w:kern w:val="44"/>
          <w:sz w:val="44"/>
          <w:szCs w:val="44"/>
          <w:highlight w:val="none"/>
        </w:rPr>
      </w:pPr>
    </w:p>
    <w:p>
      <w:pPr>
        <w:pStyle w:val="3"/>
        <w:widowControl/>
        <w:spacing w:before="0" w:after="0" w:line="360" w:lineRule="auto"/>
        <w:jc w:val="center"/>
        <w:rPr>
          <w:rFonts w:ascii="黑体" w:hAnsi="宋体" w:cs="黑体"/>
          <w:b/>
          <w:color w:val="auto"/>
          <w:kern w:val="44"/>
          <w:sz w:val="44"/>
          <w:szCs w:val="44"/>
          <w:highlight w:val="none"/>
        </w:rPr>
      </w:pPr>
    </w:p>
    <w:p>
      <w:pPr>
        <w:pStyle w:val="3"/>
        <w:widowControl/>
        <w:spacing w:before="0" w:after="0" w:line="360" w:lineRule="auto"/>
        <w:jc w:val="center"/>
        <w:rPr>
          <w:rFonts w:ascii="黑体" w:hAnsi="宋体" w:cs="黑体"/>
          <w:b/>
          <w:color w:val="auto"/>
          <w:kern w:val="44"/>
          <w:sz w:val="44"/>
          <w:szCs w:val="44"/>
          <w:highlight w:val="none"/>
        </w:rPr>
      </w:pPr>
    </w:p>
    <w:p>
      <w:pPr>
        <w:pStyle w:val="3"/>
        <w:widowControl/>
        <w:spacing w:before="0" w:after="0" w:line="360" w:lineRule="auto"/>
        <w:jc w:val="center"/>
        <w:rPr>
          <w:rFonts w:ascii="黑体" w:hAnsi="宋体" w:cs="黑体"/>
          <w:b/>
          <w:color w:val="auto"/>
          <w:kern w:val="44"/>
          <w:sz w:val="44"/>
          <w:szCs w:val="44"/>
          <w:highlight w:val="none"/>
        </w:rPr>
      </w:pPr>
    </w:p>
    <w:p>
      <w:pPr>
        <w:pStyle w:val="3"/>
        <w:widowControl/>
        <w:spacing w:before="0" w:after="0" w:line="360" w:lineRule="auto"/>
        <w:jc w:val="center"/>
        <w:rPr>
          <w:rFonts w:ascii="黑体" w:hAnsi="宋体" w:cs="黑体"/>
          <w:b/>
          <w:color w:val="auto"/>
          <w:kern w:val="44"/>
          <w:sz w:val="44"/>
          <w:szCs w:val="44"/>
          <w:highlight w:val="none"/>
        </w:rPr>
      </w:pPr>
    </w:p>
    <w:p>
      <w:pPr>
        <w:pStyle w:val="3"/>
        <w:widowControl/>
        <w:spacing w:before="0" w:after="0" w:line="360" w:lineRule="auto"/>
        <w:jc w:val="center"/>
        <w:rPr>
          <w:rFonts w:ascii="黑体" w:hAnsi="宋体" w:cs="黑体"/>
          <w:b/>
          <w:color w:val="auto"/>
          <w:kern w:val="44"/>
          <w:sz w:val="44"/>
          <w:szCs w:val="44"/>
          <w:highlight w:val="none"/>
        </w:rPr>
      </w:pPr>
      <w:r>
        <w:rPr>
          <w:rFonts w:hint="eastAsia" w:ascii="黑体" w:hAnsi="宋体" w:cs="黑体"/>
          <w:b/>
          <w:color w:val="auto"/>
          <w:kern w:val="44"/>
          <w:sz w:val="44"/>
          <w:szCs w:val="44"/>
          <w:highlight w:val="none"/>
        </w:rPr>
        <w:t>第2章 项目需求书</w:t>
      </w:r>
      <w:bookmarkEnd w:id="4"/>
    </w:p>
    <w:p>
      <w:pPr>
        <w:spacing w:line="500" w:lineRule="exact"/>
        <w:ind w:firstLine="301" w:firstLineChars="100"/>
        <w:rPr>
          <w:rFonts w:ascii="宋体" w:hAnsi="宋体" w:eastAsia="宋体" w:cs="宋体"/>
          <w:b/>
          <w:color w:val="auto"/>
          <w:sz w:val="30"/>
          <w:szCs w:val="30"/>
          <w:highlight w:val="none"/>
        </w:rPr>
      </w:pPr>
    </w:p>
    <w:p>
      <w:pPr>
        <w:rPr>
          <w:rFonts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p>
    <w:p>
      <w:pPr>
        <w:numPr>
          <w:ilvl w:val="0"/>
          <w:numId w:val="3"/>
        </w:numPr>
        <w:jc w:val="left"/>
        <w:rPr>
          <w:rFonts w:asciiTheme="minorEastAsia" w:hAnsiTheme="minorEastAsia" w:cstheme="minorEastAsia"/>
          <w:b/>
          <w:color w:val="auto"/>
          <w:kern w:val="0"/>
          <w:sz w:val="24"/>
          <w:highlight w:val="none"/>
        </w:rPr>
      </w:pPr>
      <w:r>
        <w:rPr>
          <w:rFonts w:hint="eastAsia" w:asciiTheme="minorEastAsia" w:hAnsiTheme="minorEastAsia" w:cstheme="minorEastAsia"/>
          <w:b/>
          <w:color w:val="auto"/>
          <w:kern w:val="0"/>
          <w:sz w:val="24"/>
          <w:highlight w:val="none"/>
          <w:lang w:eastAsia="zh-CN"/>
        </w:rPr>
        <w:t>设计</w:t>
      </w:r>
      <w:r>
        <w:rPr>
          <w:rFonts w:hint="eastAsia" w:asciiTheme="minorEastAsia" w:hAnsiTheme="minorEastAsia" w:cstheme="minorEastAsia"/>
          <w:b/>
          <w:color w:val="auto"/>
          <w:kern w:val="0"/>
          <w:sz w:val="24"/>
          <w:highlight w:val="none"/>
        </w:rPr>
        <w:t>范围</w:t>
      </w:r>
    </w:p>
    <w:p>
      <w:pPr>
        <w:ind w:firstLine="480" w:firstLineChars="200"/>
        <w:rPr>
          <w:rFonts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本项目为广州市海防教育基地项目交通渡口码头工程的</w:t>
      </w:r>
      <w:r>
        <w:rPr>
          <w:rFonts w:asciiTheme="minorEastAsia" w:hAnsiTheme="minorEastAsia" w:cstheme="minorEastAsia"/>
          <w:color w:val="auto"/>
          <w:kern w:val="0"/>
          <w:sz w:val="24"/>
          <w:highlight w:val="none"/>
        </w:rPr>
        <w:t>总平面布置、工艺、</w:t>
      </w:r>
      <w:r>
        <w:rPr>
          <w:rFonts w:hint="eastAsia" w:asciiTheme="minorEastAsia" w:hAnsiTheme="minorEastAsia" w:cstheme="minorEastAsia"/>
          <w:color w:val="auto"/>
          <w:kern w:val="0"/>
          <w:sz w:val="24"/>
          <w:highlight w:val="none"/>
        </w:rPr>
        <w:t>水工</w:t>
      </w:r>
      <w:r>
        <w:rPr>
          <w:rFonts w:asciiTheme="minorEastAsia" w:hAnsiTheme="minorEastAsia" w:cstheme="minorEastAsia"/>
          <w:color w:val="auto"/>
          <w:kern w:val="0"/>
          <w:sz w:val="24"/>
          <w:highlight w:val="none"/>
        </w:rPr>
        <w:t>结构，以及相关的配套工程</w:t>
      </w:r>
      <w:r>
        <w:rPr>
          <w:rFonts w:hint="eastAsia" w:asciiTheme="minorEastAsia" w:hAnsiTheme="minorEastAsia" w:cstheme="minorEastAsia"/>
          <w:color w:val="auto"/>
          <w:kern w:val="0"/>
          <w:sz w:val="24"/>
          <w:highlight w:val="none"/>
          <w:lang w:eastAsia="zh-CN"/>
        </w:rPr>
        <w:t>（</w:t>
      </w:r>
      <w:r>
        <w:rPr>
          <w:rFonts w:hint="eastAsia" w:asciiTheme="minorEastAsia" w:hAnsiTheme="minorEastAsia" w:cstheme="minorEastAsia"/>
          <w:color w:val="auto"/>
          <w:kern w:val="0"/>
          <w:sz w:val="24"/>
          <w:highlight w:val="none"/>
          <w:lang w:val="en-US" w:eastAsia="zh-CN"/>
        </w:rPr>
        <w:t>码头趸船船体设计及建造由招标人另行委托</w:t>
      </w:r>
      <w:r>
        <w:rPr>
          <w:rFonts w:hint="eastAsia" w:asciiTheme="minorEastAsia" w:hAnsiTheme="minorEastAsia" w:cstheme="minorEastAsia"/>
          <w:color w:val="auto"/>
          <w:kern w:val="0"/>
          <w:sz w:val="24"/>
          <w:highlight w:val="none"/>
          <w:lang w:eastAsia="zh-CN"/>
        </w:rPr>
        <w:t>）</w:t>
      </w:r>
      <w:r>
        <w:rPr>
          <w:rFonts w:hint="eastAsia" w:asciiTheme="minorEastAsia" w:hAnsiTheme="minorEastAsia" w:cstheme="minorEastAsia"/>
          <w:color w:val="auto"/>
          <w:kern w:val="0"/>
          <w:sz w:val="24"/>
          <w:highlight w:val="none"/>
        </w:rPr>
        <w:t>。</w:t>
      </w:r>
      <w:r>
        <w:rPr>
          <w:rFonts w:hint="eastAsia" w:asciiTheme="minorEastAsia" w:hAnsiTheme="minorEastAsia" w:cstheme="minorEastAsia"/>
          <w:color w:val="auto"/>
          <w:kern w:val="0"/>
          <w:sz w:val="24"/>
          <w:highlight w:val="none"/>
          <w:lang w:val="en-US" w:eastAsia="zh-CN"/>
        </w:rPr>
        <w:t>具体</w:t>
      </w:r>
      <w:r>
        <w:rPr>
          <w:rFonts w:hint="eastAsia" w:asciiTheme="minorEastAsia" w:hAnsiTheme="minorEastAsia" w:cstheme="minorEastAsia"/>
          <w:color w:val="auto"/>
          <w:kern w:val="0"/>
          <w:sz w:val="24"/>
          <w:highlight w:val="none"/>
        </w:rPr>
        <w:t>内容</w:t>
      </w:r>
      <w:r>
        <w:rPr>
          <w:rFonts w:hint="eastAsia" w:asciiTheme="minorEastAsia" w:hAnsiTheme="minorEastAsia" w:cstheme="minorEastAsia"/>
          <w:color w:val="auto"/>
          <w:kern w:val="0"/>
          <w:sz w:val="24"/>
          <w:highlight w:val="none"/>
          <w:lang w:eastAsia="zh-CN"/>
        </w:rPr>
        <w:t>：</w:t>
      </w:r>
      <w:r>
        <w:rPr>
          <w:rFonts w:hint="eastAsia" w:asciiTheme="minorEastAsia" w:hAnsiTheme="minorEastAsia" w:cstheme="minorEastAsia"/>
          <w:color w:val="auto"/>
          <w:kern w:val="0"/>
          <w:sz w:val="24"/>
          <w:highlight w:val="none"/>
          <w:lang w:val="en-US" w:eastAsia="zh-CN"/>
        </w:rPr>
        <w:t>在可研报告基础上进行本项目的深化方案设计、初步设计及概算编制、施工图设计，</w:t>
      </w:r>
      <w:r>
        <w:rPr>
          <w:rFonts w:hint="eastAsia" w:asciiTheme="minorEastAsia" w:hAnsiTheme="minorEastAsia" w:cstheme="minorEastAsia"/>
          <w:color w:val="auto"/>
          <w:kern w:val="0"/>
          <w:sz w:val="24"/>
          <w:highlight w:val="none"/>
        </w:rPr>
        <w:t>包括</w:t>
      </w:r>
      <w:r>
        <w:rPr>
          <w:rFonts w:hint="eastAsia" w:asciiTheme="minorEastAsia" w:hAnsiTheme="minorEastAsia" w:cstheme="minorEastAsia"/>
          <w:color w:val="auto"/>
          <w:kern w:val="0"/>
          <w:sz w:val="24"/>
          <w:highlight w:val="none"/>
          <w:lang w:val="en-US" w:eastAsia="zh-CN"/>
        </w:rPr>
        <w:t>但不限于</w:t>
      </w:r>
      <w:r>
        <w:rPr>
          <w:rFonts w:asciiTheme="minorEastAsia" w:hAnsiTheme="minorEastAsia" w:cstheme="minorEastAsia"/>
          <w:color w:val="auto"/>
          <w:kern w:val="0"/>
          <w:sz w:val="24"/>
          <w:highlight w:val="none"/>
        </w:rPr>
        <w:t>总平面布置、装卸工艺、水工建筑物、配套工程、节能、安全、劳动卫生、环境保护、投资</w:t>
      </w:r>
      <w:r>
        <w:rPr>
          <w:rFonts w:hint="eastAsia" w:asciiTheme="minorEastAsia" w:hAnsiTheme="minorEastAsia" w:cstheme="minorEastAsia"/>
          <w:color w:val="auto"/>
          <w:kern w:val="0"/>
          <w:sz w:val="24"/>
          <w:highlight w:val="none"/>
        </w:rPr>
        <w:t>概算</w:t>
      </w:r>
      <w:r>
        <w:rPr>
          <w:rFonts w:hint="eastAsia" w:asciiTheme="minorEastAsia" w:hAnsiTheme="minorEastAsia" w:cstheme="minorEastAsia"/>
          <w:color w:val="auto"/>
          <w:kern w:val="0"/>
          <w:sz w:val="24"/>
          <w:highlight w:val="none"/>
          <w:lang w:eastAsia="zh-CN"/>
        </w:rPr>
        <w:t>、</w:t>
      </w:r>
      <w:r>
        <w:rPr>
          <w:rFonts w:hint="eastAsia" w:asciiTheme="minorEastAsia" w:hAnsiTheme="minorEastAsia" w:cstheme="minorEastAsia"/>
          <w:color w:val="auto"/>
          <w:kern w:val="0"/>
          <w:sz w:val="24"/>
          <w:highlight w:val="none"/>
          <w:lang w:val="en-US" w:eastAsia="zh-CN"/>
        </w:rPr>
        <w:t>竣工图审核盖章</w:t>
      </w:r>
      <w:r>
        <w:rPr>
          <w:rFonts w:asciiTheme="minorEastAsia" w:hAnsiTheme="minorEastAsia" w:cstheme="minorEastAsia"/>
          <w:color w:val="auto"/>
          <w:kern w:val="0"/>
          <w:sz w:val="24"/>
          <w:highlight w:val="none"/>
        </w:rPr>
        <w:t>等</w:t>
      </w:r>
      <w:r>
        <w:rPr>
          <w:rFonts w:hint="eastAsia" w:asciiTheme="minorEastAsia" w:hAnsiTheme="minorEastAsia" w:cstheme="minorEastAsia"/>
          <w:color w:val="auto"/>
          <w:kern w:val="0"/>
          <w:sz w:val="24"/>
          <w:highlight w:val="none"/>
        </w:rPr>
        <w:t>。</w:t>
      </w:r>
    </w:p>
    <w:p>
      <w:pPr>
        <w:numPr>
          <w:ilvl w:val="0"/>
          <w:numId w:val="3"/>
        </w:numPr>
        <w:rPr>
          <w:rFonts w:asciiTheme="minorEastAsia" w:hAnsiTheme="minorEastAsia" w:cstheme="minorEastAsia"/>
          <w:b/>
          <w:color w:val="auto"/>
          <w:kern w:val="0"/>
          <w:sz w:val="24"/>
          <w:highlight w:val="none"/>
        </w:rPr>
      </w:pPr>
      <w:r>
        <w:rPr>
          <w:rFonts w:hint="eastAsia" w:asciiTheme="minorEastAsia" w:hAnsiTheme="minorEastAsia" w:cstheme="minorEastAsia"/>
          <w:b/>
          <w:color w:val="auto"/>
          <w:kern w:val="0"/>
          <w:sz w:val="24"/>
          <w:highlight w:val="none"/>
        </w:rPr>
        <w:t>建设规模</w:t>
      </w:r>
    </w:p>
    <w:p>
      <w:pPr>
        <w:ind w:firstLine="480" w:firstLineChars="200"/>
        <w:rPr>
          <w:rFonts w:asciiTheme="minorEastAsia" w:hAnsiTheme="minorEastAsia" w:cstheme="minorEastAsia"/>
          <w:color w:val="auto"/>
          <w:kern w:val="0"/>
          <w:sz w:val="24"/>
          <w:highlight w:val="none"/>
        </w:rPr>
      </w:pPr>
      <w:r>
        <w:rPr>
          <w:rFonts w:asciiTheme="minorEastAsia" w:hAnsiTheme="minorEastAsia" w:cstheme="minorEastAsia"/>
          <w:color w:val="auto"/>
          <w:kern w:val="0"/>
          <w:sz w:val="24"/>
          <w:highlight w:val="none"/>
        </w:rPr>
        <w:t>本工程</w:t>
      </w:r>
      <w:r>
        <w:rPr>
          <w:rFonts w:hint="eastAsia" w:asciiTheme="minorEastAsia" w:hAnsiTheme="minorEastAsia" w:cstheme="minorEastAsia"/>
          <w:color w:val="auto"/>
          <w:kern w:val="0"/>
          <w:sz w:val="24"/>
          <w:highlight w:val="none"/>
        </w:rPr>
        <w:t>共三</w:t>
      </w:r>
      <w:r>
        <w:rPr>
          <w:rFonts w:asciiTheme="minorEastAsia" w:hAnsiTheme="minorEastAsia" w:cstheme="minorEastAsia"/>
          <w:color w:val="auto"/>
          <w:kern w:val="0"/>
          <w:sz w:val="24"/>
          <w:highlight w:val="none"/>
        </w:rPr>
        <w:t>个港</w:t>
      </w:r>
      <w:r>
        <w:rPr>
          <w:rFonts w:hint="eastAsia" w:asciiTheme="minorEastAsia" w:hAnsiTheme="minorEastAsia" w:cstheme="minorEastAsia"/>
          <w:color w:val="auto"/>
          <w:kern w:val="0"/>
          <w:sz w:val="24"/>
          <w:highlight w:val="none"/>
        </w:rPr>
        <w:t>点，分别</w:t>
      </w:r>
      <w:r>
        <w:rPr>
          <w:rFonts w:asciiTheme="minorEastAsia" w:hAnsiTheme="minorEastAsia" w:cstheme="minorEastAsia"/>
          <w:color w:val="auto"/>
          <w:kern w:val="0"/>
          <w:sz w:val="24"/>
          <w:highlight w:val="none"/>
        </w:rPr>
        <w:t>位于</w:t>
      </w:r>
      <w:r>
        <w:rPr>
          <w:rFonts w:hint="eastAsia" w:asciiTheme="minorEastAsia" w:hAnsiTheme="minorEastAsia" w:cstheme="minorEastAsia"/>
          <w:color w:val="auto"/>
          <w:kern w:val="0"/>
          <w:sz w:val="24"/>
          <w:highlight w:val="none"/>
        </w:rPr>
        <w:t>狮子洋中央上</w:t>
      </w:r>
      <w:r>
        <w:rPr>
          <w:rFonts w:asciiTheme="minorEastAsia" w:hAnsiTheme="minorEastAsia" w:cstheme="minorEastAsia"/>
          <w:color w:val="auto"/>
          <w:kern w:val="0"/>
          <w:sz w:val="24"/>
          <w:highlight w:val="none"/>
        </w:rPr>
        <w:t>横档岛</w:t>
      </w:r>
      <w:r>
        <w:rPr>
          <w:rFonts w:hint="eastAsia" w:asciiTheme="minorEastAsia" w:hAnsiTheme="minorEastAsia" w:cstheme="minorEastAsia"/>
          <w:color w:val="auto"/>
          <w:kern w:val="0"/>
          <w:sz w:val="24"/>
          <w:highlight w:val="none"/>
        </w:rPr>
        <w:t>西</w:t>
      </w:r>
      <w:r>
        <w:rPr>
          <w:rFonts w:asciiTheme="minorEastAsia" w:hAnsiTheme="minorEastAsia" w:cstheme="minorEastAsia"/>
          <w:color w:val="auto"/>
          <w:kern w:val="0"/>
          <w:sz w:val="24"/>
          <w:highlight w:val="none"/>
        </w:rPr>
        <w:t>岸</w:t>
      </w:r>
      <w:r>
        <w:rPr>
          <w:rFonts w:hint="eastAsia" w:asciiTheme="minorEastAsia" w:hAnsiTheme="minorEastAsia" w:cstheme="minorEastAsia"/>
          <w:color w:val="auto"/>
          <w:kern w:val="0"/>
          <w:sz w:val="24"/>
          <w:highlight w:val="none"/>
        </w:rPr>
        <w:t>、狮子洋中央下</w:t>
      </w:r>
      <w:r>
        <w:rPr>
          <w:rFonts w:asciiTheme="minorEastAsia" w:hAnsiTheme="minorEastAsia" w:cstheme="minorEastAsia"/>
          <w:color w:val="auto"/>
          <w:kern w:val="0"/>
          <w:sz w:val="24"/>
          <w:highlight w:val="none"/>
        </w:rPr>
        <w:t>横档岛北岸、</w:t>
      </w:r>
      <w:r>
        <w:rPr>
          <w:rFonts w:hint="eastAsia" w:asciiTheme="minorEastAsia" w:hAnsiTheme="minorEastAsia" w:cstheme="minorEastAsia"/>
          <w:color w:val="auto"/>
          <w:kern w:val="0"/>
          <w:sz w:val="24"/>
          <w:highlight w:val="none"/>
        </w:rPr>
        <w:t>狮子洋</w:t>
      </w:r>
      <w:r>
        <w:rPr>
          <w:rFonts w:asciiTheme="minorEastAsia" w:hAnsiTheme="minorEastAsia" w:cstheme="minorEastAsia"/>
          <w:color w:val="auto"/>
          <w:kern w:val="0"/>
          <w:sz w:val="24"/>
          <w:highlight w:val="none"/>
        </w:rPr>
        <w:t>西岸</w:t>
      </w:r>
      <w:r>
        <w:rPr>
          <w:rFonts w:hint="eastAsia" w:asciiTheme="minorEastAsia" w:hAnsiTheme="minorEastAsia" w:cstheme="minorEastAsia"/>
          <w:color w:val="auto"/>
          <w:kern w:val="0"/>
          <w:sz w:val="24"/>
          <w:highlight w:val="none"/>
        </w:rPr>
        <w:t>天后宫（大角山）</w:t>
      </w:r>
      <w:r>
        <w:rPr>
          <w:rFonts w:asciiTheme="minorEastAsia" w:hAnsiTheme="minorEastAsia" w:cstheme="minorEastAsia"/>
          <w:color w:val="auto"/>
          <w:kern w:val="0"/>
          <w:sz w:val="24"/>
          <w:highlight w:val="none"/>
        </w:rPr>
        <w:t>沿岸</w:t>
      </w:r>
      <w:r>
        <w:rPr>
          <w:rFonts w:hint="eastAsia" w:asciiTheme="minorEastAsia" w:hAnsiTheme="minorEastAsia" w:cstheme="minorEastAsia"/>
          <w:color w:val="auto"/>
          <w:kern w:val="0"/>
          <w:sz w:val="24"/>
          <w:highlight w:val="none"/>
        </w:rPr>
        <w:t>。</w:t>
      </w:r>
    </w:p>
    <w:p>
      <w:pPr>
        <w:ind w:firstLine="480" w:firstLineChars="200"/>
        <w:rPr>
          <w:rFonts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本工程的建设规模为三座渡口码头及其附属设施，上横档岛、下横档岛、天后宫（大角山）各建设</w:t>
      </w:r>
      <w:r>
        <w:rPr>
          <w:rFonts w:asciiTheme="minorEastAsia" w:hAnsiTheme="minorEastAsia" w:cstheme="minorEastAsia"/>
          <w:color w:val="auto"/>
          <w:kern w:val="0"/>
          <w:sz w:val="24"/>
          <w:highlight w:val="none"/>
        </w:rPr>
        <w:t>30</w:t>
      </w:r>
      <w:r>
        <w:rPr>
          <w:rFonts w:hint="eastAsia" w:asciiTheme="minorEastAsia" w:hAnsiTheme="minorEastAsia" w:cstheme="minorEastAsia"/>
          <w:color w:val="auto"/>
          <w:kern w:val="0"/>
          <w:sz w:val="24"/>
          <w:highlight w:val="none"/>
        </w:rPr>
        <w:t>0GT渡轮泊位</w:t>
      </w:r>
      <w:r>
        <w:rPr>
          <w:rFonts w:asciiTheme="minorEastAsia" w:hAnsiTheme="minorEastAsia" w:cstheme="minorEastAsia"/>
          <w:color w:val="auto"/>
          <w:kern w:val="0"/>
          <w:sz w:val="24"/>
          <w:highlight w:val="none"/>
        </w:rPr>
        <w:t>1</w:t>
      </w:r>
      <w:r>
        <w:rPr>
          <w:rFonts w:hint="eastAsia" w:asciiTheme="minorEastAsia" w:hAnsiTheme="minorEastAsia" w:cstheme="minorEastAsia"/>
          <w:color w:val="auto"/>
          <w:kern w:val="0"/>
          <w:sz w:val="24"/>
          <w:highlight w:val="none"/>
        </w:rPr>
        <w:t>个，设计通过能力</w:t>
      </w:r>
      <w:r>
        <w:rPr>
          <w:rFonts w:hint="eastAsia" w:asciiTheme="minorEastAsia" w:hAnsiTheme="minorEastAsia" w:cstheme="minorEastAsia"/>
          <w:color w:val="auto"/>
          <w:kern w:val="0"/>
          <w:sz w:val="24"/>
          <w:highlight w:val="none"/>
          <w:lang w:val="en-US" w:eastAsia="zh-CN"/>
        </w:rPr>
        <w:t>36万</w:t>
      </w:r>
      <w:r>
        <w:rPr>
          <w:rFonts w:hint="eastAsia" w:asciiTheme="minorEastAsia" w:hAnsiTheme="minorEastAsia" w:cstheme="minorEastAsia"/>
          <w:color w:val="auto"/>
          <w:kern w:val="0"/>
          <w:sz w:val="24"/>
          <w:highlight w:val="none"/>
        </w:rPr>
        <w:t>人次/年。</w:t>
      </w:r>
    </w:p>
    <w:p>
      <w:pPr>
        <w:ind w:firstLine="480" w:firstLineChars="200"/>
        <w:rPr>
          <w:rFonts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天后</w:t>
      </w:r>
      <w:r>
        <w:rPr>
          <w:rFonts w:asciiTheme="minorEastAsia" w:hAnsiTheme="minorEastAsia" w:cstheme="minorEastAsia"/>
          <w:color w:val="auto"/>
          <w:kern w:val="0"/>
          <w:sz w:val="24"/>
          <w:highlight w:val="none"/>
        </w:rPr>
        <w:t>宫</w:t>
      </w:r>
      <w:r>
        <w:rPr>
          <w:rFonts w:hint="eastAsia" w:asciiTheme="minorEastAsia" w:hAnsiTheme="minorEastAsia" w:cstheme="minorEastAsia"/>
          <w:color w:val="auto"/>
          <w:kern w:val="0"/>
          <w:sz w:val="24"/>
          <w:highlight w:val="none"/>
        </w:rPr>
        <w:t>（大角山</w:t>
      </w:r>
      <w:r>
        <w:rPr>
          <w:rFonts w:asciiTheme="minorEastAsia" w:hAnsiTheme="minorEastAsia" w:cstheme="minorEastAsia"/>
          <w:color w:val="auto"/>
          <w:kern w:val="0"/>
          <w:sz w:val="24"/>
          <w:highlight w:val="none"/>
        </w:rPr>
        <w:t>）码头为利用原有渡口码头进行拆除重建</w:t>
      </w:r>
      <w:r>
        <w:rPr>
          <w:rFonts w:hint="eastAsia" w:asciiTheme="minorEastAsia" w:hAnsiTheme="minorEastAsia" w:cstheme="minorEastAsia"/>
          <w:color w:val="auto"/>
          <w:kern w:val="0"/>
          <w:sz w:val="24"/>
          <w:highlight w:val="none"/>
        </w:rPr>
        <w:t>；</w:t>
      </w:r>
      <w:r>
        <w:rPr>
          <w:rFonts w:asciiTheme="minorEastAsia" w:hAnsiTheme="minorEastAsia" w:cstheme="minorEastAsia"/>
          <w:color w:val="auto"/>
          <w:kern w:val="0"/>
          <w:sz w:val="24"/>
          <w:highlight w:val="none"/>
        </w:rPr>
        <w:t>上下横档</w:t>
      </w:r>
      <w:r>
        <w:rPr>
          <w:rFonts w:hint="eastAsia" w:asciiTheme="minorEastAsia" w:hAnsiTheme="minorEastAsia" w:cstheme="minorEastAsia"/>
          <w:color w:val="auto"/>
          <w:kern w:val="0"/>
          <w:sz w:val="24"/>
          <w:highlight w:val="none"/>
        </w:rPr>
        <w:t>岛</w:t>
      </w:r>
      <w:r>
        <w:rPr>
          <w:rFonts w:asciiTheme="minorEastAsia" w:hAnsiTheme="minorEastAsia" w:cstheme="minorEastAsia"/>
          <w:color w:val="auto"/>
          <w:kern w:val="0"/>
          <w:sz w:val="24"/>
          <w:highlight w:val="none"/>
        </w:rPr>
        <w:t>码头选址则综合考虑了</w:t>
      </w:r>
      <w:r>
        <w:rPr>
          <w:rFonts w:hint="eastAsia" w:asciiTheme="minorEastAsia" w:hAnsiTheme="minorEastAsia" w:cstheme="minorEastAsia"/>
          <w:color w:val="auto"/>
          <w:kern w:val="0"/>
          <w:sz w:val="24"/>
          <w:highlight w:val="none"/>
        </w:rPr>
        <w:t>风浪条件</w:t>
      </w:r>
      <w:r>
        <w:rPr>
          <w:rFonts w:asciiTheme="minorEastAsia" w:hAnsiTheme="minorEastAsia" w:cstheme="minorEastAsia"/>
          <w:color w:val="auto"/>
          <w:kern w:val="0"/>
          <w:sz w:val="24"/>
          <w:highlight w:val="none"/>
        </w:rPr>
        <w:t>及岛上</w:t>
      </w:r>
      <w:r>
        <w:rPr>
          <w:rFonts w:hint="eastAsia" w:asciiTheme="minorEastAsia" w:hAnsiTheme="minorEastAsia" w:cstheme="minorEastAsia"/>
          <w:color w:val="auto"/>
          <w:kern w:val="0"/>
          <w:sz w:val="24"/>
          <w:highlight w:val="none"/>
        </w:rPr>
        <w:t>现有</w:t>
      </w:r>
      <w:r>
        <w:rPr>
          <w:rFonts w:asciiTheme="minorEastAsia" w:hAnsiTheme="minorEastAsia" w:cstheme="minorEastAsia"/>
          <w:color w:val="auto"/>
          <w:kern w:val="0"/>
          <w:sz w:val="24"/>
          <w:highlight w:val="none"/>
        </w:rPr>
        <w:t>接岸</w:t>
      </w:r>
      <w:r>
        <w:rPr>
          <w:rFonts w:hint="eastAsia" w:asciiTheme="minorEastAsia" w:hAnsiTheme="minorEastAsia" w:cstheme="minorEastAsia"/>
          <w:color w:val="auto"/>
          <w:kern w:val="0"/>
          <w:sz w:val="24"/>
          <w:highlight w:val="none"/>
        </w:rPr>
        <w:t>条件</w:t>
      </w:r>
      <w:r>
        <w:rPr>
          <w:rFonts w:asciiTheme="minorEastAsia" w:hAnsiTheme="minorEastAsia" w:cstheme="minorEastAsia"/>
          <w:color w:val="auto"/>
          <w:kern w:val="0"/>
          <w:sz w:val="24"/>
          <w:highlight w:val="none"/>
        </w:rPr>
        <w:t>，分别确定在上横档</w:t>
      </w:r>
      <w:r>
        <w:rPr>
          <w:rFonts w:hint="eastAsia" w:asciiTheme="minorEastAsia" w:hAnsiTheme="minorEastAsia" w:cstheme="minorEastAsia"/>
          <w:color w:val="auto"/>
          <w:kern w:val="0"/>
          <w:sz w:val="24"/>
          <w:highlight w:val="none"/>
        </w:rPr>
        <w:t>岛</w:t>
      </w:r>
      <w:r>
        <w:rPr>
          <w:rFonts w:asciiTheme="minorEastAsia" w:hAnsiTheme="minorEastAsia" w:cstheme="minorEastAsia"/>
          <w:color w:val="auto"/>
          <w:kern w:val="0"/>
          <w:sz w:val="24"/>
          <w:highlight w:val="none"/>
        </w:rPr>
        <w:t>的西</w:t>
      </w:r>
      <w:r>
        <w:rPr>
          <w:rFonts w:hint="eastAsia" w:asciiTheme="minorEastAsia" w:hAnsiTheme="minorEastAsia" w:cstheme="minorEastAsia"/>
          <w:color w:val="auto"/>
          <w:kern w:val="0"/>
          <w:sz w:val="24"/>
          <w:highlight w:val="none"/>
        </w:rPr>
        <w:t>北</w:t>
      </w:r>
      <w:r>
        <w:rPr>
          <w:rFonts w:asciiTheme="minorEastAsia" w:hAnsiTheme="minorEastAsia" w:cstheme="minorEastAsia"/>
          <w:color w:val="auto"/>
          <w:kern w:val="0"/>
          <w:sz w:val="24"/>
          <w:highlight w:val="none"/>
        </w:rPr>
        <w:t>侧和下横档岛的北侧。</w:t>
      </w:r>
    </w:p>
    <w:p>
      <w:pPr>
        <w:pStyle w:val="7"/>
        <w:rPr>
          <w:rFonts w:hint="default"/>
          <w:color w:val="auto"/>
          <w:highlight w:val="none"/>
        </w:rPr>
      </w:pPr>
    </w:p>
    <w:p>
      <w:pPr>
        <w:pStyle w:val="7"/>
        <w:rPr>
          <w:rFonts w:hint="default"/>
          <w:color w:val="auto"/>
          <w:highlight w:val="none"/>
        </w:rPr>
      </w:pPr>
    </w:p>
    <w:p>
      <w:pPr>
        <w:ind w:firstLine="480" w:firstLineChars="200"/>
        <w:rPr>
          <w:rFonts w:asciiTheme="minorEastAsia" w:hAnsiTheme="minorEastAsia" w:cstheme="minorEastAsia"/>
          <w:color w:val="auto"/>
          <w:kern w:val="0"/>
          <w:sz w:val="24"/>
          <w:highlight w:val="none"/>
        </w:rPr>
      </w:pPr>
    </w:p>
    <w:p>
      <w:pPr>
        <w:rPr>
          <w:rFonts w:ascii="黑体" w:hAnsi="宋体" w:cs="黑体"/>
          <w:b/>
          <w:color w:val="auto"/>
          <w:kern w:val="44"/>
          <w:sz w:val="44"/>
          <w:szCs w:val="44"/>
          <w:highlight w:val="none"/>
        </w:rPr>
      </w:pPr>
    </w:p>
    <w:p>
      <w:pPr>
        <w:rPr>
          <w:rFonts w:ascii="黑体" w:hAnsi="宋体" w:cs="黑体"/>
          <w:b/>
          <w:color w:val="auto"/>
          <w:kern w:val="44"/>
          <w:sz w:val="44"/>
          <w:szCs w:val="44"/>
          <w:highlight w:val="none"/>
        </w:rPr>
      </w:pPr>
      <w:r>
        <w:rPr>
          <w:rFonts w:hint="eastAsia" w:ascii="黑体" w:hAnsi="宋体" w:cs="黑体"/>
          <w:b/>
          <w:color w:val="auto"/>
          <w:kern w:val="44"/>
          <w:sz w:val="44"/>
          <w:szCs w:val="44"/>
          <w:highlight w:val="none"/>
        </w:rPr>
        <w:br w:type="page"/>
      </w:r>
    </w:p>
    <w:p>
      <w:pPr>
        <w:pStyle w:val="3"/>
        <w:widowControl/>
        <w:spacing w:before="0" w:after="0" w:line="360" w:lineRule="auto"/>
        <w:jc w:val="center"/>
        <w:rPr>
          <w:rFonts w:ascii="黑体" w:hAnsi="宋体" w:cs="黑体"/>
          <w:b/>
          <w:color w:val="auto"/>
          <w:kern w:val="44"/>
          <w:sz w:val="44"/>
          <w:szCs w:val="44"/>
          <w:highlight w:val="none"/>
        </w:rPr>
      </w:pPr>
    </w:p>
    <w:p>
      <w:pPr>
        <w:pStyle w:val="3"/>
        <w:widowControl/>
        <w:spacing w:before="0" w:after="0" w:line="360" w:lineRule="auto"/>
        <w:jc w:val="center"/>
        <w:rPr>
          <w:rFonts w:ascii="黑体" w:hAnsi="宋体" w:cs="黑体"/>
          <w:b/>
          <w:color w:val="auto"/>
          <w:kern w:val="44"/>
          <w:sz w:val="44"/>
          <w:szCs w:val="44"/>
          <w:highlight w:val="none"/>
        </w:rPr>
      </w:pPr>
    </w:p>
    <w:p>
      <w:pPr>
        <w:pStyle w:val="3"/>
        <w:widowControl/>
        <w:spacing w:before="0" w:after="0" w:line="360" w:lineRule="auto"/>
        <w:jc w:val="center"/>
        <w:rPr>
          <w:rFonts w:ascii="黑体" w:hAnsi="宋体" w:cs="黑体"/>
          <w:b/>
          <w:color w:val="auto"/>
          <w:kern w:val="44"/>
          <w:sz w:val="44"/>
          <w:szCs w:val="44"/>
          <w:highlight w:val="none"/>
        </w:rPr>
      </w:pPr>
    </w:p>
    <w:p>
      <w:pPr>
        <w:pStyle w:val="3"/>
        <w:widowControl/>
        <w:spacing w:before="0" w:after="0" w:line="360" w:lineRule="auto"/>
        <w:jc w:val="center"/>
        <w:rPr>
          <w:rFonts w:ascii="黑体" w:hAnsi="宋体" w:cs="黑体"/>
          <w:b/>
          <w:color w:val="auto"/>
          <w:kern w:val="44"/>
          <w:sz w:val="44"/>
          <w:szCs w:val="44"/>
          <w:highlight w:val="none"/>
        </w:rPr>
      </w:pPr>
    </w:p>
    <w:p>
      <w:pPr>
        <w:pStyle w:val="3"/>
        <w:widowControl/>
        <w:spacing w:before="0" w:after="0" w:line="360" w:lineRule="auto"/>
        <w:jc w:val="center"/>
        <w:rPr>
          <w:rFonts w:ascii="黑体" w:hAnsi="宋体" w:cs="黑体"/>
          <w:b/>
          <w:color w:val="auto"/>
          <w:kern w:val="44"/>
          <w:sz w:val="44"/>
          <w:szCs w:val="44"/>
          <w:highlight w:val="none"/>
        </w:rPr>
      </w:pPr>
    </w:p>
    <w:p>
      <w:pPr>
        <w:pStyle w:val="3"/>
        <w:widowControl/>
        <w:spacing w:before="0" w:after="0" w:line="360" w:lineRule="auto"/>
        <w:jc w:val="center"/>
        <w:rPr>
          <w:rFonts w:ascii="黑体" w:hAnsi="宋体" w:cs="黑体"/>
          <w:b/>
          <w:color w:val="auto"/>
          <w:kern w:val="44"/>
          <w:sz w:val="44"/>
          <w:szCs w:val="44"/>
          <w:highlight w:val="none"/>
        </w:rPr>
      </w:pPr>
    </w:p>
    <w:p>
      <w:pPr>
        <w:pStyle w:val="3"/>
        <w:widowControl/>
        <w:spacing w:before="0" w:after="0" w:line="360" w:lineRule="auto"/>
        <w:jc w:val="center"/>
        <w:rPr>
          <w:rFonts w:ascii="黑体" w:hAnsi="宋体" w:cs="黑体"/>
          <w:b/>
          <w:color w:val="auto"/>
          <w:kern w:val="44"/>
          <w:sz w:val="44"/>
          <w:szCs w:val="44"/>
          <w:highlight w:val="none"/>
        </w:rPr>
      </w:pPr>
      <w:r>
        <w:rPr>
          <w:rFonts w:hint="eastAsia" w:ascii="黑体" w:hAnsi="宋体" w:cs="黑体"/>
          <w:b/>
          <w:color w:val="auto"/>
          <w:kern w:val="44"/>
          <w:sz w:val="44"/>
          <w:szCs w:val="44"/>
          <w:highlight w:val="none"/>
        </w:rPr>
        <w:t>第3章  投标格式文件</w:t>
      </w:r>
      <w:bookmarkEnd w:id="5"/>
    </w:p>
    <w:p>
      <w:pPr>
        <w:snapToGrid w:val="0"/>
        <w:rPr>
          <w:rFonts w:ascii="黑体" w:hAnsi="宋体" w:eastAsia="黑体" w:cs="黑体"/>
          <w:b/>
          <w:color w:val="auto"/>
          <w:kern w:val="44"/>
          <w:sz w:val="44"/>
          <w:szCs w:val="44"/>
          <w:highlight w:val="none"/>
        </w:rPr>
      </w:pPr>
      <w:r>
        <w:rPr>
          <w:rFonts w:hint="eastAsia" w:ascii="黑体" w:hAnsi="宋体" w:eastAsia="黑体" w:cs="黑体"/>
          <w:b/>
          <w:color w:val="auto"/>
          <w:kern w:val="44"/>
          <w:sz w:val="44"/>
          <w:szCs w:val="44"/>
          <w:highlight w:val="none"/>
        </w:rPr>
        <w:t xml:space="preserve"> </w:t>
      </w:r>
    </w:p>
    <w:p>
      <w:pPr>
        <w:snapToGrid w:val="0"/>
        <w:outlineLvl w:val="1"/>
        <w:rPr>
          <w:rFonts w:ascii="宋体" w:hAnsi="宋体" w:eastAsia="宋体" w:cs="宋体"/>
          <w:b/>
          <w:color w:val="auto"/>
          <w:sz w:val="28"/>
          <w:szCs w:val="28"/>
          <w:highlight w:val="none"/>
        </w:rPr>
      </w:pPr>
      <w:r>
        <w:rPr>
          <w:rFonts w:hint="eastAsia" w:ascii="宋体" w:hAnsi="宋体" w:eastAsia="宋体" w:cs="黑体"/>
          <w:b/>
          <w:color w:val="auto"/>
          <w:spacing w:val="20"/>
          <w:sz w:val="28"/>
          <w:szCs w:val="28"/>
          <w:highlight w:val="none"/>
        </w:rPr>
        <w:br w:type="page"/>
      </w:r>
      <w:r>
        <w:rPr>
          <w:rFonts w:hint="eastAsia" w:ascii="宋体" w:hAnsi="宋体" w:eastAsia="宋体" w:cs="黑体"/>
          <w:b/>
          <w:color w:val="auto"/>
          <w:spacing w:val="20"/>
          <w:sz w:val="28"/>
          <w:szCs w:val="28"/>
          <w:highlight w:val="none"/>
        </w:rPr>
        <w:t>格式一：</w:t>
      </w:r>
    </w:p>
    <w:p>
      <w:pPr>
        <w:spacing w:line="360" w:lineRule="auto"/>
        <w:jc w:val="center"/>
        <w:outlineLvl w:val="2"/>
        <w:rPr>
          <w:rFonts w:ascii="宋体" w:hAnsi="宋体" w:eastAsia="宋体" w:cs="宋体"/>
          <w:b/>
          <w:color w:val="auto"/>
          <w:sz w:val="36"/>
          <w:szCs w:val="36"/>
          <w:highlight w:val="none"/>
        </w:rPr>
      </w:pPr>
      <w:r>
        <w:rPr>
          <w:rFonts w:hint="eastAsia" w:ascii="宋体" w:hAnsi="宋体" w:eastAsia="宋体" w:cs="宋体"/>
          <w:b/>
          <w:color w:val="auto"/>
          <w:spacing w:val="34"/>
          <w:sz w:val="36"/>
          <w:szCs w:val="36"/>
          <w:highlight w:val="none"/>
        </w:rPr>
        <w:t>投标函</w:t>
      </w:r>
    </w:p>
    <w:p>
      <w:pPr>
        <w:rPr>
          <w:rFonts w:ascii="宋体" w:hAnsi="宋体" w:eastAsia="宋体" w:cs="宋体"/>
          <w:color w:val="auto"/>
          <w:sz w:val="24"/>
          <w:highlight w:val="none"/>
        </w:rPr>
      </w:pPr>
    </w:p>
    <w:p>
      <w:pPr>
        <w:snapToGrid w:val="0"/>
        <w:spacing w:line="360" w:lineRule="auto"/>
        <w:rPr>
          <w:rFonts w:ascii="宋体" w:hAnsi="宋体" w:eastAsia="宋体" w:cs="Times New Roman"/>
          <w:color w:val="auto"/>
          <w:spacing w:val="20"/>
          <w:sz w:val="24"/>
          <w:highlight w:val="none"/>
          <w:u w:val="single"/>
        </w:rPr>
      </w:pPr>
      <w:r>
        <w:rPr>
          <w:rFonts w:hint="eastAsia" w:ascii="宋体" w:hAnsi="宋体" w:eastAsia="宋体" w:cs="Times New Roman"/>
          <w:color w:val="auto"/>
          <w:spacing w:val="20"/>
          <w:sz w:val="24"/>
          <w:highlight w:val="none"/>
          <w:u w:val="single"/>
          <w:lang w:eastAsia="zh-CN"/>
        </w:rPr>
        <w:t>广州南沙旅游发展有限公司</w:t>
      </w:r>
      <w:r>
        <w:rPr>
          <w:rFonts w:hint="eastAsia" w:ascii="宋体" w:hAnsi="宋体" w:eastAsia="宋体" w:cs="Times New Roman"/>
          <w:color w:val="auto"/>
          <w:spacing w:val="20"/>
          <w:sz w:val="24"/>
          <w:highlight w:val="none"/>
          <w:u w:val="single"/>
        </w:rPr>
        <w:t>、广州南沙建设维护管理有限公司：</w:t>
      </w:r>
    </w:p>
    <w:p>
      <w:pPr>
        <w:snapToGrid w:val="0"/>
        <w:spacing w:line="360" w:lineRule="auto"/>
        <w:ind w:firstLine="560" w:firstLineChars="200"/>
        <w:rPr>
          <w:rFonts w:ascii="宋体" w:hAnsi="宋体" w:eastAsia="宋体" w:cs="Times New Roman"/>
          <w:color w:val="auto"/>
          <w:spacing w:val="20"/>
          <w:sz w:val="24"/>
          <w:highlight w:val="none"/>
        </w:rPr>
      </w:pPr>
      <w:r>
        <w:rPr>
          <w:rFonts w:hint="eastAsia" w:ascii="宋体" w:hAnsi="宋体" w:eastAsia="宋体" w:cs="Times New Roman"/>
          <w:color w:val="auto"/>
          <w:spacing w:val="20"/>
          <w:sz w:val="24"/>
          <w:highlight w:val="none"/>
        </w:rPr>
        <w:t>我方决定参加贵方的</w:t>
      </w:r>
      <w:r>
        <w:rPr>
          <w:rFonts w:ascii="宋体" w:hAnsi="宋体" w:eastAsia="宋体" w:cs="Times New Roman"/>
          <w:color w:val="auto"/>
          <w:spacing w:val="20"/>
          <w:sz w:val="24"/>
          <w:highlight w:val="none"/>
          <w:u w:val="single"/>
        </w:rPr>
        <w:t>广州市海防教育基地项目交通渡口码头工程</w:t>
      </w:r>
      <w:r>
        <w:rPr>
          <w:rFonts w:hint="eastAsia" w:ascii="宋体" w:hAnsi="宋体" w:eastAsia="宋体" w:cs="Times New Roman"/>
          <w:color w:val="auto"/>
          <w:spacing w:val="20"/>
          <w:sz w:val="24"/>
          <w:highlight w:val="none"/>
          <w:u w:val="single"/>
          <w:lang w:eastAsia="zh-CN"/>
        </w:rPr>
        <w:t>勘察测量设计</w:t>
      </w:r>
      <w:r>
        <w:rPr>
          <w:rFonts w:hint="eastAsia" w:ascii="宋体" w:hAnsi="宋体" w:eastAsia="宋体" w:cs="Times New Roman"/>
          <w:color w:val="auto"/>
          <w:spacing w:val="20"/>
          <w:sz w:val="24"/>
          <w:highlight w:val="none"/>
        </w:rPr>
        <w:t>服务单位选定的竞标，并完全接受贵方发出的招标文件及澄清文件中的所有内容。为此，我方作出如下承诺：</w:t>
      </w:r>
    </w:p>
    <w:p>
      <w:pPr>
        <w:snapToGrid w:val="0"/>
        <w:spacing w:line="360" w:lineRule="auto"/>
        <w:ind w:firstLine="560" w:firstLineChars="200"/>
        <w:rPr>
          <w:rFonts w:ascii="宋体" w:hAnsi="宋体" w:eastAsia="宋体" w:cs="Times New Roman"/>
          <w:color w:val="auto"/>
          <w:spacing w:val="20"/>
          <w:sz w:val="24"/>
          <w:highlight w:val="none"/>
        </w:rPr>
      </w:pPr>
      <w:r>
        <w:rPr>
          <w:rFonts w:hint="eastAsia" w:ascii="宋体" w:hAnsi="宋体" w:eastAsia="宋体" w:cs="Times New Roman"/>
          <w:color w:val="auto"/>
          <w:spacing w:val="20"/>
          <w:sz w:val="24"/>
          <w:highlight w:val="none"/>
        </w:rPr>
        <w:t>1、我方经分析研究了贵方提供的招标文件中的项目介绍、投标人须知、合同条件以及本次招标答疑或澄清文件后，我公司愿意以投标报价表中承诺报价，完成贵方</w:t>
      </w:r>
      <w:r>
        <w:rPr>
          <w:rFonts w:ascii="宋体" w:hAnsi="宋体" w:eastAsia="宋体" w:cs="Times New Roman"/>
          <w:color w:val="auto"/>
          <w:spacing w:val="20"/>
          <w:sz w:val="24"/>
          <w:highlight w:val="none"/>
          <w:u w:val="single"/>
        </w:rPr>
        <w:t>广州市海防教育基地项目交通渡口码头工程</w:t>
      </w:r>
      <w:r>
        <w:rPr>
          <w:rFonts w:hint="eastAsia" w:ascii="宋体" w:hAnsi="宋体" w:eastAsia="宋体" w:cs="Times New Roman"/>
          <w:color w:val="auto"/>
          <w:spacing w:val="20"/>
          <w:sz w:val="24"/>
          <w:highlight w:val="none"/>
          <w:u w:val="single"/>
          <w:lang w:eastAsia="zh-CN"/>
        </w:rPr>
        <w:t>勘察测量</w:t>
      </w:r>
      <w:r>
        <w:rPr>
          <w:rFonts w:hint="eastAsia" w:ascii="宋体" w:hAnsi="宋体" w:eastAsia="宋体" w:cs="Times New Roman"/>
          <w:color w:val="auto"/>
          <w:spacing w:val="20"/>
          <w:sz w:val="24"/>
          <w:highlight w:val="none"/>
          <w:u w:val="single"/>
        </w:rPr>
        <w:t>设计</w:t>
      </w:r>
      <w:r>
        <w:rPr>
          <w:rFonts w:hint="eastAsia" w:ascii="宋体" w:hAnsi="宋体" w:eastAsia="宋体" w:cs="Times New Roman"/>
          <w:color w:val="auto"/>
          <w:spacing w:val="20"/>
          <w:sz w:val="24"/>
          <w:highlight w:val="none"/>
        </w:rPr>
        <w:t>任务，并提供增值税专业发票税率为</w:t>
      </w:r>
      <w:r>
        <w:rPr>
          <w:rFonts w:hint="eastAsia" w:ascii="宋体" w:hAnsi="宋体" w:eastAsia="宋体" w:cs="Times New Roman"/>
          <w:color w:val="auto"/>
          <w:spacing w:val="23"/>
          <w:sz w:val="24"/>
          <w:highlight w:val="none"/>
          <w:u w:val="single"/>
        </w:rPr>
        <w:t xml:space="preserve">   </w:t>
      </w:r>
      <w:r>
        <w:rPr>
          <w:rFonts w:hint="eastAsia" w:ascii="宋体" w:hAnsi="宋体" w:eastAsia="宋体" w:cs="Times New Roman"/>
          <w:color w:val="auto"/>
          <w:spacing w:val="20"/>
          <w:sz w:val="24"/>
          <w:highlight w:val="none"/>
        </w:rPr>
        <w:t>%，并按合同条件的要求，承担并完成</w:t>
      </w:r>
      <w:r>
        <w:rPr>
          <w:rFonts w:hint="eastAsia" w:ascii="宋体" w:hAnsi="宋体" w:eastAsia="宋体" w:cs="Times New Roman"/>
          <w:color w:val="auto"/>
          <w:spacing w:val="20"/>
          <w:sz w:val="24"/>
          <w:highlight w:val="none"/>
          <w:lang w:eastAsia="zh-CN"/>
        </w:rPr>
        <w:t>勘察测量设计</w:t>
      </w:r>
      <w:r>
        <w:rPr>
          <w:rFonts w:hint="eastAsia" w:ascii="宋体" w:hAnsi="宋体" w:eastAsia="宋体" w:cs="Times New Roman"/>
          <w:color w:val="auto"/>
          <w:spacing w:val="20"/>
          <w:sz w:val="24"/>
          <w:highlight w:val="none"/>
        </w:rPr>
        <w:t>服务任务。</w:t>
      </w:r>
    </w:p>
    <w:p>
      <w:pPr>
        <w:snapToGrid w:val="0"/>
        <w:spacing w:line="360" w:lineRule="auto"/>
        <w:ind w:firstLine="560" w:firstLineChars="200"/>
        <w:rPr>
          <w:rFonts w:ascii="宋体" w:hAnsi="宋体" w:eastAsia="宋体" w:cs="Times New Roman"/>
          <w:color w:val="auto"/>
          <w:spacing w:val="20"/>
          <w:sz w:val="24"/>
          <w:highlight w:val="none"/>
        </w:rPr>
      </w:pPr>
      <w:r>
        <w:rPr>
          <w:rFonts w:hint="eastAsia" w:ascii="宋体" w:hAnsi="宋体" w:eastAsia="宋体" w:cs="Times New Roman"/>
          <w:color w:val="auto"/>
          <w:spacing w:val="20"/>
          <w:sz w:val="24"/>
          <w:highlight w:val="none"/>
        </w:rPr>
        <w:t>2、完全理解和接受全部招标文件（包括修改文件、参考资料和有关附件）的一切规定和要求。</w:t>
      </w:r>
    </w:p>
    <w:p>
      <w:pPr>
        <w:snapToGrid w:val="0"/>
        <w:spacing w:line="360" w:lineRule="auto"/>
        <w:ind w:firstLine="560" w:firstLineChars="200"/>
        <w:rPr>
          <w:rFonts w:ascii="宋体" w:hAnsi="宋体" w:eastAsia="宋体" w:cs="Times New Roman"/>
          <w:color w:val="auto"/>
          <w:spacing w:val="20"/>
          <w:sz w:val="24"/>
          <w:highlight w:val="none"/>
        </w:rPr>
      </w:pPr>
      <w:r>
        <w:rPr>
          <w:rFonts w:hint="eastAsia" w:ascii="宋体" w:hAnsi="宋体" w:eastAsia="宋体" w:cs="Times New Roman"/>
          <w:color w:val="auto"/>
          <w:spacing w:val="20"/>
          <w:sz w:val="24"/>
          <w:highlight w:val="none"/>
        </w:rPr>
        <w:t>3、我方同意在规定的投标截止之日起</w:t>
      </w:r>
      <w:r>
        <w:rPr>
          <w:rFonts w:hint="eastAsia" w:ascii="宋体" w:hAnsi="宋体" w:eastAsia="宋体" w:cs="Times New Roman"/>
          <w:color w:val="auto"/>
          <w:spacing w:val="23"/>
          <w:sz w:val="24"/>
          <w:highlight w:val="none"/>
          <w:u w:val="single"/>
        </w:rPr>
        <w:t xml:space="preserve">      </w:t>
      </w:r>
      <w:r>
        <w:rPr>
          <w:rFonts w:hint="eastAsia" w:ascii="宋体" w:hAnsi="宋体" w:eastAsia="宋体" w:cs="Times New Roman"/>
          <w:color w:val="auto"/>
          <w:spacing w:val="20"/>
          <w:sz w:val="24"/>
          <w:highlight w:val="none"/>
        </w:rPr>
        <w:t>日历天内遵守本投标。在该期限满期之前，本投标书对我单位始终具有约束力，并可随时被接受。</w:t>
      </w:r>
    </w:p>
    <w:p>
      <w:pPr>
        <w:snapToGrid w:val="0"/>
        <w:spacing w:line="360" w:lineRule="auto"/>
        <w:ind w:firstLine="560" w:firstLineChars="200"/>
        <w:rPr>
          <w:rFonts w:ascii="宋体" w:hAnsi="宋体" w:eastAsia="宋体" w:cs="Times New Roman"/>
          <w:color w:val="auto"/>
          <w:spacing w:val="20"/>
          <w:sz w:val="24"/>
          <w:highlight w:val="none"/>
        </w:rPr>
      </w:pPr>
      <w:r>
        <w:rPr>
          <w:rFonts w:hint="eastAsia" w:ascii="宋体" w:hAnsi="宋体" w:eastAsia="宋体" w:cs="Times New Roman"/>
          <w:color w:val="auto"/>
          <w:spacing w:val="20"/>
          <w:sz w:val="24"/>
          <w:highlight w:val="none"/>
        </w:rPr>
        <w:t>4、在正式签订设计咨询服务协议书之前，本投标书连同贵方的中标通知书应成为约束贵、我双方的合同文件。</w:t>
      </w:r>
    </w:p>
    <w:p>
      <w:pPr>
        <w:snapToGrid w:val="0"/>
        <w:spacing w:line="360" w:lineRule="auto"/>
        <w:ind w:firstLine="560" w:firstLineChars="200"/>
        <w:rPr>
          <w:rFonts w:ascii="宋体" w:hAnsi="宋体" w:eastAsia="宋体" w:cs="Times New Roman"/>
          <w:color w:val="auto"/>
          <w:spacing w:val="20"/>
          <w:sz w:val="24"/>
          <w:highlight w:val="none"/>
        </w:rPr>
      </w:pPr>
      <w:r>
        <w:rPr>
          <w:rFonts w:hint="eastAsia" w:ascii="宋体" w:hAnsi="宋体" w:eastAsia="宋体" w:cs="Times New Roman"/>
          <w:color w:val="auto"/>
          <w:spacing w:val="20"/>
          <w:sz w:val="24"/>
          <w:highlight w:val="none"/>
        </w:rPr>
        <w:t>5、在整个招、投标过程中及招、投标结束后，未经招标人书面同意，我方保证不向任何第三方泄露本次招、投标的任何信息、资料及内容。</w:t>
      </w:r>
    </w:p>
    <w:p>
      <w:pPr>
        <w:snapToGrid w:val="0"/>
        <w:spacing w:line="360" w:lineRule="auto"/>
        <w:ind w:firstLine="560" w:firstLineChars="200"/>
        <w:rPr>
          <w:rFonts w:ascii="宋体" w:hAnsi="宋体" w:eastAsia="宋体" w:cs="Times New Roman"/>
          <w:color w:val="auto"/>
          <w:spacing w:val="20"/>
          <w:sz w:val="24"/>
          <w:highlight w:val="none"/>
        </w:rPr>
      </w:pPr>
      <w:r>
        <w:rPr>
          <w:rFonts w:hint="eastAsia" w:ascii="宋体" w:hAnsi="宋体" w:eastAsia="宋体" w:cs="Times New Roman"/>
          <w:color w:val="auto"/>
          <w:spacing w:val="20"/>
          <w:sz w:val="24"/>
          <w:highlight w:val="none"/>
        </w:rPr>
        <w:t>6、投标文件中所有关于投标人资格的文件、证明、陈述均是真实的、准确的。若有违背，我方承担由此而产生的一切后果。</w:t>
      </w:r>
    </w:p>
    <w:p>
      <w:pPr>
        <w:snapToGrid w:val="0"/>
        <w:spacing w:line="360" w:lineRule="auto"/>
        <w:rPr>
          <w:rFonts w:ascii="宋体" w:hAnsi="宋体" w:eastAsia="宋体" w:cs="Times New Roman"/>
          <w:color w:val="auto"/>
          <w:spacing w:val="20"/>
          <w:sz w:val="24"/>
          <w:highlight w:val="none"/>
        </w:rPr>
      </w:pPr>
      <w:r>
        <w:rPr>
          <w:rFonts w:hint="eastAsia" w:ascii="宋体" w:hAnsi="宋体" w:eastAsia="宋体" w:cs="Times New Roman"/>
          <w:color w:val="auto"/>
          <w:spacing w:val="20"/>
          <w:sz w:val="24"/>
          <w:highlight w:val="none"/>
        </w:rPr>
        <w:t xml:space="preserve"> </w:t>
      </w:r>
    </w:p>
    <w:p>
      <w:pPr>
        <w:snapToGrid w:val="0"/>
        <w:spacing w:line="360" w:lineRule="auto"/>
        <w:rPr>
          <w:rFonts w:ascii="宋体" w:hAnsi="宋体" w:eastAsia="宋体" w:cs="Times New Roman"/>
          <w:color w:val="auto"/>
          <w:spacing w:val="20"/>
          <w:sz w:val="24"/>
          <w:highlight w:val="none"/>
        </w:rPr>
      </w:pPr>
      <w:r>
        <w:rPr>
          <w:rFonts w:hint="eastAsia" w:ascii="宋体" w:hAnsi="宋体" w:eastAsia="宋体" w:cs="Times New Roman"/>
          <w:color w:val="auto"/>
          <w:spacing w:val="20"/>
          <w:sz w:val="24"/>
          <w:highlight w:val="none"/>
        </w:rPr>
        <w:t xml:space="preserve"> </w:t>
      </w:r>
    </w:p>
    <w:p>
      <w:pPr>
        <w:snapToGrid w:val="0"/>
        <w:spacing w:line="360" w:lineRule="auto"/>
        <w:rPr>
          <w:rFonts w:ascii="宋体" w:hAnsi="宋体" w:eastAsia="宋体" w:cs="Times New Roman"/>
          <w:color w:val="auto"/>
          <w:spacing w:val="20"/>
          <w:sz w:val="24"/>
          <w:highlight w:val="none"/>
        </w:rPr>
      </w:pPr>
      <w:r>
        <w:rPr>
          <w:rFonts w:hint="eastAsia" w:ascii="宋体" w:hAnsi="宋体" w:eastAsia="宋体" w:cs="Times New Roman"/>
          <w:color w:val="auto"/>
          <w:spacing w:val="20"/>
          <w:sz w:val="24"/>
          <w:highlight w:val="none"/>
        </w:rPr>
        <w:t>投标人：（盖章）</w:t>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0"/>
          <w:sz w:val="24"/>
          <w:highlight w:val="none"/>
        </w:rPr>
        <w:tab/>
      </w:r>
      <w:r>
        <w:rPr>
          <w:rFonts w:hint="eastAsia" w:ascii="宋体" w:hAnsi="宋体" w:eastAsia="宋体" w:cs="Times New Roman"/>
          <w:color w:val="auto"/>
          <w:spacing w:val="20"/>
          <w:sz w:val="24"/>
          <w:highlight w:val="none"/>
        </w:rPr>
        <w:tab/>
      </w:r>
    </w:p>
    <w:p>
      <w:pPr>
        <w:snapToGrid w:val="0"/>
        <w:spacing w:line="360" w:lineRule="auto"/>
        <w:rPr>
          <w:rFonts w:ascii="宋体" w:hAnsi="宋体" w:eastAsia="宋体" w:cs="Times New Roman"/>
          <w:color w:val="auto"/>
          <w:spacing w:val="23"/>
          <w:sz w:val="24"/>
          <w:highlight w:val="none"/>
          <w:u w:val="single"/>
        </w:rPr>
      </w:pPr>
      <w:r>
        <w:rPr>
          <w:rFonts w:hint="eastAsia" w:ascii="宋体" w:hAnsi="宋体" w:eastAsia="宋体" w:cs="Times New Roman"/>
          <w:color w:val="auto"/>
          <w:spacing w:val="20"/>
          <w:sz w:val="24"/>
          <w:highlight w:val="none"/>
        </w:rPr>
        <w:t>法定代表人或被授权人（代理人）(签字或签章):</w:t>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p>
    <w:p>
      <w:pPr>
        <w:snapToGrid w:val="0"/>
        <w:spacing w:line="360" w:lineRule="auto"/>
        <w:rPr>
          <w:rFonts w:ascii="宋体" w:hAnsi="宋体" w:eastAsia="宋体" w:cs="Times New Roman"/>
          <w:color w:val="auto"/>
          <w:spacing w:val="20"/>
          <w:sz w:val="24"/>
          <w:highlight w:val="none"/>
        </w:rPr>
      </w:pPr>
      <w:r>
        <w:rPr>
          <w:rFonts w:hint="eastAsia" w:ascii="宋体" w:hAnsi="宋体" w:eastAsia="宋体" w:cs="Times New Roman"/>
          <w:color w:val="auto"/>
          <w:spacing w:val="20"/>
          <w:sz w:val="24"/>
          <w:highlight w:val="none"/>
        </w:rPr>
        <w:t>地    址：</w:t>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0"/>
          <w:sz w:val="24"/>
          <w:highlight w:val="none"/>
        </w:rPr>
        <w:tab/>
      </w:r>
      <w:r>
        <w:rPr>
          <w:rFonts w:hint="eastAsia" w:ascii="宋体" w:hAnsi="宋体" w:eastAsia="宋体" w:cs="Times New Roman"/>
          <w:color w:val="auto"/>
          <w:spacing w:val="20"/>
          <w:sz w:val="24"/>
          <w:highlight w:val="none"/>
        </w:rPr>
        <w:tab/>
      </w:r>
    </w:p>
    <w:p>
      <w:pPr>
        <w:snapToGrid w:val="0"/>
        <w:spacing w:line="360" w:lineRule="auto"/>
        <w:rPr>
          <w:rFonts w:ascii="宋体" w:hAnsi="宋体" w:eastAsia="宋体" w:cs="Times New Roman"/>
          <w:color w:val="auto"/>
          <w:spacing w:val="20"/>
          <w:sz w:val="24"/>
          <w:highlight w:val="none"/>
        </w:rPr>
      </w:pPr>
      <w:r>
        <w:rPr>
          <w:rFonts w:hint="eastAsia" w:ascii="宋体" w:hAnsi="宋体" w:eastAsia="宋体" w:cs="Times New Roman"/>
          <w:color w:val="auto"/>
          <w:spacing w:val="20"/>
          <w:sz w:val="24"/>
          <w:highlight w:val="none"/>
        </w:rPr>
        <w:t>电    话：</w:t>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0"/>
          <w:sz w:val="24"/>
          <w:highlight w:val="none"/>
        </w:rPr>
        <w:tab/>
      </w:r>
      <w:r>
        <w:rPr>
          <w:rFonts w:hint="eastAsia" w:ascii="宋体" w:hAnsi="宋体" w:eastAsia="宋体" w:cs="Times New Roman"/>
          <w:color w:val="auto"/>
          <w:spacing w:val="20"/>
          <w:sz w:val="24"/>
          <w:highlight w:val="none"/>
        </w:rPr>
        <w:tab/>
      </w:r>
    </w:p>
    <w:p>
      <w:pPr>
        <w:snapToGrid w:val="0"/>
        <w:spacing w:line="360" w:lineRule="auto"/>
        <w:rPr>
          <w:rFonts w:ascii="宋体" w:hAnsi="宋体" w:eastAsia="宋体" w:cs="Times New Roman"/>
          <w:b/>
          <w:color w:val="auto"/>
          <w:spacing w:val="20"/>
          <w:sz w:val="24"/>
          <w:highlight w:val="none"/>
        </w:rPr>
      </w:pPr>
      <w:r>
        <w:rPr>
          <w:rFonts w:hint="eastAsia" w:ascii="宋体" w:hAnsi="宋体" w:eastAsia="宋体" w:cs="Times New Roman"/>
          <w:color w:val="auto"/>
          <w:spacing w:val="20"/>
          <w:sz w:val="24"/>
          <w:highlight w:val="none"/>
        </w:rPr>
        <w:t>日    期：</w:t>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color w:val="auto"/>
          <w:spacing w:val="23"/>
          <w:sz w:val="24"/>
          <w:highlight w:val="none"/>
          <w:u w:val="single"/>
        </w:rPr>
        <w:tab/>
      </w:r>
      <w:r>
        <w:rPr>
          <w:rFonts w:hint="eastAsia" w:ascii="宋体" w:hAnsi="宋体" w:eastAsia="宋体" w:cs="Times New Roman"/>
          <w:b/>
          <w:color w:val="auto"/>
          <w:spacing w:val="20"/>
          <w:sz w:val="24"/>
          <w:highlight w:val="none"/>
        </w:rPr>
        <w:tab/>
      </w:r>
    </w:p>
    <w:p>
      <w:pP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pPr>
        <w:snapToGrid w:val="0"/>
        <w:spacing w:line="360" w:lineRule="auto"/>
        <w:outlineLvl w:val="1"/>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格式二：</w:t>
      </w:r>
    </w:p>
    <w:p>
      <w:pPr>
        <w:snapToGrid w:val="0"/>
        <w:spacing w:line="480" w:lineRule="auto"/>
        <w:jc w:val="center"/>
        <w:outlineLvl w:val="2"/>
        <w:rPr>
          <w:b/>
          <w:color w:val="auto"/>
          <w:sz w:val="28"/>
          <w:szCs w:val="28"/>
          <w:highlight w:val="none"/>
        </w:rPr>
      </w:pPr>
      <w:r>
        <w:rPr>
          <w:rFonts w:hint="eastAsia" w:ascii="宋体" w:hAnsi="宋体" w:eastAsia="宋体" w:cs="宋体"/>
          <w:b/>
          <w:color w:val="auto"/>
          <w:sz w:val="36"/>
          <w:szCs w:val="36"/>
          <w:highlight w:val="none"/>
        </w:rPr>
        <w:t>服务承诺书（格式）</w:t>
      </w:r>
    </w:p>
    <w:p>
      <w:pPr>
        <w:snapToGrid w:val="0"/>
        <w:spacing w:line="480" w:lineRule="auto"/>
        <w:rPr>
          <w:rFonts w:ascii="宋体" w:hAnsi="宋体" w:eastAsia="宋体" w:cs="宋体"/>
          <w:color w:val="auto"/>
          <w:sz w:val="24"/>
          <w:highlight w:val="none"/>
          <w:u w:val="single"/>
        </w:rPr>
      </w:pPr>
      <w:r>
        <w:rPr>
          <w:rFonts w:hint="eastAsia" w:ascii="宋体" w:hAnsi="宋体" w:eastAsia="宋体" w:cs="宋体"/>
          <w:color w:val="auto"/>
          <w:sz w:val="24"/>
          <w:highlight w:val="none"/>
        </w:rPr>
        <w:t>致：</w:t>
      </w:r>
      <w:r>
        <w:rPr>
          <w:rFonts w:hint="eastAsia" w:ascii="宋体" w:hAnsi="宋体" w:eastAsia="宋体" w:cs="Times New Roman"/>
          <w:color w:val="auto"/>
          <w:spacing w:val="20"/>
          <w:sz w:val="24"/>
          <w:highlight w:val="none"/>
          <w:u w:val="single"/>
          <w:lang w:eastAsia="zh-CN"/>
        </w:rPr>
        <w:t>广州南沙旅游发展有限公司</w:t>
      </w:r>
      <w:r>
        <w:rPr>
          <w:rFonts w:hint="eastAsia" w:ascii="宋体" w:hAnsi="宋体" w:eastAsia="宋体" w:cs="Times New Roman"/>
          <w:color w:val="auto"/>
          <w:spacing w:val="20"/>
          <w:sz w:val="24"/>
          <w:highlight w:val="none"/>
          <w:u w:val="single"/>
        </w:rPr>
        <w:t>、广州南沙建设维护管理有限公司</w:t>
      </w:r>
    </w:p>
    <w:p>
      <w:pPr>
        <w:snapToGrid w:val="0"/>
        <w:spacing w:line="48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napToGrid w:val="0"/>
        <w:spacing w:line="48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一旦我方中标，我方愿意做出如下承诺：</w:t>
      </w:r>
    </w:p>
    <w:p>
      <w:pPr>
        <w:snapToGrid w:val="0"/>
        <w:spacing w:line="48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我方同意投标文件自投标人须知规定的投标截止日期开始对我方有约束力，并自投标人须知的投标有效截止日期前一直对我方有约束力且随时可能按此投标文件中标。</w:t>
      </w:r>
    </w:p>
    <w:p>
      <w:pPr>
        <w:snapToGrid w:val="0"/>
        <w:spacing w:line="48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如果我方投标文件中存在计算或表达错误的，我方理解并接受</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按照招标文件规定的原则进行修正，这种修正对我方具有约束力，且不需要我方确认。</w:t>
      </w:r>
    </w:p>
    <w:p>
      <w:pPr>
        <w:snapToGrid w:val="0"/>
        <w:spacing w:line="480" w:lineRule="auto"/>
        <w:rPr>
          <w:rFonts w:ascii="宋体" w:hAnsi="宋体" w:eastAsia="宋体" w:cs="宋体"/>
          <w:color w:val="auto"/>
          <w:sz w:val="24"/>
          <w:highlight w:val="none"/>
        </w:rPr>
      </w:pPr>
      <w:r>
        <w:rPr>
          <w:rFonts w:hint="eastAsia" w:ascii="宋体" w:hAnsi="宋体" w:eastAsia="宋体" w:cs="宋体"/>
          <w:color w:val="auto"/>
          <w:sz w:val="24"/>
          <w:highlight w:val="none"/>
        </w:rPr>
        <w:t xml:space="preserve">    在签署合同协议书之前，你方的中标通知书和本投标承诺书将构成约束我们双方的契约。</w:t>
      </w:r>
    </w:p>
    <w:p>
      <w:pPr>
        <w:snapToGrid w:val="0"/>
        <w:spacing w:line="480" w:lineRule="auto"/>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napToGrid w:val="0"/>
        <w:spacing w:line="440" w:lineRule="exact"/>
        <w:ind w:firstLine="3240" w:firstLineChars="1350"/>
        <w:rPr>
          <w:rFonts w:ascii="宋体" w:hAnsi="宋体" w:eastAsia="宋体" w:cs="宋体"/>
          <w:color w:val="auto"/>
          <w:sz w:val="24"/>
          <w:highlight w:val="none"/>
          <w:u w:val="single"/>
        </w:rPr>
      </w:pPr>
      <w:r>
        <w:rPr>
          <w:rFonts w:hint="eastAsia" w:ascii="宋体" w:hAnsi="宋体" w:eastAsia="宋体" w:cs="宋体"/>
          <w:color w:val="auto"/>
          <w:sz w:val="24"/>
          <w:highlight w:val="none"/>
        </w:rPr>
        <w:t>投 标 人： (盖公章)</w:t>
      </w:r>
      <w:r>
        <w:rPr>
          <w:rFonts w:hint="eastAsia" w:ascii="宋体" w:hAnsi="宋体" w:eastAsia="宋体" w:cs="宋体"/>
          <w:color w:val="auto"/>
          <w:sz w:val="24"/>
          <w:highlight w:val="none"/>
          <w:u w:val="single"/>
        </w:rPr>
        <w:t xml:space="preserve">              </w:t>
      </w:r>
    </w:p>
    <w:p>
      <w:pPr>
        <w:snapToGrid w:val="0"/>
        <w:spacing w:line="440" w:lineRule="exact"/>
        <w:ind w:right="26" w:firstLine="3240" w:firstLineChars="1350"/>
        <w:rPr>
          <w:rFonts w:ascii="宋体" w:hAnsi="宋体" w:eastAsia="宋体" w:cs="宋体"/>
          <w:color w:val="auto"/>
          <w:sz w:val="24"/>
          <w:highlight w:val="none"/>
          <w:u w:val="single"/>
        </w:rPr>
      </w:pPr>
      <w:r>
        <w:rPr>
          <w:rFonts w:hint="eastAsia" w:ascii="宋体" w:hAnsi="宋体" w:eastAsia="宋体" w:cs="宋体"/>
          <w:color w:val="auto"/>
          <w:sz w:val="24"/>
          <w:highlight w:val="none"/>
        </w:rPr>
        <w:t>授权代表： (签  字)</w:t>
      </w:r>
      <w:r>
        <w:rPr>
          <w:rFonts w:hint="eastAsia" w:ascii="宋体" w:hAnsi="宋体" w:eastAsia="宋体" w:cs="宋体"/>
          <w:color w:val="auto"/>
          <w:sz w:val="24"/>
          <w:highlight w:val="none"/>
          <w:u w:val="single"/>
        </w:rPr>
        <w:t xml:space="preserve">              </w:t>
      </w:r>
    </w:p>
    <w:p>
      <w:pPr>
        <w:snapToGrid w:val="0"/>
        <w:spacing w:line="440" w:lineRule="exact"/>
        <w:ind w:right="26" w:firstLine="3240" w:firstLineChars="1350"/>
        <w:rPr>
          <w:rFonts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pPr>
        <w:snapToGrid w:val="0"/>
        <w:spacing w:line="440" w:lineRule="exact"/>
        <w:ind w:right="26" w:firstLine="3240" w:firstLineChars="1350"/>
        <w:rPr>
          <w:rFonts w:ascii="宋体" w:hAnsi="宋体" w:eastAsia="宋体" w:cs="宋体"/>
          <w:color w:val="auto"/>
          <w:sz w:val="24"/>
          <w:highlight w:val="none"/>
          <w:u w:val="single"/>
        </w:rPr>
      </w:pPr>
      <w:r>
        <w:rPr>
          <w:rFonts w:hint="eastAsia" w:ascii="宋体" w:hAnsi="宋体" w:eastAsia="宋体" w:cs="宋体"/>
          <w:color w:val="auto"/>
          <w:sz w:val="24"/>
          <w:highlight w:val="none"/>
        </w:rPr>
        <w:t>电    话：</w:t>
      </w:r>
      <w:r>
        <w:rPr>
          <w:rFonts w:hint="eastAsia" w:ascii="宋体" w:hAnsi="宋体" w:eastAsia="宋体" w:cs="宋体"/>
          <w:color w:val="auto"/>
          <w:sz w:val="24"/>
          <w:highlight w:val="none"/>
          <w:u w:val="single"/>
        </w:rPr>
        <w:t xml:space="preserve">               </w:t>
      </w:r>
    </w:p>
    <w:p>
      <w:pPr>
        <w:spacing w:line="360" w:lineRule="auto"/>
        <w:ind w:firstLine="3240" w:firstLineChars="1350"/>
        <w:rPr>
          <w:rFonts w:ascii="宋体" w:hAnsi="宋体" w:eastAsia="宋体" w:cs="宋体"/>
          <w:b/>
          <w:color w:val="auto"/>
          <w:spacing w:val="20"/>
          <w:sz w:val="28"/>
          <w:szCs w:val="28"/>
          <w:highlight w:val="none"/>
        </w:rPr>
      </w:pPr>
      <w:r>
        <w:rPr>
          <w:rFonts w:hint="eastAsia" w:ascii="宋体" w:hAnsi="宋体" w:eastAsia="宋体" w:cs="宋体"/>
          <w:color w:val="auto"/>
          <w:sz w:val="24"/>
          <w:highlight w:val="none"/>
        </w:rPr>
        <w:t>传    真：</w:t>
      </w:r>
      <w:r>
        <w:rPr>
          <w:rFonts w:hint="eastAsia" w:ascii="宋体" w:hAnsi="宋体" w:eastAsia="宋体" w:cs="宋体"/>
          <w:color w:val="auto"/>
          <w:sz w:val="24"/>
          <w:highlight w:val="none"/>
          <w:u w:val="single"/>
        </w:rPr>
        <w:t xml:space="preserve">               </w:t>
      </w:r>
    </w:p>
    <w:p>
      <w:pPr>
        <w:spacing w:line="360" w:lineRule="auto"/>
        <w:rPr>
          <w:rFonts w:ascii="黑体" w:hAnsi="宋体" w:eastAsia="黑体" w:cs="黑体"/>
          <w:b/>
          <w:color w:val="auto"/>
          <w:spacing w:val="20"/>
          <w:sz w:val="28"/>
          <w:szCs w:val="28"/>
          <w:highlight w:val="none"/>
        </w:rPr>
      </w:pPr>
      <w:r>
        <w:rPr>
          <w:rFonts w:hint="eastAsia" w:ascii="黑体" w:hAnsi="宋体" w:eastAsia="黑体" w:cs="黑体"/>
          <w:b/>
          <w:color w:val="auto"/>
          <w:spacing w:val="20"/>
          <w:sz w:val="28"/>
          <w:szCs w:val="28"/>
          <w:highlight w:val="none"/>
        </w:rPr>
        <w:t xml:space="preserve"> </w:t>
      </w:r>
    </w:p>
    <w:p>
      <w:pPr>
        <w:spacing w:line="360" w:lineRule="auto"/>
        <w:rPr>
          <w:rFonts w:ascii="黑体" w:hAnsi="宋体" w:eastAsia="黑体" w:cs="黑体"/>
          <w:b/>
          <w:color w:val="auto"/>
          <w:spacing w:val="20"/>
          <w:sz w:val="28"/>
          <w:szCs w:val="28"/>
          <w:highlight w:val="none"/>
        </w:rPr>
      </w:pPr>
      <w:r>
        <w:rPr>
          <w:rFonts w:hint="eastAsia" w:ascii="黑体" w:hAnsi="宋体" w:eastAsia="黑体" w:cs="黑体"/>
          <w:b/>
          <w:color w:val="auto"/>
          <w:spacing w:val="20"/>
          <w:sz w:val="28"/>
          <w:szCs w:val="28"/>
          <w:highlight w:val="none"/>
        </w:rPr>
        <w:t xml:space="preserve"> </w:t>
      </w:r>
    </w:p>
    <w:p>
      <w:pPr>
        <w:spacing w:line="360" w:lineRule="auto"/>
        <w:rPr>
          <w:rFonts w:ascii="黑体" w:hAnsi="宋体" w:eastAsia="黑体" w:cs="黑体"/>
          <w:b/>
          <w:color w:val="auto"/>
          <w:spacing w:val="20"/>
          <w:sz w:val="28"/>
          <w:szCs w:val="28"/>
          <w:highlight w:val="none"/>
        </w:rPr>
      </w:pPr>
      <w:r>
        <w:rPr>
          <w:rFonts w:hint="eastAsia" w:ascii="黑体" w:hAnsi="宋体" w:eastAsia="黑体" w:cs="黑体"/>
          <w:b/>
          <w:color w:val="auto"/>
          <w:spacing w:val="20"/>
          <w:sz w:val="28"/>
          <w:szCs w:val="28"/>
          <w:highlight w:val="none"/>
        </w:rPr>
        <w:t xml:space="preserve"> </w:t>
      </w:r>
    </w:p>
    <w:p>
      <w:pPr>
        <w:spacing w:line="360" w:lineRule="auto"/>
        <w:rPr>
          <w:rFonts w:ascii="黑体" w:hAnsi="宋体" w:eastAsia="黑体" w:cs="黑体"/>
          <w:b/>
          <w:color w:val="auto"/>
          <w:spacing w:val="20"/>
          <w:sz w:val="28"/>
          <w:szCs w:val="28"/>
          <w:highlight w:val="none"/>
        </w:rPr>
      </w:pPr>
      <w:r>
        <w:rPr>
          <w:rFonts w:hint="eastAsia" w:ascii="黑体" w:hAnsi="宋体" w:eastAsia="黑体" w:cs="黑体"/>
          <w:b/>
          <w:color w:val="auto"/>
          <w:spacing w:val="20"/>
          <w:sz w:val="28"/>
          <w:szCs w:val="28"/>
          <w:highlight w:val="none"/>
        </w:rPr>
        <w:t xml:space="preserve"> </w:t>
      </w:r>
    </w:p>
    <w:p>
      <w:pPr>
        <w:spacing w:line="360" w:lineRule="auto"/>
        <w:rPr>
          <w:rFonts w:ascii="黑体" w:hAnsi="宋体" w:eastAsia="黑体" w:cs="黑体"/>
          <w:b/>
          <w:color w:val="auto"/>
          <w:spacing w:val="20"/>
          <w:sz w:val="28"/>
          <w:szCs w:val="28"/>
          <w:highlight w:val="none"/>
        </w:rPr>
      </w:pPr>
      <w:r>
        <w:rPr>
          <w:rFonts w:hint="eastAsia" w:ascii="黑体" w:hAnsi="宋体" w:eastAsia="黑体" w:cs="黑体"/>
          <w:b/>
          <w:color w:val="auto"/>
          <w:spacing w:val="20"/>
          <w:sz w:val="28"/>
          <w:szCs w:val="28"/>
          <w:highlight w:val="none"/>
        </w:rPr>
        <w:t xml:space="preserve"> </w:t>
      </w:r>
    </w:p>
    <w:p>
      <w:pPr>
        <w:spacing w:line="360" w:lineRule="auto"/>
        <w:rPr>
          <w:rFonts w:ascii="黑体" w:hAnsi="宋体" w:eastAsia="黑体" w:cs="黑体"/>
          <w:b/>
          <w:color w:val="auto"/>
          <w:spacing w:val="20"/>
          <w:sz w:val="28"/>
          <w:szCs w:val="28"/>
          <w:highlight w:val="none"/>
        </w:rPr>
      </w:pPr>
      <w:r>
        <w:rPr>
          <w:rFonts w:hint="eastAsia" w:ascii="黑体" w:hAnsi="宋体" w:eastAsia="黑体" w:cs="黑体"/>
          <w:b/>
          <w:color w:val="auto"/>
          <w:spacing w:val="20"/>
          <w:sz w:val="28"/>
          <w:szCs w:val="28"/>
          <w:highlight w:val="none"/>
        </w:rPr>
        <w:t xml:space="preserve"> </w:t>
      </w:r>
    </w:p>
    <w:p>
      <w:pPr>
        <w:pStyle w:val="19"/>
        <w:widowControl/>
        <w:spacing w:before="142"/>
        <w:jc w:val="both"/>
        <w:rPr>
          <w:rFonts w:ascii="宋体" w:hAnsi="宋体" w:eastAsia="宋体" w:cs="宋体"/>
          <w:color w:val="auto"/>
          <w:sz w:val="28"/>
          <w:szCs w:val="28"/>
          <w:highlight w:val="none"/>
        </w:rPr>
      </w:pPr>
      <w:r>
        <w:rPr>
          <w:rFonts w:hint="eastAsia" w:ascii="宋体" w:hAnsi="宋体" w:eastAsia="宋体" w:cs="黑体"/>
          <w:color w:val="auto"/>
          <w:sz w:val="28"/>
          <w:szCs w:val="28"/>
          <w:highlight w:val="none"/>
        </w:rPr>
        <w:br w:type="page"/>
      </w:r>
      <w:bookmarkStart w:id="6" w:name="_Toc216145749"/>
      <w:bookmarkEnd w:id="6"/>
      <w:bookmarkStart w:id="7" w:name="_Toc223342668"/>
      <w:bookmarkEnd w:id="7"/>
      <w:r>
        <w:rPr>
          <w:rFonts w:hint="eastAsia" w:ascii="宋体" w:hAnsi="宋体" w:eastAsia="宋体" w:cs="黑体"/>
          <w:color w:val="auto"/>
          <w:sz w:val="28"/>
          <w:szCs w:val="28"/>
          <w:highlight w:val="none"/>
        </w:rPr>
        <w:t>格式三：</w:t>
      </w:r>
    </w:p>
    <w:p>
      <w:pPr>
        <w:pStyle w:val="21"/>
        <w:widowControl/>
        <w:ind w:firstLine="0" w:firstLineChars="0"/>
        <w:jc w:val="center"/>
        <w:outlineLvl w:val="2"/>
        <w:rPr>
          <w:color w:val="auto"/>
          <w:kern w:val="44"/>
          <w:highlight w:val="none"/>
        </w:rPr>
      </w:pPr>
      <w:bookmarkStart w:id="8" w:name="_Toc172416501"/>
      <w:bookmarkEnd w:id="8"/>
      <w:r>
        <w:rPr>
          <w:rFonts w:hint="eastAsia" w:ascii="宋体" w:hAnsi="宋体" w:cs="宋体"/>
          <w:b/>
          <w:color w:val="auto"/>
          <w:sz w:val="30"/>
          <w:szCs w:val="30"/>
          <w:highlight w:val="none"/>
        </w:rPr>
        <w:t>法定代表人证明书</w:t>
      </w:r>
    </w:p>
    <w:p>
      <w:pPr>
        <w:pStyle w:val="21"/>
        <w:widowControl/>
        <w:ind w:firstLine="496"/>
        <w:jc w:val="right"/>
        <w:rPr>
          <w:b/>
          <w:color w:val="auto"/>
          <w:highlight w:val="none"/>
        </w:rPr>
      </w:pPr>
      <w:r>
        <w:rPr>
          <w:color w:val="auto"/>
          <w:highlight w:val="none"/>
        </w:rPr>
        <w:t xml:space="preserve">                                      </w:t>
      </w:r>
      <w:r>
        <w:rPr>
          <w:rFonts w:hint="eastAsia" w:ascii="宋体" w:hAnsi="宋体" w:cs="宋体"/>
          <w:color w:val="auto"/>
          <w:highlight w:val="none"/>
        </w:rPr>
        <w:t xml:space="preserve">（ </w:t>
      </w:r>
      <w:r>
        <w:rPr>
          <w:color w:val="auto"/>
          <w:highlight w:val="none"/>
        </w:rPr>
        <w:t xml:space="preserve"> </w:t>
      </w:r>
      <w:r>
        <w:rPr>
          <w:rFonts w:hint="eastAsia" w:ascii="宋体" w:hAnsi="宋体" w:cs="宋体"/>
          <w:color w:val="auto"/>
          <w:highlight w:val="none"/>
        </w:rPr>
        <w:t>）第 号</w:t>
      </w:r>
    </w:p>
    <w:p>
      <w:pPr>
        <w:pStyle w:val="21"/>
        <w:widowControl/>
        <w:ind w:firstLine="0" w:firstLineChars="0"/>
        <w:rPr>
          <w:color w:val="auto"/>
          <w:sz w:val="30"/>
          <w:szCs w:val="30"/>
          <w:highlight w:val="none"/>
        </w:rPr>
      </w:pPr>
      <w:r>
        <w:rPr>
          <w:color w:val="auto"/>
          <w:highlight w:val="none"/>
        </w:rPr>
        <w:drawing>
          <wp:inline distT="0" distB="0" distL="114300" distR="114300">
            <wp:extent cx="5543550" cy="279082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r:link="rId7" cstate="print"/>
                    <a:stretch>
                      <a:fillRect/>
                    </a:stretch>
                  </pic:blipFill>
                  <pic:spPr>
                    <a:xfrm>
                      <a:off x="0" y="0"/>
                      <a:ext cx="5543550" cy="2790825"/>
                    </a:xfrm>
                    <a:prstGeom prst="rect">
                      <a:avLst/>
                    </a:prstGeom>
                    <a:noFill/>
                    <a:ln w="9525">
                      <a:noFill/>
                    </a:ln>
                  </pic:spPr>
                </pic:pic>
              </a:graphicData>
            </a:graphic>
          </wp:inline>
        </w:drawing>
      </w:r>
    </w:p>
    <w:p>
      <w:pPr>
        <w:pStyle w:val="21"/>
        <w:widowControl/>
        <w:ind w:firstLine="618"/>
        <w:rPr>
          <w:b/>
          <w:color w:val="auto"/>
          <w:sz w:val="30"/>
          <w:szCs w:val="30"/>
          <w:highlight w:val="none"/>
        </w:rPr>
      </w:pPr>
      <w:r>
        <w:rPr>
          <w:b/>
          <w:color w:val="auto"/>
          <w:sz w:val="30"/>
          <w:szCs w:val="30"/>
          <w:highlight w:val="none"/>
        </w:rPr>
        <w:t xml:space="preserve"> </w:t>
      </w:r>
    </w:p>
    <w:p>
      <w:pPr>
        <w:pStyle w:val="21"/>
        <w:widowControl/>
        <w:ind w:firstLine="0" w:firstLineChars="0"/>
        <w:jc w:val="center"/>
        <w:outlineLvl w:val="2"/>
        <w:rPr>
          <w:b/>
          <w:color w:val="auto"/>
          <w:sz w:val="30"/>
          <w:szCs w:val="30"/>
          <w:highlight w:val="none"/>
        </w:rPr>
      </w:pPr>
      <w:r>
        <w:rPr>
          <w:rFonts w:hint="eastAsia" w:ascii="宋体" w:hAnsi="宋体" w:cs="宋体"/>
          <w:b/>
          <w:color w:val="auto"/>
          <w:sz w:val="30"/>
          <w:szCs w:val="30"/>
          <w:highlight w:val="none"/>
        </w:rPr>
        <w:t>授权委托证明书</w:t>
      </w:r>
    </w:p>
    <w:p>
      <w:pPr>
        <w:pStyle w:val="21"/>
        <w:widowControl/>
        <w:ind w:firstLine="496"/>
        <w:jc w:val="right"/>
        <w:rPr>
          <w:color w:val="auto"/>
          <w:highlight w:val="none"/>
        </w:rPr>
      </w:pPr>
      <w:r>
        <w:rPr>
          <w:color w:val="auto"/>
          <w:highlight w:val="none"/>
        </w:rPr>
        <w:t xml:space="preserve">         </w:t>
      </w:r>
      <w:r>
        <w:rPr>
          <w:rFonts w:hint="eastAsia" w:ascii="宋体" w:hAnsi="宋体" w:cs="宋体"/>
          <w:color w:val="auto"/>
          <w:highlight w:val="none"/>
        </w:rPr>
        <w:t xml:space="preserve">（ </w:t>
      </w:r>
      <w:r>
        <w:rPr>
          <w:color w:val="auto"/>
          <w:highlight w:val="none"/>
        </w:rPr>
        <w:t xml:space="preserve"> </w:t>
      </w:r>
      <w:r>
        <w:rPr>
          <w:rFonts w:hint="eastAsia" w:ascii="宋体" w:hAnsi="宋体" w:cs="宋体"/>
          <w:color w:val="auto"/>
          <w:highlight w:val="none"/>
        </w:rPr>
        <w:t>）第 号</w:t>
      </w:r>
    </w:p>
    <w:p>
      <w:pPr>
        <w:pStyle w:val="21"/>
        <w:widowControl/>
        <w:ind w:firstLine="0" w:firstLineChars="0"/>
        <w:rPr>
          <w:b/>
          <w:color w:val="auto"/>
          <w:highlight w:val="none"/>
        </w:rPr>
      </w:pPr>
      <w:r>
        <w:rPr>
          <w:color w:val="auto"/>
          <w:highlight w:val="none"/>
        </w:rPr>
        <w:drawing>
          <wp:inline distT="0" distB="0" distL="114300" distR="114300">
            <wp:extent cx="5543550" cy="283845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r:link="rId9" cstate="print"/>
                    <a:stretch>
                      <a:fillRect/>
                    </a:stretch>
                  </pic:blipFill>
                  <pic:spPr>
                    <a:xfrm>
                      <a:off x="0" y="0"/>
                      <a:ext cx="5543550" cy="2838450"/>
                    </a:xfrm>
                    <a:prstGeom prst="rect">
                      <a:avLst/>
                    </a:prstGeom>
                    <a:noFill/>
                    <a:ln w="9525">
                      <a:noFill/>
                    </a:ln>
                  </pic:spPr>
                </pic:pic>
              </a:graphicData>
            </a:graphic>
          </wp:inline>
        </w:drawing>
      </w:r>
    </w:p>
    <w:p>
      <w:pPr>
        <w:pStyle w:val="19"/>
        <w:widowControl/>
        <w:spacing w:before="142"/>
        <w:jc w:val="both"/>
        <w:outlineLvl w:val="9"/>
        <w:rPr>
          <w:rFonts w:ascii="黑体" w:hAnsi="宋体" w:cs="宋体"/>
          <w:b w:val="0"/>
          <w:color w:val="auto"/>
          <w:highlight w:val="none"/>
        </w:rPr>
      </w:pPr>
      <w:r>
        <w:rPr>
          <w:rFonts w:hint="eastAsia" w:ascii="黑体" w:hAnsi="宋体" w:cs="宋体"/>
          <w:b w:val="0"/>
          <w:color w:val="auto"/>
          <w:highlight w:val="none"/>
        </w:rPr>
        <w:t>备注：也可使用从工商管理部门购买的格式填写</w:t>
      </w:r>
      <w:bookmarkStart w:id="9" w:name="_Toc216145759"/>
      <w:bookmarkEnd w:id="9"/>
      <w:bookmarkStart w:id="10" w:name="_Toc223342677"/>
    </w:p>
    <w:p>
      <w:pPr>
        <w:rPr>
          <w:rFonts w:ascii="宋体" w:hAnsi="宋体" w:eastAsia="宋体" w:cs="黑体"/>
          <w:color w:val="auto"/>
          <w:sz w:val="28"/>
          <w:szCs w:val="28"/>
          <w:highlight w:val="none"/>
        </w:rPr>
      </w:pPr>
      <w:r>
        <w:rPr>
          <w:rFonts w:hint="eastAsia" w:ascii="宋体" w:hAnsi="宋体" w:eastAsia="宋体" w:cs="黑体"/>
          <w:color w:val="auto"/>
          <w:sz w:val="28"/>
          <w:szCs w:val="28"/>
          <w:highlight w:val="none"/>
        </w:rPr>
        <w:br w:type="page"/>
      </w:r>
    </w:p>
    <w:p>
      <w:pPr>
        <w:pStyle w:val="19"/>
        <w:widowControl/>
        <w:spacing w:before="142"/>
        <w:jc w:val="both"/>
        <w:rPr>
          <w:rFonts w:ascii="宋体" w:hAnsi="宋体" w:eastAsia="宋体" w:cs="宋体"/>
          <w:color w:val="auto"/>
          <w:sz w:val="28"/>
          <w:szCs w:val="28"/>
          <w:highlight w:val="none"/>
        </w:rPr>
      </w:pPr>
      <w:r>
        <w:rPr>
          <w:rFonts w:hint="eastAsia" w:ascii="宋体" w:hAnsi="宋体" w:eastAsia="宋体" w:cs="黑体"/>
          <w:color w:val="auto"/>
          <w:sz w:val="28"/>
          <w:szCs w:val="28"/>
          <w:highlight w:val="none"/>
        </w:rPr>
        <w:t>格式四：</w:t>
      </w:r>
      <w:bookmarkEnd w:id="10"/>
      <w:r>
        <w:rPr>
          <w:rFonts w:hint="eastAsia" w:ascii="宋体" w:hAnsi="宋体" w:eastAsia="宋体" w:cs="宋体"/>
          <w:color w:val="auto"/>
          <w:sz w:val="28"/>
          <w:szCs w:val="28"/>
          <w:highlight w:val="none"/>
        </w:rPr>
        <w:t xml:space="preserve"> </w:t>
      </w:r>
    </w:p>
    <w:p>
      <w:pPr>
        <w:pStyle w:val="21"/>
        <w:widowControl/>
        <w:ind w:firstLine="0" w:firstLineChars="0"/>
        <w:jc w:val="center"/>
        <w:rPr>
          <w:b/>
          <w:color w:val="auto"/>
          <w:sz w:val="28"/>
          <w:szCs w:val="28"/>
          <w:highlight w:val="none"/>
        </w:rPr>
      </w:pPr>
      <w:r>
        <w:rPr>
          <w:b/>
          <w:color w:val="auto"/>
          <w:sz w:val="28"/>
          <w:szCs w:val="28"/>
          <w:highlight w:val="none"/>
        </w:rPr>
        <w:t xml:space="preserve"> </w:t>
      </w:r>
    </w:p>
    <w:p>
      <w:pPr>
        <w:snapToGrid w:val="0"/>
        <w:spacing w:after="120" w:line="440" w:lineRule="exact"/>
        <w:jc w:val="center"/>
        <w:outlineLvl w:val="2"/>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服务人员到位承诺书</w:t>
      </w:r>
    </w:p>
    <w:p>
      <w:pPr>
        <w:spacing w:line="56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560" w:lineRule="exact"/>
        <w:rPr>
          <w:rFonts w:ascii="宋体" w:hAnsi="宋体" w:eastAsia="宋体" w:cs="宋体"/>
          <w:color w:val="auto"/>
          <w:sz w:val="24"/>
          <w:highlight w:val="none"/>
          <w:u w:val="single"/>
        </w:rPr>
      </w:pPr>
      <w:r>
        <w:rPr>
          <w:rFonts w:hint="eastAsia" w:ascii="宋体" w:hAnsi="宋体" w:eastAsia="宋体" w:cs="宋体"/>
          <w:color w:val="auto"/>
          <w:sz w:val="24"/>
          <w:highlight w:val="none"/>
        </w:rPr>
        <w:t>招标人名称：</w:t>
      </w:r>
      <w:r>
        <w:rPr>
          <w:rFonts w:hint="eastAsia" w:ascii="宋体" w:hAnsi="宋体" w:eastAsia="宋体" w:cs="宋体"/>
          <w:color w:val="auto"/>
          <w:sz w:val="24"/>
          <w:highlight w:val="none"/>
          <w:u w:val="single"/>
          <w:lang w:eastAsia="zh-CN"/>
        </w:rPr>
        <w:t>广州南沙旅游发展有限公司</w:t>
      </w:r>
      <w:r>
        <w:rPr>
          <w:rFonts w:hint="eastAsia" w:ascii="宋体" w:hAnsi="宋体" w:eastAsia="宋体" w:cs="宋体"/>
          <w:color w:val="auto"/>
          <w:sz w:val="24"/>
          <w:highlight w:val="none"/>
          <w:u w:val="single"/>
        </w:rPr>
        <w:t>、广州南沙建设维护管理有限公司</w:t>
      </w:r>
    </w:p>
    <w:p>
      <w:pPr>
        <w:spacing w:line="560" w:lineRule="exact"/>
        <w:rPr>
          <w:rFonts w:ascii="宋体" w:hAnsi="宋体" w:eastAsia="宋体" w:cs="宋体"/>
          <w:color w:val="auto"/>
          <w:sz w:val="24"/>
          <w:highlight w:val="none"/>
          <w:u w:val="single"/>
        </w:rPr>
      </w:pPr>
      <w:r>
        <w:rPr>
          <w:rFonts w:hint="eastAsia" w:ascii="宋体" w:hAnsi="宋体" w:eastAsia="宋体" w:cs="宋体"/>
          <w:color w:val="auto"/>
          <w:sz w:val="24"/>
          <w:highlight w:val="none"/>
        </w:rPr>
        <w:t>投标项目名称：</w:t>
      </w:r>
      <w:r>
        <w:rPr>
          <w:rFonts w:ascii="宋体" w:hAnsi="宋体" w:eastAsia="宋体" w:cs="Times New Roman"/>
          <w:color w:val="auto"/>
          <w:spacing w:val="20"/>
          <w:sz w:val="24"/>
          <w:highlight w:val="none"/>
          <w:u w:val="single"/>
        </w:rPr>
        <w:t>广州市海防教育基地项目交通渡口码头工程</w:t>
      </w:r>
      <w:r>
        <w:rPr>
          <w:rFonts w:hint="eastAsia" w:ascii="宋体" w:hAnsi="宋体" w:eastAsia="宋体" w:cs="Times New Roman"/>
          <w:color w:val="auto"/>
          <w:spacing w:val="20"/>
          <w:sz w:val="24"/>
          <w:highlight w:val="none"/>
          <w:u w:val="single"/>
          <w:lang w:eastAsia="zh-CN"/>
        </w:rPr>
        <w:t>勘察测量设计</w:t>
      </w:r>
      <w:r>
        <w:rPr>
          <w:rFonts w:hint="eastAsia" w:ascii="宋体" w:hAnsi="宋体" w:eastAsia="宋体" w:cs="Times New Roman"/>
          <w:color w:val="auto"/>
          <w:spacing w:val="20"/>
          <w:sz w:val="24"/>
          <w:highlight w:val="none"/>
          <w:u w:val="single"/>
        </w:rPr>
        <w:t>服务</w:t>
      </w:r>
    </w:p>
    <w:p>
      <w:pPr>
        <w:snapToGrid w:val="0"/>
        <w:spacing w:after="120" w:line="44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napToGrid w:val="0"/>
        <w:spacing w:after="120" w:line="44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我方如果中标，承诺服务人员的配备不得低于招标人要求（不包括项目负责人）；总图1名、水工结构2名、岩土1名，造价1名，</w:t>
      </w:r>
      <w:r>
        <w:rPr>
          <w:rFonts w:hint="eastAsia" w:ascii="宋体" w:hAnsi="宋体" w:eastAsia="宋体" w:cs="宋体"/>
          <w:color w:val="auto"/>
          <w:sz w:val="24"/>
          <w:highlight w:val="none"/>
          <w:lang w:val="en-US" w:eastAsia="zh-CN"/>
        </w:rPr>
        <w:t>均按投标文件人员名单配备</w:t>
      </w:r>
      <w:r>
        <w:rPr>
          <w:rFonts w:hint="eastAsia" w:ascii="宋体" w:hAnsi="宋体" w:eastAsia="宋体" w:cs="宋体"/>
          <w:color w:val="auto"/>
          <w:sz w:val="24"/>
          <w:highlight w:val="none"/>
        </w:rPr>
        <w:t>。</w:t>
      </w:r>
    </w:p>
    <w:p>
      <w:pPr>
        <w:snapToGrid w:val="0"/>
        <w:spacing w:after="120" w:line="440" w:lineRule="exact"/>
        <w:rPr>
          <w:rFonts w:ascii="宋体" w:hAnsi="宋体" w:eastAsia="宋体" w:cs="宋体"/>
          <w:b/>
          <w:color w:val="auto"/>
          <w:sz w:val="24"/>
          <w:highlight w:val="none"/>
        </w:rPr>
      </w:pPr>
      <w:r>
        <w:rPr>
          <w:rFonts w:hint="eastAsia" w:ascii="宋体" w:hAnsi="宋体" w:eastAsia="宋体" w:cs="宋体"/>
          <w:b/>
          <w:color w:val="auto"/>
          <w:sz w:val="24"/>
          <w:highlight w:val="none"/>
        </w:rPr>
        <w:t xml:space="preserve"> </w:t>
      </w:r>
    </w:p>
    <w:p>
      <w:pPr>
        <w:spacing w:line="560" w:lineRule="exact"/>
        <w:rPr>
          <w:rFonts w:ascii="宋体" w:hAnsi="宋体" w:eastAsia="宋体" w:cs="宋体"/>
          <w:color w:val="auto"/>
          <w:sz w:val="24"/>
          <w:highlight w:val="none"/>
          <w:u w:val="single"/>
        </w:rPr>
      </w:pPr>
      <w:r>
        <w:rPr>
          <w:rFonts w:hint="eastAsia" w:ascii="宋体" w:hAnsi="宋体" w:eastAsia="宋体" w:cs="宋体"/>
          <w:color w:val="auto"/>
          <w:sz w:val="24"/>
          <w:highlight w:val="none"/>
        </w:rPr>
        <w:t xml:space="preserve">   投标单位名称（盖法人公章）：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spacing w:line="56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560" w:lineRule="exact"/>
        <w:ind w:firstLine="240" w:firstLineChars="100"/>
        <w:rPr>
          <w:rFonts w:ascii="宋体" w:hAnsi="宋体" w:eastAsia="宋体" w:cs="宋体"/>
          <w:color w:val="auto"/>
          <w:sz w:val="24"/>
          <w:highlight w:val="none"/>
          <w:u w:val="single"/>
        </w:rPr>
      </w:pPr>
      <w:r>
        <w:rPr>
          <w:rFonts w:hint="eastAsia" w:ascii="宋体" w:hAnsi="宋体" w:eastAsia="宋体" w:cs="宋体"/>
          <w:color w:val="auto"/>
          <w:sz w:val="24"/>
          <w:highlight w:val="none"/>
        </w:rPr>
        <w:t xml:space="preserve"> 法定代表人或受委托人（签字或盖章）：</w:t>
      </w:r>
      <w:r>
        <w:rPr>
          <w:rFonts w:hint="eastAsia" w:ascii="宋体" w:hAnsi="宋体" w:eastAsia="宋体" w:cs="宋体"/>
          <w:color w:val="auto"/>
          <w:sz w:val="24"/>
          <w:highlight w:val="none"/>
          <w:u w:val="single"/>
        </w:rPr>
        <w:t xml:space="preserve">                      </w:t>
      </w:r>
    </w:p>
    <w:p>
      <w:pPr>
        <w:spacing w:line="560" w:lineRule="exact"/>
        <w:rPr>
          <w:rFonts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p>
    <w:p>
      <w:pPr>
        <w:spacing w:line="56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日期：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月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日</w:t>
      </w:r>
    </w:p>
    <w:p>
      <w:pPr>
        <w:snapToGrid w:val="0"/>
        <w:spacing w:after="120"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outlineLvl w:val="1"/>
        <w:rPr>
          <w:rFonts w:ascii="宋体" w:hAnsi="宋体" w:eastAsia="宋体" w:cs="宋体"/>
          <w:b/>
          <w:color w:val="auto"/>
          <w:sz w:val="28"/>
          <w:szCs w:val="28"/>
          <w:highlight w:val="none"/>
        </w:rPr>
      </w:pPr>
      <w:r>
        <w:rPr>
          <w:rFonts w:ascii="Times New Roman" w:hAnsi="Times New Roman" w:eastAsia="宋体" w:cs="Times New Roman"/>
          <w:color w:val="auto"/>
          <w:spacing w:val="18"/>
          <w:szCs w:val="21"/>
          <w:highlight w:val="none"/>
        </w:rPr>
        <w:br w:type="page"/>
      </w:r>
      <w:bookmarkStart w:id="11" w:name="_Toc196036941"/>
      <w:bookmarkEnd w:id="11"/>
      <w:bookmarkStart w:id="12" w:name="_Toc196130013"/>
      <w:bookmarkEnd w:id="12"/>
      <w:bookmarkStart w:id="13" w:name="_Toc459403394"/>
      <w:bookmarkEnd w:id="13"/>
      <w:bookmarkStart w:id="14" w:name="_Toc326909213"/>
      <w:bookmarkEnd w:id="14"/>
      <w:bookmarkStart w:id="15" w:name="_Toc196130110"/>
      <w:bookmarkEnd w:id="15"/>
      <w:bookmarkStart w:id="16" w:name="_Toc196037097"/>
      <w:bookmarkEnd w:id="16"/>
      <w:bookmarkStart w:id="17" w:name="_Toc197235848"/>
      <w:bookmarkEnd w:id="17"/>
      <w:bookmarkStart w:id="18" w:name="_Toc41822703"/>
      <w:bookmarkEnd w:id="18"/>
      <w:bookmarkStart w:id="19" w:name="_Toc415728297"/>
      <w:bookmarkEnd w:id="19"/>
      <w:bookmarkStart w:id="20" w:name="_Toc199647675"/>
      <w:bookmarkEnd w:id="20"/>
      <w:bookmarkStart w:id="21" w:name="_Toc415833503"/>
      <w:bookmarkEnd w:id="21"/>
      <w:bookmarkStart w:id="22" w:name="_Toc462911098"/>
      <w:r>
        <w:rPr>
          <w:rFonts w:hint="eastAsia" w:ascii="宋体" w:hAnsi="宋体" w:eastAsia="宋体" w:cs="黑体"/>
          <w:b/>
          <w:color w:val="auto"/>
          <w:spacing w:val="4"/>
          <w:kern w:val="0"/>
          <w:sz w:val="28"/>
          <w:szCs w:val="28"/>
          <w:highlight w:val="none"/>
        </w:rPr>
        <w:t>格式五</w:t>
      </w:r>
      <w:bookmarkEnd w:id="22"/>
      <w:r>
        <w:rPr>
          <w:rFonts w:hint="eastAsia" w:ascii="宋体" w:hAnsi="宋体" w:eastAsia="宋体" w:cs="宋体"/>
          <w:color w:val="auto"/>
          <w:sz w:val="28"/>
          <w:szCs w:val="28"/>
          <w:highlight w:val="none"/>
        </w:rPr>
        <w:t>：</w:t>
      </w:r>
    </w:p>
    <w:p>
      <w:pPr>
        <w:spacing w:line="360" w:lineRule="auto"/>
        <w:jc w:val="center"/>
        <w:outlineLvl w:val="2"/>
        <w:rPr>
          <w:rFonts w:ascii="仿宋" w:hAnsi="仿宋" w:eastAsia="仿宋" w:cs="仿宋"/>
          <w:b/>
          <w:bCs/>
          <w:color w:val="auto"/>
          <w:sz w:val="36"/>
          <w:szCs w:val="36"/>
          <w:highlight w:val="none"/>
        </w:rPr>
      </w:pPr>
      <w:bookmarkStart w:id="23" w:name="_Toc41822704"/>
      <w:bookmarkEnd w:id="23"/>
      <w:r>
        <w:rPr>
          <w:rFonts w:hint="eastAsia" w:ascii="仿宋" w:hAnsi="仿宋" w:eastAsia="仿宋" w:cs="仿宋"/>
          <w:b/>
          <w:bCs/>
          <w:color w:val="auto"/>
          <w:sz w:val="36"/>
          <w:szCs w:val="36"/>
          <w:highlight w:val="none"/>
        </w:rPr>
        <w:t>投标人综合概况</w:t>
      </w:r>
    </w:p>
    <w:tbl>
      <w:tblPr>
        <w:tblStyle w:val="13"/>
        <w:tblW w:w="933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93"/>
        <w:gridCol w:w="870"/>
        <w:gridCol w:w="59"/>
        <w:gridCol w:w="2312"/>
        <w:gridCol w:w="318"/>
        <w:gridCol w:w="1302"/>
        <w:gridCol w:w="677"/>
        <w:gridCol w:w="223"/>
        <w:gridCol w:w="187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1693"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单位名称</w:t>
            </w:r>
          </w:p>
        </w:tc>
        <w:tc>
          <w:tcPr>
            <w:tcW w:w="3559" w:type="dxa"/>
            <w:gridSpan w:val="4"/>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c>
          <w:tcPr>
            <w:tcW w:w="1979"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组织机构代码</w:t>
            </w:r>
          </w:p>
        </w:tc>
        <w:tc>
          <w:tcPr>
            <w:tcW w:w="2101"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1693"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559" w:type="dxa"/>
            <w:gridSpan w:val="4"/>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c>
          <w:tcPr>
            <w:tcW w:w="1979"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注册登记号</w:t>
            </w:r>
          </w:p>
        </w:tc>
        <w:tc>
          <w:tcPr>
            <w:tcW w:w="2101"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1693"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单位性质</w:t>
            </w:r>
          </w:p>
        </w:tc>
        <w:tc>
          <w:tcPr>
            <w:tcW w:w="3559" w:type="dxa"/>
            <w:gridSpan w:val="4"/>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c>
          <w:tcPr>
            <w:tcW w:w="1979" w:type="dxa"/>
            <w:gridSpan w:val="2"/>
            <w:tcBorders>
              <w:tl2br w:val="nil"/>
              <w:tr2bl w:val="nil"/>
            </w:tcBorders>
            <w:shd w:val="clear" w:color="auto" w:fill="auto"/>
            <w:vAlign w:val="center"/>
          </w:tcPr>
          <w:p>
            <w:pPr>
              <w:spacing w:line="360" w:lineRule="auto"/>
              <w:jc w:val="center"/>
              <w:rPr>
                <w:rFonts w:ascii="仿宋" w:hAnsi="仿宋" w:eastAsia="仿宋" w:cs="仿宋"/>
                <w:color w:val="auto"/>
                <w:spacing w:val="30"/>
                <w:sz w:val="24"/>
                <w:highlight w:val="none"/>
              </w:rPr>
            </w:pPr>
            <w:r>
              <w:rPr>
                <w:rFonts w:hint="eastAsia" w:ascii="仿宋" w:hAnsi="仿宋" w:eastAsia="仿宋" w:cs="仿宋"/>
                <w:color w:val="auto"/>
                <w:sz w:val="24"/>
                <w:highlight w:val="none"/>
              </w:rPr>
              <w:t>税务登记证号</w:t>
            </w:r>
          </w:p>
        </w:tc>
        <w:tc>
          <w:tcPr>
            <w:tcW w:w="2101"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1693"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经营范围</w:t>
            </w:r>
          </w:p>
        </w:tc>
        <w:tc>
          <w:tcPr>
            <w:tcW w:w="3559" w:type="dxa"/>
            <w:gridSpan w:val="4"/>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c>
          <w:tcPr>
            <w:tcW w:w="1979"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pacing w:val="34"/>
                <w:sz w:val="24"/>
                <w:highlight w:val="none"/>
              </w:rPr>
              <w:t>注册资本</w:t>
            </w:r>
          </w:p>
        </w:tc>
        <w:tc>
          <w:tcPr>
            <w:tcW w:w="2101"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1693"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分支机构地址</w:t>
            </w:r>
          </w:p>
        </w:tc>
        <w:tc>
          <w:tcPr>
            <w:tcW w:w="3559" w:type="dxa"/>
            <w:gridSpan w:val="4"/>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c>
          <w:tcPr>
            <w:tcW w:w="1979"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营业期限</w:t>
            </w:r>
          </w:p>
        </w:tc>
        <w:tc>
          <w:tcPr>
            <w:tcW w:w="2101"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年 月-  年 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2563"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资质证号、范围和等级</w:t>
            </w:r>
          </w:p>
        </w:tc>
        <w:tc>
          <w:tcPr>
            <w:tcW w:w="6769" w:type="dxa"/>
            <w:gridSpan w:val="7"/>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2563"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ISO9000认证号、范围</w:t>
            </w:r>
          </w:p>
        </w:tc>
        <w:tc>
          <w:tcPr>
            <w:tcW w:w="6769" w:type="dxa"/>
            <w:gridSpan w:val="7"/>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2563" w:type="dxa"/>
            <w:gridSpan w:val="2"/>
            <w:vMerge w:val="restart"/>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其他资质证号、范围和等级</w:t>
            </w:r>
          </w:p>
        </w:tc>
        <w:tc>
          <w:tcPr>
            <w:tcW w:w="6769" w:type="dxa"/>
            <w:gridSpan w:val="7"/>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2563" w:type="dxa"/>
            <w:gridSpan w:val="2"/>
            <w:vMerge w:val="continue"/>
            <w:tcBorders>
              <w:tl2br w:val="nil"/>
              <w:tr2bl w:val="nil"/>
            </w:tcBorders>
            <w:shd w:val="clear" w:color="auto" w:fill="auto"/>
            <w:vAlign w:val="center"/>
          </w:tcPr>
          <w:p>
            <w:pPr>
              <w:rPr>
                <w:rFonts w:ascii="Times New Roman" w:hAnsi="Times New Roman" w:cs="Times New Roman"/>
                <w:color w:val="auto"/>
                <w:sz w:val="20"/>
                <w:szCs w:val="20"/>
                <w:highlight w:val="none"/>
              </w:rPr>
            </w:pPr>
          </w:p>
        </w:tc>
        <w:tc>
          <w:tcPr>
            <w:tcW w:w="6769" w:type="dxa"/>
            <w:gridSpan w:val="7"/>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2563" w:type="dxa"/>
            <w:gridSpan w:val="2"/>
            <w:vMerge w:val="continue"/>
            <w:tcBorders>
              <w:tl2br w:val="nil"/>
              <w:tr2bl w:val="nil"/>
            </w:tcBorders>
            <w:shd w:val="clear" w:color="auto" w:fill="auto"/>
            <w:vAlign w:val="center"/>
          </w:tcPr>
          <w:p>
            <w:pPr>
              <w:rPr>
                <w:rFonts w:ascii="Times New Roman" w:hAnsi="Times New Roman" w:cs="Times New Roman"/>
                <w:color w:val="auto"/>
                <w:sz w:val="20"/>
                <w:szCs w:val="20"/>
                <w:highlight w:val="none"/>
              </w:rPr>
            </w:pPr>
          </w:p>
        </w:tc>
        <w:tc>
          <w:tcPr>
            <w:tcW w:w="6769" w:type="dxa"/>
            <w:gridSpan w:val="7"/>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 w:hRule="atLeast"/>
          <w:jc w:val="center"/>
        </w:trPr>
        <w:tc>
          <w:tcPr>
            <w:tcW w:w="2563"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员工数量</w:t>
            </w:r>
          </w:p>
        </w:tc>
        <w:tc>
          <w:tcPr>
            <w:tcW w:w="6769" w:type="dxa"/>
            <w:gridSpan w:val="7"/>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共</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人，其中，高级职称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人，中级职称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2563"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联络人</w:t>
            </w:r>
          </w:p>
        </w:tc>
        <w:tc>
          <w:tcPr>
            <w:tcW w:w="2371"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c>
          <w:tcPr>
            <w:tcW w:w="1620"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手机号码</w:t>
            </w:r>
          </w:p>
        </w:tc>
        <w:tc>
          <w:tcPr>
            <w:tcW w:w="2778" w:type="dxa"/>
            <w:gridSpan w:val="3"/>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2563"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联系电话</w:t>
            </w:r>
          </w:p>
        </w:tc>
        <w:tc>
          <w:tcPr>
            <w:tcW w:w="2371"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c>
          <w:tcPr>
            <w:tcW w:w="1620"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传真</w:t>
            </w:r>
          </w:p>
        </w:tc>
        <w:tc>
          <w:tcPr>
            <w:tcW w:w="2778" w:type="dxa"/>
            <w:gridSpan w:val="3"/>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332" w:type="dxa"/>
            <w:gridSpan w:val="9"/>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法 定 代 表 人 基 本 情 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jc w:val="center"/>
        </w:trPr>
        <w:tc>
          <w:tcPr>
            <w:tcW w:w="1693"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姓  名</w:t>
            </w:r>
          </w:p>
        </w:tc>
        <w:tc>
          <w:tcPr>
            <w:tcW w:w="929"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c>
          <w:tcPr>
            <w:tcW w:w="2312"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身份证号码</w:t>
            </w:r>
          </w:p>
        </w:tc>
        <w:tc>
          <w:tcPr>
            <w:tcW w:w="4398" w:type="dxa"/>
            <w:gridSpan w:val="5"/>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0" w:hRule="atLeast"/>
          <w:jc w:val="center"/>
        </w:trPr>
        <w:tc>
          <w:tcPr>
            <w:tcW w:w="1693"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职  务</w:t>
            </w:r>
          </w:p>
        </w:tc>
        <w:tc>
          <w:tcPr>
            <w:tcW w:w="929"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c>
          <w:tcPr>
            <w:tcW w:w="2312"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职   称</w:t>
            </w:r>
          </w:p>
        </w:tc>
        <w:tc>
          <w:tcPr>
            <w:tcW w:w="1620"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c>
          <w:tcPr>
            <w:tcW w:w="900"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学 历</w:t>
            </w:r>
          </w:p>
        </w:tc>
        <w:tc>
          <w:tcPr>
            <w:tcW w:w="1878"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35" w:hRule="atLeast"/>
          <w:jc w:val="center"/>
        </w:trPr>
        <w:tc>
          <w:tcPr>
            <w:tcW w:w="9332" w:type="dxa"/>
            <w:gridSpan w:val="9"/>
            <w:tcBorders>
              <w:tl2br w:val="nil"/>
              <w:tr2bl w:val="nil"/>
            </w:tcBorders>
            <w:shd w:val="clear" w:color="auto" w:fill="auto"/>
            <w:vAlign w:val="center"/>
          </w:tcPr>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投标单位简介（请简要说明单位情况，包括成立时间、业务范围、专业构成、规模）：</w:t>
            </w:r>
          </w:p>
          <w:p>
            <w:pPr>
              <w:spacing w:line="360" w:lineRule="auto"/>
              <w:ind w:firstLine="6960" w:firstLineChars="2900"/>
              <w:rPr>
                <w:rFonts w:ascii="仿宋" w:hAnsi="仿宋" w:eastAsia="仿宋" w:cs="仿宋"/>
                <w:color w:val="auto"/>
                <w:sz w:val="24"/>
                <w:highlight w:val="none"/>
              </w:rPr>
            </w:pPr>
            <w:r>
              <w:rPr>
                <w:rFonts w:hint="eastAsia" w:ascii="仿宋" w:hAnsi="仿宋" w:eastAsia="仿宋" w:cs="仿宋"/>
                <w:color w:val="auto"/>
                <w:sz w:val="24"/>
                <w:highlight w:val="none"/>
              </w:rPr>
              <w:t>（单位盖章）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55" w:hRule="atLeast"/>
          <w:jc w:val="center"/>
        </w:trPr>
        <w:tc>
          <w:tcPr>
            <w:tcW w:w="9332" w:type="dxa"/>
            <w:gridSpan w:val="9"/>
            <w:tcBorders>
              <w:tl2br w:val="nil"/>
              <w:tr2bl w:val="nil"/>
            </w:tcBorders>
            <w:shd w:val="clear" w:color="auto" w:fill="auto"/>
            <w:vAlign w:val="center"/>
          </w:tcPr>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投标单位完成本项目所独有的有利条件及相关设计的专业特长：</w:t>
            </w:r>
          </w:p>
        </w:tc>
      </w:tr>
    </w:tbl>
    <w:p>
      <w:pPr>
        <w:rPr>
          <w:rFonts w:ascii="仿宋" w:hAnsi="仿宋" w:eastAsia="仿宋" w:cs="仿宋"/>
          <w:color w:val="auto"/>
          <w:highlight w:val="none"/>
        </w:rPr>
      </w:pPr>
      <w:r>
        <w:rPr>
          <w:rFonts w:hint="eastAsia" w:ascii="仿宋" w:hAnsi="仿宋" w:eastAsia="仿宋" w:cs="仿宋"/>
          <w:color w:val="auto"/>
          <w:szCs w:val="21"/>
          <w:highlight w:val="none"/>
        </w:rPr>
        <w:t>注：企业资质、营业执照需要附上复印件。</w:t>
      </w:r>
    </w:p>
    <w:p>
      <w:pPr>
        <w:rPr>
          <w:rFonts w:ascii="仿宋" w:hAnsi="仿宋" w:eastAsia="仿宋" w:cs="仿宋"/>
          <w:color w:val="auto"/>
          <w:highlight w:val="none"/>
        </w:rPr>
      </w:pPr>
      <w:r>
        <w:rPr>
          <w:rFonts w:hint="eastAsia" w:ascii="仿宋" w:hAnsi="仿宋" w:eastAsia="仿宋" w:cs="仿宋"/>
          <w:color w:val="auto"/>
          <w:szCs w:val="21"/>
          <w:highlight w:val="none"/>
        </w:rPr>
        <w:t xml:space="preserve">  </w:t>
      </w:r>
    </w:p>
    <w:p>
      <w:pPr>
        <w:outlineLvl w:val="1"/>
        <w:rPr>
          <w:rFonts w:ascii="宋体" w:hAnsi="宋体" w:eastAsia="宋体" w:cs="黑体"/>
          <w:b/>
          <w:color w:val="auto"/>
          <w:spacing w:val="4"/>
          <w:kern w:val="0"/>
          <w:sz w:val="28"/>
          <w:szCs w:val="28"/>
          <w:highlight w:val="none"/>
        </w:rPr>
      </w:pPr>
      <w:bookmarkStart w:id="24" w:name="_Toc459403395"/>
      <w:bookmarkEnd w:id="24"/>
      <w:bookmarkStart w:id="25" w:name="_Toc197235849"/>
      <w:bookmarkEnd w:id="25"/>
      <w:bookmarkStart w:id="26" w:name="_Toc415728298"/>
      <w:bookmarkEnd w:id="26"/>
      <w:bookmarkStart w:id="27" w:name="_Toc196036942"/>
      <w:bookmarkEnd w:id="27"/>
      <w:bookmarkStart w:id="28" w:name="_Toc196130014"/>
      <w:bookmarkEnd w:id="28"/>
      <w:bookmarkStart w:id="29" w:name="_Toc196130111"/>
      <w:bookmarkEnd w:id="29"/>
      <w:bookmarkStart w:id="30" w:name="_Toc326909214"/>
      <w:bookmarkEnd w:id="30"/>
      <w:bookmarkStart w:id="31" w:name="_Toc199647676"/>
      <w:bookmarkEnd w:id="31"/>
      <w:bookmarkStart w:id="32" w:name="_Toc196037098"/>
      <w:bookmarkEnd w:id="32"/>
      <w:bookmarkStart w:id="33" w:name="_Toc415833504"/>
      <w:bookmarkEnd w:id="33"/>
      <w:bookmarkStart w:id="34" w:name="_Toc462911099"/>
    </w:p>
    <w:p>
      <w:pPr>
        <w:outlineLvl w:val="1"/>
        <w:rPr>
          <w:rFonts w:ascii="仿宋" w:hAnsi="仿宋" w:eastAsia="仿宋" w:cs="仿宋"/>
          <w:color w:val="auto"/>
          <w:kern w:val="24"/>
          <w:sz w:val="28"/>
          <w:szCs w:val="28"/>
          <w:highlight w:val="none"/>
        </w:rPr>
      </w:pPr>
      <w:r>
        <w:rPr>
          <w:rFonts w:hint="eastAsia" w:ascii="宋体" w:hAnsi="宋体" w:eastAsia="宋体" w:cs="黑体"/>
          <w:b/>
          <w:color w:val="auto"/>
          <w:spacing w:val="4"/>
          <w:kern w:val="0"/>
          <w:sz w:val="28"/>
          <w:szCs w:val="28"/>
          <w:highlight w:val="none"/>
        </w:rPr>
        <w:t>格式六</w:t>
      </w:r>
      <w:bookmarkEnd w:id="34"/>
      <w:r>
        <w:rPr>
          <w:rFonts w:hint="eastAsia" w:ascii="仿宋" w:hAnsi="仿宋" w:eastAsia="仿宋" w:cs="仿宋"/>
          <w:color w:val="auto"/>
          <w:kern w:val="24"/>
          <w:sz w:val="28"/>
          <w:szCs w:val="28"/>
          <w:highlight w:val="none"/>
        </w:rPr>
        <w:t>：</w:t>
      </w:r>
    </w:p>
    <w:p>
      <w:pPr>
        <w:ind w:firstLine="480" w:firstLineChars="200"/>
        <w:rPr>
          <w:rFonts w:ascii="仿宋" w:hAnsi="仿宋" w:eastAsia="仿宋" w:cs="仿宋"/>
          <w:color w:val="auto"/>
          <w:kern w:val="24"/>
          <w:sz w:val="24"/>
          <w:highlight w:val="none"/>
        </w:rPr>
      </w:pPr>
      <w:r>
        <w:rPr>
          <w:rFonts w:hint="eastAsia" w:ascii="仿宋" w:hAnsi="仿宋" w:eastAsia="仿宋" w:cs="仿宋"/>
          <w:color w:val="auto"/>
          <w:kern w:val="24"/>
          <w:sz w:val="24"/>
          <w:highlight w:val="none"/>
        </w:rPr>
        <w:t>2017年1月1日至今企业承担的同类项目</w:t>
      </w:r>
    </w:p>
    <w:p>
      <w:pPr>
        <w:spacing w:beforeLines="30" w:line="360" w:lineRule="auto"/>
        <w:jc w:val="center"/>
        <w:outlineLvl w:val="2"/>
        <w:rPr>
          <w:rFonts w:ascii="仿宋" w:hAnsi="仿宋" w:eastAsia="仿宋" w:cs="仿宋"/>
          <w:color w:val="auto"/>
          <w:kern w:val="24"/>
          <w:sz w:val="28"/>
          <w:szCs w:val="28"/>
          <w:highlight w:val="none"/>
        </w:rPr>
      </w:pPr>
      <w:bookmarkStart w:id="35" w:name="_Toc199647677"/>
      <w:bookmarkEnd w:id="35"/>
      <w:bookmarkStart w:id="36" w:name="_Toc197235850"/>
      <w:bookmarkEnd w:id="36"/>
      <w:bookmarkStart w:id="37" w:name="_Toc196036943"/>
      <w:bookmarkEnd w:id="37"/>
      <w:bookmarkStart w:id="38" w:name="_Toc196130015"/>
      <w:bookmarkEnd w:id="38"/>
      <w:bookmarkStart w:id="39" w:name="_Toc41822705"/>
      <w:bookmarkEnd w:id="39"/>
      <w:bookmarkStart w:id="40" w:name="_Toc196130112"/>
      <w:bookmarkEnd w:id="40"/>
      <w:bookmarkStart w:id="41" w:name="_Toc196037099"/>
      <w:bookmarkEnd w:id="41"/>
      <w:bookmarkStart w:id="42" w:name="_Toc326909215"/>
      <w:r>
        <w:rPr>
          <w:rFonts w:hint="eastAsia" w:ascii="仿宋" w:hAnsi="仿宋" w:eastAsia="仿宋" w:cs="仿宋"/>
          <w:b/>
          <w:bCs/>
          <w:color w:val="auto"/>
          <w:kern w:val="24"/>
          <w:sz w:val="36"/>
          <w:szCs w:val="36"/>
          <w:highlight w:val="none"/>
        </w:rPr>
        <w:t>业绩一览表</w:t>
      </w:r>
      <w:bookmarkEnd w:id="42"/>
    </w:p>
    <w:p>
      <w:pPr>
        <w:adjustRightInd w:val="0"/>
        <w:snapToGrid w:val="0"/>
        <w:spacing w:beforeLines="30" w:line="360" w:lineRule="auto"/>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tbl>
      <w:tblPr>
        <w:tblStyle w:val="13"/>
        <w:tblW w:w="7926" w:type="dxa"/>
        <w:jc w:val="center"/>
        <w:tblLayout w:type="fixed"/>
        <w:tblCellMar>
          <w:top w:w="0" w:type="dxa"/>
          <w:left w:w="108" w:type="dxa"/>
          <w:bottom w:w="0" w:type="dxa"/>
          <w:right w:w="108" w:type="dxa"/>
        </w:tblCellMar>
      </w:tblPr>
      <w:tblGrid>
        <w:gridCol w:w="724"/>
        <w:gridCol w:w="2002"/>
        <w:gridCol w:w="2567"/>
        <w:gridCol w:w="1303"/>
        <w:gridCol w:w="1330"/>
      </w:tblGrid>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主要业绩名称</w:t>
            </w: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业绩简介</w:t>
            </w:r>
          </w:p>
        </w:tc>
        <w:tc>
          <w:tcPr>
            <w:tcW w:w="1303" w:type="dxa"/>
            <w:tcBorders>
              <w:top w:val="single" w:color="auto" w:sz="4" w:space="0"/>
              <w:left w:val="nil"/>
              <w:bottom w:val="single" w:color="auto" w:sz="4" w:space="0"/>
              <w:right w:val="single" w:color="auto" w:sz="4" w:space="0"/>
            </w:tcBorders>
            <w:shd w:val="clear" w:color="auto" w:fill="auto"/>
            <w:vAlign w:val="center"/>
          </w:tcPr>
          <w:p>
            <w:pPr>
              <w:widowControl/>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建筑面积</w:t>
            </w: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完成时间</w:t>
            </w:r>
          </w:p>
        </w:tc>
      </w:tr>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1303" w:type="dxa"/>
            <w:tcBorders>
              <w:top w:val="single" w:color="auto" w:sz="4" w:space="0"/>
              <w:left w:val="nil"/>
              <w:bottom w:val="single" w:color="auto" w:sz="4" w:space="0"/>
              <w:right w:val="single" w:color="auto" w:sz="4" w:space="0"/>
            </w:tcBorders>
            <w:shd w:val="clear" w:color="auto" w:fill="auto"/>
          </w:tcPr>
          <w:p>
            <w:pPr>
              <w:spacing w:line="360" w:lineRule="auto"/>
              <w:jc w:val="center"/>
              <w:rPr>
                <w:rFonts w:ascii="仿宋" w:hAnsi="仿宋" w:eastAsia="仿宋" w:cs="仿宋"/>
                <w:color w:val="auto"/>
                <w:sz w:val="24"/>
                <w:highlight w:val="none"/>
              </w:rPr>
            </w:pP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1303" w:type="dxa"/>
            <w:tcBorders>
              <w:top w:val="single" w:color="auto" w:sz="4" w:space="0"/>
              <w:left w:val="nil"/>
              <w:bottom w:val="single" w:color="auto" w:sz="4" w:space="0"/>
              <w:right w:val="single" w:color="auto" w:sz="4" w:space="0"/>
            </w:tcBorders>
            <w:shd w:val="clear" w:color="auto" w:fill="auto"/>
          </w:tcPr>
          <w:p>
            <w:pPr>
              <w:spacing w:line="360" w:lineRule="auto"/>
              <w:jc w:val="center"/>
              <w:rPr>
                <w:rFonts w:ascii="仿宋" w:hAnsi="仿宋" w:eastAsia="仿宋" w:cs="仿宋"/>
                <w:color w:val="auto"/>
                <w:sz w:val="24"/>
                <w:highlight w:val="none"/>
              </w:rPr>
            </w:pP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1303" w:type="dxa"/>
            <w:tcBorders>
              <w:top w:val="single" w:color="auto" w:sz="4" w:space="0"/>
              <w:left w:val="nil"/>
              <w:bottom w:val="single" w:color="auto" w:sz="4" w:space="0"/>
              <w:right w:val="single" w:color="auto" w:sz="4" w:space="0"/>
            </w:tcBorders>
            <w:shd w:val="clear" w:color="auto" w:fill="auto"/>
          </w:tcPr>
          <w:p>
            <w:pPr>
              <w:spacing w:line="360" w:lineRule="auto"/>
              <w:jc w:val="center"/>
              <w:rPr>
                <w:rFonts w:ascii="仿宋" w:hAnsi="仿宋" w:eastAsia="仿宋" w:cs="仿宋"/>
                <w:color w:val="auto"/>
                <w:sz w:val="24"/>
                <w:highlight w:val="none"/>
              </w:rPr>
            </w:pP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1303" w:type="dxa"/>
            <w:tcBorders>
              <w:top w:val="single" w:color="auto" w:sz="4" w:space="0"/>
              <w:left w:val="nil"/>
              <w:bottom w:val="single" w:color="auto" w:sz="4" w:space="0"/>
              <w:right w:val="single" w:color="auto" w:sz="4" w:space="0"/>
            </w:tcBorders>
            <w:shd w:val="clear" w:color="auto" w:fill="auto"/>
          </w:tcPr>
          <w:p>
            <w:pPr>
              <w:spacing w:line="360" w:lineRule="auto"/>
              <w:jc w:val="center"/>
              <w:rPr>
                <w:rFonts w:ascii="仿宋" w:hAnsi="仿宋" w:eastAsia="仿宋" w:cs="仿宋"/>
                <w:color w:val="auto"/>
                <w:sz w:val="24"/>
                <w:highlight w:val="none"/>
              </w:rPr>
            </w:pP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1303" w:type="dxa"/>
            <w:tcBorders>
              <w:top w:val="single" w:color="auto" w:sz="4" w:space="0"/>
              <w:left w:val="nil"/>
              <w:bottom w:val="single" w:color="auto" w:sz="4" w:space="0"/>
              <w:right w:val="single" w:color="auto" w:sz="4" w:space="0"/>
            </w:tcBorders>
            <w:shd w:val="clear" w:color="auto" w:fill="auto"/>
          </w:tcPr>
          <w:p>
            <w:pPr>
              <w:spacing w:line="360" w:lineRule="auto"/>
              <w:jc w:val="center"/>
              <w:rPr>
                <w:rFonts w:ascii="仿宋" w:hAnsi="仿宋" w:eastAsia="仿宋" w:cs="仿宋"/>
                <w:color w:val="auto"/>
                <w:sz w:val="24"/>
                <w:highlight w:val="none"/>
              </w:rPr>
            </w:pP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1303" w:type="dxa"/>
            <w:tcBorders>
              <w:top w:val="single" w:color="auto" w:sz="4" w:space="0"/>
              <w:left w:val="nil"/>
              <w:bottom w:val="single" w:color="auto" w:sz="4" w:space="0"/>
              <w:right w:val="single" w:color="auto" w:sz="4" w:space="0"/>
            </w:tcBorders>
            <w:shd w:val="clear" w:color="auto" w:fill="auto"/>
          </w:tcPr>
          <w:p>
            <w:pPr>
              <w:spacing w:line="360" w:lineRule="auto"/>
              <w:jc w:val="center"/>
              <w:rPr>
                <w:rFonts w:ascii="仿宋" w:hAnsi="仿宋" w:eastAsia="仿宋" w:cs="仿宋"/>
                <w:color w:val="auto"/>
                <w:sz w:val="24"/>
                <w:highlight w:val="none"/>
              </w:rPr>
            </w:pP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1303" w:type="dxa"/>
            <w:tcBorders>
              <w:top w:val="single" w:color="auto" w:sz="4" w:space="0"/>
              <w:left w:val="nil"/>
              <w:bottom w:val="single" w:color="auto" w:sz="4" w:space="0"/>
              <w:right w:val="single" w:color="auto" w:sz="4" w:space="0"/>
            </w:tcBorders>
            <w:shd w:val="clear" w:color="auto" w:fill="auto"/>
          </w:tcPr>
          <w:p>
            <w:pPr>
              <w:spacing w:line="360" w:lineRule="auto"/>
              <w:jc w:val="center"/>
              <w:rPr>
                <w:rFonts w:ascii="仿宋" w:hAnsi="仿宋" w:eastAsia="仿宋" w:cs="仿宋"/>
                <w:color w:val="auto"/>
                <w:sz w:val="24"/>
                <w:highlight w:val="none"/>
              </w:rPr>
            </w:pP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1303" w:type="dxa"/>
            <w:tcBorders>
              <w:top w:val="single" w:color="auto" w:sz="4" w:space="0"/>
              <w:left w:val="nil"/>
              <w:bottom w:val="single" w:color="auto" w:sz="4" w:space="0"/>
              <w:right w:val="single" w:color="auto" w:sz="4" w:space="0"/>
            </w:tcBorders>
            <w:shd w:val="clear" w:color="auto" w:fill="auto"/>
          </w:tcPr>
          <w:p>
            <w:pPr>
              <w:spacing w:line="360" w:lineRule="auto"/>
              <w:jc w:val="center"/>
              <w:rPr>
                <w:rFonts w:ascii="仿宋" w:hAnsi="仿宋" w:eastAsia="仿宋" w:cs="仿宋"/>
                <w:color w:val="auto"/>
                <w:sz w:val="24"/>
                <w:highlight w:val="none"/>
              </w:rPr>
            </w:pP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1303" w:type="dxa"/>
            <w:tcBorders>
              <w:top w:val="single" w:color="auto" w:sz="4" w:space="0"/>
              <w:left w:val="nil"/>
              <w:bottom w:val="single" w:color="auto" w:sz="4" w:space="0"/>
              <w:right w:val="single" w:color="auto" w:sz="4" w:space="0"/>
            </w:tcBorders>
            <w:shd w:val="clear" w:color="auto" w:fill="auto"/>
          </w:tcPr>
          <w:p>
            <w:pPr>
              <w:spacing w:line="360" w:lineRule="auto"/>
              <w:jc w:val="center"/>
              <w:rPr>
                <w:rFonts w:ascii="仿宋" w:hAnsi="仿宋" w:eastAsia="仿宋" w:cs="仿宋"/>
                <w:color w:val="auto"/>
                <w:sz w:val="24"/>
                <w:highlight w:val="none"/>
              </w:rPr>
            </w:pP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r>
    </w:tbl>
    <w:p>
      <w:pPr>
        <w:spacing w:line="360" w:lineRule="auto"/>
        <w:ind w:firstLine="359" w:firstLineChars="171"/>
        <w:rPr>
          <w:rFonts w:ascii="仿宋" w:hAnsi="仿宋" w:eastAsia="仿宋" w:cs="仿宋"/>
          <w:color w:val="auto"/>
          <w:highlight w:val="none"/>
        </w:rPr>
      </w:pPr>
      <w:r>
        <w:rPr>
          <w:rFonts w:hint="eastAsia" w:ascii="仿宋" w:hAnsi="仿宋" w:eastAsia="仿宋" w:cs="仿宋"/>
          <w:color w:val="auto"/>
          <w:szCs w:val="21"/>
          <w:highlight w:val="none"/>
        </w:rPr>
        <w:t>注：1、投标人提供的同类项目业绩证明资料附于该表后面。业绩证明资料须提供：（1）合同；相关证明资料必须能反映出评标所需指标，否则相应子项不予计分；时间以合同文件签订时间为准。</w:t>
      </w:r>
    </w:p>
    <w:p>
      <w:pPr>
        <w:spacing w:line="360" w:lineRule="auto"/>
        <w:ind w:firstLine="779" w:firstLineChars="371"/>
        <w:rPr>
          <w:rFonts w:ascii="仿宋" w:hAnsi="仿宋" w:eastAsia="仿宋" w:cs="仿宋"/>
          <w:color w:val="auto"/>
          <w:sz w:val="24"/>
          <w:highlight w:val="none"/>
        </w:rPr>
      </w:pPr>
      <w:r>
        <w:rPr>
          <w:rFonts w:hint="eastAsia" w:ascii="仿宋" w:hAnsi="仿宋" w:eastAsia="仿宋" w:cs="仿宋"/>
          <w:color w:val="auto"/>
          <w:szCs w:val="21"/>
          <w:highlight w:val="none"/>
        </w:rPr>
        <w:t>2、如有获奖，请附获奖证书复印件。</w:t>
      </w:r>
    </w:p>
    <w:p>
      <w:pPr>
        <w:adjustRightInd w:val="0"/>
        <w:snapToGrid w:val="0"/>
        <w:spacing w:beforeLines="30"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投标人名称（盖章）：</w:t>
      </w:r>
    </w:p>
    <w:p>
      <w:pPr>
        <w:adjustRightInd w:val="0"/>
        <w:snapToGrid w:val="0"/>
        <w:spacing w:beforeLines="30"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授权代表（签名）：</w:t>
      </w:r>
      <w:r>
        <w:rPr>
          <w:rFonts w:hint="eastAsia" w:ascii="仿宋" w:hAnsi="仿宋" w:eastAsia="仿宋" w:cs="仿宋"/>
          <w:color w:val="auto"/>
          <w:sz w:val="24"/>
          <w:highlight w:val="none"/>
          <w:u w:val="single"/>
        </w:rPr>
        <w:t xml:space="preserve">       </w:t>
      </w:r>
    </w:p>
    <w:p>
      <w:pPr>
        <w:adjustRightInd w:val="0"/>
        <w:snapToGrid w:val="0"/>
        <w:spacing w:beforeLines="30"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职    务：</w:t>
      </w:r>
      <w:r>
        <w:rPr>
          <w:rFonts w:hint="eastAsia" w:ascii="仿宋" w:hAnsi="仿宋" w:eastAsia="仿宋" w:cs="仿宋"/>
          <w:color w:val="auto"/>
          <w:sz w:val="24"/>
          <w:highlight w:val="none"/>
          <w:u w:val="single"/>
        </w:rPr>
        <w:t xml:space="preserve">       </w:t>
      </w:r>
    </w:p>
    <w:p>
      <w:pPr>
        <w:spacing w:line="600" w:lineRule="exact"/>
        <w:rPr>
          <w:rFonts w:ascii="仿宋" w:hAnsi="仿宋" w:eastAsia="仿宋" w:cs="宋体"/>
          <w:color w:val="auto"/>
          <w:sz w:val="28"/>
          <w:szCs w:val="28"/>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pPr>
        <w:widowControl/>
        <w:jc w:val="left"/>
        <w:rPr>
          <w:rFonts w:ascii="宋体" w:hAnsi="宋体" w:eastAsia="宋体" w:cs="黑体"/>
          <w:b/>
          <w:color w:val="auto"/>
          <w:spacing w:val="4"/>
          <w:kern w:val="0"/>
          <w:sz w:val="28"/>
          <w:szCs w:val="28"/>
          <w:highlight w:val="none"/>
        </w:rPr>
      </w:pPr>
      <w:r>
        <w:rPr>
          <w:rFonts w:ascii="宋体" w:hAnsi="宋体" w:eastAsia="宋体" w:cs="黑体"/>
          <w:b/>
          <w:color w:val="auto"/>
          <w:spacing w:val="4"/>
          <w:kern w:val="0"/>
          <w:sz w:val="28"/>
          <w:szCs w:val="28"/>
          <w:highlight w:val="none"/>
        </w:rPr>
        <w:br w:type="page"/>
      </w:r>
    </w:p>
    <w:p>
      <w:pPr>
        <w:outlineLvl w:val="1"/>
        <w:rPr>
          <w:rFonts w:ascii="仿宋" w:hAnsi="仿宋" w:eastAsia="宋体" w:cs="宋体"/>
          <w:color w:val="auto"/>
          <w:sz w:val="28"/>
          <w:szCs w:val="28"/>
          <w:highlight w:val="none"/>
        </w:rPr>
      </w:pPr>
      <w:r>
        <w:rPr>
          <w:rFonts w:hint="eastAsia" w:ascii="宋体" w:hAnsi="宋体" w:eastAsia="宋体" w:cs="黑体"/>
          <w:b/>
          <w:color w:val="auto"/>
          <w:spacing w:val="4"/>
          <w:kern w:val="0"/>
          <w:sz w:val="28"/>
          <w:szCs w:val="28"/>
          <w:highlight w:val="none"/>
        </w:rPr>
        <w:t>格式七</w:t>
      </w:r>
      <w:r>
        <w:rPr>
          <w:rFonts w:hint="eastAsia" w:ascii="仿宋" w:hAnsi="仿宋" w:eastAsia="仿宋" w:cs="宋体"/>
          <w:color w:val="auto"/>
          <w:sz w:val="28"/>
          <w:szCs w:val="28"/>
          <w:highlight w:val="none"/>
        </w:rPr>
        <w:t>：</w:t>
      </w:r>
    </w:p>
    <w:p>
      <w:pPr>
        <w:adjustRightInd w:val="0"/>
        <w:snapToGrid w:val="0"/>
        <w:spacing w:beforeLines="30" w:line="360" w:lineRule="auto"/>
        <w:ind w:firstLine="542" w:firstLineChars="150"/>
        <w:jc w:val="center"/>
        <w:outlineLvl w:val="2"/>
        <w:rPr>
          <w:rFonts w:ascii="仿宋" w:hAnsi="仿宋" w:eastAsia="仿宋" w:cs="仿宋"/>
          <w:color w:val="auto"/>
          <w:sz w:val="24"/>
          <w:highlight w:val="none"/>
        </w:rPr>
      </w:pPr>
      <w:r>
        <w:rPr>
          <w:rFonts w:hint="eastAsia" w:ascii="仿宋" w:hAnsi="仿宋" w:eastAsia="仿宋" w:cs="宋体"/>
          <w:b/>
          <w:color w:val="auto"/>
          <w:sz w:val="36"/>
          <w:szCs w:val="36"/>
          <w:highlight w:val="none"/>
        </w:rPr>
        <w:t>参与本项目的人员一览表</w:t>
      </w:r>
    </w:p>
    <w:p>
      <w:pPr>
        <w:adjustRightInd w:val="0"/>
        <w:snapToGrid w:val="0"/>
        <w:spacing w:beforeLines="30" w:line="360" w:lineRule="auto"/>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tbl>
      <w:tblPr>
        <w:tblStyle w:val="13"/>
        <w:tblW w:w="8768" w:type="dxa"/>
        <w:jc w:val="center"/>
        <w:tblLayout w:type="fixed"/>
        <w:tblCellMar>
          <w:top w:w="0" w:type="dxa"/>
          <w:left w:w="108" w:type="dxa"/>
          <w:bottom w:w="0" w:type="dxa"/>
          <w:right w:w="108" w:type="dxa"/>
        </w:tblCellMar>
      </w:tblPr>
      <w:tblGrid>
        <w:gridCol w:w="752"/>
        <w:gridCol w:w="715"/>
        <w:gridCol w:w="887"/>
        <w:gridCol w:w="887"/>
        <w:gridCol w:w="1066"/>
        <w:gridCol w:w="886"/>
        <w:gridCol w:w="884"/>
        <w:gridCol w:w="1250"/>
        <w:gridCol w:w="1441"/>
      </w:tblGrid>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715"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性别</w:t>
            </w: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06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职称</w:t>
            </w:r>
          </w:p>
        </w:tc>
        <w:tc>
          <w:tcPr>
            <w:tcW w:w="88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专业</w:t>
            </w:r>
          </w:p>
        </w:tc>
        <w:tc>
          <w:tcPr>
            <w:tcW w:w="884"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最高学历</w:t>
            </w:r>
          </w:p>
        </w:tc>
        <w:tc>
          <w:tcPr>
            <w:tcW w:w="1250"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相关注</w:t>
            </w:r>
          </w:p>
          <w:p>
            <w:pPr>
              <w:snapToGrid w:val="0"/>
              <w:spacing w:line="360" w:lineRule="auto"/>
              <w:jc w:val="center"/>
              <w:rPr>
                <w:rFonts w:ascii="仿宋" w:hAnsi="仿宋" w:eastAsia="仿宋" w:cs="仿宋"/>
                <w:color w:val="auto"/>
                <w:sz w:val="24"/>
                <w:highlight w:val="none"/>
              </w:rPr>
            </w:pPr>
            <w:r>
              <w:rPr>
                <w:rFonts w:hint="eastAsia" w:ascii="仿宋" w:hAnsi="仿宋" w:eastAsia="仿宋" w:cs="宋体"/>
                <w:color w:val="auto"/>
                <w:spacing w:val="20"/>
                <w:kern w:val="0"/>
                <w:sz w:val="24"/>
                <w:highlight w:val="none"/>
              </w:rPr>
              <w:t>册资格</w:t>
            </w:r>
          </w:p>
        </w:tc>
        <w:tc>
          <w:tcPr>
            <w:tcW w:w="1441"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拟承担工作</w:t>
            </w:r>
          </w:p>
        </w:tc>
      </w:tr>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715"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06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884"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1250"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441"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715"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06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884"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1250"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441"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715"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06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884"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1250"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441"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715"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06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884"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1250"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441"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715"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06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884"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1250"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441"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715"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06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884"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1250"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441"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715"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06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884"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1250"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441"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715"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06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884"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1250"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441"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auto" w:sz="4"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715" w:type="dxa"/>
            <w:tcBorders>
              <w:top w:val="single" w:color="000000" w:sz="6" w:space="0"/>
              <w:left w:val="nil"/>
              <w:bottom w:val="single" w:color="auto" w:sz="4"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auto" w:sz="4"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auto" w:sz="4"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066" w:type="dxa"/>
            <w:tcBorders>
              <w:top w:val="single" w:color="000000" w:sz="6" w:space="0"/>
              <w:left w:val="nil"/>
              <w:bottom w:val="single" w:color="auto" w:sz="4"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6" w:type="dxa"/>
            <w:tcBorders>
              <w:top w:val="single" w:color="000000" w:sz="6" w:space="0"/>
              <w:left w:val="nil"/>
              <w:bottom w:val="single" w:color="auto" w:sz="4"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884" w:type="dxa"/>
            <w:tcBorders>
              <w:top w:val="single" w:color="000000" w:sz="6" w:space="0"/>
              <w:left w:val="nil"/>
              <w:bottom w:val="single" w:color="auto" w:sz="4"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1250" w:type="dxa"/>
            <w:tcBorders>
              <w:top w:val="single" w:color="000000" w:sz="6" w:space="0"/>
              <w:left w:val="nil"/>
              <w:bottom w:val="single" w:color="auto" w:sz="4"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441" w:type="dxa"/>
            <w:tcBorders>
              <w:top w:val="single" w:color="000000" w:sz="6" w:space="0"/>
              <w:left w:val="nil"/>
              <w:bottom w:val="single" w:color="auto" w:sz="4"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r>
    </w:tbl>
    <w:p>
      <w:pPr>
        <w:spacing w:line="360" w:lineRule="auto"/>
        <w:rPr>
          <w:rFonts w:ascii="仿宋" w:hAnsi="仿宋" w:eastAsia="仿宋" w:cs="仿宋"/>
          <w:color w:val="auto"/>
          <w:highlight w:val="none"/>
        </w:rPr>
      </w:pPr>
      <w:r>
        <w:rPr>
          <w:rFonts w:hint="eastAsia" w:ascii="仿宋" w:hAnsi="仿宋" w:eastAsia="仿宋" w:cs="仿宋"/>
          <w:color w:val="auto"/>
          <w:szCs w:val="21"/>
          <w:highlight w:val="none"/>
        </w:rPr>
        <w:t>注：1、“拟承担工作”栏，应注明主要设计咨询人员（须注明项目负责人、各专业负责人）等。</w:t>
      </w:r>
    </w:p>
    <w:p>
      <w:pPr>
        <w:spacing w:line="360" w:lineRule="auto"/>
        <w:ind w:firstLine="420" w:firstLineChars="200"/>
        <w:rPr>
          <w:rFonts w:ascii="仿宋" w:hAnsi="仿宋" w:eastAsia="仿宋" w:cs="仿宋"/>
          <w:color w:val="auto"/>
          <w:highlight w:val="none"/>
        </w:rPr>
      </w:pPr>
      <w:r>
        <w:rPr>
          <w:rFonts w:hint="eastAsia" w:ascii="仿宋" w:hAnsi="仿宋" w:eastAsia="仿宋" w:cs="仿宋"/>
          <w:color w:val="auto"/>
          <w:szCs w:val="21"/>
          <w:highlight w:val="none"/>
        </w:rPr>
        <w:t>2、项目负责人应按格式八表格及备注的规定附相关证明文件。</w:t>
      </w:r>
    </w:p>
    <w:p>
      <w:pPr>
        <w:adjustRightInd w:val="0"/>
        <w:snapToGrid w:val="0"/>
        <w:spacing w:beforeLines="30" w:line="360" w:lineRule="auto"/>
        <w:ind w:firstLine="420" w:firstLineChars="200"/>
        <w:rPr>
          <w:rFonts w:ascii="仿宋" w:hAnsi="仿宋" w:eastAsia="仿宋" w:cs="仿宋"/>
          <w:color w:val="auto"/>
          <w:highlight w:val="none"/>
        </w:rPr>
      </w:pPr>
      <w:r>
        <w:rPr>
          <w:rFonts w:hint="eastAsia" w:ascii="仿宋" w:hAnsi="仿宋" w:eastAsia="仿宋" w:cs="仿宋"/>
          <w:color w:val="auto"/>
          <w:szCs w:val="21"/>
          <w:highlight w:val="none"/>
        </w:rPr>
        <w:t>3、其他人员应附上个人注册执业资格证、职称证等文件（复印件，加盖单位公章）。</w:t>
      </w:r>
    </w:p>
    <w:p>
      <w:pPr>
        <w:adjustRightInd w:val="0"/>
        <w:snapToGrid w:val="0"/>
        <w:spacing w:beforeLines="30"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投标人名称（盖章）：</w:t>
      </w:r>
    </w:p>
    <w:p>
      <w:pPr>
        <w:adjustRightInd w:val="0"/>
        <w:snapToGrid w:val="0"/>
        <w:spacing w:beforeLines="30"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授权代表（签名）：</w:t>
      </w:r>
      <w:r>
        <w:rPr>
          <w:rFonts w:hint="eastAsia" w:ascii="仿宋" w:hAnsi="仿宋" w:eastAsia="仿宋" w:cs="仿宋"/>
          <w:color w:val="auto"/>
          <w:sz w:val="24"/>
          <w:highlight w:val="none"/>
          <w:u w:val="single"/>
        </w:rPr>
        <w:t xml:space="preserve">       </w:t>
      </w:r>
    </w:p>
    <w:p>
      <w:pPr>
        <w:adjustRightInd w:val="0"/>
        <w:snapToGrid w:val="0"/>
        <w:spacing w:beforeLines="30"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职    务：</w:t>
      </w:r>
      <w:r>
        <w:rPr>
          <w:rFonts w:hint="eastAsia" w:ascii="仿宋" w:hAnsi="仿宋" w:eastAsia="仿宋" w:cs="仿宋"/>
          <w:color w:val="auto"/>
          <w:sz w:val="24"/>
          <w:highlight w:val="none"/>
          <w:u w:val="single"/>
        </w:rPr>
        <w:t xml:space="preserve">       </w:t>
      </w:r>
    </w:p>
    <w:p>
      <w:pPr>
        <w:rPr>
          <w:rFonts w:ascii="仿宋" w:hAnsi="仿宋" w:eastAsia="仿宋" w:cs="仿宋"/>
          <w:color w:val="auto"/>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pPr>
        <w:widowControl/>
        <w:jc w:val="left"/>
        <w:rPr>
          <w:rFonts w:ascii="宋体" w:hAnsi="宋体" w:eastAsia="宋体" w:cs="黑体"/>
          <w:b/>
          <w:color w:val="auto"/>
          <w:spacing w:val="4"/>
          <w:kern w:val="0"/>
          <w:sz w:val="28"/>
          <w:szCs w:val="28"/>
          <w:highlight w:val="none"/>
        </w:rPr>
      </w:pPr>
      <w:r>
        <w:rPr>
          <w:rFonts w:ascii="宋体" w:hAnsi="宋体" w:eastAsia="宋体" w:cs="黑体"/>
          <w:b/>
          <w:color w:val="auto"/>
          <w:spacing w:val="4"/>
          <w:kern w:val="0"/>
          <w:sz w:val="28"/>
          <w:szCs w:val="28"/>
          <w:highlight w:val="none"/>
        </w:rPr>
        <w:br w:type="page"/>
      </w:r>
    </w:p>
    <w:p>
      <w:pPr>
        <w:outlineLvl w:val="1"/>
        <w:rPr>
          <w:rFonts w:ascii="仿宋" w:hAnsi="仿宋" w:eastAsia="宋体" w:cs="仿宋"/>
          <w:color w:val="auto"/>
          <w:szCs w:val="21"/>
          <w:highlight w:val="none"/>
        </w:rPr>
      </w:pPr>
      <w:r>
        <w:rPr>
          <w:rFonts w:hint="eastAsia" w:ascii="仿宋" w:hAnsi="仿宋" w:eastAsia="仿宋" w:cs="仿宋"/>
          <w:color w:val="auto"/>
          <w:szCs w:val="21"/>
          <w:highlight w:val="none"/>
        </w:rPr>
        <w:t xml:space="preserve"> </w:t>
      </w:r>
      <w:r>
        <w:rPr>
          <w:rFonts w:hint="eastAsia" w:ascii="宋体" w:hAnsi="宋体" w:eastAsia="宋体" w:cs="黑体"/>
          <w:b/>
          <w:color w:val="auto"/>
          <w:spacing w:val="4"/>
          <w:kern w:val="0"/>
          <w:sz w:val="28"/>
          <w:szCs w:val="28"/>
          <w:highlight w:val="none"/>
        </w:rPr>
        <w:t>格式八</w:t>
      </w:r>
      <w:r>
        <w:rPr>
          <w:rFonts w:hint="eastAsia" w:ascii="仿宋" w:hAnsi="仿宋" w:eastAsia="仿宋" w:cs="宋体"/>
          <w:color w:val="auto"/>
          <w:sz w:val="28"/>
          <w:szCs w:val="28"/>
          <w:highlight w:val="none"/>
        </w:rPr>
        <w:t>：</w:t>
      </w:r>
    </w:p>
    <w:p>
      <w:pPr>
        <w:spacing w:line="360" w:lineRule="auto"/>
        <w:jc w:val="center"/>
        <w:outlineLvl w:val="2"/>
        <w:rPr>
          <w:rFonts w:ascii="仿宋" w:hAnsi="仿宋" w:eastAsia="仿宋" w:cs="宋体"/>
          <w:b/>
          <w:color w:val="auto"/>
          <w:sz w:val="36"/>
          <w:szCs w:val="36"/>
          <w:highlight w:val="none"/>
        </w:rPr>
      </w:pPr>
      <w:r>
        <w:rPr>
          <w:rFonts w:hint="eastAsia" w:ascii="仿宋" w:hAnsi="仿宋" w:eastAsia="仿宋" w:cs="宋体"/>
          <w:b/>
          <w:color w:val="auto"/>
          <w:sz w:val="36"/>
          <w:szCs w:val="36"/>
          <w:highlight w:val="none"/>
        </w:rPr>
        <w:t>项目负责人相关经验及业绩</w:t>
      </w:r>
    </w:p>
    <w:p>
      <w:pPr>
        <w:adjustRightInd w:val="0"/>
        <w:snapToGrid w:val="0"/>
        <w:spacing w:beforeLines="30" w:line="360" w:lineRule="auto"/>
        <w:ind w:firstLine="120" w:firstLineChars="50"/>
        <w:rPr>
          <w:rFonts w:ascii="仿宋" w:hAnsi="仿宋" w:eastAsia="仿宋" w:cs="仿宋"/>
          <w:color w:val="auto"/>
          <w:sz w:val="24"/>
          <w:highlight w:val="none"/>
        </w:rPr>
      </w:pP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tbl>
      <w:tblPr>
        <w:tblStyle w:val="1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65"/>
        <w:gridCol w:w="708"/>
        <w:gridCol w:w="1261"/>
        <w:gridCol w:w="161"/>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姓  名</w:t>
            </w:r>
          </w:p>
        </w:tc>
        <w:tc>
          <w:tcPr>
            <w:tcW w:w="1079" w:type="dxa"/>
            <w:gridSpan w:val="2"/>
            <w:vAlign w:val="center"/>
          </w:tcPr>
          <w:p>
            <w:pPr>
              <w:spacing w:line="460" w:lineRule="exact"/>
              <w:jc w:val="left"/>
              <w:rPr>
                <w:rFonts w:ascii="宋体" w:hAnsi="宋体" w:eastAsia="宋体" w:cs="宋体"/>
                <w:color w:val="auto"/>
                <w:szCs w:val="21"/>
                <w:highlight w:val="none"/>
              </w:rPr>
            </w:pPr>
          </w:p>
        </w:tc>
        <w:tc>
          <w:tcPr>
            <w:tcW w:w="927" w:type="dxa"/>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年 龄</w:t>
            </w:r>
          </w:p>
        </w:tc>
        <w:tc>
          <w:tcPr>
            <w:tcW w:w="1065" w:type="dxa"/>
            <w:vAlign w:val="center"/>
          </w:tcPr>
          <w:p>
            <w:pPr>
              <w:spacing w:line="460" w:lineRule="exact"/>
              <w:jc w:val="left"/>
              <w:rPr>
                <w:rFonts w:ascii="宋体" w:hAnsi="宋体" w:eastAsia="宋体" w:cs="宋体"/>
                <w:color w:val="auto"/>
                <w:szCs w:val="21"/>
                <w:highlight w:val="none"/>
              </w:rPr>
            </w:pPr>
          </w:p>
        </w:tc>
        <w:tc>
          <w:tcPr>
            <w:tcW w:w="2130" w:type="dxa"/>
            <w:gridSpan w:val="3"/>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学 历</w:t>
            </w:r>
          </w:p>
        </w:tc>
        <w:tc>
          <w:tcPr>
            <w:tcW w:w="2135" w:type="dxa"/>
            <w:vAlign w:val="center"/>
          </w:tcPr>
          <w:p>
            <w:pPr>
              <w:spacing w:line="460" w:lineRule="exact"/>
              <w:jc w:val="left"/>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职  称</w:t>
            </w:r>
          </w:p>
        </w:tc>
        <w:tc>
          <w:tcPr>
            <w:tcW w:w="1079" w:type="dxa"/>
            <w:gridSpan w:val="2"/>
            <w:vAlign w:val="center"/>
          </w:tcPr>
          <w:p>
            <w:pPr>
              <w:spacing w:line="460" w:lineRule="exact"/>
              <w:jc w:val="left"/>
              <w:rPr>
                <w:rFonts w:ascii="宋体" w:hAnsi="宋体" w:eastAsia="宋体" w:cs="宋体"/>
                <w:color w:val="auto"/>
                <w:szCs w:val="21"/>
                <w:highlight w:val="none"/>
              </w:rPr>
            </w:pPr>
          </w:p>
        </w:tc>
        <w:tc>
          <w:tcPr>
            <w:tcW w:w="927" w:type="dxa"/>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职 务</w:t>
            </w:r>
          </w:p>
        </w:tc>
        <w:tc>
          <w:tcPr>
            <w:tcW w:w="1065" w:type="dxa"/>
            <w:vAlign w:val="center"/>
          </w:tcPr>
          <w:p>
            <w:pPr>
              <w:spacing w:line="460" w:lineRule="exact"/>
              <w:jc w:val="left"/>
              <w:rPr>
                <w:rFonts w:ascii="宋体" w:hAnsi="宋体" w:eastAsia="宋体" w:cs="宋体"/>
                <w:color w:val="auto"/>
                <w:szCs w:val="21"/>
                <w:highlight w:val="none"/>
              </w:rPr>
            </w:pPr>
          </w:p>
        </w:tc>
        <w:tc>
          <w:tcPr>
            <w:tcW w:w="2130" w:type="dxa"/>
            <w:gridSpan w:val="3"/>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拟在本合同任职</w:t>
            </w:r>
          </w:p>
        </w:tc>
        <w:tc>
          <w:tcPr>
            <w:tcW w:w="2135" w:type="dxa"/>
            <w:vAlign w:val="center"/>
          </w:tcPr>
          <w:p>
            <w:pPr>
              <w:spacing w:line="460" w:lineRule="exact"/>
              <w:jc w:val="left"/>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毕业学校</w:t>
            </w:r>
          </w:p>
        </w:tc>
        <w:tc>
          <w:tcPr>
            <w:tcW w:w="7336" w:type="dxa"/>
            <w:gridSpan w:val="8"/>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      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9"/>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5" w:type="dxa"/>
            <w:gridSpan w:val="2"/>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时  间</w:t>
            </w:r>
          </w:p>
        </w:tc>
        <w:tc>
          <w:tcPr>
            <w:tcW w:w="3420" w:type="dxa"/>
            <w:gridSpan w:val="4"/>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参加过的类似项目</w:t>
            </w:r>
          </w:p>
        </w:tc>
        <w:tc>
          <w:tcPr>
            <w:tcW w:w="1261" w:type="dxa"/>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担任职务</w:t>
            </w:r>
          </w:p>
        </w:tc>
        <w:tc>
          <w:tcPr>
            <w:tcW w:w="2296" w:type="dxa"/>
            <w:gridSpan w:val="2"/>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tcPr>
          <w:p>
            <w:pPr>
              <w:spacing w:line="460" w:lineRule="exact"/>
              <w:jc w:val="left"/>
              <w:rPr>
                <w:rFonts w:ascii="宋体" w:hAnsi="宋体" w:eastAsia="宋体" w:cs="宋体"/>
                <w:color w:val="auto"/>
                <w:szCs w:val="21"/>
                <w:highlight w:val="none"/>
              </w:rPr>
            </w:pPr>
          </w:p>
        </w:tc>
        <w:tc>
          <w:tcPr>
            <w:tcW w:w="3420" w:type="dxa"/>
            <w:gridSpan w:val="4"/>
          </w:tcPr>
          <w:p>
            <w:pPr>
              <w:spacing w:line="460" w:lineRule="exact"/>
              <w:jc w:val="left"/>
              <w:rPr>
                <w:rFonts w:ascii="宋体" w:hAnsi="宋体" w:eastAsia="宋体" w:cs="宋体"/>
                <w:color w:val="auto"/>
                <w:szCs w:val="21"/>
                <w:highlight w:val="none"/>
              </w:rPr>
            </w:pPr>
          </w:p>
        </w:tc>
        <w:tc>
          <w:tcPr>
            <w:tcW w:w="1261" w:type="dxa"/>
          </w:tcPr>
          <w:p>
            <w:pPr>
              <w:spacing w:line="460" w:lineRule="exact"/>
              <w:jc w:val="left"/>
              <w:rPr>
                <w:rFonts w:ascii="宋体" w:hAnsi="宋体" w:eastAsia="宋体" w:cs="宋体"/>
                <w:color w:val="auto"/>
                <w:szCs w:val="21"/>
                <w:highlight w:val="none"/>
              </w:rPr>
            </w:pPr>
          </w:p>
        </w:tc>
        <w:tc>
          <w:tcPr>
            <w:tcW w:w="2296" w:type="dxa"/>
            <w:gridSpan w:val="2"/>
          </w:tcPr>
          <w:p>
            <w:pPr>
              <w:spacing w:line="460" w:lineRule="exact"/>
              <w:jc w:val="left"/>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tcPr>
          <w:p>
            <w:pPr>
              <w:spacing w:line="460" w:lineRule="exact"/>
              <w:jc w:val="left"/>
              <w:rPr>
                <w:rFonts w:ascii="宋体" w:hAnsi="宋体" w:eastAsia="宋体" w:cs="宋体"/>
                <w:color w:val="auto"/>
                <w:szCs w:val="21"/>
                <w:highlight w:val="none"/>
              </w:rPr>
            </w:pPr>
          </w:p>
        </w:tc>
        <w:tc>
          <w:tcPr>
            <w:tcW w:w="3420" w:type="dxa"/>
            <w:gridSpan w:val="4"/>
          </w:tcPr>
          <w:p>
            <w:pPr>
              <w:spacing w:line="460" w:lineRule="exact"/>
              <w:jc w:val="left"/>
              <w:rPr>
                <w:rFonts w:ascii="宋体" w:hAnsi="宋体" w:eastAsia="宋体" w:cs="宋体"/>
                <w:color w:val="auto"/>
                <w:szCs w:val="21"/>
                <w:highlight w:val="none"/>
              </w:rPr>
            </w:pPr>
          </w:p>
        </w:tc>
        <w:tc>
          <w:tcPr>
            <w:tcW w:w="1261" w:type="dxa"/>
          </w:tcPr>
          <w:p>
            <w:pPr>
              <w:spacing w:line="460" w:lineRule="exact"/>
              <w:jc w:val="left"/>
              <w:rPr>
                <w:rFonts w:ascii="宋体" w:hAnsi="宋体" w:eastAsia="宋体" w:cs="宋体"/>
                <w:color w:val="auto"/>
                <w:szCs w:val="21"/>
                <w:highlight w:val="none"/>
              </w:rPr>
            </w:pPr>
          </w:p>
        </w:tc>
        <w:tc>
          <w:tcPr>
            <w:tcW w:w="2296" w:type="dxa"/>
            <w:gridSpan w:val="2"/>
          </w:tcPr>
          <w:p>
            <w:pPr>
              <w:spacing w:line="460" w:lineRule="exact"/>
              <w:jc w:val="left"/>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tcPr>
          <w:p>
            <w:pPr>
              <w:spacing w:line="460" w:lineRule="exact"/>
              <w:jc w:val="left"/>
              <w:rPr>
                <w:rFonts w:ascii="宋体" w:hAnsi="宋体" w:eastAsia="宋体" w:cs="宋体"/>
                <w:color w:val="auto"/>
                <w:szCs w:val="21"/>
                <w:highlight w:val="none"/>
              </w:rPr>
            </w:pPr>
          </w:p>
        </w:tc>
        <w:tc>
          <w:tcPr>
            <w:tcW w:w="3420" w:type="dxa"/>
            <w:gridSpan w:val="4"/>
          </w:tcPr>
          <w:p>
            <w:pPr>
              <w:spacing w:line="460" w:lineRule="exact"/>
              <w:jc w:val="left"/>
              <w:rPr>
                <w:rFonts w:ascii="宋体" w:hAnsi="宋体" w:eastAsia="宋体" w:cs="宋体"/>
                <w:color w:val="auto"/>
                <w:szCs w:val="21"/>
                <w:highlight w:val="none"/>
              </w:rPr>
            </w:pPr>
          </w:p>
        </w:tc>
        <w:tc>
          <w:tcPr>
            <w:tcW w:w="1261" w:type="dxa"/>
          </w:tcPr>
          <w:p>
            <w:pPr>
              <w:spacing w:line="460" w:lineRule="exact"/>
              <w:jc w:val="left"/>
              <w:rPr>
                <w:rFonts w:ascii="宋体" w:hAnsi="宋体" w:eastAsia="宋体" w:cs="宋体"/>
                <w:color w:val="auto"/>
                <w:szCs w:val="21"/>
                <w:highlight w:val="none"/>
              </w:rPr>
            </w:pPr>
          </w:p>
        </w:tc>
        <w:tc>
          <w:tcPr>
            <w:tcW w:w="2296" w:type="dxa"/>
            <w:gridSpan w:val="2"/>
          </w:tcPr>
          <w:p>
            <w:pPr>
              <w:spacing w:line="460" w:lineRule="exact"/>
              <w:jc w:val="left"/>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pPr>
              <w:spacing w:line="460" w:lineRule="exact"/>
              <w:jc w:val="left"/>
              <w:rPr>
                <w:rFonts w:ascii="宋体" w:hAnsi="宋体" w:eastAsia="宋体" w:cs="宋体"/>
                <w:color w:val="auto"/>
                <w:szCs w:val="21"/>
                <w:highlight w:val="none"/>
              </w:rPr>
            </w:pPr>
          </w:p>
        </w:tc>
        <w:tc>
          <w:tcPr>
            <w:tcW w:w="3420" w:type="dxa"/>
            <w:gridSpan w:val="4"/>
            <w:vAlign w:val="center"/>
          </w:tcPr>
          <w:p>
            <w:pPr>
              <w:spacing w:line="460" w:lineRule="exact"/>
              <w:jc w:val="left"/>
              <w:rPr>
                <w:rFonts w:ascii="宋体" w:hAnsi="宋体" w:eastAsia="宋体" w:cs="宋体"/>
                <w:color w:val="auto"/>
                <w:szCs w:val="21"/>
                <w:highlight w:val="none"/>
              </w:rPr>
            </w:pPr>
          </w:p>
        </w:tc>
        <w:tc>
          <w:tcPr>
            <w:tcW w:w="1261" w:type="dxa"/>
            <w:vAlign w:val="center"/>
          </w:tcPr>
          <w:p>
            <w:pPr>
              <w:spacing w:line="460" w:lineRule="exact"/>
              <w:jc w:val="left"/>
              <w:rPr>
                <w:rFonts w:ascii="宋体" w:hAnsi="宋体" w:eastAsia="宋体" w:cs="宋体"/>
                <w:color w:val="auto"/>
                <w:szCs w:val="21"/>
                <w:highlight w:val="none"/>
              </w:rPr>
            </w:pPr>
          </w:p>
        </w:tc>
        <w:tc>
          <w:tcPr>
            <w:tcW w:w="2296" w:type="dxa"/>
            <w:gridSpan w:val="2"/>
            <w:vAlign w:val="center"/>
          </w:tcPr>
          <w:p>
            <w:pPr>
              <w:spacing w:line="460" w:lineRule="exact"/>
              <w:jc w:val="left"/>
              <w:rPr>
                <w:rFonts w:ascii="宋体" w:hAnsi="宋体" w:eastAsia="宋体" w:cs="宋体"/>
                <w:color w:val="auto"/>
                <w:szCs w:val="21"/>
                <w:highlight w:val="none"/>
              </w:rPr>
            </w:pPr>
          </w:p>
        </w:tc>
      </w:tr>
    </w:tbl>
    <w:p>
      <w:pPr>
        <w:rPr>
          <w:rFonts w:ascii="仿宋" w:hAnsi="仿宋" w:eastAsia="仿宋" w:cs="仿宋"/>
          <w:color w:val="auto"/>
          <w:szCs w:val="21"/>
          <w:highlight w:val="none"/>
        </w:rPr>
      </w:pPr>
    </w:p>
    <w:p>
      <w:pPr>
        <w:rPr>
          <w:rFonts w:ascii="仿宋" w:hAnsi="仿宋" w:eastAsia="仿宋" w:cs="Arial"/>
          <w:color w:val="auto"/>
          <w:highlight w:val="none"/>
        </w:rPr>
      </w:pPr>
      <w:r>
        <w:rPr>
          <w:rFonts w:hint="eastAsia" w:ascii="仿宋" w:hAnsi="仿宋" w:eastAsia="仿宋" w:cs="仿宋"/>
          <w:color w:val="auto"/>
          <w:szCs w:val="21"/>
          <w:highlight w:val="none"/>
        </w:rPr>
        <w:t>注：1、</w:t>
      </w:r>
      <w:r>
        <w:rPr>
          <w:rFonts w:hint="eastAsia" w:ascii="仿宋" w:hAnsi="仿宋" w:eastAsia="仿宋" w:cs="Arial"/>
          <w:color w:val="auto"/>
          <w:szCs w:val="21"/>
          <w:highlight w:val="none"/>
        </w:rPr>
        <w:t>本格式仅供参考，投标人可根据实际情况自定。</w:t>
      </w:r>
    </w:p>
    <w:p>
      <w:pPr>
        <w:ind w:firstLine="424" w:firstLineChars="202"/>
        <w:rPr>
          <w:rFonts w:ascii="仿宋" w:hAnsi="仿宋" w:eastAsia="仿宋" w:cs="仿宋"/>
          <w:color w:val="auto"/>
          <w:highlight w:val="none"/>
        </w:rPr>
      </w:pPr>
      <w:r>
        <w:rPr>
          <w:rFonts w:hint="eastAsia" w:ascii="仿宋" w:hAnsi="仿宋" w:eastAsia="仿宋" w:cs="仿宋"/>
          <w:color w:val="auto"/>
          <w:szCs w:val="21"/>
          <w:highlight w:val="none"/>
        </w:rPr>
        <w:t>2、项目负责人必须附执业证书及资格证书（项目负责人提供）、身份证、职称证书及业绩等证明材料（复印件，加盖单位公章）。</w:t>
      </w:r>
    </w:p>
    <w:p>
      <w:pPr>
        <w:ind w:firstLine="424" w:firstLineChars="202"/>
        <w:rPr>
          <w:rFonts w:ascii="仿宋" w:hAnsi="仿宋" w:eastAsia="仿宋" w:cs="仿宋"/>
          <w:color w:val="auto"/>
          <w:highlight w:val="none"/>
        </w:rPr>
      </w:pPr>
      <w:r>
        <w:rPr>
          <w:rFonts w:hint="eastAsia" w:ascii="仿宋" w:hAnsi="仿宋" w:eastAsia="仿宋" w:cs="仿宋"/>
          <w:color w:val="auto"/>
          <w:szCs w:val="21"/>
          <w:highlight w:val="none"/>
        </w:rPr>
        <w:t>3、业绩证明资料须提供：（1）合同；相关证明资料中必须能反映出评标所需指标、人员姓名和岗位等，否则相应子项不予计分。</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pPr>
        <w:adjustRightInd w:val="0"/>
        <w:snapToGrid w:val="0"/>
        <w:spacing w:beforeLines="30"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投标人名称（盖章）：</w:t>
      </w:r>
    </w:p>
    <w:p>
      <w:pPr>
        <w:adjustRightInd w:val="0"/>
        <w:snapToGrid w:val="0"/>
        <w:spacing w:beforeLines="30"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授权代表（签名）：</w:t>
      </w:r>
      <w:r>
        <w:rPr>
          <w:rFonts w:hint="eastAsia" w:ascii="仿宋" w:hAnsi="仿宋" w:eastAsia="仿宋" w:cs="仿宋"/>
          <w:color w:val="auto"/>
          <w:sz w:val="24"/>
          <w:highlight w:val="none"/>
          <w:u w:val="single"/>
        </w:rPr>
        <w:t xml:space="preserve">       </w:t>
      </w:r>
    </w:p>
    <w:p>
      <w:pPr>
        <w:adjustRightInd w:val="0"/>
        <w:snapToGrid w:val="0"/>
        <w:spacing w:beforeLines="30"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职    务：</w:t>
      </w:r>
      <w:r>
        <w:rPr>
          <w:rFonts w:hint="eastAsia" w:ascii="仿宋" w:hAnsi="仿宋" w:eastAsia="仿宋" w:cs="仿宋"/>
          <w:color w:val="auto"/>
          <w:sz w:val="24"/>
          <w:highlight w:val="none"/>
          <w:u w:val="single"/>
        </w:rPr>
        <w:t xml:space="preserve">       </w:t>
      </w:r>
    </w:p>
    <w:p>
      <w:pPr>
        <w:rPr>
          <w:rFonts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pPr>
        <w:pStyle w:val="21"/>
        <w:widowControl/>
        <w:ind w:firstLine="0" w:firstLineChars="0"/>
        <w:rPr>
          <w:color w:val="auto"/>
          <w:spacing w:val="18"/>
          <w:highlight w:val="none"/>
        </w:rPr>
      </w:pPr>
      <w:r>
        <w:rPr>
          <w:color w:val="auto"/>
          <w:spacing w:val="18"/>
          <w:highlight w:val="none"/>
        </w:rPr>
        <w:t xml:space="preserve"> </w:t>
      </w:r>
    </w:p>
    <w:p>
      <w:pPr>
        <w:widowControl/>
        <w:spacing w:line="36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360" w:lineRule="auto"/>
        <w:rPr>
          <w:rFonts w:ascii="宋体" w:hAnsi="宋体" w:eastAsia="宋体" w:cs="宋体"/>
          <w:color w:val="auto"/>
          <w:sz w:val="24"/>
          <w:highlight w:val="none"/>
        </w:rPr>
        <w:sectPr>
          <w:footerReference r:id="rId3" w:type="default"/>
          <w:pgSz w:w="11915" w:h="16840"/>
          <w:pgMar w:top="1247" w:right="1135" w:bottom="1247" w:left="1361" w:header="720" w:footer="720" w:gutter="0"/>
          <w:pgNumType w:start="1"/>
          <w:cols w:space="425" w:num="1"/>
          <w:docGrid w:type="lines" w:linePitch="285" w:charSpace="0"/>
        </w:sectPr>
      </w:pPr>
    </w:p>
    <w:p>
      <w:pPr>
        <w:spacing w:line="360" w:lineRule="auto"/>
        <w:outlineLvl w:val="1"/>
        <w:rPr>
          <w:rFonts w:ascii="仿宋" w:hAnsi="仿宋" w:eastAsia="仿宋" w:cs="宋体"/>
          <w:color w:val="auto"/>
          <w:sz w:val="28"/>
          <w:szCs w:val="28"/>
          <w:highlight w:val="none"/>
        </w:rPr>
      </w:pPr>
      <w:r>
        <w:rPr>
          <w:rFonts w:hint="eastAsia" w:ascii="宋体" w:hAnsi="宋体" w:eastAsia="宋体" w:cs="黑体"/>
          <w:b/>
          <w:color w:val="auto"/>
          <w:spacing w:val="4"/>
          <w:kern w:val="0"/>
          <w:sz w:val="28"/>
          <w:szCs w:val="28"/>
          <w:highlight w:val="none"/>
        </w:rPr>
        <w:t>格式九：</w:t>
      </w:r>
    </w:p>
    <w:p>
      <w:pPr>
        <w:autoSpaceDE w:val="0"/>
        <w:autoSpaceDN w:val="0"/>
        <w:adjustRightInd w:val="0"/>
        <w:spacing w:line="360" w:lineRule="auto"/>
        <w:jc w:val="center"/>
        <w:rPr>
          <w:rFonts w:ascii="黑体" w:hAnsi="黑体" w:eastAsia="黑体" w:cs="黑体"/>
          <w:b/>
          <w:bCs/>
          <w:color w:val="auto"/>
          <w:sz w:val="32"/>
          <w:szCs w:val="32"/>
          <w:highlight w:val="none"/>
          <w:lang w:val="zh-CN"/>
        </w:rPr>
      </w:pPr>
      <w:r>
        <w:rPr>
          <w:rFonts w:hint="eastAsia" w:ascii="黑体" w:hAnsi="黑体" w:eastAsia="黑体" w:cs="黑体"/>
          <w:b/>
          <w:bCs/>
          <w:color w:val="auto"/>
          <w:sz w:val="32"/>
          <w:szCs w:val="32"/>
          <w:highlight w:val="none"/>
          <w:lang w:val="zh-CN"/>
        </w:rPr>
        <w:t>报价表</w:t>
      </w:r>
    </w:p>
    <w:p>
      <w:pPr>
        <w:wordWrap w:val="0"/>
        <w:autoSpaceDE w:val="0"/>
        <w:autoSpaceDN w:val="0"/>
        <w:adjustRightInd w:val="0"/>
        <w:spacing w:line="360" w:lineRule="auto"/>
        <w:jc w:val="right"/>
        <w:rPr>
          <w:rFonts w:ascii="宋体" w:hAnsi="宋体" w:cs="宋体"/>
          <w:bCs/>
          <w:color w:val="auto"/>
          <w:szCs w:val="21"/>
          <w:highlight w:val="none"/>
          <w:lang w:val="zh-CN"/>
        </w:rPr>
      </w:pPr>
      <w:r>
        <w:rPr>
          <w:rFonts w:hint="eastAsia" w:ascii="宋体" w:hAnsi="宋体" w:cs="宋体"/>
          <w:bCs/>
          <w:color w:val="auto"/>
          <w:szCs w:val="21"/>
          <w:highlight w:val="none"/>
          <w:lang w:val="zh-CN"/>
        </w:rPr>
        <w:t>投标日期：    年   月   日</w:t>
      </w:r>
    </w:p>
    <w:tbl>
      <w:tblPr>
        <w:tblStyle w:val="13"/>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936"/>
        <w:gridCol w:w="6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1" w:type="dxa"/>
            <w:gridSpan w:val="2"/>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rPr>
              <w:t>项目</w:t>
            </w:r>
            <w:r>
              <w:rPr>
                <w:rFonts w:hint="eastAsia" w:ascii="宋体" w:hAnsi="宋体" w:cs="宋体"/>
                <w:bCs/>
                <w:color w:val="auto"/>
                <w:szCs w:val="21"/>
                <w:highlight w:val="none"/>
                <w:lang w:val="zh-CN"/>
              </w:rPr>
              <w:t>名称</w:t>
            </w:r>
          </w:p>
        </w:tc>
        <w:tc>
          <w:tcPr>
            <w:tcW w:w="6699" w:type="dxa"/>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lang w:eastAsia="zh-CN"/>
              </w:rPr>
              <w:t>广州市海防教育基地项目交通渡口码头工程勘察测量设计</w:t>
            </w:r>
            <w:r>
              <w:rPr>
                <w:rFonts w:hint="eastAsia" w:ascii="宋体" w:hAnsi="宋体" w:cs="宋体"/>
                <w:bCs/>
                <w:color w:val="auto"/>
                <w:szCs w:val="21"/>
                <w:highlight w:val="none"/>
              </w:rPr>
              <w:t>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1" w:type="dxa"/>
            <w:gridSpan w:val="2"/>
            <w:vMerge w:val="restart"/>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lang w:val="zh-CN"/>
              </w:rPr>
              <w:t>投标总报价</w:t>
            </w:r>
          </w:p>
        </w:tc>
        <w:tc>
          <w:tcPr>
            <w:tcW w:w="6699" w:type="dxa"/>
            <w:vAlign w:val="center"/>
          </w:tcPr>
          <w:p>
            <w:pPr>
              <w:autoSpaceDE w:val="0"/>
              <w:autoSpaceDN w:val="0"/>
              <w:adjustRightInd w:val="0"/>
              <w:snapToGrid w:val="0"/>
              <w:spacing w:line="360" w:lineRule="auto"/>
              <w:jc w:val="left"/>
              <w:rPr>
                <w:rFonts w:hint="default" w:ascii="宋体" w:hAnsi="宋体" w:cs="宋体"/>
                <w:bCs/>
                <w:color w:val="auto"/>
                <w:szCs w:val="21"/>
                <w:highlight w:val="none"/>
                <w:lang w:val="en-US" w:eastAsia="zh-CN"/>
              </w:rPr>
            </w:pPr>
            <w:r>
              <w:rPr>
                <w:rFonts w:hint="eastAsia" w:ascii="宋体" w:hAnsi="宋体" w:cs="宋体"/>
                <w:bCs/>
                <w:color w:val="auto"/>
                <w:szCs w:val="21"/>
                <w:highlight w:val="none"/>
              </w:rPr>
              <w:t>小写：</w:t>
            </w:r>
            <w:r>
              <w:rPr>
                <w:rFonts w:hint="eastAsia" w:ascii="宋体" w:hAnsi="宋体" w:cs="宋体"/>
                <w:bCs/>
                <w:color w:val="auto"/>
                <w:szCs w:val="21"/>
                <w:highlight w:val="none"/>
                <w:lang w:val="en-US" w:eastAsia="zh-CN"/>
              </w:rPr>
              <w:t xml:space="preserve">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1" w:type="dxa"/>
            <w:gridSpan w:val="2"/>
            <w:vMerge w:val="continue"/>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p>
        </w:tc>
        <w:tc>
          <w:tcPr>
            <w:tcW w:w="6699" w:type="dxa"/>
            <w:vAlign w:val="center"/>
          </w:tcPr>
          <w:p>
            <w:pPr>
              <w:autoSpaceDE w:val="0"/>
              <w:autoSpaceDN w:val="0"/>
              <w:adjustRightInd w:val="0"/>
              <w:snapToGrid w:val="0"/>
              <w:spacing w:line="360" w:lineRule="auto"/>
              <w:jc w:val="left"/>
              <w:rPr>
                <w:rFonts w:hint="default" w:ascii="宋体" w:hAnsi="宋体" w:cs="宋体"/>
                <w:bCs/>
                <w:color w:val="auto"/>
                <w:szCs w:val="21"/>
                <w:highlight w:val="none"/>
                <w:lang w:val="en-US" w:eastAsia="zh-CN"/>
              </w:rPr>
            </w:pPr>
            <w:r>
              <w:rPr>
                <w:rFonts w:hint="eastAsia" w:ascii="宋体" w:hAnsi="宋体" w:cs="宋体"/>
                <w:bCs/>
                <w:color w:val="auto"/>
                <w:szCs w:val="21"/>
                <w:highlight w:val="none"/>
              </w:rPr>
              <w:t>大写：</w:t>
            </w:r>
            <w:r>
              <w:rPr>
                <w:rFonts w:hint="eastAsia" w:ascii="宋体" w:hAnsi="宋体" w:cs="宋体"/>
                <w:bCs/>
                <w:color w:val="auto"/>
                <w:szCs w:val="21"/>
                <w:highlight w:val="none"/>
                <w:lang w:val="en-US" w:eastAsia="zh-CN"/>
              </w:rPr>
              <w:t xml:space="preserve">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5" w:type="dxa"/>
            <w:vMerge w:val="restart"/>
            <w:vAlign w:val="center"/>
          </w:tcPr>
          <w:p>
            <w:pPr>
              <w:autoSpaceDE w:val="0"/>
              <w:autoSpaceDN w:val="0"/>
              <w:adjustRightInd w:val="0"/>
              <w:snapToGrid w:val="0"/>
              <w:spacing w:line="360" w:lineRule="auto"/>
              <w:jc w:val="center"/>
              <w:rPr>
                <w:rFonts w:hint="eastAsia" w:ascii="宋体" w:hAnsi="宋体" w:cs="宋体"/>
                <w:bCs/>
                <w:color w:val="auto"/>
                <w:szCs w:val="21"/>
                <w:highlight w:val="none"/>
                <w:lang w:val="zh-CN"/>
              </w:rPr>
            </w:pPr>
            <w:r>
              <w:rPr>
                <w:rFonts w:hint="eastAsia" w:ascii="宋体" w:hAnsi="宋体" w:cs="宋体"/>
                <w:bCs/>
                <w:color w:val="auto"/>
                <w:szCs w:val="21"/>
                <w:highlight w:val="none"/>
                <w:lang w:val="zh-CN"/>
              </w:rPr>
              <w:t>各分项报价（元）</w:t>
            </w:r>
          </w:p>
        </w:tc>
        <w:tc>
          <w:tcPr>
            <w:tcW w:w="1936" w:type="dxa"/>
            <w:vAlign w:val="center"/>
          </w:tcPr>
          <w:p>
            <w:pPr>
              <w:autoSpaceDE w:val="0"/>
              <w:autoSpaceDN w:val="0"/>
              <w:adjustRightInd w:val="0"/>
              <w:snapToGrid w:val="0"/>
              <w:spacing w:line="360" w:lineRule="auto"/>
              <w:jc w:val="center"/>
              <w:rPr>
                <w:rFonts w:hint="eastAsia" w:ascii="宋体" w:hAnsi="宋体" w:cs="宋体"/>
                <w:bCs/>
                <w:color w:val="auto"/>
                <w:szCs w:val="21"/>
                <w:highlight w:val="none"/>
                <w:lang w:val="zh-CN"/>
              </w:rPr>
            </w:pPr>
            <w:r>
              <w:rPr>
                <w:rFonts w:hint="eastAsia" w:ascii="宋体" w:hAnsi="宋体" w:cs="宋体"/>
                <w:bCs/>
                <w:color w:val="auto"/>
                <w:szCs w:val="21"/>
                <w:highlight w:val="none"/>
                <w:lang w:val="zh-CN"/>
              </w:rPr>
              <w:t>初步设计</w:t>
            </w:r>
            <w:r>
              <w:rPr>
                <w:rFonts w:hint="eastAsia" w:ascii="宋体" w:hAnsi="宋体" w:cs="宋体"/>
                <w:bCs/>
                <w:color w:val="auto"/>
                <w:szCs w:val="21"/>
                <w:highlight w:val="none"/>
                <w:lang w:val="zh-CN" w:eastAsia="zh-CN"/>
              </w:rPr>
              <w:t>及概算编制</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lang w:val="zh-CN"/>
              </w:rPr>
              <w:t>施工图设计（</w:t>
            </w:r>
            <w:r>
              <w:rPr>
                <w:rFonts w:hint="eastAsia" w:ascii="宋体" w:hAnsi="宋体" w:cs="宋体"/>
                <w:bCs/>
                <w:color w:val="auto"/>
                <w:szCs w:val="21"/>
                <w:highlight w:val="none"/>
                <w:lang w:val="en-US" w:eastAsia="zh-CN"/>
              </w:rPr>
              <w:t>含</w:t>
            </w:r>
            <w:r>
              <w:rPr>
                <w:rFonts w:hint="eastAsia" w:ascii="宋体" w:hAnsi="宋体" w:cs="宋体"/>
                <w:bCs/>
                <w:color w:val="auto"/>
                <w:szCs w:val="21"/>
                <w:highlight w:val="none"/>
                <w:lang w:val="zh-CN"/>
              </w:rPr>
              <w:t>初设</w:t>
            </w:r>
            <w:r>
              <w:rPr>
                <w:rFonts w:hint="eastAsia" w:ascii="宋体" w:hAnsi="宋体" w:cs="宋体"/>
                <w:bCs/>
                <w:color w:val="auto"/>
                <w:szCs w:val="21"/>
                <w:highlight w:val="none"/>
                <w:lang w:val="en-US" w:eastAsia="zh-CN"/>
              </w:rPr>
              <w:t>评审费，</w:t>
            </w:r>
            <w:r>
              <w:rPr>
                <w:rFonts w:hint="eastAsia" w:ascii="宋体" w:hAnsi="宋体" w:cs="宋体"/>
                <w:bCs/>
                <w:color w:val="auto"/>
                <w:szCs w:val="21"/>
                <w:highlight w:val="none"/>
                <w:lang w:val="zh-CN"/>
              </w:rPr>
              <w:t>不含施工图预算</w:t>
            </w:r>
            <w:r>
              <w:rPr>
                <w:rFonts w:hint="eastAsia" w:ascii="宋体" w:hAnsi="宋体" w:cs="宋体"/>
                <w:bCs/>
                <w:color w:val="auto"/>
                <w:szCs w:val="21"/>
                <w:highlight w:val="none"/>
                <w:lang w:val="en-US" w:eastAsia="zh-CN"/>
              </w:rPr>
              <w:t>编制费</w:t>
            </w:r>
            <w:r>
              <w:rPr>
                <w:rFonts w:hint="eastAsia" w:ascii="宋体" w:hAnsi="宋体" w:cs="宋体"/>
                <w:bCs/>
                <w:color w:val="auto"/>
                <w:szCs w:val="21"/>
                <w:highlight w:val="none"/>
                <w:lang w:val="zh-CN"/>
              </w:rPr>
              <w:t>）</w:t>
            </w:r>
          </w:p>
        </w:tc>
        <w:tc>
          <w:tcPr>
            <w:tcW w:w="6699" w:type="dxa"/>
            <w:vAlign w:val="center"/>
          </w:tcPr>
          <w:p>
            <w:pPr>
              <w:autoSpaceDE w:val="0"/>
              <w:autoSpaceDN w:val="0"/>
              <w:adjustRightInd w:val="0"/>
              <w:snapToGrid w:val="0"/>
              <w:spacing w:line="360" w:lineRule="auto"/>
              <w:jc w:val="left"/>
              <w:rPr>
                <w:rFonts w:hint="eastAsia" w:ascii="宋体" w:hAnsi="宋体" w:cs="宋体"/>
                <w:bCs/>
                <w:color w:val="auto"/>
                <w:szCs w:val="21"/>
                <w:highlight w:val="none"/>
                <w:lang w:val="en-US" w:eastAsia="zh-CN"/>
              </w:rPr>
            </w:pPr>
            <w:r>
              <w:rPr>
                <w:rFonts w:hint="eastAsia" w:ascii="宋体" w:hAnsi="宋体" w:cs="宋体"/>
                <w:bCs/>
                <w:color w:val="auto"/>
                <w:szCs w:val="21"/>
                <w:highlight w:val="none"/>
                <w:lang w:eastAsia="zh-CN"/>
              </w:rPr>
              <w:t>小写：</w:t>
            </w:r>
            <w:r>
              <w:rPr>
                <w:rFonts w:hint="eastAsia" w:ascii="宋体" w:hAnsi="宋体" w:cs="宋体"/>
                <w:bCs/>
                <w:color w:val="auto"/>
                <w:szCs w:val="21"/>
                <w:highlight w:val="none"/>
                <w:lang w:val="en-US" w:eastAsia="zh-CN"/>
              </w:rPr>
              <w:t xml:space="preserve">              元</w:t>
            </w:r>
          </w:p>
          <w:p>
            <w:pPr>
              <w:autoSpaceDE w:val="0"/>
              <w:autoSpaceDN w:val="0"/>
              <w:adjustRightInd w:val="0"/>
              <w:snapToGrid w:val="0"/>
              <w:spacing w:line="360" w:lineRule="auto"/>
              <w:jc w:val="left"/>
              <w:rPr>
                <w:rFonts w:hint="default" w:ascii="宋体" w:hAnsi="宋体" w:cs="宋体"/>
                <w:bCs/>
                <w:color w:val="auto"/>
                <w:szCs w:val="21"/>
                <w:highlight w:val="none"/>
                <w:lang w:val="en-US" w:eastAsia="zh-CN"/>
              </w:rPr>
            </w:pPr>
            <w:r>
              <w:rPr>
                <w:rFonts w:hint="eastAsia" w:ascii="宋体" w:hAnsi="宋体" w:cs="宋体"/>
                <w:bCs/>
                <w:color w:val="auto"/>
                <w:szCs w:val="21"/>
                <w:highlight w:val="none"/>
                <w:lang w:val="en-US" w:eastAsia="zh-CN"/>
              </w:rPr>
              <w:t>大写：              元</w:t>
            </w:r>
          </w:p>
          <w:p>
            <w:pPr>
              <w:autoSpaceDE w:val="0"/>
              <w:autoSpaceDN w:val="0"/>
              <w:adjustRightInd w:val="0"/>
              <w:snapToGrid w:val="0"/>
              <w:spacing w:line="360" w:lineRule="auto"/>
              <w:jc w:val="left"/>
              <w:rPr>
                <w:rFonts w:hint="default" w:ascii="宋体" w:hAnsi="宋体" w:cs="宋体"/>
                <w:bCs/>
                <w:color w:val="auto"/>
                <w:szCs w:val="21"/>
                <w:highlight w:val="none"/>
                <w:lang w:val="en-US" w:eastAsia="zh-CN"/>
              </w:rPr>
            </w:pPr>
            <w:r>
              <w:rPr>
                <w:rFonts w:hint="eastAsia" w:ascii="宋体" w:hAnsi="宋体" w:cs="宋体"/>
                <w:bCs/>
                <w:color w:val="auto"/>
                <w:szCs w:val="21"/>
                <w:highlight w:val="none"/>
                <w:lang w:val="en-US" w:eastAsia="zh-CN"/>
              </w:rPr>
              <w:t>投标下浮率：  %（大于5%）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5" w:type="dxa"/>
            <w:vMerge w:val="continue"/>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p>
        </w:tc>
        <w:tc>
          <w:tcPr>
            <w:tcW w:w="1936" w:type="dxa"/>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lang w:val="zh-CN"/>
              </w:rPr>
              <w:t>勘察费（水上）</w:t>
            </w:r>
          </w:p>
        </w:tc>
        <w:tc>
          <w:tcPr>
            <w:tcW w:w="6699" w:type="dxa"/>
            <w:vAlign w:val="center"/>
          </w:tcPr>
          <w:p>
            <w:pPr>
              <w:autoSpaceDE w:val="0"/>
              <w:autoSpaceDN w:val="0"/>
              <w:adjustRightInd w:val="0"/>
              <w:snapToGrid w:val="0"/>
              <w:spacing w:line="360" w:lineRule="auto"/>
              <w:jc w:val="left"/>
              <w:rPr>
                <w:rFonts w:hint="default" w:ascii="宋体" w:hAnsi="宋体" w:cs="宋体"/>
                <w:bCs/>
                <w:color w:val="auto"/>
                <w:szCs w:val="21"/>
                <w:highlight w:val="none"/>
                <w:lang w:val="en-US" w:eastAsia="zh-CN"/>
              </w:rPr>
            </w:pPr>
            <w:r>
              <w:rPr>
                <w:rFonts w:hint="eastAsia" w:ascii="宋体" w:hAnsi="宋体" w:cs="宋体"/>
                <w:bCs/>
                <w:color w:val="auto"/>
                <w:szCs w:val="21"/>
                <w:highlight w:val="none"/>
                <w:lang w:eastAsia="zh-CN"/>
              </w:rPr>
              <w:t>小写：</w:t>
            </w:r>
            <w:r>
              <w:rPr>
                <w:rFonts w:hint="eastAsia" w:ascii="宋体" w:hAnsi="宋体" w:cs="宋体"/>
                <w:bCs/>
                <w:color w:val="auto"/>
                <w:szCs w:val="21"/>
                <w:highlight w:val="none"/>
                <w:lang w:val="en-US" w:eastAsia="zh-CN"/>
              </w:rPr>
              <w:t>综合单价     元/米，总价          元</w:t>
            </w:r>
          </w:p>
          <w:p>
            <w:pPr>
              <w:autoSpaceDE w:val="0"/>
              <w:autoSpaceDN w:val="0"/>
              <w:adjustRightInd w:val="0"/>
              <w:snapToGrid w:val="0"/>
              <w:spacing w:line="360" w:lineRule="auto"/>
              <w:jc w:val="left"/>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大写：综合单价     元/米，总价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5" w:type="dxa"/>
            <w:vMerge w:val="continue"/>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p>
        </w:tc>
        <w:tc>
          <w:tcPr>
            <w:tcW w:w="1936" w:type="dxa"/>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lang w:val="zh-CN"/>
              </w:rPr>
              <w:t>勘察费（陆上）</w:t>
            </w:r>
          </w:p>
        </w:tc>
        <w:tc>
          <w:tcPr>
            <w:tcW w:w="6699" w:type="dxa"/>
            <w:vAlign w:val="center"/>
          </w:tcPr>
          <w:p>
            <w:pPr>
              <w:autoSpaceDE w:val="0"/>
              <w:autoSpaceDN w:val="0"/>
              <w:adjustRightInd w:val="0"/>
              <w:snapToGrid w:val="0"/>
              <w:spacing w:line="360" w:lineRule="auto"/>
              <w:jc w:val="left"/>
              <w:rPr>
                <w:rFonts w:hint="eastAsia" w:ascii="宋体" w:hAnsi="宋体" w:cs="宋体"/>
                <w:bCs/>
                <w:color w:val="auto"/>
                <w:szCs w:val="21"/>
                <w:highlight w:val="none"/>
                <w:lang w:val="en-US" w:eastAsia="zh-CN"/>
              </w:rPr>
            </w:pPr>
            <w:r>
              <w:rPr>
                <w:rFonts w:hint="eastAsia" w:ascii="宋体" w:hAnsi="宋体" w:cs="宋体"/>
                <w:bCs/>
                <w:color w:val="auto"/>
                <w:szCs w:val="21"/>
                <w:highlight w:val="none"/>
                <w:lang w:eastAsia="zh-CN"/>
              </w:rPr>
              <w:t>小写：</w:t>
            </w:r>
            <w:r>
              <w:rPr>
                <w:rFonts w:hint="eastAsia" w:ascii="宋体" w:hAnsi="宋体" w:cs="宋体"/>
                <w:bCs/>
                <w:color w:val="auto"/>
                <w:szCs w:val="21"/>
                <w:highlight w:val="none"/>
                <w:lang w:val="en-US" w:eastAsia="zh-CN"/>
              </w:rPr>
              <w:t>综合单价     元/米，总价          元</w:t>
            </w:r>
          </w:p>
          <w:p>
            <w:pPr>
              <w:autoSpaceDE w:val="0"/>
              <w:autoSpaceDN w:val="0"/>
              <w:adjustRightInd w:val="0"/>
              <w:snapToGrid w:val="0"/>
              <w:spacing w:line="360" w:lineRule="auto"/>
              <w:jc w:val="left"/>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大写：综合单价     元/米，总价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5" w:type="dxa"/>
            <w:vMerge w:val="continue"/>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p>
        </w:tc>
        <w:tc>
          <w:tcPr>
            <w:tcW w:w="1936" w:type="dxa"/>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lang w:val="zh-CN"/>
              </w:rPr>
              <w:t>测量费</w:t>
            </w:r>
          </w:p>
        </w:tc>
        <w:tc>
          <w:tcPr>
            <w:tcW w:w="6699" w:type="dxa"/>
            <w:vAlign w:val="center"/>
          </w:tcPr>
          <w:p>
            <w:pPr>
              <w:autoSpaceDE w:val="0"/>
              <w:autoSpaceDN w:val="0"/>
              <w:adjustRightInd w:val="0"/>
              <w:snapToGrid w:val="0"/>
              <w:spacing w:line="360" w:lineRule="auto"/>
              <w:jc w:val="left"/>
              <w:rPr>
                <w:rFonts w:hint="eastAsia" w:ascii="宋体" w:hAnsi="宋体" w:cs="宋体"/>
                <w:bCs/>
                <w:color w:val="auto"/>
                <w:szCs w:val="21"/>
                <w:highlight w:val="none"/>
                <w:lang w:val="en-US" w:eastAsia="zh-CN"/>
              </w:rPr>
            </w:pPr>
            <w:r>
              <w:rPr>
                <w:rFonts w:hint="eastAsia" w:ascii="宋体" w:hAnsi="宋体" w:cs="宋体"/>
                <w:bCs/>
                <w:color w:val="auto"/>
                <w:szCs w:val="21"/>
                <w:highlight w:val="none"/>
                <w:lang w:eastAsia="zh-CN"/>
              </w:rPr>
              <w:t>小写：</w:t>
            </w:r>
            <w:r>
              <w:rPr>
                <w:rFonts w:hint="eastAsia" w:ascii="宋体" w:hAnsi="宋体" w:cs="宋体"/>
                <w:bCs/>
                <w:color w:val="auto"/>
                <w:szCs w:val="21"/>
                <w:highlight w:val="none"/>
                <w:lang w:val="en-US" w:eastAsia="zh-CN"/>
              </w:rPr>
              <w:t>综合单价     元/㎡，总价          元</w:t>
            </w:r>
          </w:p>
          <w:p>
            <w:pPr>
              <w:autoSpaceDE w:val="0"/>
              <w:autoSpaceDN w:val="0"/>
              <w:adjustRightInd w:val="0"/>
              <w:snapToGrid w:val="0"/>
              <w:spacing w:line="360" w:lineRule="auto"/>
              <w:jc w:val="left"/>
              <w:rPr>
                <w:rFonts w:hint="eastAsia" w:ascii="宋体" w:hAnsi="宋体" w:cs="宋体"/>
                <w:bCs/>
                <w:color w:val="auto"/>
                <w:szCs w:val="21"/>
                <w:highlight w:val="none"/>
              </w:rPr>
            </w:pPr>
            <w:r>
              <w:rPr>
                <w:rFonts w:hint="eastAsia" w:ascii="宋体" w:hAnsi="宋体" w:cs="宋体"/>
                <w:bCs/>
                <w:color w:val="auto"/>
                <w:szCs w:val="21"/>
                <w:highlight w:val="none"/>
                <w:lang w:eastAsia="zh-CN"/>
              </w:rPr>
              <w:t>大写：</w:t>
            </w:r>
            <w:r>
              <w:rPr>
                <w:rFonts w:hint="eastAsia" w:ascii="宋体" w:hAnsi="宋体" w:cs="宋体"/>
                <w:bCs/>
                <w:color w:val="auto"/>
                <w:szCs w:val="21"/>
                <w:highlight w:val="none"/>
                <w:lang w:val="en-US" w:eastAsia="zh-CN"/>
              </w:rPr>
              <w:t>综合单价     元/㎡，总价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2711" w:type="dxa"/>
            <w:gridSpan w:val="2"/>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lang w:val="zh-CN"/>
              </w:rPr>
              <w:t>法定代表人</w:t>
            </w:r>
          </w:p>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lang w:val="zh-CN"/>
              </w:rPr>
              <w:t>（签名或盖章）</w:t>
            </w:r>
          </w:p>
        </w:tc>
        <w:tc>
          <w:tcPr>
            <w:tcW w:w="6699" w:type="dxa"/>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2711" w:type="dxa"/>
            <w:gridSpan w:val="2"/>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lang w:val="zh-CN"/>
              </w:rPr>
              <w:t>授权委托人</w:t>
            </w:r>
          </w:p>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lang w:val="zh-CN"/>
              </w:rPr>
              <w:t>（签名或盖章）</w:t>
            </w:r>
          </w:p>
        </w:tc>
        <w:tc>
          <w:tcPr>
            <w:tcW w:w="6699" w:type="dxa"/>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2711" w:type="dxa"/>
            <w:gridSpan w:val="2"/>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lang w:val="zh-CN"/>
              </w:rPr>
              <w:t>投标单位</w:t>
            </w:r>
          </w:p>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lang w:val="zh-CN"/>
              </w:rPr>
              <w:t>（企业公章）</w:t>
            </w:r>
          </w:p>
        </w:tc>
        <w:tc>
          <w:tcPr>
            <w:tcW w:w="6699" w:type="dxa"/>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p>
        </w:tc>
      </w:tr>
    </w:tbl>
    <w:p>
      <w:pPr>
        <w:pStyle w:val="7"/>
        <w:spacing w:line="360" w:lineRule="auto"/>
        <w:ind w:firstLine="210" w:firstLineChars="100"/>
        <w:rPr>
          <w:rFonts w:hAnsi="宋体" w:cs="宋体"/>
          <w:bCs/>
          <w:color w:val="auto"/>
          <w:highlight w:val="none"/>
        </w:rPr>
      </w:pPr>
      <w:r>
        <w:rPr>
          <w:rFonts w:hAnsi="宋体" w:cs="宋体"/>
          <w:bCs/>
          <w:color w:val="auto"/>
          <w:highlight w:val="none"/>
        </w:rPr>
        <w:t>注：（1）投标总报价的大写金额和小写金额不一致的，以大写金额为准，投标报价精确到小数点后两位。</w:t>
      </w:r>
    </w:p>
    <w:p>
      <w:pPr>
        <w:pStyle w:val="7"/>
        <w:spacing w:line="360" w:lineRule="auto"/>
        <w:ind w:firstLine="210" w:firstLineChars="100"/>
        <w:rPr>
          <w:rFonts w:hint="eastAsia" w:ascii="宋体" w:hAnsi="宋体" w:eastAsia="宋体" w:cs="宋体"/>
          <w:color w:val="auto"/>
          <w:sz w:val="21"/>
          <w:szCs w:val="21"/>
          <w:highlight w:val="none"/>
        </w:rPr>
      </w:pPr>
      <w:r>
        <w:rPr>
          <w:rFonts w:hint="eastAsia" w:hAnsi="宋体" w:cs="宋体"/>
          <w:bCs/>
          <w:color w:val="auto"/>
          <w:highlight w:val="none"/>
          <w:lang w:eastAsia="zh-CN"/>
        </w:rPr>
        <w:t>（</w:t>
      </w:r>
      <w:r>
        <w:rPr>
          <w:rFonts w:hint="eastAsia" w:hAnsi="宋体" w:cs="宋体"/>
          <w:bCs/>
          <w:color w:val="auto"/>
          <w:highlight w:val="none"/>
          <w:lang w:val="en-US" w:eastAsia="zh-CN"/>
        </w:rPr>
        <w:t>2</w:t>
      </w:r>
      <w:r>
        <w:rPr>
          <w:rFonts w:hint="eastAsia" w:hAnsi="宋体" w:cs="宋体"/>
          <w:bCs/>
          <w:color w:val="auto"/>
          <w:highlight w:val="none"/>
          <w:lang w:eastAsia="zh-CN"/>
        </w:rPr>
        <w:t>）</w:t>
      </w:r>
      <w:r>
        <w:rPr>
          <w:rFonts w:hint="eastAsia" w:ascii="宋体" w:hAnsi="宋体" w:eastAsia="宋体" w:cs="宋体"/>
          <w:color w:val="auto"/>
          <w:sz w:val="21"/>
          <w:szCs w:val="21"/>
          <w:highlight w:val="none"/>
        </w:rPr>
        <w:t>本项目</w:t>
      </w:r>
      <w:r>
        <w:rPr>
          <w:rFonts w:hint="eastAsia" w:hAnsi="宋体" w:cs="宋体"/>
          <w:color w:val="auto"/>
          <w:sz w:val="21"/>
          <w:szCs w:val="21"/>
          <w:highlight w:val="none"/>
          <w:lang w:eastAsia="zh-CN"/>
        </w:rPr>
        <w:t>招标总控制价及各分项限价详见投标须知前附表约定。</w:t>
      </w:r>
    </w:p>
    <w:p>
      <w:pPr>
        <w:spacing w:line="360" w:lineRule="auto"/>
        <w:rPr>
          <w:rFonts w:hAnsi="宋体"/>
          <w:b/>
          <w:color w:val="auto"/>
          <w:highlight w:val="none"/>
        </w:rPr>
      </w:pPr>
      <w:r>
        <w:rPr>
          <w:rFonts w:hAnsi="宋体"/>
          <w:b/>
          <w:color w:val="auto"/>
          <w:highlight w:val="none"/>
        </w:rPr>
        <w:br w:type="page"/>
      </w:r>
    </w:p>
    <w:p>
      <w:pPr>
        <w:jc w:val="left"/>
        <w:rPr>
          <w:b/>
          <w:color w:val="auto"/>
          <w:sz w:val="24"/>
          <w:highlight w:val="none"/>
        </w:rPr>
      </w:pPr>
      <w:r>
        <w:rPr>
          <w:rFonts w:hint="eastAsia"/>
          <w:b/>
          <w:color w:val="auto"/>
          <w:sz w:val="24"/>
          <w:highlight w:val="none"/>
        </w:rPr>
        <w:t>封面</w:t>
      </w:r>
      <w:r>
        <w:rPr>
          <w:rFonts w:hint="eastAsia" w:ascii="宋体" w:hAnsi="宋体"/>
          <w:b/>
          <w:color w:val="auto"/>
          <w:sz w:val="24"/>
          <w:highlight w:val="none"/>
        </w:rPr>
        <w:t>格式1：</w:t>
      </w:r>
    </w:p>
    <w:p>
      <w:pPr>
        <w:spacing w:line="400" w:lineRule="exact"/>
        <w:ind w:right="-1359" w:rightChars="-647" w:firstLine="6726" w:firstLineChars="1861"/>
        <w:jc w:val="left"/>
        <w:rPr>
          <w:rFonts w:ascii="黑体" w:eastAsia="黑体"/>
          <w:b/>
          <w:color w:val="auto"/>
          <w:sz w:val="36"/>
          <w:szCs w:val="36"/>
          <w:highlight w:val="none"/>
        </w:rPr>
      </w:pPr>
      <w:r>
        <w:rPr>
          <w:rFonts w:hint="eastAsia" w:ascii="黑体" w:eastAsia="黑体"/>
          <w:b/>
          <w:color w:val="auto"/>
          <w:sz w:val="36"/>
          <w:szCs w:val="36"/>
          <w:highlight w:val="none"/>
        </w:rPr>
        <w:t>正本或副本</w:t>
      </w:r>
    </w:p>
    <w:p>
      <w:pPr>
        <w:jc w:val="center"/>
        <w:rPr>
          <w:rFonts w:ascii="宋体"/>
          <w:b/>
          <w:color w:val="auto"/>
          <w:sz w:val="32"/>
          <w:szCs w:val="32"/>
          <w:highlight w:val="none"/>
        </w:rPr>
      </w:pPr>
    </w:p>
    <w:p>
      <w:pPr>
        <w:jc w:val="center"/>
        <w:rPr>
          <w:rFonts w:ascii="宋体"/>
          <w:b/>
          <w:color w:val="auto"/>
          <w:sz w:val="32"/>
          <w:szCs w:val="32"/>
          <w:highlight w:val="none"/>
        </w:rPr>
      </w:pPr>
    </w:p>
    <w:p>
      <w:pPr>
        <w:jc w:val="center"/>
        <w:rPr>
          <w:rFonts w:ascii="宋体"/>
          <w:b/>
          <w:color w:val="auto"/>
          <w:sz w:val="32"/>
          <w:szCs w:val="32"/>
          <w:highlight w:val="none"/>
        </w:rPr>
      </w:pPr>
    </w:p>
    <w:p>
      <w:pPr>
        <w:jc w:val="center"/>
        <w:rPr>
          <w:rFonts w:ascii="宋体"/>
          <w:b/>
          <w:color w:val="auto"/>
          <w:sz w:val="32"/>
          <w:szCs w:val="32"/>
          <w:highlight w:val="none"/>
        </w:rPr>
      </w:pPr>
    </w:p>
    <w:p>
      <w:pPr>
        <w:jc w:val="center"/>
        <w:rPr>
          <w:b/>
          <w:color w:val="auto"/>
          <w:sz w:val="44"/>
          <w:szCs w:val="44"/>
          <w:highlight w:val="none"/>
        </w:rPr>
      </w:pPr>
      <w:r>
        <w:rPr>
          <w:rFonts w:hint="eastAsia" w:ascii="宋体" w:hAnsi="宋体"/>
          <w:b/>
          <w:color w:val="auto"/>
          <w:sz w:val="44"/>
          <w:szCs w:val="44"/>
          <w:highlight w:val="none"/>
        </w:rPr>
        <w:t>项目名称</w:t>
      </w:r>
    </w:p>
    <w:p>
      <w:pPr>
        <w:jc w:val="center"/>
        <w:rPr>
          <w:b/>
          <w:color w:val="auto"/>
          <w:sz w:val="48"/>
          <w:szCs w:val="48"/>
          <w:highlight w:val="none"/>
        </w:rPr>
      </w:pP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jc w:val="center"/>
        <w:rPr>
          <w:rFonts w:eastAsia="黑体"/>
          <w:color w:val="auto"/>
          <w:sz w:val="28"/>
          <w:szCs w:val="28"/>
          <w:highlight w:val="none"/>
        </w:rPr>
      </w:pPr>
      <w:r>
        <w:rPr>
          <w:rFonts w:hint="eastAsia" w:eastAsia="黑体"/>
          <w:color w:val="auto"/>
          <w:sz w:val="52"/>
          <w:szCs w:val="52"/>
          <w:highlight w:val="none"/>
        </w:rPr>
        <w:t>商务文件</w:t>
      </w:r>
    </w:p>
    <w:p>
      <w:pPr>
        <w:rPr>
          <w:rFonts w:eastAsia="黑体"/>
          <w:color w:val="auto"/>
          <w:sz w:val="28"/>
          <w:szCs w:val="28"/>
          <w:highlight w:val="none"/>
        </w:rPr>
      </w:pPr>
    </w:p>
    <w:p>
      <w:pPr>
        <w:rPr>
          <w:rFonts w:eastAsia="黑体"/>
          <w:color w:val="auto"/>
          <w:sz w:val="28"/>
          <w:szCs w:val="28"/>
          <w:highlight w:val="none"/>
        </w:rPr>
      </w:pPr>
    </w:p>
    <w:p>
      <w:pPr>
        <w:rPr>
          <w:rFonts w:eastAsia="黑体"/>
          <w:color w:val="auto"/>
          <w:sz w:val="28"/>
          <w:szCs w:val="28"/>
          <w:highlight w:val="none"/>
        </w:rPr>
      </w:pPr>
    </w:p>
    <w:p>
      <w:pPr>
        <w:rPr>
          <w:rFonts w:eastAsia="黑体"/>
          <w:color w:val="auto"/>
          <w:sz w:val="28"/>
          <w:szCs w:val="28"/>
          <w:highlight w:val="none"/>
        </w:rPr>
      </w:pPr>
    </w:p>
    <w:p>
      <w:pPr>
        <w:spacing w:line="720" w:lineRule="auto"/>
        <w:rPr>
          <w:rFonts w:eastAsia="黑体"/>
          <w:color w:val="auto"/>
          <w:sz w:val="28"/>
          <w:szCs w:val="28"/>
          <w:highlight w:val="none"/>
        </w:rPr>
      </w:pPr>
    </w:p>
    <w:p>
      <w:pPr>
        <w:spacing w:line="480" w:lineRule="auto"/>
        <w:rPr>
          <w:rFonts w:eastAsia="黑体"/>
          <w:color w:val="auto"/>
          <w:sz w:val="28"/>
          <w:szCs w:val="28"/>
          <w:highlight w:val="none"/>
          <w:u w:val="single"/>
        </w:rPr>
      </w:pPr>
      <w:r>
        <w:rPr>
          <w:rFonts w:hint="eastAsia" w:eastAsia="黑体"/>
          <w:color w:val="auto"/>
          <w:sz w:val="28"/>
          <w:szCs w:val="28"/>
          <w:highlight w:val="none"/>
        </w:rPr>
        <w:t>投标人：（盖单位章）</w:t>
      </w:r>
    </w:p>
    <w:p>
      <w:pPr>
        <w:spacing w:line="480" w:lineRule="auto"/>
        <w:rPr>
          <w:rFonts w:eastAsia="黑体"/>
          <w:color w:val="auto"/>
          <w:sz w:val="28"/>
          <w:szCs w:val="28"/>
          <w:highlight w:val="none"/>
        </w:rPr>
      </w:pPr>
      <w:r>
        <w:rPr>
          <w:rFonts w:hint="eastAsia" w:eastAsia="黑体"/>
          <w:color w:val="auto"/>
          <w:sz w:val="28"/>
          <w:szCs w:val="28"/>
          <w:highlight w:val="none"/>
        </w:rPr>
        <w:t>法定代表人或其委托代理人：（签名或盖章）</w:t>
      </w:r>
    </w:p>
    <w:p>
      <w:pPr>
        <w:autoSpaceDE w:val="0"/>
        <w:autoSpaceDN w:val="0"/>
        <w:adjustRightInd w:val="0"/>
        <w:spacing w:line="480" w:lineRule="auto"/>
        <w:ind w:firstLine="1120" w:firstLineChars="400"/>
        <w:rPr>
          <w:rFonts w:eastAsia="黑体"/>
          <w:color w:val="auto"/>
          <w:sz w:val="28"/>
          <w:szCs w:val="28"/>
          <w:highlight w:val="none"/>
        </w:rPr>
      </w:pPr>
      <w:r>
        <w:rPr>
          <w:rFonts w:hint="eastAsia" w:eastAsia="黑体"/>
          <w:color w:val="auto"/>
          <w:sz w:val="28"/>
          <w:szCs w:val="28"/>
          <w:highlight w:val="none"/>
        </w:rPr>
        <w:t>年  月  日</w:t>
      </w:r>
    </w:p>
    <w:p>
      <w:pPr>
        <w:widowControl/>
        <w:jc w:val="left"/>
        <w:rPr>
          <w:b/>
          <w:color w:val="auto"/>
          <w:sz w:val="24"/>
          <w:highlight w:val="none"/>
        </w:rPr>
      </w:pPr>
      <w:r>
        <w:rPr>
          <w:b/>
          <w:color w:val="auto"/>
          <w:sz w:val="24"/>
          <w:highlight w:val="none"/>
        </w:rPr>
        <w:br w:type="page"/>
      </w:r>
    </w:p>
    <w:p>
      <w:pPr>
        <w:jc w:val="left"/>
        <w:rPr>
          <w:b/>
          <w:color w:val="auto"/>
          <w:sz w:val="24"/>
          <w:highlight w:val="none"/>
        </w:rPr>
      </w:pPr>
      <w:r>
        <w:rPr>
          <w:rFonts w:hint="eastAsia"/>
          <w:b/>
          <w:color w:val="auto"/>
          <w:sz w:val="24"/>
          <w:highlight w:val="none"/>
        </w:rPr>
        <w:t>封面</w:t>
      </w:r>
      <w:r>
        <w:rPr>
          <w:rFonts w:hint="eastAsia" w:ascii="宋体" w:hAnsi="宋体"/>
          <w:b/>
          <w:color w:val="auto"/>
          <w:sz w:val="24"/>
          <w:highlight w:val="none"/>
        </w:rPr>
        <w:t>格式2：</w:t>
      </w:r>
    </w:p>
    <w:p>
      <w:pPr>
        <w:spacing w:line="400" w:lineRule="exact"/>
        <w:ind w:right="-1359" w:rightChars="-647" w:firstLine="6726" w:firstLineChars="1861"/>
        <w:jc w:val="left"/>
        <w:rPr>
          <w:rFonts w:ascii="黑体" w:eastAsia="黑体"/>
          <w:b/>
          <w:color w:val="auto"/>
          <w:sz w:val="36"/>
          <w:szCs w:val="36"/>
          <w:highlight w:val="none"/>
        </w:rPr>
      </w:pPr>
      <w:r>
        <w:rPr>
          <w:rFonts w:hint="eastAsia" w:ascii="黑体" w:eastAsia="黑体"/>
          <w:b/>
          <w:color w:val="auto"/>
          <w:sz w:val="36"/>
          <w:szCs w:val="36"/>
          <w:highlight w:val="none"/>
        </w:rPr>
        <w:t>正本或副本</w:t>
      </w:r>
    </w:p>
    <w:p>
      <w:pPr>
        <w:jc w:val="center"/>
        <w:rPr>
          <w:rFonts w:ascii="宋体"/>
          <w:b/>
          <w:color w:val="auto"/>
          <w:sz w:val="32"/>
          <w:szCs w:val="32"/>
          <w:highlight w:val="none"/>
        </w:rPr>
      </w:pPr>
    </w:p>
    <w:p>
      <w:pPr>
        <w:jc w:val="center"/>
        <w:rPr>
          <w:rFonts w:ascii="宋体"/>
          <w:b/>
          <w:color w:val="auto"/>
          <w:sz w:val="32"/>
          <w:szCs w:val="32"/>
          <w:highlight w:val="none"/>
        </w:rPr>
      </w:pPr>
    </w:p>
    <w:p>
      <w:pPr>
        <w:jc w:val="center"/>
        <w:rPr>
          <w:rFonts w:ascii="宋体"/>
          <w:b/>
          <w:color w:val="auto"/>
          <w:sz w:val="32"/>
          <w:szCs w:val="32"/>
          <w:highlight w:val="none"/>
        </w:rPr>
      </w:pPr>
    </w:p>
    <w:p>
      <w:pPr>
        <w:jc w:val="center"/>
        <w:rPr>
          <w:rFonts w:ascii="宋体"/>
          <w:b/>
          <w:color w:val="auto"/>
          <w:sz w:val="32"/>
          <w:szCs w:val="32"/>
          <w:highlight w:val="none"/>
        </w:rPr>
      </w:pPr>
    </w:p>
    <w:p>
      <w:pPr>
        <w:jc w:val="center"/>
        <w:rPr>
          <w:b/>
          <w:color w:val="auto"/>
          <w:sz w:val="44"/>
          <w:szCs w:val="44"/>
          <w:highlight w:val="none"/>
        </w:rPr>
      </w:pPr>
      <w:r>
        <w:rPr>
          <w:rFonts w:hint="eastAsia" w:ascii="宋体" w:hAnsi="宋体"/>
          <w:b/>
          <w:color w:val="auto"/>
          <w:sz w:val="44"/>
          <w:szCs w:val="44"/>
          <w:highlight w:val="none"/>
        </w:rPr>
        <w:t>项目名称</w:t>
      </w:r>
    </w:p>
    <w:p>
      <w:pPr>
        <w:jc w:val="center"/>
        <w:rPr>
          <w:b/>
          <w:color w:val="auto"/>
          <w:sz w:val="48"/>
          <w:szCs w:val="48"/>
          <w:highlight w:val="none"/>
        </w:rPr>
      </w:pP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jc w:val="center"/>
        <w:rPr>
          <w:rFonts w:eastAsia="黑体"/>
          <w:color w:val="auto"/>
          <w:sz w:val="52"/>
          <w:szCs w:val="52"/>
          <w:highlight w:val="none"/>
        </w:rPr>
      </w:pPr>
      <w:r>
        <w:rPr>
          <w:rFonts w:hint="eastAsia" w:eastAsia="黑体"/>
          <w:color w:val="auto"/>
          <w:sz w:val="52"/>
          <w:szCs w:val="52"/>
          <w:highlight w:val="none"/>
        </w:rPr>
        <w:t>设计技术文件</w:t>
      </w:r>
    </w:p>
    <w:p>
      <w:pPr>
        <w:autoSpaceDE w:val="0"/>
        <w:autoSpaceDN w:val="0"/>
        <w:adjustRightInd w:val="0"/>
        <w:spacing w:line="480" w:lineRule="auto"/>
        <w:rPr>
          <w:rFonts w:eastAsia="黑体"/>
          <w:color w:val="auto"/>
          <w:sz w:val="28"/>
          <w:szCs w:val="28"/>
          <w:highlight w:val="none"/>
        </w:rPr>
      </w:pPr>
    </w:p>
    <w:p>
      <w:pPr>
        <w:pStyle w:val="7"/>
        <w:rPr>
          <w:rFonts w:hint="default"/>
          <w:color w:val="auto"/>
          <w:highlight w:val="none"/>
        </w:rPr>
      </w:pPr>
      <w:r>
        <w:rPr>
          <w:color w:val="auto"/>
          <w:highlight w:val="none"/>
        </w:rPr>
        <w:br w:type="page"/>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pStyle w:val="3"/>
        <w:widowControl/>
        <w:spacing w:before="0" w:after="0" w:line="360" w:lineRule="auto"/>
        <w:jc w:val="center"/>
        <w:rPr>
          <w:rFonts w:ascii="黑体" w:hAnsi="宋体" w:cs="黑体"/>
          <w:b/>
          <w:color w:val="auto"/>
          <w:kern w:val="44"/>
          <w:sz w:val="44"/>
          <w:szCs w:val="44"/>
          <w:highlight w:val="none"/>
        </w:rPr>
      </w:pPr>
      <w:bookmarkStart w:id="43" w:name="_Toc374128477"/>
      <w:bookmarkEnd w:id="43"/>
      <w:bookmarkStart w:id="44" w:name="_Toc30913"/>
    </w:p>
    <w:p>
      <w:pPr>
        <w:pStyle w:val="3"/>
        <w:widowControl/>
        <w:spacing w:before="0" w:after="0" w:line="360" w:lineRule="auto"/>
        <w:jc w:val="center"/>
        <w:rPr>
          <w:rFonts w:ascii="黑体" w:hAnsi="宋体" w:cs="黑体"/>
          <w:b/>
          <w:color w:val="auto"/>
          <w:kern w:val="44"/>
          <w:sz w:val="44"/>
          <w:szCs w:val="44"/>
          <w:highlight w:val="none"/>
        </w:rPr>
      </w:pPr>
    </w:p>
    <w:p>
      <w:pPr>
        <w:pStyle w:val="3"/>
        <w:widowControl/>
        <w:spacing w:before="0" w:after="0" w:line="360" w:lineRule="auto"/>
        <w:jc w:val="center"/>
        <w:rPr>
          <w:rFonts w:ascii="黑体" w:hAnsi="宋体" w:cs="黑体"/>
          <w:b/>
          <w:color w:val="auto"/>
          <w:kern w:val="44"/>
          <w:sz w:val="44"/>
          <w:szCs w:val="44"/>
          <w:highlight w:val="none"/>
        </w:rPr>
      </w:pPr>
    </w:p>
    <w:p>
      <w:pPr>
        <w:pStyle w:val="3"/>
        <w:widowControl/>
        <w:spacing w:before="0" w:after="0" w:line="360" w:lineRule="auto"/>
        <w:jc w:val="center"/>
        <w:rPr>
          <w:rFonts w:ascii="黑体" w:hAnsi="宋体" w:cs="黑体"/>
          <w:b/>
          <w:color w:val="auto"/>
          <w:kern w:val="44"/>
          <w:sz w:val="44"/>
          <w:szCs w:val="44"/>
          <w:highlight w:val="none"/>
        </w:rPr>
      </w:pPr>
    </w:p>
    <w:p>
      <w:pPr>
        <w:pStyle w:val="3"/>
        <w:widowControl/>
        <w:spacing w:before="0" w:after="0" w:line="360" w:lineRule="auto"/>
        <w:jc w:val="center"/>
        <w:rPr>
          <w:rFonts w:ascii="黑体" w:hAnsi="宋体" w:cs="黑体"/>
          <w:b/>
          <w:color w:val="auto"/>
          <w:kern w:val="44"/>
          <w:sz w:val="44"/>
          <w:szCs w:val="44"/>
          <w:highlight w:val="none"/>
        </w:rPr>
      </w:pPr>
      <w:r>
        <w:rPr>
          <w:rFonts w:hint="eastAsia" w:ascii="黑体" w:hAnsi="宋体" w:cs="黑体"/>
          <w:b/>
          <w:color w:val="auto"/>
          <w:kern w:val="44"/>
          <w:sz w:val="44"/>
          <w:szCs w:val="44"/>
          <w:highlight w:val="none"/>
        </w:rPr>
        <w:t>第4章 评标办法</w:t>
      </w:r>
      <w:bookmarkEnd w:id="44"/>
    </w:p>
    <w:p>
      <w:pPr>
        <w:spacing w:afterLines="50"/>
        <w:jc w:val="center"/>
        <w:rPr>
          <w:rFonts w:eastAsia="黑体"/>
          <w:color w:val="auto"/>
          <w:sz w:val="36"/>
          <w:szCs w:val="36"/>
          <w:highlight w:val="none"/>
        </w:rPr>
      </w:pPr>
      <w:r>
        <w:rPr>
          <w:rFonts w:ascii="Times New Roman" w:hAnsi="Times New Roman" w:eastAsia="黑体" w:cs="Times New Roman"/>
          <w:color w:val="auto"/>
          <w:sz w:val="36"/>
          <w:szCs w:val="36"/>
          <w:highlight w:val="none"/>
        </w:rPr>
        <w:t xml:space="preserve"> </w:t>
      </w:r>
    </w:p>
    <w:p>
      <w:pPr>
        <w:spacing w:line="500" w:lineRule="exact"/>
        <w:jc w:val="center"/>
        <w:rPr>
          <w:rFonts w:ascii="Times New Roman" w:hAnsi="Times New Roman" w:eastAsia="宋体" w:cs="Times New Roman"/>
          <w:color w:val="auto"/>
          <w:szCs w:val="21"/>
          <w:highlight w:val="none"/>
        </w:rPr>
        <w:sectPr>
          <w:pgSz w:w="11915" w:h="16840"/>
          <w:pgMar w:top="1247" w:right="1135" w:bottom="1247" w:left="1361" w:header="720" w:footer="720" w:gutter="0"/>
          <w:cols w:space="425" w:num="1"/>
          <w:docGrid w:linePitch="285" w:charSpace="0"/>
        </w:sectPr>
      </w:pPr>
      <w:r>
        <w:rPr>
          <w:rFonts w:ascii="Times New Roman" w:hAnsi="Times New Roman" w:eastAsia="宋体" w:cs="Times New Roman"/>
          <w:color w:val="auto"/>
          <w:szCs w:val="21"/>
          <w:highlight w:val="none"/>
        </w:rPr>
        <w:br w:type="page"/>
      </w:r>
    </w:p>
    <w:p>
      <w:pPr>
        <w:spacing w:line="5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一、前言</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1.1本项目采取邀请招标选择设计单位，为保证招标“公开、公平、公正”，根据国家有关工程建设招标投标的法律、法规和方针、政策，制定本评标细则，实行评标的规范化、标准化、科学化。</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  本评标办法仅适用本次</w:t>
      </w:r>
      <w:r>
        <w:rPr>
          <w:rFonts w:hint="eastAsia" w:ascii="仿宋" w:hAnsi="仿宋" w:eastAsia="仿宋" w:cs="仿宋"/>
          <w:color w:val="auto"/>
          <w:sz w:val="28"/>
          <w:szCs w:val="28"/>
          <w:highlight w:val="none"/>
          <w:lang w:eastAsia="zh-CN"/>
        </w:rPr>
        <w:t>勘察测量设计</w:t>
      </w:r>
      <w:r>
        <w:rPr>
          <w:rFonts w:hint="eastAsia" w:ascii="仿宋" w:hAnsi="仿宋" w:eastAsia="仿宋" w:cs="仿宋"/>
          <w:color w:val="auto"/>
          <w:sz w:val="28"/>
          <w:szCs w:val="28"/>
          <w:highlight w:val="none"/>
        </w:rPr>
        <w:t>招标。</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  本评标办法的解释和修订权属招标人。</w:t>
      </w:r>
    </w:p>
    <w:p>
      <w:pPr>
        <w:spacing w:line="5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二、评标依据</w:t>
      </w:r>
    </w:p>
    <w:p>
      <w:pPr>
        <w:spacing w:line="500" w:lineRule="exact"/>
        <w:ind w:firstLine="560" w:firstLineChars="20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评标工作严格执行国家颁布的有关法规，招标文件是投标单位编制投标文件的基础和评标的依据。主要资料和文件包括：</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2.1《中华人民共和国</w:t>
      </w:r>
      <w:r>
        <w:rPr>
          <w:rFonts w:hint="eastAsia" w:ascii="仿宋" w:hAnsi="仿宋" w:eastAsia="仿宋" w:cs="仿宋"/>
          <w:color w:val="auto"/>
          <w:sz w:val="28"/>
          <w:szCs w:val="28"/>
          <w:highlight w:val="none"/>
          <w:lang w:eastAsia="zh-CN"/>
        </w:rPr>
        <w:t>民法典</w:t>
      </w:r>
      <w:r>
        <w:rPr>
          <w:rFonts w:hint="eastAsia" w:ascii="仿宋" w:hAnsi="仿宋" w:eastAsia="仿宋" w:cs="仿宋"/>
          <w:color w:val="auto"/>
          <w:sz w:val="28"/>
          <w:szCs w:val="28"/>
          <w:highlight w:val="none"/>
        </w:rPr>
        <w:t>》；</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2.2《中华人民共和国招标投标法》；</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2.3《中华人民共和国招标投标法实施条例》</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2.4七部委第12号令《</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和评标方法暂行规定》；</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2.5《广东省实施〈中华人民共和国招标投标法〉办法》；</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2.6《广东省加强建设工程招标投标监督管理的若干规定》；</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2.7本招标项目的招标文件、评标办法及其补充通知；</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2.8投标文件及澄清问题书面资料；</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2.9国家、省、市各级行政主管部门颁发的其他有关招投标相关法律法规。</w:t>
      </w:r>
    </w:p>
    <w:p>
      <w:pPr>
        <w:spacing w:line="5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三、评标人员守则</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所有参加评标人员必须遵守国家、地方政府制定的有关工程招标投标的法则、规定，遵守有关工程招标投标的保密制度；如果发现评标专家徇私，违反纪律，则取消其评标资格，并报市公共资源交易中心备案；情节严重，构成犯罪的，由司法机关依法追究其刑事责任。</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全体参与评标人员：</w:t>
      </w:r>
    </w:p>
    <w:p>
      <w:pPr>
        <w:numPr>
          <w:ilvl w:val="0"/>
          <w:numId w:val="4"/>
        </w:numPr>
        <w:spacing w:line="50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必须遵守评标纪律、不得泄密；</w:t>
      </w:r>
    </w:p>
    <w:p>
      <w:pPr>
        <w:numPr>
          <w:ilvl w:val="0"/>
          <w:numId w:val="4"/>
        </w:numPr>
        <w:spacing w:line="50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必须公正、不得循私；</w:t>
      </w:r>
    </w:p>
    <w:p>
      <w:pPr>
        <w:numPr>
          <w:ilvl w:val="0"/>
          <w:numId w:val="4"/>
        </w:numPr>
        <w:spacing w:line="50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必须科学、不得草率；</w:t>
      </w:r>
    </w:p>
    <w:p>
      <w:pPr>
        <w:numPr>
          <w:ilvl w:val="0"/>
          <w:numId w:val="4"/>
        </w:numPr>
        <w:spacing w:line="50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必须客观、不得带有成见；</w:t>
      </w:r>
    </w:p>
    <w:p>
      <w:pPr>
        <w:numPr>
          <w:ilvl w:val="0"/>
          <w:numId w:val="4"/>
        </w:numPr>
        <w:spacing w:line="50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必须平等、不得强加于人；</w:t>
      </w:r>
    </w:p>
    <w:p>
      <w:pPr>
        <w:numPr>
          <w:ilvl w:val="0"/>
          <w:numId w:val="4"/>
        </w:numPr>
        <w:spacing w:line="50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必须严谨、不得随意马虎。</w:t>
      </w:r>
    </w:p>
    <w:p>
      <w:pPr>
        <w:spacing w:line="5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四、评标机构</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招标人依法组建</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w:t>
      </w:r>
    </w:p>
    <w:p>
      <w:pPr>
        <w:spacing w:line="5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五、开标、评标、定标办法</w:t>
      </w:r>
    </w:p>
    <w:p>
      <w:pPr>
        <w:pStyle w:val="7"/>
        <w:widowControl/>
        <w:spacing w:line="500" w:lineRule="exact"/>
        <w:ind w:firstLine="562" w:firstLineChars="200"/>
        <w:rPr>
          <w:rFonts w:hint="eastAsia" w:ascii="仿宋" w:hAnsi="仿宋" w:eastAsia="仿宋" w:cs="仿宋"/>
          <w:b/>
          <w:color w:val="auto"/>
          <w:sz w:val="28"/>
          <w:szCs w:val="28"/>
          <w:highlight w:val="none"/>
          <w:lang w:eastAsia="zh-CN"/>
        </w:rPr>
      </w:pPr>
      <w:r>
        <w:rPr>
          <w:rFonts w:ascii="仿宋" w:hAnsi="仿宋" w:eastAsia="仿宋" w:cs="仿宋"/>
          <w:b/>
          <w:color w:val="auto"/>
          <w:sz w:val="28"/>
          <w:szCs w:val="28"/>
          <w:highlight w:val="none"/>
        </w:rPr>
        <w:t>5.1</w:t>
      </w:r>
      <w:r>
        <w:rPr>
          <w:rFonts w:hint="eastAsia" w:ascii="仿宋" w:hAnsi="仿宋" w:eastAsia="仿宋" w:cs="仿宋"/>
          <w:b/>
          <w:color w:val="auto"/>
          <w:sz w:val="28"/>
          <w:szCs w:val="28"/>
          <w:highlight w:val="none"/>
          <w:lang w:eastAsia="zh-CN"/>
        </w:rPr>
        <w:t>评标小组</w:t>
      </w:r>
    </w:p>
    <w:p>
      <w:pPr>
        <w:pStyle w:val="7"/>
        <w:widowControl/>
        <w:spacing w:line="500" w:lineRule="exact"/>
        <w:ind w:firstLine="560" w:firstLineChars="200"/>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 xml:space="preserve">5.1.1  </w:t>
      </w:r>
      <w:r>
        <w:rPr>
          <w:rFonts w:hint="eastAsia" w:ascii="仿宋" w:hAnsi="仿宋" w:eastAsia="仿宋" w:cs="仿宋"/>
          <w:color w:val="auto"/>
          <w:sz w:val="28"/>
          <w:szCs w:val="28"/>
          <w:highlight w:val="none"/>
          <w:lang w:eastAsia="zh-CN"/>
        </w:rPr>
        <w:t>评标小组</w:t>
      </w:r>
      <w:r>
        <w:rPr>
          <w:rFonts w:ascii="仿宋" w:hAnsi="仿宋" w:eastAsia="仿宋" w:cs="仿宋"/>
          <w:color w:val="auto"/>
          <w:sz w:val="28"/>
          <w:szCs w:val="28"/>
          <w:highlight w:val="none"/>
        </w:rPr>
        <w:t>由招标人依法组建的5名专家组成。</w:t>
      </w:r>
    </w:p>
    <w:p>
      <w:pPr>
        <w:pStyle w:val="7"/>
        <w:widowControl/>
        <w:spacing w:line="500" w:lineRule="exact"/>
        <w:ind w:firstLine="560" w:firstLineChars="200"/>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 xml:space="preserve">5.1.2  </w:t>
      </w:r>
      <w:r>
        <w:rPr>
          <w:rFonts w:hint="eastAsia" w:ascii="仿宋" w:hAnsi="仿宋" w:eastAsia="仿宋" w:cs="仿宋"/>
          <w:color w:val="auto"/>
          <w:sz w:val="28"/>
          <w:szCs w:val="28"/>
          <w:highlight w:val="none"/>
          <w:lang w:eastAsia="zh-CN"/>
        </w:rPr>
        <w:t>评标小组</w:t>
      </w:r>
      <w:r>
        <w:rPr>
          <w:rFonts w:ascii="仿宋" w:hAnsi="仿宋" w:eastAsia="仿宋" w:cs="仿宋"/>
          <w:color w:val="auto"/>
          <w:sz w:val="28"/>
          <w:szCs w:val="28"/>
          <w:highlight w:val="none"/>
        </w:rPr>
        <w:t>推举产生1名评标组长，主持评审工作，评标组长与其他成员有同等表决权。</w:t>
      </w:r>
    </w:p>
    <w:p>
      <w:pPr>
        <w:pStyle w:val="7"/>
        <w:widowControl/>
        <w:spacing w:line="500" w:lineRule="exact"/>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 xml:space="preserve"> </w:t>
      </w:r>
    </w:p>
    <w:p>
      <w:pPr>
        <w:spacing w:line="500" w:lineRule="exact"/>
        <w:ind w:firstLine="562" w:firstLineChars="20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5.2    评标原则</w:t>
      </w:r>
    </w:p>
    <w:p>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5.2.1  </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根据招标文件规定的评标标准和方法，对投标文件进行评审和比较，招标文件中没有规定的标准和方法不得作为评标的依据。</w:t>
      </w:r>
    </w:p>
    <w:p>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5.2.2  在符合招标文件规定的前提下，</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主要对投标文件进行评议。</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5.2.3  开标、评标过程发现的问题和产生的纠纷，由</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负责裁决。裁决前，</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应认真阅读招标文件的规定。投标文件中全部符合附件1《符合性审查表》中任一种情形的，为有效标书，否则其投标文件将被否决。若本项目通过符合性审查的投标人不足3名时，应重新招标。</w:t>
      </w:r>
    </w:p>
    <w:p>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5.2.4  评标讨论过程中，</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成员应当对投标文件发表专业、客观、公正的意见，意见不一致的应作进一步核实和讨论。</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成员对任何一个投标文件的质疑，应当在讨论或现场讲解时提出，表决结果公布后才提出的质疑，不可作为改变表决结果的依据。</w:t>
      </w:r>
    </w:p>
    <w:p>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5.2.5  如果少数投标人超越招标文件要求提交了模型、演示动画、特殊规格展示图纸或发生其他特殊情况，</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对超越招标文件要求的内容不进行评审，只评审该投标文件符合要求的内容。</w:t>
      </w:r>
    </w:p>
    <w:p>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p>
      <w:pPr>
        <w:spacing w:line="500" w:lineRule="exact"/>
        <w:ind w:firstLine="562" w:firstLineChars="20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5.3    评标办法 采用</w:t>
      </w:r>
      <w:r>
        <w:rPr>
          <w:rFonts w:hint="eastAsia" w:ascii="仿宋" w:hAnsi="仿宋" w:eastAsia="仿宋" w:cs="仿宋"/>
          <w:b/>
          <w:color w:val="auto"/>
          <w:sz w:val="28"/>
          <w:szCs w:val="28"/>
          <w:highlight w:val="none"/>
          <w:u w:val="single"/>
        </w:rPr>
        <w:t>综合评分法评标</w:t>
      </w:r>
    </w:p>
    <w:p>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5.3.1  开标评标程序</w:t>
      </w:r>
    </w:p>
    <w:p>
      <w:pPr>
        <w:snapToGrid w:val="0"/>
        <w:spacing w:line="500" w:lineRule="exact"/>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（1）投标人递交投标文件。</w:t>
      </w:r>
    </w:p>
    <w:p>
      <w:pPr>
        <w:snapToGrid w:val="0"/>
        <w:spacing w:line="500" w:lineRule="exact"/>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（2）对投标文件公开开标。</w:t>
      </w:r>
    </w:p>
    <w:p>
      <w:pPr>
        <w:snapToGrid w:val="0"/>
        <w:spacing w:line="500" w:lineRule="exact"/>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（3）对投标文件进行符合性审查，并对通过符合性审查的投标文件进行综合评分。</w:t>
      </w:r>
    </w:p>
    <w:p>
      <w:pPr>
        <w:spacing w:line="500" w:lineRule="exact"/>
        <w:ind w:firstLine="560" w:firstLineChars="200"/>
        <w:rPr>
          <w:rFonts w:ascii="仿宋" w:hAnsi="仿宋" w:eastAsia="仿宋" w:cs="仿宋"/>
          <w:b/>
          <w:color w:val="auto"/>
          <w:sz w:val="28"/>
          <w:szCs w:val="28"/>
          <w:highlight w:val="none"/>
        </w:rPr>
      </w:pPr>
      <w:r>
        <w:rPr>
          <w:rFonts w:hint="eastAsia" w:ascii="仿宋" w:hAnsi="仿宋" w:eastAsia="仿宋" w:cs="仿宋"/>
          <w:color w:val="auto"/>
          <w:sz w:val="28"/>
          <w:szCs w:val="28"/>
          <w:highlight w:val="none"/>
        </w:rPr>
        <w:t>（4）汇总投标人的综合得分，推荐中标候选人并编写评标报告。</w:t>
      </w:r>
    </w:p>
    <w:p>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5.3.2  详细评审步骤</w:t>
      </w:r>
    </w:p>
    <w:p>
      <w:pPr>
        <w:snapToGrid w:val="0"/>
        <w:spacing w:line="500" w:lineRule="exact"/>
        <w:ind w:left="779" w:leftChars="170" w:hanging="422" w:hangingChars="15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(a) </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专家首先按附件1《符合性审查表》对各投标文件进行评审，只有通过符合性审查的投标文件方可进入下一阶段的评审。如果有符合性审查不通过提议，则</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成员共同表决，按照少数服从多数的原则决定是否通过符合性审查。</w:t>
      </w:r>
    </w:p>
    <w:p>
      <w:pPr>
        <w:spacing w:line="500" w:lineRule="exact"/>
        <w:ind w:left="919" w:leftChars="171" w:hanging="560" w:hanging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(b) </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专家计算各投标人的综合得分.</w:t>
      </w:r>
    </w:p>
    <w:p>
      <w:pPr>
        <w:spacing w:line="500" w:lineRule="exact"/>
        <w:ind w:left="919" w:leftChars="171" w:hanging="560" w:hanging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(c) </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编写、签署评标报告，向招标人推荐综合得分最高的前三名中标候选方案（中标候选人）并标明排列顺序，评标报告由</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全体成员签名，对评标结论持有异议的</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成员可以书面方式阐述其不同意见和理由。</w:t>
      </w:r>
    </w:p>
    <w:p>
      <w:pPr>
        <w:spacing w:line="500" w:lineRule="exact"/>
        <w:ind w:firstLine="562" w:firstLineChars="200"/>
        <w:jc w:val="lef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5.4   定标</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5.4.1  招标人在</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推荐的候选方案中确定中标方案。但是，招标人认为</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推荐的候选方案不能最大限度满足招标文件规定的要求的，依法重新招标。</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5.4.2  招标人采用下面方法确定中标人：</w:t>
      </w:r>
    </w:p>
    <w:p>
      <w:pPr>
        <w:spacing w:line="500" w:lineRule="exact"/>
        <w:ind w:left="958" w:hanging="957" w:hangingChars="342"/>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□（a）招标人委托</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直接确定中标人；</w:t>
      </w:r>
    </w:p>
    <w:p>
      <w:pPr>
        <w:spacing w:line="500" w:lineRule="exact"/>
        <w:ind w:left="961" w:hanging="961" w:hangingChars="342"/>
        <w:jc w:val="left"/>
        <w:rPr>
          <w:rFonts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w:t>
      </w:r>
      <w:r>
        <w:rPr>
          <w:rFonts w:hint="eastAsia" w:ascii="仿宋" w:hAnsi="仿宋" w:eastAsia="仿宋" w:cs="仿宋"/>
          <w:color w:val="auto"/>
          <w:sz w:val="28"/>
          <w:szCs w:val="28"/>
          <w:highlight w:val="none"/>
        </w:rPr>
        <w:t>（b）确定</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推荐的排名第一的中标候选人为中标人。如排名第一的中标候选人放弃中标或因招标人拒绝投标人的情形或因不可抗力提出不能履行合同、招标文件规定应当提交履约保证金而在规定的期限内未提交的，或者存在违法行为被有关部门依法查处且其违法行为影响中标结果的，则确定排名第二的中标候选人为中标人。如排名第二的中标候选人也发生上述问题，则确定排名第三的中标候选人为中标人。</w:t>
      </w:r>
    </w:p>
    <w:p>
      <w:pPr>
        <w:spacing w:line="500" w:lineRule="exact"/>
        <w:ind w:left="958" w:hanging="957" w:hangingChars="342"/>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p>
      <w:pPr>
        <w:spacing w:line="500" w:lineRule="exact"/>
        <w:ind w:firstLine="562" w:firstLineChars="20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5.5  发生下列情形之一的，招标人将重新组织招标：</w:t>
      </w:r>
    </w:p>
    <w:p>
      <w:pPr>
        <w:pStyle w:val="7"/>
        <w:widowControl/>
        <w:spacing w:line="500" w:lineRule="exact"/>
        <w:ind w:firstLine="560" w:firstLineChars="200"/>
        <w:jc w:val="left"/>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若本项目经评审有效的投标人不足3名时，本次招标失败，招标人应当依法重新组织招标。</w:t>
      </w:r>
    </w:p>
    <w:p>
      <w:pPr>
        <w:spacing w:line="500" w:lineRule="exact"/>
        <w:ind w:firstLine="562" w:firstLineChars="20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5.6    授予合同</w:t>
      </w:r>
    </w:p>
    <w:p>
      <w:pPr>
        <w:pStyle w:val="7"/>
        <w:widowControl/>
        <w:spacing w:line="500" w:lineRule="exact"/>
        <w:ind w:firstLine="560" w:firstLineChars="200"/>
        <w:jc w:val="left"/>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5.6.1  招标人一般将合同授予中标人，合同在投标有效期或投标人接受的延长期内授出。</w:t>
      </w:r>
    </w:p>
    <w:p>
      <w:pPr>
        <w:pStyle w:val="7"/>
        <w:widowControl/>
        <w:spacing w:line="500" w:lineRule="exact"/>
        <w:ind w:firstLine="560" w:firstLineChars="200"/>
        <w:jc w:val="left"/>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5.6.2  中标人必须签署并执行招标文件规定的合同条件。</w:t>
      </w:r>
    </w:p>
    <w:p>
      <w:pPr>
        <w:spacing w:line="5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六、开标细则</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6.1开标由招标人或招标代理机构主持；</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6.2 由投标人或其推选的代表检查投标文件的密封情况，也可以由招标人委托的公证机构检查并公证；</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6.3 投标截止期前，各投标人递交投标文件至招标文件规定的投标地点。有关投标文件提交的事项详见招标文件第一章“投标须知”。</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6.4 开标时，由招标人或招标代理机构在监督人员的见证下当众拆封，宣读a、投标人名称；b、标书密封情况；c、法定代表人证明及授权委托；d、项目负责人名称；e、投标报价等主要内容以及开标记录表中的其他必要内容，并予以记录，记录提交</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评审。</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6.5  招标人对开标过程进行记录，并存档备查，投标人在开标记录上签字。唱标结束后如未签字确认，则视为对开标结果无异议。</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6.6  招标人将上述符合要求的投标文件，送至</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进行评审。</w:t>
      </w:r>
    </w:p>
    <w:p>
      <w:pPr>
        <w:spacing w:line="5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七、评标</w:t>
      </w:r>
    </w:p>
    <w:p>
      <w:pPr>
        <w:snapToGrid w:val="0"/>
        <w:spacing w:line="500" w:lineRule="exact"/>
        <w:ind w:firstLine="422" w:firstLineChars="15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7.1  评标过程</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本次招标评标分“符合性审查”、“综合评分”两部分进行评审。收标后，全部评标过程将按以下阶段和步骤进行：</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1）第一步：进行投标文件符合性审查；</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依据有关法律、法规和招标文件的规定对投标文件进行评审，若本项目经评审有效的投标人不足3名时，本次招标失败，招标人应当依法重新组织招标。</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2）第二步：专家对综合评分表进行打分；</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3）第三步：</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完成评标报告，向招标人推荐中标候选人。</w:t>
      </w:r>
    </w:p>
    <w:p>
      <w:pPr>
        <w:snapToGrid w:val="0"/>
        <w:spacing w:line="500" w:lineRule="exact"/>
        <w:ind w:firstLine="422" w:firstLineChars="15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7.2  投标文件的符合性审查</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7.2.1</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根据附件1“符合性审查表”进行评审。投标文件全部列于附件1《符合性审查表》中情形的，为通过符合性审查。否则其投标文件将被否决。如</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成员的评审意见不一致时，以</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过半数成员的意见作为</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对该情形的认定结论。</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7.2.2</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对所有投标作否决处理的，招标人应当重新招标。</w:t>
      </w:r>
    </w:p>
    <w:p>
      <w:pPr>
        <w:snapToGrid w:val="0"/>
        <w:spacing w:line="500" w:lineRule="exact"/>
        <w:ind w:firstLine="422" w:firstLineChars="15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7.4  计算投标人总得分（满分为100分） </w:t>
      </w:r>
    </w:p>
    <w:p>
      <w:pPr>
        <w:snapToGrid w:val="0"/>
        <w:spacing w:line="500" w:lineRule="exact"/>
        <w:ind w:firstLine="422" w:firstLineChars="15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7.5  推荐中标候选人</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以上评审完成后，按以下规定推荐第一中标候选人、第二中标候选人和第三中标候选人：</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7.5.1按投标人总得分高低进行先后排序，取评分最高者为第一中标候选人，次高者为第二中标候选人，依次类推。</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7.5.2如果有两个或两个以上的投标人总得分评分相同，则服务报价得分较高的投标人排名优先；如果总得分、服务报价得分均相同的投标文件，则由</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采用摇珠方式，确定中标候选人顺序。</w:t>
      </w:r>
    </w:p>
    <w:p>
      <w:pPr>
        <w:snapToGrid w:val="0"/>
        <w:spacing w:line="500" w:lineRule="exact"/>
        <w:ind w:firstLine="422" w:firstLineChars="15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7.6 确定中标人</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 招标人依据评标报告审定本项目的中标人。</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 虽然经招标人审定为中标人，但在签订合同前的任何时候，招标人、评标专家以及其他人员发现投标人在招标投标过程有弄虚作假行为、虚报资料情况，一经查实，立即取消其中标人资格。</w:t>
      </w:r>
    </w:p>
    <w:p>
      <w:pPr>
        <w:snapToGrid w:val="0"/>
        <w:spacing w:line="360" w:lineRule="auto"/>
        <w:ind w:firstLine="562"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7.7招标人将参照以下原则进行本项目中标人的替换：</w:t>
      </w:r>
    </w:p>
    <w:p>
      <w:pPr>
        <w:numPr>
          <w:ilvl w:val="0"/>
          <w:numId w:val="5"/>
        </w:numPr>
        <w:snapToGrid w:val="0"/>
        <w:spacing w:line="360" w:lineRule="auto"/>
        <w:ind w:left="0" w:firstLine="425"/>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若中标人在实际工作中服务质量存在问题，未能表现出符合要求的设计水平，经招标人研究确定，可解除与中标人的合同关系，并按照中标候选人顺序依次选取新的中标人。</w:t>
      </w:r>
    </w:p>
    <w:p>
      <w:pPr>
        <w:numPr>
          <w:ilvl w:val="0"/>
          <w:numId w:val="5"/>
        </w:numPr>
        <w:snapToGrid w:val="0"/>
        <w:spacing w:line="360" w:lineRule="auto"/>
        <w:ind w:left="0" w:firstLine="425"/>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当中标人以正式的书面函件形式申请放弃中标资格时，招标人可取消其中标人资格，解除与中标人的合同关系，并按照中标候选人顺序依次选取新的中标人。</w:t>
      </w:r>
    </w:p>
    <w:p>
      <w:pPr>
        <w:pStyle w:val="7"/>
        <w:rPr>
          <w:rFonts w:hint="default" w:ascii="仿宋" w:hAnsi="仿宋" w:eastAsia="仿宋" w:cs="仿宋"/>
          <w:color w:val="auto"/>
          <w:sz w:val="28"/>
          <w:szCs w:val="28"/>
          <w:highlight w:val="none"/>
        </w:rPr>
      </w:pPr>
    </w:p>
    <w:p>
      <w:pPr>
        <w:pStyle w:val="7"/>
        <w:rPr>
          <w:rFonts w:hint="default" w:ascii="仿宋" w:hAnsi="仿宋" w:eastAsia="仿宋" w:cs="仿宋"/>
          <w:color w:val="auto"/>
          <w:sz w:val="28"/>
          <w:szCs w:val="28"/>
          <w:highlight w:val="none"/>
        </w:rPr>
      </w:pPr>
    </w:p>
    <w:p>
      <w:pPr>
        <w:snapToGrid w:val="0"/>
        <w:spacing w:line="360" w:lineRule="auto"/>
        <w:rPr>
          <w:rFonts w:ascii="仿宋" w:hAnsi="仿宋" w:eastAsia="仿宋" w:cs="仿宋"/>
          <w:color w:val="auto"/>
          <w:sz w:val="24"/>
          <w:highlight w:val="none"/>
        </w:rPr>
      </w:pPr>
    </w:p>
    <w:p>
      <w:pPr>
        <w:rPr>
          <w:rFonts w:hint="eastAsia" w:ascii="黑体" w:hAnsi="宋体" w:cs="黑体"/>
          <w:b/>
          <w:color w:val="auto"/>
          <w:kern w:val="44"/>
          <w:sz w:val="44"/>
          <w:szCs w:val="44"/>
          <w:highlight w:val="none"/>
        </w:rPr>
      </w:pPr>
      <w:bookmarkStart w:id="45" w:name="_Toc26593"/>
      <w:r>
        <w:rPr>
          <w:rFonts w:hint="eastAsia" w:ascii="黑体" w:hAnsi="宋体" w:cs="黑体"/>
          <w:b/>
          <w:color w:val="auto"/>
          <w:kern w:val="44"/>
          <w:sz w:val="44"/>
          <w:szCs w:val="44"/>
          <w:highlight w:val="none"/>
        </w:rPr>
        <w:br w:type="page"/>
      </w:r>
    </w:p>
    <w:p>
      <w:pPr>
        <w:snapToGrid w:val="0"/>
        <w:spacing w:line="360" w:lineRule="auto"/>
        <w:ind w:firstLine="663" w:firstLineChars="150"/>
        <w:jc w:val="center"/>
        <w:rPr>
          <w:rFonts w:ascii="黑体" w:hAnsi="宋体" w:cs="黑体"/>
          <w:b/>
          <w:color w:val="auto"/>
          <w:kern w:val="44"/>
          <w:sz w:val="44"/>
          <w:szCs w:val="44"/>
          <w:highlight w:val="none"/>
        </w:rPr>
      </w:pPr>
      <w:r>
        <w:rPr>
          <w:rFonts w:hint="eastAsia" w:ascii="黑体" w:hAnsi="宋体" w:cs="黑体"/>
          <w:b/>
          <w:color w:val="auto"/>
          <w:kern w:val="44"/>
          <w:sz w:val="44"/>
          <w:szCs w:val="44"/>
          <w:highlight w:val="none"/>
        </w:rPr>
        <w:t>第5章 附件</w:t>
      </w:r>
      <w:bookmarkEnd w:id="45"/>
    </w:p>
    <w:p>
      <w:pPr>
        <w:pStyle w:val="18"/>
        <w:widowControl/>
        <w:ind w:firstLine="562"/>
        <w:rPr>
          <w:rFonts w:hint="default" w:ascii="仿宋" w:hAnsi="仿宋" w:eastAsia="仿宋" w:cs="仿宋"/>
          <w:b/>
          <w:color w:val="auto"/>
          <w:sz w:val="28"/>
          <w:szCs w:val="28"/>
          <w:highlight w:val="none"/>
          <w:u w:val="single"/>
        </w:rPr>
      </w:pPr>
      <w:r>
        <w:rPr>
          <w:rFonts w:ascii="仿宋" w:hAnsi="仿宋" w:eastAsia="仿宋" w:cs="仿宋"/>
          <w:b/>
          <w:color w:val="auto"/>
          <w:sz w:val="28"/>
          <w:szCs w:val="28"/>
          <w:highlight w:val="none"/>
          <w:u w:val="single"/>
        </w:rPr>
        <w:t>附件1 符合性审查表</w:t>
      </w:r>
    </w:p>
    <w:p>
      <w:pPr>
        <w:pStyle w:val="18"/>
        <w:widowControl/>
        <w:ind w:firstLine="562"/>
        <w:rPr>
          <w:rFonts w:hint="default" w:ascii="仿宋" w:hAnsi="仿宋" w:eastAsia="仿宋" w:cs="仿宋"/>
          <w:b/>
          <w:color w:val="auto"/>
          <w:sz w:val="28"/>
          <w:szCs w:val="28"/>
          <w:highlight w:val="none"/>
          <w:u w:val="single"/>
        </w:rPr>
      </w:pPr>
      <w:bookmarkStart w:id="46" w:name="OLE_LINK3"/>
      <w:bookmarkEnd w:id="46"/>
      <w:r>
        <w:rPr>
          <w:rFonts w:ascii="仿宋" w:hAnsi="仿宋" w:eastAsia="仿宋" w:cs="仿宋"/>
          <w:b/>
          <w:color w:val="auto"/>
          <w:sz w:val="28"/>
          <w:szCs w:val="28"/>
          <w:highlight w:val="none"/>
          <w:u w:val="single"/>
        </w:rPr>
        <w:t>附件2 综合评分表</w:t>
      </w:r>
    </w:p>
    <w:p>
      <w:pPr>
        <w:snapToGrid w:val="0"/>
        <w:spacing w:line="300" w:lineRule="auto"/>
        <w:outlineLvl w:val="0"/>
        <w:rPr>
          <w:rFonts w:ascii="仿宋" w:hAnsi="仿宋" w:eastAsia="仿宋" w:cs="仿宋"/>
          <w:color w:val="auto"/>
          <w:sz w:val="28"/>
          <w:szCs w:val="28"/>
          <w:highlight w:val="none"/>
        </w:rPr>
      </w:pPr>
      <w:r>
        <w:rPr>
          <w:rFonts w:hint="eastAsia" w:ascii="仿宋" w:hAnsi="仿宋" w:eastAsia="仿宋" w:cs="Times New Roman"/>
          <w:color w:val="auto"/>
          <w:sz w:val="28"/>
          <w:szCs w:val="28"/>
          <w:highlight w:val="none"/>
        </w:rPr>
        <w:br w:type="page"/>
      </w:r>
      <w:bookmarkStart w:id="47" w:name="_Toc12170"/>
      <w:r>
        <w:rPr>
          <w:rFonts w:hint="eastAsia" w:ascii="仿宋" w:hAnsi="仿宋" w:eastAsia="仿宋" w:cs="仿宋"/>
          <w:color w:val="auto"/>
          <w:sz w:val="28"/>
          <w:szCs w:val="28"/>
          <w:highlight w:val="none"/>
        </w:rPr>
        <w:t>附件1：符合性审查表</w:t>
      </w:r>
      <w:bookmarkEnd w:id="47"/>
      <w:r>
        <w:rPr>
          <w:rFonts w:hint="eastAsia" w:ascii="仿宋" w:hAnsi="仿宋" w:eastAsia="仿宋" w:cs="仿宋"/>
          <w:color w:val="auto"/>
          <w:sz w:val="28"/>
          <w:szCs w:val="28"/>
          <w:highlight w:val="none"/>
        </w:rPr>
        <w:t xml:space="preserve">  </w:t>
      </w:r>
    </w:p>
    <w:p>
      <w:pPr>
        <w:jc w:val="center"/>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 xml:space="preserve"> 符合性审查表</w:t>
      </w:r>
    </w:p>
    <w:tbl>
      <w:tblPr>
        <w:tblStyle w:val="13"/>
        <w:tblW w:w="8930" w:type="dxa"/>
        <w:tblInd w:w="108" w:type="dxa"/>
        <w:tblLayout w:type="fixed"/>
        <w:tblCellMar>
          <w:top w:w="0" w:type="dxa"/>
          <w:left w:w="108" w:type="dxa"/>
          <w:bottom w:w="0" w:type="dxa"/>
          <w:right w:w="108" w:type="dxa"/>
        </w:tblCellMar>
      </w:tblPr>
      <w:tblGrid>
        <w:gridCol w:w="720"/>
        <w:gridCol w:w="3533"/>
        <w:gridCol w:w="1559"/>
        <w:gridCol w:w="1559"/>
        <w:gridCol w:w="1559"/>
      </w:tblGrid>
      <w:tr>
        <w:tblPrEx>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Lines="50" w:afterLines="50" w:line="240" w:lineRule="exact"/>
              <w:ind w:left="-107" w:leftChars="-51" w:firstLine="1"/>
              <w:jc w:val="center"/>
              <w:rPr>
                <w:rFonts w:ascii="仿宋" w:hAnsi="仿宋" w:eastAsia="仿宋" w:cs="仿宋"/>
                <w:b/>
                <w:color w:val="auto"/>
                <w:highlight w:val="none"/>
              </w:rPr>
            </w:pPr>
            <w:r>
              <w:rPr>
                <w:rFonts w:hint="eastAsia" w:ascii="仿宋" w:hAnsi="仿宋" w:eastAsia="仿宋" w:cs="仿宋"/>
                <w:b/>
                <w:color w:val="auto"/>
                <w:szCs w:val="21"/>
                <w:highlight w:val="none"/>
              </w:rPr>
              <w:t>序号</w:t>
            </w:r>
          </w:p>
        </w:tc>
        <w:tc>
          <w:tcPr>
            <w:tcW w:w="3533" w:type="dxa"/>
            <w:tcBorders>
              <w:top w:val="single" w:color="auto" w:sz="4" w:space="0"/>
              <w:left w:val="nil"/>
              <w:bottom w:val="single" w:color="auto" w:sz="4" w:space="0"/>
              <w:right w:val="single" w:color="auto" w:sz="4" w:space="0"/>
              <w:tl2br w:val="single" w:color="auto" w:sz="4" w:space="0"/>
            </w:tcBorders>
            <w:shd w:val="clear" w:color="auto" w:fill="auto"/>
            <w:vAlign w:val="center"/>
          </w:tcPr>
          <w:p>
            <w:pPr>
              <w:spacing w:beforeLines="50" w:afterLines="50" w:line="240" w:lineRule="exact"/>
              <w:ind w:left="105" w:leftChars="50" w:right="105" w:rightChars="50"/>
              <w:jc w:val="center"/>
              <w:rPr>
                <w:rFonts w:ascii="仿宋" w:hAnsi="仿宋" w:eastAsia="仿宋" w:cs="仿宋"/>
                <w:b/>
                <w:color w:val="auto"/>
                <w:highlight w:val="none"/>
              </w:rPr>
            </w:pPr>
            <w:r>
              <w:rPr>
                <w:rFonts w:hint="eastAsia" w:ascii="仿宋" w:hAnsi="仿宋" w:eastAsia="仿宋" w:cs="仿宋"/>
                <w:b/>
                <w:color w:val="auto"/>
                <w:szCs w:val="21"/>
                <w:highlight w:val="none"/>
              </w:rPr>
              <w:t xml:space="preserve">   投标人</w:t>
            </w:r>
          </w:p>
          <w:p>
            <w:pPr>
              <w:spacing w:beforeLines="50" w:afterLines="50" w:line="240" w:lineRule="exact"/>
              <w:ind w:left="105" w:leftChars="50" w:right="105" w:rightChars="50"/>
              <w:jc w:val="center"/>
              <w:rPr>
                <w:rFonts w:ascii="仿宋" w:hAnsi="仿宋" w:eastAsia="仿宋" w:cs="仿宋"/>
                <w:b/>
                <w:color w:val="auto"/>
                <w:highlight w:val="none"/>
              </w:rPr>
            </w:pPr>
          </w:p>
          <w:p>
            <w:pPr>
              <w:spacing w:beforeLines="50" w:afterLines="50" w:line="240" w:lineRule="exact"/>
              <w:ind w:left="105" w:leftChars="50" w:right="105" w:rightChars="50"/>
              <w:rPr>
                <w:rFonts w:ascii="仿宋" w:hAnsi="仿宋" w:eastAsia="仿宋" w:cs="仿宋"/>
                <w:b/>
                <w:color w:val="auto"/>
                <w:highlight w:val="none"/>
              </w:rPr>
            </w:pPr>
            <w:r>
              <w:rPr>
                <w:rFonts w:hint="eastAsia" w:ascii="仿宋" w:hAnsi="仿宋" w:eastAsia="仿宋" w:cs="仿宋"/>
                <w:b/>
                <w:color w:val="auto"/>
                <w:szCs w:val="21"/>
                <w:highlight w:val="none"/>
              </w:rPr>
              <w:t>评审项目</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Lines="50" w:afterLines="50" w:line="240" w:lineRule="exact"/>
              <w:ind w:left="105" w:leftChars="50" w:right="105" w:rightChars="50"/>
              <w:jc w:val="center"/>
              <w:rPr>
                <w:rFonts w:ascii="仿宋" w:hAnsi="仿宋" w:eastAsia="仿宋" w:cs="仿宋"/>
                <w:b/>
                <w:color w:val="auto"/>
                <w:highlight w:val="none"/>
              </w:rPr>
            </w:pPr>
            <w:r>
              <w:rPr>
                <w:rFonts w:hint="eastAsia" w:ascii="仿宋" w:hAnsi="仿宋" w:eastAsia="仿宋" w:cs="仿宋"/>
                <w:b/>
                <w:color w:val="auto"/>
                <w:szCs w:val="21"/>
                <w:highlight w:val="none"/>
              </w:rPr>
              <w:t>投标人1</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Lines="50" w:afterLines="50" w:line="240" w:lineRule="exact"/>
              <w:ind w:left="105" w:leftChars="50" w:right="105" w:rightChars="50"/>
              <w:jc w:val="center"/>
              <w:rPr>
                <w:rFonts w:ascii="仿宋" w:hAnsi="仿宋" w:eastAsia="仿宋" w:cs="仿宋"/>
                <w:b/>
                <w:color w:val="auto"/>
                <w:highlight w:val="none"/>
              </w:rPr>
            </w:pPr>
            <w:r>
              <w:rPr>
                <w:rFonts w:hint="eastAsia" w:ascii="仿宋" w:hAnsi="仿宋" w:eastAsia="仿宋" w:cs="仿宋"/>
                <w:b/>
                <w:color w:val="auto"/>
                <w:szCs w:val="21"/>
                <w:highlight w:val="none"/>
              </w:rPr>
              <w:t>投标人2</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Lines="50" w:afterLines="50" w:line="240" w:lineRule="exact"/>
              <w:ind w:left="105" w:leftChars="50" w:right="105" w:rightChars="50"/>
              <w:jc w:val="center"/>
              <w:rPr>
                <w:rFonts w:ascii="仿宋" w:hAnsi="仿宋" w:eastAsia="仿宋" w:cs="仿宋"/>
                <w:b/>
                <w:color w:val="auto"/>
                <w:highlight w:val="none"/>
              </w:rPr>
            </w:pPr>
            <w:r>
              <w:rPr>
                <w:rFonts w:hint="eastAsia" w:ascii="仿宋" w:hAnsi="仿宋" w:eastAsia="仿宋" w:cs="仿宋"/>
                <w:b/>
                <w:color w:val="auto"/>
                <w:szCs w:val="21"/>
                <w:highlight w:val="none"/>
              </w:rPr>
              <w:t>投标人3</w:t>
            </w:r>
          </w:p>
        </w:tc>
      </w:tr>
      <w:tr>
        <w:tblPrEx>
          <w:tblCellMar>
            <w:top w:w="0" w:type="dxa"/>
            <w:left w:w="108" w:type="dxa"/>
            <w:bottom w:w="0" w:type="dxa"/>
            <w:right w:w="108" w:type="dxa"/>
          </w:tblCellMar>
        </w:tblPrEx>
        <w:trPr>
          <w:trHeight w:val="777"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Lines="50" w:afterLines="50" w:line="240" w:lineRule="exact"/>
              <w:ind w:left="-51"/>
              <w:jc w:val="center"/>
              <w:rPr>
                <w:rFonts w:ascii="仿宋" w:hAnsi="仿宋" w:eastAsia="仿宋" w:cs="仿宋"/>
                <w:color w:val="auto"/>
                <w:highlight w:val="none"/>
              </w:rPr>
            </w:pPr>
            <w:r>
              <w:rPr>
                <w:rFonts w:hint="eastAsia" w:ascii="仿宋" w:hAnsi="仿宋" w:eastAsia="仿宋" w:cs="仿宋"/>
                <w:color w:val="auto"/>
                <w:szCs w:val="21"/>
                <w:highlight w:val="none"/>
              </w:rPr>
              <w:t>1</w:t>
            </w:r>
          </w:p>
        </w:tc>
        <w:tc>
          <w:tcPr>
            <w:tcW w:w="3533" w:type="dxa"/>
            <w:tcBorders>
              <w:top w:val="single" w:color="auto" w:sz="4" w:space="0"/>
              <w:left w:val="nil"/>
              <w:bottom w:val="single" w:color="auto" w:sz="4" w:space="0"/>
              <w:right w:val="single" w:color="auto" w:sz="4" w:space="0"/>
            </w:tcBorders>
            <w:shd w:val="clear" w:color="auto" w:fill="auto"/>
            <w:vAlign w:val="center"/>
          </w:tcPr>
          <w:p>
            <w:pPr>
              <w:spacing w:beforeLines="50" w:afterLines="50"/>
              <w:ind w:right="105" w:rightChars="50" w:firstLine="18" w:firstLineChars="9"/>
              <w:jc w:val="left"/>
              <w:rPr>
                <w:rFonts w:ascii="仿宋" w:hAnsi="仿宋" w:eastAsia="仿宋" w:cs="仿宋"/>
                <w:color w:val="auto"/>
                <w:highlight w:val="none"/>
              </w:rPr>
            </w:pPr>
            <w:r>
              <w:rPr>
                <w:rFonts w:hint="eastAsia" w:ascii="仿宋" w:hAnsi="仿宋" w:eastAsia="仿宋" w:cs="仿宋"/>
                <w:color w:val="auto"/>
                <w:szCs w:val="21"/>
                <w:highlight w:val="none"/>
              </w:rPr>
              <w:t>投标函签名、并加盖公章有效，且内容与招标文件相同</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Lines="5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Lines="5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Lines="50" w:afterLines="50" w:line="240" w:lineRule="exact"/>
              <w:ind w:left="105" w:leftChars="50" w:right="105" w:rightChars="50"/>
              <w:jc w:val="center"/>
              <w:rPr>
                <w:rFonts w:ascii="仿宋" w:hAnsi="仿宋" w:eastAsia="仿宋" w:cs="仿宋"/>
                <w:color w:val="auto"/>
                <w:highlight w:val="none"/>
              </w:rPr>
            </w:pPr>
          </w:p>
        </w:tc>
      </w:tr>
      <w:tr>
        <w:tblPrEx>
          <w:tblCellMar>
            <w:top w:w="0" w:type="dxa"/>
            <w:left w:w="108" w:type="dxa"/>
            <w:bottom w:w="0" w:type="dxa"/>
            <w:right w:w="108" w:type="dxa"/>
          </w:tblCellMar>
        </w:tblPrEx>
        <w:trPr>
          <w:trHeight w:val="1257"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Lines="50" w:afterLines="50" w:line="240" w:lineRule="exact"/>
              <w:ind w:left="-51"/>
              <w:jc w:val="center"/>
              <w:rPr>
                <w:rFonts w:ascii="仿宋" w:hAnsi="仿宋" w:eastAsia="仿宋" w:cs="仿宋"/>
                <w:color w:val="auto"/>
                <w:highlight w:val="none"/>
              </w:rPr>
            </w:pPr>
            <w:r>
              <w:rPr>
                <w:rFonts w:hint="eastAsia" w:ascii="仿宋" w:hAnsi="仿宋" w:eastAsia="仿宋" w:cs="仿宋"/>
                <w:color w:val="auto"/>
                <w:szCs w:val="21"/>
                <w:highlight w:val="none"/>
              </w:rPr>
              <w:t>2</w:t>
            </w:r>
          </w:p>
        </w:tc>
        <w:tc>
          <w:tcPr>
            <w:tcW w:w="3533" w:type="dxa"/>
            <w:tcBorders>
              <w:top w:val="single" w:color="auto" w:sz="4" w:space="0"/>
              <w:left w:val="nil"/>
              <w:bottom w:val="single" w:color="auto" w:sz="4" w:space="0"/>
              <w:right w:val="single" w:color="auto" w:sz="4" w:space="0"/>
            </w:tcBorders>
            <w:shd w:val="clear" w:color="auto" w:fill="auto"/>
            <w:vAlign w:val="center"/>
          </w:tcPr>
          <w:p>
            <w:pPr>
              <w:ind w:right="105" w:rightChars="50"/>
              <w:jc w:val="left"/>
              <w:rPr>
                <w:rFonts w:ascii="仿宋" w:hAnsi="仿宋" w:eastAsia="仿宋" w:cs="仿宋"/>
                <w:color w:val="auto"/>
                <w:highlight w:val="none"/>
              </w:rPr>
            </w:pPr>
            <w:r>
              <w:rPr>
                <w:rFonts w:hint="eastAsia" w:ascii="仿宋" w:hAnsi="仿宋" w:eastAsia="仿宋" w:cs="仿宋"/>
                <w:color w:val="auto"/>
                <w:szCs w:val="21"/>
                <w:highlight w:val="none"/>
              </w:rPr>
              <w:t>投标文件中附有有效的法定代表人证明书原件，或由委托代理人签字的投标文件中有法定代表人授权书原件</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Lines="5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Lines="5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Lines="50" w:afterLines="50" w:line="240" w:lineRule="exact"/>
              <w:ind w:left="105" w:leftChars="50" w:right="105" w:rightChars="50"/>
              <w:jc w:val="center"/>
              <w:rPr>
                <w:rFonts w:ascii="仿宋" w:hAnsi="仿宋" w:eastAsia="仿宋" w:cs="仿宋"/>
                <w:color w:val="auto"/>
                <w:highlight w:val="none"/>
              </w:rPr>
            </w:pPr>
          </w:p>
        </w:tc>
      </w:tr>
      <w:tr>
        <w:tblPrEx>
          <w:tblCellMar>
            <w:top w:w="0" w:type="dxa"/>
            <w:left w:w="108" w:type="dxa"/>
            <w:bottom w:w="0" w:type="dxa"/>
            <w:right w:w="108" w:type="dxa"/>
          </w:tblCellMar>
        </w:tblPrEx>
        <w:trPr>
          <w:trHeight w:val="708"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Lines="50" w:afterLines="50" w:line="240" w:lineRule="exact"/>
              <w:ind w:left="-51"/>
              <w:jc w:val="center"/>
              <w:rPr>
                <w:rFonts w:ascii="仿宋" w:hAnsi="仿宋" w:eastAsia="仿宋" w:cs="仿宋"/>
                <w:color w:val="auto"/>
                <w:highlight w:val="none"/>
              </w:rPr>
            </w:pPr>
            <w:r>
              <w:rPr>
                <w:rFonts w:hint="eastAsia" w:ascii="仿宋" w:hAnsi="仿宋" w:eastAsia="仿宋" w:cs="仿宋"/>
                <w:color w:val="auto"/>
                <w:szCs w:val="21"/>
                <w:highlight w:val="none"/>
              </w:rPr>
              <w:t>3</w:t>
            </w:r>
          </w:p>
        </w:tc>
        <w:tc>
          <w:tcPr>
            <w:tcW w:w="3533" w:type="dxa"/>
            <w:tcBorders>
              <w:top w:val="single" w:color="auto" w:sz="4" w:space="0"/>
              <w:left w:val="nil"/>
              <w:bottom w:val="single" w:color="auto" w:sz="4" w:space="0"/>
              <w:right w:val="single" w:color="auto" w:sz="4" w:space="0"/>
            </w:tcBorders>
            <w:shd w:val="clear" w:color="auto" w:fill="auto"/>
            <w:vAlign w:val="center"/>
          </w:tcPr>
          <w:p>
            <w:pPr>
              <w:ind w:right="105" w:rightChars="50"/>
              <w:jc w:val="left"/>
              <w:rPr>
                <w:rFonts w:ascii="仿宋" w:hAnsi="仿宋" w:eastAsia="仿宋" w:cs="仿宋"/>
                <w:color w:val="auto"/>
                <w:highlight w:val="none"/>
              </w:rPr>
            </w:pPr>
            <w:r>
              <w:rPr>
                <w:rFonts w:hint="eastAsia" w:ascii="仿宋" w:hAnsi="仿宋" w:eastAsia="仿宋" w:cs="仿宋"/>
                <w:color w:val="auto"/>
                <w:szCs w:val="21"/>
                <w:highlight w:val="none"/>
              </w:rPr>
              <w:t>投标文件封面加盖投标人的法定印章并经投标人代表签字（或盖签章）</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Lines="5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Lines="5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Lines="50" w:afterLines="50" w:line="240" w:lineRule="exact"/>
              <w:ind w:left="105" w:leftChars="50" w:right="105" w:rightChars="50"/>
              <w:jc w:val="center"/>
              <w:rPr>
                <w:rFonts w:ascii="仿宋" w:hAnsi="仿宋" w:eastAsia="仿宋" w:cs="仿宋"/>
                <w:color w:val="auto"/>
                <w:highlight w:val="none"/>
              </w:rPr>
            </w:pPr>
          </w:p>
        </w:tc>
      </w:tr>
      <w:tr>
        <w:tblPrEx>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Lines="50" w:afterLines="50" w:line="240" w:lineRule="exact"/>
              <w:ind w:left="-51"/>
              <w:jc w:val="center"/>
              <w:rPr>
                <w:rFonts w:ascii="仿宋" w:hAnsi="仿宋" w:eastAsia="仿宋" w:cs="仿宋"/>
                <w:color w:val="auto"/>
                <w:highlight w:val="none"/>
              </w:rPr>
            </w:pPr>
            <w:r>
              <w:rPr>
                <w:rFonts w:hint="eastAsia" w:ascii="仿宋" w:hAnsi="仿宋" w:eastAsia="仿宋" w:cs="仿宋"/>
                <w:color w:val="auto"/>
                <w:szCs w:val="21"/>
                <w:highlight w:val="none"/>
              </w:rPr>
              <w:t>4</w:t>
            </w:r>
          </w:p>
        </w:tc>
        <w:tc>
          <w:tcPr>
            <w:tcW w:w="3533" w:type="dxa"/>
            <w:tcBorders>
              <w:top w:val="single" w:color="auto" w:sz="4" w:space="0"/>
              <w:left w:val="nil"/>
              <w:bottom w:val="single" w:color="auto" w:sz="4" w:space="0"/>
              <w:right w:val="single" w:color="auto" w:sz="4" w:space="0"/>
            </w:tcBorders>
            <w:shd w:val="clear" w:color="auto" w:fill="auto"/>
            <w:vAlign w:val="center"/>
          </w:tcPr>
          <w:p>
            <w:pPr>
              <w:ind w:right="105" w:rightChars="50"/>
              <w:jc w:val="left"/>
              <w:rPr>
                <w:rFonts w:ascii="仿宋" w:hAnsi="仿宋" w:eastAsia="仿宋" w:cs="仿宋"/>
                <w:color w:val="auto"/>
                <w:highlight w:val="none"/>
              </w:rPr>
            </w:pPr>
            <w:r>
              <w:rPr>
                <w:rFonts w:hint="eastAsia" w:ascii="仿宋" w:hAnsi="仿宋" w:eastAsia="仿宋" w:cs="仿宋"/>
                <w:color w:val="auto"/>
                <w:szCs w:val="21"/>
                <w:highlight w:val="none"/>
              </w:rPr>
              <w:t>投标人资质符合要求</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Lines="5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Lines="5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Lines="50" w:afterLines="50" w:line="240" w:lineRule="exact"/>
              <w:ind w:left="105" w:leftChars="50" w:right="105" w:rightChars="50"/>
              <w:jc w:val="center"/>
              <w:rPr>
                <w:rFonts w:ascii="仿宋" w:hAnsi="仿宋" w:eastAsia="仿宋" w:cs="仿宋"/>
                <w:color w:val="auto"/>
                <w:highlight w:val="none"/>
              </w:rPr>
            </w:pPr>
          </w:p>
        </w:tc>
      </w:tr>
      <w:tr>
        <w:tblPrEx>
          <w:tblCellMar>
            <w:top w:w="0" w:type="dxa"/>
            <w:left w:w="108" w:type="dxa"/>
            <w:bottom w:w="0" w:type="dxa"/>
            <w:right w:w="108" w:type="dxa"/>
          </w:tblCellMar>
        </w:tblPrEx>
        <w:trPr>
          <w:trHeight w:val="909"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Lines="50" w:afterLines="50" w:line="240" w:lineRule="exact"/>
              <w:ind w:left="-51"/>
              <w:jc w:val="center"/>
              <w:rPr>
                <w:rFonts w:ascii="仿宋" w:hAnsi="仿宋" w:eastAsia="仿宋" w:cs="仿宋"/>
                <w:color w:val="auto"/>
                <w:highlight w:val="none"/>
              </w:rPr>
            </w:pPr>
            <w:r>
              <w:rPr>
                <w:rFonts w:hint="eastAsia" w:ascii="仿宋" w:hAnsi="仿宋" w:eastAsia="仿宋" w:cs="仿宋"/>
                <w:color w:val="auto"/>
                <w:szCs w:val="21"/>
                <w:highlight w:val="none"/>
              </w:rPr>
              <w:t>5</w:t>
            </w:r>
          </w:p>
        </w:tc>
        <w:tc>
          <w:tcPr>
            <w:tcW w:w="3533" w:type="dxa"/>
            <w:tcBorders>
              <w:top w:val="single" w:color="auto" w:sz="4" w:space="0"/>
              <w:left w:val="nil"/>
              <w:bottom w:val="single" w:color="auto" w:sz="4" w:space="0"/>
              <w:right w:val="single" w:color="auto" w:sz="4" w:space="0"/>
            </w:tcBorders>
            <w:shd w:val="clear" w:color="auto" w:fill="auto"/>
            <w:vAlign w:val="center"/>
          </w:tcPr>
          <w:p>
            <w:pPr>
              <w:ind w:right="105" w:rightChars="50"/>
              <w:jc w:val="left"/>
              <w:rPr>
                <w:rFonts w:ascii="仿宋" w:hAnsi="仿宋" w:eastAsia="仿宋" w:cs="仿宋"/>
                <w:color w:val="auto"/>
                <w:highlight w:val="none"/>
              </w:rPr>
            </w:pPr>
            <w:r>
              <w:rPr>
                <w:rFonts w:hint="eastAsia" w:ascii="仿宋" w:hAnsi="仿宋" w:eastAsia="仿宋" w:cs="仿宋"/>
                <w:color w:val="auto"/>
                <w:szCs w:val="21"/>
                <w:highlight w:val="none"/>
              </w:rPr>
              <w:t>项目负责人资质符合要求</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Lines="5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Lines="5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Lines="50" w:afterLines="50" w:line="240" w:lineRule="exact"/>
              <w:ind w:left="105" w:leftChars="50" w:right="105" w:rightChars="50"/>
              <w:jc w:val="center"/>
              <w:rPr>
                <w:rFonts w:ascii="仿宋" w:hAnsi="仿宋" w:eastAsia="仿宋" w:cs="仿宋"/>
                <w:color w:val="auto"/>
                <w:highlight w:val="none"/>
              </w:rPr>
            </w:pPr>
          </w:p>
        </w:tc>
      </w:tr>
      <w:tr>
        <w:tblPrEx>
          <w:tblCellMar>
            <w:top w:w="0" w:type="dxa"/>
            <w:left w:w="108" w:type="dxa"/>
            <w:bottom w:w="0" w:type="dxa"/>
            <w:right w:w="108" w:type="dxa"/>
          </w:tblCellMar>
        </w:tblPrEx>
        <w:trPr>
          <w:trHeight w:val="696"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Lines="50" w:afterLines="50" w:line="240" w:lineRule="exact"/>
              <w:ind w:left="-51"/>
              <w:jc w:val="center"/>
              <w:rPr>
                <w:rFonts w:ascii="仿宋" w:hAnsi="仿宋" w:eastAsia="仿宋" w:cs="仿宋"/>
                <w:color w:val="auto"/>
                <w:highlight w:val="none"/>
              </w:rPr>
            </w:pPr>
            <w:r>
              <w:rPr>
                <w:rFonts w:hint="eastAsia" w:ascii="仿宋" w:hAnsi="仿宋" w:eastAsia="仿宋" w:cs="仿宋"/>
                <w:color w:val="auto"/>
                <w:szCs w:val="21"/>
                <w:highlight w:val="none"/>
              </w:rPr>
              <w:t>6</w:t>
            </w:r>
          </w:p>
        </w:tc>
        <w:tc>
          <w:tcPr>
            <w:tcW w:w="3533" w:type="dxa"/>
            <w:tcBorders>
              <w:top w:val="single" w:color="auto" w:sz="4" w:space="0"/>
              <w:left w:val="nil"/>
              <w:bottom w:val="single" w:color="auto" w:sz="4" w:space="0"/>
              <w:right w:val="single" w:color="auto" w:sz="4" w:space="0"/>
            </w:tcBorders>
            <w:shd w:val="clear" w:color="auto" w:fill="auto"/>
            <w:vAlign w:val="center"/>
          </w:tcPr>
          <w:p>
            <w:pPr>
              <w:ind w:right="105" w:rightChars="50"/>
              <w:jc w:val="left"/>
              <w:rPr>
                <w:rFonts w:ascii="仿宋" w:hAnsi="仿宋" w:eastAsia="仿宋" w:cs="仿宋"/>
                <w:color w:val="auto"/>
                <w:highlight w:val="none"/>
              </w:rPr>
            </w:pPr>
            <w:r>
              <w:rPr>
                <w:rFonts w:hint="eastAsia" w:ascii="仿宋" w:hAnsi="仿宋" w:eastAsia="仿宋" w:cs="仿宋"/>
                <w:color w:val="auto"/>
                <w:sz w:val="21"/>
                <w:szCs w:val="21"/>
                <w:highlight w:val="none"/>
              </w:rPr>
              <w:t>投标</w:t>
            </w:r>
            <w:r>
              <w:rPr>
                <w:rFonts w:hint="eastAsia" w:ascii="仿宋" w:hAnsi="仿宋" w:eastAsia="仿宋" w:cs="仿宋"/>
                <w:color w:val="auto"/>
                <w:sz w:val="21"/>
                <w:szCs w:val="21"/>
                <w:highlight w:val="none"/>
                <w:lang w:eastAsia="zh-CN"/>
              </w:rPr>
              <w:t>总</w:t>
            </w:r>
            <w:r>
              <w:rPr>
                <w:rFonts w:hint="eastAsia" w:ascii="仿宋" w:hAnsi="仿宋" w:eastAsia="仿宋" w:cs="仿宋"/>
                <w:color w:val="auto"/>
                <w:sz w:val="21"/>
                <w:szCs w:val="21"/>
                <w:highlight w:val="none"/>
              </w:rPr>
              <w:t>报价</w:t>
            </w:r>
            <w:r>
              <w:rPr>
                <w:rFonts w:hint="eastAsia" w:ascii="仿宋" w:hAnsi="仿宋" w:eastAsia="仿宋" w:cs="仿宋"/>
                <w:color w:val="auto"/>
                <w:sz w:val="21"/>
                <w:szCs w:val="21"/>
                <w:highlight w:val="none"/>
                <w:lang w:eastAsia="zh-CN"/>
              </w:rPr>
              <w:t>及各分项报价</w:t>
            </w:r>
            <w:r>
              <w:rPr>
                <w:rFonts w:hint="eastAsia" w:ascii="仿宋" w:hAnsi="仿宋" w:eastAsia="仿宋" w:cs="仿宋"/>
                <w:color w:val="auto"/>
                <w:sz w:val="21"/>
                <w:szCs w:val="21"/>
                <w:highlight w:val="none"/>
              </w:rPr>
              <w:t>均不超过</w:t>
            </w:r>
            <w:r>
              <w:rPr>
                <w:rFonts w:hint="eastAsia" w:ascii="仿宋" w:hAnsi="仿宋" w:eastAsia="仿宋" w:cs="仿宋"/>
                <w:color w:val="auto"/>
                <w:sz w:val="21"/>
                <w:szCs w:val="21"/>
                <w:highlight w:val="none"/>
                <w:lang w:eastAsia="zh-CN"/>
              </w:rPr>
              <w:t>限价</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Lines="5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Lines="5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Lines="50" w:afterLines="50" w:line="240" w:lineRule="exact"/>
              <w:ind w:left="105" w:leftChars="50" w:right="105" w:rightChars="50"/>
              <w:jc w:val="center"/>
              <w:rPr>
                <w:rFonts w:ascii="仿宋" w:hAnsi="仿宋" w:eastAsia="仿宋" w:cs="仿宋"/>
                <w:color w:val="auto"/>
                <w:highlight w:val="none"/>
              </w:rPr>
            </w:pPr>
          </w:p>
        </w:tc>
      </w:tr>
      <w:tr>
        <w:tblPrEx>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Lines="50" w:afterLines="50" w:line="240" w:lineRule="exact"/>
              <w:ind w:left="-51"/>
              <w:jc w:val="center"/>
              <w:rPr>
                <w:rFonts w:ascii="仿宋" w:hAnsi="仿宋" w:eastAsia="仿宋" w:cs="仿宋"/>
                <w:color w:val="auto"/>
                <w:highlight w:val="none"/>
              </w:rPr>
            </w:pPr>
          </w:p>
        </w:tc>
        <w:tc>
          <w:tcPr>
            <w:tcW w:w="3533" w:type="dxa"/>
            <w:tcBorders>
              <w:top w:val="single" w:color="auto" w:sz="4" w:space="0"/>
              <w:left w:val="nil"/>
              <w:bottom w:val="single" w:color="auto" w:sz="4" w:space="0"/>
              <w:right w:val="single" w:color="auto" w:sz="4" w:space="0"/>
            </w:tcBorders>
            <w:shd w:val="clear" w:color="auto" w:fill="auto"/>
            <w:vAlign w:val="center"/>
          </w:tcPr>
          <w:p>
            <w:pPr>
              <w:ind w:left="105" w:leftChars="50" w:right="105" w:rightChars="50"/>
              <w:jc w:val="center"/>
              <w:rPr>
                <w:rFonts w:ascii="仿宋" w:hAnsi="仿宋" w:eastAsia="仿宋" w:cs="仿宋"/>
                <w:color w:val="auto"/>
                <w:highlight w:val="none"/>
              </w:rPr>
            </w:pPr>
            <w:r>
              <w:rPr>
                <w:rFonts w:hint="eastAsia" w:ascii="仿宋" w:hAnsi="仿宋" w:eastAsia="仿宋" w:cs="仿宋"/>
                <w:color w:val="auto"/>
                <w:szCs w:val="21"/>
                <w:highlight w:val="none"/>
              </w:rPr>
              <w:t>结论</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Lines="5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Lines="5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Lines="50" w:afterLines="50" w:line="240" w:lineRule="exact"/>
              <w:ind w:left="105" w:leftChars="50" w:right="105" w:rightChars="50"/>
              <w:jc w:val="center"/>
              <w:rPr>
                <w:rFonts w:ascii="仿宋" w:hAnsi="仿宋" w:eastAsia="仿宋" w:cs="仿宋"/>
                <w:color w:val="auto"/>
                <w:highlight w:val="none"/>
              </w:rPr>
            </w:pPr>
          </w:p>
        </w:tc>
      </w:tr>
    </w:tbl>
    <w:p>
      <w:pPr>
        <w:snapToGrid w:val="0"/>
        <w:spacing w:line="300" w:lineRule="auto"/>
        <w:jc w:val="left"/>
        <w:rPr>
          <w:rFonts w:ascii="仿宋" w:hAnsi="仿宋" w:eastAsia="仿宋" w:cs="Courier New"/>
          <w:color w:val="auto"/>
          <w:sz w:val="24"/>
          <w:highlight w:val="none"/>
        </w:rPr>
      </w:pPr>
      <w:r>
        <w:rPr>
          <w:rFonts w:hint="eastAsia" w:ascii="仿宋" w:hAnsi="仿宋" w:eastAsia="仿宋" w:cs="Courier New"/>
          <w:color w:val="auto"/>
          <w:sz w:val="24"/>
          <w:highlight w:val="none"/>
        </w:rPr>
        <w:t>注：</w:t>
      </w:r>
    </w:p>
    <w:p>
      <w:pPr>
        <w:snapToGrid w:val="0"/>
        <w:ind w:left="74"/>
        <w:rPr>
          <w:rFonts w:ascii="仿宋" w:hAnsi="仿宋" w:eastAsia="仿宋" w:cs="Courier New"/>
          <w:color w:val="auto"/>
          <w:sz w:val="24"/>
          <w:highlight w:val="none"/>
        </w:rPr>
      </w:pPr>
      <w:r>
        <w:rPr>
          <w:rFonts w:hint="eastAsia" w:ascii="仿宋" w:hAnsi="仿宋" w:eastAsia="仿宋" w:cs="Courier New"/>
          <w:color w:val="auto"/>
          <w:sz w:val="24"/>
          <w:highlight w:val="none"/>
        </w:rPr>
        <w:t>1.符合以上情形打“〇”，不符合以上任一情形打“×”，全部为“〇”结论均为“通过”，否则就为“不通过”。</w:t>
      </w:r>
    </w:p>
    <w:p>
      <w:pPr>
        <w:snapToGrid w:val="0"/>
        <w:spacing w:line="300" w:lineRule="auto"/>
        <w:ind w:firstLine="120" w:firstLineChars="50"/>
        <w:rPr>
          <w:rFonts w:ascii="仿宋" w:hAnsi="仿宋" w:eastAsia="仿宋" w:cs="仿宋"/>
          <w:color w:val="auto"/>
          <w:sz w:val="28"/>
          <w:szCs w:val="28"/>
          <w:highlight w:val="none"/>
        </w:rPr>
      </w:pPr>
      <w:r>
        <w:rPr>
          <w:rFonts w:hint="eastAsia" w:ascii="仿宋" w:hAnsi="仿宋" w:eastAsia="仿宋" w:cs="Courier New"/>
          <w:color w:val="auto"/>
          <w:sz w:val="24"/>
          <w:highlight w:val="none"/>
        </w:rPr>
        <w:t>2.如对本表中某种情形的评审意见不一致时，以专家组过半数成员的意见作为专家组对该情形的认定结论。</w:t>
      </w:r>
      <w:r>
        <w:rPr>
          <w:rFonts w:hint="eastAsia" w:ascii="仿宋" w:hAnsi="仿宋" w:eastAsia="仿宋" w:cs="Courier New"/>
          <w:color w:val="auto"/>
          <w:sz w:val="28"/>
          <w:szCs w:val="28"/>
          <w:highlight w:val="none"/>
        </w:rPr>
        <w:t xml:space="preserve"> </w:t>
      </w:r>
      <w:r>
        <w:rPr>
          <w:rFonts w:hint="eastAsia" w:ascii="仿宋" w:hAnsi="仿宋" w:eastAsia="仿宋" w:cs="仿宋"/>
          <w:color w:val="auto"/>
          <w:sz w:val="28"/>
          <w:szCs w:val="28"/>
          <w:highlight w:val="none"/>
        </w:rPr>
        <w:t xml:space="preserve">    </w:t>
      </w:r>
    </w:p>
    <w:p>
      <w:pPr>
        <w:snapToGrid w:val="0"/>
        <w:ind w:left="74"/>
        <w:rPr>
          <w:rFonts w:ascii="仿宋" w:hAnsi="仿宋" w:eastAsia="仿宋" w:cs="Courier New"/>
          <w:color w:val="auto"/>
          <w:sz w:val="28"/>
          <w:szCs w:val="28"/>
          <w:highlight w:val="none"/>
        </w:rPr>
      </w:pPr>
      <w:r>
        <w:rPr>
          <w:rFonts w:hint="eastAsia" w:ascii="仿宋" w:hAnsi="仿宋" w:eastAsia="仿宋" w:cs="仿宋"/>
          <w:b/>
          <w:color w:val="auto"/>
          <w:sz w:val="28"/>
          <w:szCs w:val="28"/>
          <w:highlight w:val="none"/>
        </w:rPr>
        <w:t xml:space="preserve"> </w:t>
      </w:r>
      <w:r>
        <w:rPr>
          <w:rFonts w:hint="eastAsia" w:ascii="仿宋" w:hAnsi="仿宋" w:eastAsia="仿宋" w:cs="Courier New"/>
          <w:color w:val="auto"/>
          <w:sz w:val="28"/>
          <w:szCs w:val="28"/>
          <w:highlight w:val="none"/>
        </w:rPr>
        <w:t>评标专家签名：                     日期：</w:t>
      </w:r>
    </w:p>
    <w:p>
      <w:pPr>
        <w:snapToGrid w:val="0"/>
        <w:ind w:left="74"/>
        <w:rPr>
          <w:rFonts w:ascii="仿宋" w:hAnsi="仿宋" w:eastAsia="仿宋" w:cs="Courier New"/>
          <w:color w:val="auto"/>
          <w:sz w:val="28"/>
          <w:szCs w:val="28"/>
          <w:highlight w:val="none"/>
        </w:rPr>
      </w:pPr>
    </w:p>
    <w:p>
      <w:pPr>
        <w:snapToGrid w:val="0"/>
        <w:ind w:left="74"/>
        <w:outlineLvl w:val="0"/>
        <w:rPr>
          <w:rFonts w:ascii="仿宋" w:hAnsi="仿宋" w:eastAsia="仿宋" w:cs="仿宋"/>
          <w:b/>
          <w:color w:val="auto"/>
          <w:sz w:val="24"/>
          <w:highlight w:val="none"/>
        </w:rPr>
        <w:sectPr>
          <w:footerReference r:id="rId4" w:type="default"/>
          <w:pgSz w:w="12240" w:h="15840"/>
          <w:pgMar w:top="1440" w:right="1797" w:bottom="1440" w:left="1797" w:header="720" w:footer="720" w:gutter="0"/>
          <w:cols w:space="425" w:num="1"/>
          <w:docGrid w:linePitch="312" w:charSpace="0"/>
        </w:sectPr>
      </w:pPr>
      <w:bookmarkStart w:id="48" w:name="_Toc18783"/>
    </w:p>
    <w:bookmarkEnd w:id="48"/>
    <w:p>
      <w:pPr>
        <w:snapToGrid w:val="0"/>
        <w:ind w:left="74"/>
        <w:outlineLvl w:val="0"/>
        <w:rPr>
          <w:rFonts w:ascii="仿宋" w:hAnsi="仿宋" w:eastAsia="仿宋" w:cs="仿宋"/>
          <w:color w:val="auto"/>
          <w:sz w:val="24"/>
          <w:highlight w:val="none"/>
        </w:rPr>
      </w:pPr>
      <w:r>
        <w:rPr>
          <w:rFonts w:hint="eastAsia" w:ascii="仿宋" w:hAnsi="仿宋" w:eastAsia="仿宋" w:cs="仿宋"/>
          <w:b/>
          <w:color w:val="auto"/>
          <w:sz w:val="24"/>
          <w:highlight w:val="none"/>
        </w:rPr>
        <w:t>附件2综合评分表</w:t>
      </w:r>
      <w:r>
        <w:rPr>
          <w:rFonts w:hint="eastAsia" w:ascii="仿宋" w:hAnsi="仿宋" w:eastAsia="仿宋" w:cs="仿宋"/>
          <w:color w:val="auto"/>
          <w:sz w:val="24"/>
          <w:highlight w:val="none"/>
        </w:rPr>
        <w:t>（100分）</w:t>
      </w:r>
    </w:p>
    <w:tbl>
      <w:tblPr>
        <w:tblStyle w:val="13"/>
        <w:tblW w:w="13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1406"/>
        <w:gridCol w:w="709"/>
        <w:gridCol w:w="9797"/>
        <w:gridCol w:w="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643" w:type="dxa"/>
            <w:shd w:val="clear" w:color="auto" w:fill="auto"/>
            <w:vAlign w:val="center"/>
          </w:tcPr>
          <w:p>
            <w:pPr>
              <w:snapToGrid w:val="0"/>
              <w:ind w:left="-2" w:leftChars="-1"/>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序号</w:t>
            </w:r>
          </w:p>
        </w:tc>
        <w:tc>
          <w:tcPr>
            <w:tcW w:w="1406" w:type="dxa"/>
            <w:shd w:val="clear" w:color="auto" w:fill="auto"/>
            <w:vAlign w:val="center"/>
          </w:tcPr>
          <w:p>
            <w:pPr>
              <w:snapToGrid w:val="0"/>
              <w:ind w:left="-2" w:leftChars="-1"/>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类别</w:t>
            </w:r>
          </w:p>
        </w:tc>
        <w:tc>
          <w:tcPr>
            <w:tcW w:w="709" w:type="dxa"/>
            <w:shd w:val="clear" w:color="auto" w:fill="auto"/>
            <w:vAlign w:val="center"/>
          </w:tcPr>
          <w:p>
            <w:pPr>
              <w:snapToGrid w:val="0"/>
              <w:ind w:left="-2" w:leftChars="-1"/>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分项</w:t>
            </w:r>
          </w:p>
          <w:p>
            <w:pPr>
              <w:snapToGrid w:val="0"/>
              <w:ind w:left="-2" w:leftChars="-1"/>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分值</w:t>
            </w:r>
          </w:p>
        </w:tc>
        <w:tc>
          <w:tcPr>
            <w:tcW w:w="9797" w:type="dxa"/>
            <w:shd w:val="clear" w:color="auto" w:fill="auto"/>
            <w:vAlign w:val="center"/>
          </w:tcPr>
          <w:p>
            <w:pPr>
              <w:snapToGrid w:val="0"/>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评 分 说 明</w:t>
            </w:r>
          </w:p>
        </w:tc>
        <w:tc>
          <w:tcPr>
            <w:tcW w:w="686" w:type="dxa"/>
            <w:shd w:val="clear" w:color="auto" w:fill="auto"/>
            <w:vAlign w:val="center"/>
          </w:tcPr>
          <w:p>
            <w:pPr>
              <w:snapToGrid w:val="0"/>
              <w:ind w:left="-2" w:leftChars="-1"/>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3" w:hRule="atLeast"/>
          <w:jc w:val="center"/>
        </w:trPr>
        <w:tc>
          <w:tcPr>
            <w:tcW w:w="643" w:type="dxa"/>
            <w:vMerge w:val="restart"/>
            <w:shd w:val="clear" w:color="auto" w:fill="auto"/>
            <w:vAlign w:val="center"/>
          </w:tcPr>
          <w:p>
            <w:pPr>
              <w:snapToGrid w:val="0"/>
              <w:ind w:left="-2" w:leftChars="-1"/>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商务部分</w:t>
            </w:r>
          </w:p>
        </w:tc>
        <w:tc>
          <w:tcPr>
            <w:tcW w:w="1406" w:type="dxa"/>
            <w:shd w:val="clear" w:color="auto" w:fill="auto"/>
            <w:vAlign w:val="center"/>
          </w:tcPr>
          <w:p>
            <w:pPr>
              <w:snapToGrid w:val="0"/>
              <w:ind w:left="-2" w:leftChars="-1"/>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企业资信评价</w:t>
            </w:r>
          </w:p>
        </w:tc>
        <w:tc>
          <w:tcPr>
            <w:tcW w:w="709" w:type="dxa"/>
            <w:shd w:val="clear" w:color="auto" w:fill="auto"/>
            <w:vAlign w:val="center"/>
          </w:tcPr>
          <w:p>
            <w:pPr>
              <w:spacing w:line="220" w:lineRule="exact"/>
              <w:ind w:left="-2" w:leftChars="-1"/>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5</w:t>
            </w:r>
          </w:p>
        </w:tc>
        <w:tc>
          <w:tcPr>
            <w:tcW w:w="9797" w:type="dxa"/>
            <w:shd w:val="clear" w:color="auto" w:fill="auto"/>
            <w:vAlign w:val="center"/>
          </w:tcPr>
          <w:p>
            <w:pPr>
              <w:pStyle w:val="6"/>
              <w:rPr>
                <w:rFonts w:ascii="宋体" w:hAnsi="宋体"/>
                <w:color w:val="auto"/>
                <w:szCs w:val="21"/>
                <w:highlight w:val="none"/>
                <w:lang w:val="zh-CN"/>
              </w:rPr>
            </w:pPr>
            <w:r>
              <w:rPr>
                <w:rFonts w:hint="eastAsia" w:ascii="宋体" w:hAnsi="宋体"/>
                <w:color w:val="auto"/>
                <w:szCs w:val="21"/>
                <w:highlight w:val="none"/>
                <w:lang w:val="zh-CN"/>
              </w:rPr>
              <w:t>（</w:t>
            </w:r>
            <w:r>
              <w:rPr>
                <w:rFonts w:hint="eastAsia" w:ascii="宋体" w:hAnsi="宋体"/>
                <w:color w:val="auto"/>
                <w:szCs w:val="21"/>
                <w:highlight w:val="none"/>
              </w:rPr>
              <w:t>1</w:t>
            </w:r>
            <w:r>
              <w:rPr>
                <w:rFonts w:hint="eastAsia" w:ascii="宋体" w:hAnsi="宋体"/>
                <w:color w:val="auto"/>
                <w:szCs w:val="21"/>
                <w:highlight w:val="none"/>
                <w:lang w:val="zh-CN"/>
              </w:rPr>
              <w:t>）</w:t>
            </w:r>
            <w:r>
              <w:rPr>
                <w:rFonts w:hint="eastAsia" w:ascii="宋体" w:hAnsi="宋体" w:cs="宋体"/>
                <w:color w:val="auto"/>
                <w:szCs w:val="21"/>
                <w:highlight w:val="none"/>
              </w:rPr>
              <w:t>近5年至今，获得1次交通运输部（建设部）水运工程（或港口航道工程）类信用评价AA级信用企业得3分、A级信用企业得2分、B级信用企业得1分,其他不得分，此项最多得</w:t>
            </w:r>
            <w:r>
              <w:rPr>
                <w:rFonts w:hint="eastAsia" w:ascii="宋体" w:hAnsi="宋体" w:cs="楷体_GB2312"/>
                <w:color w:val="auto"/>
                <w:szCs w:val="21"/>
                <w:highlight w:val="none"/>
              </w:rPr>
              <w:t>3分。</w:t>
            </w:r>
          </w:p>
          <w:p>
            <w:pPr>
              <w:pStyle w:val="7"/>
              <w:rPr>
                <w:rFonts w:hint="default"/>
                <w:color w:val="auto"/>
                <w:highlight w:val="none"/>
              </w:rPr>
            </w:pPr>
            <w:r>
              <w:rPr>
                <w:rFonts w:hAnsi="宋体"/>
                <w:color w:val="auto"/>
                <w:highlight w:val="none"/>
                <w:lang w:val="zh-CN"/>
              </w:rPr>
              <w:t>（</w:t>
            </w:r>
            <w:r>
              <w:rPr>
                <w:rFonts w:hAnsi="宋体"/>
                <w:color w:val="auto"/>
                <w:highlight w:val="none"/>
              </w:rPr>
              <w:t>2</w:t>
            </w:r>
            <w:r>
              <w:rPr>
                <w:rFonts w:hAnsi="宋体"/>
                <w:color w:val="auto"/>
                <w:highlight w:val="none"/>
                <w:lang w:val="zh-CN"/>
              </w:rPr>
              <w:t>）投标人获得“高新技术企业”称号，</w:t>
            </w:r>
            <w:r>
              <w:rPr>
                <w:rFonts w:hAnsi="宋体"/>
                <w:color w:val="auto"/>
                <w:highlight w:val="none"/>
              </w:rPr>
              <w:t>且在有效期内的，</w:t>
            </w:r>
            <w:r>
              <w:rPr>
                <w:rFonts w:hAnsi="宋体"/>
                <w:color w:val="auto"/>
                <w:highlight w:val="none"/>
                <w:lang w:val="zh-CN"/>
              </w:rPr>
              <w:t>得</w:t>
            </w:r>
            <w:r>
              <w:rPr>
                <w:rFonts w:hAnsi="宋体"/>
                <w:color w:val="auto"/>
                <w:highlight w:val="none"/>
              </w:rPr>
              <w:t>2</w:t>
            </w:r>
            <w:r>
              <w:rPr>
                <w:rFonts w:hAnsi="宋体"/>
                <w:color w:val="auto"/>
                <w:highlight w:val="none"/>
                <w:lang w:val="zh-CN"/>
              </w:rPr>
              <w:t>分，无得0分。</w:t>
            </w:r>
          </w:p>
        </w:tc>
        <w:tc>
          <w:tcPr>
            <w:tcW w:w="686" w:type="dxa"/>
            <w:shd w:val="clear" w:color="auto" w:fill="auto"/>
            <w:vAlign w:val="center"/>
          </w:tcPr>
          <w:p>
            <w:pPr>
              <w:spacing w:line="220" w:lineRule="exact"/>
              <w:ind w:left="-2" w:leftChars="-1"/>
              <w:rPr>
                <w:rFonts w:ascii="仿宋" w:hAnsi="仿宋" w:eastAsia="仿宋"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jc w:val="center"/>
        </w:trPr>
        <w:tc>
          <w:tcPr>
            <w:tcW w:w="643" w:type="dxa"/>
            <w:vMerge w:val="continue"/>
            <w:shd w:val="clear" w:color="auto" w:fill="auto"/>
            <w:vAlign w:val="center"/>
          </w:tcPr>
          <w:p>
            <w:pPr>
              <w:snapToGrid w:val="0"/>
              <w:ind w:left="-2" w:leftChars="-1"/>
              <w:jc w:val="center"/>
              <w:rPr>
                <w:rFonts w:ascii="新宋体" w:hAnsi="新宋体" w:eastAsia="新宋体" w:cs="新宋体"/>
                <w:color w:val="auto"/>
                <w:szCs w:val="21"/>
                <w:highlight w:val="none"/>
              </w:rPr>
            </w:pPr>
          </w:p>
        </w:tc>
        <w:tc>
          <w:tcPr>
            <w:tcW w:w="1406" w:type="dxa"/>
            <w:shd w:val="clear" w:color="auto" w:fill="auto"/>
            <w:vAlign w:val="center"/>
          </w:tcPr>
          <w:p>
            <w:pPr>
              <w:snapToGrid w:val="0"/>
              <w:ind w:left="-2" w:leftChars="-1"/>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企业业绩</w:t>
            </w:r>
          </w:p>
          <w:p>
            <w:pPr>
              <w:snapToGrid w:val="0"/>
              <w:ind w:left="-2" w:leftChars="-1"/>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获奖</w:t>
            </w:r>
          </w:p>
        </w:tc>
        <w:tc>
          <w:tcPr>
            <w:tcW w:w="709" w:type="dxa"/>
            <w:shd w:val="clear" w:color="auto" w:fill="auto"/>
            <w:vAlign w:val="center"/>
          </w:tcPr>
          <w:p>
            <w:pPr>
              <w:spacing w:line="220" w:lineRule="exact"/>
              <w:ind w:left="-2" w:leftChars="-1"/>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3</w:t>
            </w:r>
          </w:p>
        </w:tc>
        <w:tc>
          <w:tcPr>
            <w:tcW w:w="9797" w:type="dxa"/>
            <w:shd w:val="clear" w:color="auto" w:fill="auto"/>
            <w:vAlign w:val="center"/>
          </w:tcPr>
          <w:p>
            <w:pPr>
              <w:rPr>
                <w:rFonts w:asciiTheme="minorEastAsia" w:hAnsiTheme="minorEastAsia"/>
                <w:color w:val="auto"/>
                <w:szCs w:val="21"/>
                <w:highlight w:val="none"/>
              </w:rPr>
            </w:pPr>
            <w:r>
              <w:rPr>
                <w:rFonts w:hint="eastAsia" w:ascii="宋体" w:hAnsi="宋体" w:cs="宋体"/>
                <w:color w:val="auto"/>
                <w:szCs w:val="21"/>
                <w:highlight w:val="none"/>
              </w:rPr>
              <w:t>近5年承接的国内水运工程（或港口航道工程）获得省、部级建设行业协会颁发得二等奖或以上奖项，每项1分，最高得3分。</w:t>
            </w:r>
          </w:p>
        </w:tc>
        <w:tc>
          <w:tcPr>
            <w:tcW w:w="686" w:type="dxa"/>
            <w:shd w:val="clear" w:color="auto" w:fill="auto"/>
            <w:vAlign w:val="center"/>
          </w:tcPr>
          <w:p>
            <w:pPr>
              <w:spacing w:line="220" w:lineRule="exact"/>
              <w:ind w:left="-2" w:leftChars="-1"/>
              <w:rPr>
                <w:rFonts w:ascii="仿宋" w:hAnsi="仿宋" w:eastAsia="仿宋"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jc w:val="center"/>
        </w:trPr>
        <w:tc>
          <w:tcPr>
            <w:tcW w:w="643" w:type="dxa"/>
            <w:vMerge w:val="continue"/>
            <w:shd w:val="clear" w:color="auto" w:fill="auto"/>
            <w:vAlign w:val="center"/>
          </w:tcPr>
          <w:p>
            <w:pPr>
              <w:snapToGrid w:val="0"/>
              <w:ind w:left="-2" w:leftChars="-1"/>
              <w:jc w:val="center"/>
              <w:rPr>
                <w:rFonts w:ascii="新宋体" w:hAnsi="新宋体" w:eastAsia="新宋体" w:cs="新宋体"/>
                <w:color w:val="auto"/>
                <w:szCs w:val="21"/>
                <w:highlight w:val="none"/>
              </w:rPr>
            </w:pPr>
          </w:p>
        </w:tc>
        <w:tc>
          <w:tcPr>
            <w:tcW w:w="1406" w:type="dxa"/>
            <w:shd w:val="clear" w:color="auto" w:fill="auto"/>
            <w:vAlign w:val="center"/>
          </w:tcPr>
          <w:p>
            <w:pPr>
              <w:snapToGrid w:val="0"/>
              <w:ind w:left="-2" w:leftChars="-1"/>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企业资质</w:t>
            </w:r>
          </w:p>
        </w:tc>
        <w:tc>
          <w:tcPr>
            <w:tcW w:w="709" w:type="dxa"/>
            <w:shd w:val="clear" w:color="auto" w:fill="auto"/>
            <w:vAlign w:val="center"/>
          </w:tcPr>
          <w:p>
            <w:pPr>
              <w:spacing w:line="220" w:lineRule="exact"/>
              <w:ind w:left="-2" w:leftChars="-1"/>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2</w:t>
            </w:r>
          </w:p>
        </w:tc>
        <w:tc>
          <w:tcPr>
            <w:tcW w:w="9797" w:type="dxa"/>
            <w:shd w:val="clear" w:color="auto" w:fill="auto"/>
            <w:vAlign w:val="center"/>
          </w:tcPr>
          <w:p>
            <w:pPr>
              <w:rPr>
                <w:rFonts w:ascii="宋体" w:hAnsi="宋体"/>
                <w:color w:val="auto"/>
                <w:szCs w:val="21"/>
                <w:highlight w:val="none"/>
              </w:rPr>
            </w:pPr>
            <w:r>
              <w:rPr>
                <w:rFonts w:hint="eastAsia" w:ascii="宋体" w:hAnsi="宋体"/>
                <w:color w:val="auto"/>
                <w:szCs w:val="21"/>
                <w:highlight w:val="none"/>
                <w:lang w:val="zh-CN"/>
              </w:rPr>
              <w:t>投标人具备</w:t>
            </w:r>
            <w:r>
              <w:rPr>
                <w:rFonts w:hint="eastAsia" w:ascii="宋体" w:hAnsi="宋体" w:cs="宋体"/>
                <w:color w:val="auto"/>
                <w:highlight w:val="none"/>
              </w:rPr>
              <w:t>水运行业甲级设计资质或以上的，得2分</w:t>
            </w:r>
          </w:p>
        </w:tc>
        <w:tc>
          <w:tcPr>
            <w:tcW w:w="686" w:type="dxa"/>
            <w:shd w:val="clear" w:color="auto" w:fill="auto"/>
            <w:vAlign w:val="center"/>
          </w:tcPr>
          <w:p>
            <w:pPr>
              <w:spacing w:line="220" w:lineRule="exact"/>
              <w:ind w:left="-2" w:leftChars="-1"/>
              <w:rPr>
                <w:rFonts w:ascii="仿宋" w:hAnsi="仿宋" w:eastAsia="仿宋"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7" w:hRule="atLeast"/>
          <w:jc w:val="center"/>
        </w:trPr>
        <w:tc>
          <w:tcPr>
            <w:tcW w:w="643" w:type="dxa"/>
            <w:vMerge w:val="continue"/>
            <w:shd w:val="clear" w:color="auto" w:fill="auto"/>
            <w:vAlign w:val="center"/>
          </w:tcPr>
          <w:p>
            <w:pPr>
              <w:snapToGrid w:val="0"/>
              <w:ind w:left="-2" w:leftChars="-1"/>
              <w:jc w:val="center"/>
              <w:rPr>
                <w:rFonts w:ascii="新宋体" w:hAnsi="新宋体" w:eastAsia="新宋体" w:cs="新宋体"/>
                <w:color w:val="auto"/>
                <w:szCs w:val="21"/>
                <w:highlight w:val="none"/>
              </w:rPr>
            </w:pPr>
          </w:p>
        </w:tc>
        <w:tc>
          <w:tcPr>
            <w:tcW w:w="1406" w:type="dxa"/>
            <w:vMerge w:val="restart"/>
            <w:shd w:val="clear" w:color="auto" w:fill="auto"/>
            <w:vAlign w:val="center"/>
          </w:tcPr>
          <w:p>
            <w:pPr>
              <w:snapToGrid w:val="0"/>
              <w:ind w:left="-2" w:leftChars="-1"/>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人员配备及技术水平</w:t>
            </w:r>
          </w:p>
        </w:tc>
        <w:tc>
          <w:tcPr>
            <w:tcW w:w="709" w:type="dxa"/>
            <w:vMerge w:val="restart"/>
            <w:shd w:val="clear" w:color="auto" w:fill="auto"/>
            <w:vAlign w:val="center"/>
          </w:tcPr>
          <w:p>
            <w:pPr>
              <w:spacing w:line="220" w:lineRule="exact"/>
              <w:ind w:left="-2" w:leftChars="-1"/>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10</w:t>
            </w:r>
          </w:p>
        </w:tc>
        <w:tc>
          <w:tcPr>
            <w:tcW w:w="9797" w:type="dxa"/>
            <w:vMerge w:val="restart"/>
            <w:shd w:val="clear" w:color="auto" w:fill="auto"/>
            <w:vAlign w:val="center"/>
          </w:tcPr>
          <w:p>
            <w:pPr>
              <w:ind w:right="31" w:rightChars="15"/>
              <w:rPr>
                <w:rFonts w:ascii="宋体" w:hAnsi="宋体"/>
                <w:color w:val="auto"/>
                <w:szCs w:val="21"/>
                <w:highlight w:val="none"/>
              </w:rPr>
            </w:pPr>
            <w:r>
              <w:rPr>
                <w:rFonts w:hint="eastAsia" w:ascii="宋体" w:hAnsi="宋体" w:cs="楷体_GB2312"/>
                <w:color w:val="auto"/>
                <w:szCs w:val="21"/>
                <w:highlight w:val="none"/>
              </w:rPr>
              <w:t>（1）项目负责人同时具备正高级（或教授级）工程师和注册土木工程师（港口与航道工程）执业资格证书的得2分，具有高级工程师和注册土木工程师（港口与航道工程）执业资格证书的得1分</w:t>
            </w:r>
            <w:r>
              <w:rPr>
                <w:rFonts w:hint="eastAsia" w:ascii="宋体" w:hAnsi="宋体"/>
                <w:color w:val="auto"/>
                <w:szCs w:val="21"/>
                <w:highlight w:val="none"/>
              </w:rPr>
              <w:t>；</w:t>
            </w:r>
          </w:p>
          <w:p>
            <w:pPr>
              <w:ind w:right="31" w:rightChars="15"/>
              <w:rPr>
                <w:rFonts w:ascii="宋体" w:hAnsi="宋体" w:cs="楷体_GB2312"/>
                <w:color w:val="auto"/>
                <w:szCs w:val="21"/>
                <w:highlight w:val="none"/>
              </w:rPr>
            </w:pPr>
            <w:r>
              <w:rPr>
                <w:rFonts w:hint="eastAsia" w:ascii="宋体" w:hAnsi="宋体" w:cs="楷体_GB2312"/>
                <w:color w:val="auto"/>
                <w:szCs w:val="21"/>
                <w:highlight w:val="none"/>
              </w:rPr>
              <w:t>（2）总平面布置专业负责人同时具备高级工程师和注册土木工程师（港口航道与海岸）执业资格证的得2分，只具有高级工程师或注册土木工程师（港口航道与海岸）执业资格证一项的得1分；</w:t>
            </w:r>
          </w:p>
          <w:p>
            <w:pPr>
              <w:ind w:right="31" w:rightChars="15"/>
              <w:rPr>
                <w:rFonts w:ascii="宋体" w:hAnsi="宋体" w:cs="楷体_GB2312"/>
                <w:color w:val="auto"/>
                <w:szCs w:val="21"/>
                <w:highlight w:val="none"/>
              </w:rPr>
            </w:pPr>
            <w:r>
              <w:rPr>
                <w:rFonts w:hint="eastAsia" w:ascii="宋体" w:hAnsi="宋体" w:cs="楷体_GB2312"/>
                <w:color w:val="auto"/>
                <w:szCs w:val="21"/>
                <w:highlight w:val="none"/>
              </w:rPr>
              <w:t>（3）岩土勘察专业负责人同时具备高级工程师和注册土木工程师（岩土）证书的得2分，只具有高级工程师或注册土木工程师（岩土）执业资格证一项的得1分；</w:t>
            </w:r>
          </w:p>
          <w:p>
            <w:pPr>
              <w:ind w:right="31" w:rightChars="15"/>
              <w:rPr>
                <w:rFonts w:ascii="宋体" w:hAnsi="宋体" w:cs="楷体_GB2312"/>
                <w:color w:val="auto"/>
                <w:szCs w:val="21"/>
                <w:highlight w:val="none"/>
              </w:rPr>
            </w:pPr>
            <w:r>
              <w:rPr>
                <w:rFonts w:hint="eastAsia" w:ascii="宋体" w:hAnsi="宋体" w:cs="楷体_GB2312"/>
                <w:color w:val="auto"/>
                <w:szCs w:val="21"/>
                <w:highlight w:val="none"/>
              </w:rPr>
              <w:t>(4)水工结构专业负责人同时具备高级工程师和注册土木工程师（港口航道与海岸）执业资格证的得2分，只具有高级工程师或注册土木工程师（港口航道与海岸）执业资格证一项的得1分；</w:t>
            </w:r>
          </w:p>
          <w:p>
            <w:pPr>
              <w:ind w:right="31" w:rightChars="15"/>
              <w:rPr>
                <w:rFonts w:ascii="宋体" w:hAnsi="宋体" w:cs="楷体_GB2312"/>
                <w:color w:val="auto"/>
                <w:szCs w:val="21"/>
                <w:highlight w:val="none"/>
              </w:rPr>
            </w:pPr>
            <w:r>
              <w:rPr>
                <w:rFonts w:hint="eastAsia" w:ascii="宋体" w:hAnsi="宋体" w:cs="楷体_GB2312"/>
                <w:color w:val="auto"/>
                <w:szCs w:val="21"/>
                <w:highlight w:val="none"/>
              </w:rPr>
              <w:t>(5)造价专业负责人同时具备高级工程师和水运工程造价工程师资格证书的得2分，只具备高级工程师或水运工程造价工程师资格证书的得1分。</w:t>
            </w:r>
          </w:p>
          <w:p>
            <w:pPr>
              <w:ind w:right="31" w:rightChars="15"/>
              <w:rPr>
                <w:color w:val="auto"/>
                <w:highlight w:val="none"/>
              </w:rPr>
            </w:pPr>
            <w:r>
              <w:rPr>
                <w:rFonts w:hint="eastAsia" w:ascii="宋体" w:hAnsi="宋体" w:cs="楷体_GB2312"/>
                <w:color w:val="auto"/>
                <w:szCs w:val="21"/>
                <w:highlight w:val="none"/>
              </w:rPr>
              <w:t>共计10分。</w:t>
            </w:r>
          </w:p>
          <w:p>
            <w:pPr>
              <w:rPr>
                <w:rFonts w:asciiTheme="minorEastAsia" w:hAnsiTheme="minorEastAsia"/>
                <w:color w:val="auto"/>
                <w:szCs w:val="21"/>
                <w:highlight w:val="none"/>
              </w:rPr>
            </w:pPr>
            <w:r>
              <w:rPr>
                <w:rFonts w:hint="eastAsia" w:ascii="宋体" w:hAnsi="宋体" w:cs="宋体"/>
                <w:color w:val="auto"/>
                <w:highlight w:val="none"/>
              </w:rPr>
              <w:t>注：投标文件中提供证书复印件及近期（</w:t>
            </w:r>
            <w:r>
              <w:rPr>
                <w:rFonts w:hint="eastAsia" w:ascii="宋体" w:hAnsi="宋体"/>
                <w:bCs/>
                <w:color w:val="auto"/>
                <w:highlight w:val="none"/>
              </w:rPr>
              <w:t>1个月</w:t>
            </w:r>
            <w:r>
              <w:rPr>
                <w:rFonts w:hint="eastAsia" w:ascii="宋体" w:hAnsi="宋体" w:cs="宋体"/>
                <w:color w:val="auto"/>
                <w:highlight w:val="none"/>
              </w:rPr>
              <w:t>）的社保证明等材料并加盖供应商公章，未提供不得分。</w:t>
            </w:r>
          </w:p>
        </w:tc>
        <w:tc>
          <w:tcPr>
            <w:tcW w:w="686" w:type="dxa"/>
            <w:shd w:val="clear" w:color="auto" w:fill="auto"/>
            <w:vAlign w:val="center"/>
          </w:tcPr>
          <w:p>
            <w:pPr>
              <w:spacing w:line="220" w:lineRule="exact"/>
              <w:ind w:left="-2" w:leftChars="-1"/>
              <w:rPr>
                <w:rFonts w:ascii="仿宋" w:hAnsi="仿宋" w:eastAsia="仿宋"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7" w:hRule="atLeast"/>
          <w:jc w:val="center"/>
        </w:trPr>
        <w:tc>
          <w:tcPr>
            <w:tcW w:w="643" w:type="dxa"/>
            <w:vMerge w:val="continue"/>
            <w:shd w:val="clear" w:color="auto" w:fill="auto"/>
            <w:vAlign w:val="center"/>
          </w:tcPr>
          <w:p>
            <w:pPr>
              <w:snapToGrid w:val="0"/>
              <w:ind w:left="-2" w:leftChars="-1"/>
              <w:jc w:val="center"/>
              <w:rPr>
                <w:rFonts w:ascii="新宋体" w:hAnsi="新宋体" w:eastAsia="新宋体" w:cs="新宋体"/>
                <w:color w:val="auto"/>
                <w:szCs w:val="21"/>
                <w:highlight w:val="none"/>
              </w:rPr>
            </w:pPr>
          </w:p>
        </w:tc>
        <w:tc>
          <w:tcPr>
            <w:tcW w:w="1406" w:type="dxa"/>
            <w:vMerge w:val="continue"/>
            <w:shd w:val="clear" w:color="auto" w:fill="auto"/>
            <w:vAlign w:val="center"/>
          </w:tcPr>
          <w:p>
            <w:pPr>
              <w:snapToGrid w:val="0"/>
              <w:ind w:left="-2" w:leftChars="-1"/>
              <w:jc w:val="center"/>
              <w:rPr>
                <w:rFonts w:ascii="新宋体" w:hAnsi="新宋体" w:eastAsia="新宋体" w:cs="新宋体"/>
                <w:color w:val="auto"/>
                <w:szCs w:val="21"/>
                <w:highlight w:val="none"/>
              </w:rPr>
            </w:pPr>
          </w:p>
        </w:tc>
        <w:tc>
          <w:tcPr>
            <w:tcW w:w="709" w:type="dxa"/>
            <w:vMerge w:val="continue"/>
            <w:shd w:val="clear" w:color="auto" w:fill="auto"/>
            <w:vAlign w:val="center"/>
          </w:tcPr>
          <w:p>
            <w:pPr>
              <w:spacing w:line="220" w:lineRule="exact"/>
              <w:ind w:left="-2" w:leftChars="-1"/>
              <w:jc w:val="center"/>
              <w:rPr>
                <w:rFonts w:ascii="新宋体" w:hAnsi="新宋体" w:eastAsia="新宋体" w:cs="新宋体"/>
                <w:color w:val="auto"/>
                <w:szCs w:val="21"/>
                <w:highlight w:val="none"/>
              </w:rPr>
            </w:pPr>
          </w:p>
        </w:tc>
        <w:tc>
          <w:tcPr>
            <w:tcW w:w="9797" w:type="dxa"/>
            <w:vMerge w:val="continue"/>
            <w:shd w:val="clear" w:color="auto" w:fill="auto"/>
            <w:vAlign w:val="center"/>
          </w:tcPr>
          <w:p>
            <w:pPr>
              <w:ind w:right="31" w:rightChars="15"/>
              <w:rPr>
                <w:rFonts w:ascii="宋体" w:hAnsi="宋体" w:cs="楷体_GB2312"/>
                <w:color w:val="auto"/>
                <w:szCs w:val="21"/>
                <w:highlight w:val="none"/>
              </w:rPr>
            </w:pPr>
          </w:p>
        </w:tc>
        <w:tc>
          <w:tcPr>
            <w:tcW w:w="686" w:type="dxa"/>
            <w:shd w:val="clear" w:color="auto" w:fill="auto"/>
            <w:vAlign w:val="center"/>
          </w:tcPr>
          <w:p>
            <w:pPr>
              <w:spacing w:line="220" w:lineRule="exact"/>
              <w:ind w:left="-2" w:leftChars="-1"/>
              <w:rPr>
                <w:rFonts w:ascii="仿宋" w:hAnsi="仿宋" w:eastAsia="仿宋"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643" w:type="dxa"/>
            <w:vMerge w:val="restart"/>
            <w:shd w:val="clear" w:color="auto" w:fill="auto"/>
            <w:vAlign w:val="center"/>
          </w:tcPr>
          <w:p>
            <w:pPr>
              <w:snapToGrid w:val="0"/>
              <w:ind w:left="-2" w:leftChars="-1"/>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技术部分</w:t>
            </w:r>
          </w:p>
        </w:tc>
        <w:tc>
          <w:tcPr>
            <w:tcW w:w="1406" w:type="dxa"/>
            <w:shd w:val="clear" w:color="auto" w:fill="auto"/>
            <w:vAlign w:val="center"/>
          </w:tcPr>
          <w:p>
            <w:pPr>
              <w:ind w:left="42" w:leftChars="20" w:right="42" w:rightChars="20"/>
              <w:jc w:val="center"/>
              <w:rPr>
                <w:rFonts w:ascii="宋体" w:hAnsi="宋体"/>
                <w:color w:val="auto"/>
                <w:highlight w:val="none"/>
              </w:rPr>
            </w:pPr>
            <w:r>
              <w:rPr>
                <w:rFonts w:ascii="宋体" w:hAnsi="宋体"/>
                <w:color w:val="auto"/>
                <w:highlight w:val="none"/>
              </w:rPr>
              <w:t>对项目的了解和理解</w:t>
            </w:r>
          </w:p>
        </w:tc>
        <w:tc>
          <w:tcPr>
            <w:tcW w:w="709" w:type="dxa"/>
            <w:shd w:val="clear" w:color="auto" w:fill="auto"/>
            <w:vAlign w:val="center"/>
          </w:tcPr>
          <w:p>
            <w:pPr>
              <w:jc w:val="center"/>
              <w:rPr>
                <w:rFonts w:hint="eastAsia" w:ascii="宋体" w:hAnsi="宋体" w:cs="宋体" w:eastAsiaTheme="minorEastAsia"/>
                <w:color w:val="auto"/>
                <w:position w:val="8"/>
                <w:highlight w:val="none"/>
                <w:lang w:eastAsia="zh-CN"/>
              </w:rPr>
            </w:pPr>
            <w:r>
              <w:rPr>
                <w:rFonts w:hint="eastAsia" w:ascii="宋体" w:hAnsi="宋体" w:cs="宋体"/>
                <w:color w:val="auto"/>
                <w:position w:val="8"/>
                <w:highlight w:val="none"/>
                <w:lang w:val="en-US" w:eastAsia="zh-CN"/>
              </w:rPr>
              <w:t>5</w:t>
            </w:r>
          </w:p>
        </w:tc>
        <w:tc>
          <w:tcPr>
            <w:tcW w:w="9797" w:type="dxa"/>
            <w:shd w:val="clear" w:color="auto" w:fill="auto"/>
            <w:vAlign w:val="center"/>
          </w:tcPr>
          <w:p>
            <w:pPr>
              <w:adjustRightInd w:val="0"/>
              <w:snapToGrid w:val="0"/>
              <w:rPr>
                <w:rFonts w:ascii="宋体" w:hAnsi="宋体"/>
                <w:color w:val="auto"/>
                <w:highlight w:val="none"/>
              </w:rPr>
            </w:pPr>
            <w:r>
              <w:rPr>
                <w:rFonts w:hint="eastAsia" w:ascii="宋体" w:hAnsi="宋体"/>
                <w:color w:val="auto"/>
                <w:highlight w:val="none"/>
              </w:rPr>
              <w:t>内容与深度符合招标文件要求，对项目的理解透彻、准确的得</w:t>
            </w:r>
            <w:r>
              <w:rPr>
                <w:rFonts w:hint="eastAsia" w:ascii="宋体" w:hAnsi="宋体"/>
                <w:color w:val="auto"/>
                <w:highlight w:val="none"/>
                <w:lang w:val="en-US" w:eastAsia="zh-CN"/>
              </w:rPr>
              <w:t>4</w:t>
            </w:r>
            <w:r>
              <w:rPr>
                <w:rFonts w:hint="eastAsia" w:ascii="宋体" w:hAnsi="宋体"/>
                <w:color w:val="auto"/>
                <w:highlight w:val="none"/>
                <w:lang w:eastAsia="zh-CN"/>
              </w:rPr>
              <w:t>～</w:t>
            </w:r>
            <w:r>
              <w:rPr>
                <w:rFonts w:hint="eastAsia" w:ascii="宋体" w:hAnsi="宋体"/>
                <w:color w:val="auto"/>
                <w:highlight w:val="none"/>
                <w:lang w:val="en-US" w:eastAsia="zh-CN"/>
              </w:rPr>
              <w:t>5</w:t>
            </w:r>
            <w:r>
              <w:rPr>
                <w:rFonts w:hint="eastAsia" w:ascii="宋体" w:hAnsi="宋体"/>
                <w:color w:val="auto"/>
                <w:highlight w:val="none"/>
              </w:rPr>
              <w:t>分；内容与深度基本符合招标文件要求，对项目的理解基本准确的得</w:t>
            </w:r>
            <w:r>
              <w:rPr>
                <w:rFonts w:hint="eastAsia" w:ascii="宋体" w:hAnsi="宋体"/>
                <w:color w:val="auto"/>
                <w:highlight w:val="none"/>
                <w:lang w:val="en-US" w:eastAsia="zh-CN"/>
              </w:rPr>
              <w:t>2</w:t>
            </w:r>
            <w:r>
              <w:rPr>
                <w:rFonts w:hint="eastAsia" w:ascii="宋体" w:hAnsi="宋体"/>
                <w:color w:val="auto"/>
                <w:highlight w:val="none"/>
                <w:lang w:eastAsia="zh-CN"/>
              </w:rPr>
              <w:t>～</w:t>
            </w:r>
            <w:r>
              <w:rPr>
                <w:rFonts w:hint="eastAsia" w:ascii="宋体" w:hAnsi="宋体"/>
                <w:color w:val="auto"/>
                <w:highlight w:val="none"/>
                <w:lang w:val="en-US" w:eastAsia="zh-CN"/>
              </w:rPr>
              <w:t>3</w:t>
            </w:r>
            <w:r>
              <w:rPr>
                <w:rFonts w:hint="eastAsia" w:ascii="宋体" w:hAnsi="宋体"/>
                <w:color w:val="auto"/>
                <w:highlight w:val="none"/>
              </w:rPr>
              <w:t>分；内容符合招标文件要求，对项目的理解不大准确的得0</w:t>
            </w:r>
            <w:r>
              <w:rPr>
                <w:rFonts w:hint="eastAsia" w:ascii="宋体" w:hAnsi="宋体"/>
                <w:color w:val="auto"/>
                <w:highlight w:val="none"/>
                <w:lang w:eastAsia="zh-CN"/>
              </w:rPr>
              <w:t>～</w:t>
            </w:r>
            <w:r>
              <w:rPr>
                <w:rFonts w:hint="eastAsia" w:ascii="宋体" w:hAnsi="宋体"/>
                <w:color w:val="auto"/>
                <w:highlight w:val="none"/>
                <w:lang w:val="en-US" w:eastAsia="zh-CN"/>
              </w:rPr>
              <w:t>1</w:t>
            </w:r>
            <w:r>
              <w:rPr>
                <w:rFonts w:hint="eastAsia" w:ascii="宋体" w:hAnsi="宋体"/>
                <w:color w:val="auto"/>
                <w:highlight w:val="none"/>
              </w:rPr>
              <w:t>分。</w:t>
            </w:r>
          </w:p>
        </w:tc>
        <w:tc>
          <w:tcPr>
            <w:tcW w:w="686" w:type="dxa"/>
            <w:shd w:val="clear" w:color="auto" w:fill="auto"/>
            <w:vAlign w:val="center"/>
          </w:tcPr>
          <w:p>
            <w:pPr>
              <w:spacing w:line="360" w:lineRule="exact"/>
              <w:rPr>
                <w:rFonts w:ascii="仿宋" w:hAnsi="仿宋" w:eastAsia="仿宋"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643" w:type="dxa"/>
            <w:vMerge w:val="continue"/>
            <w:shd w:val="clear" w:color="auto" w:fill="auto"/>
            <w:vAlign w:val="center"/>
          </w:tcPr>
          <w:p>
            <w:pPr>
              <w:snapToGrid w:val="0"/>
              <w:ind w:left="-2" w:leftChars="-1"/>
              <w:jc w:val="center"/>
              <w:rPr>
                <w:rFonts w:ascii="新宋体" w:hAnsi="新宋体" w:eastAsia="新宋体" w:cs="新宋体"/>
                <w:color w:val="auto"/>
                <w:szCs w:val="21"/>
                <w:highlight w:val="none"/>
              </w:rPr>
            </w:pPr>
          </w:p>
        </w:tc>
        <w:tc>
          <w:tcPr>
            <w:tcW w:w="1406" w:type="dxa"/>
            <w:shd w:val="clear" w:color="auto" w:fill="auto"/>
            <w:vAlign w:val="center"/>
          </w:tcPr>
          <w:p>
            <w:pPr>
              <w:ind w:left="42" w:leftChars="20" w:right="42" w:rightChars="20"/>
              <w:jc w:val="center"/>
              <w:rPr>
                <w:rFonts w:ascii="宋体" w:hAnsi="宋体"/>
                <w:color w:val="auto"/>
                <w:highlight w:val="none"/>
              </w:rPr>
            </w:pPr>
            <w:r>
              <w:rPr>
                <w:rFonts w:ascii="宋体" w:hAnsi="宋体"/>
                <w:snapToGrid w:val="0"/>
                <w:color w:val="auto"/>
                <w:highlight w:val="none"/>
              </w:rPr>
              <w:t>对本项目重难点和关键性技术难题分析和建议</w:t>
            </w:r>
          </w:p>
        </w:tc>
        <w:tc>
          <w:tcPr>
            <w:tcW w:w="709" w:type="dxa"/>
            <w:shd w:val="clear" w:color="auto" w:fill="auto"/>
            <w:vAlign w:val="center"/>
          </w:tcPr>
          <w:p>
            <w:pPr>
              <w:jc w:val="center"/>
              <w:rPr>
                <w:rFonts w:hint="default" w:ascii="宋体" w:hAnsi="宋体" w:eastAsiaTheme="minorEastAsia"/>
                <w:color w:val="auto"/>
                <w:position w:val="8"/>
                <w:highlight w:val="none"/>
                <w:lang w:val="en-US" w:eastAsia="zh-CN"/>
              </w:rPr>
            </w:pPr>
            <w:r>
              <w:rPr>
                <w:rFonts w:hint="eastAsia" w:ascii="宋体" w:hAnsi="宋体"/>
                <w:color w:val="auto"/>
                <w:position w:val="8"/>
                <w:highlight w:val="none"/>
                <w:lang w:val="en-US" w:eastAsia="zh-CN"/>
              </w:rPr>
              <w:t>10</w:t>
            </w:r>
          </w:p>
        </w:tc>
        <w:tc>
          <w:tcPr>
            <w:tcW w:w="9797" w:type="dxa"/>
            <w:shd w:val="clear" w:color="auto" w:fill="auto"/>
            <w:vAlign w:val="center"/>
          </w:tcPr>
          <w:p>
            <w:pPr>
              <w:ind w:left="69" w:leftChars="33" w:right="99" w:rightChars="47"/>
              <w:rPr>
                <w:rFonts w:ascii="宋体" w:hAnsi="宋体"/>
                <w:color w:val="auto"/>
                <w:highlight w:val="none"/>
              </w:rPr>
            </w:pPr>
            <w:r>
              <w:rPr>
                <w:rFonts w:hint="eastAsia" w:ascii="宋体" w:hAnsi="宋体"/>
                <w:color w:val="auto"/>
                <w:highlight w:val="none"/>
              </w:rPr>
              <w:t>对</w:t>
            </w:r>
            <w:r>
              <w:rPr>
                <w:rFonts w:ascii="宋体" w:hAnsi="宋体"/>
                <w:color w:val="auto"/>
                <w:highlight w:val="none"/>
              </w:rPr>
              <w:t>本项目重难点和关键性技术难题理解分析</w:t>
            </w:r>
            <w:r>
              <w:rPr>
                <w:rFonts w:hint="eastAsia" w:ascii="宋体" w:hAnsi="宋体"/>
                <w:color w:val="auto"/>
                <w:highlight w:val="none"/>
              </w:rPr>
              <w:t>具有一定的深度且全面，其对策措施明确、具体、可行、针对性好，得</w:t>
            </w:r>
            <w:r>
              <w:rPr>
                <w:rFonts w:hint="eastAsia" w:ascii="宋体" w:hAnsi="宋体"/>
                <w:color w:val="auto"/>
                <w:highlight w:val="none"/>
                <w:lang w:val="en-US" w:eastAsia="zh-CN"/>
              </w:rPr>
              <w:t>6</w:t>
            </w:r>
            <w:r>
              <w:rPr>
                <w:rFonts w:hint="eastAsia" w:ascii="宋体" w:hAnsi="宋体" w:eastAsia="宋体" w:cs="宋体"/>
                <w:color w:val="auto"/>
                <w:highlight w:val="none"/>
                <w:lang w:val="en-US" w:eastAsia="zh-CN"/>
              </w:rPr>
              <w:t>～</w:t>
            </w:r>
            <w:r>
              <w:rPr>
                <w:rFonts w:hint="eastAsia" w:ascii="宋体" w:hAnsi="宋体"/>
                <w:color w:val="auto"/>
                <w:highlight w:val="none"/>
                <w:lang w:val="en-US" w:eastAsia="zh-CN"/>
              </w:rPr>
              <w:t>10</w:t>
            </w:r>
            <w:r>
              <w:rPr>
                <w:rFonts w:hint="eastAsia" w:ascii="宋体" w:hAnsi="宋体"/>
                <w:color w:val="auto"/>
                <w:highlight w:val="none"/>
              </w:rPr>
              <w:t>分；对</w:t>
            </w:r>
            <w:r>
              <w:rPr>
                <w:rFonts w:ascii="宋体" w:hAnsi="宋体"/>
                <w:color w:val="auto"/>
                <w:highlight w:val="none"/>
              </w:rPr>
              <w:t>本项目重难点和关键性技术难题理解分析</w:t>
            </w:r>
            <w:r>
              <w:rPr>
                <w:rFonts w:hint="eastAsia" w:ascii="宋体" w:hAnsi="宋体"/>
                <w:color w:val="auto"/>
                <w:highlight w:val="none"/>
              </w:rPr>
              <w:t>基本合理，其对策措施基本明确、基本具体、基本可行、针对性一般，得0</w:t>
            </w:r>
            <w:r>
              <w:rPr>
                <w:rFonts w:hint="eastAsia" w:ascii="宋体" w:hAnsi="宋体"/>
                <w:color w:val="auto"/>
                <w:highlight w:val="none"/>
                <w:lang w:eastAsia="zh-CN"/>
              </w:rPr>
              <w:t>～</w:t>
            </w:r>
            <w:r>
              <w:rPr>
                <w:rFonts w:hint="eastAsia" w:ascii="宋体" w:hAnsi="宋体"/>
                <w:color w:val="auto"/>
                <w:highlight w:val="none"/>
                <w:lang w:val="en-US" w:eastAsia="zh-CN"/>
              </w:rPr>
              <w:t>5</w:t>
            </w:r>
            <w:r>
              <w:rPr>
                <w:rFonts w:hint="eastAsia" w:ascii="宋体" w:hAnsi="宋体"/>
                <w:color w:val="auto"/>
                <w:highlight w:val="none"/>
              </w:rPr>
              <w:t>分；</w:t>
            </w:r>
          </w:p>
        </w:tc>
        <w:tc>
          <w:tcPr>
            <w:tcW w:w="686" w:type="dxa"/>
            <w:shd w:val="clear" w:color="auto" w:fill="auto"/>
            <w:vAlign w:val="center"/>
          </w:tcPr>
          <w:p>
            <w:pPr>
              <w:spacing w:line="360" w:lineRule="exact"/>
              <w:rPr>
                <w:rFonts w:ascii="仿宋" w:hAnsi="仿宋" w:eastAsia="仿宋"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643" w:type="dxa"/>
            <w:vMerge w:val="continue"/>
            <w:shd w:val="clear" w:color="auto" w:fill="auto"/>
            <w:vAlign w:val="center"/>
          </w:tcPr>
          <w:p>
            <w:pPr>
              <w:snapToGrid w:val="0"/>
              <w:ind w:left="-2" w:leftChars="-1"/>
              <w:jc w:val="center"/>
              <w:rPr>
                <w:rFonts w:ascii="新宋体" w:hAnsi="新宋体" w:eastAsia="新宋体" w:cs="新宋体"/>
                <w:color w:val="auto"/>
                <w:szCs w:val="21"/>
                <w:highlight w:val="none"/>
              </w:rPr>
            </w:pPr>
          </w:p>
        </w:tc>
        <w:tc>
          <w:tcPr>
            <w:tcW w:w="1406" w:type="dxa"/>
            <w:shd w:val="clear" w:color="auto" w:fill="auto"/>
            <w:vAlign w:val="center"/>
          </w:tcPr>
          <w:p>
            <w:pPr>
              <w:ind w:left="42" w:leftChars="20" w:right="42" w:rightChars="20"/>
              <w:jc w:val="center"/>
              <w:rPr>
                <w:rFonts w:ascii="宋体" w:hAnsi="宋体"/>
                <w:color w:val="auto"/>
                <w:highlight w:val="none"/>
              </w:rPr>
            </w:pPr>
            <w:r>
              <w:rPr>
                <w:rFonts w:ascii="宋体" w:hAnsi="宋体"/>
                <w:snapToGrid w:val="0"/>
                <w:color w:val="auto"/>
                <w:highlight w:val="none"/>
              </w:rPr>
              <w:t>进度计划</w:t>
            </w:r>
          </w:p>
        </w:tc>
        <w:tc>
          <w:tcPr>
            <w:tcW w:w="709" w:type="dxa"/>
            <w:shd w:val="clear" w:color="auto" w:fill="auto"/>
            <w:vAlign w:val="center"/>
          </w:tcPr>
          <w:p>
            <w:pPr>
              <w:jc w:val="center"/>
              <w:rPr>
                <w:rFonts w:ascii="宋体" w:hAnsi="宋体" w:cs="宋体"/>
                <w:color w:val="auto"/>
                <w:position w:val="8"/>
                <w:highlight w:val="none"/>
              </w:rPr>
            </w:pPr>
            <w:r>
              <w:rPr>
                <w:rFonts w:hint="eastAsia" w:ascii="宋体" w:hAnsi="宋体" w:cs="宋体"/>
                <w:color w:val="auto"/>
                <w:position w:val="8"/>
                <w:highlight w:val="none"/>
              </w:rPr>
              <w:t>10</w:t>
            </w:r>
          </w:p>
        </w:tc>
        <w:tc>
          <w:tcPr>
            <w:tcW w:w="9797" w:type="dxa"/>
            <w:shd w:val="clear" w:color="auto" w:fill="auto"/>
            <w:vAlign w:val="center"/>
          </w:tcPr>
          <w:p>
            <w:pPr>
              <w:tabs>
                <w:tab w:val="left" w:pos="4200"/>
              </w:tabs>
              <w:ind w:left="69" w:leftChars="33" w:right="99" w:rightChars="47"/>
              <w:rPr>
                <w:rFonts w:ascii="宋体" w:hAnsi="宋体"/>
                <w:color w:val="auto"/>
                <w:highlight w:val="none"/>
              </w:rPr>
            </w:pPr>
            <w:r>
              <w:rPr>
                <w:rFonts w:hint="eastAsia" w:ascii="宋体" w:hAnsi="宋体"/>
                <w:color w:val="auto"/>
                <w:highlight w:val="none"/>
              </w:rPr>
              <w:t>设计工作内容详细完整，计划安排合理，得8</w:t>
            </w:r>
            <w:r>
              <w:rPr>
                <w:rFonts w:hint="eastAsia" w:ascii="宋体" w:hAnsi="宋体"/>
                <w:color w:val="auto"/>
                <w:highlight w:val="none"/>
                <w:lang w:eastAsia="zh-CN"/>
              </w:rPr>
              <w:t>～</w:t>
            </w:r>
            <w:r>
              <w:rPr>
                <w:rFonts w:hint="eastAsia" w:ascii="宋体" w:hAnsi="宋体"/>
                <w:color w:val="auto"/>
                <w:highlight w:val="none"/>
              </w:rPr>
              <w:t>10分；设计工作内容基本详细完整，计划安排基本合理，得5</w:t>
            </w:r>
            <w:r>
              <w:rPr>
                <w:rFonts w:hint="eastAsia" w:ascii="宋体" w:hAnsi="宋体"/>
                <w:color w:val="auto"/>
                <w:highlight w:val="none"/>
                <w:lang w:eastAsia="zh-CN"/>
              </w:rPr>
              <w:t>～</w:t>
            </w:r>
            <w:r>
              <w:rPr>
                <w:rFonts w:hint="eastAsia" w:ascii="宋体" w:hAnsi="宋体"/>
                <w:color w:val="auto"/>
                <w:highlight w:val="none"/>
              </w:rPr>
              <w:t>7分；设计工作内容详细完整程度一般，计划安排一般合理，得0</w:t>
            </w:r>
            <w:r>
              <w:rPr>
                <w:rFonts w:hint="eastAsia" w:ascii="宋体" w:hAnsi="宋体"/>
                <w:color w:val="auto"/>
                <w:highlight w:val="none"/>
                <w:lang w:eastAsia="zh-CN"/>
              </w:rPr>
              <w:t>～</w:t>
            </w:r>
            <w:r>
              <w:rPr>
                <w:rFonts w:hint="eastAsia" w:ascii="宋体" w:hAnsi="宋体"/>
                <w:color w:val="auto"/>
                <w:highlight w:val="none"/>
              </w:rPr>
              <w:t>4分。</w:t>
            </w:r>
          </w:p>
        </w:tc>
        <w:tc>
          <w:tcPr>
            <w:tcW w:w="686" w:type="dxa"/>
            <w:shd w:val="clear" w:color="auto" w:fill="auto"/>
            <w:vAlign w:val="center"/>
          </w:tcPr>
          <w:p>
            <w:pPr>
              <w:spacing w:line="360" w:lineRule="exact"/>
              <w:rPr>
                <w:rFonts w:ascii="仿宋" w:hAnsi="仿宋" w:eastAsia="仿宋"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643" w:type="dxa"/>
            <w:vMerge w:val="continue"/>
            <w:shd w:val="clear" w:color="auto" w:fill="auto"/>
            <w:vAlign w:val="center"/>
          </w:tcPr>
          <w:p>
            <w:pPr>
              <w:snapToGrid w:val="0"/>
              <w:ind w:left="-2" w:leftChars="-1"/>
              <w:jc w:val="center"/>
              <w:rPr>
                <w:rFonts w:ascii="新宋体" w:hAnsi="新宋体" w:eastAsia="新宋体" w:cs="新宋体"/>
                <w:color w:val="auto"/>
                <w:szCs w:val="21"/>
                <w:highlight w:val="none"/>
              </w:rPr>
            </w:pPr>
          </w:p>
        </w:tc>
        <w:tc>
          <w:tcPr>
            <w:tcW w:w="1406" w:type="dxa"/>
            <w:shd w:val="clear" w:color="auto" w:fill="auto"/>
            <w:vAlign w:val="center"/>
          </w:tcPr>
          <w:p>
            <w:pPr>
              <w:ind w:left="42" w:leftChars="20" w:right="42" w:rightChars="20"/>
              <w:jc w:val="center"/>
              <w:rPr>
                <w:rFonts w:ascii="宋体" w:hAnsi="宋体"/>
                <w:snapToGrid w:val="0"/>
                <w:color w:val="auto"/>
                <w:highlight w:val="none"/>
              </w:rPr>
            </w:pPr>
            <w:r>
              <w:rPr>
                <w:rFonts w:ascii="宋体" w:hAnsi="宋体"/>
                <w:snapToGrid w:val="0"/>
                <w:color w:val="auto"/>
                <w:highlight w:val="none"/>
              </w:rPr>
              <w:t>质量保证承诺</w:t>
            </w:r>
          </w:p>
        </w:tc>
        <w:tc>
          <w:tcPr>
            <w:tcW w:w="709" w:type="dxa"/>
            <w:shd w:val="clear" w:color="auto" w:fill="auto"/>
            <w:vAlign w:val="center"/>
          </w:tcPr>
          <w:p>
            <w:pPr>
              <w:jc w:val="center"/>
              <w:rPr>
                <w:rFonts w:ascii="宋体" w:hAnsi="宋体" w:cs="宋体"/>
                <w:color w:val="auto"/>
                <w:position w:val="8"/>
                <w:highlight w:val="none"/>
              </w:rPr>
            </w:pPr>
            <w:r>
              <w:rPr>
                <w:rFonts w:hint="eastAsia" w:ascii="宋体" w:hAnsi="宋体" w:cs="宋体"/>
                <w:color w:val="auto"/>
                <w:position w:val="8"/>
                <w:highlight w:val="none"/>
              </w:rPr>
              <w:t>5</w:t>
            </w:r>
          </w:p>
        </w:tc>
        <w:tc>
          <w:tcPr>
            <w:tcW w:w="9797" w:type="dxa"/>
            <w:shd w:val="clear" w:color="auto" w:fill="auto"/>
            <w:vAlign w:val="center"/>
          </w:tcPr>
          <w:p>
            <w:pPr>
              <w:tabs>
                <w:tab w:val="left" w:pos="4200"/>
              </w:tabs>
              <w:ind w:left="69" w:leftChars="33" w:right="99" w:rightChars="47"/>
              <w:rPr>
                <w:rFonts w:ascii="宋体" w:hAnsi="宋体"/>
                <w:color w:val="auto"/>
                <w:highlight w:val="none"/>
              </w:rPr>
            </w:pPr>
            <w:r>
              <w:rPr>
                <w:rFonts w:hint="eastAsia" w:ascii="宋体" w:hAnsi="宋体"/>
                <w:color w:val="auto"/>
                <w:highlight w:val="none"/>
              </w:rPr>
              <w:t>满足招标文件质量要求，质量保证措施明确、具体、可行、针对性好、各项落实，得3</w:t>
            </w:r>
            <w:r>
              <w:rPr>
                <w:rFonts w:hint="eastAsia" w:ascii="宋体" w:hAnsi="宋体"/>
                <w:color w:val="auto"/>
                <w:highlight w:val="none"/>
                <w:lang w:eastAsia="zh-CN"/>
              </w:rPr>
              <w:t>～</w:t>
            </w:r>
            <w:r>
              <w:rPr>
                <w:rFonts w:hint="eastAsia" w:ascii="宋体" w:hAnsi="宋体"/>
                <w:color w:val="auto"/>
                <w:highlight w:val="none"/>
              </w:rPr>
              <w:t>5分；一般满足招标文件质量要求，质量保证措施一般化、但对质量保证措施有认识，得0</w:t>
            </w:r>
            <w:r>
              <w:rPr>
                <w:rFonts w:hint="eastAsia" w:ascii="宋体" w:hAnsi="宋体"/>
                <w:color w:val="auto"/>
                <w:highlight w:val="none"/>
                <w:lang w:eastAsia="zh-CN"/>
              </w:rPr>
              <w:t>～</w:t>
            </w:r>
            <w:r>
              <w:rPr>
                <w:rFonts w:hint="eastAsia" w:ascii="宋体" w:hAnsi="宋体"/>
                <w:color w:val="auto"/>
                <w:highlight w:val="none"/>
              </w:rPr>
              <w:t>2分。</w:t>
            </w:r>
          </w:p>
        </w:tc>
        <w:tc>
          <w:tcPr>
            <w:tcW w:w="686" w:type="dxa"/>
            <w:shd w:val="clear" w:color="auto" w:fill="auto"/>
            <w:vAlign w:val="center"/>
          </w:tcPr>
          <w:p>
            <w:pPr>
              <w:spacing w:line="360" w:lineRule="exact"/>
              <w:rPr>
                <w:rFonts w:ascii="仿宋" w:hAnsi="仿宋" w:eastAsia="仿宋"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jc w:val="center"/>
        </w:trPr>
        <w:tc>
          <w:tcPr>
            <w:tcW w:w="643" w:type="dxa"/>
            <w:shd w:val="clear" w:color="auto" w:fill="auto"/>
            <w:vAlign w:val="center"/>
          </w:tcPr>
          <w:p>
            <w:pPr>
              <w:snapToGrid w:val="0"/>
              <w:ind w:left="-2" w:leftChars="-1"/>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经济部分</w:t>
            </w:r>
          </w:p>
        </w:tc>
        <w:tc>
          <w:tcPr>
            <w:tcW w:w="1406" w:type="dxa"/>
            <w:shd w:val="clear" w:color="auto" w:fill="auto"/>
            <w:vAlign w:val="center"/>
          </w:tcPr>
          <w:p>
            <w:pPr>
              <w:snapToGrid w:val="0"/>
              <w:ind w:left="-2" w:leftChars="-1"/>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服务</w:t>
            </w:r>
          </w:p>
          <w:p>
            <w:pPr>
              <w:snapToGrid w:val="0"/>
              <w:ind w:left="-2" w:leftChars="-1"/>
              <w:jc w:val="center"/>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报价</w:t>
            </w:r>
          </w:p>
        </w:tc>
        <w:tc>
          <w:tcPr>
            <w:tcW w:w="709" w:type="dxa"/>
            <w:shd w:val="clear" w:color="auto" w:fill="auto"/>
            <w:vAlign w:val="center"/>
          </w:tcPr>
          <w:p>
            <w:pPr>
              <w:spacing w:line="220" w:lineRule="exact"/>
              <w:ind w:left="-2" w:leftChars="-1"/>
              <w:jc w:val="center"/>
              <w:rPr>
                <w:rFonts w:ascii="仿宋" w:hAnsi="仿宋" w:eastAsia="仿宋" w:cs="宋体"/>
                <w:color w:val="auto"/>
                <w:szCs w:val="21"/>
                <w:highlight w:val="none"/>
              </w:rPr>
            </w:pPr>
            <w:r>
              <w:rPr>
                <w:rFonts w:hint="eastAsia" w:ascii="仿宋" w:hAnsi="仿宋" w:eastAsia="仿宋" w:cs="宋体"/>
                <w:color w:val="auto"/>
                <w:szCs w:val="21"/>
                <w:highlight w:val="none"/>
              </w:rPr>
              <w:t>50</w:t>
            </w:r>
          </w:p>
        </w:tc>
        <w:tc>
          <w:tcPr>
            <w:tcW w:w="9797" w:type="dxa"/>
            <w:shd w:val="clear" w:color="auto" w:fill="auto"/>
          </w:tcPr>
          <w:p>
            <w:pPr>
              <w:jc w:val="left"/>
              <w:rPr>
                <w:color w:val="auto"/>
                <w:highlight w:val="none"/>
              </w:rPr>
            </w:pPr>
          </w:p>
          <w:p>
            <w:pPr>
              <w:ind w:firstLine="315" w:firstLineChars="150"/>
              <w:rPr>
                <w:rFonts w:hint="eastAsia"/>
                <w:color w:val="auto"/>
                <w:highlight w:val="none"/>
                <w:lang w:eastAsia="zh-CN"/>
              </w:rPr>
            </w:pPr>
            <w:r>
              <w:rPr>
                <w:rFonts w:hint="eastAsia"/>
                <w:color w:val="auto"/>
                <w:highlight w:val="none"/>
              </w:rPr>
              <w:t>经济标报价部分以投标单位的有效</w:t>
            </w:r>
            <w:r>
              <w:rPr>
                <w:rFonts w:hint="eastAsia"/>
                <w:color w:val="auto"/>
                <w:highlight w:val="none"/>
                <w:lang w:eastAsia="zh-CN"/>
              </w:rPr>
              <w:t>总</w:t>
            </w:r>
            <w:r>
              <w:rPr>
                <w:rFonts w:hint="eastAsia"/>
                <w:color w:val="auto"/>
                <w:highlight w:val="none"/>
              </w:rPr>
              <w:t>报价的平均数作为基准价，等于基准价为满分50分，高于基准价的1%扣</w:t>
            </w:r>
            <w:r>
              <w:rPr>
                <w:rFonts w:hint="eastAsia"/>
                <w:color w:val="auto"/>
                <w:highlight w:val="none"/>
                <w:lang w:val="en-US" w:eastAsia="zh-CN"/>
              </w:rPr>
              <w:t>1</w:t>
            </w:r>
            <w:r>
              <w:rPr>
                <w:rFonts w:hint="eastAsia"/>
                <w:color w:val="auto"/>
                <w:highlight w:val="none"/>
              </w:rPr>
              <w:t>分，低于基准价的1%扣</w:t>
            </w:r>
            <w:r>
              <w:rPr>
                <w:rFonts w:hint="eastAsia"/>
                <w:color w:val="auto"/>
                <w:highlight w:val="none"/>
                <w:lang w:val="en-US" w:eastAsia="zh-CN"/>
              </w:rPr>
              <w:t>0.5</w:t>
            </w:r>
            <w:r>
              <w:rPr>
                <w:rFonts w:hint="eastAsia"/>
                <w:color w:val="auto"/>
                <w:highlight w:val="none"/>
              </w:rPr>
              <w:t>分，以此类推。最低得分0分。得分保留两位小数。</w:t>
            </w:r>
            <w:r>
              <w:rPr>
                <w:rFonts w:hint="eastAsia"/>
                <w:color w:val="auto"/>
                <w:highlight w:val="none"/>
                <w:lang w:eastAsia="zh-CN"/>
              </w:rPr>
              <w:t>计算公式如下：</w:t>
            </w:r>
          </w:p>
          <w:p>
            <w:pPr>
              <w:pStyle w:val="7"/>
              <w:numPr>
                <w:ilvl w:val="0"/>
                <w:numId w:val="6"/>
              </w:numPr>
              <w:rPr>
                <w:rFonts w:hint="eastAsia"/>
                <w:color w:val="auto"/>
                <w:highlight w:val="none"/>
                <w:lang w:val="en-US" w:eastAsia="zh-CN"/>
              </w:rPr>
            </w:pPr>
            <w:r>
              <w:rPr>
                <w:rFonts w:hint="eastAsia"/>
                <w:color w:val="auto"/>
                <w:highlight w:val="none"/>
                <w:lang w:val="en-US" w:eastAsia="zh-CN"/>
              </w:rPr>
              <w:t>报价等于基准价的，得分=50</w:t>
            </w:r>
          </w:p>
          <w:p>
            <w:pPr>
              <w:pStyle w:val="7"/>
              <w:numPr>
                <w:ilvl w:val="0"/>
                <w:numId w:val="6"/>
              </w:numPr>
              <w:rPr>
                <w:rFonts w:hint="eastAsia"/>
                <w:color w:val="auto"/>
                <w:highlight w:val="none"/>
                <w:lang w:val="en-US" w:eastAsia="zh-CN"/>
              </w:rPr>
            </w:pPr>
            <w:r>
              <w:rPr>
                <w:rFonts w:hint="eastAsia"/>
                <w:color w:val="auto"/>
                <w:highlight w:val="none"/>
                <w:lang w:val="en-US" w:eastAsia="zh-CN"/>
              </w:rPr>
              <w:t>报价高于基准价的，得分=50-[（报价-基准价）/基准价]×100×1</w:t>
            </w:r>
          </w:p>
          <w:p>
            <w:pPr>
              <w:pStyle w:val="7"/>
              <w:numPr>
                <w:ilvl w:val="0"/>
                <w:numId w:val="6"/>
              </w:numPr>
              <w:rPr>
                <w:rFonts w:hint="default"/>
                <w:color w:val="auto"/>
                <w:highlight w:val="none"/>
                <w:lang w:val="en-US" w:eastAsia="zh-CN"/>
              </w:rPr>
            </w:pPr>
            <w:r>
              <w:rPr>
                <w:rFonts w:hint="eastAsia"/>
                <w:color w:val="auto"/>
                <w:highlight w:val="none"/>
                <w:lang w:val="en-US" w:eastAsia="zh-CN"/>
              </w:rPr>
              <w:t>报价低于基准价的，得分=50-[（基准价-报价）/基准价]×100×0.5</w:t>
            </w:r>
          </w:p>
        </w:tc>
        <w:tc>
          <w:tcPr>
            <w:tcW w:w="686" w:type="dxa"/>
            <w:shd w:val="clear" w:color="auto" w:fill="auto"/>
            <w:vAlign w:val="center"/>
          </w:tcPr>
          <w:p>
            <w:pPr>
              <w:spacing w:line="360" w:lineRule="exact"/>
              <w:rPr>
                <w:rFonts w:ascii="仿宋" w:hAnsi="仿宋" w:eastAsia="仿宋"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2049" w:type="dxa"/>
            <w:gridSpan w:val="2"/>
            <w:shd w:val="clear" w:color="auto" w:fill="auto"/>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合计</w:t>
            </w:r>
          </w:p>
        </w:tc>
        <w:tc>
          <w:tcPr>
            <w:tcW w:w="709" w:type="dxa"/>
            <w:shd w:val="clear" w:color="auto" w:fill="auto"/>
            <w:vAlign w:val="center"/>
          </w:tcPr>
          <w:p>
            <w:pPr>
              <w:spacing w:line="220" w:lineRule="exact"/>
              <w:ind w:left="-2" w:leftChars="-1"/>
              <w:jc w:val="center"/>
              <w:rPr>
                <w:rFonts w:ascii="仿宋" w:hAnsi="仿宋" w:eastAsia="仿宋" w:cs="宋体"/>
                <w:color w:val="auto"/>
                <w:szCs w:val="21"/>
                <w:highlight w:val="none"/>
              </w:rPr>
            </w:pPr>
            <w:r>
              <w:rPr>
                <w:rFonts w:hint="eastAsia" w:ascii="仿宋" w:hAnsi="仿宋" w:eastAsia="仿宋" w:cs="宋体"/>
                <w:color w:val="auto"/>
                <w:szCs w:val="21"/>
                <w:highlight w:val="none"/>
              </w:rPr>
              <w:t>100</w:t>
            </w:r>
          </w:p>
        </w:tc>
        <w:tc>
          <w:tcPr>
            <w:tcW w:w="9797" w:type="dxa"/>
            <w:shd w:val="clear" w:color="auto" w:fill="auto"/>
            <w:vAlign w:val="center"/>
          </w:tcPr>
          <w:p>
            <w:pPr>
              <w:spacing w:line="220" w:lineRule="exact"/>
              <w:ind w:left="-2" w:leftChars="-1"/>
              <w:rPr>
                <w:rFonts w:ascii="仿宋" w:hAnsi="仿宋" w:eastAsia="仿宋" w:cs="宋体"/>
                <w:color w:val="auto"/>
                <w:sz w:val="18"/>
                <w:szCs w:val="18"/>
                <w:highlight w:val="none"/>
              </w:rPr>
            </w:pPr>
          </w:p>
        </w:tc>
        <w:tc>
          <w:tcPr>
            <w:tcW w:w="686" w:type="dxa"/>
            <w:shd w:val="clear" w:color="auto" w:fill="auto"/>
            <w:vAlign w:val="center"/>
          </w:tcPr>
          <w:p>
            <w:pPr>
              <w:spacing w:line="360" w:lineRule="exact"/>
              <w:ind w:left="-2" w:leftChars="-1"/>
              <w:rPr>
                <w:rFonts w:ascii="仿宋" w:hAnsi="仿宋" w:eastAsia="仿宋" w:cs="宋体"/>
                <w:color w:val="auto"/>
                <w:sz w:val="18"/>
                <w:szCs w:val="18"/>
                <w:highlight w:val="none"/>
              </w:rPr>
            </w:pPr>
          </w:p>
        </w:tc>
      </w:tr>
    </w:tbl>
    <w:p>
      <w:pPr>
        <w:snapToGrid w:val="0"/>
        <w:ind w:left="74"/>
        <w:rPr>
          <w:rFonts w:ascii="仿宋" w:hAnsi="仿宋" w:eastAsia="仿宋" w:cs="宋体"/>
          <w:color w:val="auto"/>
          <w:sz w:val="24"/>
          <w:highlight w:val="none"/>
        </w:rPr>
      </w:pPr>
      <w:r>
        <w:rPr>
          <w:rFonts w:hint="eastAsia" w:ascii="仿宋" w:hAnsi="仿宋" w:eastAsia="仿宋" w:cs="宋体"/>
          <w:color w:val="auto"/>
          <w:sz w:val="24"/>
          <w:highlight w:val="none"/>
        </w:rPr>
        <w:t xml:space="preserve"> </w:t>
      </w:r>
    </w:p>
    <w:p>
      <w:pPr>
        <w:spacing w:line="32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说明：</w:t>
      </w:r>
    </w:p>
    <w:p>
      <w:pPr>
        <w:spacing w:line="320" w:lineRule="exact"/>
        <w:ind w:firstLine="420" w:firstLineChars="200"/>
        <w:jc w:val="left"/>
        <w:rPr>
          <w:rFonts w:ascii="宋体" w:hAnsi="宋体" w:cs="宋体"/>
          <w:color w:val="auto"/>
          <w:szCs w:val="18"/>
          <w:highlight w:val="none"/>
        </w:rPr>
      </w:pPr>
      <w:r>
        <w:rPr>
          <w:rFonts w:hint="eastAsia" w:ascii="宋体" w:hAnsi="宋体" w:cs="宋体"/>
          <w:color w:val="auto"/>
          <w:szCs w:val="18"/>
          <w:highlight w:val="none"/>
        </w:rPr>
        <w:t>1、企</w:t>
      </w:r>
      <w:r>
        <w:rPr>
          <w:rFonts w:hint="eastAsia" w:hAnsi="宋体" w:cs="宋体"/>
          <w:color w:val="auto"/>
          <w:szCs w:val="18"/>
          <w:highlight w:val="none"/>
        </w:rPr>
        <w:t>业业绩认定证明材料需提供设计合同复印件；业绩认定时间以设计合同签订时间为准。如业绩资料不能证明业绩合同额，须另提供经业主确认的证明资料复印件。</w:t>
      </w:r>
    </w:p>
    <w:p>
      <w:pPr>
        <w:spacing w:line="320" w:lineRule="exact"/>
        <w:ind w:firstLine="420" w:firstLineChars="200"/>
        <w:jc w:val="left"/>
        <w:rPr>
          <w:rFonts w:ascii="宋体" w:hAnsi="宋体" w:cs="宋体"/>
          <w:color w:val="auto"/>
          <w:szCs w:val="18"/>
          <w:highlight w:val="none"/>
        </w:rPr>
      </w:pPr>
      <w:r>
        <w:rPr>
          <w:rFonts w:hint="eastAsia" w:ascii="宋体" w:hAnsi="宋体" w:cs="宋体"/>
          <w:color w:val="auto"/>
          <w:szCs w:val="18"/>
          <w:highlight w:val="none"/>
        </w:rPr>
        <w:t>2、国家级奖项指国家协会、国家建设行政主管部门颁发的设计奖项，省级（含副省级）奖指省级（含副省级）协会或省级（含副省级）行政主管部门颁发的设计奖项。</w:t>
      </w:r>
      <w:r>
        <w:rPr>
          <w:rFonts w:hint="eastAsia" w:ascii="宋体" w:hAnsi="宋体"/>
          <w:color w:val="auto"/>
          <w:szCs w:val="21"/>
          <w:highlight w:val="none"/>
          <w:lang w:val="zh-CN"/>
        </w:rPr>
        <w:t>业绩获奖的按最高奖项只计算一次，不重复计算。业绩获奖确认时间以证书发证日期为准。</w:t>
      </w:r>
    </w:p>
    <w:p>
      <w:pPr>
        <w:spacing w:line="320" w:lineRule="exact"/>
        <w:ind w:firstLine="420" w:firstLineChars="200"/>
        <w:jc w:val="left"/>
        <w:rPr>
          <w:rFonts w:ascii="宋体" w:hAnsi="宋体" w:cs="宋体"/>
          <w:color w:val="auto"/>
          <w:szCs w:val="18"/>
          <w:highlight w:val="none"/>
        </w:rPr>
      </w:pPr>
      <w:r>
        <w:rPr>
          <w:rFonts w:hint="eastAsia" w:ascii="宋体" w:hAnsi="宋体" w:cs="宋体"/>
          <w:color w:val="auto"/>
          <w:szCs w:val="18"/>
          <w:highlight w:val="none"/>
        </w:rPr>
        <w:t>3、</w:t>
      </w:r>
      <w:r>
        <w:rPr>
          <w:rFonts w:hint="eastAsia" w:ascii="宋体" w:hAnsi="宋体" w:cs="宋体"/>
          <w:color w:val="auto"/>
          <w:szCs w:val="21"/>
          <w:highlight w:val="none"/>
        </w:rPr>
        <w:t>人员配备及技术水平</w:t>
      </w:r>
      <w:r>
        <w:rPr>
          <w:rFonts w:hint="eastAsia" w:ascii="宋体" w:hAnsi="宋体" w:cs="宋体"/>
          <w:color w:val="auto"/>
          <w:spacing w:val="4"/>
          <w:szCs w:val="21"/>
          <w:highlight w:val="none"/>
        </w:rPr>
        <w:t>：</w:t>
      </w:r>
      <w:r>
        <w:rPr>
          <w:rFonts w:ascii="宋体" w:hAnsi="宋体" w:cs="宋体"/>
          <w:color w:val="auto"/>
          <w:szCs w:val="18"/>
          <w:highlight w:val="none"/>
        </w:rPr>
        <w:t>所提供的投入人员必须为投标单位人员，以提供投标人为其购买的</w:t>
      </w:r>
      <w:r>
        <w:rPr>
          <w:rFonts w:hint="eastAsia" w:ascii="宋体" w:hAnsi="宋体" w:cs="宋体"/>
          <w:color w:val="auto"/>
          <w:highlight w:val="none"/>
        </w:rPr>
        <w:t>近期（</w:t>
      </w:r>
      <w:r>
        <w:rPr>
          <w:rFonts w:hint="eastAsia" w:ascii="宋体" w:hAnsi="宋体"/>
          <w:bCs/>
          <w:color w:val="auto"/>
          <w:highlight w:val="none"/>
        </w:rPr>
        <w:t>1个月</w:t>
      </w:r>
      <w:r>
        <w:rPr>
          <w:rFonts w:hint="eastAsia" w:ascii="宋体" w:hAnsi="宋体" w:cs="宋体"/>
          <w:color w:val="auto"/>
          <w:highlight w:val="none"/>
        </w:rPr>
        <w:t>）</w:t>
      </w:r>
      <w:r>
        <w:rPr>
          <w:rFonts w:ascii="宋体" w:hAnsi="宋体" w:cs="宋体"/>
          <w:color w:val="auto"/>
          <w:szCs w:val="18"/>
          <w:highlight w:val="none"/>
        </w:rPr>
        <w:t>社保证明为准。</w:t>
      </w:r>
      <w:r>
        <w:rPr>
          <w:rFonts w:hint="eastAsia" w:ascii="宋体" w:hAnsi="宋体" w:cs="宋体"/>
          <w:color w:val="auto"/>
          <w:szCs w:val="18"/>
          <w:highlight w:val="none"/>
        </w:rPr>
        <w:t>项目负责人、各专业负责人注册关系必须在本单位，以上注册及职称均需提供相应证明材料。</w:t>
      </w:r>
    </w:p>
    <w:p>
      <w:pPr>
        <w:snapToGrid w:val="0"/>
        <w:ind w:left="74"/>
        <w:rPr>
          <w:rFonts w:ascii="宋体" w:hAnsi="宋体" w:eastAsia="宋体" w:cs="宋体"/>
          <w:color w:val="auto"/>
          <w:sz w:val="24"/>
          <w:highlight w:val="none"/>
        </w:rPr>
        <w:sectPr>
          <w:pgSz w:w="15840" w:h="12240" w:orient="landscape"/>
          <w:pgMar w:top="1797" w:right="1440" w:bottom="1797" w:left="1440" w:header="720" w:footer="720" w:gutter="0"/>
          <w:cols w:space="425" w:num="1"/>
          <w:docGrid w:linePitch="312" w:charSpace="0"/>
        </w:sectPr>
      </w:pPr>
      <w:r>
        <w:rPr>
          <w:rFonts w:hint="eastAsia" w:ascii="宋体" w:hAnsi="宋体" w:cs="宋体"/>
          <w:color w:val="auto"/>
          <w:szCs w:val="18"/>
          <w:highlight w:val="none"/>
        </w:rPr>
        <w:t>4、本表中所有要求提供的证明资料复印件均需加盖投标人公章。未提供证明资料或提供的证明材料不齐全、不符合要求的，不得分。</w:t>
      </w:r>
    </w:p>
    <w:p>
      <w:pPr>
        <w:pStyle w:val="7"/>
        <w:rPr>
          <w:rFonts w:hint="default"/>
          <w:color w:val="auto"/>
          <w:highlight w:val="none"/>
        </w:rPr>
      </w:pPr>
    </w:p>
    <w:bookmarkEnd w:id="49"/>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sto MT">
    <w:altName w:val="Segoe Print"/>
    <w:panose1 w:val="02040603050505030304"/>
    <w:charset w:val="00"/>
    <w:family w:val="roman"/>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15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1027" o:spid="_x0000_s1027"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32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B7E8B4"/>
    <w:multiLevelType w:val="singleLevel"/>
    <w:tmpl w:val="8DB7E8B4"/>
    <w:lvl w:ilvl="0" w:tentative="0">
      <w:start w:val="1"/>
      <w:numFmt w:val="decimal"/>
      <w:suff w:val="nothing"/>
      <w:lvlText w:val="%1）"/>
      <w:lvlJc w:val="left"/>
      <w:pPr>
        <w:tabs>
          <w:tab w:val="left" w:pos="0"/>
        </w:tabs>
        <w:ind w:left="0" w:firstLine="397"/>
      </w:pPr>
      <w:rPr>
        <w:rFonts w:hint="default" w:ascii="宋体" w:hAnsi="宋体" w:eastAsia="宋体" w:cs="宋体"/>
      </w:rPr>
    </w:lvl>
  </w:abstractNum>
  <w:abstractNum w:abstractNumId="1">
    <w:nsid w:val="DC7E8184"/>
    <w:multiLevelType w:val="singleLevel"/>
    <w:tmpl w:val="DC7E8184"/>
    <w:lvl w:ilvl="0" w:tentative="0">
      <w:start w:val="1"/>
      <w:numFmt w:val="decimal"/>
      <w:suff w:val="nothing"/>
      <w:lvlText w:val="（%1）"/>
      <w:lvlJc w:val="left"/>
    </w:lvl>
  </w:abstractNum>
  <w:abstractNum w:abstractNumId="2">
    <w:nsid w:val="F9153F42"/>
    <w:multiLevelType w:val="singleLevel"/>
    <w:tmpl w:val="F9153F42"/>
    <w:lvl w:ilvl="0" w:tentative="0">
      <w:start w:val="1"/>
      <w:numFmt w:val="decimal"/>
      <w:suff w:val="nothing"/>
      <w:lvlText w:val="%1、"/>
      <w:lvlJc w:val="left"/>
    </w:lvl>
  </w:abstractNum>
  <w:abstractNum w:abstractNumId="3">
    <w:nsid w:val="61B5240C"/>
    <w:multiLevelType w:val="singleLevel"/>
    <w:tmpl w:val="61B5240C"/>
    <w:lvl w:ilvl="0" w:tentative="0">
      <w:start w:val="1"/>
      <w:numFmt w:val="decimal"/>
      <w:lvlText w:val="%1)"/>
      <w:lvlJc w:val="left"/>
      <w:pPr>
        <w:ind w:left="425" w:hanging="425"/>
      </w:pPr>
      <w:rPr>
        <w:rFonts w:hint="default"/>
      </w:rPr>
    </w:lvl>
  </w:abstractNum>
  <w:abstractNum w:abstractNumId="4">
    <w:nsid w:val="71BD1A65"/>
    <w:multiLevelType w:val="singleLevel"/>
    <w:tmpl w:val="71BD1A65"/>
    <w:lvl w:ilvl="0" w:tentative="0">
      <w:start w:val="1"/>
      <w:numFmt w:val="chineseCounting"/>
      <w:suff w:val="nothing"/>
      <w:lvlText w:val="%1、"/>
      <w:lvlJc w:val="left"/>
      <w:rPr>
        <w:rFonts w:hint="eastAsia"/>
      </w:rPr>
    </w:lvl>
  </w:abstractNum>
  <w:abstractNum w:abstractNumId="5">
    <w:nsid w:val="7A7B36A8"/>
    <w:multiLevelType w:val="singleLevel"/>
    <w:tmpl w:val="7A7B36A8"/>
    <w:lvl w:ilvl="0" w:tentative="0">
      <w:start w:val="33"/>
      <w:numFmt w:val="decimal"/>
      <w:suff w:val="nothing"/>
      <w:lvlText w:val="%1．"/>
      <w:lvlJc w:val="left"/>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B6D4312"/>
    <w:rsid w:val="0002289A"/>
    <w:rsid w:val="0002557B"/>
    <w:rsid w:val="0005254F"/>
    <w:rsid w:val="000744F3"/>
    <w:rsid w:val="00085D0C"/>
    <w:rsid w:val="000B7B0A"/>
    <w:rsid w:val="000E0EC3"/>
    <w:rsid w:val="000F63F4"/>
    <w:rsid w:val="001062CA"/>
    <w:rsid w:val="0012610A"/>
    <w:rsid w:val="00134FF9"/>
    <w:rsid w:val="00135D99"/>
    <w:rsid w:val="001543AA"/>
    <w:rsid w:val="001544AB"/>
    <w:rsid w:val="00164413"/>
    <w:rsid w:val="001921E8"/>
    <w:rsid w:val="001B03C8"/>
    <w:rsid w:val="001C26B1"/>
    <w:rsid w:val="001C4DFB"/>
    <w:rsid w:val="001D1F1F"/>
    <w:rsid w:val="001E1021"/>
    <w:rsid w:val="001F504D"/>
    <w:rsid w:val="001F66EC"/>
    <w:rsid w:val="002124C7"/>
    <w:rsid w:val="002B1295"/>
    <w:rsid w:val="002B764E"/>
    <w:rsid w:val="002D7B13"/>
    <w:rsid w:val="003B47E8"/>
    <w:rsid w:val="003D0F57"/>
    <w:rsid w:val="0040578E"/>
    <w:rsid w:val="00407F49"/>
    <w:rsid w:val="00456C93"/>
    <w:rsid w:val="00464100"/>
    <w:rsid w:val="0048290C"/>
    <w:rsid w:val="004B2C05"/>
    <w:rsid w:val="004D6177"/>
    <w:rsid w:val="00524AD0"/>
    <w:rsid w:val="00553FDF"/>
    <w:rsid w:val="00571117"/>
    <w:rsid w:val="005A19E6"/>
    <w:rsid w:val="005C4427"/>
    <w:rsid w:val="00641255"/>
    <w:rsid w:val="00646FE0"/>
    <w:rsid w:val="0065458C"/>
    <w:rsid w:val="0065720F"/>
    <w:rsid w:val="00697CBD"/>
    <w:rsid w:val="006A18B1"/>
    <w:rsid w:val="006D7EB2"/>
    <w:rsid w:val="007055DD"/>
    <w:rsid w:val="00722415"/>
    <w:rsid w:val="007309C3"/>
    <w:rsid w:val="0075587D"/>
    <w:rsid w:val="00790D6C"/>
    <w:rsid w:val="00791D3B"/>
    <w:rsid w:val="00793DB5"/>
    <w:rsid w:val="007A633F"/>
    <w:rsid w:val="007A7407"/>
    <w:rsid w:val="007C0AF5"/>
    <w:rsid w:val="007E14F9"/>
    <w:rsid w:val="007E37CF"/>
    <w:rsid w:val="007F42A9"/>
    <w:rsid w:val="00802BFD"/>
    <w:rsid w:val="0080751A"/>
    <w:rsid w:val="008348EE"/>
    <w:rsid w:val="00841D4A"/>
    <w:rsid w:val="008822E1"/>
    <w:rsid w:val="00896001"/>
    <w:rsid w:val="008C667C"/>
    <w:rsid w:val="008F47DB"/>
    <w:rsid w:val="008F491E"/>
    <w:rsid w:val="00945378"/>
    <w:rsid w:val="009538E5"/>
    <w:rsid w:val="009A31D3"/>
    <w:rsid w:val="009B4E73"/>
    <w:rsid w:val="009C14AA"/>
    <w:rsid w:val="009C50DE"/>
    <w:rsid w:val="009D0B60"/>
    <w:rsid w:val="009E4EFF"/>
    <w:rsid w:val="00A05D0A"/>
    <w:rsid w:val="00A14DC5"/>
    <w:rsid w:val="00A367D2"/>
    <w:rsid w:val="00A81829"/>
    <w:rsid w:val="00A920B1"/>
    <w:rsid w:val="00AC62A3"/>
    <w:rsid w:val="00AF1D2C"/>
    <w:rsid w:val="00AF57CF"/>
    <w:rsid w:val="00B00879"/>
    <w:rsid w:val="00B11F8D"/>
    <w:rsid w:val="00B60E3F"/>
    <w:rsid w:val="00B71F35"/>
    <w:rsid w:val="00B96CE0"/>
    <w:rsid w:val="00BB3D24"/>
    <w:rsid w:val="00BD0854"/>
    <w:rsid w:val="00C532AA"/>
    <w:rsid w:val="00CA24DF"/>
    <w:rsid w:val="00CA49A2"/>
    <w:rsid w:val="00CC34A7"/>
    <w:rsid w:val="00D06D88"/>
    <w:rsid w:val="00D0796B"/>
    <w:rsid w:val="00D50CF1"/>
    <w:rsid w:val="00D603A5"/>
    <w:rsid w:val="00D650B3"/>
    <w:rsid w:val="00D85D6D"/>
    <w:rsid w:val="00D95E37"/>
    <w:rsid w:val="00DD64C1"/>
    <w:rsid w:val="00DD686E"/>
    <w:rsid w:val="00DF620B"/>
    <w:rsid w:val="00E14E87"/>
    <w:rsid w:val="00E222D9"/>
    <w:rsid w:val="00E32FBB"/>
    <w:rsid w:val="00E85F0E"/>
    <w:rsid w:val="00EC3FB8"/>
    <w:rsid w:val="00EC75BF"/>
    <w:rsid w:val="00EE23EE"/>
    <w:rsid w:val="00EF5506"/>
    <w:rsid w:val="00F15754"/>
    <w:rsid w:val="00F358B9"/>
    <w:rsid w:val="00F52D3A"/>
    <w:rsid w:val="00F5751A"/>
    <w:rsid w:val="00F72550"/>
    <w:rsid w:val="00F90CF2"/>
    <w:rsid w:val="00FC3484"/>
    <w:rsid w:val="00FF33A0"/>
    <w:rsid w:val="00FF76D9"/>
    <w:rsid w:val="01E200EE"/>
    <w:rsid w:val="02F7533D"/>
    <w:rsid w:val="03562994"/>
    <w:rsid w:val="03CB6D70"/>
    <w:rsid w:val="04364A4F"/>
    <w:rsid w:val="04E40895"/>
    <w:rsid w:val="051B7598"/>
    <w:rsid w:val="083B43B1"/>
    <w:rsid w:val="08757A2C"/>
    <w:rsid w:val="09062DA7"/>
    <w:rsid w:val="09A667E8"/>
    <w:rsid w:val="0B372B92"/>
    <w:rsid w:val="0C855B7E"/>
    <w:rsid w:val="0C87037B"/>
    <w:rsid w:val="0E1B10A8"/>
    <w:rsid w:val="0E80564C"/>
    <w:rsid w:val="0EA03B8A"/>
    <w:rsid w:val="0EAC0C18"/>
    <w:rsid w:val="0EB25F9A"/>
    <w:rsid w:val="0F8D0176"/>
    <w:rsid w:val="11F528ED"/>
    <w:rsid w:val="12E86716"/>
    <w:rsid w:val="14082F52"/>
    <w:rsid w:val="14085DAD"/>
    <w:rsid w:val="14233C6D"/>
    <w:rsid w:val="14452035"/>
    <w:rsid w:val="145B3800"/>
    <w:rsid w:val="16007AF5"/>
    <w:rsid w:val="17E977C8"/>
    <w:rsid w:val="1873680D"/>
    <w:rsid w:val="18F12637"/>
    <w:rsid w:val="1AB46DAB"/>
    <w:rsid w:val="1B6C2995"/>
    <w:rsid w:val="1BC44893"/>
    <w:rsid w:val="1BE136FF"/>
    <w:rsid w:val="1C05708F"/>
    <w:rsid w:val="1C307374"/>
    <w:rsid w:val="1C9203A6"/>
    <w:rsid w:val="1E032835"/>
    <w:rsid w:val="1F1C5732"/>
    <w:rsid w:val="205D447F"/>
    <w:rsid w:val="21424D60"/>
    <w:rsid w:val="224A02E7"/>
    <w:rsid w:val="227411DF"/>
    <w:rsid w:val="24856237"/>
    <w:rsid w:val="25053D8A"/>
    <w:rsid w:val="25687B33"/>
    <w:rsid w:val="25791876"/>
    <w:rsid w:val="26236584"/>
    <w:rsid w:val="26B94C66"/>
    <w:rsid w:val="26FF6942"/>
    <w:rsid w:val="272B74FA"/>
    <w:rsid w:val="2865301D"/>
    <w:rsid w:val="28C86C87"/>
    <w:rsid w:val="29051210"/>
    <w:rsid w:val="296119D7"/>
    <w:rsid w:val="2A97100B"/>
    <w:rsid w:val="2B401296"/>
    <w:rsid w:val="2BEC17AE"/>
    <w:rsid w:val="2C1B0D4A"/>
    <w:rsid w:val="2D0635AD"/>
    <w:rsid w:val="2DDB1EBF"/>
    <w:rsid w:val="2DF963B5"/>
    <w:rsid w:val="2EC40C57"/>
    <w:rsid w:val="2EE433BF"/>
    <w:rsid w:val="30334755"/>
    <w:rsid w:val="30EC6390"/>
    <w:rsid w:val="311233CC"/>
    <w:rsid w:val="34935BA4"/>
    <w:rsid w:val="34A264CA"/>
    <w:rsid w:val="3700775A"/>
    <w:rsid w:val="37A26BD4"/>
    <w:rsid w:val="37AE7FE3"/>
    <w:rsid w:val="38417D8A"/>
    <w:rsid w:val="39731517"/>
    <w:rsid w:val="39FC703A"/>
    <w:rsid w:val="3B183024"/>
    <w:rsid w:val="3B6D4312"/>
    <w:rsid w:val="3CB7521C"/>
    <w:rsid w:val="3CE76215"/>
    <w:rsid w:val="3CFF0303"/>
    <w:rsid w:val="3D7619F9"/>
    <w:rsid w:val="3D96007A"/>
    <w:rsid w:val="3F5F332B"/>
    <w:rsid w:val="3F8502F8"/>
    <w:rsid w:val="3FD704B2"/>
    <w:rsid w:val="405854B3"/>
    <w:rsid w:val="409313F9"/>
    <w:rsid w:val="40CA2819"/>
    <w:rsid w:val="41EC3A6C"/>
    <w:rsid w:val="42A2655E"/>
    <w:rsid w:val="436C5E0D"/>
    <w:rsid w:val="44631084"/>
    <w:rsid w:val="446A549B"/>
    <w:rsid w:val="44800368"/>
    <w:rsid w:val="46871AD6"/>
    <w:rsid w:val="47025D0E"/>
    <w:rsid w:val="4735560E"/>
    <w:rsid w:val="47413F22"/>
    <w:rsid w:val="4792678F"/>
    <w:rsid w:val="481D5A38"/>
    <w:rsid w:val="487975A7"/>
    <w:rsid w:val="48E72086"/>
    <w:rsid w:val="49732ED5"/>
    <w:rsid w:val="499C01CA"/>
    <w:rsid w:val="4A1079FD"/>
    <w:rsid w:val="4A1D620C"/>
    <w:rsid w:val="4BC136D0"/>
    <w:rsid w:val="4BF328A0"/>
    <w:rsid w:val="4C2E17B4"/>
    <w:rsid w:val="4C81677F"/>
    <w:rsid w:val="4D904DD7"/>
    <w:rsid w:val="4D9C287D"/>
    <w:rsid w:val="4DC53F66"/>
    <w:rsid w:val="4E2A0E48"/>
    <w:rsid w:val="4FC91A1A"/>
    <w:rsid w:val="51552F81"/>
    <w:rsid w:val="51AB2104"/>
    <w:rsid w:val="530E35F9"/>
    <w:rsid w:val="53427976"/>
    <w:rsid w:val="53A07C03"/>
    <w:rsid w:val="53A63423"/>
    <w:rsid w:val="54386D63"/>
    <w:rsid w:val="54A36172"/>
    <w:rsid w:val="54BC0EE8"/>
    <w:rsid w:val="55D41C4B"/>
    <w:rsid w:val="572444C0"/>
    <w:rsid w:val="594F1692"/>
    <w:rsid w:val="59566C52"/>
    <w:rsid w:val="5AAF5CCA"/>
    <w:rsid w:val="5B6E68B8"/>
    <w:rsid w:val="5B8D6C19"/>
    <w:rsid w:val="5BCE61FA"/>
    <w:rsid w:val="5C9B134E"/>
    <w:rsid w:val="5DAA1580"/>
    <w:rsid w:val="5DF14932"/>
    <w:rsid w:val="5E1A6FB5"/>
    <w:rsid w:val="5E7A3CE2"/>
    <w:rsid w:val="5F355496"/>
    <w:rsid w:val="5F865CD7"/>
    <w:rsid w:val="60F61E20"/>
    <w:rsid w:val="61A7533B"/>
    <w:rsid w:val="621244D5"/>
    <w:rsid w:val="62B2296D"/>
    <w:rsid w:val="636147EE"/>
    <w:rsid w:val="63DB6B9E"/>
    <w:rsid w:val="65B441A4"/>
    <w:rsid w:val="65D8147F"/>
    <w:rsid w:val="66373494"/>
    <w:rsid w:val="66591B82"/>
    <w:rsid w:val="6898637C"/>
    <w:rsid w:val="68B16D7B"/>
    <w:rsid w:val="68BA7003"/>
    <w:rsid w:val="6C920572"/>
    <w:rsid w:val="6DC31ECB"/>
    <w:rsid w:val="6E656845"/>
    <w:rsid w:val="6F471F5D"/>
    <w:rsid w:val="70CF07C8"/>
    <w:rsid w:val="710F157A"/>
    <w:rsid w:val="718C3480"/>
    <w:rsid w:val="72F3401B"/>
    <w:rsid w:val="731416B4"/>
    <w:rsid w:val="73712518"/>
    <w:rsid w:val="738E7AB2"/>
    <w:rsid w:val="74624F7D"/>
    <w:rsid w:val="74B72A06"/>
    <w:rsid w:val="7546516B"/>
    <w:rsid w:val="75AF555B"/>
    <w:rsid w:val="763204BA"/>
    <w:rsid w:val="76F3488A"/>
    <w:rsid w:val="77281C38"/>
    <w:rsid w:val="781828A1"/>
    <w:rsid w:val="781C3DC0"/>
    <w:rsid w:val="78780B98"/>
    <w:rsid w:val="788E06C1"/>
    <w:rsid w:val="78D76423"/>
    <w:rsid w:val="79E02BD8"/>
    <w:rsid w:val="7A2B55F9"/>
    <w:rsid w:val="7A3458D0"/>
    <w:rsid w:val="7A4B048B"/>
    <w:rsid w:val="7A96669D"/>
    <w:rsid w:val="7B672810"/>
    <w:rsid w:val="7B681B66"/>
    <w:rsid w:val="7C6B2EC5"/>
    <w:rsid w:val="7C831CEC"/>
    <w:rsid w:val="7DDF7DDD"/>
    <w:rsid w:val="7E300909"/>
    <w:rsid w:val="7EC84C80"/>
    <w:rsid w:val="7EF55FF4"/>
    <w:rsid w:val="7F0627ED"/>
    <w:rsid w:val="7FEA4922"/>
    <w:rsid w:val="7FED1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adjustRightInd w:val="0"/>
      <w:spacing w:before="240" w:after="60" w:line="20" w:lineRule="exact"/>
      <w:outlineLvl w:val="0"/>
    </w:pPr>
    <w:rPr>
      <w:rFonts w:ascii="Times New Roman" w:hAnsi="Times New Roman" w:eastAsia="黑体" w:cs="Times New Roman"/>
      <w:color w:val="FF0000"/>
      <w:kern w:val="24"/>
      <w:sz w:val="28"/>
      <w:szCs w:val="28"/>
    </w:rPr>
  </w:style>
  <w:style w:type="paragraph" w:styleId="4">
    <w:name w:val="heading 2"/>
    <w:basedOn w:val="1"/>
    <w:next w:val="1"/>
    <w:semiHidden/>
    <w:unhideWhenUsed/>
    <w:qFormat/>
    <w:uiPriority w:val="0"/>
    <w:pPr>
      <w:keepNext/>
      <w:keepLines/>
      <w:spacing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snapToGrid w:val="0"/>
      <w:spacing w:before="120" w:after="120" w:line="320" w:lineRule="exact"/>
      <w:ind w:firstLine="413" w:firstLineChars="200"/>
    </w:pPr>
    <w:rPr>
      <w:rFonts w:ascii="宋体" w:hAnsi="宋体"/>
      <w:b/>
      <w:color w:val="000000"/>
    </w:rPr>
  </w:style>
  <w:style w:type="paragraph" w:styleId="5">
    <w:name w:val="Normal Indent"/>
    <w:basedOn w:val="1"/>
    <w:qFormat/>
    <w:uiPriority w:val="0"/>
    <w:pPr>
      <w:ind w:firstLine="420"/>
    </w:pPr>
    <w:rPr>
      <w:rFonts w:ascii="Times New Roman" w:hAnsi="Times New Roman" w:eastAsia="宋体" w:cs="Times New Roman"/>
      <w:szCs w:val="20"/>
    </w:rPr>
  </w:style>
  <w:style w:type="paragraph" w:styleId="6">
    <w:name w:val="Body Text"/>
    <w:basedOn w:val="1"/>
    <w:qFormat/>
    <w:uiPriority w:val="0"/>
  </w:style>
  <w:style w:type="paragraph" w:styleId="7">
    <w:name w:val="Plain Text"/>
    <w:basedOn w:val="1"/>
    <w:link w:val="29"/>
    <w:qFormat/>
    <w:uiPriority w:val="0"/>
    <w:rPr>
      <w:rFonts w:hint="eastAsia" w:ascii="宋体" w:hAnsi="Courier New" w:eastAsia="宋体" w:cs="Times New Roman"/>
      <w:szCs w:val="21"/>
    </w:rPr>
  </w:style>
  <w:style w:type="paragraph" w:styleId="8">
    <w:name w:val="Balloon Text"/>
    <w:basedOn w:val="1"/>
    <w:link w:val="27"/>
    <w:qFormat/>
    <w:uiPriority w:val="0"/>
    <w:rPr>
      <w:sz w:val="18"/>
      <w:szCs w:val="18"/>
    </w:rPr>
  </w:style>
  <w:style w:type="paragraph" w:styleId="9">
    <w:name w:val="footer"/>
    <w:basedOn w:val="1"/>
    <w:link w:val="26"/>
    <w:qFormat/>
    <w:uiPriority w:val="0"/>
    <w:pPr>
      <w:tabs>
        <w:tab w:val="center" w:pos="4153"/>
        <w:tab w:val="right" w:pos="8306"/>
      </w:tabs>
      <w:snapToGrid w:val="0"/>
      <w:jc w:val="left"/>
    </w:pPr>
    <w:rPr>
      <w:sz w:val="18"/>
      <w:szCs w:val="18"/>
    </w:rPr>
  </w:style>
  <w:style w:type="paragraph" w:styleId="10">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rPr>
      <w:rFonts w:ascii="Times New Roman" w:hAnsi="Times New Roman" w:eastAsia="宋体" w:cs="Times New Roman"/>
      <w:szCs w:val="21"/>
    </w:rPr>
  </w:style>
  <w:style w:type="paragraph" w:styleId="12">
    <w:name w:val="Body Text First Indent"/>
    <w:basedOn w:val="6"/>
    <w:link w:val="30"/>
    <w:qFormat/>
    <w:uiPriority w:val="0"/>
    <w:pPr>
      <w:spacing w:beforeAutospacing="1" w:after="120"/>
      <w:ind w:firstLine="420"/>
    </w:pPr>
    <w:rPr>
      <w:rFonts w:ascii="Times New Roman" w:hAnsi="Times New Roman" w:eastAsia="宋体" w:cs="Times New Roman"/>
      <w:szCs w:val="21"/>
    </w:rPr>
  </w:style>
  <w:style w:type="character" w:styleId="15">
    <w:name w:val="page number"/>
    <w:basedOn w:val="14"/>
    <w:qFormat/>
    <w:uiPriority w:val="0"/>
  </w:style>
  <w:style w:type="character" w:styleId="16">
    <w:name w:val="FollowedHyperlink"/>
    <w:basedOn w:val="14"/>
    <w:qFormat/>
    <w:uiPriority w:val="0"/>
    <w:rPr>
      <w:color w:val="0000FF"/>
      <w:u w:val="single"/>
    </w:rPr>
  </w:style>
  <w:style w:type="character" w:styleId="17">
    <w:name w:val="Hyperlink"/>
    <w:basedOn w:val="14"/>
    <w:qFormat/>
    <w:uiPriority w:val="0"/>
    <w:rPr>
      <w:color w:val="0000FF"/>
      <w:u w:val="single"/>
    </w:rPr>
  </w:style>
  <w:style w:type="paragraph" w:customStyle="1" w:styleId="18">
    <w:name w:val="正文文本缩进 21"/>
    <w:basedOn w:val="1"/>
    <w:qFormat/>
    <w:uiPriority w:val="0"/>
    <w:pPr>
      <w:spacing w:line="360" w:lineRule="auto"/>
      <w:ind w:firstLine="480" w:firstLineChars="200"/>
    </w:pPr>
    <w:rPr>
      <w:rFonts w:hint="eastAsia" w:ascii="宋体" w:hAnsi="宋体" w:eastAsia="宋体" w:cs="Times New Roman"/>
      <w:color w:val="FF0000"/>
      <w:kern w:val="0"/>
      <w:sz w:val="24"/>
    </w:rPr>
  </w:style>
  <w:style w:type="paragraph" w:customStyle="1" w:styleId="19">
    <w:name w:val="章节二"/>
    <w:basedOn w:val="1"/>
    <w:next w:val="1"/>
    <w:qFormat/>
    <w:uiPriority w:val="0"/>
    <w:pPr>
      <w:topLinePunct/>
      <w:adjustRightInd w:val="0"/>
      <w:snapToGrid w:val="0"/>
      <w:spacing w:beforeLines="50" w:afterAutospacing="1"/>
      <w:jc w:val="center"/>
      <w:outlineLvl w:val="1"/>
    </w:pPr>
    <w:rPr>
      <w:rFonts w:ascii="Times New Roman" w:hAnsi="Times New Roman" w:eastAsia="黑体" w:cs="Times New Roman"/>
      <w:b/>
      <w:spacing w:val="4"/>
      <w:kern w:val="0"/>
      <w:sz w:val="30"/>
      <w:szCs w:val="30"/>
    </w:rPr>
  </w:style>
  <w:style w:type="paragraph" w:customStyle="1" w:styleId="20">
    <w:name w:val="列出段落1"/>
    <w:basedOn w:val="1"/>
    <w:qFormat/>
    <w:uiPriority w:val="0"/>
    <w:pPr>
      <w:ind w:firstLine="420" w:firstLineChars="200"/>
    </w:pPr>
    <w:rPr>
      <w:rFonts w:ascii="Calibri" w:hAnsi="Calibri" w:eastAsia="宋体" w:cs="Times New Roman"/>
      <w:szCs w:val="21"/>
    </w:rPr>
  </w:style>
  <w:style w:type="paragraph" w:customStyle="1" w:styleId="21">
    <w:name w:val="文一"/>
    <w:basedOn w:val="1"/>
    <w:qFormat/>
    <w:uiPriority w:val="0"/>
    <w:pPr>
      <w:topLinePunct/>
      <w:adjustRightInd w:val="0"/>
      <w:snapToGrid w:val="0"/>
      <w:spacing w:line="360" w:lineRule="auto"/>
      <w:ind w:firstLine="200" w:firstLineChars="200"/>
    </w:pPr>
    <w:rPr>
      <w:rFonts w:ascii="Times New Roman" w:hAnsi="Times New Roman" w:eastAsia="宋体" w:cs="Times New Roman"/>
      <w:spacing w:val="4"/>
      <w:kern w:val="0"/>
      <w:sz w:val="24"/>
    </w:rPr>
  </w:style>
  <w:style w:type="character" w:customStyle="1" w:styleId="22">
    <w:name w:val="10"/>
    <w:basedOn w:val="14"/>
    <w:qFormat/>
    <w:uiPriority w:val="0"/>
    <w:rPr>
      <w:rFonts w:hint="default" w:ascii="Times New Roman" w:hAnsi="Times New Roman" w:cs="Times New Roman"/>
    </w:rPr>
  </w:style>
  <w:style w:type="character" w:customStyle="1" w:styleId="23">
    <w:name w:val="15"/>
    <w:basedOn w:val="14"/>
    <w:qFormat/>
    <w:uiPriority w:val="0"/>
    <w:rPr>
      <w:rFonts w:hint="default" w:ascii="Times New Roman" w:hAnsi="Times New Roman" w:cs="Times New Roman"/>
    </w:rPr>
  </w:style>
  <w:style w:type="character" w:customStyle="1" w:styleId="24">
    <w:name w:val="16"/>
    <w:basedOn w:val="14"/>
    <w:qFormat/>
    <w:uiPriority w:val="0"/>
    <w:rPr>
      <w:rFonts w:hint="default" w:ascii="Times New Roman" w:hAnsi="Times New Roman" w:cs="Times New Roman"/>
      <w:color w:val="0000FF"/>
      <w:u w:val="single"/>
    </w:rPr>
  </w:style>
  <w:style w:type="character" w:customStyle="1" w:styleId="25">
    <w:name w:val="页眉 Char"/>
    <w:basedOn w:val="14"/>
    <w:link w:val="10"/>
    <w:qFormat/>
    <w:uiPriority w:val="0"/>
    <w:rPr>
      <w:rFonts w:asciiTheme="minorHAnsi" w:hAnsiTheme="minorHAnsi" w:eastAsiaTheme="minorEastAsia" w:cstheme="minorBidi"/>
      <w:kern w:val="2"/>
      <w:sz w:val="18"/>
      <w:szCs w:val="18"/>
    </w:rPr>
  </w:style>
  <w:style w:type="character" w:customStyle="1" w:styleId="26">
    <w:name w:val="页脚 Char"/>
    <w:basedOn w:val="14"/>
    <w:link w:val="9"/>
    <w:qFormat/>
    <w:uiPriority w:val="0"/>
    <w:rPr>
      <w:rFonts w:asciiTheme="minorHAnsi" w:hAnsiTheme="minorHAnsi" w:eastAsiaTheme="minorEastAsia" w:cstheme="minorBidi"/>
      <w:kern w:val="2"/>
      <w:sz w:val="18"/>
      <w:szCs w:val="18"/>
    </w:rPr>
  </w:style>
  <w:style w:type="character" w:customStyle="1" w:styleId="27">
    <w:name w:val="批注框文本 Char"/>
    <w:basedOn w:val="14"/>
    <w:link w:val="8"/>
    <w:qFormat/>
    <w:uiPriority w:val="0"/>
    <w:rPr>
      <w:rFonts w:asciiTheme="minorHAnsi" w:hAnsiTheme="minorHAnsi" w:eastAsiaTheme="minorEastAsia" w:cstheme="minorBidi"/>
      <w:kern w:val="2"/>
      <w:sz w:val="18"/>
      <w:szCs w:val="18"/>
    </w:rPr>
  </w:style>
  <w:style w:type="paragraph" w:customStyle="1" w:styleId="28">
    <w:name w:val="WPSOffice手动目录 1"/>
    <w:qFormat/>
    <w:uiPriority w:val="0"/>
    <w:rPr>
      <w:rFonts w:ascii="Times New Roman" w:hAnsi="Times New Roman" w:eastAsia="宋体" w:cs="Times New Roman"/>
      <w:lang w:val="en-US" w:eastAsia="zh-CN" w:bidi="ar-SA"/>
    </w:rPr>
  </w:style>
  <w:style w:type="character" w:customStyle="1" w:styleId="29">
    <w:name w:val="纯文本 Char"/>
    <w:link w:val="7"/>
    <w:qFormat/>
    <w:uiPriority w:val="0"/>
    <w:rPr>
      <w:rFonts w:ascii="宋体" w:hAnsi="Courier New"/>
      <w:kern w:val="2"/>
      <w:sz w:val="21"/>
      <w:szCs w:val="21"/>
    </w:rPr>
  </w:style>
  <w:style w:type="character" w:customStyle="1" w:styleId="30">
    <w:name w:val="正文首行缩进 Char"/>
    <w:basedOn w:val="14"/>
    <w:link w:val="12"/>
    <w:qFormat/>
    <w:uiPriority w:val="0"/>
    <w:rPr>
      <w:kern w:val="2"/>
      <w:sz w:val="21"/>
      <w:szCs w:val="21"/>
    </w:rPr>
  </w:style>
  <w:style w:type="paragraph" w:styleId="31">
    <w:name w:val="List Paragraph"/>
    <w:basedOn w:val="1"/>
    <w:unhideWhenUsed/>
    <w:qFormat/>
    <w:uiPriority w:val="99"/>
    <w:pPr>
      <w:ind w:firstLine="420" w:firstLineChars="200"/>
    </w:pPr>
  </w:style>
  <w:style w:type="paragraph" w:customStyle="1" w:styleId="32">
    <w:name w:val="公文正文"/>
    <w:qFormat/>
    <w:uiPriority w:val="0"/>
    <w:pPr>
      <w:widowControl w:val="0"/>
      <w:spacing w:line="360" w:lineRule="auto"/>
      <w:ind w:firstLine="629"/>
      <w:jc w:val="both"/>
    </w:pPr>
    <w:rPr>
      <w:rFonts w:ascii="仿宋_GB2312" w:hAnsi="Calisto MT" w:eastAsia="仿宋_GB2312" w:cs="Times New Roman"/>
      <w:color w:val="000000"/>
      <w:sz w:val="32"/>
      <w:szCs w:val="22"/>
      <w:lang w:val="en-US" w:eastAsia="zh-CN" w:bidi="ar-SA"/>
    </w:rPr>
  </w:style>
  <w:style w:type="paragraph" w:customStyle="1" w:styleId="33">
    <w:name w:val="发文落款"/>
    <w:basedOn w:val="32"/>
    <w:qFormat/>
    <w:uiPriority w:val="0"/>
    <w:pPr>
      <w:ind w:left="4094" w:right="607" w:firstLine="0"/>
      <w:jc w:val="center"/>
    </w:pPr>
  </w:style>
  <w:style w:type="character" w:customStyle="1" w:styleId="34">
    <w:name w:val="c Char1"/>
    <w:link w:val="35"/>
    <w:qFormat/>
    <w:uiPriority w:val="0"/>
    <w:rPr>
      <w:rFonts w:eastAsia="仿宋_GB2312" w:cs="宋体"/>
      <w:sz w:val="28"/>
    </w:rPr>
  </w:style>
  <w:style w:type="paragraph" w:customStyle="1" w:styleId="35">
    <w:name w:val="c"/>
    <w:basedOn w:val="1"/>
    <w:link w:val="34"/>
    <w:qFormat/>
    <w:uiPriority w:val="0"/>
    <w:pPr>
      <w:widowControl/>
      <w:spacing w:beforeLines="50" w:line="440" w:lineRule="exact"/>
      <w:ind w:firstLine="560" w:firstLineChars="200"/>
      <w:jc w:val="left"/>
    </w:pPr>
    <w:rPr>
      <w:rFonts w:ascii="Times New Roman" w:hAnsi="Times New Roman" w:eastAsia="仿宋_GB2312" w:cs="宋体"/>
      <w:kern w:val="0"/>
      <w:sz w:val="28"/>
      <w:szCs w:val="20"/>
    </w:rPr>
  </w:style>
</w:styles>
</file>

<file path=word/_rels/document.xml.rels><?xml version="1.0" encoding="UTF-8" standalone="yes"?>
<Relationships xmlns="http://schemas.openxmlformats.org/package/2006/relationships"><Relationship Id="rId9" Type="http://schemas.openxmlformats.org/officeDocument/2006/relationships/image" Target="file:///d:\Documents\../../Microsoft/Windows/Microsoft/Windows/Microsoft/Windows/Microsoft/Windows/Microsoft/Windows/Microsoft/Windows/Temporary%25252525252525252525252525252525252525252525252525252525252525252525252525252525252525252525252525252525252525252525252525252525252525252525252525252525252525252520Internet%25252525252525252525252525252525252525252525252525252525252525252525252525252525252525252525252525252525252525252525252525252525252525252525252525252525252525252520Files/ksohtml/wpsC1CD.tmp.png" TargetMode="External"/><Relationship Id="rId8" Type="http://schemas.openxmlformats.org/officeDocument/2006/relationships/image" Target="media/image2.png"/><Relationship Id="rId7" Type="http://schemas.openxmlformats.org/officeDocument/2006/relationships/image" Target="file:///d:\Documents\../../Microsoft/Windows/Microsoft/Windows/Microsoft/Windows/Microsoft/Windows/Microsoft/Windows/Microsoft/Windows/Temporary%25252525252525252525252525252525252525252525252525252525252525252525252525252525252525252525252525252525252525252525252525252525252525252525252525252525252525252520Internet%25252525252525252525252525252525252525252525252525252525252525252525252525252525252525252525252525252525252525252525252525252525252525252525252525252525252525252520Files/ksohtml/wpsC1CC.tmp.png"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99186B-7ED3-4BF5-B6DA-FDA88F5F4AF9}">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43</Pages>
  <Words>16526</Words>
  <Characters>17417</Characters>
  <Lines>131</Lines>
  <Paragraphs>37</Paragraphs>
  <TotalTime>6</TotalTime>
  <ScaleCrop>false</ScaleCrop>
  <LinksUpToDate>false</LinksUpToDate>
  <CharactersWithSpaces>18535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2022-02-28T02:04:00Z</dcterms:created>
  <dc:creator>李晓晨</dc:creator>
  <cp:lastModifiedBy>Lenovo</cp:lastModifiedBy>
  <cp:lastPrinted>2020-07-23T07:52:00Z</cp:lastPrinted>
  <dcterms:modified xsi:type="dcterms:W3CDTF">2022-03-17T01:36:39Z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6F8842E353744852BDC4E3C1A0BD38D3</vt:lpwstr>
  </property>
</Properties>
</file>