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szCs w:val="21"/>
        </w:rPr>
      </w:pPr>
    </w:p>
    <w:p>
      <w:pPr>
        <w:jc w:val="center"/>
        <w:rPr>
          <w:rFonts w:ascii="宋体" w:hAnsi="宋体" w:eastAsia="宋体" w:cs="宋体"/>
          <w:sz w:val="44"/>
          <w:szCs w:val="44"/>
        </w:rPr>
      </w:pPr>
      <w:r>
        <w:rPr>
          <w:rFonts w:hint="eastAsia" w:ascii="宋体" w:hAnsi="宋体" w:eastAsia="黑体"/>
          <w:sz w:val="48"/>
          <w:szCs w:val="48"/>
        </w:rPr>
        <w:t>广州市海防教育基地项目交通渡口码头工程文物保护影响评估报告编制</w:t>
      </w:r>
      <w:r>
        <w:rPr>
          <w:rFonts w:hint="eastAsia" w:ascii="宋体" w:hAnsi="宋体" w:eastAsia="宋体" w:cs="宋体"/>
          <w:sz w:val="44"/>
          <w:szCs w:val="44"/>
        </w:rPr>
        <w:t xml:space="preserve"> </w:t>
      </w:r>
    </w:p>
    <w:p>
      <w:pPr>
        <w:rPr>
          <w:rFonts w:ascii="宋体" w:hAnsi="宋体" w:eastAsia="宋体" w:cs="宋体"/>
          <w:sz w:val="72"/>
          <w:szCs w:val="72"/>
        </w:rPr>
      </w:pPr>
    </w:p>
    <w:p>
      <w:pPr>
        <w:rPr>
          <w:rFonts w:ascii="宋体" w:hAnsi="宋体" w:eastAsia="宋体" w:cs="宋体"/>
          <w:sz w:val="72"/>
          <w:szCs w:val="72"/>
        </w:rPr>
      </w:pPr>
      <w:r>
        <w:rPr>
          <w:rFonts w:hint="eastAsia" w:ascii="宋体" w:hAnsi="宋体" w:eastAsia="宋体" w:cs="宋体"/>
          <w:sz w:val="72"/>
          <w:szCs w:val="72"/>
        </w:rPr>
        <w:t xml:space="preserve"> </w:t>
      </w:r>
    </w:p>
    <w:p>
      <w:pPr>
        <w:jc w:val="center"/>
        <w:rPr>
          <w:rFonts w:ascii="楷体" w:hAnsi="楷体" w:eastAsia="楷体" w:cs="楷体"/>
          <w:b/>
          <w:sz w:val="110"/>
          <w:szCs w:val="110"/>
        </w:rPr>
      </w:pPr>
      <w:r>
        <w:rPr>
          <w:rFonts w:hint="eastAsia" w:ascii="楷体" w:hAnsi="楷体" w:eastAsia="楷体" w:cs="楷体"/>
          <w:b/>
          <w:sz w:val="110"/>
          <w:szCs w:val="110"/>
        </w:rPr>
        <w:t>招 标 文 件</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bookmarkStart w:id="0" w:name="_Toc29976"/>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jc w:val="center"/>
        <w:rPr>
          <w:rFonts w:ascii="宋体" w:hAnsi="宋体" w:eastAsia="宋体" w:cs="宋体"/>
          <w:sz w:val="32"/>
          <w:szCs w:val="32"/>
        </w:rPr>
      </w:pPr>
      <w:r>
        <w:rPr>
          <w:rFonts w:hint="eastAsia" w:ascii="宋体" w:hAnsi="宋体" w:eastAsia="宋体" w:cs="宋体"/>
          <w:sz w:val="32"/>
          <w:szCs w:val="32"/>
        </w:rPr>
        <w:t xml:space="preserve"> </w:t>
      </w:r>
    </w:p>
    <w:p>
      <w:pPr>
        <w:ind w:left="1606" w:hanging="1606" w:hangingChars="500"/>
        <w:jc w:val="center"/>
        <w:rPr>
          <w:rFonts w:ascii="宋体" w:hAnsi="宋体" w:eastAsia="宋体" w:cs="宋体"/>
          <w:sz w:val="32"/>
          <w:szCs w:val="32"/>
        </w:rPr>
      </w:pPr>
      <w:r>
        <w:rPr>
          <w:rFonts w:hint="eastAsia" w:ascii="宋体" w:hAnsi="宋体" w:eastAsia="宋体" w:cs="宋体"/>
          <w:b/>
          <w:sz w:val="32"/>
          <w:szCs w:val="32"/>
        </w:rPr>
        <w:t>招标人：广州南沙旅游发展有限公司</w:t>
      </w:r>
    </w:p>
    <w:p>
      <w:pPr>
        <w:spacing w:line="520" w:lineRule="exact"/>
        <w:ind w:right="-101" w:rightChars="-48" w:firstLine="321" w:firstLineChars="100"/>
        <w:jc w:val="center"/>
        <w:rPr>
          <w:rFonts w:ascii="宋体" w:hAnsi="宋体" w:eastAsia="宋体" w:cs="宋体"/>
          <w:spacing w:val="28"/>
          <w:position w:val="8"/>
          <w:sz w:val="28"/>
          <w:szCs w:val="28"/>
        </w:rPr>
      </w:pPr>
      <w:bookmarkStart w:id="1" w:name="OLE_LINK4"/>
      <w:bookmarkEnd w:id="1"/>
      <w:r>
        <w:rPr>
          <w:rFonts w:hint="eastAsia" w:ascii="宋体" w:hAnsi="宋体" w:eastAsia="宋体" w:cs="宋体"/>
          <w:b/>
          <w:sz w:val="32"/>
          <w:szCs w:val="32"/>
        </w:rPr>
        <w:t>2022年4月</w:t>
      </w:r>
    </w:p>
    <w:p>
      <w:pPr>
        <w:rPr>
          <w:rFonts w:ascii="黑体" w:hAnsi="宋体" w:eastAsia="黑体" w:cs="黑体"/>
          <w:sz w:val="36"/>
          <w:szCs w:val="36"/>
        </w:rPr>
        <w:sectPr>
          <w:pgSz w:w="11915" w:h="16840"/>
          <w:pgMar w:top="1247" w:right="1135" w:bottom="1247" w:left="1361" w:header="720" w:footer="720" w:gutter="0"/>
          <w:cols w:space="425" w:num="1"/>
          <w:docGrid w:type="lines" w:linePitch="285" w:charSpace="0"/>
        </w:sectPr>
      </w:pPr>
    </w:p>
    <w:p>
      <w:pPr>
        <w:rPr>
          <w:rFonts w:ascii="黑体" w:hAnsi="宋体" w:eastAsia="黑体" w:cs="黑体"/>
          <w:sz w:val="36"/>
          <w:szCs w:val="36"/>
        </w:rPr>
      </w:pPr>
    </w:p>
    <w:bookmarkEnd w:id="0"/>
    <w:sdt>
      <w:sdtPr>
        <w:rPr>
          <w:rFonts w:ascii="宋体" w:hAnsi="宋体" w:eastAsia="宋体"/>
        </w:rPr>
        <w:id w:val="147481204"/>
        <w:docPartObj>
          <w:docPartGallery w:val="Table of Contents"/>
          <w:docPartUnique/>
        </w:docPartObj>
      </w:sdtPr>
      <w:sdtEndPr>
        <w:rPr>
          <w:rFonts w:ascii="宋体" w:hAnsi="宋体" w:eastAsia="宋体"/>
        </w:rPr>
      </w:sdtEndPr>
      <w:sdtContent>
        <w:p>
          <w:pPr>
            <w:jc w:val="center"/>
            <w:rPr>
              <w:b/>
              <w:bCs/>
              <w:sz w:val="36"/>
              <w:szCs w:val="36"/>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p>
        <w:p>
          <w:pPr>
            <w:pStyle w:val="12"/>
            <w:tabs>
              <w:tab w:val="right" w:leader="dot" w:pos="9419"/>
            </w:tabs>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"1-1" \h \u </w:instrText>
          </w:r>
          <w:r>
            <w:rPr>
              <w:rFonts w:hint="eastAsia" w:asciiTheme="minorEastAsia" w:hAnsiTheme="minorEastAsia" w:eastAsiaTheme="minorEastAsia" w:cstheme="minorEastAsia"/>
              <w:sz w:val="24"/>
              <w:szCs w:val="24"/>
            </w:rPr>
            <w:fldChar w:fldCharType="separate"/>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"_Toc13302" </w:instrText>
          </w:r>
          <w:r>
            <w:fldChar w:fldCharType="separate"/>
          </w:r>
          <w:r>
            <w:rPr>
              <w:rFonts w:hint="eastAsia" w:asciiTheme="minorEastAsia" w:hAnsiTheme="minorEastAsia" w:eastAsiaTheme="minorEastAsia" w:cstheme="minorEastAsia"/>
              <w:kern w:val="44"/>
              <w:sz w:val="24"/>
              <w:szCs w:val="24"/>
            </w:rPr>
            <w:t>第1章 投标须知及前附表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_Toc13302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"_Toc1632" </w:instrText>
          </w:r>
          <w:r>
            <w:fldChar w:fldCharType="separate"/>
          </w:r>
          <w:r>
            <w:rPr>
              <w:rFonts w:hint="eastAsia" w:asciiTheme="minorEastAsia" w:hAnsiTheme="minorEastAsia" w:eastAsiaTheme="minorEastAsia" w:cstheme="minorEastAsia"/>
              <w:kern w:val="44"/>
              <w:sz w:val="24"/>
              <w:szCs w:val="24"/>
            </w:rPr>
            <w:t>第2章 项目需求书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"_Toc27492" </w:instrText>
          </w:r>
          <w:r>
            <w:fldChar w:fldCharType="separate"/>
          </w:r>
          <w:r>
            <w:rPr>
              <w:rFonts w:hint="eastAsia" w:asciiTheme="minorEastAsia" w:hAnsiTheme="minorEastAsia" w:eastAsiaTheme="minorEastAsia" w:cstheme="minorEastAsia"/>
              <w:kern w:val="44"/>
              <w:sz w:val="24"/>
              <w:szCs w:val="24"/>
            </w:rPr>
            <w:t>第3章  投标格式文件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_Toc27492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"_Toc30913" </w:instrText>
          </w:r>
          <w:r>
            <w:fldChar w:fldCharType="separate"/>
          </w:r>
          <w:r>
            <w:rPr>
              <w:rFonts w:hint="eastAsia" w:asciiTheme="minorEastAsia" w:hAnsiTheme="minorEastAsia" w:eastAsiaTheme="minorEastAsia" w:cstheme="minorEastAsia"/>
              <w:kern w:val="44"/>
              <w:sz w:val="24"/>
              <w:szCs w:val="24"/>
            </w:rPr>
            <w:t>第4章 评标办法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_Toc30913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"_Toc26593" </w:instrText>
          </w:r>
          <w:r>
            <w:fldChar w:fldCharType="separate"/>
          </w:r>
          <w:r>
            <w:rPr>
              <w:rFonts w:hint="eastAsia" w:asciiTheme="minorEastAsia" w:hAnsiTheme="minorEastAsia" w:eastAsiaTheme="minorEastAsia" w:cstheme="minorEastAsia"/>
              <w:kern w:val="44"/>
              <w:sz w:val="24"/>
              <w:szCs w:val="24"/>
            </w:rPr>
            <w:t>第5章 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_Toc26593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"_Toc12170" </w:instrText>
          </w:r>
          <w:r>
            <w:fldChar w:fldCharType="separate"/>
          </w:r>
          <w:r>
            <w:rPr>
              <w:rFonts w:hint="eastAsia" w:asciiTheme="minorEastAsia" w:hAnsiTheme="minorEastAsia" w:eastAsiaTheme="minorEastAsia" w:cstheme="minorEastAsia"/>
              <w:sz w:val="24"/>
              <w:szCs w:val="24"/>
            </w:rPr>
            <w:t>附件1：符合性审查表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_Toc12170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12"/>
            <w:tabs>
              <w:tab w:val="right" w:leader="dot" w:pos="9419"/>
            </w:tabs>
            <w:rPr>
              <w:rFonts w:asciiTheme="minorEastAsia" w:hAnsiTheme="minorEastAsia" w:eastAsiaTheme="minorEastAsia" w:cstheme="minorEastAsia"/>
              <w:sz w:val="24"/>
              <w:szCs w:val="24"/>
            </w:rPr>
          </w:pPr>
          <w:r>
            <w:fldChar w:fldCharType="begin"/>
          </w:r>
          <w:r>
            <w:instrText xml:space="preserve"> HYPERLINK \l "_Toc18783" </w:instrText>
          </w:r>
          <w:r>
            <w:fldChar w:fldCharType="separate"/>
          </w:r>
          <w:r>
            <w:rPr>
              <w:rFonts w:hint="eastAsia" w:asciiTheme="minorEastAsia" w:hAnsiTheme="minorEastAsia" w:eastAsiaTheme="minorEastAsia" w:cstheme="minorEastAsia"/>
              <w:sz w:val="24"/>
              <w:szCs w:val="24"/>
            </w:rPr>
            <w:t>附件2综合评分表（100分）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r>
            <w:rPr>
              <w:rFonts w:hint="eastAsia" w:asciiTheme="minorEastAsia" w:hAnsiTheme="minorEastAsia" w:cstheme="minorEastAsia"/>
              <w:sz w:val="24"/>
            </w:rPr>
            <w:fldChar w:fldCharType="end"/>
          </w:r>
        </w:p>
      </w:sdtContent>
    </w:sdt>
    <w:p>
      <w:pPr>
        <w:pStyle w:val="4"/>
        <w:widowControl/>
        <w:spacing w:after="0"/>
        <w:ind w:firstLine="0"/>
        <w:rPr>
          <w:rFonts w:ascii="宋体" w:hAnsi="宋体" w:cs="宋体"/>
        </w:rPr>
        <w:sectPr>
          <w:pgSz w:w="11915" w:h="16840"/>
          <w:pgMar w:top="1247" w:right="1135" w:bottom="1247" w:left="1361" w:header="720" w:footer="720" w:gutter="0"/>
          <w:cols w:space="425" w:num="1"/>
          <w:docGrid w:type="lines" w:linePitch="285" w:charSpace="0"/>
        </w:sectPr>
      </w:pPr>
      <w:r>
        <w:rPr>
          <w:rFonts w:hint="eastAsia" w:ascii="宋体" w:hAnsi="宋体" w:cs="宋体"/>
        </w:rPr>
        <w:t xml:space="preserve"> </w:t>
      </w:r>
    </w:p>
    <w:p>
      <w:pPr>
        <w:pStyle w:val="3"/>
        <w:widowControl/>
        <w:spacing w:before="0" w:after="0" w:line="360" w:lineRule="auto"/>
        <w:jc w:val="center"/>
        <w:rPr>
          <w:rFonts w:ascii="黑体" w:hAnsi="宋体" w:cs="黑体"/>
          <w:b/>
          <w:color w:val="auto"/>
          <w:kern w:val="44"/>
          <w:sz w:val="44"/>
          <w:szCs w:val="44"/>
        </w:rPr>
      </w:pPr>
      <w:bookmarkStart w:id="2" w:name="_Toc13302"/>
      <w:bookmarkStart w:id="3" w:name="_Toc374128472"/>
      <w:r>
        <w:rPr>
          <w:rFonts w:hint="eastAsia" w:ascii="黑体" w:hAnsi="宋体" w:cs="黑体"/>
          <w:b/>
          <w:color w:val="auto"/>
          <w:kern w:val="44"/>
          <w:sz w:val="44"/>
          <w:szCs w:val="44"/>
        </w:rPr>
        <w:t>第1章 投标须知及前附表</w:t>
      </w:r>
      <w:bookmarkEnd w:id="2"/>
      <w:bookmarkEnd w:id="3"/>
    </w:p>
    <w:p>
      <w:pPr>
        <w:spacing w:after="142" w:afterLines="50"/>
        <w:jc w:val="center"/>
        <w:outlineLvl w:val="1"/>
        <w:rPr>
          <w:rFonts w:ascii="黑体" w:hAnsi="宋体" w:eastAsia="黑体" w:cs="黑体"/>
          <w:sz w:val="30"/>
          <w:szCs w:val="30"/>
        </w:rPr>
      </w:pPr>
      <w:r>
        <w:rPr>
          <w:rFonts w:hint="eastAsia" w:ascii="黑体" w:hAnsi="宋体" w:eastAsia="黑体" w:cs="黑体"/>
          <w:sz w:val="30"/>
          <w:szCs w:val="30"/>
        </w:rPr>
        <w:t>一、投标须知前附表</w:t>
      </w:r>
    </w:p>
    <w:tbl>
      <w:tblPr>
        <w:tblStyle w:val="17"/>
        <w:tblW w:w="9709" w:type="dxa"/>
        <w:jc w:val="center"/>
        <w:tblInd w:w="0" w:type="dxa"/>
        <w:tblLayout w:type="fixed"/>
        <w:tblCellMar>
          <w:top w:w="0" w:type="dxa"/>
          <w:left w:w="108" w:type="dxa"/>
          <w:bottom w:w="0" w:type="dxa"/>
          <w:right w:w="108" w:type="dxa"/>
        </w:tblCellMar>
      </w:tblPr>
      <w:tblGrid>
        <w:gridCol w:w="720"/>
        <w:gridCol w:w="990"/>
        <w:gridCol w:w="1526"/>
        <w:gridCol w:w="647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rPr>
            </w:pPr>
            <w:r>
              <w:rPr>
                <w:rFonts w:hint="eastAsia" w:ascii="宋体" w:hAnsi="宋体" w:cs="宋体"/>
                <w:b/>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rPr>
            </w:pPr>
            <w:r>
              <w:rPr>
                <w:rFonts w:hint="eastAsia" w:ascii="宋体" w:hAnsi="宋体" w:cs="宋体"/>
                <w:b/>
              </w:rPr>
              <w:t>条款号</w:t>
            </w:r>
          </w:p>
        </w:tc>
        <w:tc>
          <w:tcPr>
            <w:tcW w:w="152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rPr>
            </w:pPr>
            <w:r>
              <w:rPr>
                <w:rFonts w:hint="eastAsia" w:ascii="宋体" w:hAnsi="宋体" w:cs="宋体"/>
                <w:b/>
              </w:rPr>
              <w:t>内容</w:t>
            </w:r>
          </w:p>
        </w:tc>
        <w:tc>
          <w:tcPr>
            <w:tcW w:w="647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4"/>
              <w:widowControl/>
              <w:spacing w:after="0" w:line="440" w:lineRule="exact"/>
              <w:ind w:firstLine="0"/>
              <w:jc w:val="center"/>
              <w:rPr>
                <w:rFonts w:ascii="宋体" w:hAnsi="宋体" w:cs="宋体"/>
                <w:b/>
              </w:rPr>
            </w:pPr>
            <w:r>
              <w:rPr>
                <w:rFonts w:hint="eastAsia" w:ascii="宋体" w:hAnsi="宋体" w:cs="宋体"/>
                <w:b/>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2.2.1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项目名称</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szCs w:val="21"/>
              </w:rPr>
              <w:t>广州市海防教育基地项目交通渡口码头工程文物保护影响评估报告编制</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2.2.2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建设地点</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rPr>
            </w:pPr>
            <w:r>
              <w:rPr>
                <w:rFonts w:hint="eastAsia" w:ascii="宋体" w:hAnsi="宋体" w:cs="宋体"/>
              </w:rPr>
              <w:t>广州市南沙区</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2.2.3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建设规模</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s="宋体"/>
                <w:highlight w:val="none"/>
              </w:rPr>
              <w:t>广州市海防教育基地项目交通渡口码头工程位于狮子洋西岸天后宫（大角山）沿岸、狮子洋中央上横档岛西岸、狮子洋中央下横档岛北岸。本工程的建设规模为三座渡口码头及其附属设施，天后宫（大角山）上、下横档岛各建设渡轮泊位1 个，泊位长度均为53m，总设计通过能力36 万人次/年。</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2.2.5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质量目标</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szCs w:val="21"/>
                <w:highlight w:val="none"/>
              </w:rPr>
            </w:pPr>
            <w:r>
              <w:rPr>
                <w:rFonts w:hint="eastAsia" w:ascii="宋体" w:hAnsi="宋体" w:eastAsia="宋体" w:cs="宋体"/>
                <w:szCs w:val="21"/>
                <w:highlight w:val="none"/>
              </w:rPr>
              <w:t>完成的设计文件，符合国家、地方法律法规要求，以通过国家文物局审批并获得批文为准</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2.3.1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招标范围</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szCs w:val="21"/>
                <w:highlight w:val="none"/>
              </w:rPr>
            </w:pPr>
            <w:r>
              <w:rPr>
                <w:rFonts w:hint="eastAsia" w:ascii="宋体" w:hAnsi="宋体" w:eastAsia="宋体" w:cs="宋体"/>
                <w:szCs w:val="21"/>
                <w:highlight w:val="none"/>
              </w:rPr>
              <w:t>1、投标人应根据国家与地方的法律、法规的要求，按要求进行项目的文物影响评估工作，向招标人提交本项目的文物影响评估报告，并对文物影响评估报告的质量及其所涉及的技术问题负责。工作内容（包括但不限于）：</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（一）对涉及和影响区域内的各类文化遗产进行确认；</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（二）对涉及的文化遗产的文物价值进行评估；</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（三）文物安全评估；</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（四）拟建项目对文物本体的空间环境及风貌影响评估；</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（五）涉及和影响区域内工程施工对文物本体的安全影响评估；</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（六）其他直接和间接的潜在影响；</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（七）对负面影响提出减缓措施。</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2、投标人应完成涉及文物影响评估报告的评审会，政府部门审批等等所有工作，获得国家文物局正式批文。对于编制评估报告费用、召开评审会会务费、专家费、交通费、餐费、向政府部门申请审批过程所产生的交通费、税费等一切费用，均已包含在投标费用中。投标人不得再向招标人申请支付其他费用。</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2.3.2</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服务任务期限</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自中标通知书发出后，至取得国家文物局对</w:t>
            </w:r>
            <w:r>
              <w:rPr>
                <w:rFonts w:hint="eastAsia" w:ascii="宋体" w:hAnsi="宋体" w:cs="宋体"/>
                <w:highlight w:val="none"/>
              </w:rPr>
              <w:t>广州市海防教育基地项目交通渡口码头工程设计方案</w:t>
            </w:r>
            <w:r>
              <w:rPr>
                <w:rFonts w:hint="eastAsia" w:ascii="宋体" w:hAnsi="宋体" w:eastAsia="宋体" w:cs="宋体"/>
                <w:szCs w:val="21"/>
                <w:highlight w:val="none"/>
              </w:rPr>
              <w:t>的最终批复，完成合同约定全部工作为止。</w:t>
            </w: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3.1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资金来源</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rPr>
            </w:pPr>
            <w:r>
              <w:rPr>
                <w:rFonts w:hint="eastAsia" w:ascii="宋体" w:hAnsi="宋体" w:cs="宋体"/>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4.1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投标人资质要求</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s="宋体"/>
                <w:highlight w:val="none"/>
              </w:rPr>
              <w:t>投标人具有文物保护勘察设计甲级资质</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2.3.3</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320" w:lineRule="exact"/>
              <w:ind w:firstLine="0"/>
              <w:rPr>
                <w:rFonts w:ascii="宋体" w:hAnsi="宋体" w:cs="宋体"/>
              </w:rPr>
            </w:pPr>
            <w:r>
              <w:rPr>
                <w:rFonts w:hint="eastAsia" w:ascii="宋体" w:hAnsi="宋体" w:cs="宋体"/>
              </w:rPr>
              <w:t>服务人员的专业配套要求</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olor w:val="auto"/>
                <w:sz w:val="24"/>
                <w:szCs w:val="24"/>
                <w:highlight w:val="none"/>
              </w:rPr>
              <w:t>投标人应具备以下资质：</w:t>
            </w:r>
            <w:r>
              <w:rPr>
                <w:rFonts w:hint="eastAsia" w:ascii="宋体" w:hAnsi="宋体" w:cs="宋体"/>
                <w:highlight w:val="none"/>
              </w:rPr>
              <w:t>申请人委派的项目负责人具备文物保护工程责任设计师</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0" w:after="0"/>
              <w:ind w:firstLine="0"/>
              <w:jc w:val="center"/>
              <w:rPr>
                <w:rFonts w:ascii="宋体" w:hAnsi="宋体" w:cs="宋体"/>
              </w:rPr>
            </w:pPr>
            <w:r>
              <w:rPr>
                <w:rFonts w:hint="eastAsia" w:ascii="宋体" w:hAnsi="宋体" w:cs="宋体"/>
              </w:rPr>
              <w:t>4.5</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Autospacing="0" w:after="0"/>
              <w:ind w:left="-59" w:leftChars="-28" w:right="-59" w:rightChars="-28" w:firstLine="0"/>
              <w:jc w:val="center"/>
              <w:rPr>
                <w:rFonts w:ascii="宋体" w:hAnsi="宋体" w:cs="宋体"/>
              </w:rPr>
            </w:pPr>
            <w:r>
              <w:rPr>
                <w:rFonts w:hint="eastAsia" w:ascii="宋体" w:hAnsi="宋体" w:cs="宋体"/>
              </w:rPr>
              <w:t>资格审查方式</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jc w:val="center"/>
              <w:rPr>
                <w:rFonts w:ascii="宋体" w:hAnsi="宋体" w:cs="宋体"/>
              </w:rPr>
            </w:pPr>
            <w:r>
              <w:rPr>
                <w:rFonts w:hint="eastAsia" w:ascii="宋体" w:hAnsi="宋体" w:cs="宋体"/>
              </w:rPr>
              <w:t>/</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1"/>
              </w:rPr>
              <w:t>5.1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1"/>
              </w:rPr>
              <w:t>踏勘现场</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rPr>
            </w:pPr>
            <w:r>
              <w:rPr>
                <w:rFonts w:hint="eastAsia" w:ascii="宋体" w:hAnsi="宋体" w:cs="宋体"/>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1"/>
              </w:rPr>
              <w:t>8.1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rPr>
            </w:pPr>
            <w:r>
              <w:rPr>
                <w:rFonts w:hint="eastAsia" w:ascii="宋体" w:hAnsi="宋体" w:eastAsia="宋体" w:cs="宋体"/>
                <w:szCs w:val="21"/>
              </w:rPr>
              <w:t>招标答疑</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w:t>
            </w:r>
          </w:p>
        </w:tc>
      </w:tr>
      <w:tr>
        <w:tblPrEx>
          <w:tblLayout w:type="fixed"/>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13.1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44" w:rightChars="-21" w:firstLine="0"/>
              <w:jc w:val="center"/>
              <w:rPr>
                <w:rFonts w:ascii="宋体" w:hAnsi="宋体" w:cs="宋体"/>
                <w:highlight w:val="none"/>
              </w:rPr>
            </w:pPr>
            <w:r>
              <w:rPr>
                <w:rFonts w:hint="eastAsia" w:ascii="宋体" w:hAnsi="宋体" w:cs="宋体"/>
                <w:highlight w:val="none"/>
              </w:rPr>
              <w:t>报价及结算方式</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8"/>
              <w:widowControl/>
              <w:spacing w:line="360" w:lineRule="auto"/>
              <w:ind w:firstLine="420" w:firstLineChars="200"/>
              <w:rPr>
                <w:rFonts w:hint="default" w:hAnsi="宋体" w:cs="宋体"/>
                <w:highlight w:val="none"/>
              </w:rPr>
            </w:pPr>
            <w:bookmarkStart w:id="49" w:name="_GoBack"/>
            <w:r>
              <w:rPr>
                <w:rFonts w:hint="eastAsia" w:asciiTheme="minorEastAsia" w:hAnsiTheme="minorEastAsia" w:eastAsiaTheme="minorEastAsia" w:cstheme="minorEastAsia"/>
                <w:color w:val="auto"/>
                <w:sz w:val="21"/>
                <w:szCs w:val="21"/>
                <w:highlight w:val="none"/>
              </w:rPr>
              <w:t>招标控制价为</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409355.00</w:t>
            </w:r>
            <w:r>
              <w:rPr>
                <w:rFonts w:hint="eastAsia" w:asciiTheme="minorEastAsia" w:hAnsiTheme="minorEastAsia" w:eastAsiaTheme="minorEastAsia" w:cstheme="minorEastAsia"/>
                <w:color w:val="auto"/>
                <w:sz w:val="21"/>
                <w:szCs w:val="21"/>
                <w:highlight w:val="none"/>
              </w:rPr>
              <w:t>元（大写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肆拾万零玖仟叁佰伍拾伍元整</w:t>
            </w:r>
            <w:r>
              <w:rPr>
                <w:rFonts w:hint="eastAsia" w:asciiTheme="minorEastAsia" w:hAnsiTheme="minorEastAsia" w:eastAsiaTheme="minorEastAsia" w:cstheme="minorEastAsia"/>
                <w:color w:val="auto"/>
                <w:sz w:val="21"/>
                <w:szCs w:val="21"/>
                <w:highlight w:val="none"/>
              </w:rPr>
              <w:t>）。</w:t>
            </w:r>
            <w:bookmarkEnd w:id="49"/>
          </w:p>
          <w:p>
            <w:pPr>
              <w:pStyle w:val="8"/>
              <w:widowControl/>
              <w:spacing w:line="360" w:lineRule="auto"/>
              <w:rPr>
                <w:rFonts w:hint="default" w:hAnsi="宋体" w:cs="宋体"/>
                <w:highlight w:val="none"/>
              </w:rPr>
            </w:pPr>
            <w:r>
              <w:rPr>
                <w:rFonts w:hAnsi="宋体" w:cs="宋体"/>
                <w:highlight w:val="none"/>
              </w:rPr>
              <w:t>投标单位自行报价（投标总报价不能超过限价，最低价不得低于招标控制价的8</w:t>
            </w:r>
            <w:r>
              <w:rPr>
                <w:rFonts w:hint="default" w:hAnsi="宋体" w:cs="宋体"/>
                <w:highlight w:val="none"/>
              </w:rPr>
              <w:t>0</w:t>
            </w:r>
            <w:r>
              <w:rPr>
                <w:rFonts w:hAnsi="宋体" w:cs="宋体"/>
                <w:highlight w:val="none"/>
              </w:rPr>
              <w:t>%，否则按废标处理）。（小数点后保留二位小数，第三位小数四舍五入）</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15.1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投标有效期</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s="宋体"/>
                <w:highlight w:val="none"/>
              </w:rPr>
              <w:t>90日历天（从投标截止之日算起）。</w:t>
            </w:r>
          </w:p>
        </w:tc>
      </w:tr>
      <w:tr>
        <w:tblPrEx>
          <w:tblLayout w:type="fixed"/>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16.1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spacing w:val="-4"/>
                <w:highlight w:val="none"/>
              </w:rPr>
            </w:pPr>
            <w:r>
              <w:rPr>
                <w:rFonts w:hint="eastAsia" w:ascii="宋体" w:hAnsi="宋体" w:cs="宋体"/>
                <w:spacing w:val="-4"/>
                <w:highlight w:val="none"/>
              </w:rPr>
              <w:t>投标保证金</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s="宋体"/>
                <w:highlight w:val="none"/>
              </w:rPr>
              <w:t>本项目不收投标保证金</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17.1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46" w:leftChars="-22" w:right="-59" w:rightChars="-28" w:firstLine="0"/>
              <w:jc w:val="center"/>
              <w:rPr>
                <w:rFonts w:ascii="宋体" w:hAnsi="宋体" w:cs="宋体"/>
                <w:highlight w:val="none"/>
              </w:rPr>
            </w:pPr>
            <w:r>
              <w:rPr>
                <w:rFonts w:hint="eastAsia" w:ascii="宋体" w:hAnsi="宋体" w:cs="宋体"/>
                <w:highlight w:val="none"/>
              </w:rPr>
              <w:t>投标文件份数</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highlight w:val="none"/>
              </w:rPr>
            </w:pPr>
            <w:r>
              <w:rPr>
                <w:rFonts w:hint="eastAsia" w:ascii="宋体" w:hAnsi="宋体" w:cs="宋体"/>
                <w:highlight w:val="none"/>
              </w:rPr>
              <w:t>投标文件：1份正本（含电子文件一套），4份副本。</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19.1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19" w:leftChars="-9" w:right="-17" w:rightChars="-8" w:firstLine="0"/>
              <w:jc w:val="center"/>
              <w:rPr>
                <w:rFonts w:ascii="宋体" w:hAnsi="宋体" w:cs="宋体"/>
                <w:highlight w:val="none"/>
              </w:rPr>
            </w:pPr>
            <w:r>
              <w:rPr>
                <w:rFonts w:hint="eastAsia" w:ascii="宋体" w:hAnsi="宋体" w:cs="宋体"/>
                <w:highlight w:val="none"/>
              </w:rPr>
              <w:t>投标文件</w:t>
            </w:r>
          </w:p>
          <w:p>
            <w:pPr>
              <w:pStyle w:val="4"/>
              <w:widowControl/>
              <w:spacing w:before="100" w:beforeAutospacing="0" w:after="0" w:line="440" w:lineRule="exact"/>
              <w:ind w:left="-19" w:leftChars="-9" w:right="-17" w:rightChars="-8" w:firstLine="0"/>
              <w:jc w:val="center"/>
              <w:rPr>
                <w:rFonts w:ascii="宋体" w:hAnsi="宋体" w:cs="宋体"/>
                <w:highlight w:val="none"/>
              </w:rPr>
            </w:pPr>
            <w:r>
              <w:rPr>
                <w:rFonts w:hint="eastAsia" w:ascii="宋体" w:hAnsi="宋体" w:cs="宋体"/>
                <w:highlight w:val="none"/>
              </w:rPr>
              <w:t>提交地点及</w:t>
            </w:r>
          </w:p>
          <w:p>
            <w:pPr>
              <w:pStyle w:val="4"/>
              <w:widowControl/>
              <w:spacing w:before="100" w:beforeAutospacing="0" w:after="0" w:line="440" w:lineRule="exact"/>
              <w:ind w:left="-19" w:leftChars="-9" w:right="-17" w:rightChars="-8" w:firstLine="0"/>
              <w:jc w:val="center"/>
              <w:rPr>
                <w:rFonts w:ascii="宋体" w:hAnsi="宋体" w:cs="宋体"/>
                <w:highlight w:val="none"/>
              </w:rPr>
            </w:pPr>
            <w:r>
              <w:rPr>
                <w:rFonts w:hint="eastAsia" w:ascii="宋体" w:hAnsi="宋体" w:cs="宋体"/>
                <w:highlight w:val="none"/>
              </w:rPr>
              <w:t>截止时间</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szCs w:val="21"/>
                <w:highlight w:val="none"/>
              </w:rPr>
            </w:pPr>
            <w:r>
              <w:rPr>
                <w:rFonts w:hint="eastAsia" w:ascii="宋体" w:hAnsi="宋体" w:eastAsia="宋体" w:cs="宋体"/>
                <w:szCs w:val="21"/>
                <w:highlight w:val="none"/>
              </w:rPr>
              <w:t>收件人：</w:t>
            </w:r>
            <w:r>
              <w:rPr>
                <w:rFonts w:hint="eastAsia" w:ascii="宋体" w:hAnsi="宋体" w:eastAsia="宋体" w:cs="宋体"/>
                <w:szCs w:val="21"/>
                <w:highlight w:val="none"/>
                <w:lang w:eastAsia="zh-CN"/>
              </w:rPr>
              <w:t>刘广文</w:t>
            </w:r>
            <w:r>
              <w:rPr>
                <w:rFonts w:hint="eastAsia" w:ascii="宋体" w:hAnsi="宋体" w:eastAsia="宋体" w:cs="宋体"/>
                <w:szCs w:val="21"/>
                <w:highlight w:val="none"/>
              </w:rPr>
              <w:t xml:space="preserve">   </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提交地点：广州市南沙区金融大厦1807会议室</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投标时间：2022年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日（星期</w:t>
            </w:r>
            <w:r>
              <w:rPr>
                <w:rFonts w:hint="eastAsia" w:ascii="宋体" w:hAnsi="宋体" w:eastAsia="宋体" w:cs="宋体"/>
                <w:szCs w:val="21"/>
                <w:highlight w:val="none"/>
                <w:lang w:eastAsia="zh-CN"/>
              </w:rPr>
              <w:t>四</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00</w:t>
            </w:r>
            <w:r>
              <w:rPr>
                <w:rFonts w:hint="eastAsia" w:ascii="宋体" w:hAnsi="宋体" w:eastAsia="宋体" w:cs="宋体"/>
                <w:szCs w:val="21"/>
                <w:highlight w:val="none"/>
              </w:rPr>
              <w:t>分至2022年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日（星期</w:t>
            </w:r>
            <w:r>
              <w:rPr>
                <w:rFonts w:hint="eastAsia" w:ascii="宋体" w:hAnsi="宋体" w:eastAsia="宋体" w:cs="宋体"/>
                <w:szCs w:val="21"/>
                <w:highlight w:val="none"/>
                <w:lang w:eastAsia="zh-CN"/>
              </w:rPr>
              <w:t>四</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分前。</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24.1</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开标</w:t>
            </w:r>
          </w:p>
        </w:tc>
        <w:tc>
          <w:tcPr>
            <w:tcW w:w="647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开标时间：2022年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日（星期</w:t>
            </w:r>
            <w:r>
              <w:rPr>
                <w:rFonts w:hint="eastAsia" w:ascii="宋体" w:hAnsi="宋体" w:eastAsia="宋体" w:cs="宋体"/>
                <w:szCs w:val="21"/>
                <w:highlight w:val="none"/>
                <w:lang w:eastAsia="zh-CN"/>
              </w:rPr>
              <w:t>四</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时</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分</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地点：广州市南沙区金融大厦1807会议室</w:t>
            </w:r>
          </w:p>
          <w:p>
            <w:pPr>
              <w:spacing w:line="320" w:lineRule="exact"/>
              <w:rPr>
                <w:rFonts w:ascii="宋体" w:hAnsi="宋体" w:eastAsia="宋体" w:cs="宋体"/>
                <w:szCs w:val="21"/>
                <w:highlight w:val="none"/>
              </w:rPr>
            </w:pPr>
            <w:r>
              <w:rPr>
                <w:rFonts w:hint="eastAsia" w:ascii="宋体" w:hAnsi="宋体" w:eastAsia="宋体" w:cs="宋体"/>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27.3</w:t>
            </w:r>
          </w:p>
        </w:tc>
        <w:tc>
          <w:tcPr>
            <w:tcW w:w="152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highlight w:val="none"/>
              </w:rPr>
            </w:pPr>
            <w:r>
              <w:rPr>
                <w:rFonts w:hint="eastAsia" w:ascii="宋体" w:hAnsi="宋体" w:cs="宋体"/>
                <w:highlight w:val="none"/>
              </w:rPr>
              <w:t>评标方法</w:t>
            </w:r>
          </w:p>
        </w:tc>
        <w:tc>
          <w:tcPr>
            <w:tcW w:w="647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szCs w:val="21"/>
                <w:highlight w:val="none"/>
              </w:rPr>
            </w:pPr>
            <w:r>
              <w:rPr>
                <w:rFonts w:hint="eastAsia" w:ascii="宋体" w:hAnsi="宋体" w:eastAsia="宋体" w:cs="宋体"/>
                <w:szCs w:val="21"/>
                <w:highlight w:val="none"/>
              </w:rPr>
              <w:t>综合评分法</w:t>
            </w:r>
          </w:p>
        </w:tc>
      </w:tr>
    </w:tbl>
    <w:p>
      <w:pPr>
        <w:rPr>
          <w:rFonts w:ascii="宋体" w:hAnsi="宋体" w:eastAsia="宋体" w:cs="宋体"/>
        </w:rPr>
      </w:pPr>
      <w:r>
        <w:rPr>
          <w:rFonts w:hint="eastAsia" w:ascii="宋体" w:hAnsi="宋体" w:eastAsia="宋体" w:cs="宋体"/>
          <w:szCs w:val="21"/>
          <w:highlight w:val="none"/>
        </w:rPr>
        <w:t xml:space="preserve"> </w:t>
      </w:r>
    </w:p>
    <w:p>
      <w:pPr>
        <w:spacing w:line="360" w:lineRule="auto"/>
        <w:jc w:val="center"/>
        <w:rPr>
          <w:b/>
        </w:rPr>
      </w:pPr>
      <w:r>
        <w:rPr>
          <w:b/>
        </w:rPr>
        <w:t xml:space="preserve"> </w:t>
      </w:r>
    </w:p>
    <w:p>
      <w:pPr>
        <w:rPr>
          <w:b/>
        </w:rPr>
      </w:pPr>
      <w:r>
        <w:rPr>
          <w:b/>
        </w:rPr>
        <w:br w:type="page"/>
      </w:r>
    </w:p>
    <w:p>
      <w:pPr>
        <w:spacing w:line="360" w:lineRule="auto"/>
        <w:jc w:val="center"/>
        <w:outlineLvl w:val="1"/>
        <w:rPr>
          <w:rFonts w:ascii="宋体" w:hAnsi="宋体" w:eastAsia="宋体" w:cs="宋体"/>
          <w:b/>
          <w:sz w:val="36"/>
          <w:szCs w:val="36"/>
        </w:rPr>
      </w:pPr>
      <w:r>
        <w:rPr>
          <w:rFonts w:hint="eastAsia" w:ascii="宋体" w:hAnsi="宋体" w:eastAsia="宋体" w:cs="宋体"/>
          <w:b/>
          <w:sz w:val="36"/>
          <w:szCs w:val="36"/>
        </w:rPr>
        <w:t>二、投标须知</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（一）总则</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1．定义</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本招标文件使用的下列词语具有如下规定的意义：</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1.1 “招标人”（即委托人）指</w:t>
      </w:r>
      <w:r>
        <w:rPr>
          <w:rFonts w:hint="eastAsia" w:ascii="宋体" w:hAnsi="宋体" w:eastAsia="宋体" w:cs="宋体"/>
          <w:sz w:val="24"/>
          <w:u w:val="single"/>
        </w:rPr>
        <w:t>广州南沙旅游发展有限公司。</w:t>
      </w:r>
    </w:p>
    <w:p>
      <w:pPr>
        <w:spacing w:line="360" w:lineRule="auto"/>
        <w:ind w:firstLine="480" w:firstLineChars="200"/>
        <w:rPr>
          <w:rFonts w:ascii="宋体" w:hAnsi="宋体" w:eastAsia="宋体" w:cs="宋体"/>
          <w:b/>
          <w:sz w:val="24"/>
        </w:rPr>
      </w:pPr>
      <w:r>
        <w:rPr>
          <w:rFonts w:hint="eastAsia" w:ascii="宋体" w:hAnsi="宋体" w:eastAsia="宋体" w:cs="宋体"/>
          <w:sz w:val="24"/>
        </w:rPr>
        <w:t>1.2 “项目建设管理单位”指</w:t>
      </w:r>
      <w:r>
        <w:rPr>
          <w:rFonts w:hint="eastAsia" w:ascii="宋体" w:hAnsi="宋体" w:eastAsia="宋体" w:cs="宋体"/>
          <w:sz w:val="24"/>
          <w:u w:val="single"/>
        </w:rPr>
        <w:t xml:space="preserve">   /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1.3 “投标人”指向招标人提交投标文件的当事人。</w:t>
      </w:r>
    </w:p>
    <w:p>
      <w:pPr>
        <w:spacing w:line="360" w:lineRule="auto"/>
        <w:ind w:firstLine="480" w:firstLineChars="200"/>
        <w:rPr>
          <w:rFonts w:ascii="宋体" w:hAnsi="宋体" w:eastAsia="宋体" w:cs="宋体"/>
          <w:sz w:val="24"/>
        </w:rPr>
      </w:pPr>
      <w:r>
        <w:rPr>
          <w:rFonts w:hint="eastAsia" w:ascii="宋体" w:hAnsi="宋体" w:eastAsia="宋体" w:cs="宋体"/>
          <w:sz w:val="24"/>
        </w:rPr>
        <w:t>1.4 “承包商”指被招标人接受并与其签订承包合同的当事人；</w:t>
      </w:r>
    </w:p>
    <w:p>
      <w:pPr>
        <w:spacing w:line="360" w:lineRule="auto"/>
        <w:ind w:firstLine="480" w:firstLineChars="200"/>
        <w:rPr>
          <w:rFonts w:ascii="宋体" w:hAnsi="宋体" w:eastAsia="宋体" w:cs="宋体"/>
          <w:sz w:val="24"/>
        </w:rPr>
      </w:pPr>
      <w:r>
        <w:rPr>
          <w:rFonts w:hint="eastAsia" w:ascii="宋体" w:hAnsi="宋体" w:eastAsia="宋体" w:cs="宋体"/>
          <w:sz w:val="24"/>
        </w:rPr>
        <w:t>1.5 “招标代理”指</w:t>
      </w:r>
      <w:r>
        <w:rPr>
          <w:rFonts w:hint="eastAsia" w:ascii="宋体" w:hAnsi="宋体" w:eastAsia="宋体" w:cs="宋体"/>
          <w:sz w:val="24"/>
          <w:u w:val="single"/>
        </w:rPr>
        <w:t xml:space="preserve">   /  </w:t>
      </w:r>
      <w:r>
        <w:rPr>
          <w:rFonts w:hint="eastAsia" w:ascii="宋体" w:hAnsi="宋体" w:eastAsia="宋体" w:cs="宋体"/>
          <w:sz w:val="24"/>
        </w:rPr>
        <w:t>。</w:t>
      </w:r>
    </w:p>
    <w:p>
      <w:pPr>
        <w:spacing w:line="360" w:lineRule="auto"/>
        <w:ind w:firstLine="480" w:firstLineChars="200"/>
        <w:rPr>
          <w:rFonts w:ascii="宋体" w:hAnsi="宋体" w:eastAsia="宋体" w:cs="宋体"/>
          <w:sz w:val="24"/>
          <w:shd w:val="clear" w:color="auto" w:fill="FFFF00"/>
        </w:rPr>
      </w:pPr>
      <w:r>
        <w:rPr>
          <w:rFonts w:hint="eastAsia" w:ascii="宋体" w:hAnsi="宋体" w:eastAsia="宋体" w:cs="宋体"/>
          <w:sz w:val="24"/>
        </w:rPr>
        <w:t>1.6 “设计人”指</w:t>
      </w:r>
      <w:r>
        <w:rPr>
          <w:rFonts w:hint="eastAsia" w:ascii="宋体" w:hAnsi="宋体" w:eastAsia="宋体" w:cs="宋体"/>
          <w:sz w:val="24"/>
          <w:u w:val="single"/>
        </w:rPr>
        <w:t xml:space="preserve">   /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1.7 “招标文件”指由招标代理发出的本文件（包括全部章节、附件）及澄清补充文件。</w:t>
      </w:r>
    </w:p>
    <w:p>
      <w:pPr>
        <w:spacing w:line="360" w:lineRule="auto"/>
        <w:ind w:firstLine="480" w:firstLineChars="200"/>
        <w:rPr>
          <w:rFonts w:ascii="宋体" w:hAnsi="宋体" w:eastAsia="宋体" w:cs="宋体"/>
          <w:sz w:val="24"/>
        </w:rPr>
      </w:pPr>
      <w:r>
        <w:rPr>
          <w:rFonts w:hint="eastAsia" w:ascii="宋体" w:hAnsi="宋体" w:eastAsia="宋体" w:cs="宋体"/>
          <w:sz w:val="24"/>
        </w:rPr>
        <w:t>1.8 “投标文件”指投标人根据本招标文件向招标人提交的全部文件。</w:t>
      </w:r>
    </w:p>
    <w:p>
      <w:pPr>
        <w:pStyle w:val="4"/>
        <w:widowControl/>
        <w:spacing w:after="0" w:line="360" w:lineRule="auto"/>
        <w:ind w:firstLine="480" w:firstLineChars="200"/>
        <w:rPr>
          <w:rFonts w:ascii="宋体" w:hAnsi="宋体" w:cs="宋体"/>
          <w:sz w:val="24"/>
          <w:szCs w:val="24"/>
        </w:rPr>
      </w:pPr>
      <w:r>
        <w:rPr>
          <w:rFonts w:hint="eastAsia" w:ascii="宋体" w:hAnsi="宋体" w:cs="宋体"/>
          <w:sz w:val="24"/>
          <w:szCs w:val="24"/>
        </w:rPr>
        <w:t>1.9 “书面函件”指打字或印刷的函件，包括电传、电报和传真。</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2、招标说明</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2.1本招标项目按照《中华人民共和国招标投标法》等有关法律、行政法规和部门规章，采取邀请招标的办法，选择有经验、有实力、社会信誉好的报告编制单位承担树木迁移专章及后续方案编制，确保本</w:t>
      </w:r>
      <w:r>
        <w:rPr>
          <w:rFonts w:hint="eastAsia" w:ascii="宋体" w:hAnsi="宋体" w:cs="宋体"/>
        </w:rPr>
        <w:t>项目</w:t>
      </w:r>
      <w:r>
        <w:rPr>
          <w:rFonts w:hint="eastAsia" w:ascii="宋体" w:hAnsi="宋体" w:eastAsia="宋体" w:cs="宋体"/>
          <w:sz w:val="24"/>
        </w:rPr>
        <w:t>能按期、优质、经济地完成。</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w:t>
      </w:r>
      <w:r>
        <w:rPr>
          <w:rFonts w:hint="eastAsia" w:ascii="宋体" w:hAnsi="宋体" w:cs="宋体"/>
        </w:rPr>
        <w:t>项目</w:t>
      </w:r>
      <w:r>
        <w:rPr>
          <w:rFonts w:hint="eastAsia" w:ascii="宋体" w:hAnsi="宋体" w:eastAsia="宋体" w:cs="宋体"/>
          <w:sz w:val="24"/>
        </w:rPr>
        <w:t>概况：</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2.2.1</w:t>
      </w:r>
      <w:r>
        <w:rPr>
          <w:rFonts w:hint="eastAsia" w:ascii="宋体" w:hAnsi="宋体" w:cs="宋体"/>
        </w:rPr>
        <w:t>项目</w:t>
      </w:r>
      <w:r>
        <w:rPr>
          <w:rFonts w:hint="eastAsia" w:ascii="宋体" w:hAnsi="宋体" w:eastAsia="宋体" w:cs="宋体"/>
          <w:sz w:val="24"/>
        </w:rPr>
        <w:t>名称：见投标须知前附表第1项。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2.2.2建设地点：见投标须知前附表第2项。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2.2.3建设规模：见投标须知前附表第3项。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2.2.4投资概算：见投标须知前附表第4项。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2.2.5服务目标：见投标须知前附表第5项。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2.3招标范围及服务期及专业配套要求</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2.3.1 本招标项目的招标范围：见投标须知前附表第6项。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2.3.2 本招标项目的报告编制服务期要求：见投标须知前附表第7项。</w:t>
      </w:r>
    </w:p>
    <w:p>
      <w:pPr>
        <w:spacing w:line="500" w:lineRule="exact"/>
        <w:ind w:left="-1" w:firstLine="480" w:firstLineChars="200"/>
        <w:rPr>
          <w:rFonts w:ascii="宋体" w:hAnsi="宋体" w:eastAsia="宋体" w:cs="宋体"/>
          <w:sz w:val="24"/>
        </w:rPr>
      </w:pPr>
      <w:r>
        <w:rPr>
          <w:rFonts w:hint="eastAsia" w:ascii="宋体" w:hAnsi="宋体" w:eastAsia="宋体" w:cs="宋体"/>
          <w:sz w:val="24"/>
        </w:rPr>
        <w:t>2.3.3 项目管理架构要求：见投标须知前附表第10项。</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3．资金来源</w:t>
      </w:r>
    </w:p>
    <w:p>
      <w:pPr>
        <w:spacing w:line="360" w:lineRule="auto"/>
        <w:ind w:firstLine="480" w:firstLineChars="200"/>
        <w:rPr>
          <w:rFonts w:ascii="宋体" w:hAnsi="宋体" w:eastAsia="宋体" w:cs="宋体"/>
          <w:sz w:val="24"/>
        </w:rPr>
      </w:pPr>
      <w:r>
        <w:rPr>
          <w:rFonts w:hint="eastAsia" w:ascii="宋体" w:hAnsi="宋体" w:eastAsia="宋体" w:cs="宋体"/>
          <w:sz w:val="24"/>
        </w:rPr>
        <w:t>本招标项目资金来源见投标须知前附表第8项。</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4．合格投标人的条件</w:t>
      </w:r>
    </w:p>
    <w:p>
      <w:pPr>
        <w:spacing w:line="360" w:lineRule="auto"/>
        <w:ind w:firstLine="480" w:firstLineChars="200"/>
        <w:rPr>
          <w:rFonts w:ascii="宋体" w:hAnsi="宋体" w:eastAsia="宋体" w:cs="宋体"/>
          <w:b/>
          <w:sz w:val="24"/>
        </w:rPr>
      </w:pPr>
      <w:r>
        <w:rPr>
          <w:rFonts w:hint="eastAsia" w:ascii="宋体" w:hAnsi="宋体" w:eastAsia="宋体" w:cs="宋体"/>
          <w:sz w:val="24"/>
        </w:rPr>
        <w:t>详见投标须知前附表第9项。</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5．踏勘现场</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sz w:val="24"/>
        </w:rPr>
      </w:pPr>
      <w:r>
        <w:rPr>
          <w:rFonts w:hint="eastAsia" w:ascii="宋体" w:hAnsi="宋体" w:eastAsia="宋体" w:cs="宋体"/>
          <w:sz w:val="24"/>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sz w:val="24"/>
        </w:rPr>
      </w:pPr>
      <w:r>
        <w:rPr>
          <w:rFonts w:hint="eastAsia" w:ascii="宋体" w:hAnsi="宋体" w:eastAsia="宋体" w:cs="宋体"/>
          <w:sz w:val="24"/>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6．投标费用</w:t>
      </w:r>
    </w:p>
    <w:p>
      <w:pPr>
        <w:spacing w:line="360" w:lineRule="auto"/>
        <w:ind w:firstLine="480" w:firstLineChars="200"/>
        <w:rPr>
          <w:rFonts w:ascii="宋体" w:hAnsi="宋体" w:eastAsia="宋体" w:cs="宋体"/>
          <w:sz w:val="24"/>
        </w:rPr>
      </w:pPr>
      <w:r>
        <w:rPr>
          <w:rFonts w:hint="eastAsia" w:ascii="宋体" w:hAnsi="宋体" w:eastAsia="宋体" w:cs="宋体"/>
          <w:sz w:val="24"/>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sz w:val="24"/>
        </w:rPr>
      </w:pPr>
      <w:r>
        <w:rPr>
          <w:rFonts w:hint="eastAsia" w:ascii="宋体" w:hAnsi="宋体" w:eastAsia="宋体" w:cs="宋体"/>
          <w:sz w:val="24"/>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sz w:val="24"/>
        </w:rPr>
      </w:pPr>
      <w:r>
        <w:rPr>
          <w:rFonts w:hint="eastAsia" w:ascii="宋体" w:hAnsi="宋体" w:eastAsia="宋体" w:cs="宋体"/>
          <w:b/>
          <w:sz w:val="24"/>
        </w:rPr>
        <w:t>（二）招标文件</w:t>
      </w:r>
    </w:p>
    <w:p>
      <w:pPr>
        <w:spacing w:line="360" w:lineRule="auto"/>
        <w:ind w:firstLine="482" w:firstLineChars="200"/>
        <w:outlineLvl w:val="3"/>
        <w:rPr>
          <w:rFonts w:ascii="宋体" w:hAnsi="宋体" w:eastAsia="宋体" w:cs="宋体"/>
          <w:b/>
          <w:sz w:val="24"/>
        </w:rPr>
      </w:pPr>
      <w:r>
        <w:rPr>
          <w:rFonts w:hint="eastAsia" w:ascii="宋体" w:hAnsi="宋体" w:eastAsia="宋体" w:cs="宋体"/>
          <w:b/>
          <w:sz w:val="24"/>
        </w:rPr>
        <w:t>7.招标文件的组成</w:t>
      </w:r>
    </w:p>
    <w:p>
      <w:pPr>
        <w:pStyle w:val="4"/>
        <w:widowControl/>
        <w:spacing w:after="0" w:line="360" w:lineRule="auto"/>
        <w:ind w:firstLine="480" w:firstLineChars="200"/>
        <w:rPr>
          <w:rFonts w:ascii="宋体" w:hAnsi="宋体" w:cs="宋体"/>
          <w:b/>
          <w:sz w:val="24"/>
          <w:szCs w:val="24"/>
        </w:rPr>
      </w:pPr>
      <w:r>
        <w:rPr>
          <w:rFonts w:hint="eastAsia" w:ascii="宋体" w:hAnsi="宋体" w:cs="宋体"/>
          <w:sz w:val="24"/>
          <w:szCs w:val="24"/>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1）投标须知及前附表</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2）</w:t>
      </w:r>
      <w:r>
        <w:rPr>
          <w:rFonts w:hint="eastAsia" w:ascii="黑体" w:hAnsi="宋体" w:eastAsia="黑体" w:cs="黑体"/>
          <w:sz w:val="24"/>
        </w:rPr>
        <w:t>项目需求书</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3）投标文件格式</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4）服务合同</w:t>
      </w:r>
    </w:p>
    <w:p>
      <w:pPr>
        <w:spacing w:line="360" w:lineRule="auto"/>
        <w:ind w:firstLine="480" w:firstLineChars="200"/>
        <w:rPr>
          <w:rFonts w:ascii="黑体" w:hAnsi="华文楷体" w:eastAsia="黑体" w:cs="黑体"/>
          <w:sz w:val="24"/>
        </w:rPr>
      </w:pPr>
      <w:r>
        <w:rPr>
          <w:rFonts w:hint="eastAsia" w:ascii="黑体" w:hAnsi="宋体" w:eastAsia="黑体" w:cs="黑体"/>
          <w:sz w:val="24"/>
        </w:rPr>
        <w:t>（</w:t>
      </w:r>
      <w:r>
        <w:rPr>
          <w:rFonts w:hint="eastAsia" w:ascii="黑体" w:hAnsi="华文楷体" w:eastAsia="黑体" w:cs="黑体"/>
          <w:sz w:val="24"/>
        </w:rPr>
        <w:t>5）评标办法</w:t>
      </w:r>
    </w:p>
    <w:p>
      <w:pPr>
        <w:spacing w:line="360" w:lineRule="auto"/>
        <w:ind w:firstLine="480" w:firstLineChars="200"/>
        <w:rPr>
          <w:rFonts w:ascii="宋体" w:hAnsi="宋体" w:eastAsia="宋体" w:cs="宋体"/>
          <w:sz w:val="24"/>
        </w:rPr>
      </w:pPr>
      <w:r>
        <w:rPr>
          <w:rFonts w:hint="eastAsia" w:ascii="黑体" w:hAnsi="宋体" w:eastAsia="黑体" w:cs="黑体"/>
          <w:sz w:val="24"/>
        </w:rPr>
        <w:t>（</w:t>
      </w:r>
      <w:r>
        <w:rPr>
          <w:rFonts w:hint="eastAsia" w:ascii="黑体" w:hAnsi="华文楷体" w:eastAsia="黑体" w:cs="黑体"/>
          <w:sz w:val="24"/>
        </w:rPr>
        <w:t>6）附件</w:t>
      </w:r>
    </w:p>
    <w:p>
      <w:pPr>
        <w:pStyle w:val="4"/>
        <w:widowControl/>
        <w:spacing w:after="0" w:line="360" w:lineRule="auto"/>
        <w:ind w:firstLine="480" w:firstLineChars="200"/>
        <w:rPr>
          <w:rFonts w:ascii="宋体" w:hAnsi="宋体" w:cs="宋体"/>
          <w:sz w:val="24"/>
          <w:szCs w:val="24"/>
        </w:rPr>
      </w:pPr>
      <w:r>
        <w:rPr>
          <w:rFonts w:hint="eastAsia" w:ascii="宋体" w:hAnsi="宋体" w:cs="宋体"/>
          <w:sz w:val="24"/>
          <w:szCs w:val="24"/>
        </w:rPr>
        <w:t>7.2除7.1内容外，招标人在提交投标文件截止时间</w:t>
      </w:r>
      <w:r>
        <w:rPr>
          <w:rFonts w:hint="eastAsia" w:ascii="宋体" w:hAnsi="宋体" w:cs="宋体"/>
          <w:b/>
          <w:sz w:val="24"/>
          <w:szCs w:val="24"/>
          <w:u w:val="single"/>
        </w:rPr>
        <w:t>3</w:t>
      </w:r>
      <w:r>
        <w:rPr>
          <w:rFonts w:hint="eastAsia" w:ascii="宋体" w:hAnsi="宋体" w:cs="宋体"/>
          <w:sz w:val="24"/>
          <w:szCs w:val="24"/>
        </w:rPr>
        <w:t>天前，以书面形式发出的对招标文件的澄清或修改内容，均为招标文件的组成部分，对招标人和投标人起约束作用。</w:t>
      </w:r>
    </w:p>
    <w:p>
      <w:pPr>
        <w:pStyle w:val="4"/>
        <w:widowControl/>
        <w:spacing w:after="0" w:line="360" w:lineRule="auto"/>
        <w:ind w:firstLine="480" w:firstLineChars="200"/>
        <w:rPr>
          <w:rFonts w:ascii="宋体" w:hAnsi="宋体" w:cs="宋体"/>
          <w:sz w:val="24"/>
          <w:szCs w:val="24"/>
        </w:rPr>
      </w:pPr>
      <w:r>
        <w:rPr>
          <w:rFonts w:hint="eastAsia" w:ascii="宋体" w:hAnsi="宋体" w:cs="宋体"/>
          <w:sz w:val="24"/>
          <w:szCs w:val="24"/>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sz w:val="24"/>
        </w:rPr>
      </w:pPr>
      <w:r>
        <w:rPr>
          <w:rFonts w:hint="eastAsia" w:ascii="宋体" w:hAnsi="宋体" w:cs="宋体"/>
          <w:b/>
          <w:sz w:val="24"/>
        </w:rPr>
        <w:t>8．招标答疑</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8.3答疑会会议纪要为招标文件的一部分。</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8.4若招标答疑会会议纪要与招标文件有矛盾，以答疑会议纪要最后发出的书面文件为准。</w:t>
      </w:r>
    </w:p>
    <w:p>
      <w:pPr>
        <w:spacing w:line="360" w:lineRule="auto"/>
        <w:ind w:firstLine="482" w:firstLineChars="200"/>
        <w:outlineLvl w:val="3"/>
        <w:rPr>
          <w:rFonts w:ascii="宋体" w:hAnsi="宋体" w:cs="宋体"/>
          <w:b/>
          <w:sz w:val="24"/>
        </w:rPr>
      </w:pPr>
      <w:r>
        <w:rPr>
          <w:rFonts w:hint="eastAsia" w:ascii="宋体" w:hAnsi="宋体" w:cs="宋体"/>
          <w:b/>
          <w:sz w:val="24"/>
        </w:rPr>
        <w:t>9.招标文件的澄清与修改</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9.1招标文件发出后,在提交投标文件截止时间</w:t>
      </w:r>
      <w:r>
        <w:rPr>
          <w:rFonts w:hint="eastAsia" w:ascii="宋体" w:hAnsi="宋体" w:cs="宋体"/>
          <w:b/>
          <w:sz w:val="24"/>
          <w:szCs w:val="24"/>
          <w:u w:val="single"/>
        </w:rPr>
        <w:t>3</w:t>
      </w:r>
      <w:r>
        <w:rPr>
          <w:rFonts w:hint="eastAsia" w:ascii="宋体" w:hAnsi="宋体" w:cs="宋体"/>
          <w:sz w:val="24"/>
          <w:szCs w:val="24"/>
        </w:rPr>
        <w:t>日前，招标人可对招标文件进行必要的澄清或修改。</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9.2招标文件的修改将以书面形式发送给所有投标人，投标人应于收到该修改文件后24小时内，以书面形式给予确认，招标文件的修改内容作为招标文件的组成部分，具有约束作用。</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9.3招标文件的澄清、修改、补充等内容均以书面形式明确的内容为准。当招标文件的澄清、修改、补充等在同一内容的表述不一致时，以最后发出的书面文件为准。</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widowControl/>
        <w:spacing w:beforeAutospacing="0" w:after="0" w:line="360" w:lineRule="auto"/>
        <w:ind w:firstLine="482" w:firstLineChars="200"/>
        <w:outlineLvl w:val="2"/>
        <w:rPr>
          <w:rFonts w:ascii="宋体" w:hAnsi="宋体" w:cs="宋体"/>
          <w:b/>
          <w:sz w:val="24"/>
          <w:szCs w:val="24"/>
        </w:rPr>
      </w:pPr>
      <w:r>
        <w:rPr>
          <w:rFonts w:hint="eastAsia" w:ascii="宋体" w:hAnsi="宋体" w:cs="宋体"/>
          <w:b/>
          <w:sz w:val="24"/>
          <w:szCs w:val="24"/>
        </w:rPr>
        <w:t>（三）投标文件的编制</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10．投标文件的语言及度量衡单位</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10.1 投标文件和与投标有关的所有文件均应使用</w:t>
      </w:r>
      <w:r>
        <w:rPr>
          <w:rFonts w:hint="eastAsia" w:ascii="宋体" w:hAnsi="宋体" w:cs="宋体"/>
          <w:sz w:val="24"/>
          <w:szCs w:val="24"/>
          <w:u w:val="single"/>
        </w:rPr>
        <w:t>中文</w:t>
      </w:r>
      <w:r>
        <w:rPr>
          <w:rFonts w:hint="eastAsia" w:ascii="宋体" w:hAnsi="宋体" w:cs="宋体"/>
          <w:sz w:val="24"/>
          <w:szCs w:val="24"/>
        </w:rPr>
        <w:t>。</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10.2 除项目规范另有规定外，投标文件使用的度量衡单位，均采用中华人民共和国法定计量单位。</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11．投标文件的组成</w:t>
      </w:r>
    </w:p>
    <w:p>
      <w:pPr>
        <w:spacing w:line="360" w:lineRule="auto"/>
        <w:ind w:firstLine="480" w:firstLineChars="200"/>
        <w:rPr>
          <w:rFonts w:ascii="宋体" w:hAnsi="宋体" w:eastAsia="宋体" w:cs="宋体"/>
          <w:sz w:val="24"/>
        </w:rPr>
      </w:pPr>
      <w:r>
        <w:rPr>
          <w:rFonts w:hint="eastAsia" w:ascii="宋体" w:hAnsi="宋体" w:eastAsia="宋体" w:cs="宋体"/>
          <w:sz w:val="24"/>
        </w:rPr>
        <w:t>11.1投标文件目录。</w:t>
      </w:r>
    </w:p>
    <w:p>
      <w:pPr>
        <w:spacing w:line="360" w:lineRule="auto"/>
        <w:ind w:firstLine="480" w:firstLineChars="200"/>
        <w:rPr>
          <w:rFonts w:ascii="宋体" w:hAnsi="宋体" w:eastAsia="宋体" w:cs="宋体"/>
          <w:sz w:val="24"/>
        </w:rPr>
      </w:pPr>
      <w:r>
        <w:rPr>
          <w:rFonts w:hint="eastAsia" w:ascii="宋体" w:hAnsi="宋体" w:eastAsia="宋体" w:cs="宋体"/>
          <w:sz w:val="24"/>
        </w:rPr>
        <w:t>11.2投标函（按招标文件第3章格式填写）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11.3服务承诺书（按招标文件第3章格式填写）。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11.5公司法人营业执照及资质证书复印件。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11.6项目负责人职称证复印件。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11.7人员到位承诺书（按招标文件第3章格式填写）；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11.8投标人综合概况（按招标文件第3章格式填写）；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11.9企业自2017年1月1日至今企业承担的同类项目（按招标文件第3章格式填写）；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11.10参与本项目的人员一览表及证明文件（按招标文件第3章格式填写）；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11.11项目负责人相关经验及业绩（按招标文件第3章格式填写）；</w:t>
      </w:r>
    </w:p>
    <w:p>
      <w:pPr>
        <w:spacing w:line="360" w:lineRule="auto"/>
        <w:ind w:firstLine="480" w:firstLineChars="200"/>
        <w:rPr>
          <w:rFonts w:ascii="宋体" w:hAnsi="宋体" w:eastAsia="宋体" w:cs="宋体"/>
          <w:sz w:val="24"/>
        </w:rPr>
      </w:pPr>
      <w:r>
        <w:rPr>
          <w:rFonts w:hint="eastAsia" w:ascii="宋体" w:hAnsi="宋体" w:eastAsia="宋体" w:cs="宋体"/>
          <w:sz w:val="24"/>
        </w:rPr>
        <w:t>11.12报价表。</w:t>
      </w:r>
    </w:p>
    <w:p>
      <w:pPr>
        <w:spacing w:line="360" w:lineRule="auto"/>
        <w:ind w:firstLine="480" w:firstLineChars="200"/>
        <w:rPr>
          <w:rFonts w:ascii="宋体" w:hAnsi="宋体" w:eastAsia="宋体" w:cs="宋体"/>
          <w:sz w:val="24"/>
        </w:rPr>
      </w:pPr>
      <w:r>
        <w:rPr>
          <w:rFonts w:hint="eastAsia" w:ascii="宋体" w:hAnsi="宋体" w:eastAsia="宋体" w:cs="宋体"/>
          <w:sz w:val="24"/>
        </w:rPr>
        <w:t>11.13技术标文件（独立成册）。</w:t>
      </w:r>
    </w:p>
    <w:p>
      <w:pPr>
        <w:pStyle w:val="8"/>
        <w:ind w:firstLine="480" w:firstLineChars="200"/>
        <w:rPr>
          <w:rFonts w:hint="default"/>
        </w:rPr>
      </w:pPr>
      <w:r>
        <w:rPr>
          <w:rFonts w:hAnsi="宋体" w:cs="宋体"/>
          <w:sz w:val="24"/>
        </w:rPr>
        <w:t>11.14 投标文件电子版（刻录光盘或提供U盘）</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12．投标文件格式</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12.1 投标文件包括本须知第11条中规定的内容，投标人提交的投标文件应当使用招标文件所提供的投标格式文件的格式（表格可以按同样格式扩展）。</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13．投标报价</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13.1 本次投标报价采用投标须知前附表第14项所规定的方式。</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13.2 投标人的投标报价，应是完成本须知第2.3款和合同条款所列招标项目服务范围的全部内容为计算投标报价基础。</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13.3投标报价方式：投标单位自行报价（投标总报价不能超过限价，否则按废标处理）。（小数点后保留二位小数，第三位小数四舍五入）</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14．投标货币</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14.1 本次投标报价采用的币种为</w:t>
      </w:r>
      <w:r>
        <w:rPr>
          <w:rFonts w:hint="eastAsia" w:ascii="宋体" w:hAnsi="宋体" w:cs="宋体"/>
          <w:b/>
          <w:sz w:val="24"/>
          <w:szCs w:val="24"/>
        </w:rPr>
        <w:t>人民币</w:t>
      </w:r>
      <w:r>
        <w:rPr>
          <w:rFonts w:hint="eastAsia" w:ascii="宋体" w:hAnsi="宋体" w:cs="宋体"/>
          <w:sz w:val="24"/>
          <w:szCs w:val="24"/>
        </w:rPr>
        <w:t>。</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15．投标有效期</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15.1 投标有效期见投标须知前附表第15项所规定的期限，在此期限内，凡符合本招标文件要求的投标文件均保持有效。</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16．投标保证金</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本项目不要求递交投标保证金。</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17．投标文件的份数和签署</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17.1 投标人应按投标须知前附表第17项规定的份数提交投标文件。</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17.4 除投标人对错误处须修改外，全套投标文件应无涂改或行间插字和增删。如有修改，修改处应盖校对章或法定代表人签字（或盖私章）或委托代理人签字（或盖私章），并加盖单位公章。</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4"/>
        <w:widowControl/>
        <w:spacing w:beforeAutospacing="0" w:after="0" w:line="360" w:lineRule="auto"/>
        <w:ind w:firstLine="480" w:firstLineChars="200"/>
        <w:rPr>
          <w:rFonts w:ascii="宋体" w:hAnsi="宋体" w:cs="宋体"/>
          <w:sz w:val="24"/>
          <w:szCs w:val="24"/>
        </w:rPr>
      </w:pPr>
      <w:r>
        <w:rPr>
          <w:rFonts w:hint="eastAsia" w:ascii="宋体" w:hAnsi="宋体" w:cs="宋体"/>
          <w:sz w:val="24"/>
          <w:szCs w:val="24"/>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sz w:val="24"/>
        </w:rPr>
      </w:pPr>
      <w:r>
        <w:rPr>
          <w:rFonts w:hint="eastAsia" w:ascii="宋体" w:hAnsi="宋体" w:cs="宋体"/>
          <w:b/>
          <w:sz w:val="24"/>
        </w:rPr>
        <w:t>（四）投标文件的提交</w:t>
      </w:r>
    </w:p>
    <w:p>
      <w:pPr>
        <w:pStyle w:val="4"/>
        <w:widowControl/>
        <w:spacing w:beforeAutospacing="0" w:after="0" w:line="360" w:lineRule="auto"/>
        <w:ind w:firstLine="482" w:firstLineChars="200"/>
        <w:outlineLvl w:val="3"/>
        <w:rPr>
          <w:rFonts w:ascii="宋体" w:hAnsi="宋体" w:cs="宋体"/>
          <w:b/>
          <w:sz w:val="24"/>
          <w:szCs w:val="24"/>
        </w:rPr>
      </w:pPr>
      <w:r>
        <w:rPr>
          <w:rFonts w:hint="eastAsia" w:ascii="宋体" w:hAnsi="宋体" w:cs="宋体"/>
          <w:b/>
          <w:sz w:val="24"/>
          <w:szCs w:val="24"/>
        </w:rPr>
        <w:t>18．投标文件的包封、密封和标记</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18.1 投标文件的包封要求：商务标正本（1本）、副本（4本）一起包封；技术标正本（1本）、副本（4本）一起包封。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18.2投标文件的密封要求：投标人应确保密闭封装、并加盖骑缝公章。</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18.3投标文件的标记要求：每个包封上应具有以下标记：</w:t>
      </w:r>
    </w:p>
    <w:p>
      <w:pPr>
        <w:snapToGrid w:val="0"/>
        <w:spacing w:line="360" w:lineRule="auto"/>
        <w:ind w:left="1" w:hanging="1"/>
        <w:rPr>
          <w:rFonts w:ascii="宋体" w:hAnsi="宋体" w:eastAsia="宋体" w:cs="宋体"/>
          <w:sz w:val="24"/>
          <w:u w:val="single"/>
        </w:rPr>
      </w:pPr>
      <w:r>
        <w:rPr>
          <w:rFonts w:hint="eastAsia" w:ascii="宋体" w:hAnsi="宋体" w:eastAsia="宋体" w:cs="宋体"/>
          <w:sz w:val="24"/>
        </w:rPr>
        <w:t xml:space="preserve">    18.3.1招标人的名称和地址：</w:t>
      </w:r>
      <w:r>
        <w:rPr>
          <w:rFonts w:hint="eastAsia" w:ascii="宋体" w:hAnsi="宋体" w:eastAsia="宋体" w:cs="宋体"/>
          <w:sz w:val="24"/>
          <w:u w:val="single"/>
        </w:rPr>
        <w:t xml:space="preserve">          /           </w:t>
      </w:r>
    </w:p>
    <w:p>
      <w:pPr>
        <w:snapToGrid w:val="0"/>
        <w:spacing w:line="360" w:lineRule="auto"/>
        <w:ind w:left="1" w:hanging="1"/>
        <w:rPr>
          <w:rFonts w:ascii="宋体" w:hAnsi="宋体" w:eastAsia="宋体" w:cs="宋体"/>
          <w:sz w:val="24"/>
        </w:rPr>
      </w:pPr>
      <w:r>
        <w:rPr>
          <w:rFonts w:hint="eastAsia" w:ascii="宋体" w:hAnsi="宋体" w:eastAsia="宋体" w:cs="宋体"/>
          <w:sz w:val="24"/>
        </w:rPr>
        <w:t xml:space="preserve">    18.3.2 </w:t>
      </w:r>
      <w:r>
        <w:rPr>
          <w:rFonts w:hint="eastAsia" w:ascii="宋体" w:hAnsi="宋体" w:eastAsia="宋体" w:cs="宋体"/>
          <w:sz w:val="24"/>
          <w:u w:val="single"/>
        </w:rPr>
        <w:t xml:space="preserve">                 /                      </w:t>
      </w:r>
      <w:r>
        <w:rPr>
          <w:rFonts w:hint="eastAsia" w:ascii="宋体" w:hAnsi="宋体" w:eastAsia="宋体" w:cs="宋体"/>
          <w:sz w:val="24"/>
        </w:rPr>
        <w:t>项目</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18.3.3</w:t>
      </w:r>
      <w:r>
        <w:rPr>
          <w:rFonts w:hint="eastAsia" w:ascii="宋体" w:hAnsi="宋体" w:eastAsia="宋体" w:cs="宋体"/>
          <w:sz w:val="24"/>
          <w:u w:val="single"/>
        </w:rPr>
        <w:t xml:space="preserve">             /       </w:t>
      </w:r>
      <w:r>
        <w:rPr>
          <w:rFonts w:hint="eastAsia" w:ascii="宋体" w:hAnsi="宋体" w:eastAsia="宋体" w:cs="宋体"/>
          <w:sz w:val="24"/>
        </w:rPr>
        <w:t>前不得开封（填入前附表第19项所述日期及时间）</w:t>
      </w:r>
    </w:p>
    <w:p>
      <w:pPr>
        <w:snapToGrid w:val="0"/>
        <w:spacing w:line="360" w:lineRule="auto"/>
        <w:ind w:left="1" w:hanging="1"/>
        <w:rPr>
          <w:rFonts w:ascii="宋体" w:hAnsi="宋体" w:eastAsia="宋体" w:cs="宋体"/>
          <w:sz w:val="24"/>
        </w:rPr>
      </w:pPr>
      <w:r>
        <w:rPr>
          <w:rFonts w:hint="eastAsia" w:ascii="宋体" w:hAnsi="宋体" w:eastAsia="宋体" w:cs="宋体"/>
          <w:sz w:val="24"/>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18.5如果包封上没有按上述规定密封并加写标志，招标人将不承担投标文件错放或提前开封的责任，由此造成的提前开封的投标文件，招标人予以拒绝，并退还给投标人。</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19．投标</w:t>
      </w:r>
      <w:r>
        <w:rPr>
          <w:rFonts w:hint="eastAsia" w:ascii="宋体" w:hAnsi="宋体" w:cs="宋体"/>
          <w:b/>
          <w:sz w:val="24"/>
          <w:szCs w:val="24"/>
        </w:rPr>
        <w:t>文件</w:t>
      </w:r>
      <w:r>
        <w:rPr>
          <w:rFonts w:hint="eastAsia" w:ascii="宋体" w:hAnsi="宋体" w:cs="宋体"/>
          <w:b/>
          <w:sz w:val="24"/>
        </w:rPr>
        <w:t>的提交</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19.2投标文件提交人在提交投标文件时应出示法定代表人证明书（原件）、法定代表人授权委托证明书（原件）及本人身份证（原件）提交投标文件。</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20．投标文件提交的截止时间</w:t>
      </w:r>
    </w:p>
    <w:p>
      <w:pPr>
        <w:spacing w:line="360" w:lineRule="auto"/>
        <w:ind w:firstLine="480" w:firstLineChars="200"/>
        <w:rPr>
          <w:rFonts w:ascii="宋体" w:hAnsi="宋体" w:eastAsia="宋体" w:cs="宋体"/>
          <w:b/>
          <w:sz w:val="24"/>
        </w:rPr>
      </w:pPr>
      <w:r>
        <w:rPr>
          <w:rFonts w:hint="eastAsia" w:ascii="宋体" w:hAnsi="宋体" w:eastAsia="宋体" w:cs="宋体"/>
          <w:sz w:val="24"/>
        </w:rPr>
        <w:t>20.1投标人应按前附表第18项所述的地点、日期和时间将投标文件提交给招标人。</w:t>
      </w:r>
    </w:p>
    <w:p>
      <w:pPr>
        <w:spacing w:line="360" w:lineRule="auto"/>
        <w:ind w:firstLine="480" w:firstLineChars="200"/>
        <w:rPr>
          <w:rFonts w:ascii="宋体" w:hAnsi="宋体" w:eastAsia="宋体" w:cs="宋体"/>
          <w:sz w:val="24"/>
        </w:rPr>
      </w:pPr>
      <w:r>
        <w:rPr>
          <w:rFonts w:hint="eastAsia" w:ascii="宋体" w:hAnsi="宋体" w:eastAsia="宋体" w:cs="宋体"/>
          <w:sz w:val="24"/>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sz w:val="24"/>
        </w:rPr>
      </w:pPr>
      <w:r>
        <w:rPr>
          <w:rFonts w:hint="eastAsia" w:ascii="宋体" w:hAnsi="宋体" w:eastAsia="宋体" w:cs="宋体"/>
          <w:sz w:val="24"/>
        </w:rPr>
        <w:t>20.3 到投标截止时间止，招标人收到的投标文件少于3家的，招标人将依法重新选择邀请单位重新组织招标，三次招标仍少于三家投标单位则由投标人自行指定服务单位承接该项目。</w:t>
      </w:r>
    </w:p>
    <w:p>
      <w:pPr>
        <w:pStyle w:val="4"/>
        <w:widowControl/>
        <w:spacing w:beforeAutospacing="0" w:after="0" w:line="360" w:lineRule="auto"/>
        <w:ind w:firstLine="482" w:firstLineChars="200"/>
        <w:outlineLvl w:val="3"/>
        <w:rPr>
          <w:rFonts w:ascii="宋体" w:hAnsi="宋体" w:cs="宋体"/>
          <w:sz w:val="24"/>
        </w:rPr>
      </w:pPr>
      <w:r>
        <w:rPr>
          <w:rFonts w:hint="eastAsia" w:ascii="宋体" w:hAnsi="宋体" w:cs="宋体"/>
          <w:b/>
          <w:sz w:val="24"/>
        </w:rPr>
        <w:t>21．迟交的投标文件</w:t>
      </w:r>
    </w:p>
    <w:p>
      <w:pPr>
        <w:spacing w:line="360" w:lineRule="auto"/>
        <w:ind w:firstLine="480" w:firstLineChars="200"/>
        <w:rPr>
          <w:rFonts w:ascii="宋体" w:hAnsi="宋体" w:eastAsia="宋体" w:cs="宋体"/>
          <w:sz w:val="24"/>
        </w:rPr>
      </w:pPr>
      <w:r>
        <w:rPr>
          <w:rFonts w:hint="eastAsia" w:ascii="宋体" w:hAnsi="宋体" w:eastAsia="宋体" w:cs="宋体"/>
          <w:sz w:val="24"/>
        </w:rPr>
        <w:t>21.1 招标人在本须知第19条规定的投标截止时间以后收到的投标文件，将被拒绝并退回给投标人。</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22．投标文件的补充、修改与撤回</w:t>
      </w:r>
    </w:p>
    <w:p>
      <w:pPr>
        <w:spacing w:line="360" w:lineRule="auto"/>
        <w:ind w:firstLine="480" w:firstLineChars="200"/>
        <w:rPr>
          <w:rFonts w:ascii="宋体" w:hAnsi="宋体" w:eastAsia="宋体" w:cs="宋体"/>
          <w:sz w:val="24"/>
        </w:rPr>
      </w:pPr>
      <w:r>
        <w:rPr>
          <w:rFonts w:hint="eastAsia" w:ascii="宋体" w:hAnsi="宋体" w:eastAsia="宋体" w:cs="宋体"/>
          <w:sz w:val="24"/>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sz w:val="24"/>
        </w:rPr>
      </w:pPr>
      <w:r>
        <w:rPr>
          <w:rFonts w:hint="eastAsia" w:ascii="宋体" w:hAnsi="宋体" w:eastAsia="宋体" w:cs="宋体"/>
          <w:sz w:val="24"/>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sz w:val="24"/>
        </w:rPr>
      </w:pPr>
      <w:r>
        <w:rPr>
          <w:rFonts w:hint="eastAsia" w:ascii="宋体" w:hAnsi="宋体" w:eastAsia="宋体" w:cs="宋体"/>
          <w:sz w:val="24"/>
        </w:rPr>
        <w:t>22.3 在投标截止时间之后，投标人不得补充、修改投标文件。</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（五）开标</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24．开标</w:t>
      </w:r>
    </w:p>
    <w:p>
      <w:pPr>
        <w:spacing w:line="360" w:lineRule="auto"/>
        <w:ind w:firstLine="480" w:firstLineChars="200"/>
        <w:rPr>
          <w:rFonts w:ascii="宋体" w:hAnsi="宋体" w:eastAsia="宋体" w:cs="宋体"/>
          <w:sz w:val="24"/>
        </w:rPr>
      </w:pPr>
      <w:r>
        <w:rPr>
          <w:rFonts w:hint="eastAsia" w:ascii="宋体" w:hAnsi="宋体" w:eastAsia="宋体" w:cs="宋体"/>
          <w:sz w:val="24"/>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sz w:val="24"/>
        </w:rPr>
      </w:pPr>
      <w:r>
        <w:rPr>
          <w:rFonts w:hint="eastAsia" w:ascii="宋体" w:hAnsi="宋体" w:eastAsia="宋体" w:cs="宋体"/>
          <w:sz w:val="24"/>
        </w:rPr>
        <w:t>24.2 按规定提交合格的撤回通知的投标文件不予开封，并退回给投标人；</w:t>
      </w:r>
    </w:p>
    <w:p>
      <w:pPr>
        <w:spacing w:line="360" w:lineRule="auto"/>
        <w:ind w:firstLine="480" w:firstLineChars="200"/>
        <w:rPr>
          <w:rFonts w:ascii="宋体" w:hAnsi="宋体" w:eastAsia="宋体" w:cs="宋体"/>
          <w:sz w:val="24"/>
        </w:rPr>
      </w:pPr>
      <w:r>
        <w:rPr>
          <w:rFonts w:hint="eastAsia" w:ascii="宋体" w:hAnsi="宋体" w:eastAsia="宋体" w:cs="宋体"/>
          <w:sz w:val="24"/>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sz w:val="24"/>
        </w:rPr>
      </w:pPr>
      <w:r>
        <w:rPr>
          <w:rFonts w:hint="eastAsia" w:ascii="宋体" w:hAnsi="宋体" w:eastAsia="宋体" w:cs="宋体"/>
          <w:sz w:val="24"/>
        </w:rPr>
        <w:t>24.4开标程序：</w:t>
      </w:r>
    </w:p>
    <w:p>
      <w:pPr>
        <w:spacing w:line="360" w:lineRule="auto"/>
        <w:ind w:firstLine="480" w:firstLineChars="200"/>
        <w:rPr>
          <w:rFonts w:ascii="宋体" w:hAnsi="宋体" w:eastAsia="宋体" w:cs="宋体"/>
          <w:sz w:val="24"/>
        </w:rPr>
      </w:pPr>
      <w:r>
        <w:rPr>
          <w:rFonts w:hint="eastAsia" w:ascii="宋体" w:hAnsi="宋体" w:eastAsia="宋体" w:cs="宋体"/>
          <w:sz w:val="24"/>
        </w:rPr>
        <w:t>1）开标由招标人主持；</w:t>
      </w:r>
    </w:p>
    <w:p>
      <w:pPr>
        <w:spacing w:line="360" w:lineRule="auto"/>
        <w:ind w:firstLine="480" w:firstLineChars="200"/>
        <w:rPr>
          <w:rFonts w:ascii="宋体" w:hAnsi="宋体" w:eastAsia="宋体" w:cs="宋体"/>
          <w:sz w:val="24"/>
        </w:rPr>
      </w:pPr>
      <w:r>
        <w:rPr>
          <w:rFonts w:hint="eastAsia" w:ascii="宋体" w:hAnsi="宋体" w:eastAsia="宋体" w:cs="宋体"/>
          <w:sz w:val="24"/>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sz w:val="24"/>
        </w:rPr>
      </w:pPr>
      <w:r>
        <w:rPr>
          <w:rFonts w:hint="eastAsia" w:ascii="宋体" w:hAnsi="宋体" w:eastAsia="宋体" w:cs="宋体"/>
          <w:sz w:val="24"/>
        </w:rPr>
        <w:t>3）经确认无误后，由有关工作人员公布下列内容：a.法定代表人证明及授权委托；b.</w:t>
      </w:r>
      <w:r>
        <w:rPr>
          <w:rFonts w:hint="eastAsia" w:ascii="宋体" w:hAnsi="宋体" w:eastAsia="宋体" w:cs="宋体"/>
          <w:szCs w:val="21"/>
        </w:rPr>
        <w:t xml:space="preserve"> </w:t>
      </w:r>
      <w:r>
        <w:rPr>
          <w:rFonts w:hint="eastAsia" w:ascii="宋体" w:hAnsi="宋体" w:eastAsia="宋体" w:cs="宋体"/>
          <w:sz w:val="24"/>
        </w:rPr>
        <w:t>标书密封情况；c.投标报价；d.服务期；e. 质量目标；f.项目负责人等主要内容。</w:t>
      </w:r>
    </w:p>
    <w:p>
      <w:pPr>
        <w:spacing w:line="360" w:lineRule="auto"/>
        <w:ind w:firstLine="480" w:firstLineChars="200"/>
        <w:rPr>
          <w:rFonts w:ascii="宋体" w:hAnsi="宋体" w:eastAsia="宋体" w:cs="宋体"/>
          <w:sz w:val="24"/>
        </w:rPr>
      </w:pPr>
      <w:r>
        <w:rPr>
          <w:rFonts w:hint="eastAsia" w:ascii="宋体" w:hAnsi="宋体" w:eastAsia="宋体" w:cs="宋体"/>
          <w:sz w:val="24"/>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24.6 投标文件有下列情形之一的，招标人不予受理：</w:t>
      </w:r>
    </w:p>
    <w:p>
      <w:pPr>
        <w:spacing w:line="360" w:lineRule="auto"/>
        <w:ind w:firstLine="480" w:firstLineChars="200"/>
        <w:rPr>
          <w:rFonts w:ascii="宋体" w:hAnsi="宋体" w:eastAsia="宋体" w:cs="宋体"/>
          <w:sz w:val="24"/>
        </w:rPr>
      </w:pPr>
      <w:r>
        <w:rPr>
          <w:rFonts w:hint="eastAsia" w:ascii="宋体" w:hAnsi="宋体" w:eastAsia="宋体" w:cs="宋体"/>
          <w:sz w:val="24"/>
        </w:rPr>
        <w:t>24.6.1逾期送达的或者未送达指定地点的；</w:t>
      </w:r>
    </w:p>
    <w:p>
      <w:pPr>
        <w:spacing w:line="360" w:lineRule="auto"/>
        <w:ind w:firstLine="480" w:firstLineChars="200"/>
        <w:rPr>
          <w:rFonts w:ascii="宋体" w:hAnsi="宋体" w:eastAsia="宋体" w:cs="宋体"/>
          <w:sz w:val="24"/>
        </w:rPr>
      </w:pPr>
      <w:r>
        <w:rPr>
          <w:rFonts w:hint="eastAsia" w:ascii="宋体" w:hAnsi="宋体" w:eastAsia="宋体" w:cs="宋体"/>
          <w:sz w:val="24"/>
        </w:rPr>
        <w:t>24.6.2未按招标文件要求密封的。</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24.7招标人将上述符合要求的投标文件，送至评标小组进行评审的。</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（六） 评标</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25．评标过程的保密</w:t>
      </w:r>
    </w:p>
    <w:p>
      <w:pPr>
        <w:spacing w:line="360" w:lineRule="auto"/>
        <w:ind w:firstLine="480" w:firstLineChars="200"/>
        <w:rPr>
          <w:rFonts w:ascii="宋体" w:hAnsi="宋体" w:eastAsia="宋体" w:cs="宋体"/>
          <w:sz w:val="24"/>
        </w:rPr>
      </w:pPr>
      <w:r>
        <w:rPr>
          <w:rFonts w:hint="eastAsia" w:ascii="宋体" w:hAnsi="宋体" w:eastAsia="宋体" w:cs="宋体"/>
          <w:sz w:val="24"/>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sz w:val="24"/>
        </w:rPr>
      </w:pPr>
      <w:r>
        <w:rPr>
          <w:rFonts w:hint="eastAsia" w:ascii="宋体" w:hAnsi="宋体" w:eastAsia="宋体" w:cs="宋体"/>
          <w:sz w:val="24"/>
        </w:rPr>
        <w:t>25.2 在投标文件的评审和比较、中标候选人推荐以及授予合同的过程中，投标人向招标人和评标小组施加影响的任何行为，都将会导致其投标被拒绝。</w:t>
      </w:r>
    </w:p>
    <w:p>
      <w:pPr>
        <w:spacing w:line="360" w:lineRule="auto"/>
        <w:ind w:firstLine="480" w:firstLineChars="200"/>
        <w:rPr>
          <w:rFonts w:ascii="宋体" w:hAnsi="宋体" w:eastAsia="宋体" w:cs="宋体"/>
          <w:sz w:val="24"/>
        </w:rPr>
      </w:pPr>
      <w:r>
        <w:rPr>
          <w:rFonts w:hint="eastAsia" w:ascii="宋体" w:hAnsi="宋体" w:eastAsia="宋体" w:cs="宋体"/>
          <w:sz w:val="24"/>
        </w:rPr>
        <w:t>25.3 中标人确定后，招标人不对未中标人就评标过程以及未能中标原因作出任何解释。未中标人不得向评标小组组成人员或其他有关人员索问评标过程的情况和材料。</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26．投标文件的澄清</w:t>
      </w:r>
    </w:p>
    <w:p>
      <w:pPr>
        <w:spacing w:line="360" w:lineRule="auto"/>
        <w:ind w:firstLine="480" w:firstLineChars="200"/>
        <w:rPr>
          <w:rFonts w:ascii="宋体" w:hAnsi="宋体" w:eastAsia="宋体" w:cs="宋体"/>
          <w:sz w:val="24"/>
        </w:rPr>
      </w:pPr>
      <w:r>
        <w:rPr>
          <w:rFonts w:hint="eastAsia" w:ascii="宋体" w:hAnsi="宋体" w:eastAsia="宋体" w:cs="宋体"/>
          <w:sz w:val="24"/>
        </w:rPr>
        <w:t>26.1 为有助于投标文件的审查、评价和比较，评标小组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sz w:val="24"/>
        </w:rPr>
      </w:pPr>
      <w:r>
        <w:rPr>
          <w:rFonts w:hint="eastAsia" w:ascii="宋体" w:hAnsi="宋体" w:eastAsia="宋体" w:cs="宋体"/>
          <w:sz w:val="24"/>
        </w:rPr>
        <w:t>26.2 如果投标文件实质上不响应招标文件的各项要求，评标小组将予以拒绝，并且不允许投标人通过修改或撤销其不符合要求的差异或保留，使之成为具有响应性的投标。</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27．投标文件的评审、比较和否决</w:t>
      </w:r>
    </w:p>
    <w:p>
      <w:pPr>
        <w:spacing w:line="360" w:lineRule="auto"/>
        <w:ind w:firstLine="480" w:firstLineChars="200"/>
        <w:rPr>
          <w:rFonts w:ascii="宋体" w:hAnsi="宋体" w:eastAsia="宋体" w:cs="宋体"/>
          <w:sz w:val="24"/>
        </w:rPr>
      </w:pPr>
      <w:r>
        <w:rPr>
          <w:rFonts w:hint="eastAsia" w:ascii="宋体" w:hAnsi="宋体" w:eastAsia="宋体" w:cs="宋体"/>
          <w:sz w:val="24"/>
        </w:rPr>
        <w:t>27.1 评标小组将按照本须知第26条规定，仅对在实质上响应招标文件要求的投标文件进行评审和比较。</w:t>
      </w:r>
    </w:p>
    <w:p>
      <w:pPr>
        <w:spacing w:line="360" w:lineRule="auto"/>
        <w:ind w:firstLine="480" w:firstLineChars="200"/>
        <w:rPr>
          <w:rFonts w:ascii="宋体" w:hAnsi="宋体" w:eastAsia="宋体" w:cs="宋体"/>
          <w:sz w:val="24"/>
        </w:rPr>
      </w:pPr>
      <w:r>
        <w:rPr>
          <w:rFonts w:hint="eastAsia" w:ascii="宋体" w:hAnsi="宋体" w:eastAsia="宋体" w:cs="宋体"/>
          <w:sz w:val="24"/>
        </w:rPr>
        <w:t>27.2 在评审过程中，评标小组可以以书面形式要求投标人就投标文件中含义不明确的内容进行书面说明并提供相关材料。</w:t>
      </w:r>
    </w:p>
    <w:p>
      <w:pPr>
        <w:spacing w:line="360" w:lineRule="auto"/>
        <w:ind w:firstLine="480" w:firstLineChars="200"/>
        <w:rPr>
          <w:rFonts w:ascii="宋体" w:hAnsi="宋体" w:eastAsia="宋体" w:cs="宋体"/>
          <w:sz w:val="24"/>
        </w:rPr>
      </w:pPr>
      <w:r>
        <w:rPr>
          <w:rFonts w:hint="eastAsia" w:ascii="宋体" w:hAnsi="宋体" w:eastAsia="宋体" w:cs="宋体"/>
          <w:sz w:val="24"/>
        </w:rPr>
        <w:t>27.3 评标小组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小组提出的书面评标报告和推荐的中标候选人中，按排序依法确定中标人。</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28．评标小组依据有关法律、法规和招标文件的规定对投标文件进行评审，经评定的有效投标人不足三名时，招标人应当依法重新组织招标。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sz w:val="24"/>
        </w:rPr>
      </w:pPr>
      <w:r>
        <w:rPr>
          <w:rFonts w:hint="eastAsia" w:ascii="宋体" w:hAnsi="宋体" w:eastAsia="宋体" w:cs="宋体"/>
          <w:b/>
          <w:sz w:val="24"/>
        </w:rPr>
        <w:t>（七）合同的授予</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29．合同授予标准</w:t>
      </w:r>
    </w:p>
    <w:p>
      <w:pPr>
        <w:spacing w:line="360" w:lineRule="auto"/>
        <w:ind w:firstLine="480" w:firstLineChars="200"/>
        <w:rPr>
          <w:rFonts w:ascii="宋体" w:hAnsi="宋体" w:eastAsia="宋体" w:cs="宋体"/>
          <w:sz w:val="24"/>
        </w:rPr>
      </w:pPr>
      <w:r>
        <w:rPr>
          <w:rFonts w:hint="eastAsia" w:ascii="宋体" w:hAnsi="宋体" w:eastAsia="宋体" w:cs="宋体"/>
          <w:sz w:val="24"/>
        </w:rPr>
        <w:t>29.1 本招标(项目)的报告编制合同将授予按本须知第27.3款所确定的中标人。</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30．招标人保留接受或拒绝任何某一投标或所有投标的权力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30.1 招标人不承诺将合同授予报价最低的投标人。招标人在发出中标通知书前，有权依据评标小组的评标报告拒绝不合格的投标。</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31．中标通知书</w:t>
      </w:r>
    </w:p>
    <w:p>
      <w:pPr>
        <w:spacing w:line="360" w:lineRule="auto"/>
        <w:ind w:firstLine="480" w:firstLineChars="200"/>
        <w:rPr>
          <w:rFonts w:ascii="宋体" w:hAnsi="宋体" w:eastAsia="宋体" w:cs="宋体"/>
          <w:sz w:val="24"/>
        </w:rPr>
      </w:pPr>
      <w:r>
        <w:rPr>
          <w:rFonts w:hint="eastAsia" w:ascii="宋体" w:hAnsi="宋体" w:eastAsia="宋体" w:cs="宋体"/>
          <w:sz w:val="24"/>
        </w:rPr>
        <w:t>31.1中标通知书经招标人确认，并由招标人颁发。</w:t>
      </w:r>
    </w:p>
    <w:p>
      <w:pPr>
        <w:spacing w:line="360" w:lineRule="auto"/>
        <w:ind w:firstLine="480" w:firstLineChars="200"/>
        <w:rPr>
          <w:rFonts w:ascii="宋体" w:hAnsi="宋体" w:eastAsia="宋体" w:cs="宋体"/>
          <w:sz w:val="24"/>
        </w:rPr>
      </w:pPr>
      <w:r>
        <w:rPr>
          <w:rFonts w:hint="eastAsia" w:ascii="宋体" w:hAnsi="宋体" w:eastAsia="宋体" w:cs="宋体"/>
          <w:sz w:val="24"/>
        </w:rPr>
        <w:t>31.2中标人必须在收到中标通知书后24小时之内以书面形式回复招标人，确认收到。</w:t>
      </w:r>
    </w:p>
    <w:p>
      <w:pPr>
        <w:pStyle w:val="4"/>
        <w:widowControl/>
        <w:spacing w:beforeAutospacing="0" w:after="0" w:line="360" w:lineRule="auto"/>
        <w:ind w:firstLine="482" w:firstLineChars="200"/>
        <w:outlineLvl w:val="3"/>
        <w:rPr>
          <w:rFonts w:ascii="宋体" w:hAnsi="宋体" w:cs="宋体"/>
          <w:b/>
          <w:sz w:val="24"/>
        </w:rPr>
      </w:pPr>
      <w:r>
        <w:rPr>
          <w:rFonts w:hint="eastAsia" w:ascii="宋体" w:hAnsi="宋体" w:cs="宋体"/>
          <w:b/>
          <w:sz w:val="24"/>
        </w:rPr>
        <w:t>32．合同协议书的签订</w:t>
      </w:r>
    </w:p>
    <w:p>
      <w:pPr>
        <w:spacing w:line="360" w:lineRule="auto"/>
        <w:ind w:firstLine="480" w:firstLineChars="200"/>
        <w:rPr>
          <w:rFonts w:ascii="宋体" w:hAnsi="宋体" w:eastAsia="宋体" w:cs="宋体"/>
          <w:sz w:val="24"/>
        </w:rPr>
      </w:pPr>
      <w:r>
        <w:rPr>
          <w:rFonts w:hint="eastAsia" w:ascii="宋体" w:hAnsi="宋体" w:eastAsia="宋体" w:cs="宋体"/>
          <w:sz w:val="24"/>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sz w:val="24"/>
        </w:rPr>
      </w:pPr>
      <w:r>
        <w:rPr>
          <w:rFonts w:hint="eastAsia" w:ascii="宋体" w:hAnsi="宋体" w:eastAsia="宋体" w:cs="宋体"/>
          <w:sz w:val="24"/>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sz w:val="24"/>
        </w:rPr>
      </w:pPr>
      <w:r>
        <w:rPr>
          <w:rFonts w:hint="eastAsia" w:ascii="宋体" w:hAnsi="宋体" w:eastAsia="宋体" w:cs="宋体"/>
          <w:sz w:val="24"/>
        </w:rPr>
        <w:t>32.3中标人在投标过程使用的投标人名称、银行名称和账号至项目完成竣工结算不得变更，否则，招标人有权停止树木迁移专章及后续方案编制款项的拨付及至解除合同，由此造成的一切责任由中标人承担。</w:t>
      </w:r>
    </w:p>
    <w:p>
      <w:pPr>
        <w:pStyle w:val="4"/>
        <w:widowControl/>
        <w:numPr>
          <w:ilvl w:val="0"/>
          <w:numId w:val="1"/>
        </w:numPr>
        <w:spacing w:beforeAutospacing="0" w:after="0" w:line="360" w:lineRule="auto"/>
        <w:ind w:firstLine="482" w:firstLineChars="200"/>
        <w:outlineLvl w:val="3"/>
        <w:rPr>
          <w:rFonts w:ascii="宋体" w:hAnsi="宋体" w:cs="宋体"/>
          <w:b/>
          <w:sz w:val="24"/>
        </w:rPr>
      </w:pPr>
      <w:r>
        <w:rPr>
          <w:rFonts w:hint="eastAsia" w:ascii="宋体" w:hAnsi="宋体" w:cs="宋体"/>
          <w:b/>
          <w:sz w:val="24"/>
        </w:rPr>
        <w:t>合同生效</w:t>
      </w:r>
    </w:p>
    <w:p>
      <w:pPr>
        <w:pStyle w:val="4"/>
        <w:widowControl/>
        <w:spacing w:beforeAutospacing="0" w:after="0" w:line="360" w:lineRule="auto"/>
        <w:ind w:firstLine="480" w:firstLineChars="200"/>
        <w:outlineLvl w:val="3"/>
        <w:rPr>
          <w:rFonts w:ascii="黑体" w:hAnsi="宋体" w:cs="黑体"/>
          <w:b/>
          <w:kern w:val="44"/>
          <w:sz w:val="44"/>
          <w:szCs w:val="44"/>
        </w:rPr>
      </w:pPr>
      <w:r>
        <w:rPr>
          <w:rFonts w:hint="eastAsia" w:ascii="宋体" w:hAnsi="宋体" w:cs="宋体"/>
          <w:sz w:val="24"/>
        </w:rPr>
        <w:t>33.1在合同双方全权代表在合同协议书上签字，并分别加盖双方单位的公章，合同正式生效。</w:t>
      </w:r>
      <w:bookmarkStart w:id="4" w:name="_Toc1632"/>
      <w:bookmarkStart w:id="5" w:name="_Toc27492"/>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rPr>
          <w:rFonts w:ascii="黑体" w:hAnsi="宋体" w:cs="黑体"/>
          <w:b/>
          <w:kern w:val="44"/>
          <w:sz w:val="44"/>
          <w:szCs w:val="44"/>
        </w:rPr>
      </w:pPr>
      <w:r>
        <w:rPr>
          <w:rFonts w:hint="eastAsia" w:ascii="黑体" w:hAnsi="宋体" w:cs="黑体"/>
          <w:b/>
          <w:kern w:val="44"/>
          <w:sz w:val="44"/>
          <w:szCs w:val="44"/>
        </w:rPr>
        <w:br w:type="page"/>
      </w:r>
    </w:p>
    <w:p>
      <w:pPr>
        <w:pStyle w:val="3"/>
        <w:widowControl/>
        <w:spacing w:before="0" w:after="0" w:line="360" w:lineRule="auto"/>
        <w:jc w:val="center"/>
        <w:rPr>
          <w:rFonts w:ascii="宋体" w:hAnsi="宋体" w:eastAsia="宋体" w:cs="宋体"/>
          <w:b/>
          <w:color w:val="auto"/>
          <w:sz w:val="30"/>
          <w:szCs w:val="30"/>
        </w:rPr>
      </w:pPr>
      <w:r>
        <w:rPr>
          <w:rFonts w:hint="eastAsia" w:ascii="黑体" w:hAnsi="宋体" w:cs="黑体"/>
          <w:b/>
          <w:color w:val="auto"/>
          <w:kern w:val="44"/>
          <w:sz w:val="44"/>
          <w:szCs w:val="44"/>
        </w:rPr>
        <w:t>第2章 项目需求书</w:t>
      </w:r>
      <w:bookmarkEnd w:id="4"/>
    </w:p>
    <w:p>
      <w:pPr>
        <w:spacing w:line="360" w:lineRule="auto"/>
        <w:rPr>
          <w:rFonts w:ascii="宋体" w:hAnsi="宋体"/>
          <w:b/>
          <w:sz w:val="28"/>
          <w:szCs w:val="28"/>
        </w:rPr>
      </w:pPr>
      <w:r>
        <w:rPr>
          <w:rFonts w:hint="eastAsia" w:ascii="宋体" w:hAnsi="宋体"/>
          <w:b/>
          <w:sz w:val="28"/>
          <w:szCs w:val="28"/>
        </w:rPr>
        <w:t>一、项目名称及项目概况</w:t>
      </w:r>
    </w:p>
    <w:p>
      <w:pPr>
        <w:spacing w:line="640" w:lineRule="exact"/>
        <w:ind w:firstLine="560" w:firstLineChars="200"/>
        <w:jc w:val="left"/>
        <w:rPr>
          <w:rFonts w:ascii="宋体" w:hAnsi="宋体"/>
          <w:sz w:val="28"/>
          <w:szCs w:val="28"/>
        </w:rPr>
      </w:pPr>
      <w:r>
        <w:rPr>
          <w:rFonts w:hint="eastAsia" w:ascii="宋体" w:hAnsi="宋体"/>
          <w:sz w:val="28"/>
          <w:szCs w:val="28"/>
        </w:rPr>
        <w:t>1、工程名称：广州市海防教育基地项目交通渡口码头工程文物保护影响评估报告编制</w:t>
      </w:r>
    </w:p>
    <w:p>
      <w:pPr>
        <w:spacing w:line="360" w:lineRule="auto"/>
        <w:ind w:firstLine="560" w:firstLineChars="200"/>
        <w:rPr>
          <w:rFonts w:ascii="宋体" w:hAnsi="宋体"/>
          <w:sz w:val="28"/>
          <w:szCs w:val="28"/>
        </w:rPr>
      </w:pPr>
      <w:r>
        <w:rPr>
          <w:rFonts w:hint="eastAsia" w:ascii="宋体" w:hAnsi="宋体"/>
          <w:sz w:val="28"/>
          <w:szCs w:val="28"/>
        </w:rPr>
        <w:t>2、工程地点：广州市南沙区</w:t>
      </w:r>
    </w:p>
    <w:p>
      <w:pPr>
        <w:spacing w:line="360" w:lineRule="auto"/>
        <w:ind w:firstLine="560" w:firstLineChars="200"/>
        <w:rPr>
          <w:rFonts w:ascii="宋体" w:hAnsi="宋体"/>
          <w:sz w:val="28"/>
          <w:szCs w:val="28"/>
        </w:rPr>
      </w:pPr>
      <w:r>
        <w:rPr>
          <w:rFonts w:hint="eastAsia" w:ascii="宋体" w:hAnsi="宋体"/>
          <w:sz w:val="28"/>
          <w:szCs w:val="28"/>
        </w:rPr>
        <w:t>3、建设单位： 广州南沙旅游发展有限公司</w:t>
      </w:r>
    </w:p>
    <w:p>
      <w:pPr>
        <w:spacing w:line="360" w:lineRule="auto"/>
        <w:ind w:firstLine="560" w:firstLineChars="200"/>
        <w:rPr>
          <w:rFonts w:ascii="宋体" w:hAnsi="宋体"/>
          <w:sz w:val="28"/>
          <w:szCs w:val="28"/>
        </w:rPr>
      </w:pPr>
      <w:r>
        <w:rPr>
          <w:rFonts w:hint="eastAsia" w:ascii="宋体" w:hAnsi="宋体"/>
          <w:sz w:val="28"/>
          <w:szCs w:val="28"/>
        </w:rPr>
        <w:t>4、工程概况：广州市海防教育基地项目交通渡口码头工程位于狮子洋西岸天后宫（大角山）沿岸、狮子洋中央上横档岛西岸、狮子洋中央下横档岛北岸。本工程的建设规模为三座渡口码头及其附属设施，天后宫（大角山）上、下横档岛各建设渡轮泊位</w:t>
      </w:r>
      <w:r>
        <w:rPr>
          <w:rFonts w:ascii="宋体" w:hAnsi="宋体"/>
          <w:sz w:val="28"/>
          <w:szCs w:val="28"/>
        </w:rPr>
        <w:t xml:space="preserve">1 </w:t>
      </w:r>
      <w:r>
        <w:rPr>
          <w:rFonts w:hint="eastAsia" w:ascii="宋体" w:hAnsi="宋体"/>
          <w:sz w:val="28"/>
          <w:szCs w:val="28"/>
        </w:rPr>
        <w:t>个，泊位长度均为</w:t>
      </w:r>
      <w:r>
        <w:rPr>
          <w:rFonts w:ascii="宋体" w:hAnsi="宋体"/>
          <w:sz w:val="28"/>
          <w:szCs w:val="28"/>
        </w:rPr>
        <w:t>53m</w:t>
      </w:r>
      <w:r>
        <w:rPr>
          <w:rFonts w:hint="eastAsia" w:ascii="宋体" w:hAnsi="宋体"/>
          <w:sz w:val="28"/>
          <w:szCs w:val="28"/>
        </w:rPr>
        <w:t>，总设计通过能力</w:t>
      </w:r>
      <w:r>
        <w:rPr>
          <w:rFonts w:ascii="宋体" w:hAnsi="宋体"/>
          <w:sz w:val="28"/>
          <w:szCs w:val="28"/>
        </w:rPr>
        <w:t xml:space="preserve">36 </w:t>
      </w:r>
      <w:r>
        <w:rPr>
          <w:rFonts w:hint="eastAsia" w:ascii="宋体" w:hAnsi="宋体"/>
          <w:sz w:val="28"/>
          <w:szCs w:val="28"/>
        </w:rPr>
        <w:t>万人次</w:t>
      </w:r>
      <w:r>
        <w:rPr>
          <w:rFonts w:ascii="宋体" w:hAnsi="宋体"/>
          <w:sz w:val="28"/>
          <w:szCs w:val="28"/>
        </w:rPr>
        <w:t>/</w:t>
      </w:r>
      <w:r>
        <w:rPr>
          <w:rFonts w:hint="eastAsia" w:ascii="宋体" w:hAnsi="宋体"/>
          <w:sz w:val="28"/>
          <w:szCs w:val="28"/>
        </w:rPr>
        <w:t>年。</w:t>
      </w:r>
      <w:r>
        <w:rPr>
          <w:rFonts w:ascii="宋体" w:hAnsi="宋体"/>
          <w:sz w:val="28"/>
          <w:szCs w:val="28"/>
        </w:rPr>
        <w:t xml:space="preserve"> </w:t>
      </w:r>
    </w:p>
    <w:p>
      <w:pPr>
        <w:spacing w:line="360" w:lineRule="auto"/>
        <w:rPr>
          <w:rFonts w:ascii="宋体" w:hAnsi="宋体"/>
          <w:b/>
          <w:sz w:val="28"/>
          <w:szCs w:val="28"/>
        </w:rPr>
      </w:pPr>
      <w:r>
        <w:rPr>
          <w:rFonts w:hint="eastAsia" w:ascii="宋体" w:hAnsi="宋体"/>
          <w:b/>
          <w:sz w:val="28"/>
          <w:szCs w:val="28"/>
        </w:rPr>
        <w:t>二、设计内容</w:t>
      </w:r>
    </w:p>
    <w:p>
      <w:pPr>
        <w:spacing w:line="360" w:lineRule="auto"/>
        <w:ind w:firstLine="560" w:firstLineChars="200"/>
        <w:rPr>
          <w:rFonts w:ascii="宋体" w:hAnsi="宋体"/>
          <w:sz w:val="28"/>
          <w:szCs w:val="28"/>
        </w:rPr>
      </w:pPr>
      <w:r>
        <w:rPr>
          <w:rFonts w:hint="eastAsia" w:ascii="宋体" w:hAnsi="宋体"/>
          <w:sz w:val="28"/>
          <w:szCs w:val="28"/>
        </w:rPr>
        <w:t>1、投标人应根据国家与地方的法律、法规的要求，按要求进行项目的文物影响评估工作，向招标人提交本项目的文物影响评估报告，并对文物影响评估报告的质量及其所涉及的技术问题负责。工作内容（包括但不限于）：</w:t>
      </w:r>
    </w:p>
    <w:p>
      <w:pPr>
        <w:spacing w:line="360" w:lineRule="auto"/>
        <w:ind w:firstLine="560" w:firstLineChars="200"/>
        <w:rPr>
          <w:rFonts w:ascii="宋体" w:hAnsi="宋体"/>
          <w:sz w:val="28"/>
          <w:szCs w:val="28"/>
        </w:rPr>
      </w:pPr>
      <w:r>
        <w:rPr>
          <w:rFonts w:hint="eastAsia" w:ascii="宋体" w:hAnsi="宋体"/>
          <w:sz w:val="28"/>
          <w:szCs w:val="28"/>
        </w:rPr>
        <w:t>（一）对涉及和影响区域内的各类文化遗产进行确认；</w:t>
      </w:r>
    </w:p>
    <w:p>
      <w:pPr>
        <w:spacing w:line="360" w:lineRule="auto"/>
        <w:ind w:firstLine="560" w:firstLineChars="200"/>
        <w:rPr>
          <w:rFonts w:ascii="宋体" w:hAnsi="宋体"/>
          <w:sz w:val="28"/>
          <w:szCs w:val="28"/>
        </w:rPr>
      </w:pPr>
      <w:r>
        <w:rPr>
          <w:rFonts w:hint="eastAsia" w:ascii="宋体" w:hAnsi="宋体"/>
          <w:sz w:val="28"/>
          <w:szCs w:val="28"/>
        </w:rPr>
        <w:t>（二）对涉及的文化遗产的文物价值进行评估；</w:t>
      </w:r>
    </w:p>
    <w:p>
      <w:pPr>
        <w:spacing w:line="360" w:lineRule="auto"/>
        <w:ind w:firstLine="560" w:firstLineChars="200"/>
        <w:rPr>
          <w:rFonts w:ascii="宋体" w:hAnsi="宋体"/>
          <w:sz w:val="28"/>
          <w:szCs w:val="28"/>
        </w:rPr>
      </w:pPr>
      <w:r>
        <w:rPr>
          <w:rFonts w:hint="eastAsia" w:ascii="宋体" w:hAnsi="宋体"/>
          <w:sz w:val="28"/>
          <w:szCs w:val="28"/>
        </w:rPr>
        <w:t>（三）文物安全评估；</w:t>
      </w:r>
    </w:p>
    <w:p>
      <w:pPr>
        <w:spacing w:line="360" w:lineRule="auto"/>
        <w:ind w:firstLine="560" w:firstLineChars="200"/>
        <w:rPr>
          <w:rFonts w:ascii="宋体" w:hAnsi="宋体"/>
          <w:sz w:val="28"/>
          <w:szCs w:val="28"/>
        </w:rPr>
      </w:pPr>
      <w:r>
        <w:rPr>
          <w:rFonts w:hint="eastAsia" w:ascii="宋体" w:hAnsi="宋体"/>
          <w:sz w:val="28"/>
          <w:szCs w:val="28"/>
        </w:rPr>
        <w:t>（四）拟建项目对文物本体的空间环境及风貌影响评估；</w:t>
      </w:r>
    </w:p>
    <w:p>
      <w:pPr>
        <w:spacing w:line="360" w:lineRule="auto"/>
        <w:ind w:firstLine="560" w:firstLineChars="200"/>
        <w:rPr>
          <w:rFonts w:ascii="宋体" w:hAnsi="宋体"/>
          <w:sz w:val="28"/>
          <w:szCs w:val="28"/>
        </w:rPr>
      </w:pPr>
      <w:r>
        <w:rPr>
          <w:rFonts w:hint="eastAsia" w:ascii="宋体" w:hAnsi="宋体"/>
          <w:sz w:val="28"/>
          <w:szCs w:val="28"/>
        </w:rPr>
        <w:t>（五）涉及和影响区域内工程施工对文物本体的安全影响评估；</w:t>
      </w:r>
    </w:p>
    <w:p>
      <w:pPr>
        <w:spacing w:line="360" w:lineRule="auto"/>
        <w:ind w:firstLine="560" w:firstLineChars="200"/>
        <w:rPr>
          <w:rFonts w:ascii="宋体" w:hAnsi="宋体"/>
          <w:sz w:val="28"/>
          <w:szCs w:val="28"/>
        </w:rPr>
      </w:pPr>
      <w:r>
        <w:rPr>
          <w:rFonts w:hint="eastAsia" w:ascii="宋体" w:hAnsi="宋体"/>
          <w:sz w:val="28"/>
          <w:szCs w:val="28"/>
        </w:rPr>
        <w:t>（六）其他直接和间接的潜在影响；</w:t>
      </w:r>
    </w:p>
    <w:p>
      <w:pPr>
        <w:spacing w:line="360" w:lineRule="auto"/>
        <w:ind w:firstLine="560" w:firstLineChars="200"/>
        <w:rPr>
          <w:rFonts w:ascii="宋体" w:hAnsi="宋体"/>
          <w:sz w:val="28"/>
          <w:szCs w:val="28"/>
        </w:rPr>
      </w:pPr>
      <w:r>
        <w:rPr>
          <w:rFonts w:hint="eastAsia" w:ascii="宋体" w:hAnsi="宋体"/>
          <w:sz w:val="28"/>
          <w:szCs w:val="28"/>
        </w:rPr>
        <w:t>（七）对负面影响提出减缓措施。</w:t>
      </w:r>
    </w:p>
    <w:p>
      <w:pPr>
        <w:spacing w:line="360" w:lineRule="auto"/>
        <w:ind w:firstLine="560" w:firstLineChars="200"/>
        <w:rPr>
          <w:rFonts w:ascii="宋体" w:hAnsi="宋体"/>
          <w:sz w:val="28"/>
          <w:szCs w:val="28"/>
        </w:rPr>
      </w:pPr>
      <w:r>
        <w:rPr>
          <w:rFonts w:hint="eastAsia" w:ascii="宋体" w:hAnsi="宋体"/>
          <w:sz w:val="28"/>
          <w:szCs w:val="28"/>
        </w:rPr>
        <w:t>2、投标人应完成涉及文物影响评估报告的评审会，政府部门审批等等所有工作，获得国家文物局正式批文。对于编制评估报告费用、召开评审会会务费、专家费、交通费、餐费、向政府部门申请审批过程所产生的交通费、税费等一切费用，均已包含在投标费用中。投标人不得再向招标人申请支付其他费用。</w:t>
      </w:r>
    </w:p>
    <w:p>
      <w:pPr>
        <w:spacing w:line="360" w:lineRule="auto"/>
        <w:ind w:firstLine="560" w:firstLineChars="200"/>
        <w:rPr>
          <w:rFonts w:ascii="宋体" w:hAnsi="宋体"/>
          <w:sz w:val="28"/>
          <w:szCs w:val="28"/>
        </w:rPr>
      </w:pPr>
    </w:p>
    <w:p>
      <w:pPr>
        <w:rPr>
          <w:rFonts w:ascii="黑体" w:hAnsi="宋体" w:cs="黑体"/>
          <w:b/>
          <w:kern w:val="44"/>
          <w:sz w:val="44"/>
          <w:szCs w:val="44"/>
        </w:rPr>
      </w:pPr>
      <w:r>
        <w:rPr>
          <w:rFonts w:hint="eastAsia" w:ascii="黑体" w:hAnsi="宋体" w:cs="黑体"/>
          <w:b/>
          <w:kern w:val="44"/>
          <w:sz w:val="44"/>
          <w:szCs w:val="44"/>
        </w:rPr>
        <w:br w:type="page"/>
      </w: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8"/>
        <w:rPr>
          <w:rFonts w:hint="default"/>
        </w:rPr>
      </w:pPr>
    </w:p>
    <w:p>
      <w:pPr>
        <w:pStyle w:val="3"/>
        <w:widowControl/>
        <w:spacing w:before="0" w:after="0" w:line="360" w:lineRule="auto"/>
        <w:jc w:val="center"/>
        <w:rPr>
          <w:rFonts w:ascii="黑体" w:hAnsi="宋体" w:cs="黑体"/>
          <w:b/>
          <w:color w:val="auto"/>
          <w:kern w:val="44"/>
          <w:sz w:val="44"/>
          <w:szCs w:val="44"/>
        </w:rPr>
      </w:pPr>
      <w:r>
        <w:rPr>
          <w:rFonts w:hint="eastAsia" w:ascii="黑体" w:hAnsi="宋体" w:cs="黑体"/>
          <w:b/>
          <w:color w:val="auto"/>
          <w:kern w:val="44"/>
          <w:sz w:val="44"/>
          <w:szCs w:val="44"/>
        </w:rPr>
        <w:t>第3章  投标格式文件</w:t>
      </w:r>
      <w:bookmarkEnd w:id="5"/>
    </w:p>
    <w:p>
      <w:pPr>
        <w:snapToGrid w:val="0"/>
        <w:rPr>
          <w:rFonts w:ascii="黑体" w:hAnsi="宋体" w:eastAsia="黑体" w:cs="黑体"/>
          <w:b/>
          <w:kern w:val="44"/>
          <w:sz w:val="44"/>
          <w:szCs w:val="44"/>
        </w:rPr>
      </w:pPr>
      <w:r>
        <w:rPr>
          <w:rFonts w:hint="eastAsia" w:ascii="黑体" w:hAnsi="宋体" w:eastAsia="黑体" w:cs="黑体"/>
          <w:b/>
          <w:kern w:val="44"/>
          <w:sz w:val="44"/>
          <w:szCs w:val="44"/>
        </w:rPr>
        <w:t xml:space="preserve"> </w:t>
      </w:r>
    </w:p>
    <w:p>
      <w:pPr>
        <w:snapToGrid w:val="0"/>
        <w:outlineLvl w:val="1"/>
        <w:rPr>
          <w:rFonts w:ascii="宋体" w:hAnsi="宋体" w:eastAsia="宋体" w:cs="宋体"/>
          <w:b/>
          <w:sz w:val="28"/>
          <w:szCs w:val="28"/>
        </w:rPr>
      </w:pPr>
      <w:r>
        <w:rPr>
          <w:rFonts w:hint="eastAsia" w:ascii="宋体" w:hAnsi="宋体" w:eastAsia="宋体" w:cs="黑体"/>
          <w:b/>
          <w:spacing w:val="20"/>
          <w:sz w:val="28"/>
          <w:szCs w:val="28"/>
        </w:rPr>
        <w:br w:type="page"/>
      </w:r>
      <w:r>
        <w:rPr>
          <w:rFonts w:hint="eastAsia" w:ascii="宋体" w:hAnsi="宋体" w:eastAsia="宋体" w:cs="黑体"/>
          <w:b/>
          <w:spacing w:val="20"/>
          <w:sz w:val="28"/>
          <w:szCs w:val="28"/>
        </w:rPr>
        <w:t>格式一：</w:t>
      </w:r>
    </w:p>
    <w:p>
      <w:pPr>
        <w:spacing w:line="360" w:lineRule="auto"/>
        <w:jc w:val="center"/>
        <w:outlineLvl w:val="2"/>
        <w:rPr>
          <w:rFonts w:ascii="宋体" w:hAnsi="宋体" w:eastAsia="宋体" w:cs="宋体"/>
          <w:b/>
          <w:sz w:val="36"/>
          <w:szCs w:val="36"/>
        </w:rPr>
      </w:pPr>
      <w:r>
        <w:rPr>
          <w:rFonts w:hint="eastAsia" w:ascii="宋体" w:hAnsi="宋体" w:eastAsia="宋体" w:cs="宋体"/>
          <w:b/>
          <w:spacing w:val="34"/>
          <w:sz w:val="36"/>
          <w:szCs w:val="36"/>
        </w:rPr>
        <w:t>投标函</w:t>
      </w:r>
    </w:p>
    <w:p>
      <w:pPr>
        <w:rPr>
          <w:rFonts w:ascii="宋体" w:hAnsi="宋体" w:eastAsia="宋体" w:cs="宋体"/>
          <w:sz w:val="24"/>
        </w:rPr>
      </w:pPr>
    </w:p>
    <w:p>
      <w:pPr>
        <w:snapToGrid w:val="0"/>
        <w:spacing w:line="360" w:lineRule="auto"/>
        <w:rPr>
          <w:rFonts w:ascii="宋体" w:hAnsi="宋体" w:eastAsia="宋体" w:cs="Times New Roman"/>
          <w:spacing w:val="20"/>
          <w:sz w:val="24"/>
          <w:u w:val="single"/>
        </w:rPr>
      </w:pPr>
      <w:r>
        <w:rPr>
          <w:rFonts w:hint="eastAsia" w:ascii="宋体" w:hAnsi="宋体" w:eastAsia="宋体" w:cs="Times New Roman"/>
          <w:spacing w:val="20"/>
          <w:sz w:val="24"/>
          <w:u w:val="single"/>
        </w:rPr>
        <w:t>广州南沙旅游发展有限公司：</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我方决定参加贵方的</w:t>
      </w:r>
      <w:r>
        <w:rPr>
          <w:rFonts w:hint="eastAsia" w:ascii="宋体" w:hAnsi="宋体" w:eastAsia="宋体" w:cs="Times New Roman"/>
          <w:spacing w:val="20"/>
          <w:sz w:val="24"/>
          <w:u w:val="single"/>
        </w:rPr>
        <w:t>广州市海防教育基地项目交通渡口码头工程文物保护影响评估报告编制</w:t>
      </w:r>
      <w:r>
        <w:rPr>
          <w:rFonts w:hint="eastAsia" w:ascii="宋体" w:hAnsi="宋体" w:eastAsia="宋体" w:cs="Times New Roman"/>
          <w:spacing w:val="20"/>
          <w:sz w:val="24"/>
        </w:rPr>
        <w:t>单位选定的竞标，并完全接受贵方发出的招标文件及澄清文件中的所有内容。为此，我方作出如下承诺：</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spacing w:val="20"/>
          <w:sz w:val="24"/>
          <w:u w:val="single"/>
        </w:rPr>
        <w:t>广州市海防教育基地项目交通渡口码头工程文物保护影响评估报告编制</w:t>
      </w:r>
      <w:r>
        <w:rPr>
          <w:rFonts w:hint="eastAsia" w:ascii="宋体" w:hAnsi="宋体" w:eastAsia="宋体" w:cs="Times New Roman"/>
          <w:spacing w:val="20"/>
          <w:sz w:val="24"/>
        </w:rPr>
        <w:t>任务，并提供增值税专用发票税率为</w:t>
      </w:r>
      <w:r>
        <w:rPr>
          <w:rFonts w:hint="eastAsia" w:ascii="宋体" w:hAnsi="宋体" w:eastAsia="宋体" w:cs="Times New Roman"/>
          <w:spacing w:val="23"/>
          <w:sz w:val="24"/>
          <w:u w:val="single"/>
        </w:rPr>
        <w:t xml:space="preserve">   </w:t>
      </w:r>
      <w:r>
        <w:rPr>
          <w:rFonts w:hint="eastAsia" w:ascii="宋体" w:hAnsi="宋体" w:eastAsia="宋体" w:cs="Times New Roman"/>
          <w:spacing w:val="20"/>
          <w:sz w:val="24"/>
        </w:rPr>
        <w:t>%，并按合同条件的要求，承担并完成树木迁移专章及后续方案编制任务。</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2、完全理解和接受全部招标文件（包括修改文件、参考资料和有关附件）的一切规定和要求。</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3、我方同意在规定的投标截止之日起</w:t>
      </w:r>
      <w:r>
        <w:rPr>
          <w:rFonts w:hint="eastAsia" w:ascii="宋体" w:hAnsi="宋体" w:eastAsia="宋体" w:cs="Times New Roman"/>
          <w:spacing w:val="23"/>
          <w:sz w:val="24"/>
          <w:u w:val="single"/>
        </w:rPr>
        <w:t xml:space="preserve">      </w:t>
      </w:r>
      <w:r>
        <w:rPr>
          <w:rFonts w:hint="eastAsia" w:ascii="宋体" w:hAnsi="宋体" w:eastAsia="宋体" w:cs="Times New Roman"/>
          <w:spacing w:val="20"/>
          <w:sz w:val="24"/>
        </w:rPr>
        <w:t>日历天内遵守本投标。在该期限满期之前，本投标书对我单位始终具有约束力，并可随时被接受。</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4、在正式签订报告编制服务协议书之前，本投标书连同贵方的中标通知书应成为约束贵、我双方的合同文件。</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5、在整个招、投标过程中及招、投标结束后，未经招标人书面同意，我方保证不向任何第三方泄露本次招、投标的任何信息、资料及内容。</w:t>
      </w:r>
    </w:p>
    <w:p>
      <w:pPr>
        <w:snapToGrid w:val="0"/>
        <w:spacing w:line="360" w:lineRule="auto"/>
        <w:ind w:firstLine="560" w:firstLineChars="200"/>
        <w:rPr>
          <w:rFonts w:ascii="宋体" w:hAnsi="宋体" w:eastAsia="宋体" w:cs="Times New Roman"/>
          <w:spacing w:val="20"/>
          <w:sz w:val="24"/>
        </w:rPr>
      </w:pPr>
      <w:r>
        <w:rPr>
          <w:rFonts w:hint="eastAsia" w:ascii="宋体" w:hAnsi="宋体" w:eastAsia="宋体" w:cs="Times New Roman"/>
          <w:spacing w:val="20"/>
          <w:sz w:val="24"/>
        </w:rPr>
        <w:t>6、投标文件中所有关于投标人资格的文件、证明、陈述均是真实的、准确的。若有违背，我方承担由此而产生的一切后果。</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 xml:space="preserve"> </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 xml:space="preserve"> </w:t>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投标人：（盖章）</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spacing w:val="23"/>
          <w:sz w:val="24"/>
          <w:u w:val="single"/>
        </w:rPr>
      </w:pPr>
      <w:r>
        <w:rPr>
          <w:rFonts w:hint="eastAsia" w:ascii="宋体" w:hAnsi="宋体" w:eastAsia="宋体" w:cs="Times New Roman"/>
          <w:spacing w:val="20"/>
          <w:sz w:val="24"/>
        </w:rPr>
        <w:t>法定代表人或被授权人（代理人）(签字或签章):</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地    址：</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spacing w:val="20"/>
          <w:sz w:val="24"/>
        </w:rPr>
      </w:pPr>
      <w:r>
        <w:rPr>
          <w:rFonts w:hint="eastAsia" w:ascii="宋体" w:hAnsi="宋体" w:eastAsia="宋体" w:cs="Times New Roman"/>
          <w:spacing w:val="20"/>
          <w:sz w:val="24"/>
        </w:rPr>
        <w:t>电    话：</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0"/>
          <w:sz w:val="24"/>
        </w:rPr>
        <w:tab/>
      </w:r>
      <w:r>
        <w:rPr>
          <w:rFonts w:hint="eastAsia" w:ascii="宋体" w:hAnsi="宋体" w:eastAsia="宋体" w:cs="Times New Roman"/>
          <w:spacing w:val="20"/>
          <w:sz w:val="24"/>
        </w:rPr>
        <w:tab/>
      </w:r>
    </w:p>
    <w:p>
      <w:pPr>
        <w:snapToGrid w:val="0"/>
        <w:spacing w:line="360" w:lineRule="auto"/>
        <w:rPr>
          <w:rFonts w:ascii="宋体" w:hAnsi="宋体" w:eastAsia="宋体" w:cs="Times New Roman"/>
          <w:b/>
          <w:spacing w:val="20"/>
          <w:sz w:val="24"/>
        </w:rPr>
      </w:pPr>
      <w:r>
        <w:rPr>
          <w:rFonts w:hint="eastAsia" w:ascii="宋体" w:hAnsi="宋体" w:eastAsia="宋体" w:cs="Times New Roman"/>
          <w:spacing w:val="20"/>
          <w:sz w:val="24"/>
        </w:rPr>
        <w:t>日    期：</w:t>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spacing w:val="23"/>
          <w:sz w:val="24"/>
          <w:u w:val="single"/>
        </w:rPr>
        <w:tab/>
      </w:r>
      <w:r>
        <w:rPr>
          <w:rFonts w:hint="eastAsia" w:ascii="宋体" w:hAnsi="宋体" w:eastAsia="宋体" w:cs="Times New Roman"/>
          <w:b/>
          <w:spacing w:val="20"/>
          <w:sz w:val="24"/>
        </w:rPr>
        <w:tab/>
      </w:r>
    </w:p>
    <w:p>
      <w:pPr>
        <w:rPr>
          <w:rFonts w:ascii="宋体" w:hAnsi="宋体" w:eastAsia="宋体" w:cs="宋体"/>
          <w:b/>
          <w:sz w:val="28"/>
          <w:szCs w:val="28"/>
        </w:rPr>
      </w:pPr>
      <w:r>
        <w:rPr>
          <w:rFonts w:hint="eastAsia" w:ascii="宋体" w:hAnsi="宋体" w:eastAsia="宋体" w:cs="宋体"/>
          <w:b/>
          <w:sz w:val="28"/>
          <w:szCs w:val="28"/>
        </w:rPr>
        <w:br w:type="page"/>
      </w:r>
    </w:p>
    <w:p>
      <w:pPr>
        <w:snapToGrid w:val="0"/>
        <w:spacing w:line="360" w:lineRule="auto"/>
        <w:outlineLvl w:val="1"/>
        <w:rPr>
          <w:rFonts w:ascii="宋体" w:hAnsi="宋体" w:eastAsia="宋体" w:cs="宋体"/>
          <w:b/>
          <w:sz w:val="28"/>
          <w:szCs w:val="28"/>
        </w:rPr>
      </w:pPr>
      <w:r>
        <w:rPr>
          <w:rFonts w:hint="eastAsia" w:ascii="宋体" w:hAnsi="宋体" w:eastAsia="宋体" w:cs="宋体"/>
          <w:b/>
          <w:sz w:val="28"/>
          <w:szCs w:val="28"/>
        </w:rPr>
        <w:t>格式二：</w:t>
      </w:r>
    </w:p>
    <w:p>
      <w:pPr>
        <w:snapToGrid w:val="0"/>
        <w:spacing w:line="480" w:lineRule="auto"/>
        <w:jc w:val="center"/>
        <w:outlineLvl w:val="2"/>
        <w:rPr>
          <w:b/>
          <w:sz w:val="28"/>
          <w:szCs w:val="28"/>
        </w:rPr>
      </w:pPr>
      <w:r>
        <w:rPr>
          <w:rFonts w:hint="eastAsia" w:ascii="宋体" w:hAnsi="宋体" w:eastAsia="宋体" w:cs="宋体"/>
          <w:b/>
          <w:sz w:val="36"/>
          <w:szCs w:val="36"/>
        </w:rPr>
        <w:t>服务承诺书（格式）</w:t>
      </w:r>
    </w:p>
    <w:p>
      <w:pPr>
        <w:snapToGrid w:val="0"/>
        <w:spacing w:line="480" w:lineRule="auto"/>
        <w:rPr>
          <w:rFonts w:ascii="宋体" w:hAnsi="宋体" w:eastAsia="宋体" w:cs="宋体"/>
          <w:sz w:val="24"/>
          <w:u w:val="single"/>
        </w:rPr>
      </w:pPr>
      <w:r>
        <w:rPr>
          <w:rFonts w:hint="eastAsia" w:ascii="宋体" w:hAnsi="宋体" w:eastAsia="宋体" w:cs="宋体"/>
          <w:sz w:val="24"/>
        </w:rPr>
        <w:t>致：</w:t>
      </w:r>
      <w:r>
        <w:rPr>
          <w:rFonts w:hint="eastAsia" w:ascii="宋体" w:hAnsi="宋体" w:eastAsia="宋体" w:cs="Times New Roman"/>
          <w:spacing w:val="20"/>
          <w:sz w:val="24"/>
          <w:u w:val="single"/>
        </w:rPr>
        <w:t>广州南沙旅游发展有限公司</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 xml:space="preserve"> </w:t>
      </w:r>
    </w:p>
    <w:p>
      <w:pPr>
        <w:snapToGrid w:val="0"/>
        <w:spacing w:line="480" w:lineRule="auto"/>
        <w:ind w:firstLine="480" w:firstLineChars="200"/>
        <w:rPr>
          <w:rFonts w:ascii="宋体" w:hAnsi="宋体" w:eastAsia="宋体" w:cs="宋体"/>
          <w:sz w:val="24"/>
        </w:rPr>
      </w:pPr>
      <w:r>
        <w:rPr>
          <w:rFonts w:hint="eastAsia" w:ascii="宋体" w:hAnsi="宋体" w:eastAsia="宋体" w:cs="宋体"/>
          <w:sz w:val="24"/>
        </w:rPr>
        <w:t>一旦我方中标，我方愿意做出如下承诺：</w:t>
      </w:r>
    </w:p>
    <w:p>
      <w:pPr>
        <w:snapToGrid w:val="0"/>
        <w:spacing w:line="480" w:lineRule="auto"/>
        <w:ind w:firstLine="480"/>
        <w:rPr>
          <w:rFonts w:ascii="宋体" w:hAnsi="宋体" w:eastAsia="宋体" w:cs="宋体"/>
          <w:sz w:val="24"/>
        </w:rPr>
      </w:pPr>
      <w:r>
        <w:rPr>
          <w:rFonts w:hint="eastAsia" w:ascii="宋体" w:hAnsi="宋体" w:eastAsia="宋体" w:cs="宋体"/>
          <w:sz w:val="24"/>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sz w:val="24"/>
        </w:rPr>
      </w:pPr>
      <w:r>
        <w:rPr>
          <w:rFonts w:hint="eastAsia" w:ascii="宋体" w:hAnsi="宋体" w:eastAsia="宋体" w:cs="宋体"/>
          <w:sz w:val="24"/>
        </w:rPr>
        <w:t>如果我方投标文件中存在计算或表达错误的，我方理解并接受评标小组按照招标文件规定的原则进行修正，这种修正对我方具有约束力，且不需要我方确认。</w:t>
      </w:r>
    </w:p>
    <w:p>
      <w:pPr>
        <w:snapToGrid w:val="0"/>
        <w:spacing w:line="480" w:lineRule="auto"/>
        <w:rPr>
          <w:rFonts w:ascii="宋体" w:hAnsi="宋体" w:eastAsia="宋体" w:cs="宋体"/>
          <w:sz w:val="24"/>
        </w:rPr>
      </w:pPr>
      <w:r>
        <w:rPr>
          <w:rFonts w:hint="eastAsia" w:ascii="宋体" w:hAnsi="宋体" w:eastAsia="宋体" w:cs="宋体"/>
          <w:sz w:val="24"/>
        </w:rPr>
        <w:t xml:space="preserve">    在签署合同协议书之前，你方的中标通知书和本投标承诺书将构成约束我们双方的契约。</w:t>
      </w:r>
    </w:p>
    <w:p>
      <w:pPr>
        <w:snapToGrid w:val="0"/>
        <w:spacing w:line="480" w:lineRule="auto"/>
        <w:rPr>
          <w:rFonts w:ascii="宋体" w:hAnsi="宋体" w:eastAsia="宋体" w:cs="宋体"/>
          <w:sz w:val="24"/>
        </w:rPr>
      </w:pPr>
      <w:r>
        <w:rPr>
          <w:rFonts w:hint="eastAsia" w:ascii="宋体" w:hAnsi="宋体" w:eastAsia="宋体" w:cs="宋体"/>
          <w:sz w:val="24"/>
        </w:rPr>
        <w:t xml:space="preserve"> </w:t>
      </w:r>
    </w:p>
    <w:p>
      <w:pPr>
        <w:snapToGrid w:val="0"/>
        <w:spacing w:line="440" w:lineRule="exact"/>
        <w:rPr>
          <w:rFonts w:ascii="宋体" w:hAnsi="宋体" w:eastAsia="宋体" w:cs="宋体"/>
          <w:sz w:val="24"/>
        </w:rPr>
      </w:pPr>
      <w:r>
        <w:rPr>
          <w:rFonts w:hint="eastAsia" w:ascii="宋体" w:hAnsi="宋体" w:eastAsia="宋体" w:cs="宋体"/>
          <w:sz w:val="24"/>
        </w:rPr>
        <w:t xml:space="preserve"> </w:t>
      </w:r>
    </w:p>
    <w:p>
      <w:pPr>
        <w:snapToGrid w:val="0"/>
        <w:spacing w:line="440" w:lineRule="exact"/>
        <w:rPr>
          <w:rFonts w:ascii="宋体" w:hAnsi="宋体" w:eastAsia="宋体" w:cs="宋体"/>
          <w:sz w:val="24"/>
        </w:rPr>
      </w:pPr>
      <w:r>
        <w:rPr>
          <w:rFonts w:hint="eastAsia" w:ascii="宋体" w:hAnsi="宋体" w:eastAsia="宋体" w:cs="宋体"/>
          <w:sz w:val="24"/>
        </w:rPr>
        <w:t xml:space="preserve"> </w:t>
      </w:r>
    </w:p>
    <w:p>
      <w:pPr>
        <w:snapToGrid w:val="0"/>
        <w:spacing w:line="440" w:lineRule="exact"/>
        <w:ind w:firstLine="3240" w:firstLineChars="1350"/>
        <w:rPr>
          <w:rFonts w:ascii="宋体" w:hAnsi="宋体" w:eastAsia="宋体" w:cs="宋体"/>
          <w:sz w:val="24"/>
          <w:u w:val="single"/>
        </w:rPr>
      </w:pPr>
      <w:r>
        <w:rPr>
          <w:rFonts w:hint="eastAsia" w:ascii="宋体" w:hAnsi="宋体" w:eastAsia="宋体" w:cs="宋体"/>
          <w:sz w:val="24"/>
        </w:rPr>
        <w:t>投 标 人： (盖公章)</w:t>
      </w:r>
      <w:r>
        <w:rPr>
          <w:rFonts w:hint="eastAsia" w:ascii="宋体" w:hAnsi="宋体" w:eastAsia="宋体" w:cs="宋体"/>
          <w:sz w:val="24"/>
          <w:u w:val="single"/>
        </w:rPr>
        <w:t xml:space="preserve">              </w:t>
      </w:r>
    </w:p>
    <w:p>
      <w:pPr>
        <w:snapToGrid w:val="0"/>
        <w:spacing w:line="440" w:lineRule="exact"/>
        <w:ind w:right="26" w:firstLine="3240" w:firstLineChars="1350"/>
        <w:rPr>
          <w:rFonts w:ascii="宋体" w:hAnsi="宋体" w:eastAsia="宋体" w:cs="宋体"/>
          <w:sz w:val="24"/>
          <w:u w:val="single"/>
        </w:rPr>
      </w:pPr>
      <w:r>
        <w:rPr>
          <w:rFonts w:hint="eastAsia" w:ascii="宋体" w:hAnsi="宋体" w:eastAsia="宋体" w:cs="宋体"/>
          <w:sz w:val="24"/>
        </w:rPr>
        <w:t>授权代表： (签  字)</w:t>
      </w:r>
      <w:r>
        <w:rPr>
          <w:rFonts w:hint="eastAsia" w:ascii="宋体" w:hAnsi="宋体" w:eastAsia="宋体" w:cs="宋体"/>
          <w:sz w:val="24"/>
          <w:u w:val="single"/>
        </w:rPr>
        <w:t xml:space="preserve">              </w:t>
      </w:r>
    </w:p>
    <w:p>
      <w:pPr>
        <w:snapToGrid w:val="0"/>
        <w:spacing w:line="440" w:lineRule="exact"/>
        <w:ind w:right="26" w:firstLine="3240" w:firstLineChars="135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napToGrid w:val="0"/>
        <w:spacing w:line="440" w:lineRule="exact"/>
        <w:ind w:right="26" w:firstLine="3240" w:firstLineChars="1350"/>
        <w:rPr>
          <w:rFonts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ind w:firstLine="3240" w:firstLineChars="1350"/>
        <w:rPr>
          <w:rFonts w:ascii="宋体" w:hAnsi="宋体" w:eastAsia="宋体" w:cs="宋体"/>
          <w:b/>
          <w:spacing w:val="20"/>
          <w:sz w:val="28"/>
          <w:szCs w:val="28"/>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spacing w:line="360" w:lineRule="auto"/>
        <w:rPr>
          <w:rFonts w:ascii="黑体" w:hAnsi="宋体" w:eastAsia="黑体" w:cs="黑体"/>
          <w:b/>
          <w:spacing w:val="20"/>
          <w:sz w:val="28"/>
          <w:szCs w:val="28"/>
        </w:rPr>
      </w:pPr>
      <w:r>
        <w:rPr>
          <w:rFonts w:hint="eastAsia" w:ascii="黑体" w:hAnsi="宋体" w:eastAsia="黑体" w:cs="黑体"/>
          <w:b/>
          <w:spacing w:val="20"/>
          <w:sz w:val="28"/>
          <w:szCs w:val="28"/>
        </w:rPr>
        <w:t xml:space="preserve"> </w:t>
      </w:r>
    </w:p>
    <w:p>
      <w:pPr>
        <w:pStyle w:val="20"/>
        <w:widowControl/>
        <w:spacing w:before="142"/>
        <w:jc w:val="both"/>
        <w:rPr>
          <w:rFonts w:ascii="宋体" w:hAnsi="宋体" w:eastAsia="宋体" w:cs="宋体"/>
          <w:sz w:val="28"/>
          <w:szCs w:val="28"/>
        </w:rPr>
      </w:pPr>
      <w:bookmarkStart w:id="6" w:name="_Toc216145749"/>
      <w:bookmarkEnd w:id="6"/>
      <w:bookmarkStart w:id="7" w:name="_Toc223342668"/>
      <w:bookmarkEnd w:id="7"/>
      <w:r>
        <w:rPr>
          <w:rFonts w:hint="eastAsia" w:ascii="宋体" w:hAnsi="宋体" w:eastAsia="宋体" w:cs="黑体"/>
          <w:sz w:val="28"/>
          <w:szCs w:val="28"/>
        </w:rPr>
        <w:t>格式三：</w:t>
      </w:r>
    </w:p>
    <w:p>
      <w:pPr>
        <w:pStyle w:val="22"/>
        <w:widowControl/>
        <w:ind w:firstLine="0" w:firstLineChars="0"/>
        <w:jc w:val="center"/>
        <w:outlineLvl w:val="2"/>
        <w:rPr>
          <w:kern w:val="44"/>
        </w:rPr>
      </w:pPr>
      <w:bookmarkStart w:id="8" w:name="_Toc172416501"/>
      <w:bookmarkEnd w:id="8"/>
      <w:r>
        <w:rPr>
          <w:rFonts w:hint="eastAsia" w:ascii="宋体" w:hAnsi="宋体" w:cs="宋体"/>
          <w:b/>
          <w:sz w:val="30"/>
          <w:szCs w:val="30"/>
        </w:rPr>
        <w:t>法定代表人证明书</w:t>
      </w:r>
    </w:p>
    <w:p>
      <w:pPr>
        <w:pStyle w:val="22"/>
        <w:widowControl/>
        <w:ind w:firstLine="496"/>
        <w:jc w:val="right"/>
        <w:rPr>
          <w:b/>
        </w:rPr>
      </w:pPr>
      <w:r>
        <w:t xml:space="preserve">                                      </w:t>
      </w:r>
      <w:r>
        <w:rPr>
          <w:rFonts w:hint="eastAsia" w:ascii="宋体" w:hAnsi="宋体" w:cs="宋体"/>
        </w:rPr>
        <w:t xml:space="preserve">（ </w:t>
      </w:r>
      <w:r>
        <w:t xml:space="preserve"> </w:t>
      </w:r>
      <w:r>
        <w:rPr>
          <w:rFonts w:hint="eastAsia" w:ascii="宋体" w:hAnsi="宋体" w:cs="宋体"/>
        </w:rPr>
        <w:t>）第 号</w:t>
      </w:r>
    </w:p>
    <w:p>
      <w:pPr>
        <w:pStyle w:val="22"/>
        <w:widowControl/>
        <w:ind w:firstLine="0" w:firstLineChars="0"/>
        <w:rPr>
          <w:sz w:val="30"/>
          <w:szCs w:val="30"/>
        </w:rPr>
      </w:pPr>
      <w: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2"/>
        <w:widowControl/>
        <w:ind w:firstLine="618"/>
        <w:rPr>
          <w:b/>
          <w:sz w:val="30"/>
          <w:szCs w:val="30"/>
        </w:rPr>
      </w:pPr>
      <w:r>
        <w:rPr>
          <w:b/>
          <w:sz w:val="30"/>
          <w:szCs w:val="30"/>
        </w:rPr>
        <w:t xml:space="preserve"> </w:t>
      </w:r>
    </w:p>
    <w:p>
      <w:pPr>
        <w:pStyle w:val="22"/>
        <w:widowControl/>
        <w:ind w:firstLine="0" w:firstLineChars="0"/>
        <w:jc w:val="center"/>
        <w:outlineLvl w:val="2"/>
        <w:rPr>
          <w:b/>
          <w:sz w:val="30"/>
          <w:szCs w:val="30"/>
        </w:rPr>
      </w:pPr>
      <w:r>
        <w:rPr>
          <w:rFonts w:hint="eastAsia" w:ascii="宋体" w:hAnsi="宋体" w:cs="宋体"/>
          <w:b/>
          <w:sz w:val="30"/>
          <w:szCs w:val="30"/>
        </w:rPr>
        <w:t>授权委托证明书</w:t>
      </w:r>
    </w:p>
    <w:p>
      <w:pPr>
        <w:pStyle w:val="22"/>
        <w:widowControl/>
        <w:ind w:firstLine="496"/>
        <w:jc w:val="right"/>
      </w:pPr>
      <w:r>
        <w:t xml:space="preserve">         </w:t>
      </w:r>
      <w:r>
        <w:rPr>
          <w:rFonts w:hint="eastAsia" w:ascii="宋体" w:hAnsi="宋体" w:cs="宋体"/>
        </w:rPr>
        <w:t xml:space="preserve">（ </w:t>
      </w:r>
      <w:r>
        <w:t xml:space="preserve"> </w:t>
      </w:r>
      <w:r>
        <w:rPr>
          <w:rFonts w:hint="eastAsia" w:ascii="宋体" w:hAnsi="宋体" w:cs="宋体"/>
        </w:rPr>
        <w:t>）第 号</w:t>
      </w:r>
    </w:p>
    <w:p>
      <w:pPr>
        <w:pStyle w:val="22"/>
        <w:widowControl/>
        <w:ind w:firstLine="0" w:firstLineChars="0"/>
        <w:rPr>
          <w:b/>
        </w:rPr>
      </w:pPr>
      <w: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0"/>
        <w:widowControl/>
        <w:spacing w:before="142"/>
        <w:jc w:val="both"/>
        <w:outlineLvl w:val="9"/>
        <w:rPr>
          <w:rFonts w:ascii="黑体" w:hAnsi="宋体" w:cs="宋体"/>
          <w:b w:val="0"/>
        </w:rPr>
      </w:pPr>
      <w:r>
        <w:rPr>
          <w:rFonts w:hint="eastAsia" w:ascii="黑体" w:hAnsi="宋体" w:cs="宋体"/>
          <w:b w:val="0"/>
        </w:rPr>
        <w:t>备注：也可使用从工商管理部门购买的格式填写</w:t>
      </w:r>
      <w:bookmarkStart w:id="9" w:name="_Toc216145759"/>
      <w:bookmarkEnd w:id="9"/>
      <w:bookmarkStart w:id="10" w:name="_Toc223342677"/>
    </w:p>
    <w:p>
      <w:pPr>
        <w:rPr>
          <w:rFonts w:ascii="宋体" w:hAnsi="宋体" w:eastAsia="宋体" w:cs="黑体"/>
          <w:sz w:val="28"/>
          <w:szCs w:val="28"/>
        </w:rPr>
      </w:pPr>
      <w:r>
        <w:rPr>
          <w:rFonts w:hint="eastAsia" w:ascii="宋体" w:hAnsi="宋体" w:eastAsia="宋体" w:cs="黑体"/>
          <w:sz w:val="28"/>
          <w:szCs w:val="28"/>
        </w:rPr>
        <w:br w:type="page"/>
      </w:r>
    </w:p>
    <w:p>
      <w:pPr>
        <w:pStyle w:val="20"/>
        <w:widowControl/>
        <w:spacing w:before="142"/>
        <w:jc w:val="both"/>
        <w:rPr>
          <w:rFonts w:ascii="宋体" w:hAnsi="宋体" w:eastAsia="宋体" w:cs="宋体"/>
          <w:sz w:val="28"/>
          <w:szCs w:val="28"/>
        </w:rPr>
      </w:pPr>
      <w:r>
        <w:rPr>
          <w:rFonts w:hint="eastAsia" w:ascii="宋体" w:hAnsi="宋体" w:eastAsia="宋体" w:cs="黑体"/>
          <w:sz w:val="28"/>
          <w:szCs w:val="28"/>
        </w:rPr>
        <w:t>格式四：</w:t>
      </w:r>
      <w:bookmarkEnd w:id="10"/>
      <w:r>
        <w:rPr>
          <w:rFonts w:hint="eastAsia" w:ascii="宋体" w:hAnsi="宋体" w:eastAsia="宋体" w:cs="宋体"/>
          <w:sz w:val="28"/>
          <w:szCs w:val="28"/>
        </w:rPr>
        <w:t xml:space="preserve"> </w:t>
      </w:r>
    </w:p>
    <w:p>
      <w:pPr>
        <w:pStyle w:val="22"/>
        <w:widowControl/>
        <w:ind w:firstLine="0" w:firstLineChars="0"/>
        <w:jc w:val="center"/>
        <w:rPr>
          <w:b/>
          <w:sz w:val="28"/>
          <w:szCs w:val="28"/>
        </w:rPr>
      </w:pPr>
      <w:r>
        <w:rPr>
          <w:b/>
          <w:sz w:val="28"/>
          <w:szCs w:val="28"/>
        </w:rPr>
        <w:t xml:space="preserve"> </w:t>
      </w:r>
    </w:p>
    <w:p>
      <w:pPr>
        <w:snapToGrid w:val="0"/>
        <w:spacing w:after="120" w:line="440" w:lineRule="exact"/>
        <w:jc w:val="center"/>
        <w:outlineLvl w:val="2"/>
        <w:rPr>
          <w:rFonts w:ascii="宋体" w:hAnsi="宋体" w:eastAsia="宋体" w:cs="宋体"/>
          <w:b/>
          <w:sz w:val="32"/>
          <w:szCs w:val="32"/>
        </w:rPr>
      </w:pPr>
      <w:r>
        <w:rPr>
          <w:rFonts w:hint="eastAsia" w:ascii="宋体" w:hAnsi="宋体" w:eastAsia="宋体" w:cs="宋体"/>
          <w:b/>
          <w:sz w:val="32"/>
          <w:szCs w:val="32"/>
        </w:rPr>
        <w:t>人员到位承诺书</w:t>
      </w:r>
    </w:p>
    <w:p>
      <w:pPr>
        <w:spacing w:line="560" w:lineRule="exact"/>
        <w:rPr>
          <w:rFonts w:ascii="宋体" w:hAnsi="宋体" w:eastAsia="宋体" w:cs="宋体"/>
          <w:sz w:val="24"/>
        </w:rPr>
      </w:pPr>
      <w:r>
        <w:rPr>
          <w:rFonts w:hint="eastAsia" w:ascii="宋体" w:hAnsi="宋体" w:eastAsia="宋体" w:cs="宋体"/>
          <w:sz w:val="24"/>
        </w:rPr>
        <w:t xml:space="preserve"> </w:t>
      </w:r>
    </w:p>
    <w:p>
      <w:pPr>
        <w:spacing w:line="560" w:lineRule="exact"/>
        <w:rPr>
          <w:rFonts w:ascii="宋体" w:hAnsi="宋体" w:eastAsia="宋体" w:cs="宋体"/>
          <w:sz w:val="24"/>
          <w:u w:val="single"/>
        </w:rPr>
      </w:pPr>
      <w:r>
        <w:rPr>
          <w:rFonts w:hint="eastAsia" w:ascii="宋体" w:hAnsi="宋体" w:eastAsia="宋体" w:cs="宋体"/>
          <w:sz w:val="24"/>
        </w:rPr>
        <w:t>招标人名称：</w:t>
      </w:r>
      <w:r>
        <w:rPr>
          <w:rFonts w:hint="eastAsia" w:ascii="宋体" w:hAnsi="宋体" w:eastAsia="宋体" w:cs="宋体"/>
          <w:sz w:val="24"/>
          <w:u w:val="single"/>
        </w:rPr>
        <w:t>广州南沙旅游发展有限公司</w:t>
      </w:r>
    </w:p>
    <w:p>
      <w:pPr>
        <w:spacing w:line="560" w:lineRule="exact"/>
        <w:rPr>
          <w:rFonts w:ascii="宋体" w:hAnsi="宋体" w:eastAsia="宋体" w:cs="宋体"/>
          <w:sz w:val="24"/>
          <w:u w:val="single"/>
        </w:rPr>
      </w:pPr>
      <w:r>
        <w:rPr>
          <w:rFonts w:hint="eastAsia" w:ascii="宋体" w:hAnsi="宋体" w:eastAsia="宋体" w:cs="宋体"/>
          <w:sz w:val="24"/>
        </w:rPr>
        <w:t>投标项目名称：</w:t>
      </w:r>
      <w:r>
        <w:rPr>
          <w:rFonts w:hint="eastAsia" w:ascii="宋体" w:hAnsi="宋体" w:eastAsia="宋体" w:cs="Times New Roman"/>
          <w:spacing w:val="20"/>
          <w:sz w:val="24"/>
          <w:u w:val="single"/>
        </w:rPr>
        <w:t>广州市海防教育基地项目交通渡口码头工程文物保护影响评估报告编制</w:t>
      </w:r>
    </w:p>
    <w:p>
      <w:pPr>
        <w:snapToGrid w:val="0"/>
        <w:spacing w:after="120" w:line="440" w:lineRule="exact"/>
        <w:ind w:firstLine="480" w:firstLineChars="200"/>
        <w:rPr>
          <w:rFonts w:ascii="宋体" w:hAnsi="宋体" w:eastAsia="宋体" w:cs="宋体"/>
          <w:sz w:val="24"/>
        </w:rPr>
      </w:pPr>
      <w:r>
        <w:rPr>
          <w:rFonts w:hint="eastAsia" w:ascii="宋体" w:hAnsi="宋体" w:eastAsia="宋体" w:cs="宋体"/>
          <w:sz w:val="24"/>
        </w:rPr>
        <w:t xml:space="preserve"> </w:t>
      </w:r>
    </w:p>
    <w:p>
      <w:pPr>
        <w:adjustRightInd w:val="0"/>
        <w:snapToGrid w:val="0"/>
        <w:spacing w:before="85" w:beforeLines="30" w:line="360" w:lineRule="auto"/>
        <w:ind w:firstLine="360" w:firstLineChars="150"/>
        <w:jc w:val="left"/>
        <w:outlineLvl w:val="2"/>
        <w:rPr>
          <w:rFonts w:ascii="宋体" w:hAnsi="宋体" w:eastAsia="宋体" w:cs="宋体"/>
          <w:sz w:val="24"/>
        </w:rPr>
      </w:pPr>
      <w:r>
        <w:rPr>
          <w:rFonts w:hint="eastAsia" w:ascii="宋体" w:hAnsi="宋体" w:eastAsia="宋体" w:cs="宋体"/>
          <w:sz w:val="24"/>
        </w:rPr>
        <w:t>我方如果中标，承诺实际人员按我方提交的《参与本项目的人员一览表》配备。</w:t>
      </w:r>
    </w:p>
    <w:p>
      <w:pPr>
        <w:snapToGrid w:val="0"/>
        <w:spacing w:after="120" w:line="440" w:lineRule="exact"/>
        <w:rPr>
          <w:rFonts w:ascii="宋体" w:hAnsi="宋体" w:eastAsia="宋体" w:cs="宋体"/>
          <w:b/>
          <w:sz w:val="24"/>
        </w:rPr>
      </w:pPr>
      <w:r>
        <w:rPr>
          <w:rFonts w:hint="eastAsia" w:ascii="宋体" w:hAnsi="宋体" w:eastAsia="宋体" w:cs="宋体"/>
          <w:b/>
          <w:sz w:val="24"/>
        </w:rPr>
        <w:t xml:space="preserve"> </w:t>
      </w:r>
    </w:p>
    <w:p>
      <w:pPr>
        <w:spacing w:line="560" w:lineRule="exact"/>
        <w:rPr>
          <w:rFonts w:ascii="宋体" w:hAnsi="宋体" w:eastAsia="宋体" w:cs="宋体"/>
          <w:sz w:val="24"/>
          <w:u w:val="single"/>
        </w:rPr>
      </w:pPr>
      <w:r>
        <w:rPr>
          <w:rFonts w:hint="eastAsia" w:ascii="宋体" w:hAnsi="宋体" w:eastAsia="宋体" w:cs="宋体"/>
          <w:sz w:val="24"/>
        </w:rPr>
        <w:t xml:space="preserve">   投标单位名称（盖法人公章）：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560" w:lineRule="exact"/>
        <w:rPr>
          <w:rFonts w:ascii="宋体" w:hAnsi="宋体" w:eastAsia="宋体" w:cs="宋体"/>
          <w:sz w:val="24"/>
        </w:rPr>
      </w:pPr>
      <w:r>
        <w:rPr>
          <w:rFonts w:hint="eastAsia" w:ascii="宋体" w:hAnsi="宋体" w:eastAsia="宋体" w:cs="宋体"/>
          <w:sz w:val="24"/>
        </w:rPr>
        <w:t xml:space="preserve">   </w:t>
      </w:r>
    </w:p>
    <w:p>
      <w:pPr>
        <w:spacing w:line="560" w:lineRule="exact"/>
        <w:ind w:firstLine="240" w:firstLineChars="100"/>
        <w:rPr>
          <w:rFonts w:ascii="宋体" w:hAnsi="宋体" w:eastAsia="宋体" w:cs="宋体"/>
          <w:sz w:val="24"/>
          <w:u w:val="single"/>
        </w:rPr>
      </w:pPr>
      <w:r>
        <w:rPr>
          <w:rFonts w:hint="eastAsia" w:ascii="宋体" w:hAnsi="宋体" w:eastAsia="宋体" w:cs="宋体"/>
          <w:sz w:val="24"/>
        </w:rPr>
        <w:t xml:space="preserve"> 法定代表人或受委托人（签字或盖章）：</w:t>
      </w:r>
      <w:r>
        <w:rPr>
          <w:rFonts w:hint="eastAsia" w:ascii="宋体" w:hAnsi="宋体" w:eastAsia="宋体" w:cs="宋体"/>
          <w:sz w:val="24"/>
          <w:u w:val="single"/>
        </w:rPr>
        <w:t xml:space="preserve">                      </w:t>
      </w:r>
    </w:p>
    <w:p>
      <w:pPr>
        <w:spacing w:line="560" w:lineRule="exact"/>
        <w:rPr>
          <w:rFonts w:ascii="宋体" w:hAnsi="宋体" w:eastAsia="宋体" w:cs="宋体"/>
          <w:sz w:val="24"/>
          <w:u w:val="single"/>
        </w:rPr>
      </w:pPr>
      <w:r>
        <w:rPr>
          <w:rFonts w:hint="eastAsia" w:ascii="宋体" w:hAnsi="宋体" w:eastAsia="宋体" w:cs="宋体"/>
          <w:sz w:val="24"/>
        </w:rPr>
        <w:t xml:space="preserve">   </w:t>
      </w:r>
    </w:p>
    <w:p>
      <w:pPr>
        <w:spacing w:line="560" w:lineRule="exact"/>
        <w:rPr>
          <w:rFonts w:ascii="宋体" w:hAnsi="宋体" w:eastAsia="宋体" w:cs="宋体"/>
          <w:sz w:val="24"/>
        </w:rPr>
      </w:pPr>
      <w:r>
        <w:rPr>
          <w:rFonts w:hint="eastAsia" w:ascii="宋体" w:hAnsi="宋体" w:eastAsia="宋体" w:cs="宋体"/>
          <w:sz w:val="24"/>
        </w:rPr>
        <w:t xml:space="preserve">   日期： </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 </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napToGrid w:val="0"/>
        <w:spacing w:after="120" w:line="440" w:lineRule="exact"/>
        <w:rPr>
          <w:rFonts w:ascii="宋体" w:hAnsi="宋体" w:eastAsia="宋体" w:cs="宋体"/>
          <w:sz w:val="24"/>
        </w:rPr>
      </w:pPr>
      <w:r>
        <w:rPr>
          <w:rFonts w:hint="eastAsia" w:ascii="宋体" w:hAnsi="宋体" w:eastAsia="宋体" w:cs="宋体"/>
          <w:sz w:val="24"/>
        </w:rPr>
        <w:t xml:space="preserve"> </w:t>
      </w:r>
    </w:p>
    <w:p>
      <w:pPr>
        <w:outlineLvl w:val="1"/>
        <w:rPr>
          <w:rFonts w:ascii="宋体" w:hAnsi="宋体" w:eastAsia="宋体" w:cs="宋体"/>
          <w:b/>
          <w:sz w:val="28"/>
          <w:szCs w:val="28"/>
        </w:rPr>
      </w:pPr>
      <w:r>
        <w:rPr>
          <w:rFonts w:ascii="Times New Roman" w:hAnsi="Times New Roman" w:eastAsia="宋体" w:cs="Times New Roman"/>
          <w:spacing w:val="18"/>
          <w:szCs w:val="21"/>
        </w:rPr>
        <w:br w:type="page"/>
      </w:r>
      <w:bookmarkStart w:id="11" w:name="_Toc199647675"/>
      <w:bookmarkEnd w:id="11"/>
      <w:bookmarkStart w:id="12" w:name="_Toc459403394"/>
      <w:bookmarkEnd w:id="12"/>
      <w:bookmarkStart w:id="13" w:name="_Toc415833503"/>
      <w:bookmarkEnd w:id="13"/>
      <w:bookmarkStart w:id="14" w:name="_Toc41822703"/>
      <w:bookmarkEnd w:id="14"/>
      <w:bookmarkStart w:id="15" w:name="_Toc197235848"/>
      <w:bookmarkEnd w:id="15"/>
      <w:bookmarkStart w:id="16" w:name="_Toc196130110"/>
      <w:bookmarkEnd w:id="16"/>
      <w:bookmarkStart w:id="17" w:name="_Toc326909213"/>
      <w:bookmarkEnd w:id="17"/>
      <w:bookmarkStart w:id="18" w:name="_Toc196037097"/>
      <w:bookmarkEnd w:id="18"/>
      <w:bookmarkStart w:id="19" w:name="_Toc196036941"/>
      <w:bookmarkEnd w:id="19"/>
      <w:bookmarkStart w:id="20" w:name="_Toc415728297"/>
      <w:bookmarkEnd w:id="20"/>
      <w:bookmarkStart w:id="21" w:name="_Toc196130013"/>
      <w:bookmarkEnd w:id="21"/>
      <w:bookmarkStart w:id="22" w:name="_Toc462911098"/>
      <w:r>
        <w:rPr>
          <w:rFonts w:hint="eastAsia" w:ascii="宋体" w:hAnsi="宋体" w:eastAsia="宋体" w:cs="黑体"/>
          <w:b/>
          <w:spacing w:val="4"/>
          <w:kern w:val="0"/>
          <w:sz w:val="28"/>
          <w:szCs w:val="28"/>
        </w:rPr>
        <w:t>格式五</w:t>
      </w:r>
      <w:bookmarkEnd w:id="22"/>
      <w:r>
        <w:rPr>
          <w:rFonts w:hint="eastAsia" w:ascii="宋体" w:hAnsi="宋体" w:eastAsia="宋体" w:cs="宋体"/>
          <w:sz w:val="28"/>
          <w:szCs w:val="28"/>
        </w:rPr>
        <w:t>：</w:t>
      </w:r>
    </w:p>
    <w:p>
      <w:pPr>
        <w:spacing w:line="360" w:lineRule="auto"/>
        <w:jc w:val="center"/>
        <w:outlineLvl w:val="2"/>
        <w:rPr>
          <w:rFonts w:ascii="仿宋" w:hAnsi="仿宋" w:eastAsia="仿宋" w:cs="仿宋"/>
          <w:b/>
          <w:bCs/>
          <w:sz w:val="36"/>
          <w:szCs w:val="36"/>
        </w:rPr>
      </w:pPr>
      <w:bookmarkStart w:id="23" w:name="_Toc41822704"/>
      <w:bookmarkEnd w:id="23"/>
      <w:r>
        <w:rPr>
          <w:rFonts w:hint="eastAsia" w:ascii="仿宋" w:hAnsi="仿宋" w:eastAsia="仿宋" w:cs="仿宋"/>
          <w:b/>
          <w:bCs/>
          <w:sz w:val="36"/>
          <w:szCs w:val="36"/>
        </w:rPr>
        <w:t>投标人综合概况</w:t>
      </w:r>
    </w:p>
    <w:tbl>
      <w:tblPr>
        <w:tblStyle w:val="17"/>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spacing w:val="30"/>
                <w:sz w:val="24"/>
              </w:rPr>
            </w:pPr>
            <w:r>
              <w:rPr>
                <w:rFonts w:hint="eastAsia" w:ascii="仿宋" w:hAnsi="仿宋" w:eastAsia="仿宋" w:cs="仿宋"/>
                <w:sz w:val="24"/>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pacing w:val="34"/>
                <w:sz w:val="24"/>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sz w:val="20"/>
                <w:szCs w:val="20"/>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sz w:val="20"/>
                <w:szCs w:val="20"/>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共</w:t>
            </w:r>
            <w:r>
              <w:rPr>
                <w:rFonts w:hint="eastAsia" w:ascii="仿宋" w:hAnsi="仿宋" w:eastAsia="仿宋" w:cs="仿宋"/>
                <w:sz w:val="24"/>
                <w:u w:val="single"/>
              </w:rPr>
              <w:t xml:space="preserve">  </w:t>
            </w:r>
            <w:r>
              <w:rPr>
                <w:rFonts w:hint="eastAsia" w:ascii="仿宋" w:hAnsi="仿宋" w:eastAsia="仿宋" w:cs="仿宋"/>
                <w:sz w:val="24"/>
              </w:rPr>
              <w:t>人，其中，高级职称</w:t>
            </w:r>
            <w:r>
              <w:rPr>
                <w:rFonts w:hint="eastAsia" w:ascii="仿宋" w:hAnsi="仿宋" w:eastAsia="仿宋" w:cs="仿宋"/>
                <w:sz w:val="24"/>
                <w:u w:val="single"/>
              </w:rPr>
              <w:t xml:space="preserve">   </w:t>
            </w:r>
            <w:r>
              <w:rPr>
                <w:rFonts w:hint="eastAsia" w:ascii="仿宋" w:hAnsi="仿宋" w:eastAsia="仿宋" w:cs="仿宋"/>
                <w:sz w:val="24"/>
              </w:rPr>
              <w:t>人，中级职称</w:t>
            </w:r>
            <w:r>
              <w:rPr>
                <w:rFonts w:hint="eastAsia" w:ascii="仿宋" w:hAnsi="仿宋" w:eastAsia="仿宋" w:cs="仿宋"/>
                <w:sz w:val="24"/>
                <w:u w:val="single"/>
              </w:rPr>
              <w:t xml:space="preserve">  </w:t>
            </w:r>
            <w:r>
              <w:rPr>
                <w:rFonts w:hint="eastAsia" w:ascii="仿宋" w:hAnsi="仿宋" w:eastAsia="仿宋" w:cs="仿宋"/>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投标单位简介（请简要说明单位情况，包括成立时间、业务范围、专业构成、规模）：</w:t>
            </w:r>
          </w:p>
          <w:p>
            <w:pPr>
              <w:spacing w:line="360" w:lineRule="auto"/>
              <w:ind w:firstLine="6960" w:firstLineChars="2900"/>
              <w:rPr>
                <w:rFonts w:ascii="仿宋" w:hAnsi="仿宋" w:eastAsia="仿宋" w:cs="仿宋"/>
                <w:sz w:val="24"/>
              </w:rPr>
            </w:pPr>
            <w:r>
              <w:rPr>
                <w:rFonts w:hint="eastAsia" w:ascii="仿宋" w:hAnsi="仿宋" w:eastAsia="仿宋" w:cs="仿宋"/>
                <w:sz w:val="24"/>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投标单位完成本项目所独有的有利条件及相关设计的专业特长：</w:t>
            </w:r>
          </w:p>
        </w:tc>
      </w:tr>
    </w:tbl>
    <w:p>
      <w:pPr>
        <w:rPr>
          <w:rFonts w:ascii="仿宋" w:hAnsi="仿宋" w:eastAsia="仿宋" w:cs="仿宋"/>
        </w:rPr>
      </w:pPr>
      <w:r>
        <w:rPr>
          <w:rFonts w:hint="eastAsia" w:ascii="仿宋" w:hAnsi="仿宋" w:eastAsia="仿宋" w:cs="仿宋"/>
          <w:szCs w:val="21"/>
        </w:rPr>
        <w:t>注：企业资质、营业执照需要附上复印件。</w:t>
      </w:r>
    </w:p>
    <w:p>
      <w:pPr>
        <w:rPr>
          <w:rFonts w:ascii="仿宋" w:hAnsi="仿宋" w:eastAsia="仿宋" w:cs="仿宋"/>
        </w:rPr>
      </w:pPr>
      <w:r>
        <w:rPr>
          <w:rFonts w:hint="eastAsia" w:ascii="仿宋" w:hAnsi="仿宋" w:eastAsia="仿宋" w:cs="仿宋"/>
          <w:szCs w:val="21"/>
        </w:rPr>
        <w:t xml:space="preserve">  </w:t>
      </w:r>
    </w:p>
    <w:p>
      <w:pPr>
        <w:pStyle w:val="8"/>
        <w:rPr>
          <w:rFonts w:hint="default" w:hAnsi="宋体" w:cs="黑体"/>
          <w:b/>
          <w:spacing w:val="4"/>
          <w:kern w:val="0"/>
          <w:sz w:val="28"/>
          <w:szCs w:val="28"/>
        </w:rPr>
      </w:pPr>
      <w:bookmarkStart w:id="24" w:name="_Toc196130111"/>
      <w:bookmarkEnd w:id="24"/>
      <w:bookmarkStart w:id="25" w:name="_Toc326909214"/>
      <w:bookmarkEnd w:id="25"/>
      <w:bookmarkStart w:id="26" w:name="_Toc415833504"/>
      <w:bookmarkEnd w:id="26"/>
      <w:bookmarkStart w:id="27" w:name="_Toc459403395"/>
      <w:bookmarkEnd w:id="27"/>
      <w:bookmarkStart w:id="28" w:name="_Toc197235849"/>
      <w:bookmarkEnd w:id="28"/>
      <w:bookmarkStart w:id="29" w:name="_Toc196037098"/>
      <w:bookmarkEnd w:id="29"/>
      <w:bookmarkStart w:id="30" w:name="_Toc196130014"/>
      <w:bookmarkEnd w:id="30"/>
      <w:bookmarkStart w:id="31" w:name="_Toc415728298"/>
      <w:bookmarkEnd w:id="31"/>
      <w:bookmarkStart w:id="32" w:name="_Toc196036942"/>
      <w:bookmarkEnd w:id="32"/>
      <w:bookmarkStart w:id="33" w:name="_Toc199647676"/>
      <w:bookmarkEnd w:id="33"/>
      <w:bookmarkStart w:id="34" w:name="_Toc462911099"/>
    </w:p>
    <w:p>
      <w:pPr>
        <w:outlineLvl w:val="1"/>
        <w:rPr>
          <w:rFonts w:ascii="仿宋" w:hAnsi="仿宋" w:eastAsia="仿宋" w:cs="仿宋"/>
          <w:kern w:val="24"/>
          <w:sz w:val="28"/>
          <w:szCs w:val="28"/>
        </w:rPr>
      </w:pPr>
      <w:r>
        <w:rPr>
          <w:rFonts w:hint="eastAsia" w:ascii="宋体" w:hAnsi="宋体" w:eastAsia="宋体" w:cs="黑体"/>
          <w:b/>
          <w:spacing w:val="4"/>
          <w:kern w:val="0"/>
          <w:sz w:val="28"/>
          <w:szCs w:val="28"/>
        </w:rPr>
        <w:t>格式六</w:t>
      </w:r>
      <w:bookmarkEnd w:id="34"/>
      <w:r>
        <w:rPr>
          <w:rFonts w:hint="eastAsia" w:ascii="仿宋" w:hAnsi="仿宋" w:eastAsia="仿宋" w:cs="仿宋"/>
          <w:kern w:val="24"/>
          <w:sz w:val="28"/>
          <w:szCs w:val="28"/>
        </w:rPr>
        <w:t>：</w:t>
      </w:r>
    </w:p>
    <w:p>
      <w:pPr>
        <w:ind w:firstLine="480" w:firstLineChars="200"/>
        <w:rPr>
          <w:rFonts w:ascii="仿宋" w:hAnsi="仿宋" w:eastAsia="仿宋" w:cs="仿宋"/>
          <w:kern w:val="24"/>
          <w:sz w:val="24"/>
        </w:rPr>
      </w:pPr>
      <w:r>
        <w:rPr>
          <w:rFonts w:hint="eastAsia" w:ascii="仿宋" w:hAnsi="仿宋" w:eastAsia="仿宋" w:cs="仿宋"/>
          <w:kern w:val="24"/>
          <w:sz w:val="24"/>
        </w:rPr>
        <w:t>2017年1月1日至今企业承担的同类项目</w:t>
      </w:r>
    </w:p>
    <w:p>
      <w:pPr>
        <w:spacing w:before="85" w:beforeLines="30" w:line="360" w:lineRule="auto"/>
        <w:jc w:val="center"/>
        <w:outlineLvl w:val="2"/>
        <w:rPr>
          <w:rFonts w:ascii="仿宋" w:hAnsi="仿宋" w:eastAsia="仿宋" w:cs="仿宋"/>
          <w:kern w:val="24"/>
          <w:sz w:val="28"/>
          <w:szCs w:val="28"/>
        </w:rPr>
      </w:pPr>
      <w:bookmarkStart w:id="35" w:name="_Toc41822705"/>
      <w:bookmarkEnd w:id="35"/>
      <w:bookmarkStart w:id="36" w:name="_Toc196130015"/>
      <w:bookmarkEnd w:id="36"/>
      <w:bookmarkStart w:id="37" w:name="_Toc196037099"/>
      <w:bookmarkEnd w:id="37"/>
      <w:bookmarkStart w:id="38" w:name="_Toc197235850"/>
      <w:bookmarkEnd w:id="38"/>
      <w:bookmarkStart w:id="39" w:name="_Toc196130112"/>
      <w:bookmarkEnd w:id="39"/>
      <w:bookmarkStart w:id="40" w:name="_Toc199647677"/>
      <w:bookmarkEnd w:id="40"/>
      <w:bookmarkStart w:id="41" w:name="_Toc196036943"/>
      <w:bookmarkEnd w:id="41"/>
      <w:bookmarkStart w:id="42" w:name="_Toc326909215"/>
      <w:r>
        <w:rPr>
          <w:rFonts w:hint="eastAsia" w:ascii="仿宋" w:hAnsi="仿宋" w:eastAsia="仿宋" w:cs="仿宋"/>
          <w:b/>
          <w:bCs/>
          <w:kern w:val="24"/>
          <w:sz w:val="36"/>
          <w:szCs w:val="36"/>
        </w:rPr>
        <w:t>业绩一览表</w:t>
      </w:r>
      <w:bookmarkEnd w:id="42"/>
    </w:p>
    <w:p>
      <w:pPr>
        <w:adjustRightInd w:val="0"/>
        <w:snapToGrid w:val="0"/>
        <w:spacing w:before="85" w:beforeLines="30" w:line="360" w:lineRule="auto"/>
        <w:ind w:firstLine="360" w:firstLineChars="1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7"/>
        <w:tblW w:w="7926" w:type="dxa"/>
        <w:jc w:val="center"/>
        <w:tblInd w:w="0" w:type="dxa"/>
        <w:tblLayout w:type="fixed"/>
        <w:tblCellMar>
          <w:top w:w="0" w:type="dxa"/>
          <w:left w:w="108" w:type="dxa"/>
          <w:bottom w:w="0" w:type="dxa"/>
          <w:right w:w="108" w:type="dxa"/>
        </w:tblCellMar>
      </w:tblPr>
      <w:tblGrid>
        <w:gridCol w:w="724"/>
        <w:gridCol w:w="2002"/>
        <w:gridCol w:w="2567"/>
        <w:gridCol w:w="1303"/>
        <w:gridCol w:w="1330"/>
      </w:tblGrid>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业绩简介</w:t>
            </w:r>
          </w:p>
        </w:tc>
        <w:tc>
          <w:tcPr>
            <w:tcW w:w="130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面积</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r>
              <w:rPr>
                <w:rFonts w:hint="eastAsia" w:ascii="仿宋" w:hAnsi="仿宋" w:eastAsia="仿宋" w:cs="仿宋"/>
                <w:sz w:val="24"/>
              </w:rPr>
              <w:t>完成时间</w:t>
            </w: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c>
          <w:tcPr>
            <w:tcW w:w="1303" w:type="dxa"/>
            <w:tcBorders>
              <w:top w:val="single" w:color="auto" w:sz="4" w:space="0"/>
              <w:left w:val="nil"/>
              <w:bottom w:val="single" w:color="auto" w:sz="4" w:space="0"/>
              <w:right w:val="single" w:color="auto" w:sz="4" w:space="0"/>
            </w:tcBorders>
            <w:shd w:val="clear" w:color="auto" w:fill="auto"/>
          </w:tcPr>
          <w:p>
            <w:pPr>
              <w:spacing w:line="360" w:lineRule="auto"/>
              <w:jc w:val="center"/>
              <w:rPr>
                <w:rFonts w:ascii="仿宋" w:hAnsi="仿宋" w:eastAsia="仿宋" w:cs="仿宋"/>
                <w:sz w:val="24"/>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sz w:val="24"/>
              </w:rPr>
            </w:pPr>
          </w:p>
        </w:tc>
      </w:tr>
    </w:tbl>
    <w:p>
      <w:pPr>
        <w:spacing w:line="360" w:lineRule="auto"/>
        <w:ind w:firstLine="359" w:firstLineChars="171"/>
        <w:rPr>
          <w:rFonts w:ascii="仿宋" w:hAnsi="仿宋" w:eastAsia="仿宋" w:cs="仿宋"/>
        </w:rPr>
      </w:pPr>
      <w:r>
        <w:rPr>
          <w:rFonts w:hint="eastAsia" w:ascii="仿宋" w:hAnsi="仿宋" w:eastAsia="仿宋" w:cs="仿宋"/>
          <w:szCs w:val="21"/>
        </w:rPr>
        <w:t>注：1、投标人提供的同类项目业绩证明资料附于该表后面。业绩证明资料须提供：（1）合同；相关证明资料必须能反映出评标所需指标，否则相应子项不予计分；时间以合同文件签订时间为准。</w:t>
      </w:r>
    </w:p>
    <w:p>
      <w:pPr>
        <w:spacing w:line="360" w:lineRule="auto"/>
        <w:ind w:firstLine="779" w:firstLineChars="371"/>
        <w:rPr>
          <w:rFonts w:ascii="仿宋" w:hAnsi="仿宋" w:eastAsia="仿宋" w:cs="仿宋"/>
          <w:sz w:val="24"/>
        </w:rPr>
      </w:pPr>
      <w:r>
        <w:rPr>
          <w:rFonts w:hint="eastAsia" w:ascii="仿宋" w:hAnsi="仿宋" w:eastAsia="仿宋" w:cs="仿宋"/>
          <w:szCs w:val="21"/>
        </w:rPr>
        <w:t>2、如有获奖，请附获奖证书复印件。</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投标人名称（盖章）：</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600" w:lineRule="exact"/>
        <w:rPr>
          <w:rFonts w:ascii="仿宋" w:hAnsi="仿宋" w:eastAsia="仿宋" w:cs="宋体"/>
          <w:sz w:val="28"/>
          <w:szCs w:val="28"/>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宋体" w:hAnsi="宋体" w:eastAsia="宋体" w:cs="黑体"/>
          <w:b/>
          <w:spacing w:val="4"/>
          <w:kern w:val="0"/>
          <w:sz w:val="28"/>
          <w:szCs w:val="28"/>
        </w:rPr>
      </w:pPr>
      <w:r>
        <w:rPr>
          <w:rFonts w:ascii="宋体" w:hAnsi="宋体" w:eastAsia="宋体" w:cs="黑体"/>
          <w:b/>
          <w:spacing w:val="4"/>
          <w:kern w:val="0"/>
          <w:sz w:val="28"/>
          <w:szCs w:val="28"/>
        </w:rPr>
        <w:br w:type="page"/>
      </w:r>
    </w:p>
    <w:p>
      <w:pPr>
        <w:outlineLvl w:val="1"/>
        <w:rPr>
          <w:rFonts w:ascii="仿宋" w:hAnsi="仿宋" w:eastAsia="宋体" w:cs="宋体"/>
          <w:sz w:val="28"/>
          <w:szCs w:val="28"/>
        </w:rPr>
      </w:pPr>
      <w:r>
        <w:rPr>
          <w:rFonts w:hint="eastAsia" w:ascii="宋体" w:hAnsi="宋体" w:eastAsia="宋体" w:cs="黑体"/>
          <w:b/>
          <w:spacing w:val="4"/>
          <w:kern w:val="0"/>
          <w:sz w:val="28"/>
          <w:szCs w:val="28"/>
        </w:rPr>
        <w:t>格式七</w:t>
      </w:r>
      <w:r>
        <w:rPr>
          <w:rFonts w:hint="eastAsia" w:ascii="仿宋" w:hAnsi="仿宋" w:eastAsia="仿宋" w:cs="宋体"/>
          <w:sz w:val="28"/>
          <w:szCs w:val="28"/>
        </w:rPr>
        <w:t>：</w:t>
      </w:r>
    </w:p>
    <w:p>
      <w:pPr>
        <w:adjustRightInd w:val="0"/>
        <w:snapToGrid w:val="0"/>
        <w:spacing w:before="85" w:beforeLines="30" w:line="360" w:lineRule="auto"/>
        <w:ind w:firstLine="542" w:firstLineChars="150"/>
        <w:jc w:val="center"/>
        <w:outlineLvl w:val="2"/>
        <w:rPr>
          <w:rFonts w:ascii="仿宋" w:hAnsi="仿宋" w:eastAsia="仿宋" w:cs="仿宋"/>
          <w:sz w:val="24"/>
        </w:rPr>
      </w:pPr>
      <w:r>
        <w:rPr>
          <w:rFonts w:hint="eastAsia" w:ascii="仿宋" w:hAnsi="仿宋" w:eastAsia="仿宋" w:cs="宋体"/>
          <w:b/>
          <w:sz w:val="36"/>
          <w:szCs w:val="36"/>
        </w:rPr>
        <w:t>参与本项目的人员一览表</w:t>
      </w:r>
    </w:p>
    <w:p>
      <w:pPr>
        <w:adjustRightInd w:val="0"/>
        <w:snapToGrid w:val="0"/>
        <w:spacing w:before="85" w:beforeLines="30" w:line="360" w:lineRule="auto"/>
        <w:ind w:firstLine="360" w:firstLineChars="1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7"/>
        <w:tblW w:w="8768" w:type="dxa"/>
        <w:jc w:val="center"/>
        <w:tblInd w:w="0" w:type="dxa"/>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kern w:val="0"/>
                <w:sz w:val="24"/>
              </w:rPr>
            </w:pPr>
            <w:r>
              <w:rPr>
                <w:rFonts w:hint="eastAsia" w:ascii="仿宋" w:hAnsi="仿宋" w:eastAsia="仿宋" w:cs="宋体"/>
                <w:kern w:val="0"/>
                <w:sz w:val="24"/>
              </w:rPr>
              <w:t>相关注</w:t>
            </w:r>
          </w:p>
          <w:p>
            <w:pPr>
              <w:snapToGrid w:val="0"/>
              <w:spacing w:line="360" w:lineRule="auto"/>
              <w:jc w:val="center"/>
              <w:rPr>
                <w:rFonts w:ascii="仿宋" w:hAnsi="仿宋" w:eastAsia="仿宋" w:cs="仿宋"/>
                <w:sz w:val="24"/>
              </w:rPr>
            </w:pPr>
            <w:r>
              <w:rPr>
                <w:rFonts w:hint="eastAsia" w:ascii="仿宋" w:hAnsi="仿宋" w:eastAsia="仿宋" w:cs="宋体"/>
                <w:spacing w:val="20"/>
                <w:kern w:val="0"/>
                <w:sz w:val="24"/>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拟承担工作</w:t>
            </w: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r>
        <w:tblPrEx>
          <w:tblLayout w:type="fixed"/>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sz w:val="24"/>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sz w:val="24"/>
              </w:rPr>
            </w:pPr>
          </w:p>
        </w:tc>
      </w:tr>
    </w:tbl>
    <w:p>
      <w:pPr>
        <w:spacing w:line="360" w:lineRule="auto"/>
        <w:rPr>
          <w:rFonts w:ascii="仿宋" w:hAnsi="仿宋" w:eastAsia="仿宋" w:cs="仿宋"/>
        </w:rPr>
      </w:pPr>
      <w:r>
        <w:rPr>
          <w:rFonts w:hint="eastAsia" w:ascii="仿宋" w:hAnsi="仿宋" w:eastAsia="仿宋" w:cs="仿宋"/>
          <w:szCs w:val="21"/>
        </w:rPr>
        <w:t>注：1、“拟承担工作”栏，应注明主要报告编制人员（须注明项目负责人、各专业负责人）等。</w:t>
      </w:r>
    </w:p>
    <w:p>
      <w:pPr>
        <w:spacing w:line="360" w:lineRule="auto"/>
        <w:ind w:firstLine="420" w:firstLineChars="200"/>
        <w:rPr>
          <w:rFonts w:ascii="仿宋" w:hAnsi="仿宋" w:eastAsia="仿宋" w:cs="仿宋"/>
        </w:rPr>
      </w:pPr>
      <w:r>
        <w:rPr>
          <w:rFonts w:hint="eastAsia" w:ascii="仿宋" w:hAnsi="仿宋" w:eastAsia="仿宋" w:cs="仿宋"/>
          <w:szCs w:val="21"/>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rPr>
      </w:pPr>
      <w:r>
        <w:rPr>
          <w:rFonts w:hint="eastAsia" w:ascii="仿宋" w:hAnsi="仿宋" w:eastAsia="仿宋" w:cs="仿宋"/>
          <w:szCs w:val="21"/>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投标人名称（盖章）：</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rPr>
          <w:rFonts w:ascii="仿宋" w:hAnsi="仿宋" w:eastAsia="仿宋" w:cs="仿宋"/>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宋体" w:hAnsi="宋体" w:eastAsia="宋体" w:cs="黑体"/>
          <w:b/>
          <w:spacing w:val="4"/>
          <w:kern w:val="0"/>
          <w:sz w:val="28"/>
          <w:szCs w:val="28"/>
        </w:rPr>
      </w:pPr>
      <w:r>
        <w:rPr>
          <w:rFonts w:ascii="宋体" w:hAnsi="宋体" w:eastAsia="宋体" w:cs="黑体"/>
          <w:b/>
          <w:spacing w:val="4"/>
          <w:kern w:val="0"/>
          <w:sz w:val="28"/>
          <w:szCs w:val="28"/>
        </w:rPr>
        <w:br w:type="page"/>
      </w:r>
    </w:p>
    <w:p>
      <w:pPr>
        <w:outlineLvl w:val="1"/>
        <w:rPr>
          <w:rFonts w:ascii="仿宋" w:hAnsi="仿宋" w:eastAsia="宋体" w:cs="仿宋"/>
          <w:szCs w:val="21"/>
        </w:rPr>
      </w:pPr>
      <w:r>
        <w:rPr>
          <w:rFonts w:hint="eastAsia" w:ascii="仿宋" w:hAnsi="仿宋" w:eastAsia="仿宋" w:cs="仿宋"/>
          <w:szCs w:val="21"/>
        </w:rPr>
        <w:t xml:space="preserve"> </w:t>
      </w:r>
      <w:r>
        <w:rPr>
          <w:rFonts w:hint="eastAsia" w:ascii="宋体" w:hAnsi="宋体" w:eastAsia="宋体" w:cs="黑体"/>
          <w:b/>
          <w:spacing w:val="4"/>
          <w:kern w:val="0"/>
          <w:sz w:val="28"/>
          <w:szCs w:val="28"/>
        </w:rPr>
        <w:t>格式八</w:t>
      </w:r>
      <w:r>
        <w:rPr>
          <w:rFonts w:hint="eastAsia" w:ascii="仿宋" w:hAnsi="仿宋" w:eastAsia="仿宋" w:cs="宋体"/>
          <w:sz w:val="28"/>
          <w:szCs w:val="28"/>
        </w:rPr>
        <w:t>：</w:t>
      </w:r>
    </w:p>
    <w:p>
      <w:pPr>
        <w:spacing w:line="360" w:lineRule="auto"/>
        <w:jc w:val="center"/>
        <w:outlineLvl w:val="2"/>
        <w:rPr>
          <w:rFonts w:ascii="仿宋" w:hAnsi="仿宋" w:eastAsia="仿宋" w:cs="宋体"/>
          <w:b/>
          <w:sz w:val="36"/>
          <w:szCs w:val="36"/>
        </w:rPr>
      </w:pPr>
      <w:r>
        <w:rPr>
          <w:rFonts w:hint="eastAsia" w:ascii="仿宋" w:hAnsi="仿宋" w:eastAsia="仿宋" w:cs="宋体"/>
          <w:b/>
          <w:sz w:val="36"/>
          <w:szCs w:val="36"/>
        </w:rPr>
        <w:t>项目负责人相关经验及业绩</w:t>
      </w:r>
    </w:p>
    <w:p>
      <w:pPr>
        <w:adjustRightInd w:val="0"/>
        <w:snapToGrid w:val="0"/>
        <w:spacing w:before="85" w:beforeLines="30" w:line="360" w:lineRule="auto"/>
        <w:ind w:firstLine="120" w:firstLineChars="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姓  名</w:t>
            </w:r>
          </w:p>
        </w:tc>
        <w:tc>
          <w:tcPr>
            <w:tcW w:w="1079" w:type="dxa"/>
            <w:gridSpan w:val="2"/>
            <w:vAlign w:val="center"/>
          </w:tcPr>
          <w:p>
            <w:pPr>
              <w:spacing w:line="460" w:lineRule="exact"/>
              <w:jc w:val="left"/>
              <w:rPr>
                <w:rFonts w:ascii="宋体" w:hAnsi="宋体" w:eastAsia="宋体" w:cs="宋体"/>
                <w:szCs w:val="21"/>
              </w:rPr>
            </w:pPr>
          </w:p>
        </w:tc>
        <w:tc>
          <w:tcPr>
            <w:tcW w:w="927" w:type="dxa"/>
            <w:vAlign w:val="center"/>
          </w:tcPr>
          <w:p>
            <w:pPr>
              <w:spacing w:line="460" w:lineRule="exact"/>
              <w:jc w:val="left"/>
              <w:rPr>
                <w:rFonts w:ascii="宋体" w:hAnsi="宋体" w:eastAsia="宋体" w:cs="宋体"/>
                <w:szCs w:val="21"/>
              </w:rPr>
            </w:pPr>
            <w:r>
              <w:rPr>
                <w:rFonts w:hint="eastAsia" w:ascii="宋体" w:hAnsi="宋体" w:eastAsia="宋体" w:cs="宋体"/>
                <w:szCs w:val="21"/>
              </w:rPr>
              <w:t>年 龄</w:t>
            </w:r>
          </w:p>
        </w:tc>
        <w:tc>
          <w:tcPr>
            <w:tcW w:w="1065" w:type="dxa"/>
            <w:vAlign w:val="center"/>
          </w:tcPr>
          <w:p>
            <w:pPr>
              <w:spacing w:line="460" w:lineRule="exact"/>
              <w:jc w:val="left"/>
              <w:rPr>
                <w:rFonts w:ascii="宋体" w:hAnsi="宋体" w:eastAsia="宋体" w:cs="宋体"/>
                <w:szCs w:val="21"/>
              </w:rPr>
            </w:pPr>
          </w:p>
        </w:tc>
        <w:tc>
          <w:tcPr>
            <w:tcW w:w="2130" w:type="dxa"/>
            <w:gridSpan w:val="3"/>
            <w:vAlign w:val="center"/>
          </w:tcPr>
          <w:p>
            <w:pPr>
              <w:spacing w:line="460" w:lineRule="exact"/>
              <w:jc w:val="left"/>
              <w:rPr>
                <w:rFonts w:ascii="宋体" w:hAnsi="宋体" w:eastAsia="宋体" w:cs="宋体"/>
                <w:szCs w:val="21"/>
              </w:rPr>
            </w:pPr>
            <w:r>
              <w:rPr>
                <w:rFonts w:hint="eastAsia" w:ascii="宋体" w:hAnsi="宋体" w:eastAsia="宋体" w:cs="宋体"/>
                <w:szCs w:val="21"/>
              </w:rPr>
              <w:t>学 历</w:t>
            </w:r>
          </w:p>
        </w:tc>
        <w:tc>
          <w:tcPr>
            <w:tcW w:w="2135" w:type="dxa"/>
            <w:vAlign w:val="center"/>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职  称</w:t>
            </w:r>
          </w:p>
        </w:tc>
        <w:tc>
          <w:tcPr>
            <w:tcW w:w="1079" w:type="dxa"/>
            <w:gridSpan w:val="2"/>
            <w:vAlign w:val="center"/>
          </w:tcPr>
          <w:p>
            <w:pPr>
              <w:spacing w:line="460" w:lineRule="exact"/>
              <w:jc w:val="left"/>
              <w:rPr>
                <w:rFonts w:ascii="宋体" w:hAnsi="宋体" w:eastAsia="宋体" w:cs="宋体"/>
                <w:szCs w:val="21"/>
              </w:rPr>
            </w:pPr>
          </w:p>
        </w:tc>
        <w:tc>
          <w:tcPr>
            <w:tcW w:w="927" w:type="dxa"/>
            <w:vAlign w:val="center"/>
          </w:tcPr>
          <w:p>
            <w:pPr>
              <w:spacing w:line="460" w:lineRule="exact"/>
              <w:jc w:val="left"/>
              <w:rPr>
                <w:rFonts w:ascii="宋体" w:hAnsi="宋体" w:eastAsia="宋体" w:cs="宋体"/>
                <w:szCs w:val="21"/>
              </w:rPr>
            </w:pPr>
            <w:r>
              <w:rPr>
                <w:rFonts w:hint="eastAsia" w:ascii="宋体" w:hAnsi="宋体" w:eastAsia="宋体" w:cs="宋体"/>
                <w:szCs w:val="21"/>
              </w:rPr>
              <w:t>职 务</w:t>
            </w:r>
          </w:p>
        </w:tc>
        <w:tc>
          <w:tcPr>
            <w:tcW w:w="1065" w:type="dxa"/>
            <w:vAlign w:val="center"/>
          </w:tcPr>
          <w:p>
            <w:pPr>
              <w:spacing w:line="460" w:lineRule="exact"/>
              <w:jc w:val="left"/>
              <w:rPr>
                <w:rFonts w:ascii="宋体" w:hAnsi="宋体" w:eastAsia="宋体" w:cs="宋体"/>
                <w:szCs w:val="21"/>
              </w:rPr>
            </w:pPr>
          </w:p>
        </w:tc>
        <w:tc>
          <w:tcPr>
            <w:tcW w:w="2130" w:type="dxa"/>
            <w:gridSpan w:val="3"/>
            <w:vAlign w:val="center"/>
          </w:tcPr>
          <w:p>
            <w:pPr>
              <w:spacing w:line="460" w:lineRule="exact"/>
              <w:jc w:val="left"/>
              <w:rPr>
                <w:rFonts w:ascii="宋体" w:hAnsi="宋体" w:eastAsia="宋体" w:cs="宋体"/>
                <w:szCs w:val="21"/>
              </w:rPr>
            </w:pPr>
            <w:r>
              <w:rPr>
                <w:rFonts w:hint="eastAsia" w:ascii="宋体" w:hAnsi="宋体" w:eastAsia="宋体" w:cs="宋体"/>
                <w:szCs w:val="21"/>
              </w:rPr>
              <w:t>拟在本合同任职</w:t>
            </w:r>
          </w:p>
        </w:tc>
        <w:tc>
          <w:tcPr>
            <w:tcW w:w="2135" w:type="dxa"/>
            <w:vAlign w:val="center"/>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szCs w:val="21"/>
              </w:rPr>
            </w:pPr>
            <w:r>
              <w:rPr>
                <w:rFonts w:hint="eastAsia" w:ascii="宋体" w:hAnsi="宋体" w:eastAsia="宋体" w:cs="宋体"/>
                <w:szCs w:val="21"/>
              </w:rPr>
              <w:t>毕业学校</w:t>
            </w:r>
          </w:p>
        </w:tc>
        <w:tc>
          <w:tcPr>
            <w:tcW w:w="7336" w:type="dxa"/>
            <w:gridSpan w:val="8"/>
          </w:tcPr>
          <w:p>
            <w:pPr>
              <w:spacing w:line="460" w:lineRule="exact"/>
              <w:jc w:val="left"/>
              <w:rPr>
                <w:rFonts w:ascii="宋体" w:hAnsi="宋体" w:eastAsia="宋体" w:cs="宋体"/>
                <w:szCs w:val="21"/>
              </w:rPr>
            </w:pPr>
            <w:r>
              <w:rPr>
                <w:rFonts w:hint="eastAsia" w:ascii="宋体" w:hAnsi="宋体" w:eastAsia="宋体" w:cs="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szCs w:val="21"/>
              </w:rPr>
            </w:pPr>
            <w:r>
              <w:rPr>
                <w:rFonts w:hint="eastAsia" w:ascii="宋体" w:hAnsi="宋体" w:eastAsia="宋体" w:cs="宋体"/>
                <w:szCs w:val="21"/>
              </w:rPr>
              <w:t>时  间</w:t>
            </w:r>
          </w:p>
        </w:tc>
        <w:tc>
          <w:tcPr>
            <w:tcW w:w="3420" w:type="dxa"/>
            <w:gridSpan w:val="4"/>
            <w:vAlign w:val="center"/>
          </w:tcPr>
          <w:p>
            <w:pPr>
              <w:spacing w:line="460" w:lineRule="exact"/>
              <w:jc w:val="left"/>
              <w:rPr>
                <w:rFonts w:ascii="宋体" w:hAnsi="宋体" w:eastAsia="宋体" w:cs="宋体"/>
                <w:szCs w:val="21"/>
              </w:rPr>
            </w:pPr>
            <w:r>
              <w:rPr>
                <w:rFonts w:hint="eastAsia" w:ascii="宋体" w:hAnsi="宋体" w:eastAsia="宋体" w:cs="宋体"/>
                <w:szCs w:val="21"/>
              </w:rPr>
              <w:t>参加过的类似项目</w:t>
            </w:r>
          </w:p>
        </w:tc>
        <w:tc>
          <w:tcPr>
            <w:tcW w:w="1261" w:type="dxa"/>
            <w:vAlign w:val="center"/>
          </w:tcPr>
          <w:p>
            <w:pPr>
              <w:spacing w:line="460" w:lineRule="exact"/>
              <w:jc w:val="left"/>
              <w:rPr>
                <w:rFonts w:ascii="宋体" w:hAnsi="宋体" w:eastAsia="宋体" w:cs="宋体"/>
                <w:szCs w:val="21"/>
              </w:rPr>
            </w:pPr>
            <w:r>
              <w:rPr>
                <w:rFonts w:hint="eastAsia" w:ascii="宋体" w:hAnsi="宋体" w:eastAsia="宋体" w:cs="宋体"/>
                <w:szCs w:val="21"/>
              </w:rPr>
              <w:t>担任职务</w:t>
            </w:r>
          </w:p>
        </w:tc>
        <w:tc>
          <w:tcPr>
            <w:tcW w:w="2296" w:type="dxa"/>
            <w:gridSpan w:val="2"/>
            <w:vAlign w:val="center"/>
          </w:tcPr>
          <w:p>
            <w:pPr>
              <w:spacing w:line="460" w:lineRule="exact"/>
              <w:jc w:val="left"/>
              <w:rPr>
                <w:rFonts w:ascii="宋体" w:hAnsi="宋体" w:eastAsia="宋体" w:cs="宋体"/>
                <w:szCs w:val="21"/>
              </w:rPr>
            </w:pPr>
            <w:r>
              <w:rPr>
                <w:rFonts w:hint="eastAsia" w:ascii="宋体" w:hAnsi="宋体" w:eastAsia="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szCs w:val="21"/>
              </w:rPr>
            </w:pPr>
          </w:p>
        </w:tc>
        <w:tc>
          <w:tcPr>
            <w:tcW w:w="3420" w:type="dxa"/>
            <w:gridSpan w:val="4"/>
          </w:tcPr>
          <w:p>
            <w:pPr>
              <w:spacing w:line="460" w:lineRule="exact"/>
              <w:jc w:val="left"/>
              <w:rPr>
                <w:rFonts w:ascii="宋体" w:hAnsi="宋体" w:eastAsia="宋体" w:cs="宋体"/>
                <w:szCs w:val="21"/>
              </w:rPr>
            </w:pPr>
          </w:p>
        </w:tc>
        <w:tc>
          <w:tcPr>
            <w:tcW w:w="1261" w:type="dxa"/>
          </w:tcPr>
          <w:p>
            <w:pPr>
              <w:spacing w:line="460" w:lineRule="exact"/>
              <w:jc w:val="left"/>
              <w:rPr>
                <w:rFonts w:ascii="宋体" w:hAnsi="宋体" w:eastAsia="宋体" w:cs="宋体"/>
                <w:szCs w:val="21"/>
              </w:rPr>
            </w:pPr>
          </w:p>
        </w:tc>
        <w:tc>
          <w:tcPr>
            <w:tcW w:w="2296" w:type="dxa"/>
            <w:gridSpan w:val="2"/>
          </w:tcPr>
          <w:p>
            <w:pPr>
              <w:spacing w:line="4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szCs w:val="21"/>
              </w:rPr>
            </w:pPr>
          </w:p>
        </w:tc>
        <w:tc>
          <w:tcPr>
            <w:tcW w:w="3420" w:type="dxa"/>
            <w:gridSpan w:val="4"/>
            <w:vAlign w:val="center"/>
          </w:tcPr>
          <w:p>
            <w:pPr>
              <w:spacing w:line="460" w:lineRule="exact"/>
              <w:jc w:val="left"/>
              <w:rPr>
                <w:rFonts w:ascii="宋体" w:hAnsi="宋体" w:eastAsia="宋体" w:cs="宋体"/>
                <w:szCs w:val="21"/>
              </w:rPr>
            </w:pPr>
          </w:p>
        </w:tc>
        <w:tc>
          <w:tcPr>
            <w:tcW w:w="1261" w:type="dxa"/>
            <w:vAlign w:val="center"/>
          </w:tcPr>
          <w:p>
            <w:pPr>
              <w:spacing w:line="460" w:lineRule="exact"/>
              <w:jc w:val="left"/>
              <w:rPr>
                <w:rFonts w:ascii="宋体" w:hAnsi="宋体" w:eastAsia="宋体" w:cs="宋体"/>
                <w:szCs w:val="21"/>
              </w:rPr>
            </w:pPr>
          </w:p>
        </w:tc>
        <w:tc>
          <w:tcPr>
            <w:tcW w:w="2296" w:type="dxa"/>
            <w:gridSpan w:val="2"/>
            <w:vAlign w:val="center"/>
          </w:tcPr>
          <w:p>
            <w:pPr>
              <w:spacing w:line="460" w:lineRule="exact"/>
              <w:jc w:val="left"/>
              <w:rPr>
                <w:rFonts w:ascii="宋体" w:hAnsi="宋体" w:eastAsia="宋体" w:cs="宋体"/>
                <w:szCs w:val="21"/>
              </w:rPr>
            </w:pPr>
          </w:p>
        </w:tc>
      </w:tr>
    </w:tbl>
    <w:p>
      <w:pPr>
        <w:rPr>
          <w:rFonts w:ascii="仿宋" w:hAnsi="仿宋" w:eastAsia="仿宋" w:cs="仿宋"/>
          <w:szCs w:val="21"/>
        </w:rPr>
      </w:pPr>
    </w:p>
    <w:p>
      <w:pPr>
        <w:rPr>
          <w:rFonts w:ascii="仿宋" w:hAnsi="仿宋" w:eastAsia="仿宋" w:cs="Arial"/>
        </w:rPr>
      </w:pPr>
      <w:r>
        <w:rPr>
          <w:rFonts w:hint="eastAsia" w:ascii="仿宋" w:hAnsi="仿宋" w:eastAsia="仿宋" w:cs="仿宋"/>
          <w:szCs w:val="21"/>
        </w:rPr>
        <w:t>注：1、</w:t>
      </w:r>
      <w:r>
        <w:rPr>
          <w:rFonts w:hint="eastAsia" w:ascii="仿宋" w:hAnsi="仿宋" w:eastAsia="仿宋" w:cs="Arial"/>
          <w:szCs w:val="21"/>
        </w:rPr>
        <w:t>本格式仅供参考，投标人可根据实际情况自定。</w:t>
      </w:r>
    </w:p>
    <w:p>
      <w:pPr>
        <w:ind w:firstLine="424" w:firstLineChars="202"/>
        <w:rPr>
          <w:rFonts w:ascii="仿宋" w:hAnsi="仿宋" w:eastAsia="仿宋" w:cs="仿宋"/>
        </w:rPr>
      </w:pPr>
      <w:r>
        <w:rPr>
          <w:rFonts w:hint="eastAsia" w:ascii="仿宋" w:hAnsi="仿宋" w:eastAsia="仿宋" w:cs="仿宋"/>
          <w:szCs w:val="21"/>
        </w:rPr>
        <w:t>2、项目负责人必须附执业证书及资格证书（项目负责人提供）、身份证、职称证书及业绩等证明材料（复印件，加盖单位公章）。</w:t>
      </w:r>
    </w:p>
    <w:p>
      <w:pPr>
        <w:ind w:firstLine="424" w:firstLineChars="202"/>
        <w:rPr>
          <w:rFonts w:ascii="仿宋" w:hAnsi="仿宋" w:eastAsia="仿宋" w:cs="仿宋"/>
        </w:rPr>
      </w:pPr>
      <w:r>
        <w:rPr>
          <w:rFonts w:hint="eastAsia" w:ascii="仿宋" w:hAnsi="仿宋" w:eastAsia="仿宋" w:cs="仿宋"/>
          <w:szCs w:val="21"/>
        </w:rPr>
        <w:t>3、业绩证明资料须提供：（1）合同；相关证明资料中必须能反映出评标所需指标、人员姓名和岗位等，否则相应子项不予计分。</w:t>
      </w:r>
    </w:p>
    <w:p>
      <w:pPr>
        <w:spacing w:line="360" w:lineRule="auto"/>
        <w:rPr>
          <w:rFonts w:ascii="仿宋" w:hAnsi="仿宋" w:eastAsia="仿宋" w:cs="仿宋"/>
          <w:sz w:val="24"/>
        </w:rPr>
      </w:pPr>
      <w:r>
        <w:rPr>
          <w:rFonts w:hint="eastAsia" w:ascii="仿宋" w:hAnsi="仿宋" w:eastAsia="仿宋" w:cs="仿宋"/>
          <w:sz w:val="24"/>
        </w:rPr>
        <w:t xml:space="preserve"> </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投标人名称（盖章）：</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adjustRightInd w:val="0"/>
        <w:snapToGrid w:val="0"/>
        <w:spacing w:before="85" w:beforeLines="30" w:line="360" w:lineRule="auto"/>
        <w:rPr>
          <w:rFonts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widowControl/>
        <w:ind w:firstLine="0" w:firstLineChars="0"/>
        <w:rPr>
          <w:spacing w:val="18"/>
        </w:rPr>
      </w:pPr>
      <w:r>
        <w:rPr>
          <w:spacing w:val="18"/>
        </w:rPr>
        <w:t xml:space="preserve"> </w:t>
      </w:r>
    </w:p>
    <w:p>
      <w:pPr>
        <w:widowControl/>
        <w:spacing w:line="360" w:lineRule="auto"/>
        <w:jc w:val="left"/>
        <w:rPr>
          <w:rFonts w:ascii="宋体" w:hAnsi="宋体" w:eastAsia="宋体" w:cs="宋体"/>
          <w:sz w:val="24"/>
        </w:rPr>
      </w:pPr>
      <w:r>
        <w:rPr>
          <w:rFonts w:hint="eastAsia" w:ascii="宋体" w:hAnsi="宋体" w:eastAsia="宋体" w:cs="宋体"/>
          <w:sz w:val="24"/>
        </w:rPr>
        <w:t xml:space="preserve"> </w:t>
      </w:r>
    </w:p>
    <w:p>
      <w:pPr>
        <w:spacing w:line="360" w:lineRule="auto"/>
        <w:rPr>
          <w:rFonts w:ascii="宋体" w:hAnsi="宋体" w:eastAsia="宋体" w:cs="宋体"/>
          <w:sz w:val="24"/>
        </w:rPr>
      </w:pPr>
      <w:r>
        <w:rPr>
          <w:rFonts w:hint="eastAsia" w:ascii="宋体" w:hAnsi="宋体" w:eastAsia="宋体" w:cs="宋体"/>
          <w:sz w:val="24"/>
        </w:rPr>
        <w:t xml:space="preserve"> </w:t>
      </w:r>
    </w:p>
    <w:p>
      <w:pPr>
        <w:spacing w:line="360" w:lineRule="auto"/>
        <w:rPr>
          <w:rFonts w:ascii="宋体" w:hAnsi="宋体" w:eastAsia="宋体" w:cs="宋体"/>
          <w:sz w:val="24"/>
        </w:rPr>
        <w:sectPr>
          <w:footerReference r:id="rId3" w:type="default"/>
          <w:pgSz w:w="11915" w:h="16840"/>
          <w:pgMar w:top="1247" w:right="1135" w:bottom="1247" w:left="1361" w:header="720" w:footer="720" w:gutter="0"/>
          <w:pgNumType w:start="1"/>
          <w:cols w:space="425" w:num="1"/>
          <w:docGrid w:type="lines" w:linePitch="285" w:charSpace="0"/>
        </w:sectPr>
      </w:pPr>
    </w:p>
    <w:p>
      <w:pPr>
        <w:spacing w:line="360" w:lineRule="auto"/>
        <w:outlineLvl w:val="1"/>
        <w:rPr>
          <w:rFonts w:ascii="仿宋" w:hAnsi="仿宋" w:eastAsia="仿宋" w:cs="宋体"/>
          <w:sz w:val="28"/>
          <w:szCs w:val="28"/>
        </w:rPr>
      </w:pPr>
      <w:r>
        <w:rPr>
          <w:rFonts w:hint="eastAsia" w:ascii="宋体" w:hAnsi="宋体" w:eastAsia="宋体" w:cs="黑体"/>
          <w:b/>
          <w:spacing w:val="4"/>
          <w:kern w:val="0"/>
          <w:sz w:val="28"/>
          <w:szCs w:val="28"/>
        </w:rPr>
        <w:t>格式九：</w:t>
      </w:r>
    </w:p>
    <w:p>
      <w:pPr>
        <w:autoSpaceDE w:val="0"/>
        <w:autoSpaceDN w:val="0"/>
        <w:adjustRightInd w:val="0"/>
        <w:spacing w:line="360" w:lineRule="auto"/>
        <w:jc w:val="center"/>
        <w:rPr>
          <w:rFonts w:ascii="黑体" w:hAnsi="黑体" w:eastAsia="黑体" w:cs="黑体"/>
          <w:b/>
          <w:bCs/>
          <w:sz w:val="32"/>
          <w:szCs w:val="32"/>
          <w:lang w:val="zh-CN"/>
        </w:rPr>
      </w:pPr>
      <w:r>
        <w:rPr>
          <w:rFonts w:hint="eastAsia" w:ascii="黑体" w:hAnsi="黑体" w:eastAsia="黑体" w:cs="黑体"/>
          <w:b/>
          <w:bCs/>
          <w:sz w:val="32"/>
          <w:szCs w:val="32"/>
          <w:lang w:val="zh-CN"/>
        </w:rPr>
        <w:t>报价表</w:t>
      </w:r>
    </w:p>
    <w:p>
      <w:pPr>
        <w:wordWrap w:val="0"/>
        <w:autoSpaceDE w:val="0"/>
        <w:autoSpaceDN w:val="0"/>
        <w:adjustRightInd w:val="0"/>
        <w:spacing w:line="360" w:lineRule="auto"/>
        <w:jc w:val="right"/>
        <w:rPr>
          <w:rFonts w:ascii="宋体" w:hAnsi="宋体" w:cs="宋体"/>
          <w:bCs/>
          <w:szCs w:val="21"/>
          <w:lang w:val="zh-CN"/>
        </w:rPr>
      </w:pPr>
      <w:r>
        <w:rPr>
          <w:rFonts w:hint="eastAsia" w:ascii="宋体" w:hAnsi="宋体" w:cs="宋体"/>
          <w:bCs/>
          <w:szCs w:val="21"/>
          <w:lang w:val="zh-CN"/>
        </w:rPr>
        <w:t>投标日期：    年   月   日</w:t>
      </w:r>
    </w:p>
    <w:tbl>
      <w:tblPr>
        <w:tblStyle w:val="17"/>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rPr>
              <w:t>项目</w:t>
            </w:r>
            <w:r>
              <w:rPr>
                <w:rFonts w:hint="eastAsia" w:ascii="宋体" w:hAnsi="宋体" w:cs="宋体"/>
                <w:bCs/>
                <w:szCs w:val="21"/>
                <w:lang w:val="zh-CN"/>
              </w:rPr>
              <w:t>名称</w:t>
            </w:r>
          </w:p>
        </w:tc>
        <w:tc>
          <w:tcPr>
            <w:tcW w:w="6699" w:type="dxa"/>
            <w:vAlign w:val="center"/>
          </w:tcPr>
          <w:p>
            <w:pPr>
              <w:autoSpaceDE w:val="0"/>
              <w:autoSpaceDN w:val="0"/>
              <w:adjustRightInd w:val="0"/>
              <w:snapToGrid w:val="0"/>
              <w:spacing w:line="360" w:lineRule="auto"/>
              <w:jc w:val="left"/>
              <w:rPr>
                <w:rFonts w:ascii="宋体" w:hAnsi="宋体" w:cs="宋体"/>
                <w:bCs/>
                <w:szCs w:val="21"/>
                <w:lang w:val="zh-CN"/>
              </w:rPr>
            </w:pPr>
            <w:r>
              <w:rPr>
                <w:rFonts w:hint="eastAsia" w:ascii="宋体" w:hAnsi="宋体" w:cs="宋体"/>
                <w:bCs/>
                <w:szCs w:val="21"/>
              </w:rPr>
              <w:t>广州市海防教育基地项目交通渡口码头工程文物保护影响评估报告编制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投标总报价</w:t>
            </w:r>
          </w:p>
        </w:tc>
        <w:tc>
          <w:tcPr>
            <w:tcW w:w="6699" w:type="dxa"/>
            <w:vAlign w:val="center"/>
          </w:tcPr>
          <w:p>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szCs w:val="21"/>
                <w:lang w:val="zh-CN"/>
              </w:rPr>
            </w:pPr>
          </w:p>
        </w:tc>
        <w:tc>
          <w:tcPr>
            <w:tcW w:w="6699" w:type="dxa"/>
            <w:vAlign w:val="center"/>
          </w:tcPr>
          <w:p>
            <w:pPr>
              <w:autoSpaceDE w:val="0"/>
              <w:autoSpaceDN w:val="0"/>
              <w:adjustRightInd w:val="0"/>
              <w:snapToGrid w:val="0"/>
              <w:spacing w:line="360" w:lineRule="auto"/>
              <w:jc w:val="left"/>
              <w:rPr>
                <w:rFonts w:ascii="宋体" w:hAnsi="宋体" w:cs="宋体"/>
                <w:bCs/>
                <w:szCs w:val="21"/>
              </w:rPr>
            </w:pPr>
            <w:r>
              <w:rPr>
                <w:rFonts w:hint="eastAsia" w:ascii="宋体" w:hAnsi="宋体" w:cs="宋体"/>
                <w:bCs/>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法定代表人</w:t>
            </w:r>
          </w:p>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授权委托人</w:t>
            </w:r>
          </w:p>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投标单位</w:t>
            </w:r>
          </w:p>
          <w:p>
            <w:pPr>
              <w:autoSpaceDE w:val="0"/>
              <w:autoSpaceDN w:val="0"/>
              <w:adjustRightInd w:val="0"/>
              <w:snapToGrid w:val="0"/>
              <w:spacing w:line="360" w:lineRule="auto"/>
              <w:jc w:val="center"/>
              <w:rPr>
                <w:rFonts w:ascii="宋体" w:hAnsi="宋体" w:cs="宋体"/>
                <w:bCs/>
                <w:szCs w:val="21"/>
                <w:lang w:val="zh-CN"/>
              </w:rPr>
            </w:pPr>
            <w:r>
              <w:rPr>
                <w:rFonts w:hint="eastAsia" w:ascii="宋体" w:hAnsi="宋体" w:cs="宋体"/>
                <w:bCs/>
                <w:szCs w:val="21"/>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szCs w:val="21"/>
                <w:lang w:val="zh-CN"/>
              </w:rPr>
            </w:pPr>
          </w:p>
        </w:tc>
      </w:tr>
    </w:tbl>
    <w:p>
      <w:pPr>
        <w:pStyle w:val="8"/>
        <w:spacing w:line="360" w:lineRule="auto"/>
        <w:ind w:firstLine="210" w:firstLineChars="100"/>
        <w:rPr>
          <w:rFonts w:hint="default" w:hAnsi="宋体" w:cs="宋体"/>
          <w:bCs/>
        </w:rPr>
      </w:pPr>
      <w:r>
        <w:rPr>
          <w:rFonts w:hAnsi="宋体" w:cs="宋体"/>
          <w:bCs/>
        </w:rPr>
        <w:t>注：（1）投标总报价的大写金额和小写金额不一致的，以大写金额为准，投标报价精确到小数点后两位。</w:t>
      </w:r>
    </w:p>
    <w:p>
      <w:pPr>
        <w:pStyle w:val="8"/>
        <w:spacing w:line="360" w:lineRule="auto"/>
        <w:ind w:firstLine="210" w:firstLineChars="100"/>
        <w:rPr>
          <w:rFonts w:hint="default" w:hAnsi="宋体" w:cs="宋体"/>
        </w:rPr>
      </w:pPr>
      <w:r>
        <w:rPr>
          <w:rFonts w:hAnsi="宋体" w:cs="宋体"/>
          <w:bCs/>
        </w:rPr>
        <w:t>（2）</w:t>
      </w:r>
      <w:r>
        <w:rPr>
          <w:rFonts w:hAnsi="宋体" w:cs="宋体"/>
        </w:rPr>
        <w:t>本项目招标总控制价详见投标须知前附表约定。</w:t>
      </w:r>
    </w:p>
    <w:p>
      <w:pPr>
        <w:spacing w:line="360" w:lineRule="auto"/>
        <w:rPr>
          <w:rFonts w:hAnsi="宋体"/>
          <w:b/>
        </w:rPr>
      </w:pPr>
      <w:r>
        <w:rPr>
          <w:rFonts w:hAnsi="宋体"/>
          <w:b/>
        </w:rPr>
        <w:br w:type="page"/>
      </w:r>
    </w:p>
    <w:p>
      <w:pPr>
        <w:jc w:val="left"/>
        <w:rPr>
          <w:b/>
          <w:sz w:val="24"/>
        </w:rPr>
      </w:pPr>
      <w:r>
        <w:rPr>
          <w:rFonts w:hint="eastAsia"/>
          <w:b/>
          <w:sz w:val="24"/>
        </w:rPr>
        <w:t>封面</w:t>
      </w:r>
      <w:r>
        <w:rPr>
          <w:rFonts w:hint="eastAsia" w:ascii="宋体" w:hAnsi="宋体"/>
          <w:b/>
          <w:sz w:val="24"/>
        </w:rPr>
        <w:t>格式1：</w:t>
      </w:r>
    </w:p>
    <w:p>
      <w:pPr>
        <w:spacing w:line="400" w:lineRule="exact"/>
        <w:ind w:right="-1359" w:rightChars="-647" w:firstLine="6726" w:firstLineChars="1861"/>
        <w:jc w:val="left"/>
        <w:rPr>
          <w:rFonts w:ascii="黑体" w:eastAsia="黑体"/>
          <w:b/>
          <w:sz w:val="36"/>
          <w:szCs w:val="36"/>
        </w:rPr>
      </w:pPr>
      <w:r>
        <w:rPr>
          <w:rFonts w:hint="eastAsia" w:ascii="黑体" w:eastAsia="黑体"/>
          <w:b/>
          <w:sz w:val="36"/>
          <w:szCs w:val="36"/>
        </w:rPr>
        <w:t>正本或副本</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b/>
          <w:sz w:val="44"/>
          <w:szCs w:val="44"/>
        </w:rPr>
      </w:pPr>
      <w:r>
        <w:rPr>
          <w:rFonts w:hint="eastAsia" w:ascii="宋体" w:hAnsi="宋体"/>
          <w:b/>
          <w:sz w:val="44"/>
          <w:szCs w:val="44"/>
        </w:rPr>
        <w:t>项目名称</w:t>
      </w:r>
    </w:p>
    <w:p>
      <w:pPr>
        <w:jc w:val="center"/>
        <w:rPr>
          <w:b/>
          <w:sz w:val="48"/>
          <w:szCs w:val="48"/>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28"/>
          <w:szCs w:val="28"/>
        </w:rPr>
      </w:pPr>
      <w:r>
        <w:rPr>
          <w:rFonts w:hint="eastAsia" w:eastAsia="黑体"/>
          <w:sz w:val="52"/>
          <w:szCs w:val="52"/>
        </w:rPr>
        <w:t>商务文件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720" w:lineRule="auto"/>
        <w:rPr>
          <w:rFonts w:eastAsia="黑体"/>
          <w:sz w:val="28"/>
          <w:szCs w:val="28"/>
        </w:rPr>
      </w:pPr>
    </w:p>
    <w:p>
      <w:pPr>
        <w:spacing w:line="480" w:lineRule="auto"/>
        <w:rPr>
          <w:rFonts w:eastAsia="黑体"/>
          <w:sz w:val="28"/>
          <w:szCs w:val="28"/>
          <w:u w:val="single"/>
        </w:rPr>
      </w:pPr>
      <w:r>
        <w:rPr>
          <w:rFonts w:hint="eastAsia" w:eastAsia="黑体"/>
          <w:sz w:val="28"/>
          <w:szCs w:val="28"/>
        </w:rPr>
        <w:t>投标人：（盖单位章）</w:t>
      </w:r>
    </w:p>
    <w:p>
      <w:pPr>
        <w:spacing w:line="480" w:lineRule="auto"/>
        <w:rPr>
          <w:rFonts w:eastAsia="黑体"/>
          <w:sz w:val="28"/>
          <w:szCs w:val="28"/>
        </w:rPr>
      </w:pPr>
      <w:r>
        <w:rPr>
          <w:rFonts w:hint="eastAsia" w:eastAsia="黑体"/>
          <w:sz w:val="28"/>
          <w:szCs w:val="28"/>
        </w:rPr>
        <w:t>法定代表人或其委托代理人：（签名或盖章）</w:t>
      </w:r>
    </w:p>
    <w:p>
      <w:pPr>
        <w:autoSpaceDE w:val="0"/>
        <w:autoSpaceDN w:val="0"/>
        <w:adjustRightInd w:val="0"/>
        <w:spacing w:line="480" w:lineRule="auto"/>
        <w:ind w:firstLine="1120" w:firstLineChars="400"/>
        <w:rPr>
          <w:rFonts w:eastAsia="黑体"/>
          <w:sz w:val="28"/>
          <w:szCs w:val="28"/>
        </w:rPr>
      </w:pPr>
      <w:r>
        <w:rPr>
          <w:rFonts w:hint="eastAsia" w:eastAsia="黑体"/>
          <w:sz w:val="28"/>
          <w:szCs w:val="28"/>
        </w:rPr>
        <w:t>年  月  日</w:t>
      </w:r>
    </w:p>
    <w:p>
      <w:pPr>
        <w:widowControl/>
        <w:jc w:val="left"/>
        <w:rPr>
          <w:b/>
          <w:sz w:val="24"/>
        </w:rPr>
      </w:pPr>
      <w:r>
        <w:rPr>
          <w:b/>
          <w:sz w:val="24"/>
        </w:rPr>
        <w:br w:type="page"/>
      </w:r>
    </w:p>
    <w:p>
      <w:pPr>
        <w:jc w:val="left"/>
        <w:rPr>
          <w:b/>
          <w:sz w:val="24"/>
        </w:rPr>
      </w:pPr>
      <w:r>
        <w:rPr>
          <w:rFonts w:hint="eastAsia"/>
          <w:b/>
          <w:sz w:val="24"/>
        </w:rPr>
        <w:t>封面</w:t>
      </w:r>
      <w:r>
        <w:rPr>
          <w:rFonts w:hint="eastAsia" w:ascii="宋体" w:hAnsi="宋体"/>
          <w:b/>
          <w:sz w:val="24"/>
        </w:rPr>
        <w:t>格式2：</w:t>
      </w:r>
    </w:p>
    <w:p>
      <w:pPr>
        <w:spacing w:line="400" w:lineRule="exact"/>
        <w:ind w:right="-1359" w:rightChars="-647" w:firstLine="6726" w:firstLineChars="1861"/>
        <w:jc w:val="left"/>
        <w:rPr>
          <w:rFonts w:ascii="黑体" w:eastAsia="黑体"/>
          <w:b/>
          <w:sz w:val="36"/>
          <w:szCs w:val="36"/>
        </w:rPr>
      </w:pPr>
      <w:r>
        <w:rPr>
          <w:rFonts w:hint="eastAsia" w:ascii="黑体" w:eastAsia="黑体"/>
          <w:b/>
          <w:sz w:val="36"/>
          <w:szCs w:val="36"/>
        </w:rPr>
        <w:t>正本或副本</w:t>
      </w: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rFonts w:ascii="宋体"/>
          <w:b/>
          <w:sz w:val="32"/>
          <w:szCs w:val="32"/>
        </w:rPr>
      </w:pPr>
    </w:p>
    <w:p>
      <w:pPr>
        <w:jc w:val="center"/>
        <w:rPr>
          <w:b/>
          <w:sz w:val="44"/>
          <w:szCs w:val="44"/>
        </w:rPr>
      </w:pPr>
      <w:r>
        <w:rPr>
          <w:rFonts w:hint="eastAsia" w:ascii="宋体" w:hAnsi="宋体"/>
          <w:b/>
          <w:sz w:val="44"/>
          <w:szCs w:val="44"/>
        </w:rPr>
        <w:t>项目名称</w:t>
      </w:r>
    </w:p>
    <w:p>
      <w:pPr>
        <w:jc w:val="center"/>
        <w:rPr>
          <w:b/>
          <w:sz w:val="48"/>
          <w:szCs w:val="48"/>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52"/>
          <w:szCs w:val="52"/>
        </w:rPr>
      </w:pPr>
      <w:r>
        <w:rPr>
          <w:rFonts w:hint="eastAsia" w:eastAsia="黑体"/>
          <w:sz w:val="52"/>
          <w:szCs w:val="52"/>
        </w:rPr>
        <w:t>设计技术文件</w:t>
      </w:r>
    </w:p>
    <w:p>
      <w:pPr>
        <w:autoSpaceDE w:val="0"/>
        <w:autoSpaceDN w:val="0"/>
        <w:adjustRightInd w:val="0"/>
        <w:spacing w:line="480" w:lineRule="auto"/>
        <w:rPr>
          <w:rFonts w:eastAsia="黑体"/>
          <w:sz w:val="28"/>
          <w:szCs w:val="28"/>
        </w:rPr>
      </w:pPr>
    </w:p>
    <w:p>
      <w:pPr>
        <w:pStyle w:val="8"/>
        <w:rPr>
          <w:rFonts w:hint="default"/>
        </w:rPr>
      </w:pPr>
      <w:r>
        <w:br w:type="page"/>
      </w:r>
    </w:p>
    <w:p>
      <w:pPr>
        <w:pStyle w:val="8"/>
        <w:rPr>
          <w:rFonts w:hint="default"/>
        </w:rPr>
      </w:pPr>
      <w:r>
        <w:rPr>
          <w:rFonts w:hAnsi="宋体" w:cs="宋体"/>
          <w:sz w:val="24"/>
        </w:rPr>
        <w:t xml:space="preserve"> </w:t>
      </w:r>
    </w:p>
    <w:p>
      <w:pPr>
        <w:pStyle w:val="8"/>
        <w:rPr>
          <w:rFonts w:hint="default"/>
        </w:rPr>
      </w:pPr>
      <w:r>
        <w:t xml:space="preserve"> </w:t>
      </w:r>
    </w:p>
    <w:p>
      <w:pPr>
        <w:pStyle w:val="8"/>
        <w:rPr>
          <w:rFonts w:hint="default"/>
        </w:rPr>
      </w:pPr>
      <w:bookmarkStart w:id="43" w:name="_Toc374128477"/>
      <w:bookmarkEnd w:id="43"/>
      <w:bookmarkStart w:id="44" w:name="_Toc30913"/>
    </w:p>
    <w:p>
      <w:pPr>
        <w:pStyle w:val="8"/>
        <w:rPr>
          <w:rFonts w:hint="default"/>
        </w:rPr>
      </w:pPr>
    </w:p>
    <w:p>
      <w:pPr>
        <w:pStyle w:val="8"/>
        <w:rPr>
          <w:rFonts w:hint="default"/>
        </w:rPr>
      </w:pPr>
    </w:p>
    <w:p>
      <w:pPr>
        <w:pStyle w:val="8"/>
        <w:rPr>
          <w:rFonts w:hint="default"/>
        </w:rPr>
      </w:pPr>
    </w:p>
    <w:p>
      <w:pPr>
        <w:pStyle w:val="3"/>
        <w:widowControl/>
        <w:spacing w:before="0" w:after="0" w:line="360" w:lineRule="auto"/>
        <w:jc w:val="center"/>
        <w:rPr>
          <w:rFonts w:ascii="黑体" w:hAnsi="宋体" w:cs="黑体"/>
          <w:b/>
          <w:color w:val="auto"/>
          <w:kern w:val="44"/>
          <w:sz w:val="44"/>
          <w:szCs w:val="44"/>
        </w:rPr>
      </w:pPr>
      <w:r>
        <w:rPr>
          <w:rFonts w:hint="eastAsia" w:ascii="黑体" w:hAnsi="宋体" w:cs="黑体"/>
          <w:b/>
          <w:color w:val="auto"/>
          <w:kern w:val="44"/>
          <w:sz w:val="44"/>
          <w:szCs w:val="44"/>
        </w:rPr>
        <w:t>第4章 评标办法</w:t>
      </w:r>
      <w:bookmarkEnd w:id="44"/>
    </w:p>
    <w:p>
      <w:pPr>
        <w:spacing w:after="120" w:afterLines="50"/>
        <w:jc w:val="center"/>
        <w:rPr>
          <w:rFonts w:eastAsia="黑体"/>
          <w:sz w:val="36"/>
          <w:szCs w:val="36"/>
        </w:rPr>
      </w:pPr>
      <w:r>
        <w:rPr>
          <w:rFonts w:ascii="Times New Roman" w:hAnsi="Times New Roman" w:eastAsia="黑体" w:cs="Times New Roman"/>
          <w:sz w:val="36"/>
          <w:szCs w:val="36"/>
        </w:rPr>
        <w:t xml:space="preserve"> </w:t>
      </w:r>
    </w:p>
    <w:p>
      <w:pPr>
        <w:spacing w:line="500" w:lineRule="exact"/>
        <w:jc w:val="center"/>
        <w:rPr>
          <w:rFonts w:ascii="Times New Roman" w:hAnsi="Times New Roman" w:eastAsia="宋体" w:cs="Times New Roman"/>
          <w:szCs w:val="21"/>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szCs w:val="21"/>
        </w:rPr>
        <w:br w:type="page"/>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一、前言</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1.1本项目采取非定向邀请招标选择报告编制单位，为保证招标“公开、公平、公正”，根据国家有关工程建设招标投标的法律、法规和方针、政策，制定本评标细则，实行评标的规范化、标准化、科学化。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  本评标办法仅适用本次文物保护影响评估报告编制招标。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  本评标办法的解释和修订权属招标人。</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二、评标依据</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2.1《中华人民共和国民法典》；</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2.2《中华人民共和国招标投标法》；</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2.3《中华人民共和国招标投标法实施条例》</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2.4七部委第12号令《评标小组和评标方法暂行规定》；</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2.5《广东省实施〈中华人民共和国招标投标法〉办法》；</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2.6《广东省加强建设工程招标投标监督管理的若干规定》；</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2.7本招标项目的招标文件、评标办法及其补充通知；</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2.8投标文件及澄清问题书面资料；</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2.9国家、省、市各级行政主管部门颁发的其他有关招投标相关法律法规。</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三、评标人员守则</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全体参与评标人员：</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必须遵守评标纪律、不得泄密；</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必须公正、不得循私；</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必须科学、不得草率；</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必须客观、不得带有成见；</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必须平等、不得强加于人；</w:t>
      </w:r>
    </w:p>
    <w:p>
      <w:pPr>
        <w:numPr>
          <w:ilvl w:val="0"/>
          <w:numId w:val="2"/>
        </w:numPr>
        <w:spacing w:line="500" w:lineRule="exact"/>
        <w:jc w:val="left"/>
        <w:rPr>
          <w:rFonts w:ascii="仿宋" w:hAnsi="仿宋" w:eastAsia="仿宋" w:cs="仿宋"/>
          <w:sz w:val="28"/>
          <w:szCs w:val="28"/>
        </w:rPr>
      </w:pPr>
      <w:r>
        <w:rPr>
          <w:rFonts w:hint="eastAsia" w:ascii="仿宋" w:hAnsi="仿宋" w:eastAsia="仿宋" w:cs="仿宋"/>
          <w:sz w:val="28"/>
          <w:szCs w:val="28"/>
        </w:rPr>
        <w:t>必须严谨、不得随意马虎。</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四、评标机构</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招标人依法组建评标小组。</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五、开标、评标、定标办法</w:t>
      </w:r>
    </w:p>
    <w:p>
      <w:pPr>
        <w:pStyle w:val="8"/>
        <w:widowControl/>
        <w:spacing w:line="500" w:lineRule="exact"/>
        <w:ind w:firstLine="562" w:firstLineChars="200"/>
        <w:rPr>
          <w:rFonts w:hint="default" w:ascii="仿宋" w:hAnsi="仿宋" w:eastAsia="仿宋" w:cs="仿宋"/>
          <w:b/>
          <w:sz w:val="28"/>
          <w:szCs w:val="28"/>
        </w:rPr>
      </w:pPr>
      <w:r>
        <w:rPr>
          <w:rFonts w:ascii="仿宋" w:hAnsi="仿宋" w:eastAsia="仿宋" w:cs="仿宋"/>
          <w:b/>
          <w:sz w:val="28"/>
          <w:szCs w:val="28"/>
        </w:rPr>
        <w:t>5.1评标小组</w:t>
      </w:r>
    </w:p>
    <w:p>
      <w:pPr>
        <w:pStyle w:val="8"/>
        <w:widowControl/>
        <w:spacing w:line="500" w:lineRule="exact"/>
        <w:ind w:firstLine="560" w:firstLineChars="200"/>
        <w:rPr>
          <w:rFonts w:hint="default" w:ascii="仿宋" w:hAnsi="仿宋" w:eastAsia="仿宋" w:cs="仿宋"/>
          <w:sz w:val="28"/>
          <w:szCs w:val="28"/>
        </w:rPr>
      </w:pPr>
      <w:r>
        <w:rPr>
          <w:rFonts w:ascii="仿宋" w:hAnsi="仿宋" w:eastAsia="仿宋" w:cs="仿宋"/>
          <w:sz w:val="28"/>
          <w:szCs w:val="28"/>
        </w:rPr>
        <w:t>5.1.1  评标小组由招标人依法组建的5名专家组成。</w:t>
      </w:r>
    </w:p>
    <w:p>
      <w:pPr>
        <w:pStyle w:val="8"/>
        <w:widowControl/>
        <w:spacing w:line="500" w:lineRule="exact"/>
        <w:ind w:firstLine="560" w:firstLineChars="200"/>
        <w:rPr>
          <w:rFonts w:hint="default" w:ascii="仿宋" w:hAnsi="仿宋" w:eastAsia="仿宋" w:cs="仿宋"/>
          <w:sz w:val="28"/>
          <w:szCs w:val="28"/>
        </w:rPr>
      </w:pPr>
      <w:r>
        <w:rPr>
          <w:rFonts w:ascii="仿宋" w:hAnsi="仿宋" w:eastAsia="仿宋" w:cs="仿宋"/>
          <w:sz w:val="28"/>
          <w:szCs w:val="28"/>
        </w:rPr>
        <w:t>5.1.2  评标小组推举产生1名评标组长，主持评审工作，评标组长与其他成员有同等表决权。</w:t>
      </w:r>
    </w:p>
    <w:p>
      <w:pPr>
        <w:pStyle w:val="8"/>
        <w:widowControl/>
        <w:spacing w:line="500" w:lineRule="exact"/>
        <w:rPr>
          <w:rFonts w:hint="default" w:ascii="仿宋" w:hAnsi="仿宋" w:eastAsia="仿宋" w:cs="仿宋"/>
          <w:b/>
          <w:sz w:val="28"/>
          <w:szCs w:val="28"/>
        </w:rPr>
      </w:pPr>
      <w:r>
        <w:rPr>
          <w:rFonts w:ascii="仿宋" w:hAnsi="仿宋" w:eastAsia="仿宋" w:cs="仿宋"/>
          <w:sz w:val="28"/>
          <w:szCs w:val="28"/>
        </w:rPr>
        <w:t xml:space="preserve">    </w:t>
      </w:r>
      <w:r>
        <w:rPr>
          <w:rFonts w:ascii="仿宋" w:hAnsi="仿宋" w:eastAsia="仿宋" w:cs="仿宋"/>
          <w:b/>
          <w:sz w:val="28"/>
          <w:szCs w:val="28"/>
        </w:rPr>
        <w:t>5.2    评标原则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5.2.1  评标小组根据招标文件规定的评标标准和方法，对投标文件进行评审和比较，招标文件中没有规定的标准和方法不得作为评标的依据。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5.2.2  在符合招标文件规定的前提下，评标小组主要对投标文件进行评议。</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5.2.3  开标、评标过程发现的问题和产生的纠纷，由评标小组负责裁决。裁决前，评标小组应认真阅读招标文件的规定。投标文件中全部符合附件1《符合性审查表》中任一种情形的，为有效标书，否则其投标文件将被否决。若本项目通过符合性审查的投标人不足3名时，应重新招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5.2.4  评标讨论过程中，评标小组成员应当对投标文件发表专业、客观、公正的意见，意见不一致的应作进一步核实和讨论。评标小组成员对任何一个投标文件的质疑，应当在讨论或现场讲解时提出，表决结果公布后才提出的质疑，不可作为改变表决结果的依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5.2.5  如果少数投标人超越招标文件要求提交了模型、演示动画、特殊规格展示图纸或发生其他特殊情况，评标小组对超越招标文件要求的内容不进行评审，只评审该投标文件符合要求的内容。</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5.3    评标办法 采用</w:t>
      </w:r>
      <w:r>
        <w:rPr>
          <w:rFonts w:hint="eastAsia" w:ascii="仿宋" w:hAnsi="仿宋" w:eastAsia="仿宋" w:cs="仿宋"/>
          <w:b/>
          <w:sz w:val="28"/>
          <w:szCs w:val="28"/>
          <w:u w:val="single"/>
        </w:rPr>
        <w:t>综合评分法评标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5.3.1  开标评标程序</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（1）投标人递交投标文件。</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（2）对投标文件公开开标。</w:t>
      </w:r>
    </w:p>
    <w:p>
      <w:pPr>
        <w:snapToGrid w:val="0"/>
        <w:spacing w:line="500" w:lineRule="exact"/>
        <w:ind w:firstLine="610" w:firstLineChars="218"/>
        <w:rPr>
          <w:rFonts w:ascii="仿宋" w:hAnsi="仿宋" w:eastAsia="仿宋" w:cs="仿宋"/>
          <w:sz w:val="28"/>
          <w:szCs w:val="28"/>
        </w:rPr>
      </w:pPr>
      <w:r>
        <w:rPr>
          <w:rFonts w:hint="eastAsia" w:ascii="仿宋" w:hAnsi="仿宋" w:eastAsia="仿宋" w:cs="仿宋"/>
          <w:sz w:val="28"/>
          <w:szCs w:val="28"/>
        </w:rPr>
        <w:t>（3）对投标文件进行符合性审查，并对通过符合性审查的投标文件进行综合评分。</w:t>
      </w:r>
    </w:p>
    <w:p>
      <w:pPr>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（4）汇总投标人的综合得分，推荐中标候选人并编写评标报告。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5.3.2  详细评审步骤</w:t>
      </w:r>
    </w:p>
    <w:p>
      <w:pPr>
        <w:snapToGrid w:val="0"/>
        <w:spacing w:line="500" w:lineRule="exact"/>
        <w:ind w:left="779" w:leftChars="170" w:hanging="422" w:hangingChars="151"/>
        <w:rPr>
          <w:rFonts w:ascii="仿宋" w:hAnsi="仿宋" w:eastAsia="仿宋" w:cs="仿宋"/>
          <w:sz w:val="28"/>
          <w:szCs w:val="28"/>
        </w:rPr>
      </w:pPr>
      <w:r>
        <w:rPr>
          <w:rFonts w:hint="eastAsia" w:ascii="仿宋" w:hAnsi="仿宋" w:eastAsia="仿宋" w:cs="仿宋"/>
          <w:sz w:val="28"/>
          <w:szCs w:val="28"/>
        </w:rPr>
        <w:t>(a) 评标小组专家首先按附件1《符合性审查表》对各投标文件进行评审，只有通过符合性审查的投标文件方可进入下一阶段的评审。如果有符合性审查不通过提议，则评标小组成员共同表决，按照少数服从多数的原则决定是否通过符合性审查。</w:t>
      </w:r>
    </w:p>
    <w:p>
      <w:pPr>
        <w:spacing w:line="500" w:lineRule="exact"/>
        <w:ind w:left="919" w:leftChars="171" w:hanging="560" w:hangingChars="200"/>
        <w:jc w:val="left"/>
        <w:rPr>
          <w:rFonts w:ascii="仿宋" w:hAnsi="仿宋" w:eastAsia="仿宋" w:cs="仿宋"/>
          <w:sz w:val="28"/>
          <w:szCs w:val="28"/>
        </w:rPr>
      </w:pPr>
      <w:r>
        <w:rPr>
          <w:rFonts w:hint="eastAsia" w:ascii="仿宋" w:hAnsi="仿宋" w:eastAsia="仿宋" w:cs="仿宋"/>
          <w:sz w:val="28"/>
          <w:szCs w:val="28"/>
        </w:rPr>
        <w:t>(b) 评标小组专家计算各投标人的综合得分.</w:t>
      </w:r>
    </w:p>
    <w:p>
      <w:pPr>
        <w:spacing w:line="500" w:lineRule="exact"/>
        <w:ind w:left="919" w:leftChars="171" w:hanging="560" w:hangingChars="200"/>
        <w:jc w:val="left"/>
        <w:rPr>
          <w:rFonts w:ascii="仿宋" w:hAnsi="仿宋" w:eastAsia="仿宋" w:cs="仿宋"/>
          <w:sz w:val="28"/>
          <w:szCs w:val="28"/>
        </w:rPr>
      </w:pPr>
      <w:r>
        <w:rPr>
          <w:rFonts w:hint="eastAsia" w:ascii="仿宋" w:hAnsi="仿宋" w:eastAsia="仿宋" w:cs="仿宋"/>
          <w:sz w:val="28"/>
          <w:szCs w:val="28"/>
        </w:rPr>
        <w:t>(c) 评标小组编写、签署评标报告，向招标人推荐综合得分最高的前三名中标候选方案（中标候选人）并标明排列顺序，评标报告由评标小组全体成员签名，对评标结论持有异议的评标小组成员可以书面方式阐述其不同意见和理由。</w:t>
      </w:r>
    </w:p>
    <w:p>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5.4   定标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5.4.1  招标人在评标小组推荐的候选方案中确定中标方案。但是，招标人认为评标小组推荐的候选方案不能最大限度满足招标文件规定的要求的，依法重新招标。</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5.4.2  招标人采用下面方法确定中标人：</w:t>
      </w:r>
    </w:p>
    <w:p>
      <w:pPr>
        <w:spacing w:line="500" w:lineRule="exact"/>
        <w:ind w:left="958" w:hanging="957" w:hangingChars="342"/>
        <w:jc w:val="left"/>
        <w:rPr>
          <w:rFonts w:ascii="仿宋" w:hAnsi="仿宋" w:eastAsia="仿宋" w:cs="仿宋"/>
          <w:sz w:val="28"/>
          <w:szCs w:val="28"/>
        </w:rPr>
      </w:pPr>
      <w:r>
        <w:rPr>
          <w:rFonts w:hint="eastAsia" w:ascii="仿宋" w:hAnsi="仿宋" w:eastAsia="仿宋" w:cs="仿宋"/>
          <w:sz w:val="28"/>
          <w:szCs w:val="28"/>
        </w:rPr>
        <w:t>□（a）招标人委托评标小组直接确定中标人；</w:t>
      </w:r>
    </w:p>
    <w:p>
      <w:pPr>
        <w:spacing w:line="500" w:lineRule="exact"/>
        <w:ind w:left="961" w:hanging="961" w:hangingChars="342"/>
        <w:jc w:val="left"/>
        <w:rPr>
          <w:rFonts w:ascii="仿宋" w:hAnsi="仿宋" w:eastAsia="仿宋" w:cs="仿宋"/>
          <w:sz w:val="28"/>
          <w:szCs w:val="28"/>
        </w:rPr>
      </w:pPr>
      <w:r>
        <w:rPr>
          <w:rFonts w:hint="eastAsia" w:ascii="仿宋" w:hAnsi="仿宋" w:eastAsia="仿宋" w:cs="仿宋"/>
          <w:b/>
          <w:kern w:val="0"/>
          <w:sz w:val="28"/>
          <w:szCs w:val="28"/>
        </w:rPr>
        <w:t>√</w:t>
      </w:r>
      <w:r>
        <w:rPr>
          <w:rFonts w:hint="eastAsia" w:ascii="仿宋" w:hAnsi="仿宋" w:eastAsia="仿宋" w:cs="仿宋"/>
          <w:sz w:val="28"/>
          <w:szCs w:val="28"/>
        </w:rPr>
        <w:t>（b）确定评标小组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5.5  发生下列情形之一的，招标人将重新组织招标：</w:t>
      </w:r>
    </w:p>
    <w:p>
      <w:pPr>
        <w:pStyle w:val="8"/>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若本项目经评审有效的投标人不足3名时，本次招标失败，招标人应当依法重新组织招标。</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5.6    授予合同</w:t>
      </w:r>
    </w:p>
    <w:p>
      <w:pPr>
        <w:pStyle w:val="8"/>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5.6.1  招标人一般将合同授予中标人，合同在投标有效期或投标人接受的延长期内授出。</w:t>
      </w:r>
    </w:p>
    <w:p>
      <w:pPr>
        <w:pStyle w:val="8"/>
        <w:widowControl/>
        <w:spacing w:line="500" w:lineRule="exact"/>
        <w:ind w:firstLine="560" w:firstLineChars="200"/>
        <w:jc w:val="left"/>
        <w:rPr>
          <w:rFonts w:hint="default" w:ascii="仿宋" w:hAnsi="仿宋" w:eastAsia="仿宋" w:cs="仿宋"/>
          <w:sz w:val="28"/>
          <w:szCs w:val="28"/>
        </w:rPr>
      </w:pPr>
      <w:r>
        <w:rPr>
          <w:rFonts w:ascii="仿宋" w:hAnsi="仿宋" w:eastAsia="仿宋" w:cs="仿宋"/>
          <w:sz w:val="28"/>
          <w:szCs w:val="28"/>
        </w:rPr>
        <w:t>5.6.2  中标人必须签署并执行招标文件规定的合同条件。</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六、开标细则</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6.1开标由招标人或招标代理机构主持；</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小组评审。</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6.6  招标人将上述符合要求的投标文件，送至评标小组进行评审。</w:t>
      </w:r>
    </w:p>
    <w:p>
      <w:pPr>
        <w:spacing w:line="500" w:lineRule="exact"/>
        <w:jc w:val="center"/>
        <w:outlineLvl w:val="1"/>
        <w:rPr>
          <w:rFonts w:ascii="仿宋" w:hAnsi="仿宋" w:eastAsia="仿宋" w:cs="仿宋"/>
          <w:b/>
          <w:sz w:val="28"/>
          <w:szCs w:val="28"/>
        </w:rPr>
      </w:pPr>
      <w:r>
        <w:rPr>
          <w:rFonts w:hint="eastAsia" w:ascii="仿宋" w:hAnsi="仿宋" w:eastAsia="仿宋" w:cs="仿宋"/>
          <w:b/>
          <w:sz w:val="28"/>
          <w:szCs w:val="28"/>
        </w:rPr>
        <w:t>七、评标</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7.1  评标过程</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本次招标评标分“符合性审查”、“综合评分”两部分进行评审。收标后，全部评标过程将按以下阶段和步骤进行：</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1）第一步：进行投标文件符合性审查；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评标小组依据有关法律、法规和招标文件的规定对投标文件进行评审，若本项目经评审有效的投标人不足3名时，本次招标失败，招标人应当依法重新组织招标。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2）第二步：专家对综合评分表进行打分；</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3）第三步：评标小组完成评标报告，向招标人推荐中标候选人。</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7.2  投标文件的符合性审查</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7.2.1</w:t>
      </w:r>
      <w:r>
        <w:rPr>
          <w:rFonts w:hint="eastAsia" w:ascii="仿宋" w:hAnsi="仿宋" w:eastAsia="仿宋" w:cs="仿宋"/>
          <w:sz w:val="28"/>
          <w:szCs w:val="28"/>
        </w:rPr>
        <w:tab/>
      </w:r>
      <w:r>
        <w:rPr>
          <w:rFonts w:hint="eastAsia" w:ascii="仿宋" w:hAnsi="仿宋" w:eastAsia="仿宋" w:cs="仿宋"/>
          <w:sz w:val="28"/>
          <w:szCs w:val="28"/>
        </w:rPr>
        <w:t>评标小组根据附件1“符合性审查表”进行评审。投标文件全部列于附件1《符合性审查表》中情形的，为通过符合性审查。否则其投标文件将被否决。如评标小组成员的评审意见不一致时，以评标小组过半数成员的意见作为评标小组对该情形的认定结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7.2.2</w:t>
      </w:r>
      <w:r>
        <w:rPr>
          <w:rFonts w:hint="eastAsia" w:ascii="仿宋" w:hAnsi="仿宋" w:eastAsia="仿宋" w:cs="仿宋"/>
          <w:sz w:val="28"/>
          <w:szCs w:val="28"/>
        </w:rPr>
        <w:tab/>
      </w:r>
      <w:r>
        <w:rPr>
          <w:rFonts w:hint="eastAsia" w:ascii="仿宋" w:hAnsi="仿宋" w:eastAsia="仿宋" w:cs="仿宋"/>
          <w:sz w:val="28"/>
          <w:szCs w:val="28"/>
        </w:rPr>
        <w:t>评标小组对所有投标作否决处理的，招标人应当重新招标。</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 xml:space="preserve">7.4  计算投标人总得分（满分为100分） </w:t>
      </w:r>
    </w:p>
    <w:p>
      <w:pPr>
        <w:snapToGrid w:val="0"/>
        <w:spacing w:line="500" w:lineRule="exact"/>
        <w:ind w:firstLine="422" w:firstLineChars="150"/>
        <w:rPr>
          <w:rFonts w:ascii="仿宋" w:hAnsi="仿宋" w:eastAsia="仿宋" w:cs="仿宋"/>
          <w:b/>
          <w:sz w:val="28"/>
          <w:szCs w:val="28"/>
        </w:rPr>
      </w:pPr>
      <w:r>
        <w:rPr>
          <w:rFonts w:hint="eastAsia" w:ascii="仿宋" w:hAnsi="仿宋" w:eastAsia="仿宋" w:cs="仿宋"/>
          <w:b/>
          <w:sz w:val="28"/>
          <w:szCs w:val="28"/>
        </w:rPr>
        <w:t>7.5  推荐中标候选人</w:t>
      </w:r>
    </w:p>
    <w:p>
      <w:pPr>
        <w:snapToGrid w:val="0"/>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以上评审完成后，按以下规定推荐第一中标候选人、第二中标候选人和第三中标候选人：</w:t>
      </w:r>
    </w:p>
    <w:p>
      <w:pPr>
        <w:snapToGrid w:val="0"/>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7.5.1按投标人总得分高低进行先后排序，取评分最高者为第一中标候选人，次高者为第二中标候选人，依次类推。</w:t>
      </w:r>
    </w:p>
    <w:p>
      <w:pPr>
        <w:snapToGrid w:val="0"/>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7.5.2如果有两个或两个以上的投标人总得分评分相同，则服务报价得分较高的投标人排名优先；如果总得分、服务报价得分均相同的投标文件，则由评标小组采用摇珠方式，确定中标候选人顺序。</w:t>
      </w:r>
    </w:p>
    <w:p>
      <w:pPr>
        <w:snapToGrid w:val="0"/>
        <w:spacing w:line="360" w:lineRule="auto"/>
        <w:ind w:firstLine="422" w:firstLineChars="150"/>
        <w:rPr>
          <w:rFonts w:ascii="仿宋" w:hAnsi="仿宋" w:eastAsia="仿宋" w:cs="仿宋"/>
          <w:b/>
          <w:sz w:val="28"/>
          <w:szCs w:val="28"/>
        </w:rPr>
      </w:pPr>
      <w:r>
        <w:rPr>
          <w:rFonts w:hint="eastAsia" w:ascii="仿宋" w:hAnsi="仿宋" w:eastAsia="仿宋" w:cs="仿宋"/>
          <w:b/>
          <w:sz w:val="28"/>
          <w:szCs w:val="28"/>
        </w:rPr>
        <w:t>7.6 确定中标人</w:t>
      </w:r>
    </w:p>
    <w:p>
      <w:pPr>
        <w:snapToGrid w:val="0"/>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1） 招标人依据评标报告审定本项目的中标人。</w:t>
      </w:r>
    </w:p>
    <w:p>
      <w:pPr>
        <w:snapToGrid w:val="0"/>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2） 虽然经招标人审定为中标人，但在签订合同前的任何时候，招标人、评标专家以及其他人员发现投标人在招标投标过程有弄虚作假行为、虚报资料情况，一经查实，立即取消其中标人资格。</w:t>
      </w:r>
    </w:p>
    <w:p>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7.7招标人将参照以下原则进行本项目中标人的替换：</w:t>
      </w:r>
    </w:p>
    <w:p>
      <w:pPr>
        <w:numPr>
          <w:ilvl w:val="0"/>
          <w:numId w:val="3"/>
        </w:numPr>
        <w:snapToGrid w:val="0"/>
        <w:spacing w:line="360" w:lineRule="auto"/>
        <w:ind w:left="0" w:firstLine="425"/>
        <w:rPr>
          <w:rFonts w:ascii="仿宋" w:hAnsi="仿宋" w:eastAsia="仿宋" w:cs="仿宋"/>
          <w:sz w:val="28"/>
          <w:szCs w:val="28"/>
        </w:rPr>
      </w:pPr>
      <w:r>
        <w:rPr>
          <w:rFonts w:hint="eastAsia" w:ascii="仿宋" w:hAnsi="仿宋" w:eastAsia="仿宋" w:cs="仿宋"/>
          <w:sz w:val="28"/>
          <w:szCs w:val="28"/>
        </w:rPr>
        <w:t>若中标人在实际工作中服务质量存在问题，未能表现出符合要求的设计水平，经招标人研究确定，可解除与中标人的合同关系，并按照中标候选人顺序依次选取新的中标人。</w:t>
      </w:r>
    </w:p>
    <w:p>
      <w:pPr>
        <w:numPr>
          <w:ilvl w:val="0"/>
          <w:numId w:val="3"/>
        </w:numPr>
        <w:snapToGrid w:val="0"/>
        <w:spacing w:line="360" w:lineRule="auto"/>
        <w:ind w:left="0" w:firstLine="425"/>
        <w:rPr>
          <w:rFonts w:ascii="仿宋" w:hAnsi="仿宋" w:eastAsia="仿宋" w:cs="仿宋"/>
          <w:sz w:val="28"/>
          <w:szCs w:val="28"/>
        </w:rPr>
      </w:pPr>
      <w:r>
        <w:rPr>
          <w:rFonts w:hint="eastAsia" w:ascii="仿宋" w:hAnsi="仿宋" w:eastAsia="仿宋" w:cs="仿宋"/>
          <w:sz w:val="28"/>
          <w:szCs w:val="28"/>
        </w:rPr>
        <w:t>当中标人以正式的书面函件形式申请放弃中标资格时，招标人可取消其中标人资格，解除与中标人的合同关系，并按照中标候选人顺序依次选取新的中标人。</w:t>
      </w:r>
    </w:p>
    <w:p>
      <w:pPr>
        <w:pStyle w:val="8"/>
        <w:rPr>
          <w:rFonts w:hint="default" w:ascii="仿宋" w:hAnsi="仿宋" w:eastAsia="仿宋" w:cs="仿宋"/>
          <w:sz w:val="28"/>
          <w:szCs w:val="28"/>
        </w:rPr>
      </w:pPr>
    </w:p>
    <w:p>
      <w:pPr>
        <w:pStyle w:val="8"/>
        <w:rPr>
          <w:rFonts w:hint="default" w:ascii="仿宋" w:hAnsi="仿宋" w:eastAsia="仿宋" w:cs="仿宋"/>
          <w:sz w:val="28"/>
          <w:szCs w:val="28"/>
        </w:rPr>
      </w:pPr>
    </w:p>
    <w:p>
      <w:pPr>
        <w:snapToGrid w:val="0"/>
        <w:spacing w:line="360" w:lineRule="auto"/>
        <w:rPr>
          <w:rFonts w:ascii="仿宋" w:hAnsi="仿宋" w:eastAsia="仿宋" w:cs="仿宋"/>
          <w:sz w:val="24"/>
        </w:rPr>
      </w:pPr>
    </w:p>
    <w:p>
      <w:pPr>
        <w:rPr>
          <w:rFonts w:ascii="黑体" w:hAnsi="宋体" w:cs="黑体"/>
          <w:b/>
          <w:kern w:val="44"/>
          <w:sz w:val="44"/>
          <w:szCs w:val="44"/>
        </w:rPr>
      </w:pPr>
      <w:bookmarkStart w:id="45" w:name="_Toc26593"/>
      <w:r>
        <w:rPr>
          <w:rFonts w:hint="eastAsia" w:ascii="黑体" w:hAnsi="宋体" w:cs="黑体"/>
          <w:b/>
          <w:kern w:val="44"/>
          <w:sz w:val="44"/>
          <w:szCs w:val="44"/>
        </w:rPr>
        <w:br w:type="page"/>
      </w:r>
    </w:p>
    <w:p>
      <w:pPr>
        <w:snapToGrid w:val="0"/>
        <w:spacing w:line="360" w:lineRule="auto"/>
        <w:ind w:firstLine="663" w:firstLineChars="150"/>
        <w:jc w:val="center"/>
        <w:rPr>
          <w:rFonts w:ascii="黑体" w:hAnsi="宋体" w:cs="黑体"/>
          <w:b/>
          <w:kern w:val="44"/>
          <w:sz w:val="44"/>
          <w:szCs w:val="44"/>
        </w:rPr>
      </w:pPr>
      <w:r>
        <w:rPr>
          <w:rFonts w:hint="eastAsia" w:ascii="黑体" w:hAnsi="宋体" w:cs="黑体"/>
          <w:b/>
          <w:kern w:val="44"/>
          <w:sz w:val="44"/>
          <w:szCs w:val="44"/>
        </w:rPr>
        <w:t>第5章 附件</w:t>
      </w:r>
      <w:bookmarkEnd w:id="45"/>
    </w:p>
    <w:p>
      <w:pPr>
        <w:pStyle w:val="19"/>
        <w:widowControl/>
        <w:ind w:firstLine="562"/>
        <w:rPr>
          <w:rFonts w:hint="default" w:ascii="仿宋" w:hAnsi="仿宋" w:eastAsia="仿宋" w:cs="仿宋"/>
          <w:b/>
          <w:color w:val="auto"/>
          <w:sz w:val="28"/>
          <w:szCs w:val="28"/>
          <w:u w:val="single"/>
        </w:rPr>
      </w:pPr>
      <w:r>
        <w:rPr>
          <w:rFonts w:ascii="仿宋" w:hAnsi="仿宋" w:eastAsia="仿宋" w:cs="仿宋"/>
          <w:b/>
          <w:color w:val="auto"/>
          <w:sz w:val="28"/>
          <w:szCs w:val="28"/>
          <w:u w:val="single"/>
        </w:rPr>
        <w:t>附件1 符合性审查表</w:t>
      </w:r>
    </w:p>
    <w:p>
      <w:pPr>
        <w:pStyle w:val="19"/>
        <w:widowControl/>
        <w:ind w:firstLine="562"/>
        <w:rPr>
          <w:rFonts w:hint="default" w:ascii="仿宋" w:hAnsi="仿宋" w:eastAsia="仿宋" w:cs="仿宋"/>
          <w:b/>
          <w:color w:val="auto"/>
          <w:sz w:val="28"/>
          <w:szCs w:val="28"/>
          <w:u w:val="single"/>
        </w:rPr>
      </w:pPr>
      <w:bookmarkStart w:id="46" w:name="OLE_LINK3"/>
      <w:bookmarkEnd w:id="46"/>
      <w:r>
        <w:rPr>
          <w:rFonts w:ascii="仿宋" w:hAnsi="仿宋" w:eastAsia="仿宋" w:cs="仿宋"/>
          <w:b/>
          <w:color w:val="auto"/>
          <w:sz w:val="28"/>
          <w:szCs w:val="28"/>
          <w:u w:val="single"/>
        </w:rPr>
        <w:t>附件2 综合评分表</w:t>
      </w:r>
    </w:p>
    <w:p>
      <w:pPr>
        <w:snapToGrid w:val="0"/>
        <w:spacing w:line="300" w:lineRule="auto"/>
        <w:outlineLvl w:val="0"/>
        <w:rPr>
          <w:rFonts w:ascii="仿宋" w:hAnsi="仿宋" w:eastAsia="仿宋" w:cs="仿宋"/>
          <w:sz w:val="28"/>
          <w:szCs w:val="28"/>
        </w:rPr>
      </w:pPr>
      <w:r>
        <w:rPr>
          <w:rFonts w:hint="eastAsia" w:ascii="仿宋" w:hAnsi="仿宋" w:eastAsia="仿宋" w:cs="Times New Roman"/>
          <w:sz w:val="28"/>
          <w:szCs w:val="28"/>
        </w:rPr>
        <w:br w:type="page"/>
      </w:r>
      <w:bookmarkStart w:id="47" w:name="_Toc12170"/>
      <w:r>
        <w:rPr>
          <w:rFonts w:hint="eastAsia" w:ascii="仿宋" w:hAnsi="仿宋" w:eastAsia="仿宋" w:cs="仿宋"/>
          <w:sz w:val="28"/>
          <w:szCs w:val="28"/>
        </w:rPr>
        <w:t>附件1：符合性审查表</w:t>
      </w:r>
      <w:bookmarkEnd w:id="47"/>
      <w:r>
        <w:rPr>
          <w:rFonts w:hint="eastAsia" w:ascii="仿宋" w:hAnsi="仿宋" w:eastAsia="仿宋" w:cs="仿宋"/>
          <w:sz w:val="28"/>
          <w:szCs w:val="28"/>
        </w:rPr>
        <w:t xml:space="preserve">  </w:t>
      </w:r>
    </w:p>
    <w:p>
      <w:pPr>
        <w:jc w:val="center"/>
        <w:rPr>
          <w:rFonts w:ascii="仿宋" w:hAnsi="仿宋" w:eastAsia="仿宋" w:cs="仿宋"/>
          <w:b/>
          <w:bCs/>
          <w:sz w:val="36"/>
          <w:szCs w:val="36"/>
        </w:rPr>
      </w:pPr>
      <w:r>
        <w:rPr>
          <w:rFonts w:hint="eastAsia" w:ascii="仿宋" w:hAnsi="仿宋" w:eastAsia="仿宋" w:cs="仿宋"/>
          <w:b/>
          <w:bCs/>
          <w:sz w:val="36"/>
          <w:szCs w:val="36"/>
        </w:rPr>
        <w:t xml:space="preserve"> 符合性审查表</w:t>
      </w:r>
    </w:p>
    <w:tbl>
      <w:tblPr>
        <w:tblStyle w:val="17"/>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rPr>
            </w:pPr>
            <w:r>
              <w:rPr>
                <w:rFonts w:hint="eastAsia" w:ascii="仿宋" w:hAnsi="仿宋" w:eastAsia="仿宋" w:cs="仿宋"/>
                <w:b/>
                <w:szCs w:val="21"/>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 xml:space="preserve">   投标人</w:t>
            </w:r>
          </w:p>
          <w:p>
            <w:pPr>
              <w:spacing w:before="120" w:beforeLines="50" w:after="120" w:afterLines="50" w:line="240" w:lineRule="exact"/>
              <w:ind w:left="105" w:leftChars="50" w:right="105" w:rightChars="50"/>
              <w:jc w:val="center"/>
              <w:rPr>
                <w:rFonts w:ascii="仿宋" w:hAnsi="仿宋" w:eastAsia="仿宋" w:cs="仿宋"/>
                <w:b/>
              </w:rPr>
            </w:pPr>
          </w:p>
          <w:p>
            <w:pPr>
              <w:spacing w:before="120" w:beforeLines="50" w:after="120" w:afterLines="50" w:line="240" w:lineRule="exact"/>
              <w:ind w:left="105" w:leftChars="50" w:right="105" w:rightChars="50"/>
              <w:rPr>
                <w:rFonts w:ascii="仿宋" w:hAnsi="仿宋" w:eastAsia="仿宋" w:cs="仿宋"/>
                <w:b/>
              </w:rPr>
            </w:pPr>
            <w:r>
              <w:rPr>
                <w:rFonts w:hint="eastAsia" w:ascii="仿宋" w:hAnsi="仿宋" w:eastAsia="仿宋" w:cs="仿宋"/>
                <w:b/>
                <w:szCs w:val="21"/>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rPr>
            </w:pPr>
            <w:r>
              <w:rPr>
                <w:rFonts w:hint="eastAsia" w:ascii="仿宋" w:hAnsi="仿宋" w:eastAsia="仿宋" w:cs="仿宋"/>
                <w:b/>
                <w:szCs w:val="21"/>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rPr>
            </w:pPr>
            <w:r>
              <w:rPr>
                <w:rFonts w:hint="eastAsia" w:ascii="仿宋" w:hAnsi="仿宋" w:eastAsia="仿宋" w:cs="仿宋"/>
                <w:szCs w:val="21"/>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项目负责人资质符合要求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r>
              <w:rPr>
                <w:rFonts w:hint="eastAsia" w:ascii="仿宋" w:hAnsi="仿宋" w:eastAsia="仿宋" w:cs="仿宋"/>
                <w:szCs w:val="21"/>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rPr>
            </w:pPr>
            <w:r>
              <w:rPr>
                <w:rFonts w:hint="eastAsia" w:ascii="仿宋" w:hAnsi="仿宋" w:eastAsia="仿宋" w:cs="仿宋"/>
                <w:szCs w:val="21"/>
              </w:rPr>
              <w:t>投标总报价不超过限价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rPr>
            </w:pPr>
            <w:r>
              <w:rPr>
                <w:rFonts w:hint="eastAsia" w:ascii="仿宋" w:hAnsi="仿宋" w:eastAsia="仿宋" w:cs="仿宋"/>
                <w:szCs w:val="21"/>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rPr>
            </w:pPr>
          </w:p>
        </w:tc>
      </w:tr>
    </w:tbl>
    <w:p>
      <w:pPr>
        <w:snapToGrid w:val="0"/>
        <w:spacing w:line="300" w:lineRule="auto"/>
        <w:jc w:val="left"/>
        <w:rPr>
          <w:rFonts w:ascii="仿宋" w:hAnsi="仿宋" w:eastAsia="仿宋" w:cs="Courier New"/>
          <w:sz w:val="24"/>
        </w:rPr>
      </w:pPr>
      <w:r>
        <w:rPr>
          <w:rFonts w:hint="eastAsia" w:ascii="仿宋" w:hAnsi="仿宋" w:eastAsia="仿宋" w:cs="Courier New"/>
          <w:sz w:val="24"/>
        </w:rPr>
        <w:t>注：</w:t>
      </w:r>
    </w:p>
    <w:p>
      <w:pPr>
        <w:snapToGrid w:val="0"/>
        <w:ind w:left="74"/>
        <w:rPr>
          <w:rFonts w:ascii="仿宋" w:hAnsi="仿宋" w:eastAsia="仿宋" w:cs="Courier New"/>
          <w:sz w:val="24"/>
        </w:rPr>
      </w:pPr>
      <w:r>
        <w:rPr>
          <w:rFonts w:hint="eastAsia" w:ascii="仿宋" w:hAnsi="仿宋" w:eastAsia="仿宋" w:cs="Courier New"/>
          <w:sz w:val="24"/>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sz w:val="28"/>
          <w:szCs w:val="28"/>
        </w:rPr>
      </w:pPr>
      <w:r>
        <w:rPr>
          <w:rFonts w:hint="eastAsia" w:ascii="仿宋" w:hAnsi="仿宋" w:eastAsia="仿宋" w:cs="Courier New"/>
          <w:sz w:val="24"/>
        </w:rPr>
        <w:t>2.如对本表中某种情形的评审意见不一致时，以专家组过半数成员的意见作为专家组对该情形的认定结论。</w:t>
      </w:r>
      <w:r>
        <w:rPr>
          <w:rFonts w:hint="eastAsia" w:ascii="仿宋" w:hAnsi="仿宋" w:eastAsia="仿宋" w:cs="Courier New"/>
          <w:sz w:val="28"/>
          <w:szCs w:val="28"/>
        </w:rPr>
        <w:t xml:space="preserve"> </w:t>
      </w:r>
      <w:r>
        <w:rPr>
          <w:rFonts w:hint="eastAsia" w:ascii="仿宋" w:hAnsi="仿宋" w:eastAsia="仿宋" w:cs="仿宋"/>
          <w:sz w:val="28"/>
          <w:szCs w:val="28"/>
        </w:rPr>
        <w:t xml:space="preserve">    </w:t>
      </w:r>
    </w:p>
    <w:p>
      <w:pPr>
        <w:snapToGrid w:val="0"/>
        <w:ind w:left="74"/>
        <w:rPr>
          <w:rFonts w:ascii="仿宋" w:hAnsi="仿宋" w:eastAsia="仿宋" w:cs="Courier New"/>
          <w:sz w:val="28"/>
          <w:szCs w:val="28"/>
        </w:rPr>
      </w:pPr>
      <w:r>
        <w:rPr>
          <w:rFonts w:hint="eastAsia" w:ascii="仿宋" w:hAnsi="仿宋" w:eastAsia="仿宋" w:cs="仿宋"/>
          <w:b/>
          <w:sz w:val="28"/>
          <w:szCs w:val="28"/>
        </w:rPr>
        <w:t xml:space="preserve"> </w:t>
      </w:r>
      <w:r>
        <w:rPr>
          <w:rFonts w:hint="eastAsia" w:ascii="仿宋" w:hAnsi="仿宋" w:eastAsia="仿宋" w:cs="Courier New"/>
          <w:sz w:val="28"/>
          <w:szCs w:val="28"/>
        </w:rPr>
        <w:t>评标专家签名：                     日期：</w:t>
      </w:r>
    </w:p>
    <w:p>
      <w:pPr>
        <w:snapToGrid w:val="0"/>
        <w:ind w:left="74"/>
        <w:rPr>
          <w:rFonts w:ascii="仿宋" w:hAnsi="仿宋" w:eastAsia="仿宋" w:cs="Courier New"/>
          <w:sz w:val="28"/>
          <w:szCs w:val="28"/>
        </w:rPr>
      </w:pPr>
    </w:p>
    <w:p>
      <w:pPr>
        <w:snapToGrid w:val="0"/>
        <w:ind w:left="74"/>
        <w:outlineLvl w:val="0"/>
        <w:rPr>
          <w:rFonts w:ascii="仿宋" w:hAnsi="仿宋" w:eastAsia="仿宋" w:cs="仿宋"/>
          <w:b/>
          <w:sz w:val="24"/>
        </w:rPr>
        <w:sectPr>
          <w:footerReference r:id="rId4" w:type="default"/>
          <w:pgSz w:w="12240" w:h="15840"/>
          <w:pgMar w:top="1440" w:right="1797" w:bottom="1440" w:left="1797" w:header="720" w:footer="720" w:gutter="0"/>
          <w:cols w:space="425" w:num="1"/>
          <w:docGrid w:linePitch="312" w:charSpace="0"/>
        </w:sectPr>
      </w:pPr>
      <w:bookmarkStart w:id="48" w:name="_Toc18783"/>
    </w:p>
    <w:bookmarkEnd w:id="48"/>
    <w:p>
      <w:pPr>
        <w:snapToGrid w:val="0"/>
        <w:ind w:left="74"/>
        <w:outlineLvl w:val="0"/>
        <w:rPr>
          <w:rFonts w:ascii="仿宋" w:hAnsi="仿宋" w:eastAsia="仿宋" w:cs="仿宋"/>
          <w:sz w:val="24"/>
          <w:highlight w:val="none"/>
        </w:rPr>
      </w:pPr>
      <w:r>
        <w:rPr>
          <w:rFonts w:hint="eastAsia" w:ascii="仿宋" w:hAnsi="仿宋" w:eastAsia="仿宋" w:cs="仿宋"/>
          <w:b/>
          <w:sz w:val="24"/>
          <w:highlight w:val="none"/>
        </w:rPr>
        <w:t>附件2综合评分表</w:t>
      </w:r>
      <w:r>
        <w:rPr>
          <w:rFonts w:hint="eastAsia" w:ascii="仿宋" w:hAnsi="仿宋" w:eastAsia="仿宋" w:cs="仿宋"/>
          <w:sz w:val="24"/>
          <w:highlight w:val="none"/>
        </w:rPr>
        <w:t>（100分）</w:t>
      </w:r>
    </w:p>
    <w:tbl>
      <w:tblPr>
        <w:tblStyle w:val="17"/>
        <w:tblW w:w="13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06"/>
        <w:gridCol w:w="709"/>
        <w:gridCol w:w="979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43" w:type="dxa"/>
            <w:shd w:val="clear" w:color="auto" w:fill="auto"/>
            <w:vAlign w:val="center"/>
          </w:tcPr>
          <w:p>
            <w:pPr>
              <w:snapToGrid w:val="0"/>
              <w:ind w:left="-2" w:leftChars="-1"/>
              <w:jc w:val="center"/>
              <w:rPr>
                <w:rFonts w:ascii="新宋体" w:hAnsi="新宋体" w:eastAsia="新宋体" w:cs="新宋体"/>
                <w:szCs w:val="21"/>
                <w:highlight w:val="none"/>
              </w:rPr>
            </w:pPr>
            <w:r>
              <w:rPr>
                <w:rFonts w:hint="eastAsia" w:ascii="新宋体" w:hAnsi="新宋体" w:eastAsia="新宋体" w:cs="新宋体"/>
                <w:szCs w:val="21"/>
                <w:highlight w:val="none"/>
              </w:rPr>
              <w:t>序号</w:t>
            </w:r>
          </w:p>
        </w:tc>
        <w:tc>
          <w:tcPr>
            <w:tcW w:w="1406" w:type="dxa"/>
            <w:shd w:val="clear" w:color="auto" w:fill="auto"/>
            <w:vAlign w:val="center"/>
          </w:tcPr>
          <w:p>
            <w:pPr>
              <w:snapToGrid w:val="0"/>
              <w:ind w:left="-2" w:leftChars="-1"/>
              <w:jc w:val="center"/>
              <w:rPr>
                <w:rFonts w:ascii="新宋体" w:hAnsi="新宋体" w:eastAsia="新宋体" w:cs="新宋体"/>
                <w:szCs w:val="21"/>
                <w:highlight w:val="none"/>
              </w:rPr>
            </w:pPr>
            <w:r>
              <w:rPr>
                <w:rFonts w:hint="eastAsia" w:ascii="新宋体" w:hAnsi="新宋体" w:eastAsia="新宋体" w:cs="新宋体"/>
                <w:szCs w:val="21"/>
                <w:highlight w:val="none"/>
              </w:rPr>
              <w:t>类别</w:t>
            </w:r>
          </w:p>
        </w:tc>
        <w:tc>
          <w:tcPr>
            <w:tcW w:w="709" w:type="dxa"/>
            <w:shd w:val="clear" w:color="auto" w:fill="auto"/>
            <w:vAlign w:val="center"/>
          </w:tcPr>
          <w:p>
            <w:pPr>
              <w:snapToGrid w:val="0"/>
              <w:ind w:left="-2" w:leftChars="-1"/>
              <w:jc w:val="center"/>
              <w:rPr>
                <w:rFonts w:ascii="新宋体" w:hAnsi="新宋体" w:eastAsia="新宋体" w:cs="新宋体"/>
                <w:szCs w:val="21"/>
                <w:highlight w:val="none"/>
              </w:rPr>
            </w:pPr>
            <w:r>
              <w:rPr>
                <w:rFonts w:hint="eastAsia" w:ascii="新宋体" w:hAnsi="新宋体" w:eastAsia="新宋体" w:cs="新宋体"/>
                <w:szCs w:val="21"/>
                <w:highlight w:val="none"/>
              </w:rPr>
              <w:t>分项</w:t>
            </w:r>
          </w:p>
          <w:p>
            <w:pPr>
              <w:snapToGrid w:val="0"/>
              <w:ind w:left="-2" w:leftChars="-1"/>
              <w:jc w:val="center"/>
              <w:rPr>
                <w:rFonts w:ascii="新宋体" w:hAnsi="新宋体" w:eastAsia="新宋体" w:cs="新宋体"/>
                <w:szCs w:val="21"/>
                <w:highlight w:val="none"/>
              </w:rPr>
            </w:pPr>
            <w:r>
              <w:rPr>
                <w:rFonts w:hint="eastAsia" w:ascii="新宋体" w:hAnsi="新宋体" w:eastAsia="新宋体" w:cs="新宋体"/>
                <w:szCs w:val="21"/>
                <w:highlight w:val="none"/>
              </w:rPr>
              <w:t>分值</w:t>
            </w:r>
          </w:p>
        </w:tc>
        <w:tc>
          <w:tcPr>
            <w:tcW w:w="9797" w:type="dxa"/>
            <w:shd w:val="clear" w:color="auto" w:fill="auto"/>
            <w:vAlign w:val="center"/>
          </w:tcPr>
          <w:p>
            <w:pPr>
              <w:snapToGrid w:val="0"/>
              <w:jc w:val="center"/>
              <w:rPr>
                <w:rFonts w:ascii="新宋体" w:hAnsi="新宋体" w:eastAsia="新宋体" w:cs="新宋体"/>
                <w:szCs w:val="21"/>
                <w:highlight w:val="none"/>
              </w:rPr>
            </w:pPr>
            <w:r>
              <w:rPr>
                <w:rFonts w:hint="eastAsia" w:ascii="新宋体" w:hAnsi="新宋体" w:eastAsia="新宋体" w:cs="新宋体"/>
                <w:szCs w:val="21"/>
                <w:highlight w:val="none"/>
              </w:rPr>
              <w:t>评 分 说 明</w:t>
            </w:r>
          </w:p>
        </w:tc>
        <w:tc>
          <w:tcPr>
            <w:tcW w:w="686" w:type="dxa"/>
            <w:shd w:val="clear" w:color="auto" w:fill="auto"/>
            <w:vAlign w:val="center"/>
          </w:tcPr>
          <w:p>
            <w:pPr>
              <w:snapToGrid w:val="0"/>
              <w:ind w:left="-2" w:leftChars="-1"/>
              <w:jc w:val="center"/>
              <w:rPr>
                <w:rFonts w:ascii="新宋体" w:hAnsi="新宋体" w:eastAsia="新宋体" w:cs="新宋体"/>
                <w:szCs w:val="21"/>
                <w:highlight w:val="none"/>
              </w:rPr>
            </w:pPr>
            <w:r>
              <w:rPr>
                <w:rFonts w:hint="eastAsia" w:ascii="新宋体" w:hAnsi="新宋体" w:eastAsia="新宋体" w:cs="新宋体"/>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643" w:type="dxa"/>
            <w:vMerge w:val="restart"/>
            <w:shd w:val="clear" w:color="auto" w:fill="auto"/>
            <w:vAlign w:val="center"/>
          </w:tcPr>
          <w:p>
            <w:pPr>
              <w:snapToGrid w:val="0"/>
              <w:ind w:left="-2" w:leftChars="-1"/>
              <w:jc w:val="center"/>
              <w:rPr>
                <w:rFonts w:ascii="宋体" w:hAnsi="宋体" w:eastAsia="宋体" w:cs="宋体"/>
                <w:szCs w:val="21"/>
                <w:highlight w:val="none"/>
              </w:rPr>
            </w:pPr>
            <w:r>
              <w:rPr>
                <w:rFonts w:hint="eastAsia" w:ascii="宋体" w:hAnsi="宋体" w:eastAsia="宋体" w:cs="宋体"/>
                <w:szCs w:val="21"/>
                <w:highlight w:val="none"/>
              </w:rPr>
              <w:t>商务部分（30分）</w:t>
            </w: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管理体系</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6</w:t>
            </w:r>
          </w:p>
        </w:tc>
        <w:tc>
          <w:tcPr>
            <w:tcW w:w="9797" w:type="dxa"/>
            <w:shd w:val="clear" w:color="auto" w:fill="auto"/>
            <w:vAlign w:val="center"/>
          </w:tcPr>
          <w:p>
            <w:pPr>
              <w:rPr>
                <w:rFonts w:ascii="宋体" w:hAnsi="宋体" w:eastAsia="宋体" w:cs="宋体"/>
                <w:szCs w:val="21"/>
                <w:highlight w:val="none"/>
              </w:rPr>
            </w:pPr>
            <w:r>
              <w:rPr>
                <w:rFonts w:hint="eastAsia" w:ascii="宋体" w:hAnsi="宋体" w:eastAsia="宋体" w:cs="宋体"/>
                <w:szCs w:val="21"/>
                <w:highlight w:val="none"/>
              </w:rPr>
              <w:t>1.具有有效的环境管理体系认证证书,且认证范围包含保护工程的勘察设计。</w:t>
            </w:r>
          </w:p>
          <w:p>
            <w:pPr>
              <w:rPr>
                <w:rFonts w:ascii="宋体" w:hAnsi="宋体" w:eastAsia="宋体" w:cs="宋体"/>
                <w:szCs w:val="21"/>
                <w:highlight w:val="none"/>
              </w:rPr>
            </w:pPr>
            <w:r>
              <w:rPr>
                <w:rFonts w:hint="eastAsia" w:ascii="宋体" w:hAnsi="宋体" w:eastAsia="宋体" w:cs="宋体"/>
                <w:szCs w:val="21"/>
                <w:highlight w:val="none"/>
              </w:rPr>
              <w:t>2.具有有效的质量管理体系认证证书,且认证范围包含保护工程的勘察设计。</w:t>
            </w:r>
          </w:p>
          <w:p>
            <w:pPr>
              <w:rPr>
                <w:rFonts w:ascii="宋体" w:hAnsi="宋体" w:eastAsia="宋体" w:cs="宋体"/>
                <w:szCs w:val="21"/>
                <w:highlight w:val="none"/>
              </w:rPr>
            </w:pPr>
            <w:r>
              <w:rPr>
                <w:rFonts w:hint="eastAsia" w:ascii="宋体" w:hAnsi="宋体" w:eastAsia="宋体" w:cs="宋体"/>
                <w:szCs w:val="21"/>
                <w:highlight w:val="none"/>
              </w:rPr>
              <w:t>3.具有有效的职业健康安全管理体系认证证书,且认证范围包含保护工程的勘察设计。</w:t>
            </w:r>
          </w:p>
          <w:p>
            <w:pPr>
              <w:rPr>
                <w:rFonts w:ascii="宋体" w:hAnsi="宋体" w:eastAsia="宋体" w:cs="宋体"/>
                <w:szCs w:val="21"/>
                <w:highlight w:val="none"/>
              </w:rPr>
            </w:pPr>
            <w:r>
              <w:rPr>
                <w:rFonts w:hint="eastAsia" w:ascii="宋体" w:hAnsi="宋体" w:eastAsia="宋体" w:cs="宋体"/>
                <w:szCs w:val="21"/>
                <w:highlight w:val="none"/>
              </w:rPr>
              <w:t>说明：</w:t>
            </w:r>
          </w:p>
          <w:p>
            <w:pPr>
              <w:rPr>
                <w:rFonts w:ascii="宋体" w:hAnsi="宋体" w:eastAsia="宋体" w:cs="宋体"/>
                <w:szCs w:val="21"/>
                <w:highlight w:val="none"/>
              </w:rPr>
            </w:pPr>
            <w:r>
              <w:rPr>
                <w:rFonts w:hint="eastAsia" w:ascii="宋体" w:hAnsi="宋体" w:eastAsia="宋体" w:cs="宋体"/>
                <w:szCs w:val="21"/>
                <w:highlight w:val="none"/>
              </w:rPr>
              <w:t>提供以上证书复印件，没有提供证明材料的不得分，全部满足得6分，否则得0分。</w:t>
            </w:r>
          </w:p>
        </w:tc>
        <w:tc>
          <w:tcPr>
            <w:tcW w:w="686" w:type="dxa"/>
            <w:shd w:val="clear" w:color="auto" w:fill="auto"/>
            <w:vAlign w:val="center"/>
          </w:tcPr>
          <w:p>
            <w:pPr>
              <w:spacing w:line="220" w:lineRule="exact"/>
              <w:ind w:left="-2" w:leftChars="-1"/>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643" w:type="dxa"/>
            <w:vMerge w:val="continue"/>
            <w:shd w:val="clear" w:color="auto" w:fill="auto"/>
            <w:vAlign w:val="center"/>
          </w:tcPr>
          <w:p>
            <w:pPr>
              <w:snapToGrid w:val="0"/>
              <w:ind w:left="-2" w:leftChars="-1"/>
              <w:jc w:val="center"/>
              <w:rPr>
                <w:rFonts w:ascii="宋体" w:hAnsi="宋体" w:eastAsia="宋体" w:cs="宋体"/>
                <w:szCs w:val="21"/>
                <w:highlight w:val="none"/>
              </w:rPr>
            </w:pP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同类项目业绩</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9</w:t>
            </w:r>
          </w:p>
        </w:tc>
        <w:tc>
          <w:tcPr>
            <w:tcW w:w="9797" w:type="dxa"/>
            <w:shd w:val="clear" w:color="auto" w:fill="auto"/>
            <w:vAlign w:val="center"/>
          </w:tcPr>
          <w:p>
            <w:pPr>
              <w:rPr>
                <w:rFonts w:ascii="宋体" w:hAnsi="宋体" w:eastAsia="宋体" w:cs="宋体"/>
                <w:szCs w:val="21"/>
                <w:highlight w:val="none"/>
              </w:rPr>
            </w:pPr>
            <w:r>
              <w:rPr>
                <w:rFonts w:hint="eastAsia" w:ascii="宋体" w:hAnsi="宋体" w:eastAsia="宋体" w:cs="宋体"/>
                <w:szCs w:val="21"/>
                <w:highlight w:val="none"/>
              </w:rPr>
              <w:t>提供2017年1月1日至今同类项目业绩，每提供一个业绩得3分，最多得9分。</w:t>
            </w:r>
          </w:p>
          <w:p>
            <w:pPr>
              <w:rPr>
                <w:rFonts w:ascii="宋体" w:hAnsi="宋体" w:eastAsia="宋体" w:cs="宋体"/>
                <w:szCs w:val="21"/>
                <w:highlight w:val="none"/>
              </w:rPr>
            </w:pPr>
            <w:r>
              <w:rPr>
                <w:rFonts w:hint="eastAsia" w:ascii="宋体" w:hAnsi="宋体" w:eastAsia="宋体" w:cs="宋体"/>
                <w:szCs w:val="21"/>
                <w:highlight w:val="none"/>
              </w:rPr>
              <w:t>备注：</w:t>
            </w:r>
          </w:p>
          <w:p>
            <w:pPr>
              <w:rPr>
                <w:rFonts w:ascii="宋体" w:hAnsi="宋体" w:eastAsia="宋体" w:cs="宋体"/>
                <w:szCs w:val="21"/>
                <w:highlight w:val="none"/>
              </w:rPr>
            </w:pPr>
            <w:r>
              <w:rPr>
                <w:rFonts w:hint="eastAsia" w:ascii="宋体" w:hAnsi="宋体" w:eastAsia="宋体" w:cs="宋体"/>
                <w:szCs w:val="21"/>
                <w:highlight w:val="none"/>
              </w:rPr>
              <w:t>同类项目业绩为：须提供合同关键页复印件（合同关键页必须包括合同首页、金额页、内容关键页、双方签字盖章页、合同签订时间页）并加盖公章，不提供不得分。</w:t>
            </w:r>
          </w:p>
          <w:p>
            <w:pPr>
              <w:rPr>
                <w:rFonts w:ascii="宋体" w:hAnsi="宋体" w:eastAsia="宋体" w:cs="宋体"/>
                <w:szCs w:val="21"/>
                <w:highlight w:val="none"/>
              </w:rPr>
            </w:pPr>
            <w:r>
              <w:rPr>
                <w:rFonts w:hint="eastAsia" w:ascii="宋体" w:hAnsi="宋体" w:eastAsia="宋体" w:cs="宋体"/>
                <w:szCs w:val="21"/>
                <w:highlight w:val="none"/>
              </w:rPr>
              <w:t>注：供应商必须提供每个同类项目业绩的证明材料，未提供证明材料或专家无法认定的不得分。</w:t>
            </w:r>
          </w:p>
        </w:tc>
        <w:tc>
          <w:tcPr>
            <w:tcW w:w="686" w:type="dxa"/>
            <w:shd w:val="clear" w:color="auto" w:fill="auto"/>
            <w:vAlign w:val="center"/>
          </w:tcPr>
          <w:p>
            <w:pPr>
              <w:spacing w:line="220" w:lineRule="exact"/>
              <w:ind w:left="-2" w:leftChars="-1"/>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jc w:val="center"/>
        </w:trPr>
        <w:tc>
          <w:tcPr>
            <w:tcW w:w="643" w:type="dxa"/>
            <w:vMerge w:val="continue"/>
            <w:shd w:val="clear" w:color="auto" w:fill="auto"/>
            <w:vAlign w:val="center"/>
          </w:tcPr>
          <w:p>
            <w:pPr>
              <w:snapToGrid w:val="0"/>
              <w:ind w:left="-2" w:leftChars="-1"/>
              <w:jc w:val="center"/>
              <w:rPr>
                <w:rFonts w:ascii="宋体" w:hAnsi="宋体" w:eastAsia="宋体" w:cs="宋体"/>
                <w:szCs w:val="21"/>
                <w:highlight w:val="none"/>
              </w:rPr>
            </w:pP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项目技术人员</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10</w:t>
            </w:r>
          </w:p>
        </w:tc>
        <w:tc>
          <w:tcPr>
            <w:tcW w:w="9797" w:type="dxa"/>
            <w:shd w:val="clear" w:color="auto" w:fill="auto"/>
            <w:vAlign w:val="center"/>
          </w:tcPr>
          <w:p>
            <w:pPr>
              <w:rPr>
                <w:rFonts w:ascii="宋体" w:hAnsi="宋体" w:eastAsia="宋体" w:cs="宋体"/>
                <w:szCs w:val="21"/>
                <w:highlight w:val="none"/>
              </w:rPr>
            </w:pPr>
            <w:r>
              <w:rPr>
                <w:rFonts w:hint="eastAsia" w:ascii="宋体" w:hAnsi="宋体" w:eastAsia="宋体" w:cs="宋体"/>
                <w:szCs w:val="21"/>
                <w:highlight w:val="none"/>
              </w:rPr>
              <w:t>1、项目负责人：同时具有一级注册建筑师资格证的，得4分；</w:t>
            </w:r>
          </w:p>
          <w:p>
            <w:pPr>
              <w:rPr>
                <w:rFonts w:ascii="宋体" w:hAnsi="宋体" w:eastAsia="宋体" w:cs="宋体"/>
                <w:szCs w:val="21"/>
                <w:highlight w:val="none"/>
              </w:rPr>
            </w:pPr>
            <w:r>
              <w:rPr>
                <w:rFonts w:hint="eastAsia" w:ascii="宋体" w:hAnsi="宋体" w:eastAsia="宋体" w:cs="宋体"/>
                <w:szCs w:val="21"/>
                <w:highlight w:val="none"/>
              </w:rPr>
              <w:t>2、技术人员：具有文物保护工程责任设计师资格，提供1人得2分，本项最多得6分。</w:t>
            </w:r>
          </w:p>
          <w:p>
            <w:pPr>
              <w:rPr>
                <w:rFonts w:ascii="宋体" w:hAnsi="宋体" w:eastAsia="宋体" w:cs="宋体"/>
                <w:szCs w:val="21"/>
                <w:highlight w:val="none"/>
              </w:rPr>
            </w:pPr>
            <w:r>
              <w:rPr>
                <w:rFonts w:hint="eastAsia" w:ascii="宋体" w:hAnsi="宋体" w:eastAsia="宋体" w:cs="宋体"/>
                <w:szCs w:val="21"/>
                <w:highlight w:val="none"/>
              </w:rPr>
              <w:t>注：须提供证书复印件、身</w:t>
            </w:r>
            <w:r>
              <w:rPr>
                <w:rFonts w:hint="eastAsia" w:ascii="宋体" w:hAnsi="宋体" w:eastAsia="宋体" w:cs="宋体"/>
                <w:szCs w:val="21"/>
                <w:highlight w:val="none"/>
                <w:lang w:val="zh-CN"/>
              </w:rPr>
              <w:t>份证复印件及</w:t>
            </w:r>
            <w:r>
              <w:rPr>
                <w:rFonts w:hint="eastAsia" w:ascii="宋体" w:hAnsi="宋体" w:eastAsia="宋体" w:cs="宋体"/>
                <w:szCs w:val="21"/>
                <w:highlight w:val="none"/>
              </w:rPr>
              <w:t>近期（</w:t>
            </w:r>
            <w:r>
              <w:rPr>
                <w:rFonts w:hint="eastAsia" w:ascii="宋体" w:hAnsi="宋体" w:eastAsia="宋体" w:cs="宋体"/>
                <w:bCs/>
                <w:szCs w:val="21"/>
                <w:highlight w:val="none"/>
              </w:rPr>
              <w:t>1个月</w:t>
            </w:r>
            <w:r>
              <w:rPr>
                <w:rFonts w:hint="eastAsia" w:ascii="宋体" w:hAnsi="宋体" w:eastAsia="宋体" w:cs="宋体"/>
                <w:szCs w:val="21"/>
                <w:highlight w:val="none"/>
              </w:rPr>
              <w:t>）</w:t>
            </w:r>
            <w:r>
              <w:rPr>
                <w:rFonts w:hint="eastAsia" w:ascii="宋体" w:hAnsi="宋体" w:eastAsia="宋体" w:cs="宋体"/>
                <w:szCs w:val="21"/>
                <w:highlight w:val="none"/>
                <w:lang w:val="zh-CN"/>
              </w:rPr>
              <w:t>投标人代缴的社保证明材料并加盖投标人公章,否则不得分</w:t>
            </w:r>
            <w:r>
              <w:rPr>
                <w:rFonts w:hint="eastAsia" w:ascii="宋体" w:hAnsi="宋体" w:eastAsia="宋体" w:cs="宋体"/>
                <w:szCs w:val="21"/>
                <w:highlight w:val="none"/>
              </w:rPr>
              <w:t>。</w:t>
            </w:r>
          </w:p>
        </w:tc>
        <w:tc>
          <w:tcPr>
            <w:tcW w:w="686" w:type="dxa"/>
            <w:shd w:val="clear" w:color="auto" w:fill="auto"/>
            <w:vAlign w:val="center"/>
          </w:tcPr>
          <w:p>
            <w:pPr>
              <w:spacing w:line="220" w:lineRule="exact"/>
              <w:ind w:left="-2" w:leftChars="-1"/>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643" w:type="dxa"/>
            <w:vMerge w:val="continue"/>
            <w:shd w:val="clear" w:color="auto" w:fill="auto"/>
            <w:vAlign w:val="center"/>
          </w:tcPr>
          <w:p>
            <w:pPr>
              <w:snapToGrid w:val="0"/>
              <w:ind w:left="-2" w:leftChars="-1"/>
              <w:jc w:val="center"/>
              <w:rPr>
                <w:rFonts w:ascii="宋体" w:hAnsi="宋体" w:eastAsia="宋体" w:cs="宋体"/>
                <w:szCs w:val="21"/>
                <w:highlight w:val="none"/>
              </w:rPr>
            </w:pP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企业实力</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5</w:t>
            </w:r>
          </w:p>
        </w:tc>
        <w:tc>
          <w:tcPr>
            <w:tcW w:w="9797" w:type="dxa"/>
            <w:shd w:val="clear" w:color="auto" w:fill="auto"/>
            <w:vAlign w:val="center"/>
          </w:tcPr>
          <w:p>
            <w:pPr>
              <w:rPr>
                <w:rFonts w:ascii="宋体" w:hAnsi="宋体" w:eastAsia="宋体" w:cs="宋体"/>
                <w:szCs w:val="21"/>
                <w:highlight w:val="none"/>
              </w:rPr>
            </w:pPr>
            <w:r>
              <w:rPr>
                <w:rFonts w:hint="eastAsia" w:ascii="宋体" w:hAnsi="宋体" w:eastAsia="宋体" w:cs="宋体"/>
                <w:szCs w:val="21"/>
                <w:highlight w:val="none"/>
              </w:rPr>
              <w:t>1、具有文物保护类材料或工艺发明等相关知识产权证书，每提供一个证书得1分，本项最多得2分。</w:t>
            </w:r>
          </w:p>
          <w:p>
            <w:pPr>
              <w:rPr>
                <w:rFonts w:ascii="宋体" w:hAnsi="宋体" w:eastAsia="宋体" w:cs="宋体"/>
                <w:szCs w:val="21"/>
                <w:highlight w:val="none"/>
              </w:rPr>
            </w:pPr>
            <w:r>
              <w:rPr>
                <w:rFonts w:hint="eastAsia" w:ascii="宋体" w:hAnsi="宋体" w:eastAsia="宋体" w:cs="宋体"/>
                <w:szCs w:val="21"/>
                <w:highlight w:val="none"/>
              </w:rPr>
              <w:t>2、具有高新技术企业称号的得3分（提交证明文件）</w:t>
            </w:r>
          </w:p>
        </w:tc>
        <w:tc>
          <w:tcPr>
            <w:tcW w:w="686" w:type="dxa"/>
            <w:shd w:val="clear" w:color="auto" w:fill="auto"/>
            <w:vAlign w:val="center"/>
          </w:tcPr>
          <w:p>
            <w:pPr>
              <w:spacing w:line="220" w:lineRule="exact"/>
              <w:ind w:left="-2" w:leftChars="-1"/>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643" w:type="dxa"/>
            <w:vMerge w:val="restart"/>
            <w:shd w:val="clear" w:color="auto" w:fill="auto"/>
            <w:vAlign w:val="center"/>
          </w:tcPr>
          <w:p>
            <w:pPr>
              <w:snapToGrid w:val="0"/>
              <w:ind w:left="-2" w:leftChars="-1"/>
              <w:jc w:val="center"/>
              <w:rPr>
                <w:rFonts w:ascii="宋体" w:hAnsi="宋体" w:eastAsia="宋体" w:cs="宋体"/>
                <w:szCs w:val="21"/>
                <w:highlight w:val="none"/>
              </w:rPr>
            </w:pPr>
            <w:r>
              <w:rPr>
                <w:rFonts w:hint="eastAsia" w:ascii="宋体" w:hAnsi="宋体" w:eastAsia="宋体" w:cs="宋体"/>
                <w:szCs w:val="21"/>
                <w:highlight w:val="none"/>
              </w:rPr>
              <w:t>技术部分（20分）</w:t>
            </w: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项目思路</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5</w:t>
            </w:r>
          </w:p>
        </w:tc>
        <w:tc>
          <w:tcPr>
            <w:tcW w:w="9797" w:type="dxa"/>
            <w:shd w:val="clear" w:color="auto" w:fill="auto"/>
            <w:vAlign w:val="center"/>
          </w:tcPr>
          <w:p>
            <w:pPr>
              <w:numPr>
                <w:ilvl w:val="0"/>
                <w:numId w:val="4"/>
              </w:numPr>
              <w:rPr>
                <w:rFonts w:ascii="宋体" w:hAnsi="宋体" w:eastAsia="宋体" w:cs="宋体"/>
                <w:szCs w:val="21"/>
                <w:highlight w:val="none"/>
              </w:rPr>
            </w:pPr>
            <w:r>
              <w:rPr>
                <w:rFonts w:hint="eastAsia" w:ascii="宋体" w:hAnsi="宋体" w:eastAsia="宋体" w:cs="宋体"/>
                <w:szCs w:val="21"/>
                <w:highlight w:val="none"/>
              </w:rPr>
              <w:t>总体设计（路线方案）合理，思路清晰明确，可行性高，得 4-5分；</w:t>
            </w:r>
          </w:p>
          <w:p>
            <w:pPr>
              <w:numPr>
                <w:ilvl w:val="0"/>
                <w:numId w:val="4"/>
              </w:numPr>
              <w:rPr>
                <w:rFonts w:ascii="宋体" w:hAnsi="宋体" w:eastAsia="宋体" w:cs="宋体"/>
                <w:szCs w:val="21"/>
                <w:highlight w:val="none"/>
              </w:rPr>
            </w:pPr>
            <w:r>
              <w:rPr>
                <w:rFonts w:hint="eastAsia" w:ascii="宋体" w:hAnsi="宋体" w:eastAsia="宋体" w:cs="宋体"/>
                <w:szCs w:val="21"/>
                <w:highlight w:val="none"/>
              </w:rPr>
              <w:t>总体设计（路线方案）一般合理，思路较清晰明确，可行性一般，得2-3分；</w:t>
            </w:r>
          </w:p>
          <w:p>
            <w:pPr>
              <w:numPr>
                <w:ilvl w:val="0"/>
                <w:numId w:val="4"/>
              </w:numPr>
              <w:rPr>
                <w:rFonts w:ascii="宋体" w:hAnsi="宋体" w:eastAsia="宋体" w:cs="宋体"/>
                <w:szCs w:val="21"/>
                <w:highlight w:val="none"/>
              </w:rPr>
            </w:pPr>
            <w:r>
              <w:rPr>
                <w:rFonts w:hint="eastAsia" w:ascii="宋体" w:hAnsi="宋体" w:eastAsia="宋体" w:cs="宋体"/>
                <w:szCs w:val="21"/>
                <w:highlight w:val="none"/>
              </w:rPr>
              <w:t>总体设计（路线方案）合理性低，思路不够清晰明确，可行性低，得 0-1分。</w:t>
            </w:r>
          </w:p>
        </w:tc>
        <w:tc>
          <w:tcPr>
            <w:tcW w:w="686" w:type="dxa"/>
            <w:shd w:val="clear" w:color="auto" w:fill="auto"/>
            <w:vAlign w:val="center"/>
          </w:tcPr>
          <w:p>
            <w:pPr>
              <w:spacing w:line="360" w:lineRule="exact"/>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643" w:type="dxa"/>
            <w:vMerge w:val="continue"/>
            <w:shd w:val="clear" w:color="auto" w:fill="auto"/>
            <w:vAlign w:val="center"/>
          </w:tcPr>
          <w:p>
            <w:pPr>
              <w:snapToGrid w:val="0"/>
              <w:ind w:left="-2" w:leftChars="-1"/>
              <w:jc w:val="center"/>
              <w:rPr>
                <w:rFonts w:ascii="宋体" w:hAnsi="宋体" w:eastAsia="宋体" w:cs="宋体"/>
                <w:szCs w:val="21"/>
                <w:highlight w:val="none"/>
              </w:rPr>
            </w:pP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项目设计方案</w:t>
            </w:r>
          </w:p>
        </w:tc>
        <w:tc>
          <w:tcPr>
            <w:tcW w:w="709"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10</w:t>
            </w:r>
          </w:p>
        </w:tc>
        <w:tc>
          <w:tcPr>
            <w:tcW w:w="9797" w:type="dxa"/>
            <w:shd w:val="clear" w:color="auto" w:fill="auto"/>
            <w:vAlign w:val="center"/>
          </w:tcPr>
          <w:p>
            <w:pPr>
              <w:rPr>
                <w:rFonts w:ascii="宋体" w:hAnsi="宋体" w:eastAsia="宋体" w:cs="宋体"/>
                <w:szCs w:val="21"/>
                <w:highlight w:val="none"/>
              </w:rPr>
            </w:pPr>
            <w:r>
              <w:rPr>
                <w:rFonts w:hint="eastAsia" w:ascii="宋体" w:hAnsi="宋体" w:eastAsia="宋体" w:cs="宋体"/>
                <w:szCs w:val="21"/>
                <w:highlight w:val="none"/>
              </w:rPr>
              <w:t>1、设计方案内容内容完整的得 8-10分；</w:t>
            </w:r>
          </w:p>
          <w:p>
            <w:pPr>
              <w:rPr>
                <w:rFonts w:ascii="宋体" w:hAnsi="宋体" w:eastAsia="宋体" w:cs="宋体"/>
                <w:szCs w:val="21"/>
                <w:highlight w:val="none"/>
              </w:rPr>
            </w:pPr>
            <w:r>
              <w:rPr>
                <w:rFonts w:hint="eastAsia" w:ascii="宋体" w:hAnsi="宋体" w:eastAsia="宋体" w:cs="宋体"/>
                <w:szCs w:val="21"/>
                <w:highlight w:val="none"/>
              </w:rPr>
              <w:t>2、设计方案内容内容一般，得4-7分；</w:t>
            </w:r>
          </w:p>
          <w:p>
            <w:pPr>
              <w:rPr>
                <w:rFonts w:ascii="宋体" w:hAnsi="宋体" w:eastAsia="宋体" w:cs="宋体"/>
                <w:szCs w:val="21"/>
                <w:highlight w:val="none"/>
              </w:rPr>
            </w:pPr>
            <w:r>
              <w:rPr>
                <w:rFonts w:hint="eastAsia" w:ascii="宋体" w:hAnsi="宋体" w:eastAsia="宋体" w:cs="宋体"/>
                <w:szCs w:val="21"/>
                <w:highlight w:val="none"/>
              </w:rPr>
              <w:t>3、设计方案内容内容较粗略的，无针对性，不能结合项目现状的， 得0-3分。</w:t>
            </w:r>
          </w:p>
        </w:tc>
        <w:tc>
          <w:tcPr>
            <w:tcW w:w="686" w:type="dxa"/>
            <w:shd w:val="clear" w:color="auto" w:fill="auto"/>
            <w:vAlign w:val="center"/>
          </w:tcPr>
          <w:p>
            <w:pPr>
              <w:spacing w:line="360" w:lineRule="exact"/>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643" w:type="dxa"/>
            <w:vMerge w:val="continue"/>
            <w:shd w:val="clear" w:color="auto" w:fill="auto"/>
            <w:vAlign w:val="center"/>
          </w:tcPr>
          <w:p>
            <w:pPr>
              <w:snapToGrid w:val="0"/>
              <w:ind w:left="-2" w:leftChars="-1"/>
              <w:jc w:val="center"/>
              <w:rPr>
                <w:rFonts w:ascii="宋体" w:hAnsi="宋体" w:eastAsia="宋体" w:cs="宋体"/>
                <w:szCs w:val="21"/>
                <w:highlight w:val="none"/>
              </w:rPr>
            </w:pP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lang w:val="zh-CN"/>
              </w:rPr>
              <w:t>项目工作流程</w:t>
            </w:r>
          </w:p>
        </w:tc>
        <w:tc>
          <w:tcPr>
            <w:tcW w:w="709" w:type="dxa"/>
            <w:shd w:val="clear" w:color="auto" w:fill="auto"/>
            <w:vAlign w:val="center"/>
          </w:tcPr>
          <w:p>
            <w:pPr>
              <w:widowControl/>
              <w:jc w:val="center"/>
              <w:textAlignment w:val="center"/>
              <w:rPr>
                <w:rFonts w:ascii="宋体" w:hAnsi="宋体" w:eastAsia="宋体" w:cs="宋体"/>
                <w:position w:val="8"/>
                <w:szCs w:val="21"/>
                <w:highlight w:val="none"/>
              </w:rPr>
            </w:pPr>
            <w:r>
              <w:rPr>
                <w:rFonts w:hint="eastAsia" w:ascii="宋体" w:hAnsi="宋体" w:eastAsia="宋体" w:cs="宋体"/>
                <w:color w:val="000000"/>
                <w:kern w:val="0"/>
                <w:szCs w:val="21"/>
                <w:highlight w:val="none"/>
                <w:lang w:bidi="ar"/>
              </w:rPr>
              <w:t>5</w:t>
            </w:r>
          </w:p>
        </w:tc>
        <w:tc>
          <w:tcPr>
            <w:tcW w:w="9797" w:type="dxa"/>
            <w:shd w:val="clear" w:color="auto" w:fill="auto"/>
            <w:vAlign w:val="center"/>
          </w:tcPr>
          <w:p>
            <w:pPr>
              <w:adjustRightInd w:val="0"/>
              <w:snapToGrid w:val="0"/>
              <w:jc w:val="left"/>
              <w:rPr>
                <w:rFonts w:ascii="宋体" w:hAnsi="宋体" w:eastAsia="宋体" w:cs="宋体"/>
                <w:szCs w:val="21"/>
                <w:highlight w:val="none"/>
                <w:lang w:val="zh-CN"/>
              </w:rPr>
            </w:pPr>
            <w:r>
              <w:rPr>
                <w:rFonts w:hint="eastAsia" w:ascii="宋体" w:hAnsi="宋体" w:eastAsia="宋体" w:cs="宋体"/>
                <w:szCs w:val="21"/>
                <w:highlight w:val="none"/>
                <w:lang w:val="zh-CN"/>
              </w:rPr>
              <w:t>1、工作流程步骤详实的、时间安排合理得</w:t>
            </w:r>
            <w:r>
              <w:rPr>
                <w:rFonts w:hint="eastAsia" w:ascii="宋体" w:hAnsi="宋体" w:eastAsia="宋体" w:cs="宋体"/>
                <w:szCs w:val="21"/>
                <w:highlight w:val="none"/>
              </w:rPr>
              <w:t xml:space="preserve"> 4-5</w:t>
            </w:r>
            <w:r>
              <w:rPr>
                <w:rFonts w:hint="eastAsia" w:ascii="宋体" w:hAnsi="宋体" w:eastAsia="宋体" w:cs="宋体"/>
                <w:szCs w:val="21"/>
                <w:highlight w:val="none"/>
                <w:lang w:val="zh-CN"/>
              </w:rPr>
              <w:t>分；</w:t>
            </w:r>
          </w:p>
          <w:p>
            <w:pPr>
              <w:adjustRightInd w:val="0"/>
              <w:snapToGrid w:val="0"/>
              <w:jc w:val="left"/>
              <w:rPr>
                <w:rFonts w:ascii="宋体" w:hAnsi="宋体" w:eastAsia="宋体" w:cs="宋体"/>
                <w:szCs w:val="21"/>
                <w:highlight w:val="none"/>
                <w:lang w:val="zh-CN"/>
              </w:rPr>
            </w:pPr>
            <w:r>
              <w:rPr>
                <w:rFonts w:hint="eastAsia" w:ascii="宋体" w:hAnsi="宋体" w:eastAsia="宋体" w:cs="宋体"/>
                <w:szCs w:val="21"/>
                <w:highlight w:val="none"/>
                <w:lang w:val="zh-CN"/>
              </w:rPr>
              <w:t>2、工作流程步骤、时间安排</w:t>
            </w:r>
            <w:r>
              <w:rPr>
                <w:rFonts w:hint="eastAsia" w:ascii="宋体" w:hAnsi="宋体" w:eastAsia="宋体" w:cs="宋体"/>
                <w:szCs w:val="21"/>
                <w:highlight w:val="none"/>
              </w:rPr>
              <w:t>一般</w:t>
            </w:r>
            <w:r>
              <w:rPr>
                <w:rFonts w:hint="eastAsia" w:ascii="宋体" w:hAnsi="宋体" w:eastAsia="宋体" w:cs="宋体"/>
                <w:szCs w:val="21"/>
                <w:highlight w:val="none"/>
                <w:lang w:val="zh-CN"/>
              </w:rPr>
              <w:t>得</w:t>
            </w:r>
            <w:r>
              <w:rPr>
                <w:rFonts w:hint="eastAsia" w:ascii="宋体" w:hAnsi="宋体" w:eastAsia="宋体" w:cs="宋体"/>
                <w:szCs w:val="21"/>
                <w:highlight w:val="none"/>
              </w:rPr>
              <w:t>2-3</w:t>
            </w:r>
            <w:r>
              <w:rPr>
                <w:rFonts w:hint="eastAsia" w:ascii="宋体" w:hAnsi="宋体" w:eastAsia="宋体" w:cs="宋体"/>
                <w:szCs w:val="21"/>
                <w:highlight w:val="none"/>
                <w:lang w:val="zh-CN"/>
              </w:rPr>
              <w:t>分；</w:t>
            </w:r>
          </w:p>
          <w:p>
            <w:pPr>
              <w:adjustRightInd w:val="0"/>
              <w:snapToGrid w:val="0"/>
              <w:jc w:val="left"/>
              <w:rPr>
                <w:rFonts w:ascii="宋体" w:hAnsi="宋体" w:eastAsia="宋体" w:cs="宋体"/>
                <w:szCs w:val="21"/>
                <w:highlight w:val="none"/>
              </w:rPr>
            </w:pPr>
            <w:r>
              <w:rPr>
                <w:rFonts w:hint="eastAsia" w:ascii="宋体" w:hAnsi="宋体" w:eastAsia="宋体" w:cs="宋体"/>
                <w:szCs w:val="21"/>
                <w:highlight w:val="none"/>
                <w:lang w:val="zh-CN"/>
              </w:rPr>
              <w:t>3、工作流程步骤、时间安排不能结合实际情况得</w:t>
            </w:r>
            <w:r>
              <w:rPr>
                <w:rFonts w:hint="eastAsia" w:ascii="宋体" w:hAnsi="宋体" w:eastAsia="宋体" w:cs="宋体"/>
                <w:szCs w:val="21"/>
                <w:highlight w:val="none"/>
              </w:rPr>
              <w:t>0-1</w:t>
            </w:r>
            <w:r>
              <w:rPr>
                <w:rFonts w:hint="eastAsia" w:ascii="宋体" w:hAnsi="宋体" w:eastAsia="宋体" w:cs="宋体"/>
                <w:szCs w:val="21"/>
                <w:highlight w:val="none"/>
                <w:lang w:val="zh-CN"/>
              </w:rPr>
              <w:t>。</w:t>
            </w:r>
          </w:p>
        </w:tc>
        <w:tc>
          <w:tcPr>
            <w:tcW w:w="686" w:type="dxa"/>
            <w:shd w:val="clear" w:color="auto" w:fill="auto"/>
            <w:vAlign w:val="center"/>
          </w:tcPr>
          <w:p>
            <w:pPr>
              <w:spacing w:line="360" w:lineRule="exact"/>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4" w:hRule="atLeast"/>
          <w:jc w:val="center"/>
        </w:trPr>
        <w:tc>
          <w:tcPr>
            <w:tcW w:w="643" w:type="dxa"/>
            <w:shd w:val="clear" w:color="auto" w:fill="auto"/>
            <w:vAlign w:val="center"/>
          </w:tcPr>
          <w:p>
            <w:pPr>
              <w:snapToGrid w:val="0"/>
              <w:ind w:left="-2" w:leftChars="-1"/>
              <w:jc w:val="center"/>
              <w:rPr>
                <w:rFonts w:ascii="宋体" w:hAnsi="宋体" w:eastAsia="宋体" w:cs="宋体"/>
                <w:szCs w:val="21"/>
                <w:highlight w:val="none"/>
              </w:rPr>
            </w:pPr>
            <w:r>
              <w:rPr>
                <w:rFonts w:hint="eastAsia" w:ascii="宋体" w:hAnsi="宋体" w:eastAsia="宋体" w:cs="宋体"/>
                <w:szCs w:val="21"/>
                <w:highlight w:val="none"/>
              </w:rPr>
              <w:t>经济部分</w:t>
            </w:r>
          </w:p>
        </w:tc>
        <w:tc>
          <w:tcPr>
            <w:tcW w:w="1406" w:type="dxa"/>
            <w:shd w:val="clear" w:color="auto" w:fill="auto"/>
            <w:vAlign w:val="center"/>
          </w:tcPr>
          <w:p>
            <w:pPr>
              <w:jc w:val="center"/>
              <w:rPr>
                <w:rFonts w:ascii="宋体" w:hAnsi="宋体" w:eastAsia="宋体" w:cs="宋体"/>
                <w:szCs w:val="21"/>
                <w:highlight w:val="none"/>
              </w:rPr>
            </w:pPr>
            <w:r>
              <w:rPr>
                <w:rFonts w:hint="eastAsia" w:ascii="宋体" w:hAnsi="宋体" w:eastAsia="宋体" w:cs="宋体"/>
                <w:szCs w:val="21"/>
                <w:highlight w:val="none"/>
              </w:rPr>
              <w:t>服务</w:t>
            </w:r>
          </w:p>
          <w:p>
            <w:pPr>
              <w:jc w:val="center"/>
              <w:rPr>
                <w:rFonts w:ascii="宋体" w:hAnsi="宋体" w:eastAsia="宋体" w:cs="宋体"/>
                <w:szCs w:val="21"/>
                <w:highlight w:val="none"/>
              </w:rPr>
            </w:pPr>
            <w:r>
              <w:rPr>
                <w:rFonts w:hint="eastAsia" w:ascii="宋体" w:hAnsi="宋体" w:eastAsia="宋体" w:cs="宋体"/>
                <w:szCs w:val="21"/>
                <w:highlight w:val="none"/>
              </w:rPr>
              <w:t>报价</w:t>
            </w:r>
          </w:p>
        </w:tc>
        <w:tc>
          <w:tcPr>
            <w:tcW w:w="709" w:type="dxa"/>
            <w:shd w:val="clear" w:color="auto" w:fill="auto"/>
            <w:vAlign w:val="center"/>
          </w:tcPr>
          <w:p>
            <w:pPr>
              <w:widowControl/>
              <w:jc w:val="center"/>
              <w:textAlignment w:val="center"/>
              <w:rPr>
                <w:rFonts w:ascii="宋体" w:hAnsi="宋体" w:eastAsia="宋体" w:cs="宋体"/>
                <w:szCs w:val="21"/>
                <w:highlight w:val="none"/>
              </w:rPr>
            </w:pPr>
            <w:r>
              <w:rPr>
                <w:rFonts w:hint="eastAsia" w:ascii="宋体" w:hAnsi="宋体" w:eastAsia="宋体" w:cs="宋体"/>
                <w:color w:val="000000"/>
                <w:kern w:val="0"/>
                <w:szCs w:val="21"/>
                <w:highlight w:val="none"/>
                <w:lang w:bidi="ar"/>
              </w:rPr>
              <w:t>50</w:t>
            </w:r>
          </w:p>
        </w:tc>
        <w:tc>
          <w:tcPr>
            <w:tcW w:w="9797" w:type="dxa"/>
            <w:shd w:val="clear" w:color="auto" w:fill="auto"/>
          </w:tcPr>
          <w:p>
            <w:pPr>
              <w:jc w:val="left"/>
              <w:rPr>
                <w:rFonts w:ascii="宋体" w:hAnsi="宋体" w:eastAsia="宋体" w:cs="宋体"/>
                <w:szCs w:val="21"/>
                <w:highlight w:val="none"/>
              </w:rPr>
            </w:pPr>
          </w:p>
          <w:p>
            <w:pPr>
              <w:rPr>
                <w:rFonts w:ascii="宋体" w:hAnsi="宋体" w:eastAsia="宋体" w:cs="宋体"/>
                <w:szCs w:val="21"/>
                <w:highlight w:val="none"/>
              </w:rPr>
            </w:pPr>
            <w:r>
              <w:rPr>
                <w:rFonts w:hint="eastAsia" w:ascii="宋体" w:hAnsi="宋体" w:eastAsia="宋体" w:cs="宋体"/>
                <w:szCs w:val="21"/>
                <w:highlight w:val="none"/>
              </w:rPr>
              <w:t>经济标报价部分以投标单位的有效总报价的平均数作为基准价，等于基准价为满分50分，高于基准价的1%扣1分，低于基准价的1%扣0.5分，以此类推。最低得分0分。得分保留两位小数。计算公式如下：</w:t>
            </w:r>
          </w:p>
          <w:p>
            <w:pPr>
              <w:pStyle w:val="8"/>
              <w:numPr>
                <w:ilvl w:val="0"/>
                <w:numId w:val="5"/>
              </w:numPr>
              <w:rPr>
                <w:rFonts w:hint="default" w:hAnsi="宋体" w:cs="宋体"/>
                <w:highlight w:val="none"/>
              </w:rPr>
            </w:pPr>
            <w:r>
              <w:rPr>
                <w:rFonts w:hAnsi="宋体" w:cs="宋体"/>
                <w:highlight w:val="none"/>
              </w:rPr>
              <w:t>报价等于基准价的，得分=50</w:t>
            </w:r>
          </w:p>
          <w:p>
            <w:pPr>
              <w:pStyle w:val="8"/>
              <w:numPr>
                <w:ilvl w:val="0"/>
                <w:numId w:val="5"/>
              </w:numPr>
              <w:rPr>
                <w:rFonts w:hint="default" w:hAnsi="宋体" w:cs="宋体"/>
                <w:highlight w:val="none"/>
              </w:rPr>
            </w:pPr>
            <w:r>
              <w:rPr>
                <w:rFonts w:hAnsi="宋体" w:cs="宋体"/>
                <w:highlight w:val="none"/>
              </w:rPr>
              <w:t>报价高于基准价的，得分=50-[（报价-基准价）/基准价]×100×1</w:t>
            </w:r>
          </w:p>
          <w:p>
            <w:pPr>
              <w:pStyle w:val="8"/>
              <w:numPr>
                <w:ilvl w:val="0"/>
                <w:numId w:val="5"/>
              </w:numPr>
              <w:rPr>
                <w:rFonts w:hint="default" w:hAnsi="宋体" w:cs="宋体"/>
                <w:highlight w:val="none"/>
              </w:rPr>
            </w:pPr>
            <w:r>
              <w:rPr>
                <w:rFonts w:hAnsi="宋体" w:cs="宋体"/>
                <w:highlight w:val="none"/>
              </w:rPr>
              <w:t>报价低于基准价的，得分=50-[（基准价-报价）/基准价]×100×0.5</w:t>
            </w:r>
          </w:p>
        </w:tc>
        <w:tc>
          <w:tcPr>
            <w:tcW w:w="686" w:type="dxa"/>
            <w:shd w:val="clear" w:color="auto" w:fill="auto"/>
            <w:vAlign w:val="center"/>
          </w:tcPr>
          <w:p>
            <w:pPr>
              <w:spacing w:line="360" w:lineRule="exact"/>
              <w:rPr>
                <w:rFonts w:ascii="仿宋" w:hAnsi="仿宋" w:eastAsia="仿宋"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2049" w:type="dxa"/>
            <w:gridSpan w:val="2"/>
            <w:shd w:val="clear" w:color="auto" w:fill="auto"/>
            <w:vAlign w:val="center"/>
          </w:tcPr>
          <w:p>
            <w:pPr>
              <w:jc w:val="center"/>
              <w:rPr>
                <w:rFonts w:ascii="宋体" w:hAnsi="宋体" w:eastAsia="宋体" w:cs="宋体"/>
                <w:sz w:val="18"/>
                <w:szCs w:val="18"/>
                <w:highlight w:val="none"/>
              </w:rPr>
            </w:pPr>
            <w:r>
              <w:rPr>
                <w:rFonts w:hint="eastAsia" w:ascii="宋体" w:hAnsi="宋体" w:eastAsia="宋体" w:cs="宋体"/>
                <w:sz w:val="18"/>
                <w:szCs w:val="18"/>
                <w:highlight w:val="none"/>
              </w:rPr>
              <w:t>合计</w:t>
            </w:r>
          </w:p>
        </w:tc>
        <w:tc>
          <w:tcPr>
            <w:tcW w:w="709" w:type="dxa"/>
            <w:shd w:val="clear" w:color="auto" w:fill="auto"/>
            <w:vAlign w:val="center"/>
          </w:tcPr>
          <w:p>
            <w:pPr>
              <w:spacing w:line="220" w:lineRule="exact"/>
              <w:ind w:left="-2" w:leftChars="-1"/>
              <w:jc w:val="center"/>
              <w:rPr>
                <w:rFonts w:ascii="仿宋" w:hAnsi="仿宋" w:eastAsia="仿宋" w:cs="宋体"/>
                <w:szCs w:val="21"/>
                <w:highlight w:val="none"/>
              </w:rPr>
            </w:pPr>
            <w:r>
              <w:rPr>
                <w:rFonts w:hint="eastAsia" w:ascii="仿宋" w:hAnsi="仿宋" w:eastAsia="仿宋" w:cs="宋体"/>
                <w:szCs w:val="21"/>
                <w:highlight w:val="none"/>
              </w:rPr>
              <w:t>100</w:t>
            </w:r>
          </w:p>
        </w:tc>
        <w:tc>
          <w:tcPr>
            <w:tcW w:w="9797" w:type="dxa"/>
            <w:shd w:val="clear" w:color="auto" w:fill="auto"/>
            <w:vAlign w:val="center"/>
          </w:tcPr>
          <w:p>
            <w:pPr>
              <w:spacing w:line="220" w:lineRule="exact"/>
              <w:ind w:left="-2" w:leftChars="-1"/>
              <w:rPr>
                <w:rFonts w:ascii="仿宋" w:hAnsi="仿宋" w:eastAsia="仿宋" w:cs="宋体"/>
                <w:sz w:val="18"/>
                <w:szCs w:val="18"/>
                <w:highlight w:val="none"/>
              </w:rPr>
            </w:pPr>
          </w:p>
        </w:tc>
        <w:tc>
          <w:tcPr>
            <w:tcW w:w="686" w:type="dxa"/>
            <w:shd w:val="clear" w:color="auto" w:fill="auto"/>
            <w:vAlign w:val="center"/>
          </w:tcPr>
          <w:p>
            <w:pPr>
              <w:spacing w:line="360" w:lineRule="exact"/>
              <w:ind w:left="-2" w:leftChars="-1"/>
              <w:rPr>
                <w:rFonts w:ascii="仿宋" w:hAnsi="仿宋" w:eastAsia="仿宋" w:cs="宋体"/>
                <w:sz w:val="18"/>
                <w:szCs w:val="18"/>
                <w:highlight w:val="none"/>
              </w:rPr>
            </w:pPr>
          </w:p>
        </w:tc>
      </w:tr>
    </w:tbl>
    <w:p>
      <w:pPr>
        <w:snapToGrid w:val="0"/>
        <w:ind w:left="74"/>
        <w:rPr>
          <w:rFonts w:ascii="仿宋" w:hAnsi="仿宋" w:eastAsia="仿宋" w:cs="宋体"/>
          <w:sz w:val="24"/>
          <w:highlight w:val="yellow"/>
        </w:rPr>
      </w:pPr>
      <w:r>
        <w:rPr>
          <w:rFonts w:hint="eastAsia" w:ascii="仿宋" w:hAnsi="仿宋" w:eastAsia="仿宋" w:cs="宋体"/>
          <w:sz w:val="24"/>
          <w:highlight w:val="yellow"/>
        </w:rPr>
        <w:t xml:space="preserve">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说明：</w:t>
      </w:r>
    </w:p>
    <w:p>
      <w:pPr>
        <w:spacing w:line="360" w:lineRule="auto"/>
        <w:ind w:firstLine="420" w:firstLineChars="200"/>
        <w:jc w:val="left"/>
        <w:rPr>
          <w:rFonts w:ascii="宋体" w:hAnsi="宋体" w:cs="宋体"/>
          <w:szCs w:val="18"/>
          <w:highlight w:val="none"/>
        </w:rPr>
      </w:pPr>
      <w:r>
        <w:rPr>
          <w:rFonts w:hint="eastAsia" w:ascii="宋体" w:hAnsi="宋体" w:cs="宋体"/>
          <w:szCs w:val="18"/>
          <w:highlight w:val="none"/>
        </w:rPr>
        <w:t>1、企</w:t>
      </w:r>
      <w:r>
        <w:rPr>
          <w:rFonts w:hint="eastAsia" w:hAnsi="宋体" w:cs="宋体"/>
          <w:szCs w:val="18"/>
          <w:highlight w:val="none"/>
        </w:rPr>
        <w:t>业业绩认定证明材料需提供合同复印件；业绩认定时间以合同签订时间为准。如业绩资料不能证明业绩合同额，须另提供经业主确认的证明资料复印件。</w:t>
      </w:r>
    </w:p>
    <w:p>
      <w:pPr>
        <w:spacing w:line="360" w:lineRule="auto"/>
        <w:ind w:firstLine="420" w:firstLineChars="200"/>
        <w:jc w:val="left"/>
        <w:rPr>
          <w:rFonts w:ascii="宋体" w:hAnsi="宋体" w:cs="宋体"/>
          <w:szCs w:val="18"/>
          <w:highlight w:val="none"/>
        </w:rPr>
      </w:pPr>
      <w:r>
        <w:rPr>
          <w:rFonts w:hint="eastAsia" w:ascii="宋体" w:hAnsi="宋体" w:cs="宋体"/>
          <w:szCs w:val="18"/>
          <w:highlight w:val="none"/>
        </w:rPr>
        <w:t>2、</w:t>
      </w:r>
      <w:r>
        <w:rPr>
          <w:rFonts w:hint="eastAsia" w:ascii="宋体" w:hAnsi="宋体" w:cs="宋体"/>
          <w:szCs w:val="21"/>
          <w:highlight w:val="none"/>
        </w:rPr>
        <w:t>人员配备及技术水平</w:t>
      </w:r>
      <w:r>
        <w:rPr>
          <w:rFonts w:hint="eastAsia" w:ascii="宋体" w:hAnsi="宋体" w:cs="宋体"/>
          <w:spacing w:val="4"/>
          <w:szCs w:val="21"/>
          <w:highlight w:val="none"/>
        </w:rPr>
        <w:t>：</w:t>
      </w:r>
      <w:r>
        <w:rPr>
          <w:rFonts w:ascii="宋体" w:hAnsi="宋体" w:cs="宋体"/>
          <w:szCs w:val="18"/>
          <w:highlight w:val="none"/>
        </w:rPr>
        <w:t>所提供的投入人员必须为投标单位人员，以提供投标人为其购买的</w:t>
      </w:r>
      <w:r>
        <w:rPr>
          <w:rFonts w:hint="eastAsia" w:ascii="宋体" w:hAnsi="宋体" w:cs="宋体"/>
          <w:highlight w:val="none"/>
        </w:rPr>
        <w:t>近期（</w:t>
      </w:r>
      <w:r>
        <w:rPr>
          <w:rFonts w:hint="eastAsia" w:ascii="宋体" w:hAnsi="宋体"/>
          <w:bCs/>
          <w:highlight w:val="none"/>
        </w:rPr>
        <w:t>1个月</w:t>
      </w:r>
      <w:r>
        <w:rPr>
          <w:rFonts w:hint="eastAsia" w:ascii="宋体" w:hAnsi="宋体" w:cs="宋体"/>
          <w:highlight w:val="none"/>
        </w:rPr>
        <w:t>）</w:t>
      </w:r>
      <w:r>
        <w:rPr>
          <w:rFonts w:ascii="宋体" w:hAnsi="宋体" w:cs="宋体"/>
          <w:szCs w:val="18"/>
          <w:highlight w:val="none"/>
        </w:rPr>
        <w:t>社保证明为准。</w:t>
      </w:r>
      <w:r>
        <w:rPr>
          <w:rFonts w:hint="eastAsia" w:ascii="宋体" w:hAnsi="宋体" w:cs="宋体"/>
          <w:szCs w:val="18"/>
          <w:highlight w:val="none"/>
        </w:rPr>
        <w:t>项目负责人、各专业负责人注册关系必须在本单位，以上注册及职称均需提供相应证明材料。</w:t>
      </w:r>
    </w:p>
    <w:p>
      <w:pPr>
        <w:snapToGrid w:val="0"/>
        <w:spacing w:line="360" w:lineRule="auto"/>
        <w:ind w:left="74" w:firstLine="420" w:firstLineChars="200"/>
        <w:rPr>
          <w:rFonts w:ascii="宋体" w:hAnsi="宋体" w:eastAsia="宋体" w:cs="宋体"/>
          <w:sz w:val="24"/>
          <w:highlight w:val="none"/>
        </w:rPr>
        <w:sectPr>
          <w:pgSz w:w="15840" w:h="12240" w:orient="landscape"/>
          <w:pgMar w:top="1797" w:right="1440" w:bottom="1797" w:left="1440" w:header="720" w:footer="720" w:gutter="0"/>
          <w:cols w:space="425" w:num="1"/>
          <w:docGrid w:linePitch="312" w:charSpace="0"/>
        </w:sectPr>
      </w:pPr>
      <w:r>
        <w:rPr>
          <w:rFonts w:hint="eastAsia" w:ascii="宋体" w:hAnsi="宋体" w:cs="宋体"/>
          <w:szCs w:val="18"/>
          <w:highlight w:val="none"/>
        </w:rPr>
        <w:t>3、本表中所有要求提供的证明资料复印件均需加盖投标人公章。未提供证明资料或提供的证明材料不齐全、不符合要求的，不得分。</w:t>
      </w:r>
    </w:p>
    <w:p>
      <w:pPr>
        <w:pStyle w:val="8"/>
        <w:rPr>
          <w:rFonts w:hint="default"/>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BCA5B3BD"/>
    <w:multiLevelType w:val="singleLevel"/>
    <w:tmpl w:val="BCA5B3BD"/>
    <w:lvl w:ilvl="0" w:tentative="0">
      <w:start w:val="1"/>
      <w:numFmt w:val="decimal"/>
      <w:suff w:val="nothing"/>
      <w:lvlText w:val="%1、"/>
      <w:lvlJc w:val="left"/>
    </w:lvl>
  </w:abstractNum>
  <w:abstractNum w:abstractNumId="2">
    <w:nsid w:val="F9153F42"/>
    <w:multiLevelType w:val="singleLevel"/>
    <w:tmpl w:val="F9153F42"/>
    <w:lvl w:ilvl="0" w:tentative="0">
      <w:start w:val="1"/>
      <w:numFmt w:val="decimal"/>
      <w:suff w:val="nothing"/>
      <w:lvlText w:val="%1、"/>
      <w:lvlJc w:val="left"/>
    </w:lvl>
  </w:abstractNum>
  <w:abstractNum w:abstractNumId="3">
    <w:nsid w:val="61B5240C"/>
    <w:multiLevelType w:val="singleLevel"/>
    <w:tmpl w:val="61B5240C"/>
    <w:lvl w:ilvl="0" w:tentative="0">
      <w:start w:val="1"/>
      <w:numFmt w:val="decimal"/>
      <w:lvlText w:val="%1)"/>
      <w:lvlJc w:val="left"/>
      <w:pPr>
        <w:ind w:left="425" w:hanging="425"/>
      </w:pPr>
      <w:rPr>
        <w:rFonts w:hint="default"/>
      </w:rPr>
    </w:lvl>
  </w:abstractNum>
  <w:abstractNum w:abstractNumId="4">
    <w:nsid w:val="7A7B36A8"/>
    <w:multiLevelType w:val="singleLevel"/>
    <w:tmpl w:val="7A7B36A8"/>
    <w:lvl w:ilvl="0" w:tentative="0">
      <w:start w:val="33"/>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744F3"/>
    <w:rsid w:val="00085D0C"/>
    <w:rsid w:val="000B7B0A"/>
    <w:rsid w:val="000E0EC3"/>
    <w:rsid w:val="000F63F4"/>
    <w:rsid w:val="001062CA"/>
    <w:rsid w:val="00116E11"/>
    <w:rsid w:val="0012610A"/>
    <w:rsid w:val="00134FF9"/>
    <w:rsid w:val="00135D99"/>
    <w:rsid w:val="001416B6"/>
    <w:rsid w:val="001543AA"/>
    <w:rsid w:val="001544AB"/>
    <w:rsid w:val="00164413"/>
    <w:rsid w:val="001921E8"/>
    <w:rsid w:val="001B03C8"/>
    <w:rsid w:val="001C26B1"/>
    <w:rsid w:val="001C4DFB"/>
    <w:rsid w:val="001D1F1F"/>
    <w:rsid w:val="001E1021"/>
    <w:rsid w:val="001F504D"/>
    <w:rsid w:val="001F66EC"/>
    <w:rsid w:val="002124C7"/>
    <w:rsid w:val="002B1295"/>
    <w:rsid w:val="002B764E"/>
    <w:rsid w:val="002D7B13"/>
    <w:rsid w:val="003B0AEE"/>
    <w:rsid w:val="003B47E8"/>
    <w:rsid w:val="003D0F57"/>
    <w:rsid w:val="0040578E"/>
    <w:rsid w:val="00407F49"/>
    <w:rsid w:val="00426513"/>
    <w:rsid w:val="00456C93"/>
    <w:rsid w:val="00464100"/>
    <w:rsid w:val="0048290C"/>
    <w:rsid w:val="004B2C05"/>
    <w:rsid w:val="004D6177"/>
    <w:rsid w:val="0051781B"/>
    <w:rsid w:val="00524AD0"/>
    <w:rsid w:val="00553FDF"/>
    <w:rsid w:val="00571117"/>
    <w:rsid w:val="005A19E6"/>
    <w:rsid w:val="005C4427"/>
    <w:rsid w:val="00641255"/>
    <w:rsid w:val="00646FE0"/>
    <w:rsid w:val="00653F97"/>
    <w:rsid w:val="0065458C"/>
    <w:rsid w:val="0065720F"/>
    <w:rsid w:val="00697CBD"/>
    <w:rsid w:val="006A18B1"/>
    <w:rsid w:val="006D1E78"/>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3D97"/>
    <w:rsid w:val="008C667C"/>
    <w:rsid w:val="008F1212"/>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D7F7C"/>
    <w:rsid w:val="00AF1D2C"/>
    <w:rsid w:val="00AF57CF"/>
    <w:rsid w:val="00B00879"/>
    <w:rsid w:val="00B11F8D"/>
    <w:rsid w:val="00B14F6E"/>
    <w:rsid w:val="00B60E3F"/>
    <w:rsid w:val="00B71F35"/>
    <w:rsid w:val="00B96CE0"/>
    <w:rsid w:val="00BB3D24"/>
    <w:rsid w:val="00BD0854"/>
    <w:rsid w:val="00C532AA"/>
    <w:rsid w:val="00C673E2"/>
    <w:rsid w:val="00CA24DF"/>
    <w:rsid w:val="00CA49A2"/>
    <w:rsid w:val="00CC34A7"/>
    <w:rsid w:val="00D06D88"/>
    <w:rsid w:val="00D0796B"/>
    <w:rsid w:val="00D50CF1"/>
    <w:rsid w:val="00D603A5"/>
    <w:rsid w:val="00D650B3"/>
    <w:rsid w:val="00D85D6D"/>
    <w:rsid w:val="00D87B4A"/>
    <w:rsid w:val="00D95E37"/>
    <w:rsid w:val="00DD64C1"/>
    <w:rsid w:val="00DD686E"/>
    <w:rsid w:val="00DF620B"/>
    <w:rsid w:val="00E14E87"/>
    <w:rsid w:val="00E222D9"/>
    <w:rsid w:val="00E32FBB"/>
    <w:rsid w:val="00E529BD"/>
    <w:rsid w:val="00E85F0E"/>
    <w:rsid w:val="00EC3FB8"/>
    <w:rsid w:val="00EC75BF"/>
    <w:rsid w:val="00EE23EE"/>
    <w:rsid w:val="00EF5506"/>
    <w:rsid w:val="00F15754"/>
    <w:rsid w:val="00F358B9"/>
    <w:rsid w:val="00F52D3A"/>
    <w:rsid w:val="00F5751A"/>
    <w:rsid w:val="00F71B42"/>
    <w:rsid w:val="00F72550"/>
    <w:rsid w:val="00F90CF2"/>
    <w:rsid w:val="00FB7EE5"/>
    <w:rsid w:val="00FC3484"/>
    <w:rsid w:val="00FF33A0"/>
    <w:rsid w:val="00FF76D9"/>
    <w:rsid w:val="01194ED0"/>
    <w:rsid w:val="01E200EE"/>
    <w:rsid w:val="02F7533D"/>
    <w:rsid w:val="032246BF"/>
    <w:rsid w:val="03562994"/>
    <w:rsid w:val="03CB6D70"/>
    <w:rsid w:val="04364A4F"/>
    <w:rsid w:val="04A127DB"/>
    <w:rsid w:val="04A97E61"/>
    <w:rsid w:val="04E40895"/>
    <w:rsid w:val="04FF0224"/>
    <w:rsid w:val="051B7598"/>
    <w:rsid w:val="05715BAA"/>
    <w:rsid w:val="083B43B1"/>
    <w:rsid w:val="08757A2C"/>
    <w:rsid w:val="09062DA7"/>
    <w:rsid w:val="09A667E8"/>
    <w:rsid w:val="0B372B92"/>
    <w:rsid w:val="0C855B7E"/>
    <w:rsid w:val="0C87037B"/>
    <w:rsid w:val="0D911372"/>
    <w:rsid w:val="0E1B10A8"/>
    <w:rsid w:val="0E80564C"/>
    <w:rsid w:val="0EA03B8A"/>
    <w:rsid w:val="0EAC0C18"/>
    <w:rsid w:val="0EB25F9A"/>
    <w:rsid w:val="0F8D0176"/>
    <w:rsid w:val="10B72C8A"/>
    <w:rsid w:val="11F528ED"/>
    <w:rsid w:val="12E86716"/>
    <w:rsid w:val="14082F52"/>
    <w:rsid w:val="14085DAD"/>
    <w:rsid w:val="14233C6D"/>
    <w:rsid w:val="14452035"/>
    <w:rsid w:val="145B3800"/>
    <w:rsid w:val="16007AF5"/>
    <w:rsid w:val="17E977C8"/>
    <w:rsid w:val="1873680D"/>
    <w:rsid w:val="18F12637"/>
    <w:rsid w:val="1AB46DAB"/>
    <w:rsid w:val="1B6C2995"/>
    <w:rsid w:val="1BC44893"/>
    <w:rsid w:val="1BE136FF"/>
    <w:rsid w:val="1C05708F"/>
    <w:rsid w:val="1C307374"/>
    <w:rsid w:val="1C9203A6"/>
    <w:rsid w:val="1C9C5FC9"/>
    <w:rsid w:val="1D2B388A"/>
    <w:rsid w:val="1E032835"/>
    <w:rsid w:val="1F1C5732"/>
    <w:rsid w:val="205D447F"/>
    <w:rsid w:val="21424D60"/>
    <w:rsid w:val="224A02E7"/>
    <w:rsid w:val="227411DF"/>
    <w:rsid w:val="2379601B"/>
    <w:rsid w:val="243868DF"/>
    <w:rsid w:val="24856237"/>
    <w:rsid w:val="25053D8A"/>
    <w:rsid w:val="25687B33"/>
    <w:rsid w:val="25791876"/>
    <w:rsid w:val="26236584"/>
    <w:rsid w:val="26B94C66"/>
    <w:rsid w:val="26FF6942"/>
    <w:rsid w:val="272B74FA"/>
    <w:rsid w:val="2865301D"/>
    <w:rsid w:val="28C86C87"/>
    <w:rsid w:val="29051210"/>
    <w:rsid w:val="296119D7"/>
    <w:rsid w:val="2A97100B"/>
    <w:rsid w:val="2B401296"/>
    <w:rsid w:val="2BEC17AE"/>
    <w:rsid w:val="2C1B0D4A"/>
    <w:rsid w:val="2C532BDA"/>
    <w:rsid w:val="2D0635AD"/>
    <w:rsid w:val="2D5D6575"/>
    <w:rsid w:val="2DC518B5"/>
    <w:rsid w:val="2DDB1EBF"/>
    <w:rsid w:val="2DF963B5"/>
    <w:rsid w:val="2EC40C57"/>
    <w:rsid w:val="2EE433BF"/>
    <w:rsid w:val="30334755"/>
    <w:rsid w:val="30EC6390"/>
    <w:rsid w:val="311233CC"/>
    <w:rsid w:val="316C6EFC"/>
    <w:rsid w:val="34801FDC"/>
    <w:rsid w:val="34935BA4"/>
    <w:rsid w:val="34A264CA"/>
    <w:rsid w:val="3700775A"/>
    <w:rsid w:val="3797498D"/>
    <w:rsid w:val="37A26BD4"/>
    <w:rsid w:val="37AE7FE3"/>
    <w:rsid w:val="38417D8A"/>
    <w:rsid w:val="39731517"/>
    <w:rsid w:val="39FC703A"/>
    <w:rsid w:val="3B183024"/>
    <w:rsid w:val="3B6D4312"/>
    <w:rsid w:val="3CB7521C"/>
    <w:rsid w:val="3CE76215"/>
    <w:rsid w:val="3CFF0303"/>
    <w:rsid w:val="3D7619F9"/>
    <w:rsid w:val="3D96007A"/>
    <w:rsid w:val="3DA355D5"/>
    <w:rsid w:val="3F5F332B"/>
    <w:rsid w:val="3F8502F8"/>
    <w:rsid w:val="3FD704B2"/>
    <w:rsid w:val="405854B3"/>
    <w:rsid w:val="409313F9"/>
    <w:rsid w:val="40CA2819"/>
    <w:rsid w:val="41EC3A6C"/>
    <w:rsid w:val="42A2655E"/>
    <w:rsid w:val="436C5E0D"/>
    <w:rsid w:val="440E45CE"/>
    <w:rsid w:val="44631084"/>
    <w:rsid w:val="446A549B"/>
    <w:rsid w:val="44800368"/>
    <w:rsid w:val="46871AD6"/>
    <w:rsid w:val="47025D0E"/>
    <w:rsid w:val="4735560E"/>
    <w:rsid w:val="47413F22"/>
    <w:rsid w:val="4792678F"/>
    <w:rsid w:val="481D5A38"/>
    <w:rsid w:val="487975A7"/>
    <w:rsid w:val="48E72086"/>
    <w:rsid w:val="49732ED5"/>
    <w:rsid w:val="499C01CA"/>
    <w:rsid w:val="4A1079FD"/>
    <w:rsid w:val="4A1D620C"/>
    <w:rsid w:val="4B6C12E7"/>
    <w:rsid w:val="4BB450EB"/>
    <w:rsid w:val="4BC136D0"/>
    <w:rsid w:val="4BF328A0"/>
    <w:rsid w:val="4C2E17B4"/>
    <w:rsid w:val="4C81677F"/>
    <w:rsid w:val="4D904DD7"/>
    <w:rsid w:val="4D985118"/>
    <w:rsid w:val="4D9C287D"/>
    <w:rsid w:val="4DC53F66"/>
    <w:rsid w:val="4E2A0E48"/>
    <w:rsid w:val="4E48345B"/>
    <w:rsid w:val="4F7725B8"/>
    <w:rsid w:val="4FC91A1A"/>
    <w:rsid w:val="51321BB6"/>
    <w:rsid w:val="51552F81"/>
    <w:rsid w:val="51AB2104"/>
    <w:rsid w:val="528D1056"/>
    <w:rsid w:val="529B7A17"/>
    <w:rsid w:val="530E35F9"/>
    <w:rsid w:val="53427976"/>
    <w:rsid w:val="53A07C03"/>
    <w:rsid w:val="53A63423"/>
    <w:rsid w:val="54386D63"/>
    <w:rsid w:val="54A36172"/>
    <w:rsid w:val="54BC0EE8"/>
    <w:rsid w:val="55D41C4B"/>
    <w:rsid w:val="55FF436A"/>
    <w:rsid w:val="5633540E"/>
    <w:rsid w:val="572444C0"/>
    <w:rsid w:val="594F1692"/>
    <w:rsid w:val="59566C52"/>
    <w:rsid w:val="59C84CAF"/>
    <w:rsid w:val="5AAF5CCA"/>
    <w:rsid w:val="5B6E68B8"/>
    <w:rsid w:val="5B7C0BD0"/>
    <w:rsid w:val="5B8D6C19"/>
    <w:rsid w:val="5B955245"/>
    <w:rsid w:val="5BCE61FA"/>
    <w:rsid w:val="5C9B134E"/>
    <w:rsid w:val="5DAA1580"/>
    <w:rsid w:val="5DF14932"/>
    <w:rsid w:val="5E1A6FB5"/>
    <w:rsid w:val="5E7A3CE2"/>
    <w:rsid w:val="5F355496"/>
    <w:rsid w:val="5F865CD7"/>
    <w:rsid w:val="60F61E20"/>
    <w:rsid w:val="61A7533B"/>
    <w:rsid w:val="621244D5"/>
    <w:rsid w:val="62B2296D"/>
    <w:rsid w:val="636147EE"/>
    <w:rsid w:val="63DB6B9E"/>
    <w:rsid w:val="64B32261"/>
    <w:rsid w:val="65B441A4"/>
    <w:rsid w:val="65D8147F"/>
    <w:rsid w:val="66373494"/>
    <w:rsid w:val="66591B82"/>
    <w:rsid w:val="6898637C"/>
    <w:rsid w:val="68B16D7B"/>
    <w:rsid w:val="68BA7003"/>
    <w:rsid w:val="6A020F52"/>
    <w:rsid w:val="6C343EB1"/>
    <w:rsid w:val="6C920572"/>
    <w:rsid w:val="6DC31ECB"/>
    <w:rsid w:val="6E656845"/>
    <w:rsid w:val="6F3141EF"/>
    <w:rsid w:val="6F471F5D"/>
    <w:rsid w:val="70CF07C8"/>
    <w:rsid w:val="710F157A"/>
    <w:rsid w:val="718C3480"/>
    <w:rsid w:val="72F3401B"/>
    <w:rsid w:val="731416B4"/>
    <w:rsid w:val="73712518"/>
    <w:rsid w:val="738E7AB2"/>
    <w:rsid w:val="74624F7D"/>
    <w:rsid w:val="74B72A06"/>
    <w:rsid w:val="7546516B"/>
    <w:rsid w:val="75AF555B"/>
    <w:rsid w:val="763204BA"/>
    <w:rsid w:val="76F3488A"/>
    <w:rsid w:val="77281C38"/>
    <w:rsid w:val="77B97E57"/>
    <w:rsid w:val="781828A1"/>
    <w:rsid w:val="781C3DC0"/>
    <w:rsid w:val="78780B98"/>
    <w:rsid w:val="788E06C1"/>
    <w:rsid w:val="78D76423"/>
    <w:rsid w:val="79E02BD8"/>
    <w:rsid w:val="7A2B55F9"/>
    <w:rsid w:val="7A3458D0"/>
    <w:rsid w:val="7A44736A"/>
    <w:rsid w:val="7A4B048B"/>
    <w:rsid w:val="7A96669D"/>
    <w:rsid w:val="7B672810"/>
    <w:rsid w:val="7B681B66"/>
    <w:rsid w:val="7C6B2EC5"/>
    <w:rsid w:val="7C831CEC"/>
    <w:rsid w:val="7DDF7DDD"/>
    <w:rsid w:val="7E300909"/>
    <w:rsid w:val="7EC84C80"/>
    <w:rsid w:val="7EF55FF4"/>
    <w:rsid w:val="7F0627ED"/>
    <w:rsid w:val="7F2C6DAA"/>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31"/>
    <w:qFormat/>
    <w:uiPriority w:val="0"/>
    <w:pPr>
      <w:spacing w:beforeAutospacing="1" w:after="120"/>
      <w:ind w:firstLine="420"/>
    </w:pPr>
    <w:rPr>
      <w:rFonts w:ascii="Times New Roman" w:hAnsi="Times New Roman" w:eastAsia="宋体" w:cs="Times New Roman"/>
      <w:szCs w:val="21"/>
    </w:rPr>
  </w:style>
  <w:style w:type="paragraph" w:styleId="5">
    <w:name w:val="Body Text"/>
    <w:basedOn w:val="1"/>
    <w:qFormat/>
    <w:uiPriority w:val="0"/>
  </w:style>
  <w:style w:type="paragraph" w:styleId="6">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Plain Text"/>
    <w:basedOn w:val="1"/>
    <w:link w:val="30"/>
    <w:qFormat/>
    <w:uiPriority w:val="0"/>
    <w:rPr>
      <w:rFonts w:hint="eastAsia" w:ascii="宋体" w:hAnsi="Courier New" w:eastAsia="宋体" w:cs="Times New Roman"/>
      <w:szCs w:val="21"/>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Cs w:val="21"/>
    </w:rPr>
  </w:style>
  <w:style w:type="character" w:styleId="14">
    <w:name w:val="page number"/>
    <w:basedOn w:val="13"/>
    <w:qFormat/>
    <w:uiPriority w:val="0"/>
  </w:style>
  <w:style w:type="character" w:styleId="15">
    <w:name w:val="FollowedHyperlink"/>
    <w:basedOn w:val="13"/>
    <w:qFormat/>
    <w:uiPriority w:val="0"/>
    <w:rPr>
      <w:color w:val="0000FF"/>
      <w:u w:val="single"/>
    </w:rPr>
  </w:style>
  <w:style w:type="character" w:styleId="16">
    <w:name w:val="Hyperlink"/>
    <w:basedOn w:val="13"/>
    <w:qFormat/>
    <w:uiPriority w:val="0"/>
    <w:rPr>
      <w:color w:val="0000FF"/>
      <w:u w:val="singl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0">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1">
    <w:name w:val="列出段落1"/>
    <w:basedOn w:val="1"/>
    <w:qFormat/>
    <w:uiPriority w:val="0"/>
    <w:pPr>
      <w:ind w:firstLine="420" w:firstLineChars="200"/>
    </w:pPr>
    <w:rPr>
      <w:rFonts w:ascii="Calibri" w:hAnsi="Calibri" w:eastAsia="宋体" w:cs="Times New Roman"/>
      <w:szCs w:val="21"/>
    </w:rPr>
  </w:style>
  <w:style w:type="paragraph" w:customStyle="1" w:styleId="22">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3">
    <w:name w:val="10"/>
    <w:basedOn w:val="13"/>
    <w:qFormat/>
    <w:uiPriority w:val="0"/>
    <w:rPr>
      <w:rFonts w:hint="default" w:ascii="Times New Roman" w:hAnsi="Times New Roman" w:cs="Times New Roman"/>
    </w:rPr>
  </w:style>
  <w:style w:type="character" w:customStyle="1" w:styleId="24">
    <w:name w:val="15"/>
    <w:basedOn w:val="13"/>
    <w:qFormat/>
    <w:uiPriority w:val="0"/>
    <w:rPr>
      <w:rFonts w:hint="default" w:ascii="Times New Roman" w:hAnsi="Times New Roman" w:cs="Times New Roman"/>
    </w:rPr>
  </w:style>
  <w:style w:type="character" w:customStyle="1" w:styleId="25">
    <w:name w:val="16"/>
    <w:basedOn w:val="13"/>
    <w:qFormat/>
    <w:uiPriority w:val="0"/>
    <w:rPr>
      <w:rFonts w:hint="default" w:ascii="Times New Roman" w:hAnsi="Times New Roman" w:cs="Times New Roman"/>
      <w:color w:val="0000FF"/>
      <w:u w:val="single"/>
    </w:rPr>
  </w:style>
  <w:style w:type="character" w:customStyle="1" w:styleId="26">
    <w:name w:val="页眉 Char"/>
    <w:basedOn w:val="13"/>
    <w:link w:val="11"/>
    <w:qFormat/>
    <w:uiPriority w:val="0"/>
    <w:rPr>
      <w:rFonts w:asciiTheme="minorHAnsi" w:hAnsiTheme="minorHAnsi" w:eastAsiaTheme="minorEastAsia" w:cstheme="minorBidi"/>
      <w:kern w:val="2"/>
      <w:sz w:val="18"/>
      <w:szCs w:val="18"/>
    </w:rPr>
  </w:style>
  <w:style w:type="character" w:customStyle="1" w:styleId="27">
    <w:name w:val="页脚 Char"/>
    <w:basedOn w:val="13"/>
    <w:link w:val="10"/>
    <w:qFormat/>
    <w:uiPriority w:val="0"/>
    <w:rPr>
      <w:rFonts w:asciiTheme="minorHAnsi" w:hAnsiTheme="minorHAnsi" w:eastAsiaTheme="minorEastAsia" w:cstheme="minorBidi"/>
      <w:kern w:val="2"/>
      <w:sz w:val="18"/>
      <w:szCs w:val="18"/>
    </w:rPr>
  </w:style>
  <w:style w:type="character" w:customStyle="1" w:styleId="28">
    <w:name w:val="批注框文本 Char"/>
    <w:basedOn w:val="13"/>
    <w:link w:val="9"/>
    <w:qFormat/>
    <w:uiPriority w:val="0"/>
    <w:rPr>
      <w:rFonts w:asciiTheme="minorHAnsi" w:hAnsiTheme="minorHAnsi" w:eastAsiaTheme="minorEastAsia" w:cstheme="minorBidi"/>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纯文本 Char"/>
    <w:link w:val="8"/>
    <w:qFormat/>
    <w:uiPriority w:val="0"/>
    <w:rPr>
      <w:rFonts w:ascii="宋体" w:hAnsi="Courier New"/>
      <w:kern w:val="2"/>
      <w:sz w:val="21"/>
      <w:szCs w:val="21"/>
    </w:rPr>
  </w:style>
  <w:style w:type="character" w:customStyle="1" w:styleId="31">
    <w:name w:val="正文首行缩进 Char"/>
    <w:basedOn w:val="13"/>
    <w:link w:val="4"/>
    <w:qFormat/>
    <w:uiPriority w:val="0"/>
    <w:rPr>
      <w:kern w:val="2"/>
      <w:sz w:val="21"/>
      <w:szCs w:val="21"/>
    </w:rPr>
  </w:style>
  <w:style w:type="paragraph" w:styleId="32">
    <w:name w:val="List Paragraph"/>
    <w:basedOn w:val="1"/>
    <w:unhideWhenUsed/>
    <w:qFormat/>
    <w:uiPriority w:val="99"/>
    <w:pPr>
      <w:ind w:firstLine="420" w:firstLineChars="200"/>
    </w:p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4">
    <w:name w:val="发文落款"/>
    <w:basedOn w:val="33"/>
    <w:qFormat/>
    <w:uiPriority w:val="0"/>
    <w:pPr>
      <w:ind w:left="4094" w:right="607" w:firstLine="0"/>
      <w:jc w:val="center"/>
    </w:pPr>
  </w:style>
  <w:style w:type="character" w:customStyle="1" w:styleId="35">
    <w:name w:val="c Char1"/>
    <w:link w:val="36"/>
    <w:qFormat/>
    <w:uiPriority w:val="0"/>
    <w:rPr>
      <w:rFonts w:eastAsia="仿宋_GB2312" w:cs="宋体"/>
      <w:sz w:val="28"/>
    </w:rPr>
  </w:style>
  <w:style w:type="paragraph" w:customStyle="1" w:styleId="36">
    <w:name w:val="c"/>
    <w:basedOn w:val="1"/>
    <w:link w:val="35"/>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24293-E64E-46C5-8A7B-8055AFBF4B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14886</Words>
  <Characters>15606</Characters>
  <Lines>127</Lines>
  <Paragraphs>35</Paragraphs>
  <TotalTime>20</TotalTime>
  <ScaleCrop>false</ScaleCrop>
  <LinksUpToDate>false</LinksUpToDate>
  <CharactersWithSpaces>16717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2022-04-08T08:27:00Z</dcterms:created>
  <dc:creator>李晓晨</dc:creator>
  <cp:lastModifiedBy>Lon0</cp:lastModifiedBy>
  <cp:lastPrinted>2020-07-23T07:52:00Z</cp:lastPrinted>
  <dcterms:modified xsi:type="dcterms:W3CDTF">2022-04-17T08:55:23Z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E323F79C37724B08A76BDFB78941EBE2</vt:lpwstr>
  </property>
</Properties>
</file>