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pacing w:val="2"/>
          <w:sz w:val="44"/>
          <w:szCs w:val="44"/>
        </w:rPr>
      </w:pPr>
      <w:r>
        <w:rPr>
          <w:rFonts w:hint="eastAsia" w:ascii="仿宋" w:hAnsi="仿宋" w:eastAsia="仿宋"/>
          <w:b/>
          <w:spacing w:val="2"/>
          <w:sz w:val="44"/>
          <w:szCs w:val="44"/>
        </w:rPr>
        <w:t>口岸大厦一切责任险和口岸大厦及运输服</w:t>
      </w:r>
    </w:p>
    <w:p>
      <w:pPr>
        <w:spacing w:line="360" w:lineRule="auto"/>
        <w:jc w:val="center"/>
        <w:rPr>
          <w:rFonts w:hint="eastAsia" w:ascii="黑体" w:eastAsia="仿宋"/>
          <w:sz w:val="36"/>
          <w:szCs w:val="36"/>
          <w:lang w:eastAsia="zh-CN"/>
        </w:rPr>
      </w:pPr>
      <w:r>
        <w:rPr>
          <w:rFonts w:hint="eastAsia" w:ascii="仿宋" w:hAnsi="仿宋" w:eastAsia="仿宋"/>
          <w:b/>
          <w:spacing w:val="2"/>
          <w:sz w:val="44"/>
          <w:szCs w:val="44"/>
        </w:rPr>
        <w:t>务中心宿舍及商铺公众责任险</w:t>
      </w:r>
      <w:r>
        <w:rPr>
          <w:rFonts w:hint="eastAsia" w:ascii="仿宋" w:hAnsi="仿宋" w:eastAsia="仿宋"/>
          <w:b/>
          <w:spacing w:val="2"/>
          <w:sz w:val="44"/>
          <w:szCs w:val="44"/>
          <w:lang w:eastAsia="zh-CN"/>
        </w:rPr>
        <w:t>（</w:t>
      </w:r>
      <w:r>
        <w:rPr>
          <w:rFonts w:hint="eastAsia" w:ascii="仿宋" w:hAnsi="仿宋" w:eastAsia="仿宋"/>
          <w:b/>
          <w:spacing w:val="2"/>
          <w:sz w:val="44"/>
          <w:szCs w:val="44"/>
          <w:lang w:val="en-US" w:eastAsia="zh-CN"/>
        </w:rPr>
        <w:t>第二次</w:t>
      </w:r>
      <w:r>
        <w:rPr>
          <w:rFonts w:hint="eastAsia" w:ascii="仿宋" w:hAnsi="仿宋" w:eastAsia="仿宋"/>
          <w:b/>
          <w:spacing w:val="2"/>
          <w:sz w:val="44"/>
          <w:szCs w:val="44"/>
          <w:lang w:eastAsia="zh-CN"/>
        </w:rPr>
        <w:t>）</w:t>
      </w:r>
    </w:p>
    <w:p>
      <w:pPr>
        <w:tabs>
          <w:tab w:val="left" w:pos="2160"/>
        </w:tabs>
        <w:spacing w:line="300" w:lineRule="auto"/>
        <w:jc w:val="center"/>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280670</wp:posOffset>
                </wp:positionV>
                <wp:extent cx="5379085" cy="23495"/>
                <wp:effectExtent l="0" t="15875" r="635" b="21590"/>
                <wp:wrapNone/>
                <wp:docPr id="2" name="直接连接符 2"/>
                <wp:cNvGraphicFramePr/>
                <a:graphic xmlns:a="http://schemas.openxmlformats.org/drawingml/2006/main">
                  <a:graphicData uri="http://schemas.microsoft.com/office/word/2010/wordprocessingShape">
                    <wps:wsp>
                      <wps:cNvCnPr/>
                      <wps:spPr>
                        <a:xfrm flipV="1">
                          <a:off x="0" y="0"/>
                          <a:ext cx="5379085" cy="23495"/>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8pt;margin-top:22.1pt;height:1.85pt;width:423.55pt;z-index:251660288;mso-width-relative:page;mso-height-relative:page;" filled="f" stroked="t" coordsize="21600,21600" o:gfxdata="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VBnm1gAAAAcBAAAPAAAAAAAAAAEAIAAAACIAAABkcnMvZG93bnJldi54bWxQ&#10;SwECFAAUAAAACACHTuJA97/gmPkBAADnAwAADgAAAAAAAAABACAAAAAlAQAAZHJzL2Uyb0RvYy54&#10;bWxQSwUGAAAAAAYABgBZAQAAk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lang w:eastAsia="zh-CN"/>
          <w14:shadow w14:blurRad="50800" w14:dist="38100" w14:dir="2700000" w14:sx="100000" w14:sy="100000" w14:kx="0" w14:ky="0" w14:algn="tl">
            <w14:srgbClr w14:val="000000">
              <w14:alpha w14:val="60000"/>
            </w14:srgbClr>
          </w14:shadow>
        </w:rPr>
        <w:t>询价议标</w:t>
      </w: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文件</w:t>
      </w:r>
    </w:p>
    <w:p>
      <w:pPr>
        <w:tabs>
          <w:tab w:val="left" w:pos="2160"/>
        </w:tabs>
        <w:spacing w:line="300" w:lineRule="auto"/>
        <w:jc w:val="center"/>
        <w:rPr>
          <w:rFonts w:hint="eastAsia" w:ascii="黑体" w:eastAsia="黑体"/>
          <w:b/>
          <w:spacing w:val="120"/>
          <w:sz w:val="84"/>
          <w:szCs w:val="84"/>
          <w:lang w:eastAsia="zh-CN"/>
          <w14:shadow w14:blurRad="50800" w14:dist="38100" w14:dir="2700000" w14:sx="100000" w14:sy="100000" w14:kx="0" w14:ky="0" w14:algn="tl">
            <w14:srgbClr w14:val="000000">
              <w14:alpha w14:val="60000"/>
            </w14:srgbClr>
          </w14:shadow>
        </w:rPr>
      </w:pPr>
      <w:r>
        <w:rPr>
          <w:rFonts w:hint="eastAsia" w:ascii="黑体"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29845</wp:posOffset>
                </wp:positionV>
                <wp:extent cx="5423535" cy="12700"/>
                <wp:effectExtent l="0" t="1270" r="1905" b="16510"/>
                <wp:wrapNone/>
                <wp:docPr id="1" name="直接连接符 1"/>
                <wp:cNvGraphicFramePr/>
                <a:graphic xmlns:a="http://schemas.openxmlformats.org/drawingml/2006/main">
                  <a:graphicData uri="http://schemas.microsoft.com/office/word/2010/wordprocessingShape">
                    <wps:wsp>
                      <wps:cNvCnPr/>
                      <wps:spPr>
                        <a:xfrm flipV="1">
                          <a:off x="0" y="0"/>
                          <a:ext cx="5423535" cy="1270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35pt;height:1pt;width:427.05pt;z-index:251661312;mso-width-relative:page;mso-height-relative:page;" filled="f" stroked="t" coordsize="21600,21600" o:gfxdata="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TVJg3VAAAABAEAAA8AAAAAAAAAAQAgAAAAIgAAAGRycy9kb3ducmV2LnhtbFBL&#10;AQIUABQAAAAIAIdO4kCWZXbX+QEAAOcDAAAOAAAAAAAAAAEAIAAAACQBAABkcnMvZTJvRG9jLnht&#10;bFBLBQYAAAAABgAGAFkBAACP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44"/>
          <w:szCs w:val="4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黑体" w:eastAsia="黑体"/>
          <w:sz w:val="44"/>
          <w:szCs w:val="44"/>
        </w:rPr>
      </w:pPr>
      <w:r>
        <w:rPr>
          <w:rFonts w:hint="eastAsia" w:ascii="黑体" w:eastAsia="黑体"/>
          <w:sz w:val="44"/>
          <w:szCs w:val="44"/>
        </w:rPr>
        <w:t>广州南沙国际物流有限公司</w:t>
      </w:r>
    </w:p>
    <w:p>
      <w:pPr>
        <w:spacing w:line="360" w:lineRule="auto"/>
        <w:jc w:val="center"/>
        <w:rPr>
          <w:rFonts w:ascii="黑体" w:eastAsia="黑体"/>
          <w:sz w:val="44"/>
          <w:szCs w:val="44"/>
        </w:rPr>
      </w:pPr>
    </w:p>
    <w:p>
      <w:pPr>
        <w:ind w:right="1760" w:firstLine="3080" w:firstLineChars="700"/>
        <w:rPr>
          <w:rFonts w:ascii="黑体" w:eastAsia="黑体"/>
          <w:sz w:val="44"/>
          <w:szCs w:val="44"/>
        </w:rPr>
      </w:pPr>
      <w:r>
        <w:rPr>
          <w:rFonts w:hint="eastAsia" w:ascii="黑体" w:eastAsia="黑体"/>
          <w:sz w:val="44"/>
          <w:szCs w:val="44"/>
        </w:rPr>
        <w:t>202</w:t>
      </w:r>
      <w:r>
        <w:rPr>
          <w:rFonts w:ascii="黑体" w:eastAsia="黑体"/>
          <w:sz w:val="44"/>
          <w:szCs w:val="44"/>
        </w:rPr>
        <w:t>2</w:t>
      </w:r>
      <w:r>
        <w:rPr>
          <w:rFonts w:hint="eastAsia" w:ascii="黑体" w:eastAsia="黑体"/>
          <w:sz w:val="44"/>
          <w:szCs w:val="44"/>
        </w:rPr>
        <w:t>年</w:t>
      </w:r>
      <w:r>
        <w:rPr>
          <w:rFonts w:hint="eastAsia" w:ascii="黑体" w:eastAsia="黑体"/>
          <w:sz w:val="44"/>
          <w:szCs w:val="44"/>
          <w:lang w:val="en-US" w:eastAsia="zh-CN"/>
        </w:rPr>
        <w:t>4</w:t>
      </w:r>
      <w:r>
        <w:rPr>
          <w:rFonts w:hint="eastAsia" w:ascii="黑体" w:eastAsia="黑体"/>
          <w:sz w:val="44"/>
          <w:szCs w:val="44"/>
        </w:rPr>
        <w:t>月</w:t>
      </w:r>
    </w:p>
    <w:p>
      <w:pPr>
        <w:pStyle w:val="2"/>
        <w:rPr>
          <w:rFonts w:ascii="黑体" w:eastAsia="黑体"/>
          <w:sz w:val="44"/>
          <w:szCs w:val="44"/>
        </w:rPr>
      </w:pPr>
    </w:p>
    <w:p>
      <w:pPr>
        <w:pStyle w:val="2"/>
        <w:rPr>
          <w:rFonts w:ascii="黑体" w:eastAsia="黑体"/>
          <w:sz w:val="44"/>
          <w:szCs w:val="44"/>
        </w:rPr>
      </w:pPr>
    </w:p>
    <w:p>
      <w:pPr>
        <w:pStyle w:val="2"/>
        <w:rPr>
          <w:rFonts w:ascii="黑体" w:eastAsia="黑体"/>
          <w:sz w:val="44"/>
          <w:szCs w:val="44"/>
        </w:rPr>
      </w:pPr>
    </w:p>
    <w:p>
      <w:pPr>
        <w:spacing w:line="58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口岸大厦一切责任险和口岸大厦及运输服</w:t>
      </w:r>
    </w:p>
    <w:p>
      <w:pPr>
        <w:spacing w:line="58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务中心宿舍及商铺公众责任</w:t>
      </w:r>
    </w:p>
    <w:p>
      <w:pPr>
        <w:spacing w:line="580" w:lineRule="exact"/>
        <w:jc w:val="center"/>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rPr>
        <w:t>险</w:t>
      </w:r>
      <w:r>
        <w:rPr>
          <w:rFonts w:hint="eastAsia" w:ascii="方正小标宋简体" w:hAnsi="华文仿宋" w:eastAsia="方正小标宋简体"/>
          <w:sz w:val="44"/>
          <w:szCs w:val="44"/>
          <w:lang w:eastAsia="zh-CN"/>
        </w:rPr>
        <w:t>询价议标</w:t>
      </w:r>
      <w:r>
        <w:rPr>
          <w:rFonts w:hint="eastAsia" w:ascii="方正小标宋简体" w:hAnsi="华文仿宋" w:eastAsia="方正小标宋简体"/>
          <w:sz w:val="44"/>
          <w:szCs w:val="44"/>
        </w:rPr>
        <w:t>文件</w:t>
      </w:r>
      <w:r>
        <w:rPr>
          <w:rFonts w:hint="eastAsia" w:ascii="方正小标宋简体" w:hAnsi="华文仿宋" w:eastAsia="方正小标宋简体"/>
          <w:sz w:val="44"/>
          <w:szCs w:val="44"/>
          <w:lang w:eastAsia="zh-CN"/>
        </w:rPr>
        <w:t>（</w:t>
      </w:r>
      <w:r>
        <w:rPr>
          <w:rFonts w:hint="eastAsia" w:ascii="方正小标宋简体" w:hAnsi="华文仿宋" w:eastAsia="方正小标宋简体"/>
          <w:sz w:val="44"/>
          <w:szCs w:val="44"/>
          <w:lang w:val="en-US" w:eastAsia="zh-CN"/>
        </w:rPr>
        <w:t>第二次</w:t>
      </w:r>
      <w:r>
        <w:rPr>
          <w:rFonts w:hint="eastAsia" w:ascii="方正小标宋简体" w:hAnsi="华文仿宋" w:eastAsia="方正小标宋简体"/>
          <w:sz w:val="44"/>
          <w:szCs w:val="44"/>
          <w:lang w:eastAsia="zh-CN"/>
        </w:rPr>
        <w:t>）</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招标人：广州南沙国际物流有限公司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招标项目名称：</w:t>
      </w:r>
      <w:r>
        <w:rPr>
          <w:rFonts w:hint="eastAsia" w:ascii="仿宋_GB2312" w:hAnsi="仿宋_GB2312" w:eastAsia="仿宋_GB2312" w:cs="仿宋_GB2312"/>
          <w:bCs/>
          <w:spacing w:val="2"/>
          <w:sz w:val="32"/>
          <w:szCs w:val="32"/>
        </w:rPr>
        <w:t>口岸大厦一切责任险和口岸大厦及运输服务中心宿舍及商铺公众责任险</w:t>
      </w:r>
      <w:r>
        <w:rPr>
          <w:rFonts w:hint="eastAsia" w:ascii="仿宋_GB2312" w:hAnsi="仿宋_GB2312" w:eastAsia="仿宋_GB2312" w:cs="仿宋_GB2312"/>
          <w:bCs/>
          <w:spacing w:val="2"/>
          <w:sz w:val="32"/>
          <w:szCs w:val="32"/>
          <w:lang w:val="en-US" w:eastAsia="zh-CN"/>
        </w:rPr>
        <w:t>项目（第二次）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评审办法：最低价中标法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投标文件递交截止日期：2022年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日上午</w:t>
      </w:r>
      <w:r>
        <w:rPr>
          <w:rFonts w:hint="eastAsia" w:ascii="仿宋_GB2312" w:hAnsi="仿宋_GB2312" w:eastAsia="仿宋_GB2312" w:cs="仿宋_GB2312"/>
          <w:kern w:val="0"/>
          <w:sz w:val="32"/>
          <w:szCs w:val="32"/>
          <w:shd w:val="clear" w:color="auto" w:fill="FFFFFF"/>
          <w:lang w:val="en-US" w:eastAsia="zh-CN" w:bidi="ar"/>
        </w:rPr>
        <w:t>11</w:t>
      </w:r>
      <w:r>
        <w:rPr>
          <w:rFonts w:hint="eastAsia" w:ascii="仿宋_GB2312" w:hAnsi="仿宋_GB2312" w:eastAsia="仿宋_GB2312" w:cs="仿宋_GB2312"/>
          <w:kern w:val="0"/>
          <w:sz w:val="32"/>
          <w:szCs w:val="32"/>
          <w:shd w:val="clear" w:color="auto" w:fill="FFFFFF"/>
          <w:lang w:bidi="ar"/>
        </w:rPr>
        <w:t>时</w:t>
      </w:r>
      <w:r>
        <w:rPr>
          <w:rFonts w:hint="eastAsia" w:ascii="仿宋_GB2312" w:hAnsi="仿宋_GB2312" w:eastAsia="仿宋_GB2312" w:cs="仿宋_GB2312"/>
          <w:kern w:val="0"/>
          <w:sz w:val="32"/>
          <w:szCs w:val="32"/>
          <w:shd w:val="clear" w:color="auto" w:fill="FFFFFF"/>
          <w:lang w:val="en-US" w:eastAsia="zh-CN" w:bidi="ar"/>
        </w:rPr>
        <w:t>00分</w:t>
      </w:r>
      <w:r>
        <w:rPr>
          <w:rFonts w:hint="eastAsia" w:ascii="仿宋_GB2312" w:hAnsi="仿宋_GB2312" w:eastAsia="仿宋_GB2312" w:cs="仿宋_GB2312"/>
          <w:kern w:val="0"/>
          <w:sz w:val="32"/>
          <w:szCs w:val="32"/>
          <w:shd w:val="clear" w:color="auto" w:fill="FFFFFF"/>
          <w:lang w:bidi="ar"/>
        </w:rPr>
        <w:t>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开标与评审日期：2022年</w:t>
      </w: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月</w:t>
      </w:r>
      <w:r>
        <w:rPr>
          <w:rFonts w:hint="eastAsia" w:ascii="仿宋_GB2312" w:hAnsi="仿宋_GB2312" w:eastAsia="仿宋_GB2312" w:cs="仿宋_GB2312"/>
          <w:color w:val="auto"/>
          <w:kern w:val="0"/>
          <w:sz w:val="32"/>
          <w:szCs w:val="32"/>
          <w:highlight w:val="none"/>
          <w:shd w:val="clear" w:color="auto" w:fill="FFFFFF"/>
          <w:lang w:val="en-US" w:eastAsia="zh-CN" w:bidi="ar"/>
        </w:rPr>
        <w:t>20</w:t>
      </w:r>
      <w:r>
        <w:rPr>
          <w:rFonts w:hint="eastAsia" w:ascii="仿宋_GB2312" w:hAnsi="仿宋_GB2312" w:eastAsia="仿宋_GB2312" w:cs="仿宋_GB2312"/>
          <w:color w:val="auto"/>
          <w:kern w:val="0"/>
          <w:sz w:val="32"/>
          <w:szCs w:val="32"/>
          <w:highlight w:val="none"/>
          <w:shd w:val="clear" w:color="auto" w:fill="FFFFFF"/>
          <w:lang w:bidi="ar"/>
        </w:rPr>
        <w:t>日</w:t>
      </w:r>
      <w:r>
        <w:rPr>
          <w:rFonts w:hint="eastAsia" w:ascii="仿宋_GB2312" w:hAnsi="仿宋_GB2312" w:eastAsia="仿宋_GB2312" w:cs="仿宋_GB2312"/>
          <w:color w:val="auto"/>
          <w:kern w:val="0"/>
          <w:sz w:val="32"/>
          <w:szCs w:val="32"/>
          <w:highlight w:val="none"/>
          <w:shd w:val="clear" w:color="auto" w:fill="FFFFFF"/>
          <w:lang w:val="en-US" w:eastAsia="zh-CN" w:bidi="ar"/>
        </w:rPr>
        <w:t>下午14</w:t>
      </w:r>
      <w:r>
        <w:rPr>
          <w:rFonts w:hint="eastAsia" w:ascii="仿宋_GB2312" w:hAnsi="仿宋_GB2312" w:eastAsia="仿宋_GB2312" w:cs="仿宋_GB2312"/>
          <w:color w:val="auto"/>
          <w:kern w:val="0"/>
          <w:sz w:val="32"/>
          <w:szCs w:val="32"/>
          <w:highlight w:val="none"/>
          <w:shd w:val="clear" w:color="auto" w:fill="FFFFFF"/>
          <w:lang w:bidi="ar"/>
        </w:rPr>
        <w:t>时</w:t>
      </w:r>
      <w:r>
        <w:rPr>
          <w:rFonts w:hint="eastAsia" w:ascii="仿宋_GB2312" w:hAnsi="仿宋_GB2312" w:eastAsia="仿宋_GB2312" w:cs="仿宋_GB2312"/>
          <w:color w:val="auto"/>
          <w:kern w:val="0"/>
          <w:sz w:val="32"/>
          <w:szCs w:val="32"/>
          <w:highlight w:val="none"/>
          <w:shd w:val="clear" w:color="auto" w:fill="FFFFFF"/>
          <w:lang w:val="en-US" w:eastAsia="zh-CN" w:bidi="ar"/>
        </w:rPr>
        <w:t>30</w:t>
      </w:r>
      <w:r>
        <w:rPr>
          <w:rFonts w:hint="eastAsia" w:ascii="仿宋_GB2312" w:hAnsi="仿宋_GB2312" w:eastAsia="仿宋_GB2312" w:cs="仿宋_GB2312"/>
          <w:color w:val="auto"/>
          <w:kern w:val="0"/>
          <w:sz w:val="32"/>
          <w:szCs w:val="32"/>
          <w:highlight w:val="none"/>
          <w:shd w:val="clear" w:color="auto" w:fill="FFFFFF"/>
          <w:lang w:bidi="ar"/>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开标地点：广东省广州市南沙区</w:t>
      </w:r>
      <w:r>
        <w:rPr>
          <w:rFonts w:hint="eastAsia" w:ascii="仿宋_GB2312" w:hAnsi="仿宋_GB2312" w:eastAsia="仿宋_GB2312" w:cs="仿宋_GB2312"/>
          <w:kern w:val="0"/>
          <w:sz w:val="32"/>
          <w:szCs w:val="32"/>
          <w:shd w:val="clear" w:color="auto" w:fill="FFFFFF"/>
          <w:lang w:val="en-US" w:eastAsia="zh-CN" w:bidi="ar"/>
        </w:rPr>
        <w:t>龙穴岛口岸大厦18楼多功能会议室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投标份数：正本1份，副本1份。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招标人及投标文件递交地址（可邮寄）：广东省广州市南沙区龙穴岛口岸大厦18楼</w:t>
      </w:r>
      <w:r>
        <w:rPr>
          <w:rFonts w:hint="eastAsia" w:ascii="仿宋_GB2312" w:hAnsi="仿宋_GB2312" w:eastAsia="仿宋_GB2312" w:cs="仿宋_GB2312"/>
          <w:kern w:val="0"/>
          <w:sz w:val="32"/>
          <w:szCs w:val="32"/>
          <w:shd w:val="clear" w:color="auto" w:fill="FFFFFF"/>
          <w:lang w:val="en-US" w:eastAsia="zh-CN" w:bidi="ar"/>
        </w:rPr>
        <w:t>运营发展部</w:t>
      </w:r>
      <w:r>
        <w:rPr>
          <w:rFonts w:hint="eastAsia" w:ascii="仿宋_GB2312" w:hAnsi="仿宋_GB2312" w:eastAsia="仿宋_GB2312" w:cs="仿宋_GB2312"/>
          <w:kern w:val="0"/>
          <w:sz w:val="32"/>
          <w:szCs w:val="32"/>
          <w:shd w:val="clear" w:color="auto" w:fill="FFFFFF"/>
          <w:lang w:bidi="ar"/>
        </w:rPr>
        <w:t>，联系人：蓝浪飘，电话：020-39058815。</w:t>
      </w:r>
    </w:p>
    <w:p>
      <w:pPr>
        <w:pStyle w:val="2"/>
        <w:rPr>
          <w:rFonts w:ascii="黑体" w:eastAsia="黑体"/>
          <w:sz w:val="44"/>
          <w:szCs w:val="44"/>
        </w:rPr>
      </w:pPr>
    </w:p>
    <w:p>
      <w:pPr>
        <w:pStyle w:val="2"/>
      </w:pPr>
    </w:p>
    <w:p/>
    <w:p>
      <w:pPr>
        <w:pStyle w:val="2"/>
      </w:pPr>
    </w:p>
    <w:p>
      <w:pPr>
        <w:pStyle w:val="2"/>
      </w:pPr>
    </w:p>
    <w:p>
      <w:pPr>
        <w:pStyle w:val="2"/>
      </w:pPr>
    </w:p>
    <w:p>
      <w:pPr>
        <w:pStyle w:val="2"/>
      </w:pPr>
    </w:p>
    <w:p>
      <w:pPr>
        <w:pStyle w:val="2"/>
      </w:pPr>
    </w:p>
    <w:p>
      <w:pPr>
        <w:pStyle w:val="2"/>
      </w:pPr>
    </w:p>
    <w:p>
      <w:pPr>
        <w:pStyle w:val="2"/>
      </w:pPr>
    </w:p>
    <w:p>
      <w:pPr>
        <w:spacing w:line="560" w:lineRule="exact"/>
        <w:rPr>
          <w:rFonts w:hint="eastAsia" w:ascii="仿宋_GB2312" w:hAnsi="仿宋_GB2312" w:eastAsia="仿宋_GB2312" w:cs="仿宋_GB2312"/>
          <w:b/>
          <w:bCs/>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致投标人：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本次招标为选聘</w:t>
      </w:r>
      <w:r>
        <w:rPr>
          <w:rFonts w:hint="eastAsia" w:ascii="仿宋_GB2312" w:hAnsi="仿宋_GB2312" w:eastAsia="仿宋_GB2312" w:cs="仿宋_GB2312"/>
          <w:bCs/>
          <w:spacing w:val="2"/>
          <w:sz w:val="32"/>
          <w:szCs w:val="32"/>
        </w:rPr>
        <w:t>口岸大厦一切责任险和口岸大厦及运输服务中心宿舍及商铺公众责任险</w:t>
      </w:r>
      <w:r>
        <w:rPr>
          <w:rFonts w:hint="eastAsia" w:ascii="仿宋_GB2312" w:hAnsi="仿宋_GB2312" w:eastAsia="仿宋_GB2312" w:cs="仿宋_GB2312"/>
          <w:bCs/>
          <w:spacing w:val="2"/>
          <w:sz w:val="32"/>
          <w:szCs w:val="32"/>
          <w:lang w:val="en-US" w:eastAsia="zh-CN"/>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shd w:val="clear" w:color="auto" w:fill="FFFFFF"/>
          <w:lang w:bidi="ar"/>
        </w:rPr>
        <w:t>投标人须仔细阅读招标文件，如发现有任何疑问、冲突或技术问题，投标人</w:t>
      </w:r>
      <w:r>
        <w:rPr>
          <w:rFonts w:hint="eastAsia" w:ascii="仿宋_GB2312" w:hAnsi="仿宋_GB2312" w:eastAsia="仿宋_GB2312" w:cs="仿宋_GB2312"/>
          <w:kern w:val="0"/>
          <w:sz w:val="32"/>
          <w:szCs w:val="32"/>
          <w:shd w:val="clear" w:color="auto" w:fill="FFFFFF"/>
          <w:lang w:eastAsia="zh-CN" w:bidi="ar"/>
        </w:rPr>
        <w:t>可咨询</w:t>
      </w:r>
      <w:r>
        <w:rPr>
          <w:rFonts w:hint="eastAsia" w:ascii="仿宋_GB2312" w:hAnsi="仿宋_GB2312" w:eastAsia="仿宋_GB2312" w:cs="仿宋_GB2312"/>
          <w:kern w:val="0"/>
          <w:sz w:val="32"/>
          <w:szCs w:val="32"/>
          <w:shd w:val="clear" w:color="auto" w:fill="FFFFFF"/>
          <w:lang w:bidi="ar"/>
        </w:rPr>
        <w:t>招标人。</w:t>
      </w:r>
    </w:p>
    <w:p>
      <w:pPr>
        <w:pStyle w:val="2"/>
        <w:spacing w:line="560" w:lineRule="exact"/>
        <w:ind w:firstLine="680" w:firstLineChars="200"/>
        <w:rPr>
          <w:rFonts w:ascii="黑体" w:hAnsi="黑体" w:eastAsia="黑体" w:cs="黑体"/>
          <w:sz w:val="32"/>
          <w:szCs w:val="32"/>
        </w:rPr>
      </w:pPr>
      <w:r>
        <w:rPr>
          <w:rFonts w:hint="eastAsia" w:ascii="黑体" w:hAnsi="黑体" w:eastAsia="黑体" w:cs="黑体"/>
          <w:sz w:val="32"/>
          <w:szCs w:val="32"/>
          <w:shd w:val="clear" w:color="auto" w:fill="FFFFFF"/>
          <w:lang w:bidi="ar"/>
        </w:rPr>
        <w:t>一、</w:t>
      </w:r>
      <w:r>
        <w:rPr>
          <w:rFonts w:hint="eastAsia" w:ascii="黑体" w:hAnsi="黑体" w:eastAsia="黑体" w:cs="黑体"/>
          <w:sz w:val="32"/>
          <w:szCs w:val="32"/>
        </w:rPr>
        <w:t>保险项目及内容：</w:t>
      </w:r>
    </w:p>
    <w:tbl>
      <w:tblPr>
        <w:tblStyle w:val="9"/>
        <w:tblW w:w="0" w:type="auto"/>
        <w:tblInd w:w="135" w:type="dxa"/>
        <w:tblLayout w:type="fixed"/>
        <w:tblCellMar>
          <w:top w:w="15" w:type="dxa"/>
          <w:left w:w="15" w:type="dxa"/>
          <w:bottom w:w="15" w:type="dxa"/>
          <w:right w:w="15" w:type="dxa"/>
        </w:tblCellMar>
      </w:tblPr>
      <w:tblGrid>
        <w:gridCol w:w="700"/>
        <w:gridCol w:w="300"/>
        <w:gridCol w:w="705"/>
        <w:gridCol w:w="886"/>
        <w:gridCol w:w="1214"/>
        <w:gridCol w:w="330"/>
        <w:gridCol w:w="615"/>
        <w:gridCol w:w="328"/>
        <w:gridCol w:w="452"/>
        <w:gridCol w:w="735"/>
        <w:gridCol w:w="405"/>
        <w:gridCol w:w="510"/>
        <w:gridCol w:w="900"/>
        <w:gridCol w:w="800"/>
      </w:tblGrid>
      <w:tr>
        <w:tblPrEx>
          <w:tblCellMar>
            <w:top w:w="15" w:type="dxa"/>
            <w:left w:w="15" w:type="dxa"/>
            <w:bottom w:w="15" w:type="dxa"/>
            <w:right w:w="15" w:type="dxa"/>
          </w:tblCellMar>
        </w:tblPrEx>
        <w:trPr>
          <w:trHeight w:val="706" w:hRule="atLeast"/>
        </w:trPr>
        <w:tc>
          <w:tcPr>
            <w:tcW w:w="80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40"/>
                <w:szCs w:val="40"/>
                <w:lang w:bidi="ar"/>
              </w:rPr>
              <w:t>口岸大厦财产一切责任险（上年度）</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40"/>
                <w:szCs w:val="40"/>
              </w:rPr>
            </w:pPr>
          </w:p>
        </w:tc>
      </w:tr>
      <w:tr>
        <w:tblPrEx>
          <w:tblCellMar>
            <w:top w:w="15" w:type="dxa"/>
            <w:left w:w="15" w:type="dxa"/>
            <w:bottom w:w="15" w:type="dxa"/>
            <w:right w:w="15" w:type="dxa"/>
          </w:tblCellMar>
        </w:tblPrEx>
        <w:trPr>
          <w:trHeight w:val="61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序号</w:t>
            </w:r>
          </w:p>
        </w:tc>
        <w:tc>
          <w:tcPr>
            <w:tcW w:w="34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保险标的</w:t>
            </w:r>
          </w:p>
        </w:tc>
        <w:tc>
          <w:tcPr>
            <w:tcW w:w="25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保额</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费率</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备注</w:t>
            </w:r>
          </w:p>
        </w:tc>
      </w:tr>
      <w:tr>
        <w:tblPrEx>
          <w:tblCellMar>
            <w:top w:w="15" w:type="dxa"/>
            <w:left w:w="15" w:type="dxa"/>
            <w:bottom w:w="15" w:type="dxa"/>
            <w:right w:w="15" w:type="dxa"/>
          </w:tblCellMar>
        </w:tblPrEx>
        <w:trPr>
          <w:trHeight w:val="78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1</w:t>
            </w:r>
          </w:p>
        </w:tc>
        <w:tc>
          <w:tcPr>
            <w:tcW w:w="34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建设筑物及附属设备  （含装修）</w:t>
            </w:r>
          </w:p>
        </w:tc>
        <w:tc>
          <w:tcPr>
            <w:tcW w:w="25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2亿元</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90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2</w:t>
            </w:r>
          </w:p>
        </w:tc>
        <w:tc>
          <w:tcPr>
            <w:tcW w:w="34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装置家具、电器设备、办公设备及办公用品</w:t>
            </w:r>
          </w:p>
        </w:tc>
        <w:tc>
          <w:tcPr>
            <w:tcW w:w="25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5500万元</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98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3</w:t>
            </w:r>
          </w:p>
        </w:tc>
        <w:tc>
          <w:tcPr>
            <w:tcW w:w="18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口岸大厦停车场车辆出入口闸门</w:t>
            </w:r>
          </w:p>
        </w:tc>
        <w:tc>
          <w:tcPr>
            <w:tcW w:w="15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3套（进出）</w:t>
            </w:r>
          </w:p>
        </w:tc>
        <w:tc>
          <w:tcPr>
            <w:tcW w:w="253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30万元</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557" w:hRule="atLeast"/>
        </w:trPr>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3435" w:type="dxa"/>
            <w:gridSpan w:val="5"/>
            <w:tcBorders>
              <w:top w:val="single" w:color="000000" w:sz="4" w:space="0"/>
              <w:left w:val="nil"/>
              <w:bottom w:val="single" w:color="auto"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2535" w:type="dxa"/>
            <w:gridSpan w:val="5"/>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2.55</w:t>
            </w:r>
            <w:r>
              <w:rPr>
                <w:rFonts w:hint="eastAsia" w:ascii="仿宋_GB2312" w:eastAsia="仿宋_GB2312" w:cs="仿宋_GB2312"/>
                <w:color w:val="000000"/>
                <w:kern w:val="0"/>
                <w:sz w:val="24"/>
                <w:szCs w:val="24"/>
                <w:lang w:val="en-US" w:eastAsia="zh-CN" w:bidi="ar"/>
              </w:rPr>
              <w:t>3</w:t>
            </w:r>
            <w:r>
              <w:rPr>
                <w:rFonts w:hint="eastAsia" w:ascii="仿宋_GB2312" w:eastAsia="仿宋_GB2312" w:cs="仿宋_GB2312"/>
                <w:color w:val="000000"/>
                <w:kern w:val="0"/>
                <w:sz w:val="24"/>
                <w:szCs w:val="24"/>
                <w:lang w:bidi="ar"/>
              </w:rPr>
              <w:t>亿元</w:t>
            </w:r>
          </w:p>
        </w:tc>
        <w:tc>
          <w:tcPr>
            <w:tcW w:w="1410" w:type="dxa"/>
            <w:gridSpan w:val="2"/>
            <w:tcBorders>
              <w:top w:val="single" w:color="000000" w:sz="4" w:space="0"/>
              <w:left w:val="nil"/>
              <w:bottom w:val="single" w:color="auto"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800" w:type="dxa"/>
            <w:tcBorders>
              <w:top w:val="single" w:color="000000" w:sz="4" w:space="0"/>
              <w:left w:val="nil"/>
              <w:bottom w:val="single" w:color="auto"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569" w:hRule="atLeast"/>
        </w:trPr>
        <w:tc>
          <w:tcPr>
            <w:tcW w:w="700" w:type="dxa"/>
            <w:tcBorders>
              <w:top w:val="single" w:color="auto" w:sz="4" w:space="0"/>
              <w:left w:val="nil"/>
              <w:bottom w:val="nil"/>
              <w:right w:val="nil"/>
            </w:tcBorders>
            <w:shd w:val="clear" w:color="auto" w:fill="auto"/>
            <w:vAlign w:val="center"/>
          </w:tcPr>
          <w:p>
            <w:pPr>
              <w:jc w:val="center"/>
              <w:rPr>
                <w:rFonts w:ascii="仿宋_GB2312" w:eastAsia="仿宋_GB2312" w:cs="仿宋_GB2312"/>
                <w:color w:val="000000"/>
                <w:sz w:val="24"/>
                <w:szCs w:val="24"/>
              </w:rPr>
            </w:pPr>
          </w:p>
        </w:tc>
        <w:tc>
          <w:tcPr>
            <w:tcW w:w="3435" w:type="dxa"/>
            <w:gridSpan w:val="5"/>
            <w:tcBorders>
              <w:top w:val="single" w:color="auto" w:sz="4" w:space="0"/>
              <w:left w:val="nil"/>
              <w:bottom w:val="nil"/>
              <w:right w:val="nil"/>
            </w:tcBorders>
            <w:shd w:val="clear" w:color="auto" w:fill="auto"/>
            <w:vAlign w:val="center"/>
          </w:tcPr>
          <w:p>
            <w:pPr>
              <w:jc w:val="center"/>
              <w:rPr>
                <w:rFonts w:ascii="仿宋_GB2312" w:eastAsia="仿宋_GB2312" w:cs="仿宋_GB2312"/>
                <w:color w:val="000000"/>
                <w:sz w:val="24"/>
                <w:szCs w:val="24"/>
              </w:rPr>
            </w:pPr>
          </w:p>
        </w:tc>
        <w:tc>
          <w:tcPr>
            <w:tcW w:w="2535" w:type="dxa"/>
            <w:gridSpan w:val="5"/>
            <w:tcBorders>
              <w:top w:val="single" w:color="auto" w:sz="4" w:space="0"/>
              <w:left w:val="nil"/>
              <w:bottom w:val="nil"/>
              <w:right w:val="nil"/>
            </w:tcBorders>
            <w:shd w:val="clear" w:color="auto" w:fill="auto"/>
            <w:vAlign w:val="center"/>
          </w:tcPr>
          <w:p>
            <w:pPr>
              <w:widowControl/>
              <w:jc w:val="center"/>
              <w:textAlignment w:val="center"/>
              <w:rPr>
                <w:rFonts w:ascii="仿宋_GB2312" w:eastAsia="仿宋_GB2312" w:cs="仿宋_GB2312"/>
                <w:color w:val="000000"/>
                <w:kern w:val="0"/>
                <w:sz w:val="24"/>
                <w:szCs w:val="24"/>
              </w:rPr>
            </w:pPr>
          </w:p>
        </w:tc>
        <w:tc>
          <w:tcPr>
            <w:tcW w:w="510" w:type="dxa"/>
            <w:tcBorders>
              <w:top w:val="single" w:color="auto" w:sz="4" w:space="0"/>
              <w:left w:val="nil"/>
              <w:bottom w:val="nil"/>
              <w:right w:val="nil"/>
            </w:tcBorders>
            <w:shd w:val="clear" w:color="auto" w:fill="auto"/>
            <w:vAlign w:val="center"/>
          </w:tcPr>
          <w:p>
            <w:pPr>
              <w:jc w:val="center"/>
              <w:rPr>
                <w:rFonts w:ascii="仿宋_GB2312" w:eastAsia="仿宋_GB2312" w:cs="仿宋_GB2312"/>
                <w:color w:val="000000"/>
                <w:sz w:val="24"/>
                <w:szCs w:val="24"/>
              </w:rPr>
            </w:pPr>
          </w:p>
        </w:tc>
        <w:tc>
          <w:tcPr>
            <w:tcW w:w="900" w:type="dxa"/>
            <w:tcBorders>
              <w:top w:val="single" w:color="auto" w:sz="4" w:space="0"/>
              <w:left w:val="nil"/>
              <w:bottom w:val="nil"/>
              <w:right w:val="nil"/>
            </w:tcBorders>
            <w:shd w:val="clear" w:color="auto" w:fill="auto"/>
            <w:vAlign w:val="center"/>
          </w:tcPr>
          <w:p>
            <w:pPr>
              <w:jc w:val="center"/>
              <w:rPr>
                <w:rFonts w:ascii="仿宋_GB2312" w:eastAsia="仿宋_GB2312" w:cs="仿宋_GB2312"/>
                <w:color w:val="000000"/>
                <w:sz w:val="24"/>
                <w:szCs w:val="24"/>
              </w:rPr>
            </w:pPr>
          </w:p>
        </w:tc>
        <w:tc>
          <w:tcPr>
            <w:tcW w:w="800" w:type="dxa"/>
            <w:tcBorders>
              <w:top w:val="single" w:color="auto" w:sz="4" w:space="0"/>
              <w:left w:val="nil"/>
              <w:bottom w:val="nil"/>
              <w:right w:val="nil"/>
            </w:tcBorders>
            <w:shd w:val="clear" w:color="auto" w:fill="auto"/>
            <w:vAlign w:val="center"/>
          </w:tcPr>
          <w:p>
            <w:pPr>
              <w:jc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700" w:hRule="atLeast"/>
        </w:trPr>
        <w:tc>
          <w:tcPr>
            <w:tcW w:w="88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40"/>
                <w:szCs w:val="40"/>
              </w:rPr>
            </w:pPr>
            <w:r>
              <w:rPr>
                <w:rFonts w:hint="eastAsia" w:ascii="仿宋_GB2312" w:eastAsia="仿宋_GB2312" w:cs="仿宋_GB2312"/>
                <w:color w:val="000000"/>
                <w:kern w:val="0"/>
                <w:sz w:val="40"/>
                <w:szCs w:val="40"/>
                <w:lang w:bidi="ar"/>
              </w:rPr>
              <w:t>口岸大厦公众责任险（上年度）</w:t>
            </w:r>
          </w:p>
        </w:tc>
      </w:tr>
      <w:tr>
        <w:tblPrEx>
          <w:tblCellMar>
            <w:top w:w="15" w:type="dxa"/>
            <w:left w:w="15" w:type="dxa"/>
            <w:bottom w:w="15" w:type="dxa"/>
            <w:right w:w="15" w:type="dxa"/>
          </w:tblCellMar>
        </w:tblPrEx>
        <w:trPr>
          <w:trHeight w:val="673" w:hRule="atLeast"/>
        </w:trPr>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营业性质</w:t>
            </w:r>
          </w:p>
        </w:tc>
        <w:tc>
          <w:tcPr>
            <w:tcW w:w="375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保险项目内容</w:t>
            </w:r>
          </w:p>
        </w:tc>
        <w:tc>
          <w:tcPr>
            <w:tcW w:w="780" w:type="dxa"/>
            <w:gridSpan w:val="2"/>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保额</w:t>
            </w:r>
          </w:p>
        </w:tc>
        <w:tc>
          <w:tcPr>
            <w:tcW w:w="735"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电梯险</w:t>
            </w:r>
          </w:p>
        </w:tc>
        <w:tc>
          <w:tcPr>
            <w:tcW w:w="2615" w:type="dxa"/>
            <w:gridSpan w:val="4"/>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附加条款</w:t>
            </w:r>
          </w:p>
        </w:tc>
      </w:tr>
      <w:tr>
        <w:tblPrEx>
          <w:tblCellMar>
            <w:top w:w="15" w:type="dxa"/>
            <w:left w:w="15" w:type="dxa"/>
            <w:bottom w:w="15" w:type="dxa"/>
            <w:right w:w="15" w:type="dxa"/>
          </w:tblCellMar>
        </w:tblPrEx>
        <w:trPr>
          <w:trHeight w:val="616" w:hRule="atLeast"/>
        </w:trPr>
        <w:tc>
          <w:tcPr>
            <w:tcW w:w="1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货物分拣、配送服务、仓储服务、物业管理等</w:t>
            </w:r>
          </w:p>
        </w:tc>
        <w:tc>
          <w:tcPr>
            <w:tcW w:w="705" w:type="dxa"/>
            <w:vMerge w:val="restart"/>
            <w:tcBorders>
              <w:top w:val="nil"/>
              <w:left w:val="nil"/>
              <w:bottom w:val="single" w:color="000000"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赔偿限额</w:t>
            </w:r>
          </w:p>
        </w:tc>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每次事故赔偿限额</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200万</w:t>
            </w:r>
          </w:p>
        </w:tc>
        <w:tc>
          <w:tcPr>
            <w:tcW w:w="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2"/>
                <w:szCs w:val="22"/>
                <w:lang w:bidi="ar"/>
              </w:rPr>
              <w:t>1050万</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Cs w:val="21"/>
              </w:rPr>
            </w:pPr>
            <w:r>
              <w:rPr>
                <w:rFonts w:hint="eastAsia" w:ascii="仿宋_GB2312" w:eastAsia="仿宋_GB2312" w:cs="仿宋_GB2312"/>
                <w:color w:val="000000"/>
                <w:kern w:val="0"/>
                <w:szCs w:val="21"/>
                <w:lang w:bidi="ar"/>
              </w:rPr>
              <w:t>4台</w:t>
            </w:r>
          </w:p>
        </w:tc>
        <w:tc>
          <w:tcPr>
            <w:tcW w:w="261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b/>
                <w:bCs/>
                <w:color w:val="000000"/>
                <w:kern w:val="0"/>
                <w:szCs w:val="21"/>
              </w:rPr>
            </w:pPr>
            <w:r>
              <w:rPr>
                <w:rFonts w:hint="eastAsia" w:ascii="仿宋_GB2312" w:eastAsia="仿宋_GB2312" w:cs="仿宋_GB2312"/>
                <w:b/>
                <w:bCs/>
                <w:color w:val="000000"/>
                <w:kern w:val="0"/>
                <w:szCs w:val="21"/>
                <w:lang w:bidi="ar"/>
              </w:rPr>
              <w:t>1.火灾和爆炸责任条款2.电梯、升降机责任条款3.客人财产责任条款4.停车场责任条款5.救火费用条款6.广告及装饰装置责任条款</w:t>
            </w:r>
          </w:p>
        </w:tc>
      </w:tr>
      <w:tr>
        <w:tblPrEx>
          <w:tblCellMar>
            <w:top w:w="15" w:type="dxa"/>
            <w:left w:w="15" w:type="dxa"/>
            <w:bottom w:w="15" w:type="dxa"/>
            <w:right w:w="15" w:type="dxa"/>
          </w:tblCellMar>
        </w:tblPrEx>
        <w:trPr>
          <w:trHeight w:val="700" w:hRule="atLeast"/>
        </w:trPr>
        <w:tc>
          <w:tcPr>
            <w:tcW w:w="1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705"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100" w:type="dxa"/>
            <w:gridSpan w:val="2"/>
            <w:tcBorders>
              <w:top w:val="single" w:color="auto" w:sz="4" w:space="0"/>
              <w:left w:val="nil"/>
              <w:bottom w:val="single" w:color="000000" w:sz="4" w:space="0"/>
              <w:right w:val="single" w:color="auto"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每次事故人身伤亡赔偿限额</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100万</w:t>
            </w:r>
          </w:p>
        </w:tc>
        <w:tc>
          <w:tcPr>
            <w:tcW w:w="7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rPr>
            </w:pPr>
          </w:p>
        </w:tc>
        <w:tc>
          <w:tcPr>
            <w:tcW w:w="73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sz w:val="20"/>
              </w:rPr>
            </w:pPr>
          </w:p>
        </w:tc>
        <w:tc>
          <w:tcPr>
            <w:tcW w:w="2615"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sz w:val="20"/>
              </w:rPr>
            </w:pPr>
          </w:p>
        </w:tc>
      </w:tr>
      <w:tr>
        <w:tblPrEx>
          <w:tblCellMar>
            <w:top w:w="15" w:type="dxa"/>
            <w:left w:w="15" w:type="dxa"/>
            <w:bottom w:w="15" w:type="dxa"/>
            <w:right w:w="15" w:type="dxa"/>
          </w:tblCellMar>
        </w:tblPrEx>
        <w:trPr>
          <w:trHeight w:val="673" w:hRule="atLeast"/>
        </w:trPr>
        <w:tc>
          <w:tcPr>
            <w:tcW w:w="1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705"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100"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每次事故每人赔偿限额</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50万</w:t>
            </w:r>
          </w:p>
        </w:tc>
        <w:tc>
          <w:tcPr>
            <w:tcW w:w="7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rPr>
            </w:pPr>
          </w:p>
        </w:tc>
        <w:tc>
          <w:tcPr>
            <w:tcW w:w="73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sz w:val="20"/>
              </w:rPr>
            </w:pPr>
          </w:p>
        </w:tc>
        <w:tc>
          <w:tcPr>
            <w:tcW w:w="2615"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sz w:val="20"/>
              </w:rPr>
            </w:pPr>
          </w:p>
        </w:tc>
      </w:tr>
      <w:tr>
        <w:tblPrEx>
          <w:tblCellMar>
            <w:top w:w="15" w:type="dxa"/>
            <w:left w:w="15" w:type="dxa"/>
            <w:bottom w:w="15" w:type="dxa"/>
            <w:right w:w="15" w:type="dxa"/>
          </w:tblCellMar>
        </w:tblPrEx>
        <w:trPr>
          <w:trHeight w:val="700" w:hRule="atLeast"/>
        </w:trPr>
        <w:tc>
          <w:tcPr>
            <w:tcW w:w="1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705"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100"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每次事故财产损失赔偿限额</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100万</w:t>
            </w:r>
          </w:p>
        </w:tc>
        <w:tc>
          <w:tcPr>
            <w:tcW w:w="7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rPr>
            </w:pPr>
          </w:p>
        </w:tc>
        <w:tc>
          <w:tcPr>
            <w:tcW w:w="73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sz w:val="20"/>
              </w:rPr>
            </w:pPr>
          </w:p>
        </w:tc>
        <w:tc>
          <w:tcPr>
            <w:tcW w:w="2615"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sz w:val="20"/>
              </w:rPr>
            </w:pPr>
          </w:p>
        </w:tc>
      </w:tr>
      <w:tr>
        <w:tblPrEx>
          <w:tblCellMar>
            <w:top w:w="15" w:type="dxa"/>
            <w:left w:w="15" w:type="dxa"/>
            <w:bottom w:w="15" w:type="dxa"/>
            <w:right w:w="15" w:type="dxa"/>
          </w:tblCellMar>
        </w:tblPrEx>
        <w:trPr>
          <w:trHeight w:val="731" w:hRule="atLeast"/>
        </w:trPr>
        <w:tc>
          <w:tcPr>
            <w:tcW w:w="1000" w:type="dxa"/>
            <w:gridSpan w:val="2"/>
            <w:vMerge w:val="continue"/>
            <w:tcBorders>
              <w:top w:val="nil"/>
              <w:left w:val="single" w:color="000000" w:sz="4" w:space="0"/>
              <w:bottom w:val="single" w:color="auto" w:sz="4" w:space="0"/>
              <w:right w:val="single" w:color="000000" w:sz="4" w:space="0"/>
            </w:tcBorders>
            <w:shd w:val="clear" w:color="auto" w:fill="auto"/>
            <w:vAlign w:val="center"/>
          </w:tcPr>
          <w:p>
            <w:pPr>
              <w:rPr>
                <w:sz w:val="20"/>
              </w:rPr>
            </w:pPr>
          </w:p>
        </w:tc>
        <w:tc>
          <w:tcPr>
            <w:tcW w:w="705" w:type="dxa"/>
            <w:vMerge w:val="continue"/>
            <w:tcBorders>
              <w:top w:val="nil"/>
              <w:left w:val="nil"/>
              <w:bottom w:val="single" w:color="auto" w:sz="4" w:space="0"/>
              <w:right w:val="single" w:color="000000" w:sz="4" w:space="0"/>
            </w:tcBorders>
            <w:shd w:val="clear" w:color="auto" w:fill="auto"/>
            <w:vAlign w:val="center"/>
          </w:tcPr>
          <w:p>
            <w:pPr>
              <w:rPr>
                <w:sz w:val="20"/>
              </w:rPr>
            </w:pPr>
          </w:p>
        </w:tc>
        <w:tc>
          <w:tcPr>
            <w:tcW w:w="2100" w:type="dxa"/>
            <w:gridSpan w:val="2"/>
            <w:tcBorders>
              <w:top w:val="single" w:color="000000"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累计赔偿限额</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600万</w:t>
            </w:r>
          </w:p>
        </w:tc>
        <w:tc>
          <w:tcPr>
            <w:tcW w:w="7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rPr>
            </w:pPr>
          </w:p>
        </w:tc>
        <w:tc>
          <w:tcPr>
            <w:tcW w:w="73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sz w:val="20"/>
              </w:rPr>
            </w:pPr>
          </w:p>
        </w:tc>
        <w:tc>
          <w:tcPr>
            <w:tcW w:w="2615" w:type="dxa"/>
            <w:gridSpan w:val="4"/>
            <w:vMerge w:val="continue"/>
            <w:tcBorders>
              <w:top w:val="single" w:color="auto" w:sz="4" w:space="0"/>
              <w:left w:val="nil"/>
              <w:bottom w:val="single" w:color="auto" w:sz="4" w:space="0"/>
              <w:right w:val="single" w:color="auto" w:sz="4" w:space="0"/>
            </w:tcBorders>
            <w:shd w:val="clear" w:color="auto" w:fill="auto"/>
            <w:vAlign w:val="center"/>
          </w:tcPr>
          <w:p>
            <w:pPr>
              <w:rPr>
                <w:sz w:val="20"/>
              </w:rPr>
            </w:pPr>
          </w:p>
        </w:tc>
      </w:tr>
      <w:tr>
        <w:tblPrEx>
          <w:tblCellMar>
            <w:top w:w="15" w:type="dxa"/>
            <w:left w:w="15" w:type="dxa"/>
            <w:bottom w:w="15" w:type="dxa"/>
            <w:right w:w="15" w:type="dxa"/>
          </w:tblCellMar>
        </w:tblPrEx>
        <w:trPr>
          <w:trHeight w:val="746" w:hRule="atLeast"/>
        </w:trPr>
        <w:tc>
          <w:tcPr>
            <w:tcW w:w="1000"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停车场责任险</w:t>
            </w:r>
          </w:p>
          <w:p>
            <w:pPr>
              <w:widowControl/>
              <w:jc w:val="center"/>
              <w:textAlignment w:val="center"/>
              <w:rPr>
                <w:rFonts w:ascii="仿宋_GB2312" w:eastAsia="仿宋_GB2312" w:cs="仿宋_GB2312"/>
                <w:color w:val="000000"/>
                <w:sz w:val="24"/>
                <w:szCs w:val="24"/>
              </w:rPr>
            </w:pPr>
          </w:p>
        </w:tc>
        <w:tc>
          <w:tcPr>
            <w:tcW w:w="2805" w:type="dxa"/>
            <w:gridSpan w:val="3"/>
            <w:tcBorders>
              <w:top w:val="single" w:color="auto" w:sz="4" w:space="0"/>
              <w:left w:val="nil"/>
              <w:bottom w:val="single" w:color="000000"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口岸大厦地下停车场</w:t>
            </w:r>
          </w:p>
        </w:tc>
        <w:tc>
          <w:tcPr>
            <w:tcW w:w="127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53（个）</w:t>
            </w:r>
          </w:p>
        </w:tc>
        <w:tc>
          <w:tcPr>
            <w:tcW w:w="380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p>
        </w:tc>
      </w:tr>
      <w:tr>
        <w:tblPrEx>
          <w:tblCellMar>
            <w:top w:w="15" w:type="dxa"/>
            <w:left w:w="15" w:type="dxa"/>
            <w:bottom w:w="15" w:type="dxa"/>
            <w:right w:w="15" w:type="dxa"/>
          </w:tblCellMar>
        </w:tblPrEx>
        <w:trPr>
          <w:trHeight w:val="745" w:hRule="atLeast"/>
        </w:trPr>
        <w:tc>
          <w:tcPr>
            <w:tcW w:w="1000" w:type="dxa"/>
            <w:gridSpan w:val="2"/>
            <w:vMerge w:val="continue"/>
            <w:tcBorders>
              <w:top w:val="nil"/>
              <w:left w:val="single" w:color="auto" w:sz="4" w:space="0"/>
              <w:bottom w:val="single" w:color="auto" w:sz="4" w:space="0"/>
              <w:right w:val="single" w:color="000000" w:sz="4" w:space="0"/>
            </w:tcBorders>
            <w:shd w:val="clear" w:color="auto" w:fill="auto"/>
            <w:vAlign w:val="center"/>
          </w:tcPr>
          <w:p>
            <w:pPr>
              <w:rPr>
                <w:sz w:val="20"/>
              </w:rPr>
            </w:pPr>
          </w:p>
        </w:tc>
        <w:tc>
          <w:tcPr>
            <w:tcW w:w="2805"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口岸大厦广场露天停车位</w:t>
            </w:r>
          </w:p>
        </w:tc>
        <w:tc>
          <w:tcPr>
            <w:tcW w:w="127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375（个）</w:t>
            </w:r>
          </w:p>
        </w:tc>
        <w:tc>
          <w:tcPr>
            <w:tcW w:w="380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p>
        </w:tc>
      </w:tr>
    </w:tbl>
    <w:p>
      <w:pPr>
        <w:pStyle w:val="7"/>
        <w:rPr>
          <w:rFonts w:ascii="仿宋_GB2312" w:eastAsia="仿宋_GB2312" w:cs="仿宋_GB2312"/>
          <w:sz w:val="32"/>
          <w:szCs w:val="32"/>
        </w:rPr>
      </w:pPr>
      <w:r>
        <w:rPr>
          <w:rFonts w:hint="eastAsia" w:ascii="仿宋_GB2312" w:eastAsia="仿宋_GB2312" w:cs="仿宋_GB2312"/>
          <w:sz w:val="32"/>
          <w:szCs w:val="32"/>
          <w:lang w:bidi="ar"/>
        </w:rPr>
        <w:t xml:space="preserve"> </w:t>
      </w:r>
    </w:p>
    <w:tbl>
      <w:tblPr>
        <w:tblStyle w:val="9"/>
        <w:tblW w:w="0" w:type="auto"/>
        <w:tblInd w:w="135" w:type="dxa"/>
        <w:tblLayout w:type="fixed"/>
        <w:tblCellMar>
          <w:top w:w="15" w:type="dxa"/>
          <w:left w:w="15" w:type="dxa"/>
          <w:bottom w:w="15" w:type="dxa"/>
          <w:right w:w="15" w:type="dxa"/>
        </w:tblCellMar>
      </w:tblPr>
      <w:tblGrid>
        <w:gridCol w:w="951"/>
        <w:gridCol w:w="669"/>
        <w:gridCol w:w="2729"/>
        <w:gridCol w:w="1190"/>
        <w:gridCol w:w="1269"/>
        <w:gridCol w:w="1652"/>
      </w:tblGrid>
      <w:tr>
        <w:tblPrEx>
          <w:tblCellMar>
            <w:top w:w="15" w:type="dxa"/>
            <w:left w:w="15" w:type="dxa"/>
            <w:bottom w:w="15" w:type="dxa"/>
            <w:right w:w="15" w:type="dxa"/>
          </w:tblCellMar>
        </w:tblPrEx>
        <w:trPr>
          <w:trHeight w:val="843"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40"/>
                <w:szCs w:val="40"/>
              </w:rPr>
            </w:pPr>
            <w:r>
              <w:rPr>
                <w:rFonts w:hint="eastAsia" w:ascii="仿宋_GB2312" w:eastAsia="仿宋_GB2312" w:cs="仿宋_GB2312"/>
                <w:color w:val="000000"/>
                <w:kern w:val="0"/>
                <w:sz w:val="40"/>
                <w:szCs w:val="40"/>
                <w:lang w:bidi="ar"/>
              </w:rPr>
              <w:t>运输服务中心宿舍及商铺公众责任险</w:t>
            </w:r>
          </w:p>
        </w:tc>
      </w:tr>
      <w:tr>
        <w:tblPrEx>
          <w:tblCellMar>
            <w:top w:w="15" w:type="dxa"/>
            <w:left w:w="15" w:type="dxa"/>
            <w:bottom w:w="15" w:type="dxa"/>
            <w:right w:w="15" w:type="dxa"/>
          </w:tblCellMar>
        </w:tblPrEx>
        <w:trPr>
          <w:trHeight w:val="81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营业性质</w:t>
            </w:r>
          </w:p>
        </w:tc>
        <w:tc>
          <w:tcPr>
            <w:tcW w:w="339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保险项目内容</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保额</w:t>
            </w:r>
          </w:p>
        </w:tc>
        <w:tc>
          <w:tcPr>
            <w:tcW w:w="165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备注</w:t>
            </w:r>
          </w:p>
        </w:tc>
      </w:tr>
      <w:tr>
        <w:tblPrEx>
          <w:tblCellMar>
            <w:top w:w="15" w:type="dxa"/>
            <w:left w:w="15" w:type="dxa"/>
            <w:bottom w:w="15" w:type="dxa"/>
            <w:right w:w="15" w:type="dxa"/>
          </w:tblCellMar>
        </w:tblPrEx>
        <w:trPr>
          <w:trHeight w:val="765" w:hRule="atLeast"/>
        </w:trPr>
        <w:tc>
          <w:tcPr>
            <w:tcW w:w="9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出租</w:t>
            </w:r>
          </w:p>
        </w:tc>
        <w:tc>
          <w:tcPr>
            <w:tcW w:w="66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kern w:val="0"/>
                <w:sz w:val="24"/>
                <w:szCs w:val="24"/>
                <w:lang w:bidi="ar"/>
              </w:rPr>
              <w:t>赔偿限额</w:t>
            </w:r>
          </w:p>
        </w:tc>
        <w:tc>
          <w:tcPr>
            <w:tcW w:w="272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每次事故赔偿限额</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200万</w:t>
            </w:r>
          </w:p>
        </w:tc>
        <w:tc>
          <w:tcPr>
            <w:tcW w:w="1652" w:type="dxa"/>
            <w:vMerge w:val="restart"/>
            <w:tcBorders>
              <w:top w:val="single" w:color="000000" w:sz="4" w:space="0"/>
              <w:left w:val="nil"/>
              <w:bottom w:val="nil"/>
              <w:right w:val="single" w:color="000000" w:sz="4" w:space="0"/>
            </w:tcBorders>
            <w:shd w:val="clear" w:color="auto" w:fill="auto"/>
            <w:vAlign w:val="center"/>
          </w:tcPr>
          <w:p>
            <w:pPr>
              <w:widowControl/>
              <w:textAlignment w:val="center"/>
              <w:rPr>
                <w:rFonts w:ascii="仿宋_GB2312" w:eastAsia="仿宋_GB2312" w:cs="仿宋_GB2312"/>
                <w:b/>
                <w:bCs/>
                <w:color w:val="000000"/>
                <w:kern w:val="0"/>
                <w:szCs w:val="21"/>
              </w:rPr>
            </w:pPr>
          </w:p>
        </w:tc>
      </w:tr>
      <w:tr>
        <w:tblPrEx>
          <w:tblCellMar>
            <w:top w:w="15" w:type="dxa"/>
            <w:left w:w="15" w:type="dxa"/>
            <w:bottom w:w="15" w:type="dxa"/>
            <w:right w:w="15" w:type="dxa"/>
          </w:tblCellMar>
        </w:tblPrEx>
        <w:trPr>
          <w:trHeight w:val="843"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669"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72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每次事故财产损失赔偿限额</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100万</w:t>
            </w:r>
          </w:p>
        </w:tc>
        <w:tc>
          <w:tcPr>
            <w:tcW w:w="1652" w:type="dxa"/>
            <w:vMerge w:val="continue"/>
            <w:tcBorders>
              <w:top w:val="single" w:color="000000" w:sz="4" w:space="0"/>
              <w:left w:val="nil"/>
              <w:bottom w:val="nil"/>
              <w:right w:val="single" w:color="000000" w:sz="4" w:space="0"/>
            </w:tcBorders>
            <w:shd w:val="clear" w:color="auto" w:fill="auto"/>
            <w:vAlign w:val="center"/>
          </w:tcPr>
          <w:p>
            <w:pPr>
              <w:rPr>
                <w:sz w:val="20"/>
              </w:rPr>
            </w:pPr>
          </w:p>
        </w:tc>
      </w:tr>
      <w:tr>
        <w:tblPrEx>
          <w:tblCellMar>
            <w:top w:w="15" w:type="dxa"/>
            <w:left w:w="15" w:type="dxa"/>
            <w:bottom w:w="15" w:type="dxa"/>
            <w:right w:w="15" w:type="dxa"/>
          </w:tblCellMar>
        </w:tblPrEx>
        <w:trPr>
          <w:trHeight w:val="818"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669"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72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每次事故人伤损失赔偿限额</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100万</w:t>
            </w:r>
          </w:p>
        </w:tc>
        <w:tc>
          <w:tcPr>
            <w:tcW w:w="1652" w:type="dxa"/>
            <w:vMerge w:val="continue"/>
            <w:tcBorders>
              <w:top w:val="single" w:color="000000" w:sz="4" w:space="0"/>
              <w:left w:val="nil"/>
              <w:bottom w:val="nil"/>
              <w:right w:val="single" w:color="000000" w:sz="4" w:space="0"/>
            </w:tcBorders>
            <w:shd w:val="clear" w:color="auto" w:fill="auto"/>
            <w:vAlign w:val="center"/>
          </w:tcPr>
          <w:p>
            <w:pPr>
              <w:rPr>
                <w:sz w:val="20"/>
              </w:rPr>
            </w:pPr>
          </w:p>
        </w:tc>
      </w:tr>
      <w:tr>
        <w:tblPrEx>
          <w:tblCellMar>
            <w:top w:w="15" w:type="dxa"/>
            <w:left w:w="15" w:type="dxa"/>
            <w:bottom w:w="15" w:type="dxa"/>
            <w:right w:w="15" w:type="dxa"/>
          </w:tblCellMar>
        </w:tblPrEx>
        <w:trPr>
          <w:trHeight w:val="843"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669"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72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每次事故每人人身伤害赔偿限额</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50万</w:t>
            </w:r>
          </w:p>
        </w:tc>
        <w:tc>
          <w:tcPr>
            <w:tcW w:w="1652" w:type="dxa"/>
            <w:vMerge w:val="continue"/>
            <w:tcBorders>
              <w:top w:val="single" w:color="000000" w:sz="4" w:space="0"/>
              <w:left w:val="nil"/>
              <w:bottom w:val="nil"/>
              <w:right w:val="single" w:color="000000" w:sz="4" w:space="0"/>
            </w:tcBorders>
            <w:shd w:val="clear" w:color="auto" w:fill="auto"/>
            <w:vAlign w:val="center"/>
          </w:tcPr>
          <w:p>
            <w:pPr>
              <w:rPr>
                <w:sz w:val="20"/>
              </w:rPr>
            </w:pPr>
          </w:p>
        </w:tc>
      </w:tr>
      <w:tr>
        <w:tblPrEx>
          <w:tblCellMar>
            <w:top w:w="15" w:type="dxa"/>
            <w:left w:w="15" w:type="dxa"/>
            <w:bottom w:w="15" w:type="dxa"/>
            <w:right w:w="15" w:type="dxa"/>
          </w:tblCellMar>
        </w:tblPrEx>
        <w:trPr>
          <w:trHeight w:val="870"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rPr>
                <w:sz w:val="20"/>
              </w:rPr>
            </w:pPr>
          </w:p>
        </w:tc>
        <w:tc>
          <w:tcPr>
            <w:tcW w:w="669" w:type="dxa"/>
            <w:vMerge w:val="continue"/>
            <w:tcBorders>
              <w:top w:val="nil"/>
              <w:left w:val="nil"/>
              <w:bottom w:val="single" w:color="000000" w:sz="4" w:space="0"/>
              <w:right w:val="single" w:color="000000" w:sz="4" w:space="0"/>
            </w:tcBorders>
            <w:shd w:val="clear" w:color="auto" w:fill="auto"/>
            <w:vAlign w:val="center"/>
          </w:tcPr>
          <w:p>
            <w:pPr>
              <w:rPr>
                <w:sz w:val="20"/>
              </w:rPr>
            </w:pPr>
          </w:p>
        </w:tc>
        <w:tc>
          <w:tcPr>
            <w:tcW w:w="272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累计赔偿限额</w:t>
            </w:r>
          </w:p>
        </w:tc>
        <w:tc>
          <w:tcPr>
            <w:tcW w:w="24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lang w:bidi="ar"/>
              </w:rPr>
              <w:t>400万</w:t>
            </w:r>
          </w:p>
        </w:tc>
        <w:tc>
          <w:tcPr>
            <w:tcW w:w="1652" w:type="dxa"/>
            <w:vMerge w:val="continue"/>
            <w:tcBorders>
              <w:top w:val="single" w:color="000000" w:sz="4" w:space="0"/>
              <w:left w:val="nil"/>
              <w:bottom w:val="nil"/>
              <w:right w:val="single" w:color="000000" w:sz="4" w:space="0"/>
            </w:tcBorders>
            <w:shd w:val="clear" w:color="auto" w:fill="auto"/>
            <w:vAlign w:val="center"/>
          </w:tcPr>
          <w:p>
            <w:pPr>
              <w:rPr>
                <w:sz w:val="20"/>
              </w:rPr>
            </w:pPr>
          </w:p>
        </w:tc>
      </w:tr>
      <w:tr>
        <w:tblPrEx>
          <w:tblCellMar>
            <w:top w:w="15" w:type="dxa"/>
            <w:left w:w="15" w:type="dxa"/>
            <w:bottom w:w="15" w:type="dxa"/>
            <w:right w:w="15" w:type="dxa"/>
          </w:tblCellMar>
        </w:tblPrEx>
        <w:trPr>
          <w:trHeight w:val="975" w:hRule="atLeast"/>
        </w:trPr>
        <w:tc>
          <w:tcPr>
            <w:tcW w:w="95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p>
        </w:tc>
        <w:tc>
          <w:tcPr>
            <w:tcW w:w="339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建筑面积（平方）</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房间数量</w:t>
            </w:r>
          </w:p>
        </w:tc>
        <w:tc>
          <w:tcPr>
            <w:tcW w:w="29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入住人数（约）</w:t>
            </w:r>
          </w:p>
        </w:tc>
      </w:tr>
      <w:tr>
        <w:tblPrEx>
          <w:tblCellMar>
            <w:top w:w="15" w:type="dxa"/>
            <w:left w:w="15" w:type="dxa"/>
            <w:bottom w:w="15" w:type="dxa"/>
            <w:right w:w="15" w:type="dxa"/>
          </w:tblCellMar>
        </w:tblPrEx>
        <w:trPr>
          <w:trHeight w:val="975" w:hRule="atLeast"/>
        </w:trPr>
        <w:tc>
          <w:tcPr>
            <w:tcW w:w="9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C栋宿舍</w:t>
            </w:r>
          </w:p>
        </w:tc>
        <w:tc>
          <w:tcPr>
            <w:tcW w:w="3398" w:type="dxa"/>
            <w:gridSpan w:val="2"/>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5000㎡</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130（间）</w:t>
            </w:r>
          </w:p>
        </w:tc>
        <w:tc>
          <w:tcPr>
            <w:tcW w:w="29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350人(约)</w:t>
            </w:r>
          </w:p>
        </w:tc>
      </w:tr>
      <w:tr>
        <w:tblPrEx>
          <w:tblCellMar>
            <w:top w:w="15" w:type="dxa"/>
            <w:left w:w="15" w:type="dxa"/>
            <w:bottom w:w="15" w:type="dxa"/>
            <w:right w:w="15" w:type="dxa"/>
          </w:tblCellMar>
        </w:tblPrEx>
        <w:trPr>
          <w:trHeight w:val="1069"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B栋商铺</w:t>
            </w:r>
          </w:p>
        </w:tc>
        <w:tc>
          <w:tcPr>
            <w:tcW w:w="33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8200㎡</w:t>
            </w:r>
          </w:p>
          <w:p>
            <w:pPr>
              <w:widowControl/>
              <w:jc w:val="center"/>
              <w:textAlignment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lang w:bidi="ar"/>
              </w:rPr>
              <w:t>（包括商铺周边的道路）</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30（间）</w:t>
            </w:r>
          </w:p>
        </w:tc>
        <w:tc>
          <w:tcPr>
            <w:tcW w:w="29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bidi="ar"/>
              </w:rPr>
              <w:t>每日人流量约400人</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z w:val="32"/>
          <w:szCs w:val="32"/>
        </w:rPr>
      </w:pPr>
      <w:r>
        <w:rPr>
          <w:rFonts w:hint="eastAsia" w:ascii="黑体" w:hAnsi="黑体" w:eastAsia="黑体" w:cs="黑体"/>
          <w:sz w:val="32"/>
          <w:szCs w:val="32"/>
        </w:rPr>
        <w:t>二、服务期限</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保险期限：1年。</w:t>
      </w:r>
      <w:r>
        <w:rPr>
          <w:rFonts w:hint="eastAsia" w:ascii="仿宋_GB2312" w:hAnsi="仿宋_GB2312" w:eastAsia="仿宋_GB2312" w:cs="仿宋_GB2312"/>
          <w:sz w:val="32"/>
          <w:szCs w:val="32"/>
          <w:lang w:val="en-US" w:eastAsia="zh-CN"/>
        </w:rPr>
        <w:t>即从</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月7日0时起至2023年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月6日24时止。</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z w:val="32"/>
          <w:szCs w:val="32"/>
        </w:rPr>
      </w:pPr>
      <w:r>
        <w:rPr>
          <w:rFonts w:hint="eastAsia" w:ascii="黑体" w:hAnsi="黑体" w:eastAsia="黑体" w:cs="黑体"/>
          <w:sz w:val="32"/>
          <w:szCs w:val="32"/>
        </w:rPr>
        <w:t>三、服务限价</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投标总报价不高于人民币9万元，财产一切责任险</w:t>
      </w:r>
      <w:r>
        <w:rPr>
          <w:rFonts w:hint="eastAsia" w:ascii="仿宋_GB2312" w:hAnsi="仿宋_GB2312" w:eastAsia="仿宋_GB2312" w:cs="仿宋_GB2312"/>
          <w:spacing w:val="-4"/>
          <w:sz w:val="32"/>
          <w:szCs w:val="32"/>
        </w:rPr>
        <w:t>最高限价不超过人民币5.5万元；公众责任险不超过人民币3.5万元。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shd w:val="clear" w:color="auto" w:fill="FFFFFF"/>
          <w:lang w:bidi="ar"/>
        </w:rPr>
      </w:pPr>
      <w:r>
        <w:rPr>
          <w:rFonts w:hint="eastAsia" w:ascii="黑体" w:hAnsi="黑体" w:eastAsia="黑体" w:cs="黑体"/>
          <w:spacing w:val="-4"/>
          <w:sz w:val="32"/>
          <w:szCs w:val="32"/>
        </w:rPr>
        <w:t>四、</w:t>
      </w:r>
      <w:r>
        <w:rPr>
          <w:rFonts w:hint="eastAsia" w:ascii="黑体" w:hAnsi="黑体" w:eastAsia="黑体" w:cs="黑体"/>
          <w:sz w:val="32"/>
          <w:szCs w:val="32"/>
          <w:shd w:val="clear" w:color="auto" w:fill="FFFFFF"/>
          <w:lang w:bidi="ar"/>
        </w:rPr>
        <w:t>投标单位资格要求及投标要求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（一）投标单位必须是具有独立承担民事责任能力，</w:t>
      </w:r>
      <w:r>
        <w:rPr>
          <w:rFonts w:hint="eastAsia" w:ascii="仿宋_GB2312" w:hAnsi="仿宋_GB2312" w:eastAsia="仿宋_GB2312" w:cs="仿宋_GB2312"/>
          <w:sz w:val="32"/>
          <w:szCs w:val="32"/>
        </w:rPr>
        <w:t>有能力提供本项目服务的供应商，</w:t>
      </w:r>
      <w:r>
        <w:rPr>
          <w:rFonts w:hint="eastAsia" w:ascii="仿宋_GB2312" w:hAnsi="仿宋_GB2312" w:eastAsia="仿宋_GB2312" w:cs="仿宋_GB2312"/>
          <w:kern w:val="0"/>
          <w:sz w:val="32"/>
          <w:szCs w:val="32"/>
          <w:shd w:val="clear" w:color="auto" w:fill="FFFFFF"/>
          <w:lang w:bidi="ar"/>
        </w:rPr>
        <w:t>且在中华人民共和国境内注册的合法公司</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val="en-US" w:eastAsia="zh-CN" w:bidi="ar"/>
        </w:rPr>
        <w:t>具有经营保险业务许可证，</w:t>
      </w:r>
      <w:r>
        <w:rPr>
          <w:rFonts w:hint="eastAsia" w:ascii="仿宋_GB2312" w:hAnsi="仿宋_GB2312" w:eastAsia="仿宋_GB2312" w:cs="仿宋_GB2312"/>
          <w:kern w:val="0"/>
          <w:sz w:val="32"/>
          <w:szCs w:val="32"/>
          <w:shd w:val="clear" w:color="auto" w:fill="FFFFFF"/>
          <w:lang w:bidi="ar"/>
        </w:rPr>
        <w:t>投标时提交有效的企业法人营业执照副本复印件；</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（二）本次招标不接受联合体投标</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（三）报价费用</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1.投标单位在投标过程中发生的一切费用，不论中标与否，均由投标单位自行承担。</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2.投标单位可对项目现场和周围环境进行勘察，因此发生的费用及其他不利情况由投标单位自行负责。</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发放中标通知书后支付全额保费。</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（五）投标文件的内容与要求（加盖公章）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法定代表人证明书，如有受托人的，则同时提供法定代表人证明书和法人授权委托证明书（附件1）、受托人身份证明（身份证复印件）</w:t>
      </w:r>
      <w:r>
        <w:rPr>
          <w:rFonts w:hint="eastAsia" w:ascii="仿宋_GB2312" w:hAnsi="仿宋_GB2312" w:eastAsia="仿宋_GB2312" w:cs="仿宋_GB2312"/>
          <w:kern w:val="0"/>
          <w:sz w:val="32"/>
          <w:szCs w:val="32"/>
          <w:shd w:val="clear" w:color="auto" w:fill="FFFFFF"/>
          <w:lang w:eastAsia="zh-CN" w:bidi="ar"/>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2.投标函（附件2）；</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lang w:eastAsia="zh-CN"/>
        </w:rPr>
      </w:pPr>
      <w:r>
        <w:rPr>
          <w:rFonts w:hint="eastAsia" w:ascii="仿宋_GB2312" w:hAnsi="仿宋_GB2312" w:eastAsia="仿宋_GB2312" w:cs="仿宋_GB2312"/>
          <w:kern w:val="0"/>
          <w:sz w:val="32"/>
          <w:szCs w:val="32"/>
          <w:shd w:val="clear" w:color="auto" w:fill="FFFFFF"/>
          <w:lang w:bidi="ar"/>
        </w:rPr>
        <w:t>3.营业执照复印件</w:t>
      </w:r>
      <w:r>
        <w:rPr>
          <w:rFonts w:hint="eastAsia" w:ascii="仿宋_GB2312" w:hAnsi="仿宋" w:eastAsia="仿宋_GB2312" w:cs="仿宋"/>
          <w:sz w:val="32"/>
          <w:szCs w:val="32"/>
        </w:rPr>
        <w:t>及经营保险业务许可证</w:t>
      </w:r>
      <w:r>
        <w:rPr>
          <w:rFonts w:hint="eastAsia" w:ascii="仿宋_GB2312" w:hAnsi="仿宋" w:eastAsia="仿宋_GB2312" w:cs="仿宋"/>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w:t>
      </w:r>
      <w:bookmarkStart w:id="0" w:name="OLE_LINK2"/>
      <w:bookmarkStart w:id="1" w:name="OLE_LINK5"/>
      <w:r>
        <w:rPr>
          <w:rFonts w:hint="eastAsia" w:ascii="仿宋_GB2312" w:hAnsi="仿宋_GB2312" w:eastAsia="仿宋_GB2312" w:cs="仿宋_GB2312"/>
          <w:kern w:val="0"/>
          <w:sz w:val="32"/>
          <w:szCs w:val="32"/>
          <w:shd w:val="clear" w:color="auto" w:fill="FFFFFF"/>
          <w:lang w:eastAsia="zh-CN" w:bidi="ar"/>
        </w:rPr>
        <w:t>上述条款</w:t>
      </w:r>
      <w:r>
        <w:rPr>
          <w:rFonts w:hint="eastAsia" w:ascii="仿宋_GB2312" w:hAnsi="仿宋_GB2312" w:eastAsia="仿宋_GB2312" w:cs="仿宋_GB2312"/>
          <w:kern w:val="0"/>
          <w:sz w:val="32"/>
          <w:szCs w:val="32"/>
          <w:shd w:val="clear" w:color="auto" w:fill="FFFFFF"/>
          <w:lang w:val="en-US" w:eastAsia="zh-CN" w:bidi="ar"/>
        </w:rPr>
        <w:t>1、2、3为</w:t>
      </w:r>
      <w:r>
        <w:rPr>
          <w:rFonts w:hint="eastAsia" w:ascii="仿宋_GB2312" w:hAnsi="仿宋_GB2312" w:eastAsia="仿宋_GB2312" w:cs="仿宋_GB2312"/>
          <w:kern w:val="0"/>
          <w:sz w:val="32"/>
          <w:szCs w:val="32"/>
          <w:shd w:val="clear" w:color="auto" w:fill="FFFFFF"/>
          <w:lang w:bidi="ar"/>
        </w:rPr>
        <w:t>投标组成文件</w:t>
      </w:r>
      <w:bookmarkEnd w:id="0"/>
      <w:r>
        <w:rPr>
          <w:rFonts w:hint="eastAsia" w:ascii="仿宋_GB2312" w:hAnsi="仿宋_GB2312" w:eastAsia="仿宋_GB2312" w:cs="仿宋_GB2312"/>
          <w:kern w:val="0"/>
          <w:sz w:val="32"/>
          <w:szCs w:val="32"/>
          <w:shd w:val="clear" w:color="auto" w:fill="FFFFFF"/>
          <w:lang w:bidi="ar"/>
        </w:rPr>
        <w:t>一</w:t>
      </w:r>
      <w:bookmarkEnd w:id="1"/>
      <w:r>
        <w:rPr>
          <w:rFonts w:hint="eastAsia" w:ascii="仿宋_GB2312" w:hAnsi="仿宋_GB2312" w:eastAsia="仿宋_GB2312" w:cs="仿宋_GB2312"/>
          <w:kern w:val="0"/>
          <w:sz w:val="32"/>
          <w:szCs w:val="32"/>
          <w:shd w:val="clear" w:color="auto" w:fill="FFFFFF"/>
          <w:lang w:bidi="ar"/>
        </w:rPr>
        <w:t>，用于符合性审查</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4.</w:t>
      </w:r>
      <w:r>
        <w:rPr>
          <w:rFonts w:hint="eastAsia" w:ascii="仿宋_GB2312" w:hAnsi="仿宋_GB2312" w:eastAsia="仿宋_GB2312" w:cs="仿宋_GB2312"/>
          <w:sz w:val="32"/>
          <w:szCs w:val="32"/>
        </w:rPr>
        <w:t>投标报价表（</w:t>
      </w:r>
      <w:r>
        <w:rPr>
          <w:rFonts w:hint="eastAsia" w:ascii="仿宋_GB2312" w:hAnsi="仿宋_GB2312" w:eastAsia="仿宋_GB2312" w:cs="仿宋_GB2312"/>
          <w:sz w:val="32"/>
          <w:szCs w:val="32"/>
          <w:lang w:eastAsia="zh-CN"/>
        </w:rPr>
        <w:t>投标组成</w:t>
      </w:r>
      <w:r>
        <w:rPr>
          <w:rFonts w:hint="eastAsia" w:ascii="仿宋_GB2312" w:hAnsi="仿宋_GB2312" w:eastAsia="仿宋_GB2312" w:cs="仿宋_GB2312"/>
          <w:sz w:val="32"/>
          <w:szCs w:val="32"/>
        </w:rPr>
        <w:t>文件二，</w:t>
      </w:r>
      <w:r>
        <w:rPr>
          <w:rFonts w:hint="eastAsia" w:ascii="仿宋_GB2312" w:hAnsi="仿宋_GB2312" w:eastAsia="仿宋_GB2312" w:cs="仿宋_GB2312"/>
          <w:kern w:val="0"/>
          <w:sz w:val="32"/>
          <w:szCs w:val="32"/>
          <w:shd w:val="clear" w:color="auto" w:fill="FFFFFF"/>
          <w:lang w:bidi="ar"/>
        </w:rPr>
        <w:t>按最低价中标法提供相关资料</w:t>
      </w:r>
      <w:r>
        <w:rPr>
          <w:rFonts w:hint="eastAsia" w:ascii="仿宋_GB2312" w:hAnsi="仿宋_GB2312" w:eastAsia="仿宋_GB2312" w:cs="仿宋_GB2312"/>
          <w:sz w:val="32"/>
          <w:szCs w:val="32"/>
        </w:rPr>
        <w:t>，报价单格式自拟）。</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（六）投标方式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采用密封报价（投标组成文件一和投标组成文件二需密封，投标文件</w:t>
      </w:r>
      <w:r>
        <w:rPr>
          <w:rFonts w:hint="eastAsia" w:ascii="仿宋_GB2312" w:hAnsi="仿宋_GB2312" w:eastAsia="仿宋_GB2312" w:cs="仿宋_GB2312"/>
          <w:kern w:val="0"/>
          <w:sz w:val="32"/>
          <w:szCs w:val="32"/>
          <w:u w:val="single"/>
          <w:shd w:val="clear" w:color="auto" w:fill="FFFFFF"/>
          <w:lang w:bidi="ar"/>
        </w:rPr>
        <w:t>一</w:t>
      </w:r>
      <w:r>
        <w:rPr>
          <w:rFonts w:hint="eastAsia" w:ascii="仿宋_GB2312" w:hAnsi="仿宋_GB2312" w:eastAsia="仿宋_GB2312" w:cs="仿宋_GB2312"/>
          <w:kern w:val="0"/>
          <w:sz w:val="32"/>
          <w:szCs w:val="32"/>
          <w:shd w:val="clear" w:color="auto" w:fill="FFFFFF"/>
          <w:lang w:bidi="ar"/>
        </w:rPr>
        <w:t>式</w:t>
      </w:r>
      <w:r>
        <w:rPr>
          <w:rFonts w:hint="eastAsia" w:ascii="仿宋_GB2312" w:hAnsi="仿宋_GB2312" w:eastAsia="仿宋_GB2312" w:cs="仿宋_GB2312"/>
          <w:kern w:val="0"/>
          <w:sz w:val="32"/>
          <w:szCs w:val="32"/>
          <w:u w:val="single"/>
          <w:shd w:val="clear" w:color="auto" w:fill="FFFFFF"/>
          <w:lang w:bidi="ar"/>
        </w:rPr>
        <w:t>贰</w:t>
      </w:r>
      <w:r>
        <w:rPr>
          <w:rFonts w:hint="eastAsia" w:ascii="仿宋_GB2312" w:hAnsi="仿宋_GB2312" w:eastAsia="仿宋_GB2312" w:cs="仿宋_GB2312"/>
          <w:kern w:val="0"/>
          <w:sz w:val="32"/>
          <w:szCs w:val="32"/>
          <w:shd w:val="clear" w:color="auto" w:fill="FFFFFF"/>
          <w:lang w:bidi="ar"/>
        </w:rPr>
        <w:t>份，其中一份为</w:t>
      </w:r>
      <w:r>
        <w:rPr>
          <w:rFonts w:hint="eastAsia" w:ascii="仿宋_GB2312" w:hAnsi="仿宋_GB2312" w:eastAsia="仿宋_GB2312" w:cs="仿宋_GB2312"/>
          <w:kern w:val="0"/>
          <w:sz w:val="32"/>
          <w:szCs w:val="32"/>
          <w:u w:val="single"/>
          <w:shd w:val="clear" w:color="auto" w:fill="FFFFFF"/>
          <w:lang w:bidi="ar"/>
        </w:rPr>
        <w:t>正本并标记</w:t>
      </w:r>
      <w:r>
        <w:rPr>
          <w:rFonts w:hint="eastAsia" w:ascii="仿宋_GB2312" w:hAnsi="仿宋_GB2312" w:eastAsia="仿宋_GB2312" w:cs="仿宋_GB2312"/>
          <w:kern w:val="0"/>
          <w:sz w:val="32"/>
          <w:szCs w:val="32"/>
          <w:shd w:val="clear" w:color="auto" w:fill="FFFFFF"/>
          <w:lang w:bidi="ar"/>
        </w:rPr>
        <w:t>，一份为</w:t>
      </w:r>
      <w:r>
        <w:rPr>
          <w:rFonts w:hint="eastAsia" w:ascii="仿宋_GB2312" w:hAnsi="仿宋_GB2312" w:eastAsia="仿宋_GB2312" w:cs="仿宋_GB2312"/>
          <w:kern w:val="0"/>
          <w:sz w:val="32"/>
          <w:szCs w:val="32"/>
          <w:u w:val="single"/>
          <w:shd w:val="clear" w:color="auto" w:fill="FFFFFF"/>
          <w:lang w:bidi="ar"/>
        </w:rPr>
        <w:t>副本</w:t>
      </w:r>
      <w:r>
        <w:rPr>
          <w:rFonts w:hint="eastAsia" w:ascii="仿宋_GB2312" w:hAnsi="仿宋_GB2312" w:eastAsia="仿宋_GB2312" w:cs="仿宋_GB2312"/>
          <w:kern w:val="0"/>
          <w:sz w:val="32"/>
          <w:szCs w:val="32"/>
          <w:shd w:val="clear" w:color="auto" w:fill="FFFFFF"/>
          <w:lang w:bidi="ar"/>
        </w:rPr>
        <w:t>，副本应是正本的复印件。当正本与副本有不一致时，以正本为准。正本与副本应分别装订成册，在封面上标记“正本”“副本”，并在封套上加贴封条，加盖公章）。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五、评标原则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（一）投标文件符合性审查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对投标文件进行符合性审查，若符合要求，则进入下一阶段评审；若不符合要求，则不得进入下一阶段评审。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（二）最低价中标评审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olor w:val="000000"/>
          <w:sz w:val="32"/>
          <w:szCs w:val="32"/>
        </w:rPr>
        <w:t>本次</w:t>
      </w:r>
      <w:r>
        <w:rPr>
          <w:rFonts w:hint="eastAsia" w:ascii="仿宋_GB2312" w:hAnsi="华文仿宋" w:eastAsia="仿宋_GB2312"/>
          <w:color w:val="000000"/>
          <w:sz w:val="32"/>
          <w:szCs w:val="32"/>
        </w:rPr>
        <w:t>评标采用最低价中标法</w:t>
      </w:r>
      <w:r>
        <w:rPr>
          <w:rFonts w:hint="eastAsia" w:ascii="仿宋_GB2312" w:eastAsia="仿宋_GB2312"/>
          <w:sz w:val="32"/>
          <w:szCs w:val="32"/>
        </w:rPr>
        <w:t>。</w:t>
      </w:r>
      <w:r>
        <w:rPr>
          <w:rFonts w:hint="eastAsia" w:ascii="仿宋_GB2312" w:hAnsi="华文仿宋" w:eastAsia="仿宋_GB2312"/>
          <w:color w:val="000000"/>
          <w:sz w:val="32"/>
          <w:szCs w:val="32"/>
        </w:rPr>
        <w:t>价格</w:t>
      </w:r>
      <w:r>
        <w:rPr>
          <w:rFonts w:hint="eastAsia" w:ascii="仿宋_GB2312" w:hAnsi="仿宋_GB2312" w:eastAsia="仿宋_GB2312"/>
          <w:color w:val="000000"/>
          <w:sz w:val="32"/>
          <w:szCs w:val="32"/>
        </w:rPr>
        <w:t>最低者为第一中标人（同等条件下，原服务单位优先），依次排序</w:t>
      </w:r>
      <w:r>
        <w:rPr>
          <w:rFonts w:hint="eastAsia" w:ascii="仿宋_GB2312" w:eastAsia="仿宋_GB2312"/>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价格最低的第一中标候选单位放弃中标，或因不可抗力提出不能</w:t>
      </w:r>
      <w:r>
        <w:rPr>
          <w:rFonts w:hint="eastAsia" w:ascii="仿宋_GB2312" w:eastAsia="仿宋_GB2312"/>
          <w:sz w:val="32"/>
          <w:szCs w:val="32"/>
          <w:lang w:val="en-US" w:eastAsia="zh-CN"/>
        </w:rPr>
        <w:t>提供服务</w:t>
      </w:r>
      <w:r>
        <w:rPr>
          <w:rFonts w:hint="eastAsia" w:ascii="仿宋_GB2312" w:eastAsia="仿宋_GB2312"/>
          <w:sz w:val="32"/>
          <w:szCs w:val="32"/>
        </w:rPr>
        <w:t>，招标人可以确定价格次低的排名第二的中标候选单位为中标人，以此类推。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六、废标条件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(一)投标总报价最高限价9万元，财产一切责任险报价最高限价5.50万元；公众责任险报价最高限价3.50万元。投标报价高于以上任一限价即为废标。</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(二)投标书未密封完好、未加盖投标单位公章。</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(三)投标文件未响应招标文件的要求。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其他未尽事项以询价议标单位解释为准。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、投标单位报送资料的地点和截止时间</w:t>
      </w: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1.报送资料地点：广州市南沙区龙穴岛口岸大厦18楼运营发展部。</w:t>
      </w: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2.报送资料截止时间：2022年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日上午</w:t>
      </w:r>
      <w:r>
        <w:rPr>
          <w:rFonts w:hint="eastAsia" w:ascii="仿宋_GB2312" w:hAnsi="仿宋_GB2312" w:eastAsia="仿宋_GB2312" w:cs="仿宋_GB2312"/>
          <w:kern w:val="0"/>
          <w:sz w:val="32"/>
          <w:szCs w:val="32"/>
          <w:shd w:val="clear" w:color="auto" w:fill="FFFFFF"/>
          <w:lang w:val="en-US" w:eastAsia="zh-CN" w:bidi="ar"/>
        </w:rPr>
        <w:t>11</w:t>
      </w:r>
      <w:r>
        <w:rPr>
          <w:rFonts w:hint="eastAsia" w:ascii="仿宋_GB2312" w:hAnsi="仿宋_GB2312" w:eastAsia="仿宋_GB2312" w:cs="仿宋_GB2312"/>
          <w:kern w:val="0"/>
          <w:sz w:val="32"/>
          <w:szCs w:val="32"/>
          <w:shd w:val="clear" w:color="auto" w:fill="FFFFFF"/>
          <w:lang w:bidi="ar"/>
        </w:rPr>
        <w:t>时</w:t>
      </w:r>
      <w:r>
        <w:rPr>
          <w:rFonts w:hint="eastAsia" w:ascii="仿宋_GB2312" w:hAnsi="仿宋_GB2312" w:eastAsia="仿宋_GB2312" w:cs="仿宋_GB2312"/>
          <w:kern w:val="0"/>
          <w:sz w:val="32"/>
          <w:szCs w:val="32"/>
          <w:shd w:val="clear" w:color="auto" w:fill="FFFFFF"/>
          <w:lang w:val="en-US" w:eastAsia="zh-CN" w:bidi="ar"/>
        </w:rPr>
        <w:t>00分</w:t>
      </w:r>
      <w:r>
        <w:rPr>
          <w:rFonts w:hint="eastAsia" w:ascii="仿宋_GB2312" w:hAnsi="仿宋_GB2312" w:eastAsia="仿宋_GB2312" w:cs="仿宋_GB2312"/>
          <w:kern w:val="0"/>
          <w:sz w:val="32"/>
          <w:szCs w:val="32"/>
          <w:shd w:val="clear" w:color="auto" w:fill="FFFFFF"/>
          <w:lang w:bidi="ar"/>
        </w:rPr>
        <w:t>前。</w:t>
      </w: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textAlignment w:val="auto"/>
        <w:rPr>
          <w:rFonts w:ascii="仿宋_GB2312" w:hAnsi="仿宋" w:eastAsia="仿宋_GB2312" w:cs="仿宋"/>
          <w:sz w:val="32"/>
          <w:szCs w:val="32"/>
        </w:rPr>
      </w:pPr>
      <w:r>
        <w:rPr>
          <w:rFonts w:hint="eastAsia" w:ascii="仿宋_GB2312" w:hAnsi="仿宋_GB2312" w:eastAsia="仿宋_GB2312" w:cs="仿宋_GB2312"/>
          <w:kern w:val="0"/>
          <w:sz w:val="32"/>
          <w:szCs w:val="32"/>
          <w:shd w:val="clear" w:color="auto" w:fill="FFFFFF"/>
          <w:lang w:bidi="ar"/>
        </w:rPr>
        <w:t>3.联系人：</w:t>
      </w:r>
      <w:r>
        <w:rPr>
          <w:rFonts w:hint="eastAsia" w:ascii="仿宋_GB2312" w:hAnsi="仿宋" w:eastAsia="仿宋_GB2312" w:cs="仿宋"/>
          <w:sz w:val="32"/>
          <w:szCs w:val="32"/>
        </w:rPr>
        <w:t>蓝浪飘</w:t>
      </w:r>
      <w:r>
        <w:rPr>
          <w:rFonts w:hint="eastAsia" w:ascii="仿宋_GB2312" w:hAnsi="仿宋_GB2312" w:eastAsia="仿宋_GB2312" w:cs="仿宋_GB2312"/>
          <w:kern w:val="0"/>
          <w:sz w:val="32"/>
          <w:szCs w:val="32"/>
          <w:shd w:val="clear" w:color="auto" w:fill="FFFFFF"/>
          <w:lang w:bidi="ar"/>
        </w:rPr>
        <w:t>，电话：</w:t>
      </w:r>
      <w:r>
        <w:rPr>
          <w:rFonts w:hint="eastAsia" w:ascii="仿宋_GB2312" w:hAnsi="仿宋" w:eastAsia="仿宋_GB2312" w:cs="仿宋"/>
          <w:sz w:val="32"/>
          <w:szCs w:val="32"/>
        </w:rPr>
        <w:t>020-39058815。</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val="en-US" w:eastAsia="zh-CN" w:bidi="ar"/>
        </w:rPr>
        <w:t>九</w:t>
      </w:r>
      <w:r>
        <w:rPr>
          <w:rFonts w:hint="eastAsia" w:ascii="黑体" w:hAnsi="黑体" w:eastAsia="黑体" w:cs="黑体"/>
          <w:kern w:val="0"/>
          <w:sz w:val="32"/>
          <w:szCs w:val="32"/>
          <w:shd w:val="clear" w:color="auto" w:fill="FFFFFF"/>
          <w:lang w:bidi="ar"/>
        </w:rPr>
        <w:t>、开标时间和安排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2022年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20</w:t>
      </w:r>
      <w:r>
        <w:rPr>
          <w:rFonts w:hint="eastAsia" w:ascii="仿宋_GB2312" w:hAnsi="仿宋_GB2312" w:eastAsia="仿宋_GB2312" w:cs="仿宋_GB2312"/>
          <w:kern w:val="0"/>
          <w:sz w:val="32"/>
          <w:szCs w:val="32"/>
          <w:shd w:val="clear" w:color="auto" w:fill="FFFFFF"/>
          <w:lang w:bidi="ar"/>
        </w:rPr>
        <w:t>日</w:t>
      </w:r>
      <w:r>
        <w:rPr>
          <w:rFonts w:hint="eastAsia" w:ascii="仿宋_GB2312" w:hAnsi="仿宋_GB2312" w:eastAsia="仿宋_GB2312" w:cs="仿宋_GB2312"/>
          <w:kern w:val="0"/>
          <w:sz w:val="32"/>
          <w:szCs w:val="32"/>
          <w:shd w:val="clear" w:color="auto" w:fill="FFFFFF"/>
          <w:lang w:val="en-US" w:eastAsia="zh-CN" w:bidi="ar"/>
        </w:rPr>
        <w:t>下</w:t>
      </w:r>
      <w:r>
        <w:rPr>
          <w:rFonts w:hint="eastAsia" w:ascii="仿宋_GB2312" w:hAnsi="仿宋_GB2312" w:eastAsia="仿宋_GB2312" w:cs="仿宋_GB2312"/>
          <w:kern w:val="0"/>
          <w:sz w:val="32"/>
          <w:szCs w:val="32"/>
          <w:shd w:val="clear" w:color="auto" w:fill="FFFFFF"/>
          <w:lang w:bidi="ar"/>
        </w:rPr>
        <w:t>午</w:t>
      </w:r>
      <w:r>
        <w:rPr>
          <w:rFonts w:hint="eastAsia" w:ascii="仿宋_GB2312" w:hAnsi="仿宋_GB2312" w:eastAsia="仿宋_GB2312" w:cs="仿宋_GB2312"/>
          <w:kern w:val="0"/>
          <w:sz w:val="32"/>
          <w:szCs w:val="32"/>
          <w:shd w:val="clear" w:color="auto" w:fill="FFFFFF"/>
          <w:lang w:val="en-US" w:eastAsia="zh-CN" w:bidi="ar"/>
        </w:rPr>
        <w:t>14</w:t>
      </w:r>
      <w:r>
        <w:rPr>
          <w:rFonts w:hint="eastAsia" w:ascii="仿宋_GB2312" w:hAnsi="仿宋_GB2312" w:eastAsia="仿宋_GB2312" w:cs="仿宋_GB2312"/>
          <w:kern w:val="0"/>
          <w:sz w:val="32"/>
          <w:szCs w:val="32"/>
          <w:shd w:val="clear" w:color="auto" w:fill="FFFFFF"/>
          <w:lang w:bidi="ar"/>
        </w:rPr>
        <w:t>时</w:t>
      </w:r>
      <w:r>
        <w:rPr>
          <w:rFonts w:hint="eastAsia" w:ascii="仿宋_GB2312" w:hAnsi="仿宋_GB2312" w:eastAsia="仿宋_GB2312" w:cs="仿宋_GB2312"/>
          <w:kern w:val="0"/>
          <w:sz w:val="32"/>
          <w:szCs w:val="32"/>
          <w:shd w:val="clear" w:color="auto" w:fill="FFFFFF"/>
          <w:lang w:val="en-US" w:eastAsia="zh-CN" w:bidi="ar"/>
        </w:rPr>
        <w:t>3</w:t>
      </w:r>
      <w:r>
        <w:rPr>
          <w:rFonts w:hint="eastAsia" w:ascii="仿宋_GB2312" w:hAnsi="仿宋_GB2312" w:eastAsia="仿宋_GB2312" w:cs="仿宋_GB2312"/>
          <w:kern w:val="0"/>
          <w:sz w:val="32"/>
          <w:szCs w:val="32"/>
          <w:shd w:val="clear" w:color="auto" w:fill="FFFFFF"/>
          <w:lang w:bidi="ar"/>
        </w:rPr>
        <w:t>0分于广东省广州市南沙区</w:t>
      </w:r>
      <w:r>
        <w:rPr>
          <w:rFonts w:hint="eastAsia" w:ascii="仿宋_GB2312" w:hAnsi="仿宋_GB2312" w:eastAsia="仿宋_GB2312" w:cs="仿宋_GB2312"/>
          <w:kern w:val="0"/>
          <w:sz w:val="32"/>
          <w:szCs w:val="32"/>
          <w:shd w:val="clear" w:color="auto" w:fill="FFFFFF"/>
          <w:lang w:val="en-US" w:eastAsia="zh-CN" w:bidi="ar"/>
        </w:rPr>
        <w:t>龙穴岛口岸大厦18楼多功能会议室</w:t>
      </w:r>
      <w:r>
        <w:rPr>
          <w:rFonts w:hint="eastAsia" w:ascii="仿宋_GB2312" w:hAnsi="仿宋_GB2312" w:eastAsia="仿宋_GB2312" w:cs="仿宋_GB2312"/>
          <w:kern w:val="0"/>
          <w:sz w:val="32"/>
          <w:szCs w:val="32"/>
          <w:shd w:val="clear" w:color="auto" w:fill="FFFFFF"/>
          <w:lang w:bidi="ar"/>
        </w:rPr>
        <w:t>开标。</w:t>
      </w:r>
      <w:r>
        <w:rPr>
          <w:rFonts w:hint="eastAsia" w:ascii="仿宋_GB2312" w:eastAsia="仿宋_GB2312"/>
          <w:sz w:val="32"/>
          <w:szCs w:val="32"/>
        </w:rPr>
        <w:t>开标时投标单位不需到场参与开标。</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right="25" w:rightChars="12"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十、</w:t>
      </w:r>
      <w:r>
        <w:rPr>
          <w:rFonts w:hint="eastAsia" w:ascii="仿宋_GB2312" w:hAnsi="仿宋_GB2312" w:eastAsia="仿宋_GB2312" w:cs="仿宋_GB2312"/>
          <w:kern w:val="0"/>
          <w:sz w:val="32"/>
          <w:szCs w:val="32"/>
          <w:shd w:val="clear" w:color="auto" w:fill="FFFFFF"/>
          <w:lang w:bidi="ar"/>
        </w:rPr>
        <w:t>招标人对本次招标活动及相关的文件资料拥有最终的解释权。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shd w:val="clear" w:color="auto" w:fill="FFFFFF"/>
          <w:lang w:bidi="ar"/>
        </w:rPr>
        <w:t>《投标授权委托书》</w:t>
      </w:r>
    </w:p>
    <w:p>
      <w:pPr>
        <w:pStyle w:val="2"/>
        <w:keepNext w:val="0"/>
        <w:keepLines w:val="0"/>
        <w:pageBreakBefore w:val="0"/>
        <w:widowControl w:val="0"/>
        <w:kinsoku/>
        <w:wordWrap/>
        <w:overflowPunct/>
        <w:topLinePunct w:val="0"/>
        <w:autoSpaceDE/>
        <w:autoSpaceDN/>
        <w:bidi w:val="0"/>
        <w:adjustRightInd/>
        <w:snapToGrid/>
        <w:spacing w:line="560" w:lineRule="exact"/>
        <w:ind w:firstLine="1700" w:firstLineChars="500"/>
        <w:textAlignment w:val="auto"/>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2.《投标函》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jc w:val="right"/>
        <w:textAlignment w:val="auto"/>
        <w:rPr>
          <w:rFonts w:ascii="仿宋_GB2312" w:hAnsi="仿宋" w:eastAsia="仿宋_GB2312" w:cs="仿宋"/>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jc w:val="right"/>
        <w:textAlignment w:val="auto"/>
        <w:rPr>
          <w:rFonts w:ascii="仿宋_GB2312" w:hAnsi="仿宋" w:eastAsia="仿宋_GB2312" w:cs="仿宋"/>
          <w:sz w:val="32"/>
          <w:szCs w:val="32"/>
        </w:rPr>
      </w:pPr>
      <w:r>
        <w:rPr>
          <w:rFonts w:hint="eastAsia" w:ascii="仿宋_GB2312" w:hAnsi="仿宋" w:eastAsia="仿宋_GB2312" w:cs="仿宋"/>
          <w:sz w:val="32"/>
          <w:szCs w:val="32"/>
        </w:rPr>
        <w:t>广州南沙国际物流有限公司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854" w:firstLineChars="267"/>
        <w:jc w:val="center"/>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2022年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16</w:t>
      </w:r>
      <w:r>
        <w:rPr>
          <w:rFonts w:hint="eastAsia" w:ascii="仿宋_GB2312" w:hAnsi="仿宋" w:eastAsia="仿宋_GB2312" w:cs="仿宋"/>
          <w:sz w:val="32"/>
          <w:szCs w:val="32"/>
        </w:rPr>
        <w:t>日</w:t>
      </w:r>
    </w:p>
    <w:p>
      <w:pPr>
        <w:pStyle w:val="4"/>
        <w:spacing w:line="560" w:lineRule="exact"/>
        <w:ind w:firstLine="854" w:firstLineChars="267"/>
        <w:jc w:val="center"/>
        <w:rPr>
          <w:rFonts w:ascii="仿宋_GB2312" w:hAnsi="仿宋" w:eastAsia="仿宋_GB2312" w:cs="仿宋"/>
          <w:sz w:val="32"/>
          <w:szCs w:val="32"/>
        </w:rPr>
      </w:pPr>
    </w:p>
    <w:p>
      <w:pPr>
        <w:pStyle w:val="4"/>
        <w:spacing w:line="560" w:lineRule="exact"/>
        <w:ind w:firstLine="0" w:firstLineChars="0"/>
        <w:jc w:val="left"/>
        <w:rPr>
          <w:rFonts w:hint="eastAsia" w:ascii="仿宋_GB2312" w:hAnsi="仿宋" w:eastAsia="仿宋_GB2312" w:cs="仿宋"/>
          <w:sz w:val="28"/>
          <w:szCs w:val="28"/>
        </w:rPr>
      </w:pPr>
    </w:p>
    <w:p>
      <w:pPr>
        <w:pStyle w:val="4"/>
        <w:spacing w:line="560" w:lineRule="exact"/>
        <w:ind w:firstLine="0" w:firstLineChars="0"/>
        <w:jc w:val="left"/>
        <w:rPr>
          <w:rFonts w:hint="eastAsia" w:ascii="仿宋_GB2312" w:hAnsi="仿宋" w:eastAsia="仿宋_GB2312" w:cs="仿宋"/>
          <w:sz w:val="28"/>
          <w:szCs w:val="28"/>
        </w:rPr>
      </w:pPr>
    </w:p>
    <w:p>
      <w:pPr>
        <w:pStyle w:val="4"/>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4"/>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投标授权委托书</w:t>
      </w:r>
    </w:p>
    <w:p>
      <w:pPr>
        <w:pStyle w:val="4"/>
        <w:spacing w:line="560" w:lineRule="exact"/>
        <w:ind w:firstLine="0" w:firstLineChars="0"/>
        <w:jc w:val="center"/>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现授权委托我单位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为我单位代理人，参与贵司的《</w:t>
      </w:r>
      <w:r>
        <w:rPr>
          <w:rFonts w:hint="eastAsia" w:ascii="仿宋_GB2312" w:hAnsi="仿宋_GB2312" w:eastAsia="仿宋_GB2312" w:cs="仿宋_GB2312"/>
          <w:bCs/>
          <w:spacing w:val="2"/>
          <w:sz w:val="32"/>
          <w:szCs w:val="32"/>
        </w:rPr>
        <w:t>口岸大厦一切责任险和口岸大厦及运输服务中心宿舍及商铺公众责任险项目（第二次）</w:t>
      </w:r>
      <w:r>
        <w:rPr>
          <w:rFonts w:hint="eastAsia" w:ascii="仿宋_GB2312" w:hAnsi="仿宋_GB2312" w:eastAsia="仿宋_GB2312" w:cs="仿宋_GB2312"/>
          <w:sz w:val="32"/>
          <w:szCs w:val="32"/>
        </w:rPr>
        <w:t>》投标事宜，代理人在投标、合同谈判、项目实施过程中签署的一切与项目有关的文件，我单位均予以承认，并承担相应的法律责任。</w:t>
      </w:r>
    </w:p>
    <w:p>
      <w:pPr>
        <w:pStyle w:val="4"/>
        <w:spacing w:line="560" w:lineRule="exact"/>
        <w:ind w:firstLine="560"/>
        <w:rPr>
          <w:rFonts w:hint="eastAsia" w:ascii="仿宋_GB2312" w:hAnsi="仿宋_GB2312" w:eastAsia="仿宋_GB2312" w:cs="仿宋_GB2312"/>
          <w:sz w:val="32"/>
          <w:szCs w:val="32"/>
        </w:rPr>
      </w:pPr>
    </w:p>
    <w:p>
      <w:pPr>
        <w:pStyle w:val="4"/>
        <w:spacing w:line="560" w:lineRule="exact"/>
        <w:ind w:firstLine="560"/>
        <w:rPr>
          <w:rFonts w:hint="eastAsia" w:ascii="仿宋_GB2312" w:hAnsi="仿宋_GB2312" w:eastAsia="仿宋_GB2312" w:cs="仿宋_GB2312"/>
          <w:sz w:val="32"/>
          <w:szCs w:val="32"/>
        </w:rPr>
      </w:pPr>
    </w:p>
    <w:p>
      <w:pPr>
        <w:pStyle w:val="2"/>
        <w:spacing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法定代理人：</w:t>
      </w:r>
    </w:p>
    <w:p>
      <w:pPr>
        <w:pStyle w:val="2"/>
        <w:spacing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代理人：</w:t>
      </w:r>
    </w:p>
    <w:p>
      <w:pPr>
        <w:pStyle w:val="2"/>
        <w:spacing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公司盖章（公章）：</w:t>
      </w:r>
    </w:p>
    <w:p>
      <w:pPr>
        <w:pStyle w:val="2"/>
        <w:spacing w:line="560" w:lineRule="exact"/>
        <w:ind w:firstLine="544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ind w:firstLine="5440" w:firstLineChars="1600"/>
        <w:rPr>
          <w:rFonts w:ascii="仿宋_GB2312" w:hAnsi="仿宋_GB2312" w:eastAsia="仿宋_GB2312" w:cs="仿宋_GB2312"/>
          <w:sz w:val="32"/>
          <w:szCs w:val="32"/>
        </w:rPr>
      </w:pPr>
    </w:p>
    <w:p>
      <w:pPr>
        <w:pStyle w:val="2"/>
        <w:spacing w:line="560" w:lineRule="exact"/>
        <w:jc w:val="left"/>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pacing w:line="52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pStyle w:val="2"/>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 标 函</w:t>
      </w:r>
    </w:p>
    <w:p>
      <w:pPr>
        <w:pStyle w:val="2"/>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粗黑宋简体" w:hAnsi="方正粗黑宋简体" w:eastAsia="方正粗黑宋简体" w:cs="方正粗黑宋简体"/>
          <w:sz w:val="30"/>
          <w:szCs w:val="30"/>
        </w:rPr>
      </w:pPr>
    </w:p>
    <w:p>
      <w:pPr>
        <w:pStyle w:val="2"/>
        <w:keepNext w:val="0"/>
        <w:keepLines w:val="0"/>
        <w:pageBreakBefore w:val="0"/>
        <w:widowControl w:val="0"/>
        <w:kinsoku/>
        <w:wordWrap/>
        <w:overflowPunct/>
        <w:topLinePunct w:val="0"/>
        <w:autoSpaceDE/>
        <w:autoSpaceDN/>
        <w:bidi w:val="0"/>
        <w:adjustRightInd/>
        <w:spacing w:line="52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 xml:space="preserve">（招标单位名称）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_GB2312" w:eastAsia="仿宋_GB2312"/>
          <w:sz w:val="30"/>
          <w:szCs w:val="30"/>
        </w:rPr>
      </w:pPr>
      <w:r>
        <w:rPr>
          <w:rFonts w:hint="eastAsia" w:ascii="仿宋_GB2312" w:hAnsi="仿宋_GB2312" w:eastAsia="仿宋_GB2312" w:cs="仿宋_GB2312"/>
          <w:sz w:val="30"/>
          <w:szCs w:val="30"/>
        </w:rPr>
        <w:t xml:space="preserve">    根据贵司的《</w:t>
      </w:r>
      <w:r>
        <w:rPr>
          <w:rFonts w:hint="eastAsia" w:ascii="仿宋_GB2312" w:hAnsi="仿宋_GB2312" w:eastAsia="仿宋_GB2312" w:cs="仿宋_GB2312"/>
          <w:bCs/>
          <w:spacing w:val="2"/>
          <w:sz w:val="30"/>
          <w:szCs w:val="30"/>
        </w:rPr>
        <w:t>口岸大厦一切责任险和口岸大厦及运输服务中心宿舍及商铺公众责任险项目（第二次）</w:t>
      </w:r>
      <w:r>
        <w:rPr>
          <w:rFonts w:hint="eastAsia" w:ascii="仿宋_GB2312" w:hAnsi="仿宋_GB2312" w:eastAsia="仿宋_GB2312" w:cs="仿宋_GB2312"/>
          <w:bCs/>
          <w:spacing w:val="2"/>
          <w:sz w:val="30"/>
          <w:szCs w:val="30"/>
          <w:lang w:val="en-US" w:eastAsia="zh-CN"/>
        </w:rPr>
        <w:t>询价议标</w:t>
      </w:r>
      <w:r>
        <w:rPr>
          <w:rFonts w:hint="eastAsia" w:ascii="仿宋_GB2312" w:hAnsi="仿宋_GB2312" w:eastAsia="仿宋_GB2312" w:cs="仿宋_GB2312"/>
          <w:sz w:val="30"/>
          <w:szCs w:val="30"/>
        </w:rPr>
        <w:t>》</w:t>
      </w:r>
      <w:r>
        <w:rPr>
          <w:rFonts w:hint="eastAsia" w:ascii="仿宋_GB2312" w:hAnsi="仿宋_GB2312" w:eastAsia="仿宋_GB2312" w:cs="仿宋_GB2312"/>
          <w:bCs/>
          <w:spacing w:val="2"/>
          <w:sz w:val="30"/>
          <w:szCs w:val="30"/>
        </w:rPr>
        <w:t>邀请书</w:t>
      </w:r>
      <w:r>
        <w:rPr>
          <w:rFonts w:hint="eastAsia" w:ascii="仿宋_GB2312" w:hAnsi="仿宋_GB2312" w:eastAsia="仿宋_GB2312" w:cs="仿宋_GB2312"/>
          <w:sz w:val="30"/>
          <w:szCs w:val="30"/>
        </w:rPr>
        <w:t>，投标人签字代表</w:t>
      </w:r>
      <w:r>
        <w:rPr>
          <w:rFonts w:hint="eastAsia" w:ascii="仿宋_GB2312" w:hAnsi="仿宋_GB2312" w:eastAsia="仿宋_GB2312" w:cs="仿宋_GB2312"/>
          <w:sz w:val="30"/>
          <w:szCs w:val="30"/>
          <w:u w:val="single"/>
        </w:rPr>
        <w:t>（全名职务）</w:t>
      </w:r>
      <w:r>
        <w:rPr>
          <w:rFonts w:hint="eastAsia" w:ascii="仿宋_GB2312" w:hAnsi="仿宋_GB2312" w:eastAsia="仿宋_GB2312" w:cs="仿宋_GB2312"/>
          <w:sz w:val="30"/>
          <w:szCs w:val="30"/>
        </w:rPr>
        <w:t>经正式授权并代表投标人</w:t>
      </w:r>
      <w:r>
        <w:rPr>
          <w:rFonts w:hint="eastAsia" w:ascii="仿宋_GB2312" w:hAnsi="仿宋_GB2312" w:eastAsia="仿宋_GB2312" w:cs="仿宋_GB2312"/>
          <w:sz w:val="30"/>
          <w:szCs w:val="30"/>
          <w:u w:val="single"/>
        </w:rPr>
        <w:t>（投标人全称）</w:t>
      </w:r>
      <w:r>
        <w:rPr>
          <w:rFonts w:hint="eastAsia" w:ascii="仿宋_GB2312" w:eastAsia="仿宋_GB2312"/>
          <w:sz w:val="30"/>
          <w:szCs w:val="30"/>
        </w:rPr>
        <w:t>提交投标文件正本</w:t>
      </w:r>
      <w:r>
        <w:rPr>
          <w:rFonts w:hint="eastAsia" w:ascii="仿宋_GB2312" w:eastAsia="仿宋_GB2312"/>
          <w:sz w:val="30"/>
          <w:szCs w:val="30"/>
          <w:u w:val="single"/>
        </w:rPr>
        <w:t xml:space="preserve"> 1</w:t>
      </w:r>
      <w:r>
        <w:rPr>
          <w:rFonts w:hint="eastAsia" w:ascii="仿宋_GB2312" w:eastAsia="仿宋_GB2312"/>
          <w:sz w:val="30"/>
          <w:szCs w:val="30"/>
        </w:rPr>
        <w:t>份和副本</w:t>
      </w:r>
      <w:r>
        <w:rPr>
          <w:rFonts w:hint="eastAsia" w:ascii="仿宋_GB2312" w:eastAsia="仿宋_GB2312"/>
          <w:sz w:val="30"/>
          <w:szCs w:val="30"/>
          <w:u w:val="single"/>
        </w:rPr>
        <w:t>1</w:t>
      </w:r>
      <w:r>
        <w:rPr>
          <w:rFonts w:hint="eastAsia" w:ascii="仿宋_GB2312" w:eastAsia="仿宋_GB2312"/>
          <w:sz w:val="30"/>
          <w:szCs w:val="30"/>
        </w:rPr>
        <w:t>份，并做出如下承诺：</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eastAsia="仿宋_GB2312"/>
          <w:sz w:val="30"/>
          <w:szCs w:val="30"/>
        </w:rPr>
        <w:t>我单位已完全理解并接受《招标邀请书》和修改文件（若有）的全部内容，完全理解招标项目的范围和内容，愿意以人民币</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元（大写人民币</w:t>
      </w:r>
      <w:r>
        <w:rPr>
          <w:rFonts w:hint="eastAsia" w:ascii="仿宋_GB2312" w:eastAsia="仿宋_GB2312"/>
          <w:sz w:val="30"/>
          <w:szCs w:val="30"/>
          <w:u w:val="single"/>
        </w:rPr>
        <w:t xml:space="preserve">                </w:t>
      </w:r>
      <w:r>
        <w:rPr>
          <w:rFonts w:hint="eastAsia" w:ascii="仿宋_GB2312" w:eastAsia="仿宋_GB2312"/>
          <w:sz w:val="30"/>
          <w:szCs w:val="30"/>
        </w:rPr>
        <w:t>）的总价含税包干，</w:t>
      </w:r>
      <w:r>
        <w:rPr>
          <w:rFonts w:hint="eastAsia" w:ascii="仿宋_GB2312" w:hAnsi="仿宋_GB2312" w:eastAsia="仿宋_GB2312" w:cs="仿宋_GB2312"/>
          <w:color w:val="000000"/>
          <w:sz w:val="30"/>
          <w:szCs w:val="30"/>
        </w:rPr>
        <w:t>包一切税费以及明示或暗示的所有一切风险、责任和义务等所有费用</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、我单位一旦中标，将保证在收到《中标通知书》后，依其规定日期和地点，</w:t>
      </w:r>
      <w:r>
        <w:rPr>
          <w:rFonts w:hint="eastAsia" w:ascii="仿宋_GB2312" w:eastAsia="仿宋_GB2312"/>
          <w:sz w:val="30"/>
          <w:szCs w:val="30"/>
          <w:highlight w:val="none"/>
        </w:rPr>
        <w:t>与贵司洽商并签定合同</w:t>
      </w:r>
      <w:r>
        <w:rPr>
          <w:rFonts w:hint="eastAsia" w:ascii="仿宋_GB2312" w:eastAsia="仿宋_GB2312"/>
          <w:sz w:val="30"/>
          <w:szCs w:val="30"/>
          <w:highlight w:val="none"/>
          <w:lang w:val="en-US" w:eastAsia="zh-CN"/>
        </w:rPr>
        <w:t>或保单</w:t>
      </w:r>
      <w:r>
        <w:rPr>
          <w:rFonts w:hint="eastAsia" w:ascii="仿宋_GB2312" w:eastAsia="仿宋_GB2312"/>
          <w:sz w:val="30"/>
          <w:szCs w:val="30"/>
          <w:highlight w:val="none"/>
        </w:rPr>
        <w:t>。</w:t>
      </w:r>
      <w:r>
        <w:rPr>
          <w:rFonts w:hint="eastAsia" w:ascii="仿宋_GB2312" w:eastAsia="仿宋_GB2312"/>
          <w:sz w:val="30"/>
          <w:szCs w:val="30"/>
        </w:rPr>
        <w:t>逾期视为我单位自愿放弃中标资格。</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、除非贵我双方另外达成协议并生效，贵司《投标邀请书》、《中标通知书》和我单位投标文件，将成为约束双方合同条款的有效组成部分。</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left"/>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left"/>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_GB2312" w:eastAsia="仿宋_GB2312"/>
          <w:sz w:val="30"/>
          <w:szCs w:val="30"/>
        </w:rPr>
      </w:pPr>
      <w:r>
        <w:rPr>
          <w:rFonts w:hint="eastAsia" w:ascii="仿宋_GB2312" w:eastAsia="仿宋_GB2312"/>
          <w:sz w:val="30"/>
          <w:szCs w:val="30"/>
        </w:rPr>
        <w:t>投标人（单位公章）：</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_GB2312" w:eastAsia="仿宋_GB2312"/>
          <w:sz w:val="30"/>
          <w:szCs w:val="30"/>
        </w:rPr>
      </w:pPr>
      <w:r>
        <w:rPr>
          <w:rFonts w:hint="eastAsia" w:ascii="仿宋_GB2312" w:eastAsia="仿宋_GB2312"/>
          <w:sz w:val="30"/>
          <w:szCs w:val="30"/>
        </w:rPr>
        <w:t>投标人法定代表人或其授权委托人（签字）：</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eastAsia="仿宋_GB2312"/>
          <w:sz w:val="28"/>
          <w:szCs w:val="28"/>
        </w:rPr>
      </w:pPr>
      <w:r>
        <w:rPr>
          <w:rFonts w:hint="eastAsia" w:ascii="仿宋_GB2312" w:eastAsia="仿宋_GB2312"/>
          <w:sz w:val="30"/>
          <w:szCs w:val="30"/>
        </w:rPr>
        <w:t>投标人地址：</w:t>
      </w:r>
      <w:r>
        <w:rPr>
          <w:rFonts w:hint="eastAsia" w:ascii="仿宋_GB2312" w:eastAsia="仿宋_GB2312"/>
          <w:sz w:val="30"/>
          <w:szCs w:val="30"/>
          <w:u w:val="single"/>
        </w:rPr>
        <w:t xml:space="preserve">                                                 </w:t>
      </w:r>
      <w:r>
        <w:rPr>
          <w:rFonts w:hint="eastAsia" w:ascii="仿宋_GB2312" w:eastAsia="仿宋_GB2312"/>
          <w:sz w:val="30"/>
          <w:szCs w:val="30"/>
        </w:rPr>
        <w:t>日期：</w:t>
      </w:r>
    </w:p>
    <w:p>
      <w:pPr>
        <w:pStyle w:val="2"/>
        <w:rPr>
          <w:rFonts w:hint="eastAsia" w:ascii="仿宋_GB2312" w:eastAsia="仿宋_GB2312"/>
          <w:sz w:val="28"/>
          <w:szCs w:val="28"/>
        </w:rPr>
      </w:pPr>
    </w:p>
    <w:p>
      <w:pPr>
        <w:pStyle w:val="2"/>
        <w:rPr>
          <w:rFonts w:ascii="仿宋_GB2312" w:eastAsia="仿宋_GB2312"/>
          <w:sz w:val="28"/>
          <w:szCs w:val="28"/>
        </w:rPr>
      </w:pPr>
      <w:r>
        <w:rPr>
          <w:rFonts w:hint="eastAsia" w:ascii="仿宋_GB2312" w:eastAsia="仿宋_GB2312"/>
          <w:sz w:val="28"/>
          <w:szCs w:val="28"/>
        </w:rPr>
        <w:t>附件3：</w:t>
      </w:r>
    </w:p>
    <w:p>
      <w:pPr>
        <w:spacing w:line="360" w:lineRule="auto"/>
        <w:ind w:firstLine="360" w:firstLineChars="100"/>
        <w:jc w:val="center"/>
        <w:rPr>
          <w:rFonts w:ascii="黑体" w:eastAsia="黑体"/>
          <w:kern w:val="0"/>
          <w:sz w:val="36"/>
          <w:szCs w:val="36"/>
        </w:rPr>
      </w:pPr>
      <w:r>
        <w:rPr>
          <w:rFonts w:hint="eastAsia" w:ascii="方正小标宋简体" w:hAnsi="方正小标宋简体" w:eastAsia="方正小标宋简体" w:cs="方正小标宋简体"/>
          <w:kern w:val="0"/>
          <w:sz w:val="36"/>
          <w:szCs w:val="36"/>
        </w:rPr>
        <w:t>符合性审查表</w:t>
      </w:r>
    </w:p>
    <w:tbl>
      <w:tblPr>
        <w:tblStyle w:val="9"/>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编号</w:t>
            </w:r>
          </w:p>
        </w:tc>
        <w:tc>
          <w:tcPr>
            <w:tcW w:w="2561" w:type="dxa"/>
            <w:tcBorders>
              <w:tl2br w:val="single" w:color="auto" w:sz="4" w:space="0"/>
            </w:tcBorders>
            <w:vAlign w:val="center"/>
          </w:tcPr>
          <w:p>
            <w:pPr>
              <w:tabs>
                <w:tab w:val="left" w:pos="720"/>
              </w:tabs>
              <w:snapToGrid w:val="0"/>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投标人名称</w:t>
            </w:r>
          </w:p>
          <w:p>
            <w:pPr>
              <w:tabs>
                <w:tab w:val="left" w:pos="720"/>
              </w:tabs>
              <w:snapToGrid w:val="0"/>
              <w:rPr>
                <w:rFonts w:ascii="仿宋_GB2312" w:hAnsi="仿宋_GB2312" w:eastAsia="仿宋_GB2312" w:cs="仿宋_GB2312"/>
                <w:szCs w:val="21"/>
              </w:rPr>
            </w:pPr>
          </w:p>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审查项目</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A</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B</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C</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D</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E</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F</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G</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投标文件中有有效的营业执照复印件、法定代表人证明书原件、经营保险业务许可证，及法定代表人授权书</w:t>
            </w:r>
            <w:r>
              <w:rPr>
                <w:rFonts w:hint="eastAsia" w:ascii="仿宋_GB2312" w:hAnsi="仿宋_GB2312" w:eastAsia="仿宋_GB2312" w:cs="仿宋_GB2312"/>
              </w:rPr>
              <w:t>原件</w:t>
            </w:r>
            <w:r>
              <w:rPr>
                <w:rFonts w:hint="eastAsia" w:ascii="仿宋_GB2312" w:hAnsi="仿宋_GB2312" w:eastAsia="仿宋_GB2312" w:cs="仿宋_GB2312"/>
                <w:szCs w:val="21"/>
              </w:rPr>
              <w:t>；</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投标文件的封面加盖投标单位的法定印章；</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投标文件按规定的格式填写，内容齐全或关键字清晰可辩；</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投标报价不高于最高限价。</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是否通过并进入下一阶段评审</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bl>
    <w:p>
      <w:pPr>
        <w:rPr>
          <w:sz w:val="20"/>
          <w:szCs w:val="18"/>
        </w:rPr>
      </w:pPr>
      <w:r>
        <w:rPr>
          <w:rFonts w:hint="eastAsia" w:ascii="仿宋_GB2312" w:hAnsi="仿宋_GB2312" w:eastAsia="仿宋_GB2312" w:cs="仿宋_GB2312"/>
          <w:b/>
          <w:bCs/>
          <w:sz w:val="21"/>
          <w:szCs w:val="21"/>
        </w:rPr>
        <w:t>项目名称：口岸大厦一切责任险和口岸大厦及运输服务中心宿舍及商铺公众责任险项目（第二次）</w:t>
      </w:r>
    </w:p>
    <w:p>
      <w:pPr>
        <w:tabs>
          <w:tab w:val="left" w:pos="720"/>
        </w:tabs>
        <w:snapToGrid w:val="0"/>
        <w:spacing w:before="156" w:beforeLines="50"/>
        <w:rPr>
          <w:rFonts w:ascii="楷体_GB2312" w:hAnsi="楷体_GB2312" w:eastAsia="楷体_GB2312" w:cs="楷体_GB2312"/>
          <w:szCs w:val="21"/>
        </w:rPr>
      </w:pPr>
      <w:r>
        <w:rPr>
          <w:rFonts w:hint="eastAsia" w:ascii="楷体_GB2312" w:hAnsi="楷体_GB2312" w:eastAsia="楷体_GB2312" w:cs="楷体_GB2312"/>
          <w:szCs w:val="21"/>
        </w:rPr>
        <w:t>备注：1、“是否通过并进入下一阶段评审”一栏应写“通过”“不通过”。</w:t>
      </w:r>
    </w:p>
    <w:p>
      <w:pPr>
        <w:tabs>
          <w:tab w:val="left" w:pos="720"/>
        </w:tabs>
        <w:snapToGrid w:val="0"/>
        <w:spacing w:before="156" w:beforeLines="50"/>
        <w:ind w:firstLine="630" w:firstLineChars="300"/>
        <w:rPr>
          <w:rFonts w:ascii="楷体_GB2312" w:hAnsi="楷体_GB2312" w:eastAsia="楷体_GB2312" w:cs="楷体_GB2312"/>
          <w:szCs w:val="21"/>
        </w:rPr>
      </w:pPr>
      <w:r>
        <w:rPr>
          <w:rFonts w:hint="eastAsia" w:ascii="楷体_GB2312" w:hAnsi="楷体_GB2312" w:eastAsia="楷体_GB2312" w:cs="楷体_GB2312"/>
          <w:szCs w:val="21"/>
        </w:rPr>
        <w:t>2、符合上述情况的打“○”，不符合的打“×”。</w:t>
      </w:r>
    </w:p>
    <w:p>
      <w:pPr>
        <w:tabs>
          <w:tab w:val="left" w:pos="720"/>
        </w:tabs>
        <w:snapToGrid w:val="0"/>
        <w:spacing w:before="156" w:beforeLines="50"/>
        <w:ind w:firstLine="630" w:firstLineChars="300"/>
        <w:rPr>
          <w:rFonts w:ascii="楷体_GB2312" w:hAnsi="楷体_GB2312" w:eastAsia="楷体_GB2312" w:cs="楷体_GB2312"/>
          <w:szCs w:val="21"/>
        </w:rPr>
      </w:pPr>
      <w:r>
        <w:rPr>
          <w:rFonts w:hint="eastAsia" w:ascii="楷体_GB2312" w:hAnsi="楷体_GB2312" w:eastAsia="楷体_GB2312" w:cs="楷体_GB2312"/>
          <w:szCs w:val="21"/>
        </w:rPr>
        <w:t>3、出现一个“×”的结论为“不通过”全部为“○”的结论为“通过”。</w:t>
      </w:r>
    </w:p>
    <w:p>
      <w:pPr>
        <w:tabs>
          <w:tab w:val="left" w:pos="720"/>
        </w:tabs>
        <w:snapToGrid w:val="0"/>
        <w:spacing w:before="156" w:beforeLines="50"/>
        <w:rPr>
          <w:rFonts w:ascii="楷体_GB2312" w:hAnsi="楷体_GB2312" w:eastAsia="楷体_GB2312" w:cs="楷体_GB2312"/>
          <w:szCs w:val="21"/>
        </w:rPr>
      </w:pPr>
      <w:r>
        <w:rPr>
          <w:rFonts w:hint="eastAsia" w:ascii="楷体_GB2312" w:hAnsi="楷体_GB2312" w:eastAsia="楷体_GB2312" w:cs="楷体_GB2312"/>
          <w:szCs w:val="21"/>
        </w:rPr>
        <w:t xml:space="preserve">     </w:t>
      </w:r>
    </w:p>
    <w:p>
      <w:pPr>
        <w:tabs>
          <w:tab w:val="left" w:pos="720"/>
        </w:tabs>
        <w:snapToGrid w:val="0"/>
        <w:rPr>
          <w:rFonts w:ascii="楷体_GB2312" w:hAnsi="楷体_GB2312" w:eastAsia="楷体_GB2312" w:cs="楷体_GB2312"/>
          <w:sz w:val="18"/>
          <w:szCs w:val="18"/>
        </w:rPr>
      </w:pPr>
    </w:p>
    <w:p>
      <w:pPr>
        <w:tabs>
          <w:tab w:val="left" w:pos="720"/>
        </w:tabs>
        <w:snapToGrid w:val="0"/>
        <w:ind w:firstLine="3780" w:firstLineChars="1800"/>
        <w:rPr>
          <w:rFonts w:ascii="楷体_GB2312" w:hAnsi="楷体_GB2312" w:eastAsia="楷体_GB2312" w:cs="楷体_GB2312"/>
          <w:szCs w:val="21"/>
        </w:rPr>
      </w:pPr>
      <w:r>
        <w:rPr>
          <w:rFonts w:hint="eastAsia" w:ascii="楷体_GB2312" w:hAnsi="楷体_GB2312" w:eastAsia="楷体_GB2312" w:cs="楷体_GB2312"/>
          <w:szCs w:val="21"/>
        </w:rPr>
        <w:t>评审人员签名：                     日期：</w:t>
      </w:r>
    </w:p>
    <w:p>
      <w:pPr>
        <w:pStyle w:val="2"/>
        <w:rPr>
          <w:rFonts w:ascii="仿宋_GB2312" w:eastAsia="仿宋_GB2312"/>
          <w:sz w:val="28"/>
          <w:szCs w:val="28"/>
        </w:rPr>
      </w:pPr>
    </w:p>
    <w:p>
      <w:pPr>
        <w:pStyle w:val="2"/>
        <w:spacing w:line="560" w:lineRule="exact"/>
        <w:jc w:val="lef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D830E"/>
    <w:multiLevelType w:val="singleLevel"/>
    <w:tmpl w:val="5AED83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3735B"/>
    <w:rsid w:val="002F22EA"/>
    <w:rsid w:val="00521564"/>
    <w:rsid w:val="00C32BC0"/>
    <w:rsid w:val="0C830471"/>
    <w:rsid w:val="0FB1608B"/>
    <w:rsid w:val="10121294"/>
    <w:rsid w:val="12C00B32"/>
    <w:rsid w:val="12EE52CE"/>
    <w:rsid w:val="139F7593"/>
    <w:rsid w:val="152529B3"/>
    <w:rsid w:val="17AF4FBA"/>
    <w:rsid w:val="1A0F3070"/>
    <w:rsid w:val="1C20736E"/>
    <w:rsid w:val="1DDA6E3B"/>
    <w:rsid w:val="22632DF7"/>
    <w:rsid w:val="22C5234C"/>
    <w:rsid w:val="2567002F"/>
    <w:rsid w:val="28165DE1"/>
    <w:rsid w:val="2E6703FE"/>
    <w:rsid w:val="30A56D35"/>
    <w:rsid w:val="3122188F"/>
    <w:rsid w:val="3E577856"/>
    <w:rsid w:val="46F35C30"/>
    <w:rsid w:val="48954759"/>
    <w:rsid w:val="49762B7D"/>
    <w:rsid w:val="528A0893"/>
    <w:rsid w:val="58D204C9"/>
    <w:rsid w:val="5E6B08BB"/>
    <w:rsid w:val="5E7D6436"/>
    <w:rsid w:val="5FD2225B"/>
    <w:rsid w:val="6065645C"/>
    <w:rsid w:val="606E5F69"/>
    <w:rsid w:val="60B45019"/>
    <w:rsid w:val="62941011"/>
    <w:rsid w:val="63665F6D"/>
    <w:rsid w:val="6AD01240"/>
    <w:rsid w:val="78FA30F0"/>
    <w:rsid w:val="79FF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kern w:val="0"/>
      <w:sz w:val="24"/>
    </w:rPr>
  </w:style>
  <w:style w:type="paragraph" w:styleId="3">
    <w:name w:val="annotation text"/>
    <w:basedOn w:val="1"/>
    <w:link w:val="15"/>
    <w:qFormat/>
    <w:uiPriority w:val="0"/>
    <w:pPr>
      <w:jc w:val="left"/>
    </w:pPr>
  </w:style>
  <w:style w:type="paragraph" w:styleId="4">
    <w:name w:val="Body Text Indent"/>
    <w:basedOn w:val="1"/>
    <w:qFormat/>
    <w:uiPriority w:val="0"/>
    <w:pPr>
      <w:ind w:firstLine="600" w:firstLineChars="200"/>
    </w:pPr>
    <w:rPr>
      <w:sz w:val="3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_Style 2"/>
    <w:basedOn w:val="1"/>
    <w:qFormat/>
    <w:uiPriority w:val="0"/>
    <w:pPr>
      <w:ind w:firstLine="420" w:firstLineChars="200"/>
    </w:p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批注文字 字符"/>
    <w:basedOn w:val="10"/>
    <w:link w:val="3"/>
    <w:qFormat/>
    <w:uiPriority w:val="0"/>
    <w:rPr>
      <w:kern w:val="2"/>
      <w:sz w:val="21"/>
    </w:rPr>
  </w:style>
  <w:style w:type="character" w:customStyle="1" w:styleId="16">
    <w:name w:val="批注主题 字符"/>
    <w:basedOn w:val="15"/>
    <w:link w:val="8"/>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547</Words>
  <Characters>3118</Characters>
  <Lines>25</Lines>
  <Paragraphs>7</Paragraphs>
  <TotalTime>12</TotalTime>
  <ScaleCrop>false</ScaleCrop>
  <LinksUpToDate>false</LinksUpToDate>
  <CharactersWithSpaces>3658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2022-03-24T00:29:00Z</dcterms:created>
  <dc:creator>lEe、</dc:creator>
  <cp:lastModifiedBy>lEe、</cp:lastModifiedBy>
  <cp:lastPrinted>2022-04-15T06:31:00Z</cp:lastPrinted>
  <dcterms:modified xsi:type="dcterms:W3CDTF">2022-04-18T06:42:44Z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47DB1BF8F44548DC9A85B0D72C8BA309</vt:lpwstr>
  </property>
</Properties>
</file>