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60" w:leftChars="200" w:firstLine="482" w:firstLineChars="100"/>
        <w:jc w:val="left"/>
        <w:rPr>
          <w:rFonts w:ascii="仿宋_GB2312" w:hAnsi="仿宋" w:eastAsia="仿宋_GB2312"/>
          <w:b/>
          <w:bCs/>
          <w:sz w:val="48"/>
          <w:szCs w:val="48"/>
        </w:rPr>
      </w:pPr>
      <w:bookmarkStart w:id="0" w:name="_Toc28489433"/>
      <w:bookmarkStart w:id="1" w:name="_Toc14450806"/>
    </w:p>
    <w:p>
      <w:pPr>
        <w:ind w:left="560" w:leftChars="200" w:firstLine="482" w:firstLineChars="100"/>
        <w:jc w:val="left"/>
        <w:rPr>
          <w:rFonts w:ascii="仿宋_GB2312" w:hAnsi="仿宋" w:eastAsia="仿宋_GB2312"/>
          <w:b/>
          <w:bCs/>
          <w:sz w:val="48"/>
          <w:szCs w:val="48"/>
        </w:rPr>
      </w:pPr>
      <w:r>
        <w:rPr>
          <w:rFonts w:hint="eastAsia" w:ascii="仿宋_GB2312" w:hAnsi="仿宋" w:eastAsia="仿宋_GB2312"/>
          <w:b/>
          <w:bCs/>
          <w:sz w:val="48"/>
          <w:szCs w:val="48"/>
        </w:rPr>
        <w:t>广州南沙湿地旅游发展有限公司</w:t>
      </w:r>
    </w:p>
    <w:p>
      <w:pPr>
        <w:pStyle w:val="2"/>
        <w:spacing w:line="360" w:lineRule="auto"/>
        <w:jc w:val="center"/>
        <w:rPr>
          <w:rFonts w:ascii="仿宋_GB2312" w:hAnsi="仿宋" w:eastAsia="仿宋_GB2312"/>
          <w:bCs/>
          <w:kern w:val="0"/>
          <w:sz w:val="48"/>
          <w:szCs w:val="48"/>
        </w:rPr>
      </w:pPr>
      <w:r>
        <w:rPr>
          <w:rFonts w:hint="eastAsia" w:ascii="仿宋_GB2312" w:hAnsi="仿宋" w:eastAsia="仿宋_GB2312"/>
          <w:bCs/>
          <w:kern w:val="0"/>
          <w:sz w:val="48"/>
          <w:szCs w:val="48"/>
        </w:rPr>
        <w:t>南沙湿地景区海景园餐饮配套设备采购项目</w:t>
      </w:r>
    </w:p>
    <w:p>
      <w:pPr>
        <w:pStyle w:val="2"/>
        <w:rPr>
          <w:rFonts w:ascii="宋体" w:hAnsi="宋体"/>
          <w:sz w:val="28"/>
          <w:szCs w:val="28"/>
        </w:rPr>
      </w:pPr>
    </w:p>
    <w:p>
      <w:pPr>
        <w:tabs>
          <w:tab w:val="left" w:pos="420"/>
          <w:tab w:val="left" w:pos="6660"/>
        </w:tabs>
        <w:spacing w:line="1600" w:lineRule="atLeast"/>
        <w:jc w:val="center"/>
        <w:rPr>
          <w:rFonts w:ascii="仿宋_GB2312" w:hAnsi="仿宋" w:eastAsia="仿宋_GB2312"/>
          <w:b/>
          <w:sz w:val="72"/>
          <w:szCs w:val="72"/>
        </w:rPr>
      </w:pPr>
      <w:r>
        <w:rPr>
          <w:rFonts w:hint="eastAsia" w:ascii="仿宋_GB2312" w:hAnsi="仿宋" w:eastAsia="仿宋_GB2312"/>
          <w:b/>
          <w:sz w:val="72"/>
          <w:szCs w:val="72"/>
        </w:rPr>
        <w:t>采购文件</w:t>
      </w: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jc w:val="center"/>
        <w:rPr>
          <w:rFonts w:ascii="仿宋_GB2312" w:hAnsi="仿宋" w:eastAsia="仿宋_GB2312"/>
          <w:bCs/>
          <w:szCs w:val="28"/>
        </w:rPr>
      </w:pPr>
    </w:p>
    <w:p>
      <w:pPr>
        <w:spacing w:line="500" w:lineRule="exact"/>
        <w:ind w:firstLine="562" w:firstLineChars="200"/>
        <w:rPr>
          <w:rFonts w:ascii="仿宋_GB2312" w:hAnsi="仿宋" w:eastAsia="仿宋_GB2312"/>
          <w:b/>
          <w:bCs/>
          <w:szCs w:val="28"/>
        </w:rPr>
      </w:pP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采购编号  \* MERGEFORMAT </w:instrText>
      </w:r>
      <w:r>
        <w:rPr>
          <w:rFonts w:hint="eastAsia" w:ascii="仿宋_GB2312" w:hAnsi="仿宋" w:eastAsia="仿宋_GB2312"/>
          <w:b/>
          <w:bCs/>
          <w:szCs w:val="28"/>
        </w:rPr>
        <w:fldChar w:fldCharType="end"/>
      </w:r>
    </w:p>
    <w:p>
      <w:pPr>
        <w:spacing w:line="500" w:lineRule="exact"/>
        <w:ind w:left="2146" w:leftChars="700" w:hanging="186" w:hangingChars="66"/>
        <w:rPr>
          <w:rFonts w:ascii="仿宋_GB2312" w:hAnsi="仿宋" w:eastAsia="仿宋_GB2312"/>
          <w:b/>
          <w:szCs w:val="28"/>
          <w:u w:val="single"/>
        </w:rPr>
      </w:pPr>
      <w:r>
        <w:rPr>
          <w:rFonts w:hint="eastAsia" w:ascii="仿宋_GB2312" w:hAnsi="仿宋" w:eastAsia="仿宋_GB2312"/>
          <w:b/>
          <w:bCs/>
          <w:szCs w:val="28"/>
        </w:rPr>
        <w:t xml:space="preserve"> </w:t>
      </w:r>
      <w:r>
        <w:rPr>
          <w:rFonts w:hint="eastAsia" w:ascii="仿宋_GB2312" w:hAnsi="仿宋" w:eastAsia="仿宋_GB2312"/>
          <w:b/>
          <w:bCs/>
          <w:szCs w:val="28"/>
        </w:rPr>
        <w:fldChar w:fldCharType="begin"/>
      </w:r>
      <w:r>
        <w:rPr>
          <w:rFonts w:hint="eastAsia" w:ascii="仿宋_GB2312" w:hAnsi="仿宋" w:eastAsia="仿宋_GB2312"/>
          <w:b/>
          <w:bCs/>
          <w:szCs w:val="28"/>
        </w:rPr>
        <w:instrText xml:space="preserve"> DOCVARIABLE  项目名称  \* MERGEFORMAT </w:instrText>
      </w:r>
      <w:r>
        <w:rPr>
          <w:rFonts w:hint="eastAsia" w:ascii="仿宋_GB2312" w:hAnsi="仿宋" w:eastAsia="仿宋_GB2312"/>
          <w:b/>
          <w:bCs/>
          <w:szCs w:val="28"/>
        </w:rPr>
        <w:fldChar w:fldCharType="end"/>
      </w:r>
    </w:p>
    <w:p>
      <w:pPr>
        <w:spacing w:line="500" w:lineRule="exact"/>
        <w:jc w:val="center"/>
        <w:rPr>
          <w:rFonts w:ascii="仿宋_GB2312" w:hAnsi="仿宋" w:eastAsia="仿宋_GB2312"/>
          <w:b/>
          <w:bCs/>
          <w:szCs w:val="28"/>
        </w:rPr>
      </w:pPr>
    </w:p>
    <w:p>
      <w:pPr>
        <w:spacing w:line="360" w:lineRule="auto"/>
        <w:ind w:firstLine="1606" w:firstLineChars="500"/>
        <w:rPr>
          <w:rFonts w:ascii="仿宋_GB2312" w:hAnsi="仿宋" w:eastAsia="仿宋_GB2312"/>
          <w:b/>
          <w:bCs/>
          <w:sz w:val="32"/>
          <w:szCs w:val="32"/>
        </w:rPr>
      </w:pPr>
      <w:r>
        <w:rPr>
          <w:rFonts w:hint="eastAsia" w:ascii="仿宋_GB2312" w:hAnsi="仿宋" w:eastAsia="仿宋_GB2312"/>
          <w:b/>
          <w:bCs/>
          <w:sz w:val="32"/>
          <w:szCs w:val="32"/>
        </w:rPr>
        <w:t>项目编号：</w:t>
      </w:r>
    </w:p>
    <w:p>
      <w:pPr>
        <w:spacing w:line="360" w:lineRule="auto"/>
        <w:jc w:val="center"/>
        <w:rPr>
          <w:rFonts w:ascii="仿宋_GB2312" w:hAnsi="仿宋" w:eastAsia="仿宋_GB2312"/>
          <w:b/>
          <w:bCs/>
          <w:sz w:val="32"/>
          <w:szCs w:val="32"/>
        </w:rPr>
      </w:pPr>
      <w:r>
        <w:rPr>
          <w:rFonts w:hint="eastAsia" w:ascii="仿宋_GB2312" w:hAnsi="仿宋" w:eastAsia="仿宋_GB2312"/>
          <w:b/>
          <w:bCs/>
          <w:sz w:val="32"/>
          <w:szCs w:val="32"/>
        </w:rPr>
        <w:t>采购人：广州南沙湿地旅游发展有限公司</w:t>
      </w:r>
    </w:p>
    <w:p>
      <w:pPr>
        <w:spacing w:line="360" w:lineRule="auto"/>
        <w:jc w:val="center"/>
        <w:rPr>
          <w:rFonts w:ascii="仿宋_GB2312" w:hAnsi="仿宋" w:eastAsia="仿宋_GB2312"/>
          <w:b/>
          <w:bCs/>
          <w:sz w:val="32"/>
          <w:szCs w:val="32"/>
        </w:rPr>
      </w:pPr>
    </w:p>
    <w:p>
      <w:pPr>
        <w:spacing w:line="360" w:lineRule="auto"/>
        <w:jc w:val="center"/>
        <w:rPr>
          <w:rFonts w:ascii="仿宋_GB2312" w:hAnsi="仿宋" w:eastAsia="仿宋_GB2312"/>
          <w:b/>
          <w:bCs/>
          <w:sz w:val="32"/>
          <w:szCs w:val="32"/>
        </w:rPr>
      </w:pPr>
      <w:r>
        <w:rPr>
          <w:rFonts w:hint="eastAsia" w:ascii="仿宋_GB2312" w:hAnsi="仿宋" w:eastAsia="仿宋_GB2312"/>
          <w:b/>
          <w:bCs/>
          <w:sz w:val="32"/>
          <w:szCs w:val="32"/>
        </w:rPr>
        <w:t>日期：2022年5月</w:t>
      </w:r>
    </w:p>
    <w:p>
      <w:pPr>
        <w:jc w:val="center"/>
        <w:rPr>
          <w:rFonts w:eastAsia="华文新魏"/>
          <w:sz w:val="32"/>
          <w:szCs w:val="32"/>
        </w:rPr>
      </w:pPr>
    </w:p>
    <w:p>
      <w:pPr>
        <w:jc w:val="center"/>
        <w:rPr>
          <w:rFonts w:eastAsia="华文新魏"/>
          <w:sz w:val="32"/>
          <w:szCs w:val="32"/>
        </w:rPr>
        <w:sectPr>
          <w:headerReference r:id="rId5" w:type="first"/>
          <w:footerReference r:id="rId7" w:type="first"/>
          <w:headerReference r:id="rId3" w:type="default"/>
          <w:headerReference r:id="rId4" w:type="even"/>
          <w:footerReference r:id="rId6" w:type="even"/>
          <w:pgSz w:w="11906" w:h="16838"/>
          <w:pgMar w:top="568" w:right="1134" w:bottom="142" w:left="1588" w:header="567" w:footer="737" w:gutter="0"/>
          <w:cols w:space="720" w:num="1"/>
          <w:titlePg/>
          <w:docGrid w:type="lines" w:linePitch="312" w:charSpace="0"/>
        </w:sectPr>
      </w:pPr>
    </w:p>
    <w:p>
      <w:pPr>
        <w:jc w:val="center"/>
        <w:rPr>
          <w:rFonts w:ascii="隶书" w:eastAsia="隶书"/>
          <w:sz w:val="48"/>
          <w:szCs w:val="48"/>
        </w:rPr>
      </w:pPr>
      <w:r>
        <w:rPr>
          <w:rFonts w:hint="eastAsia" w:ascii="隶书" w:eastAsia="隶书"/>
          <w:sz w:val="48"/>
          <w:szCs w:val="48"/>
        </w:rPr>
        <w:t>温馨提示</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lang w:val="zh-CN"/>
        </w:rPr>
        <w:t>请投标人特别留意采购文件上注明的投标截止和开标时间，逾期送达或</w:t>
      </w:r>
      <w:r>
        <w:rPr>
          <w:rFonts w:hint="eastAsia" w:ascii="宋体" w:hAnsi="宋体" w:cs="宋体"/>
          <w:b/>
          <w:sz w:val="24"/>
          <w:szCs w:val="24"/>
          <w:lang w:val="zh-CN"/>
        </w:rPr>
        <w:t>邮寄送达的投标文件</w:t>
      </w:r>
      <w:r>
        <w:rPr>
          <w:rFonts w:hint="eastAsia" w:ascii="宋体" w:hAnsi="宋体" w:cs="宋体"/>
          <w:sz w:val="24"/>
          <w:szCs w:val="24"/>
          <w:lang w:val="zh-CN"/>
        </w:rPr>
        <w:t>本单位恕不接收，请投标人适当提前到达会议室。</w:t>
      </w:r>
    </w:p>
    <w:p>
      <w:pPr>
        <w:numPr>
          <w:ilvl w:val="0"/>
          <w:numId w:val="1"/>
        </w:numPr>
        <w:tabs>
          <w:tab w:val="left" w:pos="0"/>
          <w:tab w:val="left" w:pos="1080"/>
        </w:tabs>
        <w:spacing w:line="520" w:lineRule="exact"/>
        <w:ind w:left="0" w:firstLine="435"/>
        <w:rPr>
          <w:rStyle w:val="24"/>
          <w:rFonts w:ascii="宋体" w:hAnsi="宋体" w:cs="宋体"/>
          <w:sz w:val="24"/>
          <w:szCs w:val="24"/>
        </w:rPr>
      </w:pPr>
      <w:r>
        <w:rPr>
          <w:rFonts w:hint="eastAsia" w:ascii="宋体" w:hAnsi="宋体" w:cs="宋体"/>
          <w:sz w:val="24"/>
          <w:szCs w:val="24"/>
          <w:lang w:val="zh-CN"/>
        </w:rPr>
        <w:t>采购文件</w:t>
      </w:r>
      <w:r>
        <w:rPr>
          <w:rFonts w:hint="eastAsia" w:ascii="宋体" w:hAnsi="宋体" w:cs="宋体"/>
          <w:bCs/>
          <w:sz w:val="24"/>
          <w:szCs w:val="24"/>
        </w:rPr>
        <w:t>中标有“★”的地方均被视为重要的指标要求，</w:t>
      </w:r>
      <w:r>
        <w:rPr>
          <w:rFonts w:hint="eastAsia" w:ascii="宋体" w:hAnsi="宋体" w:cs="宋体"/>
          <w:sz w:val="24"/>
          <w:szCs w:val="24"/>
        </w:rPr>
        <w:t>必须一一响应。</w:t>
      </w:r>
      <w:r>
        <w:rPr>
          <w:rFonts w:hint="eastAsia" w:ascii="宋体" w:hAnsi="宋体" w:cs="宋体"/>
          <w:bCs/>
          <w:sz w:val="24"/>
          <w:szCs w:val="24"/>
        </w:rPr>
        <w:t>若有一项带“★”的指标要求未响应或不满足，将按投标无效处理</w:t>
      </w:r>
      <w:r>
        <w:rPr>
          <w:rFonts w:hint="eastAsia" w:ascii="宋体" w:hAnsi="宋体" w:cs="宋体"/>
          <w:sz w:val="24"/>
          <w:szCs w:val="24"/>
        </w:rPr>
        <w:t>。</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rPr>
        <w:t>投标文件应由投标人的授权代表送达开标现场（携带身份证原件核对，授权代表必须与投标文件所授权的人员一致。）</w:t>
      </w:r>
    </w:p>
    <w:p>
      <w:pPr>
        <w:numPr>
          <w:ilvl w:val="0"/>
          <w:numId w:val="1"/>
        </w:numPr>
        <w:tabs>
          <w:tab w:val="left" w:pos="0"/>
          <w:tab w:val="left" w:pos="1080"/>
        </w:tabs>
        <w:spacing w:line="520" w:lineRule="exact"/>
        <w:ind w:left="0" w:firstLine="435"/>
        <w:rPr>
          <w:rFonts w:ascii="宋体" w:hAnsi="宋体" w:cs="宋体"/>
          <w:sz w:val="24"/>
          <w:szCs w:val="24"/>
        </w:rPr>
      </w:pPr>
      <w:r>
        <w:rPr>
          <w:rFonts w:hint="eastAsia" w:ascii="宋体" w:hAnsi="宋体" w:cs="宋体"/>
          <w:sz w:val="24"/>
          <w:szCs w:val="24"/>
        </w:rPr>
        <w:t>为保证投标人的切身利益，避免评委小组在评审过程中遗漏，建议将投标文件按</w:t>
      </w:r>
      <w:r>
        <w:rPr>
          <w:rFonts w:hint="eastAsia" w:ascii="宋体" w:hAnsi="宋体" w:cs="宋体"/>
          <w:sz w:val="24"/>
          <w:szCs w:val="24"/>
          <w:lang w:val="zh-CN"/>
        </w:rPr>
        <w:t>采购文件</w:t>
      </w:r>
      <w:r>
        <w:rPr>
          <w:rFonts w:hint="eastAsia" w:ascii="宋体" w:hAnsi="宋体" w:cs="宋体"/>
          <w:sz w:val="24"/>
          <w:szCs w:val="24"/>
        </w:rPr>
        <w:t>描述的顺序编制页码。</w:t>
      </w:r>
    </w:p>
    <w:p>
      <w:pPr>
        <w:numPr>
          <w:ilvl w:val="0"/>
          <w:numId w:val="1"/>
        </w:numPr>
        <w:tabs>
          <w:tab w:val="left" w:pos="0"/>
          <w:tab w:val="left" w:pos="1080"/>
        </w:tabs>
        <w:spacing w:line="520" w:lineRule="exact"/>
        <w:ind w:left="0" w:firstLine="435"/>
        <w:rPr>
          <w:rFonts w:ascii="宋体" w:hAnsi="宋体" w:cs="宋体"/>
          <w:sz w:val="24"/>
          <w:szCs w:val="24"/>
        </w:rPr>
      </w:pPr>
      <w:r>
        <w:rPr>
          <w:rStyle w:val="24"/>
          <w:rFonts w:hint="eastAsia" w:ascii="宋体" w:hAnsi="宋体" w:cs="宋体"/>
          <w:sz w:val="24"/>
          <w:szCs w:val="24"/>
        </w:rPr>
        <w:t>我单位不对投标人领取</w:t>
      </w:r>
      <w:r>
        <w:rPr>
          <w:rFonts w:hint="eastAsia" w:ascii="宋体" w:hAnsi="宋体" w:cs="宋体"/>
          <w:sz w:val="24"/>
          <w:szCs w:val="24"/>
          <w:lang w:val="zh-CN"/>
        </w:rPr>
        <w:t>采购文件</w:t>
      </w:r>
      <w:r>
        <w:rPr>
          <w:rStyle w:val="24"/>
          <w:rFonts w:hint="eastAsia" w:ascii="宋体" w:hAnsi="宋体" w:cs="宋体"/>
          <w:sz w:val="24"/>
          <w:szCs w:val="24"/>
        </w:rPr>
        <w:t>时提交的相关资料的真伪做出判断，如投标人发现相关资料被盗用或复制，建议遵循法律途径解决，追究侵权者责任。</w:t>
      </w:r>
    </w:p>
    <w:p>
      <w:pPr>
        <w:tabs>
          <w:tab w:val="left" w:pos="1080"/>
        </w:tabs>
        <w:spacing w:line="520" w:lineRule="exact"/>
        <w:rPr>
          <w:rFonts w:ascii="宋体" w:hAnsi="宋体"/>
          <w:sz w:val="24"/>
        </w:rPr>
      </w:pPr>
    </w:p>
    <w:p>
      <w:pPr>
        <w:spacing w:line="360" w:lineRule="auto"/>
        <w:rPr>
          <w:rFonts w:ascii="宋体" w:hAnsi="宋体" w:cs="仿宋_GB2312"/>
          <w:sz w:val="24"/>
          <w:lang w:val="zh-CN"/>
        </w:rPr>
      </w:pPr>
      <w:r>
        <w:rPr>
          <w:rFonts w:hint="eastAsia" w:ascii="宋体" w:hAnsi="宋体" w:cs="仿宋_GB2312"/>
          <w:sz w:val="24"/>
          <w:lang w:val="zh-CN"/>
        </w:rPr>
        <w:t>（本注意事项非</w:t>
      </w:r>
      <w:r>
        <w:rPr>
          <w:rFonts w:hint="eastAsia" w:ascii="宋体" w:hAnsi="宋体" w:cs="宋体"/>
          <w:sz w:val="24"/>
          <w:lang w:val="zh-CN"/>
        </w:rPr>
        <w:t>采购文件</w:t>
      </w:r>
      <w:r>
        <w:rPr>
          <w:rFonts w:hint="eastAsia" w:ascii="宋体" w:hAnsi="宋体" w:cs="仿宋_GB2312"/>
          <w:sz w:val="24"/>
          <w:lang w:val="zh-CN"/>
        </w:rPr>
        <w:t>的组成部分，仅作善意提醒。若有不同，均以</w:t>
      </w:r>
      <w:r>
        <w:rPr>
          <w:rFonts w:hint="eastAsia" w:ascii="宋体" w:hAnsi="宋体" w:cs="宋体"/>
          <w:sz w:val="24"/>
          <w:lang w:val="zh-CN"/>
        </w:rPr>
        <w:t>采购文件</w:t>
      </w:r>
      <w:r>
        <w:rPr>
          <w:rFonts w:hint="eastAsia" w:ascii="宋体" w:hAnsi="宋体" w:cs="仿宋_GB2312"/>
          <w:sz w:val="24"/>
          <w:lang w:val="zh-CN"/>
        </w:rPr>
        <w:t>为准。）</w:t>
      </w:r>
    </w:p>
    <w:p>
      <w:pPr>
        <w:rPr>
          <w:rFonts w:ascii="宋体" w:hAnsi="宋体"/>
          <w:sz w:val="32"/>
          <w:szCs w:val="32"/>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pPr>
    </w:p>
    <w:p>
      <w:pPr>
        <w:spacing w:before="156" w:beforeLines="50" w:after="156" w:afterLines="50" w:line="360" w:lineRule="auto"/>
        <w:jc w:val="center"/>
        <w:rPr>
          <w:rFonts w:ascii="宋体" w:hAnsi="宋体"/>
          <w:b/>
          <w:sz w:val="36"/>
        </w:rPr>
        <w:sectPr>
          <w:footerReference r:id="rId8" w:type="default"/>
          <w:pgSz w:w="11906" w:h="16838"/>
          <w:pgMar w:top="568" w:right="1134" w:bottom="142" w:left="1588" w:header="567" w:footer="737" w:gutter="0"/>
          <w:pgNumType w:start="1"/>
          <w:cols w:space="720" w:num="1"/>
          <w:docGrid w:type="lines" w:linePitch="312" w:charSpace="0"/>
        </w:sectPr>
      </w:pPr>
    </w:p>
    <w:p>
      <w:pPr>
        <w:pStyle w:val="7"/>
      </w:pPr>
    </w:p>
    <w:p>
      <w:pPr>
        <w:spacing w:before="156" w:beforeLines="50" w:after="156" w:afterLines="50" w:line="360" w:lineRule="auto"/>
        <w:jc w:val="center"/>
        <w:rPr>
          <w:rFonts w:ascii="宋体" w:hAnsi="宋体"/>
          <w:b/>
          <w:sz w:val="36"/>
        </w:rPr>
      </w:pPr>
      <w:r>
        <w:rPr>
          <w:rFonts w:hint="eastAsia" w:ascii="宋体" w:hAnsi="宋体"/>
          <w:b/>
          <w:sz w:val="36"/>
        </w:rPr>
        <w:t>目   录</w:t>
      </w:r>
    </w:p>
    <w:p>
      <w:pPr>
        <w:pStyle w:val="13"/>
        <w:tabs>
          <w:tab w:val="right" w:leader="dot" w:pos="9184"/>
        </w:tabs>
        <w:rPr>
          <w:sz w:val="26"/>
          <w:szCs w:val="26"/>
        </w:rPr>
      </w:pPr>
      <w:r>
        <w:rPr>
          <w:rFonts w:ascii="宋体" w:hAnsi="宋体"/>
          <w:b w:val="0"/>
          <w:bCs w:val="0"/>
          <w:caps w:val="0"/>
          <w:smallCaps/>
          <w:sz w:val="28"/>
          <w:szCs w:val="28"/>
        </w:rPr>
        <w:fldChar w:fldCharType="begin"/>
      </w:r>
      <w:r>
        <w:rPr>
          <w:rStyle w:val="22"/>
          <w:b w:val="0"/>
          <w:bCs w:val="0"/>
          <w:caps w:val="0"/>
          <w:smallCaps/>
          <w:color w:val="auto"/>
        </w:rPr>
        <w:instrText xml:space="preserve"> TOC \o "1-1" \h \z \u </w:instrText>
      </w:r>
      <w:r>
        <w:rPr>
          <w:rFonts w:ascii="宋体" w:hAnsi="宋体"/>
          <w:b w:val="0"/>
          <w:bCs w:val="0"/>
          <w:caps w:val="0"/>
          <w:smallCaps/>
          <w:sz w:val="28"/>
          <w:szCs w:val="28"/>
        </w:rPr>
        <w:fldChar w:fldCharType="separate"/>
      </w:r>
      <w:r>
        <w:fldChar w:fldCharType="begin"/>
      </w:r>
      <w:r>
        <w:instrText xml:space="preserve"> HYPERLINK \l "_Toc29159" </w:instrText>
      </w:r>
      <w:r>
        <w:fldChar w:fldCharType="separate"/>
      </w:r>
      <w:r>
        <w:rPr>
          <w:rFonts w:hint="eastAsia"/>
          <w:sz w:val="26"/>
          <w:szCs w:val="26"/>
        </w:rPr>
        <w:t>第一章 投标邀</w:t>
      </w:r>
      <w:bookmarkStart w:id="2" w:name="_Hlt100840413"/>
      <w:bookmarkStart w:id="3" w:name="_Hlt100840412"/>
      <w:r>
        <w:rPr>
          <w:rFonts w:hint="eastAsia"/>
          <w:sz w:val="26"/>
          <w:szCs w:val="26"/>
        </w:rPr>
        <w:t>请</w:t>
      </w:r>
      <w:bookmarkEnd w:id="2"/>
      <w:bookmarkEnd w:id="3"/>
      <w:r>
        <w:rPr>
          <w:sz w:val="26"/>
          <w:szCs w:val="26"/>
        </w:rPr>
        <w:tab/>
      </w:r>
      <w:r>
        <w:rPr>
          <w:rFonts w:hint="eastAsia"/>
          <w:sz w:val="26"/>
          <w:szCs w:val="26"/>
        </w:rPr>
        <w:t>3</w:t>
      </w:r>
      <w:r>
        <w:rPr>
          <w:rFonts w:hint="eastAsia"/>
          <w:sz w:val="26"/>
          <w:szCs w:val="26"/>
        </w:rPr>
        <w:fldChar w:fldCharType="end"/>
      </w:r>
    </w:p>
    <w:p>
      <w:pPr>
        <w:pStyle w:val="13"/>
        <w:tabs>
          <w:tab w:val="right" w:leader="dot" w:pos="9184"/>
        </w:tabs>
        <w:rPr>
          <w:sz w:val="26"/>
          <w:szCs w:val="26"/>
        </w:rPr>
      </w:pPr>
      <w:r>
        <w:fldChar w:fldCharType="begin"/>
      </w:r>
      <w:r>
        <w:instrText xml:space="preserve"> HYPERLINK \l "_Toc16402" </w:instrText>
      </w:r>
      <w:r>
        <w:fldChar w:fldCharType="separate"/>
      </w:r>
      <w:r>
        <w:rPr>
          <w:rFonts w:hint="eastAsia"/>
          <w:sz w:val="26"/>
          <w:szCs w:val="26"/>
        </w:rPr>
        <w:t>第二章 投标人</w:t>
      </w:r>
      <w:bookmarkStart w:id="4" w:name="_Hlt100840420"/>
      <w:r>
        <w:rPr>
          <w:rFonts w:hint="eastAsia"/>
          <w:sz w:val="26"/>
          <w:szCs w:val="26"/>
        </w:rPr>
        <w:t>须</w:t>
      </w:r>
      <w:bookmarkEnd w:id="4"/>
      <w:r>
        <w:rPr>
          <w:rFonts w:hint="eastAsia"/>
          <w:sz w:val="26"/>
          <w:szCs w:val="26"/>
        </w:rPr>
        <w:t>知</w:t>
      </w:r>
      <w:r>
        <w:rPr>
          <w:sz w:val="26"/>
          <w:szCs w:val="26"/>
        </w:rPr>
        <w:tab/>
      </w:r>
      <w:r>
        <w:rPr>
          <w:rFonts w:hint="eastAsia"/>
          <w:sz w:val="26"/>
          <w:szCs w:val="26"/>
          <w:lang w:val="en-US" w:eastAsia="zh-CN"/>
        </w:rPr>
        <w:t>8</w:t>
      </w:r>
      <w:r>
        <w:rPr>
          <w:rFonts w:hint="eastAsia"/>
          <w:sz w:val="26"/>
          <w:szCs w:val="26"/>
        </w:rPr>
        <w:fldChar w:fldCharType="end"/>
      </w:r>
    </w:p>
    <w:p>
      <w:pPr>
        <w:pStyle w:val="13"/>
        <w:tabs>
          <w:tab w:val="right" w:leader="dot" w:pos="9184"/>
        </w:tabs>
        <w:rPr>
          <w:rFonts w:hint="eastAsia" w:eastAsia="宋体"/>
          <w:sz w:val="26"/>
          <w:szCs w:val="26"/>
          <w:lang w:val="en-US" w:eastAsia="zh-CN"/>
        </w:rPr>
      </w:pPr>
      <w:r>
        <w:fldChar w:fldCharType="begin"/>
      </w:r>
      <w:r>
        <w:instrText xml:space="preserve"> HYPERLINK \l "_Toc14957" </w:instrText>
      </w:r>
      <w:r>
        <w:fldChar w:fldCharType="separate"/>
      </w:r>
      <w:r>
        <w:rPr>
          <w:rFonts w:hint="eastAsia"/>
          <w:sz w:val="26"/>
          <w:szCs w:val="26"/>
        </w:rPr>
        <w:t>第三章 用户需求书</w:t>
      </w:r>
      <w:bookmarkStart w:id="5" w:name="_Hlt100840445"/>
      <w:r>
        <w:rPr>
          <w:sz w:val="26"/>
          <w:szCs w:val="26"/>
        </w:rPr>
        <w:tab/>
      </w:r>
      <w:bookmarkEnd w:id="5"/>
      <w:r>
        <w:rPr>
          <w:rFonts w:hint="eastAsia"/>
          <w:sz w:val="26"/>
          <w:szCs w:val="26"/>
        </w:rPr>
        <w:t>1</w:t>
      </w:r>
      <w:r>
        <w:rPr>
          <w:rFonts w:hint="eastAsia"/>
          <w:sz w:val="26"/>
          <w:szCs w:val="26"/>
        </w:rPr>
        <w:fldChar w:fldCharType="end"/>
      </w:r>
      <w:r>
        <w:rPr>
          <w:rFonts w:hint="eastAsia"/>
          <w:sz w:val="26"/>
          <w:szCs w:val="26"/>
          <w:lang w:val="en-US" w:eastAsia="zh-CN"/>
        </w:rPr>
        <w:t>7</w:t>
      </w:r>
    </w:p>
    <w:p>
      <w:pPr>
        <w:pStyle w:val="13"/>
        <w:tabs>
          <w:tab w:val="right" w:leader="dot" w:pos="9184"/>
        </w:tabs>
        <w:rPr>
          <w:rFonts w:hint="default" w:eastAsia="宋体"/>
          <w:sz w:val="26"/>
          <w:szCs w:val="26"/>
          <w:lang w:val="en-US" w:eastAsia="zh-CN"/>
        </w:rPr>
      </w:pPr>
      <w:r>
        <w:fldChar w:fldCharType="begin"/>
      </w:r>
      <w:r>
        <w:instrText xml:space="preserve"> HYPERLINK \l "_Toc21306" </w:instrText>
      </w:r>
      <w:r>
        <w:fldChar w:fldCharType="separate"/>
      </w:r>
      <w:r>
        <w:rPr>
          <w:rFonts w:hint="eastAsia"/>
          <w:sz w:val="26"/>
          <w:szCs w:val="26"/>
        </w:rPr>
        <w:t>第四章 合同文本</w:t>
      </w:r>
      <w:r>
        <w:rPr>
          <w:sz w:val="26"/>
          <w:szCs w:val="26"/>
        </w:rPr>
        <w:tab/>
      </w:r>
      <w:r>
        <w:rPr>
          <w:rFonts w:hint="eastAsia"/>
          <w:sz w:val="26"/>
          <w:szCs w:val="26"/>
        </w:rPr>
        <w:fldChar w:fldCharType="end"/>
      </w:r>
      <w:r>
        <w:rPr>
          <w:rFonts w:hint="eastAsia"/>
          <w:sz w:val="26"/>
          <w:szCs w:val="26"/>
          <w:lang w:val="en-US" w:eastAsia="zh-CN"/>
        </w:rPr>
        <w:t>30</w:t>
      </w:r>
    </w:p>
    <w:p>
      <w:pPr>
        <w:pStyle w:val="13"/>
        <w:tabs>
          <w:tab w:val="right" w:leader="dot" w:pos="9184"/>
        </w:tabs>
        <w:rPr>
          <w:rFonts w:hint="default" w:eastAsia="宋体"/>
          <w:sz w:val="26"/>
          <w:szCs w:val="26"/>
          <w:lang w:val="en-US" w:eastAsia="zh-CN"/>
        </w:rPr>
      </w:pPr>
      <w:r>
        <w:fldChar w:fldCharType="begin"/>
      </w:r>
      <w:r>
        <w:instrText xml:space="preserve"> HYPERLINK \l "_Toc3559" </w:instrText>
      </w:r>
      <w:r>
        <w:fldChar w:fldCharType="separate"/>
      </w:r>
      <w:r>
        <w:rPr>
          <w:rFonts w:hint="eastAsia"/>
          <w:sz w:val="26"/>
          <w:szCs w:val="26"/>
        </w:rPr>
        <w:t>第五章 附    件（格式）</w:t>
      </w:r>
      <w:r>
        <w:rPr>
          <w:sz w:val="26"/>
          <w:szCs w:val="26"/>
        </w:rPr>
        <w:tab/>
      </w:r>
      <w:r>
        <w:rPr>
          <w:rFonts w:hint="eastAsia"/>
          <w:sz w:val="26"/>
          <w:szCs w:val="26"/>
        </w:rPr>
        <w:fldChar w:fldCharType="end"/>
      </w:r>
      <w:r>
        <w:rPr>
          <w:rFonts w:hint="eastAsia"/>
          <w:sz w:val="26"/>
          <w:szCs w:val="26"/>
          <w:lang w:val="en-US" w:eastAsia="zh-CN"/>
        </w:rPr>
        <w:t>35</w:t>
      </w:r>
    </w:p>
    <w:p>
      <w:pPr>
        <w:pStyle w:val="13"/>
        <w:tabs>
          <w:tab w:val="right" w:leader="dot" w:pos="9184"/>
        </w:tabs>
        <w:rPr>
          <w:rFonts w:hint="default" w:eastAsia="宋体"/>
          <w:lang w:val="en-US" w:eastAsia="zh-CN"/>
        </w:rPr>
      </w:pPr>
      <w:r>
        <w:fldChar w:fldCharType="begin"/>
      </w:r>
      <w:r>
        <w:instrText xml:space="preserve"> HYPERLINK \l "_Toc14490" </w:instrText>
      </w:r>
      <w:r>
        <w:fldChar w:fldCharType="separate"/>
      </w:r>
      <w:r>
        <w:rPr>
          <w:rFonts w:hint="eastAsia"/>
          <w:sz w:val="26"/>
          <w:szCs w:val="26"/>
        </w:rPr>
        <w:t>第六章 评标细则</w:t>
      </w:r>
      <w:r>
        <w:rPr>
          <w:sz w:val="26"/>
          <w:szCs w:val="26"/>
        </w:rPr>
        <w:tab/>
      </w:r>
      <w:r>
        <w:rPr>
          <w:rFonts w:hint="eastAsia"/>
          <w:sz w:val="26"/>
          <w:szCs w:val="26"/>
        </w:rPr>
        <w:fldChar w:fldCharType="end"/>
      </w:r>
      <w:r>
        <w:rPr>
          <w:rFonts w:hint="eastAsia"/>
          <w:sz w:val="26"/>
          <w:szCs w:val="26"/>
          <w:lang w:val="en-US" w:eastAsia="zh-CN"/>
        </w:rPr>
        <w:t>51</w:t>
      </w:r>
    </w:p>
    <w:p>
      <w:pPr>
        <w:spacing w:before="312" w:beforeLines="100" w:after="312" w:afterLines="100" w:line="360" w:lineRule="auto"/>
        <w:rPr>
          <w:rStyle w:val="22"/>
          <w:smallCaps/>
          <w:color w:val="auto"/>
        </w:rPr>
        <w:sectPr>
          <w:footerReference r:id="rId9" w:type="default"/>
          <w:pgSz w:w="11906" w:h="16838"/>
          <w:pgMar w:top="568" w:right="1134" w:bottom="142" w:left="1588" w:header="567" w:footer="737" w:gutter="0"/>
          <w:cols w:space="720" w:num="1"/>
          <w:docGrid w:type="lines" w:linePitch="312" w:charSpace="0"/>
        </w:sectPr>
      </w:pPr>
      <w:r>
        <w:rPr>
          <w:rFonts w:ascii="宋体" w:hAnsi="宋体"/>
          <w:bCs/>
          <w:caps/>
          <w:smallCaps/>
          <w:szCs w:val="28"/>
        </w:rPr>
        <w:fldChar w:fldCharType="end"/>
      </w:r>
    </w:p>
    <w:p>
      <w:pPr>
        <w:spacing w:line="360" w:lineRule="auto"/>
        <w:rPr>
          <w:rFonts w:ascii="宋体" w:hAnsi="宋体"/>
        </w:rPr>
      </w:pPr>
    </w:p>
    <w:p>
      <w:pPr>
        <w:pStyle w:val="2"/>
        <w:rPr>
          <w:rFonts w:ascii="宋体" w:hAnsi="宋体"/>
          <w:sz w:val="28"/>
          <w:szCs w:val="28"/>
        </w:rPr>
      </w:pPr>
    </w:p>
    <w:p>
      <w:pPr>
        <w:rPr>
          <w:rFonts w:ascii="宋体" w:hAnsi="宋体"/>
          <w:b/>
          <w:szCs w:val="28"/>
        </w:rPr>
      </w:pPr>
    </w:p>
    <w:p>
      <w:pPr>
        <w:pStyle w:val="2"/>
        <w:rPr>
          <w:rFonts w:ascii="宋体" w:hAnsi="宋体"/>
          <w:sz w:val="28"/>
          <w:szCs w:val="28"/>
        </w:rPr>
      </w:pPr>
    </w:p>
    <w:p>
      <w:pPr>
        <w:rPr>
          <w:rFonts w:ascii="宋体" w:hAnsi="宋体"/>
          <w:b/>
          <w:szCs w:val="28"/>
        </w:rPr>
      </w:pPr>
    </w:p>
    <w:p>
      <w:pPr>
        <w:pStyle w:val="2"/>
        <w:rPr>
          <w:rFonts w:ascii="宋体" w:hAnsi="宋体"/>
          <w:sz w:val="28"/>
          <w:szCs w:val="28"/>
        </w:rPr>
      </w:pPr>
    </w:p>
    <w:p>
      <w:pPr>
        <w:rPr>
          <w:rFonts w:ascii="宋体" w:hAnsi="宋体"/>
          <w:b/>
          <w:szCs w:val="28"/>
        </w:rPr>
      </w:pPr>
    </w:p>
    <w:p>
      <w:pPr>
        <w:pStyle w:val="2"/>
        <w:rPr>
          <w:rFonts w:ascii="宋体" w:hAnsi="宋体"/>
          <w:sz w:val="28"/>
          <w:szCs w:val="28"/>
        </w:rPr>
      </w:pPr>
    </w:p>
    <w:p>
      <w:pPr>
        <w:rPr>
          <w:rFonts w:ascii="宋体" w:hAnsi="宋体"/>
          <w:b/>
          <w:szCs w:val="28"/>
        </w:rPr>
      </w:pPr>
    </w:p>
    <w:p>
      <w:pPr>
        <w:pStyle w:val="2"/>
        <w:rPr>
          <w:rFonts w:ascii="宋体" w:hAnsi="宋体"/>
          <w:sz w:val="28"/>
          <w:szCs w:val="28"/>
        </w:rPr>
      </w:pPr>
    </w:p>
    <w:p>
      <w:pPr>
        <w:pStyle w:val="3"/>
        <w:ind w:right="-588"/>
        <w:rPr>
          <w:sz w:val="44"/>
        </w:rPr>
      </w:pPr>
      <w:bookmarkStart w:id="6" w:name="_Toc20983"/>
      <w:bookmarkStart w:id="7" w:name="_Toc14941"/>
      <w:bookmarkStart w:id="8" w:name="_Toc5683"/>
      <w:bookmarkStart w:id="9" w:name="_Toc458795995"/>
      <w:bookmarkStart w:id="10" w:name="_Toc23410"/>
      <w:bookmarkStart w:id="11" w:name="_Toc4222"/>
      <w:bookmarkStart w:id="12" w:name="_Toc17140"/>
      <w:bookmarkStart w:id="13" w:name="_Toc29130"/>
      <w:bookmarkStart w:id="14" w:name="_Toc29159"/>
      <w:bookmarkStart w:id="15" w:name="_Toc3611"/>
      <w:bookmarkStart w:id="16" w:name="_Toc18494"/>
      <w:r>
        <w:rPr>
          <w:rFonts w:hint="eastAsia"/>
          <w:sz w:val="44"/>
        </w:rPr>
        <w:t>第一章</w:t>
      </w:r>
      <w:bookmarkStart w:id="17" w:name="_Toc10525513"/>
      <w:r>
        <w:rPr>
          <w:rFonts w:hint="eastAsia"/>
          <w:sz w:val="44"/>
        </w:rPr>
        <w:t xml:space="preserve"> 投标邀请</w:t>
      </w:r>
      <w:bookmarkEnd w:id="0"/>
      <w:bookmarkEnd w:id="1"/>
      <w:bookmarkEnd w:id="6"/>
      <w:bookmarkEnd w:id="7"/>
      <w:bookmarkEnd w:id="8"/>
      <w:bookmarkEnd w:id="9"/>
      <w:bookmarkEnd w:id="10"/>
      <w:bookmarkEnd w:id="11"/>
      <w:bookmarkEnd w:id="12"/>
      <w:bookmarkEnd w:id="13"/>
      <w:bookmarkEnd w:id="14"/>
      <w:bookmarkEnd w:id="15"/>
      <w:bookmarkEnd w:id="16"/>
      <w:bookmarkEnd w:id="17"/>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ascii="宋体" w:hAnsi="宋体"/>
          <w:b/>
          <w:sz w:val="32"/>
        </w:rPr>
      </w:pPr>
      <w:r>
        <w:rPr>
          <w:rFonts w:hint="eastAsia" w:ascii="宋体" w:hAnsi="宋体"/>
          <w:b/>
          <w:sz w:val="32"/>
        </w:rPr>
        <w:br w:type="page"/>
      </w:r>
      <w:r>
        <w:rPr>
          <w:rFonts w:hint="eastAsia" w:ascii="宋体" w:hAnsi="宋体"/>
          <w:b/>
          <w:sz w:val="32"/>
        </w:rPr>
        <w:t>投标邀请函</w:t>
      </w:r>
    </w:p>
    <w:p>
      <w:pPr>
        <w:spacing w:line="360" w:lineRule="exact"/>
        <w:ind w:firstLine="600" w:firstLineChars="250"/>
        <w:rPr>
          <w:rFonts w:ascii="宋体" w:hAnsi="宋体"/>
          <w:sz w:val="24"/>
          <w:szCs w:val="24"/>
        </w:rPr>
      </w:pPr>
      <w:r>
        <w:rPr>
          <w:rFonts w:hint="eastAsia" w:ascii="宋体" w:hAnsi="宋体"/>
          <w:sz w:val="24"/>
          <w:szCs w:val="24"/>
        </w:rPr>
        <w:t>广州南沙湿地旅游发展有限公司对南沙湿地景区海景园餐饮配套设备采购进行邀请招标采购，欢迎符合资格条件的供应商投标。</w:t>
      </w:r>
    </w:p>
    <w:p>
      <w:pPr>
        <w:spacing w:line="360" w:lineRule="exact"/>
        <w:ind w:firstLine="600" w:firstLineChars="250"/>
        <w:rPr>
          <w:rFonts w:ascii="宋体" w:hAnsi="宋体"/>
          <w:sz w:val="24"/>
          <w:szCs w:val="24"/>
        </w:rPr>
      </w:pPr>
      <w:r>
        <w:rPr>
          <w:rFonts w:hint="eastAsia" w:ascii="宋体" w:hAnsi="宋体"/>
          <w:sz w:val="24"/>
          <w:szCs w:val="24"/>
        </w:rPr>
        <w:t>一、采购项目名称：广州南沙湿地旅游发展有限公司南沙湿地景区海景园餐饮配套设备采购项目</w:t>
      </w:r>
    </w:p>
    <w:p>
      <w:pPr>
        <w:spacing w:line="360" w:lineRule="exact"/>
        <w:ind w:firstLine="600" w:firstLineChars="250"/>
        <w:rPr>
          <w:rFonts w:ascii="宋体" w:hAnsi="宋体"/>
          <w:sz w:val="24"/>
          <w:szCs w:val="24"/>
        </w:rPr>
      </w:pPr>
      <w:r>
        <w:rPr>
          <w:rFonts w:hint="eastAsia" w:ascii="宋体" w:hAnsi="宋体"/>
          <w:sz w:val="24"/>
          <w:szCs w:val="24"/>
        </w:rPr>
        <w:t xml:space="preserve">二、采购项目最高限价：480000.00元 （大写:人民币肆拾捌万元整）        </w:t>
      </w:r>
    </w:p>
    <w:p>
      <w:pPr>
        <w:spacing w:line="360" w:lineRule="exact"/>
        <w:ind w:firstLine="600" w:firstLineChars="250"/>
        <w:rPr>
          <w:rFonts w:ascii="宋体" w:hAnsi="宋体"/>
          <w:sz w:val="24"/>
          <w:szCs w:val="24"/>
        </w:rPr>
      </w:pPr>
      <w:r>
        <w:rPr>
          <w:rFonts w:hint="eastAsia" w:ascii="宋体" w:hAnsi="宋体"/>
          <w:sz w:val="24"/>
          <w:szCs w:val="24"/>
        </w:rPr>
        <w:t xml:space="preserve">三、采购方式：邀请招标               </w:t>
      </w:r>
    </w:p>
    <w:p>
      <w:pPr>
        <w:spacing w:line="360" w:lineRule="exact"/>
        <w:ind w:firstLine="600" w:firstLineChars="250"/>
        <w:rPr>
          <w:rFonts w:ascii="宋体" w:hAnsi="宋体"/>
          <w:sz w:val="24"/>
          <w:szCs w:val="24"/>
        </w:rPr>
      </w:pPr>
      <w:r>
        <w:rPr>
          <w:rFonts w:hint="eastAsia" w:ascii="宋体" w:hAnsi="宋体"/>
          <w:sz w:val="24"/>
          <w:szCs w:val="24"/>
        </w:rPr>
        <w:t>四、项目内容及需求：（采购项目技术规格、参数及要求）具体内容及需求详见《用户需求书》。</w:t>
      </w:r>
    </w:p>
    <w:p>
      <w:pPr>
        <w:spacing w:line="360" w:lineRule="exact"/>
        <w:ind w:firstLine="600" w:firstLineChars="250"/>
        <w:rPr>
          <w:rFonts w:ascii="宋体" w:hAnsi="宋体"/>
          <w:sz w:val="24"/>
          <w:szCs w:val="24"/>
        </w:rPr>
      </w:pPr>
      <w:r>
        <w:rPr>
          <w:rFonts w:hint="eastAsia" w:ascii="宋体" w:hAnsi="宋体"/>
          <w:sz w:val="24"/>
          <w:szCs w:val="24"/>
        </w:rPr>
        <w:t>五、供应商资格：</w:t>
      </w:r>
    </w:p>
    <w:p>
      <w:pPr>
        <w:numPr>
          <w:ilvl w:val="0"/>
          <w:numId w:val="2"/>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hAnsi="宋体"/>
          <w:sz w:val="24"/>
          <w:szCs w:val="24"/>
        </w:rPr>
        <w:t>参加本项目投标的供应商除应具备《政府采购法》第二十二条供应商资格条件外，还必须符合下列要求：</w:t>
      </w:r>
    </w:p>
    <w:p>
      <w:pPr>
        <w:numPr>
          <w:ilvl w:val="0"/>
          <w:numId w:val="2"/>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hAnsi="宋体"/>
          <w:sz w:val="24"/>
          <w:szCs w:val="24"/>
        </w:rPr>
        <w:t>具有独立承担民事责任能力的在中华人民共和国境内注册的法人或其他组织，并取得合法企业工商营业执照且具有相关经营范围；</w:t>
      </w:r>
    </w:p>
    <w:p>
      <w:pPr>
        <w:numPr>
          <w:ilvl w:val="0"/>
          <w:numId w:val="2"/>
        </w:numPr>
        <w:tabs>
          <w:tab w:val="left" w:pos="425"/>
        </w:tabs>
        <w:autoSpaceDE w:val="0"/>
        <w:autoSpaceDN w:val="0"/>
        <w:adjustRightInd w:val="0"/>
        <w:snapToGrid w:val="0"/>
        <w:spacing w:line="360" w:lineRule="auto"/>
        <w:ind w:firstLine="559" w:firstLineChars="233"/>
        <w:jc w:val="left"/>
        <w:rPr>
          <w:rFonts w:ascii="宋体" w:hAnsi="宋体"/>
          <w:sz w:val="24"/>
          <w:szCs w:val="24"/>
        </w:rPr>
      </w:pPr>
      <w:r>
        <w:rPr>
          <w:rFonts w:hint="eastAsia" w:ascii="宋体"/>
          <w:bCs/>
          <w:sz w:val="24"/>
          <w:szCs w:val="24"/>
        </w:rPr>
        <w:t>投标人应是所投货物的制造商，具备</w:t>
      </w:r>
      <w:r>
        <w:rPr>
          <w:rFonts w:hint="eastAsia" w:ascii="宋体" w:hAnsi="宋体"/>
          <w:sz w:val="24"/>
          <w:szCs w:val="24"/>
        </w:rPr>
        <w:t>本次采购标的设备的生产资格、生产能力、销售、安装能力的，并具有较强的经济实力、良好信誉和售后服务能力的厂家，均可参加投标。</w:t>
      </w:r>
    </w:p>
    <w:p>
      <w:pPr>
        <w:pStyle w:val="2"/>
        <w:ind w:firstLine="480" w:firstLineChars="200"/>
        <w:rPr>
          <w:rFonts w:ascii="宋体" w:eastAsia="宋体"/>
          <w:b w:val="0"/>
          <w:bCs/>
          <w:kern w:val="0"/>
          <w:sz w:val="24"/>
          <w:szCs w:val="24"/>
        </w:rPr>
      </w:pPr>
      <w:r>
        <w:rPr>
          <w:rFonts w:hint="eastAsia" w:ascii="宋体" w:eastAsia="宋体"/>
          <w:b w:val="0"/>
          <w:bCs/>
          <w:kern w:val="0"/>
          <w:sz w:val="24"/>
          <w:szCs w:val="24"/>
        </w:rPr>
        <w:t>4、投标人具有燃气燃烧器具安装维修资质证书</w:t>
      </w:r>
    </w:p>
    <w:p>
      <w:pPr>
        <w:tabs>
          <w:tab w:val="left" w:pos="280"/>
          <w:tab w:val="left" w:pos="425"/>
        </w:tabs>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5、本项目不拆分，不接受联合体投标。</w:t>
      </w:r>
    </w:p>
    <w:p>
      <w:pPr>
        <w:tabs>
          <w:tab w:val="left" w:pos="280"/>
          <w:tab w:val="left" w:pos="425"/>
        </w:tabs>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6、投标人在参加本次采购活动前三年内，在经营活动中（公司或法人）无重大违法记录；</w:t>
      </w:r>
    </w:p>
    <w:p>
      <w:pPr>
        <w:tabs>
          <w:tab w:val="left" w:pos="280"/>
          <w:tab w:val="left" w:pos="425"/>
        </w:tabs>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7、单位负责人为同一人或者存在直接控股、管理关系的不同供应商，不得同时参加本项采购投标。</w:t>
      </w:r>
    </w:p>
    <w:p>
      <w:pPr>
        <w:tabs>
          <w:tab w:val="left" w:pos="280"/>
          <w:tab w:val="left" w:pos="425"/>
        </w:tabs>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8、投标人按照招标公告的附件1内容签署盖章的投标申请人声明原件；</w:t>
      </w:r>
    </w:p>
    <w:p>
      <w:pPr>
        <w:tabs>
          <w:tab w:val="left" w:pos="280"/>
          <w:tab w:val="left" w:pos="425"/>
        </w:tabs>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9、提供</w:t>
      </w:r>
      <w:r>
        <w:rPr>
          <w:rFonts w:hint="eastAsia" w:ascii="宋体" w:hAnsi="宋体"/>
          <w:b/>
          <w:sz w:val="24"/>
          <w:szCs w:val="24"/>
        </w:rPr>
        <w:t>相同品牌产品的不同投标人参加投标的，按一家投标供应商计算</w:t>
      </w:r>
      <w:r>
        <w:rPr>
          <w:rFonts w:hint="eastAsia" w:ascii="宋体" w:hAnsi="宋体"/>
          <w:sz w:val="24"/>
          <w:szCs w:val="24"/>
        </w:rPr>
        <w:t>。</w:t>
      </w:r>
    </w:p>
    <w:p>
      <w:pPr>
        <w:autoSpaceDE w:val="0"/>
        <w:autoSpaceDN w:val="0"/>
        <w:adjustRightInd w:val="0"/>
        <w:spacing w:line="360" w:lineRule="auto"/>
        <w:ind w:firstLine="480" w:firstLineChars="200"/>
        <w:jc w:val="left"/>
        <w:rPr>
          <w:rFonts w:ascii="宋体"/>
          <w:bCs/>
          <w:sz w:val="24"/>
          <w:szCs w:val="24"/>
        </w:rPr>
      </w:pPr>
      <w:r>
        <w:rPr>
          <w:rFonts w:hint="eastAsia" w:ascii="宋体" w:hAnsi="宋体"/>
          <w:sz w:val="24"/>
          <w:szCs w:val="24"/>
        </w:rPr>
        <w:t>根据评审时"信用中国"网站（www.creditchina.gov.cn）、中国政府采购网（www.ccgp.gov.cn）查询的主体信用记录信息，对列入失信被执</w:t>
      </w:r>
      <w:r>
        <w:rPr>
          <w:rFonts w:hint="eastAsia" w:ascii="宋体" w:hAnsi="宋体" w:cs="宋体"/>
          <w:sz w:val="24"/>
          <w:szCs w:val="24"/>
          <w:shd w:val="clear" w:color="auto" w:fill="FFFFFF"/>
        </w:rPr>
        <w:t>行人、税收、政府采购、环境保护、知识产权等领域严重失信行为的主体，依法拒绝其参与本项目采购活动。如查询结果未显示存在失信记录，视为评审时未发现不良信用记录。</w:t>
      </w:r>
    </w:p>
    <w:p>
      <w:pPr>
        <w:snapToGrid w:val="0"/>
        <w:spacing w:line="360" w:lineRule="auto"/>
        <w:ind w:firstLine="482" w:firstLineChars="200"/>
        <w:rPr>
          <w:rFonts w:ascii="宋体"/>
          <w:b/>
          <w:bCs/>
          <w:sz w:val="24"/>
          <w:szCs w:val="24"/>
        </w:rPr>
      </w:pPr>
      <w:r>
        <w:rPr>
          <w:rFonts w:hint="eastAsia" w:ascii="宋体"/>
          <w:b/>
          <w:bCs/>
          <w:sz w:val="24"/>
          <w:szCs w:val="24"/>
        </w:rPr>
        <w:t>六、获取采购文件方式</w:t>
      </w:r>
    </w:p>
    <w:p>
      <w:pPr>
        <w:tabs>
          <w:tab w:val="left" w:pos="425"/>
        </w:tabs>
        <w:autoSpaceDE w:val="0"/>
        <w:autoSpaceDN w:val="0"/>
        <w:adjustRightInd w:val="0"/>
        <w:snapToGrid w:val="0"/>
        <w:spacing w:line="360" w:lineRule="auto"/>
        <w:ind w:firstLine="560" w:firstLineChars="200"/>
        <w:outlineLvl w:val="0"/>
        <w:rPr>
          <w:rFonts w:ascii="宋体" w:hAnsi="宋体" w:cs="宋体"/>
          <w:sz w:val="24"/>
          <w:szCs w:val="24"/>
        </w:rPr>
      </w:pPr>
      <w:r>
        <w:rPr>
          <w:rFonts w:hint="eastAsia" w:ascii="宋体" w:hAnsi="宋体" w:cs="宋体"/>
        </w:rPr>
        <w:t>本项目相关公告在广州南沙资产经营集团有限公司网站（http://www.gnao.com.cn)公布。</w:t>
      </w:r>
      <w:r>
        <w:rPr>
          <w:rFonts w:hint="eastAsia" w:ascii="宋体" w:hAnsi="宋体" w:cs="宋体"/>
          <w:sz w:val="24"/>
          <w:szCs w:val="24"/>
        </w:rPr>
        <w:t>相关公告在广州南沙资产经营集团有限公司网站公布之日即视为有效送达，不再另行通知。本采购项目不举行集中答疑会，如有任何疑问请以书面、传真或电邮形式至采购单位释疑。投标人自行前往现场踏勘。</w:t>
      </w:r>
    </w:p>
    <w:p>
      <w:pPr>
        <w:tabs>
          <w:tab w:val="left" w:pos="425"/>
        </w:tabs>
        <w:autoSpaceDE w:val="0"/>
        <w:autoSpaceDN w:val="0"/>
        <w:adjustRightInd w:val="0"/>
        <w:snapToGrid w:val="0"/>
        <w:spacing w:line="360" w:lineRule="auto"/>
        <w:ind w:firstLine="482" w:firstLineChars="200"/>
        <w:outlineLvl w:val="0"/>
        <w:rPr>
          <w:rFonts w:ascii="宋体" w:hAnsi="宋体"/>
          <w:b/>
          <w:bCs/>
          <w:sz w:val="24"/>
          <w:szCs w:val="24"/>
        </w:rPr>
      </w:pPr>
      <w:r>
        <w:rPr>
          <w:rFonts w:hint="eastAsia" w:ascii="宋体" w:hAnsi="宋体"/>
          <w:b/>
          <w:bCs/>
          <w:sz w:val="24"/>
          <w:szCs w:val="24"/>
        </w:rPr>
        <w:t>八、</w:t>
      </w:r>
      <w:bookmarkStart w:id="18" w:name="_Toc428538285"/>
      <w:bookmarkStart w:id="19" w:name="_Toc416803454"/>
      <w:r>
        <w:rPr>
          <w:rFonts w:hint="eastAsia" w:ascii="宋体" w:hAnsi="宋体"/>
          <w:b/>
          <w:bCs/>
          <w:sz w:val="24"/>
          <w:szCs w:val="24"/>
        </w:rPr>
        <w:t>投标保证金</w:t>
      </w:r>
      <w:bookmarkEnd w:id="18"/>
      <w:bookmarkEnd w:id="19"/>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1、</w:t>
      </w:r>
      <w:r>
        <w:rPr>
          <w:rFonts w:hint="eastAsia" w:ascii="宋体" w:hAnsi="宋体" w:cs="宋体"/>
          <w:sz w:val="24"/>
          <w:szCs w:val="24"/>
          <w:lang w:eastAsia="zh-TW"/>
        </w:rPr>
        <w:t>投标人应</w:t>
      </w:r>
      <w:r>
        <w:rPr>
          <w:rFonts w:hint="eastAsia" w:ascii="宋体" w:hAnsi="宋体" w:cs="宋体"/>
          <w:sz w:val="24"/>
          <w:szCs w:val="24"/>
        </w:rPr>
        <w:t>按报名文件</w:t>
      </w:r>
      <w:r>
        <w:rPr>
          <w:rFonts w:hint="eastAsia" w:ascii="宋体" w:hAnsi="宋体" w:cs="宋体"/>
          <w:sz w:val="24"/>
          <w:szCs w:val="24"/>
          <w:lang w:eastAsia="zh-TW"/>
        </w:rPr>
        <w:t>规定</w:t>
      </w:r>
      <w:r>
        <w:rPr>
          <w:rFonts w:hint="eastAsia" w:ascii="宋体" w:hAnsi="宋体" w:cs="宋体"/>
          <w:sz w:val="24"/>
          <w:szCs w:val="24"/>
        </w:rPr>
        <w:t>的金</w:t>
      </w:r>
      <w:r>
        <w:rPr>
          <w:rFonts w:hint="eastAsia" w:ascii="宋体" w:hAnsi="宋体" w:cs="宋体"/>
          <w:sz w:val="24"/>
          <w:szCs w:val="24"/>
          <w:lang w:eastAsia="zh-TW"/>
        </w:rPr>
        <w:t>额</w:t>
      </w:r>
      <w:r>
        <w:rPr>
          <w:rFonts w:hint="eastAsia" w:ascii="宋体" w:hAnsi="宋体" w:cs="宋体"/>
          <w:sz w:val="24"/>
          <w:szCs w:val="24"/>
        </w:rPr>
        <w:t>和期限缴纳</w:t>
      </w:r>
      <w:r>
        <w:rPr>
          <w:rFonts w:hint="eastAsia" w:ascii="宋体" w:hAnsi="宋体" w:cs="宋体"/>
          <w:sz w:val="24"/>
          <w:szCs w:val="24"/>
          <w:lang w:eastAsia="zh-TW"/>
        </w:rPr>
        <w:t>投标保证金</w:t>
      </w:r>
      <w:r>
        <w:rPr>
          <w:rFonts w:hint="eastAsia" w:ascii="宋体" w:hAnsi="宋体" w:cs="宋体"/>
          <w:sz w:val="24"/>
          <w:szCs w:val="24"/>
        </w:rPr>
        <w:t>，投标保证金作为</w:t>
      </w:r>
      <w:r>
        <w:rPr>
          <w:rFonts w:hint="eastAsia" w:ascii="宋体" w:hAnsi="宋体" w:cs="宋体"/>
          <w:sz w:val="24"/>
          <w:szCs w:val="24"/>
          <w:lang w:eastAsia="zh-TW"/>
        </w:rPr>
        <w:t>投标</w:t>
      </w:r>
      <w:r>
        <w:rPr>
          <w:rFonts w:hint="eastAsia" w:ascii="宋体" w:hAnsi="宋体" w:cs="宋体"/>
          <w:sz w:val="24"/>
          <w:szCs w:val="24"/>
        </w:rPr>
        <w:t>文件的组成</w:t>
      </w:r>
      <w:r>
        <w:rPr>
          <w:rFonts w:hint="eastAsia" w:ascii="宋体" w:hAnsi="宋体" w:cs="宋体"/>
          <w:sz w:val="24"/>
          <w:szCs w:val="24"/>
          <w:lang w:eastAsia="zh-TW"/>
        </w:rPr>
        <w:t>分。</w:t>
      </w:r>
    </w:p>
    <w:p>
      <w:pPr>
        <w:tabs>
          <w:tab w:val="left" w:pos="425"/>
        </w:tabs>
        <w:adjustRightInd w:val="0"/>
        <w:snapToGrid w:val="0"/>
        <w:spacing w:line="360" w:lineRule="auto"/>
        <w:ind w:firstLine="480" w:firstLineChars="200"/>
        <w:rPr>
          <w:sz w:val="24"/>
          <w:szCs w:val="24"/>
        </w:rPr>
      </w:pPr>
      <w:r>
        <w:rPr>
          <w:rFonts w:hint="eastAsia"/>
          <w:sz w:val="24"/>
          <w:szCs w:val="24"/>
        </w:rPr>
        <w:t>2、项目</w:t>
      </w:r>
      <w:r>
        <w:rPr>
          <w:sz w:val="24"/>
          <w:szCs w:val="24"/>
        </w:rPr>
        <w:t>投标保证金</w:t>
      </w:r>
      <w:r>
        <w:rPr>
          <w:rFonts w:hint="eastAsia"/>
          <w:sz w:val="24"/>
          <w:szCs w:val="24"/>
        </w:rPr>
        <w:t>金额为：</w:t>
      </w:r>
      <w:r>
        <w:rPr>
          <w:rFonts w:hint="eastAsia" w:ascii="宋体" w:hAnsi="宋体"/>
          <w:b/>
          <w:sz w:val="24"/>
          <w:szCs w:val="24"/>
          <w:u w:val="single"/>
        </w:rPr>
        <w:t>人民币壹万伍仟元整（￥15000.00</w:t>
      </w:r>
      <w:r>
        <w:rPr>
          <w:rFonts w:ascii="宋体" w:hAnsi="宋体"/>
          <w:b/>
          <w:sz w:val="24"/>
          <w:szCs w:val="24"/>
          <w:u w:val="single"/>
        </w:rPr>
        <w:t>）</w:t>
      </w:r>
      <w:r>
        <w:rPr>
          <w:rFonts w:hint="eastAsia" w:ascii="宋体" w:hAnsi="宋体"/>
          <w:b/>
          <w:sz w:val="24"/>
          <w:szCs w:val="24"/>
          <w:u w:val="single"/>
        </w:rPr>
        <w:t>。</w:t>
      </w:r>
      <w:r>
        <w:rPr>
          <w:rFonts w:hint="eastAsia"/>
          <w:sz w:val="24"/>
          <w:szCs w:val="24"/>
        </w:rPr>
        <w:t>投标保证金以转账或电汇形式提交，不接受现金或汇票。</w:t>
      </w:r>
    </w:p>
    <w:p>
      <w:pPr>
        <w:spacing w:line="360" w:lineRule="auto"/>
        <w:ind w:firstLine="480" w:firstLineChars="200"/>
        <w:rPr>
          <w:sz w:val="24"/>
          <w:szCs w:val="24"/>
        </w:rPr>
      </w:pPr>
      <w:r>
        <w:rPr>
          <w:rFonts w:hint="eastAsia" w:ascii="宋体" w:hAnsi="宋体"/>
          <w:sz w:val="24"/>
          <w:szCs w:val="24"/>
        </w:rPr>
        <w:t>3、投标保证金为人民币</w:t>
      </w:r>
      <w:r>
        <w:rPr>
          <w:rFonts w:hint="eastAsia"/>
          <w:sz w:val="24"/>
          <w:szCs w:val="24"/>
        </w:rPr>
        <w:t>，投标保证金应在投标截止时间之前一天</w:t>
      </w:r>
      <w:r>
        <w:rPr>
          <w:rFonts w:hint="eastAsia"/>
          <w:sz w:val="24"/>
          <w:szCs w:val="24"/>
          <w:u w:val="single"/>
        </w:rPr>
        <w:t>15：00分</w:t>
      </w:r>
      <w:r>
        <w:rPr>
          <w:rFonts w:hint="eastAsia"/>
          <w:sz w:val="24"/>
          <w:szCs w:val="24"/>
        </w:rPr>
        <w:t>到达采购人帐户上。转入如下账户：</w:t>
      </w:r>
    </w:p>
    <w:p>
      <w:pPr>
        <w:spacing w:line="360" w:lineRule="auto"/>
        <w:ind w:firstLine="562" w:firstLineChars="200"/>
        <w:rPr>
          <w:rFonts w:ascii="宋体" w:hAnsi="宋体"/>
          <w:b/>
          <w:szCs w:val="21"/>
        </w:rPr>
      </w:pPr>
      <w:r>
        <w:rPr>
          <w:rFonts w:hint="eastAsia" w:ascii="宋体" w:hAnsi="宋体"/>
          <w:b/>
          <w:szCs w:val="21"/>
        </w:rPr>
        <w:t>收款人：广州南沙湿地旅游发展有限公司</w:t>
      </w:r>
    </w:p>
    <w:p>
      <w:pPr>
        <w:spacing w:line="360" w:lineRule="auto"/>
        <w:ind w:firstLine="562" w:firstLineChars="200"/>
        <w:rPr>
          <w:rFonts w:ascii="宋体" w:hAnsi="宋体"/>
          <w:b/>
        </w:rPr>
      </w:pPr>
      <w:r>
        <w:rPr>
          <w:rFonts w:hint="eastAsia" w:ascii="宋体" w:hAnsi="宋体"/>
          <w:b/>
        </w:rPr>
        <w:t>帐  号：05621949000000074</w:t>
      </w:r>
    </w:p>
    <w:p>
      <w:pPr>
        <w:spacing w:line="360" w:lineRule="auto"/>
        <w:ind w:firstLine="562" w:firstLineChars="200"/>
        <w:rPr>
          <w:rFonts w:ascii="宋体" w:hAnsi="宋体"/>
          <w:b/>
        </w:rPr>
      </w:pPr>
      <w:r>
        <w:rPr>
          <w:rFonts w:hint="eastAsia" w:ascii="宋体" w:hAnsi="宋体"/>
          <w:b/>
        </w:rPr>
        <w:t>开户银行：广州农村商业银行十四冲支行</w:t>
      </w:r>
    </w:p>
    <w:p>
      <w:pPr>
        <w:spacing w:line="360" w:lineRule="exact"/>
        <w:ind w:firstLine="602" w:firstLineChars="250"/>
        <w:rPr>
          <w:rFonts w:ascii="宋体" w:hAnsi="宋体"/>
          <w:b/>
          <w:sz w:val="24"/>
          <w:szCs w:val="24"/>
          <w:u w:val="single"/>
        </w:rPr>
      </w:pPr>
      <w:r>
        <w:rPr>
          <w:rFonts w:hint="eastAsia" w:ascii="宋体" w:hAnsi="宋体"/>
          <w:b/>
          <w:sz w:val="24"/>
          <w:szCs w:val="24"/>
          <w:u w:val="single"/>
        </w:rPr>
        <w:t>（递交投标保证金请注明：广州南沙湿地旅游发展有限公司南沙湿地景区海景园餐饮配套设备采购项目）</w:t>
      </w:r>
    </w:p>
    <w:p>
      <w:pPr>
        <w:pStyle w:val="23"/>
        <w:ind w:firstLine="480"/>
        <w:rPr>
          <w:color w:val="auto"/>
          <w:sz w:val="24"/>
          <w:szCs w:val="24"/>
        </w:rPr>
      </w:pPr>
    </w:p>
    <w:p>
      <w:pPr>
        <w:pStyle w:val="23"/>
        <w:ind w:firstLine="480"/>
        <w:rPr>
          <w:color w:val="auto"/>
          <w:sz w:val="24"/>
          <w:szCs w:val="24"/>
        </w:rPr>
      </w:pPr>
    </w:p>
    <w:p>
      <w:pPr>
        <w:spacing w:line="360" w:lineRule="auto"/>
        <w:ind w:firstLine="482" w:firstLineChars="200"/>
        <w:rPr>
          <w:rFonts w:ascii="宋体" w:hAnsi="宋体"/>
          <w:b/>
          <w:szCs w:val="21"/>
          <w:u w:val="single"/>
        </w:rPr>
      </w:pPr>
      <w:r>
        <w:rPr>
          <w:rFonts w:hint="eastAsia" w:ascii="宋体" w:hAnsi="宋体"/>
          <w:b/>
          <w:sz w:val="24"/>
          <w:szCs w:val="24"/>
          <w:u w:val="single"/>
        </w:rPr>
        <w:t>投标人应按以上所述方式及时间提交投标保证金，采购人不承担投标人的投标保证金未能及时到账的风险。</w:t>
      </w:r>
    </w:p>
    <w:p>
      <w:pPr>
        <w:numPr>
          <w:ilvl w:val="0"/>
          <w:numId w:val="3"/>
        </w:numPr>
        <w:tabs>
          <w:tab w:val="left" w:pos="425"/>
          <w:tab w:val="left" w:pos="567"/>
        </w:tabs>
        <w:autoSpaceDE w:val="0"/>
        <w:autoSpaceDN w:val="0"/>
        <w:adjustRightInd w:val="0"/>
        <w:snapToGrid w:val="0"/>
        <w:spacing w:line="360" w:lineRule="auto"/>
        <w:ind w:firstLine="480" w:firstLineChars="200"/>
        <w:rPr>
          <w:sz w:val="24"/>
          <w:szCs w:val="24"/>
        </w:rPr>
      </w:pPr>
      <w:r>
        <w:rPr>
          <w:rFonts w:hint="eastAsia"/>
          <w:sz w:val="24"/>
          <w:szCs w:val="24"/>
        </w:rPr>
        <w:t>投标人与交款人名称必须一致，非投标人缴纳的投标保证金无效。</w:t>
      </w:r>
    </w:p>
    <w:p>
      <w:pPr>
        <w:numPr>
          <w:ilvl w:val="0"/>
          <w:numId w:val="3"/>
        </w:numPr>
        <w:tabs>
          <w:tab w:val="left" w:pos="425"/>
          <w:tab w:val="left" w:pos="567"/>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sz w:val="24"/>
          <w:szCs w:val="24"/>
        </w:rPr>
        <w:t>递交投标文件时请将投标保证金缴纳凭证（加盖公章）封入投标文件里。</w:t>
      </w:r>
    </w:p>
    <w:p>
      <w:pPr>
        <w:numPr>
          <w:ilvl w:val="0"/>
          <w:numId w:val="3"/>
        </w:numPr>
        <w:tabs>
          <w:tab w:val="left" w:pos="425"/>
          <w:tab w:val="left" w:pos="567"/>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sz w:val="24"/>
          <w:szCs w:val="24"/>
        </w:rPr>
        <w:t>投标人未按前述规定的时间内交纳足额投标保证金的，其投标文件将被拒绝。</w:t>
      </w:r>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7、采购单位</w:t>
      </w:r>
      <w:r>
        <w:rPr>
          <w:rFonts w:hint="eastAsia" w:ascii="宋体" w:hAnsi="宋体" w:cs="宋体"/>
          <w:sz w:val="24"/>
          <w:szCs w:val="24"/>
          <w:lang w:eastAsia="zh-TW"/>
        </w:rPr>
        <w:t>在中标通知书发出后五个工作日内</w:t>
      </w:r>
      <w:r>
        <w:rPr>
          <w:rFonts w:hint="eastAsia" w:ascii="宋体" w:hAnsi="宋体" w:cs="宋体"/>
          <w:sz w:val="24"/>
          <w:szCs w:val="24"/>
        </w:rPr>
        <w:t>无息</w:t>
      </w:r>
      <w:r>
        <w:rPr>
          <w:rFonts w:hint="eastAsia" w:ascii="宋体" w:hAnsi="宋体" w:cs="宋体"/>
          <w:sz w:val="24"/>
          <w:szCs w:val="24"/>
          <w:lang w:eastAsia="zh-TW"/>
        </w:rPr>
        <w:t>退还</w:t>
      </w:r>
      <w:r>
        <w:rPr>
          <w:rFonts w:hint="eastAsia" w:ascii="宋体" w:hAnsi="宋体" w:cs="宋体"/>
          <w:sz w:val="24"/>
          <w:szCs w:val="24"/>
        </w:rPr>
        <w:t>未中标投标人的投标保证金，在采购合同签订后五个工作日内无息退还中标投标人的投标保证金</w:t>
      </w:r>
      <w:r>
        <w:rPr>
          <w:rFonts w:hint="eastAsia" w:ascii="宋体" w:hAnsi="宋体" w:cs="宋体"/>
          <w:sz w:val="24"/>
          <w:szCs w:val="24"/>
          <w:lang w:eastAsia="zh-TW"/>
        </w:rPr>
        <w:t>。</w:t>
      </w:r>
      <w:r>
        <w:rPr>
          <w:rFonts w:hint="eastAsia" w:ascii="宋体" w:hAnsi="宋体" w:cs="宋体"/>
          <w:sz w:val="24"/>
          <w:szCs w:val="24"/>
        </w:rPr>
        <w:t>所有投标人的投标保证金以转账的方式予以退还</w:t>
      </w:r>
      <w:r>
        <w:rPr>
          <w:rFonts w:hint="eastAsia" w:ascii="宋体" w:hAnsi="宋体" w:cs="宋体"/>
          <w:sz w:val="24"/>
          <w:szCs w:val="24"/>
          <w:lang w:eastAsia="zh-TW"/>
        </w:rPr>
        <w:t>。</w:t>
      </w:r>
    </w:p>
    <w:p>
      <w:pPr>
        <w:tabs>
          <w:tab w:val="left" w:pos="425"/>
          <w:tab w:val="left" w:pos="567"/>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8、中标供应商有</w:t>
      </w:r>
      <w:r>
        <w:rPr>
          <w:rFonts w:hint="eastAsia" w:ascii="宋体" w:hAnsi="宋体" w:cs="宋体"/>
          <w:sz w:val="24"/>
          <w:szCs w:val="24"/>
          <w:lang w:eastAsia="zh-TW"/>
        </w:rPr>
        <w:t>下列情</w:t>
      </w:r>
      <w:r>
        <w:rPr>
          <w:rFonts w:hint="eastAsia" w:ascii="宋体" w:hAnsi="宋体" w:cs="宋体"/>
          <w:sz w:val="24"/>
          <w:szCs w:val="24"/>
        </w:rPr>
        <w:t>形之一的，采购单位</w:t>
      </w:r>
      <w:r>
        <w:rPr>
          <w:rFonts w:hint="eastAsia" w:ascii="宋体" w:hAnsi="宋体" w:cs="宋体"/>
          <w:sz w:val="24"/>
          <w:szCs w:val="24"/>
          <w:lang w:eastAsia="zh-TW"/>
        </w:rPr>
        <w:t>不予退还</w:t>
      </w:r>
      <w:r>
        <w:rPr>
          <w:rFonts w:hint="eastAsia" w:ascii="宋体" w:hAnsi="宋体" w:cs="宋体"/>
          <w:sz w:val="24"/>
          <w:szCs w:val="24"/>
        </w:rPr>
        <w:t>其交纳的投标保证金；情节严重的，由采购人将其列入不良行为记录名单，在一至三年内禁止参加采购人的采购活动，并予以通报：</w:t>
      </w:r>
    </w:p>
    <w:p>
      <w:pPr>
        <w:tabs>
          <w:tab w:val="left" w:pos="425"/>
          <w:tab w:val="left" w:pos="851"/>
        </w:tabs>
        <w:autoSpaceDE w:val="0"/>
        <w:autoSpaceDN w:val="0"/>
        <w:adjustRightInd w:val="0"/>
        <w:snapToGrid w:val="0"/>
        <w:spacing w:line="360" w:lineRule="auto"/>
        <w:ind w:firstLine="480" w:firstLineChars="200"/>
        <w:rPr>
          <w:rFonts w:ascii="宋体" w:hAnsi="宋体"/>
          <w:sz w:val="24"/>
          <w:szCs w:val="24"/>
        </w:rPr>
      </w:pPr>
      <w:r>
        <w:rPr>
          <w:rFonts w:hint="eastAsia" w:ascii="宋体" w:hAnsi="宋体" w:cs="宋体"/>
          <w:sz w:val="24"/>
          <w:szCs w:val="24"/>
        </w:rPr>
        <w:t xml:space="preserve">8.1 </w:t>
      </w:r>
      <w:r>
        <w:rPr>
          <w:rFonts w:hint="eastAsia" w:ascii="宋体" w:hAnsi="宋体" w:cs="宋体"/>
          <w:sz w:val="24"/>
          <w:szCs w:val="24"/>
          <w:lang w:eastAsia="zh-TW"/>
        </w:rPr>
        <w:t>中标后无正当理</w:t>
      </w:r>
      <w:r>
        <w:rPr>
          <w:rFonts w:hint="eastAsia" w:ascii="宋体" w:hAnsi="宋体" w:cs="宋体"/>
          <w:sz w:val="24"/>
          <w:szCs w:val="24"/>
        </w:rPr>
        <w:t>由不与采购人</w:t>
      </w:r>
      <w:r>
        <w:rPr>
          <w:rFonts w:hint="eastAsia" w:ascii="宋体" w:hAnsi="宋体" w:cs="宋体"/>
          <w:sz w:val="24"/>
          <w:szCs w:val="24"/>
          <w:lang w:eastAsia="zh-TW"/>
        </w:rPr>
        <w:t>签订合同</w:t>
      </w:r>
      <w:r>
        <w:rPr>
          <w:rFonts w:hint="eastAsia" w:ascii="宋体" w:hAnsi="宋体" w:cs="宋体"/>
          <w:sz w:val="24"/>
          <w:szCs w:val="24"/>
        </w:rPr>
        <w:t>的；</w:t>
      </w:r>
    </w:p>
    <w:p>
      <w:pPr>
        <w:tabs>
          <w:tab w:val="left" w:pos="840"/>
        </w:tabs>
        <w:snapToGrid w:val="0"/>
        <w:ind w:firstLine="480" w:firstLineChars="200"/>
        <w:rPr>
          <w:rFonts w:eastAsia="黑体"/>
          <w:sz w:val="32"/>
          <w:szCs w:val="32"/>
        </w:rPr>
      </w:pPr>
      <w:r>
        <w:rPr>
          <w:rFonts w:hint="eastAsia" w:ascii="宋体" w:hAnsi="宋体" w:cs="宋体"/>
          <w:sz w:val="24"/>
          <w:szCs w:val="24"/>
        </w:rPr>
        <w:t xml:space="preserve">8.2 </w:t>
      </w:r>
      <w:r>
        <w:rPr>
          <w:rFonts w:hint="eastAsia" w:ascii="宋体" w:hAnsi="宋体" w:cs="宋体"/>
          <w:sz w:val="24"/>
          <w:szCs w:val="24"/>
          <w:lang w:eastAsia="zh-TW"/>
        </w:rPr>
        <w:t>将中标项目转让给他人，或者在投标文件中未说明，且未经采购</w:t>
      </w:r>
      <w:r>
        <w:rPr>
          <w:rFonts w:hint="eastAsia" w:ascii="宋体" w:hAnsi="宋体" w:cs="宋体"/>
          <w:sz w:val="24"/>
          <w:szCs w:val="24"/>
        </w:rPr>
        <w:t>单位</w:t>
      </w:r>
      <w:r>
        <w:rPr>
          <w:rFonts w:hint="eastAsia" w:ascii="宋体" w:hAnsi="宋体" w:cs="宋体"/>
          <w:sz w:val="24"/>
          <w:szCs w:val="24"/>
          <w:lang w:eastAsia="zh-TW"/>
        </w:rPr>
        <w:t>同意，</w:t>
      </w:r>
      <w:r>
        <w:rPr>
          <w:rFonts w:hint="eastAsia" w:ascii="宋体" w:hAnsi="宋体" w:cs="宋体"/>
          <w:sz w:val="24"/>
          <w:szCs w:val="24"/>
        </w:rPr>
        <w:t xml:space="preserve"> </w:t>
      </w:r>
      <w:r>
        <w:rPr>
          <w:rFonts w:hint="eastAsia" w:ascii="宋体" w:hAnsi="宋体" w:cs="宋体"/>
          <w:sz w:val="24"/>
          <w:szCs w:val="24"/>
          <w:lang w:eastAsia="zh-TW"/>
        </w:rPr>
        <w:t>将中标项目分包给他人的</w:t>
      </w:r>
      <w:r>
        <w:rPr>
          <w:rFonts w:hint="eastAsia" w:ascii="宋体" w:hAnsi="宋体" w:cs="宋体"/>
          <w:sz w:val="24"/>
          <w:szCs w:val="24"/>
        </w:rPr>
        <w:t>。</w:t>
      </w:r>
    </w:p>
    <w:p>
      <w:pPr>
        <w:pStyle w:val="25"/>
        <w:spacing w:line="360" w:lineRule="auto"/>
        <w:ind w:firstLine="482" w:firstLineChars="200"/>
        <w:rPr>
          <w:rFonts w:ascii="宋体" w:hAnsi="宋体" w:eastAsia="宋体" w:cs="宋体"/>
          <w:b/>
          <w:color w:val="auto"/>
        </w:rPr>
      </w:pPr>
      <w:r>
        <w:rPr>
          <w:rFonts w:hint="eastAsia" w:ascii="宋体" w:hAnsi="宋体" w:eastAsia="宋体" w:cs="宋体"/>
          <w:b/>
          <w:color w:val="auto"/>
        </w:rPr>
        <w:t>九、递交采购文件时间、投标截止时间、开标时间及地点：</w:t>
      </w:r>
    </w:p>
    <w:p>
      <w:pPr>
        <w:snapToGrid w:val="0"/>
        <w:spacing w:line="288" w:lineRule="auto"/>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eastAsia="zh-TW"/>
        </w:rPr>
        <w:t>投标截止时间：</w:t>
      </w:r>
      <w:r>
        <w:rPr>
          <w:rFonts w:hint="eastAsia" w:ascii="宋体" w:hAnsi="宋体" w:cs="宋体"/>
          <w:sz w:val="24"/>
          <w:szCs w:val="24"/>
        </w:rPr>
        <w:t>2022</w:t>
      </w:r>
      <w:r>
        <w:rPr>
          <w:rFonts w:hint="eastAsia" w:ascii="宋体" w:hAnsi="宋体" w:cs="宋体"/>
          <w:sz w:val="24"/>
          <w:szCs w:val="24"/>
          <w:lang w:eastAsia="zh-TW"/>
        </w:rPr>
        <w:t>年</w:t>
      </w:r>
      <w:r>
        <w:rPr>
          <w:rFonts w:hint="eastAsia" w:ascii="宋体" w:hAnsi="宋体" w:cs="宋体"/>
          <w:sz w:val="24"/>
          <w:szCs w:val="24"/>
        </w:rPr>
        <w:t>5</w:t>
      </w:r>
      <w:r>
        <w:rPr>
          <w:rFonts w:hint="eastAsia" w:ascii="宋体" w:hAnsi="宋体" w:cs="宋体"/>
          <w:sz w:val="24"/>
          <w:szCs w:val="24"/>
          <w:lang w:eastAsia="zh-TW"/>
        </w:rPr>
        <w:t>月</w:t>
      </w:r>
      <w:r>
        <w:rPr>
          <w:rFonts w:hint="eastAsia" w:ascii="宋体" w:hAnsi="宋体" w:cs="宋体"/>
          <w:sz w:val="24"/>
          <w:szCs w:val="24"/>
          <w:lang w:val="en-US" w:eastAsia="zh-CN"/>
        </w:rPr>
        <w:t>30</w:t>
      </w:r>
      <w:r>
        <w:rPr>
          <w:rFonts w:hint="eastAsia" w:ascii="宋体" w:hAnsi="宋体" w:cs="宋体"/>
          <w:sz w:val="24"/>
          <w:szCs w:val="24"/>
          <w:lang w:eastAsia="zh-TW"/>
        </w:rPr>
        <w:t>日</w:t>
      </w:r>
      <w:r>
        <w:rPr>
          <w:rFonts w:hint="eastAsia" w:ascii="宋体" w:hAnsi="宋体" w:cs="宋体"/>
          <w:sz w:val="24"/>
          <w:szCs w:val="24"/>
        </w:rPr>
        <w:t>上午</w:t>
      </w:r>
      <w:r>
        <w:rPr>
          <w:rFonts w:hint="eastAsia" w:ascii="宋体" w:hAnsi="宋体" w:cs="宋体"/>
          <w:sz w:val="24"/>
          <w:szCs w:val="24"/>
          <w:lang w:val="en-US" w:eastAsia="zh-CN"/>
        </w:rPr>
        <w:t>9:30</w:t>
      </w:r>
      <w:r>
        <w:rPr>
          <w:rFonts w:hint="eastAsia" w:ascii="宋体" w:hAnsi="宋体" w:cs="宋体"/>
          <w:sz w:val="24"/>
          <w:szCs w:val="24"/>
        </w:rPr>
        <w:t>前</w:t>
      </w:r>
    </w:p>
    <w:p>
      <w:pPr>
        <w:tabs>
          <w:tab w:val="left" w:pos="425"/>
          <w:tab w:val="left" w:pos="851"/>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2、</w:t>
      </w:r>
      <w:r>
        <w:rPr>
          <w:rFonts w:hint="eastAsia" w:ascii="宋体" w:hAnsi="宋体" w:cs="宋体"/>
          <w:sz w:val="24"/>
          <w:szCs w:val="24"/>
          <w:lang w:eastAsia="zh-TW"/>
        </w:rPr>
        <w:t>投标文件递交地点：南沙金融大厦</w:t>
      </w:r>
      <w:r>
        <w:rPr>
          <w:rFonts w:hint="eastAsia" w:ascii="宋体" w:hAnsi="宋体" w:cs="宋体"/>
          <w:sz w:val="24"/>
          <w:szCs w:val="24"/>
        </w:rPr>
        <w:t>18楼1807评标室</w:t>
      </w:r>
    </w:p>
    <w:p>
      <w:pPr>
        <w:tabs>
          <w:tab w:val="left" w:pos="425"/>
          <w:tab w:val="left" w:pos="851"/>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lang w:eastAsia="zh-TW"/>
        </w:rPr>
        <w:t>地址：广州</w:t>
      </w:r>
      <w:r>
        <w:rPr>
          <w:rFonts w:hint="eastAsia" w:ascii="宋体" w:hAnsi="宋体" w:cs="宋体"/>
          <w:sz w:val="24"/>
          <w:szCs w:val="24"/>
        </w:rPr>
        <w:t>市</w:t>
      </w:r>
      <w:r>
        <w:rPr>
          <w:rFonts w:hint="eastAsia" w:ascii="宋体" w:hAnsi="宋体" w:cs="宋体"/>
          <w:sz w:val="24"/>
          <w:szCs w:val="24"/>
          <w:lang w:eastAsia="zh-TW"/>
        </w:rPr>
        <w:t>南沙区海滨路171号。</w:t>
      </w:r>
    </w:p>
    <w:p>
      <w:pPr>
        <w:snapToGrid w:val="0"/>
        <w:spacing w:line="288" w:lineRule="auto"/>
        <w:ind w:firstLine="480" w:firstLineChars="200"/>
        <w:rPr>
          <w:rFonts w:ascii="宋体" w:hAnsi="宋体" w:cs="宋体"/>
          <w:sz w:val="24"/>
          <w:szCs w:val="24"/>
          <w:lang w:eastAsia="zh-TW"/>
        </w:rPr>
      </w:pPr>
      <w:r>
        <w:rPr>
          <w:rFonts w:hint="eastAsia" w:ascii="宋体" w:hAnsi="宋体" w:cs="宋体"/>
          <w:sz w:val="24"/>
          <w:szCs w:val="24"/>
        </w:rPr>
        <w:t>3、</w:t>
      </w:r>
      <w:r>
        <w:rPr>
          <w:rFonts w:hint="eastAsia" w:ascii="宋体" w:hAnsi="宋体" w:cs="宋体"/>
          <w:sz w:val="24"/>
          <w:szCs w:val="24"/>
          <w:lang w:eastAsia="zh-TW"/>
        </w:rPr>
        <w:t>开标评标时间：</w:t>
      </w:r>
      <w:r>
        <w:rPr>
          <w:rFonts w:hint="eastAsia" w:ascii="宋体" w:hAnsi="宋体" w:cs="宋体"/>
          <w:sz w:val="24"/>
          <w:szCs w:val="24"/>
        </w:rPr>
        <w:t>2022</w:t>
      </w:r>
      <w:r>
        <w:rPr>
          <w:rFonts w:hint="eastAsia" w:ascii="宋体" w:hAnsi="宋体" w:cs="宋体"/>
          <w:sz w:val="24"/>
          <w:szCs w:val="24"/>
          <w:lang w:eastAsia="zh-TW"/>
        </w:rPr>
        <w:t>年</w:t>
      </w:r>
      <w:r>
        <w:rPr>
          <w:rFonts w:hint="eastAsia" w:ascii="宋体" w:hAnsi="宋体" w:cs="宋体"/>
          <w:sz w:val="24"/>
          <w:szCs w:val="24"/>
        </w:rPr>
        <w:t>5</w:t>
      </w:r>
      <w:r>
        <w:rPr>
          <w:rFonts w:hint="eastAsia" w:ascii="宋体" w:hAnsi="宋体" w:cs="宋体"/>
          <w:sz w:val="24"/>
          <w:szCs w:val="24"/>
          <w:lang w:eastAsia="zh-TW"/>
        </w:rPr>
        <w:t>月</w:t>
      </w:r>
      <w:r>
        <w:rPr>
          <w:rFonts w:hint="eastAsia" w:ascii="宋体" w:hAnsi="宋体" w:cs="宋体"/>
          <w:sz w:val="24"/>
          <w:szCs w:val="24"/>
          <w:lang w:val="en-US" w:eastAsia="zh-CN"/>
        </w:rPr>
        <w:t>30</w:t>
      </w:r>
      <w:r>
        <w:rPr>
          <w:rFonts w:hint="eastAsia" w:ascii="宋体" w:hAnsi="宋体" w:cs="宋体"/>
          <w:sz w:val="24"/>
          <w:szCs w:val="24"/>
          <w:lang w:eastAsia="zh-TW"/>
        </w:rPr>
        <w:t>日</w:t>
      </w:r>
      <w:r>
        <w:rPr>
          <w:rFonts w:hint="eastAsia" w:ascii="宋体" w:hAnsi="宋体" w:cs="宋体"/>
          <w:sz w:val="24"/>
          <w:szCs w:val="24"/>
        </w:rPr>
        <w:t>上午</w:t>
      </w:r>
      <w:r>
        <w:rPr>
          <w:rFonts w:hint="eastAsia" w:ascii="宋体" w:hAnsi="宋体" w:cs="宋体"/>
          <w:sz w:val="24"/>
          <w:szCs w:val="24"/>
          <w:lang w:val="en-US" w:eastAsia="zh-CN"/>
        </w:rPr>
        <w:t>9:30</w:t>
      </w:r>
      <w:r>
        <w:rPr>
          <w:rFonts w:hint="eastAsia" w:ascii="宋体" w:hAnsi="宋体" w:cs="宋体"/>
          <w:sz w:val="24"/>
          <w:szCs w:val="24"/>
        </w:rPr>
        <w:t xml:space="preserve"> </w:t>
      </w:r>
    </w:p>
    <w:p>
      <w:pPr>
        <w:tabs>
          <w:tab w:val="left" w:pos="425"/>
          <w:tab w:val="left" w:pos="851"/>
        </w:tabs>
        <w:autoSpaceDE w:val="0"/>
        <w:autoSpaceDN w:val="0"/>
        <w:adjustRightInd w:val="0"/>
        <w:snapToGrid w:val="0"/>
        <w:spacing w:line="360" w:lineRule="auto"/>
        <w:ind w:firstLine="480" w:firstLineChars="200"/>
        <w:rPr>
          <w:rFonts w:ascii="宋体" w:hAnsi="宋体" w:cs="宋体"/>
          <w:sz w:val="24"/>
          <w:szCs w:val="24"/>
          <w:lang w:eastAsia="zh-TW"/>
        </w:rPr>
      </w:pPr>
      <w:r>
        <w:rPr>
          <w:rFonts w:hint="eastAsia" w:ascii="宋体" w:hAnsi="宋体" w:cs="宋体"/>
          <w:sz w:val="24"/>
          <w:szCs w:val="24"/>
        </w:rPr>
        <w:t>4、</w:t>
      </w:r>
      <w:r>
        <w:rPr>
          <w:rFonts w:hint="eastAsia" w:ascii="宋体" w:hAnsi="宋体" w:cs="宋体"/>
          <w:sz w:val="24"/>
          <w:szCs w:val="24"/>
          <w:lang w:eastAsia="zh-TW"/>
        </w:rPr>
        <w:t>开标评标地点：南沙金融大厦</w:t>
      </w:r>
      <w:r>
        <w:rPr>
          <w:rFonts w:hint="eastAsia" w:ascii="宋体" w:hAnsi="宋体" w:cs="宋体"/>
          <w:sz w:val="24"/>
          <w:szCs w:val="24"/>
        </w:rPr>
        <w:t>18楼1807评标室</w:t>
      </w:r>
    </w:p>
    <w:p>
      <w:pPr>
        <w:tabs>
          <w:tab w:val="left" w:pos="425"/>
          <w:tab w:val="left" w:pos="851"/>
        </w:tabs>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地</w:t>
      </w:r>
      <w:r>
        <w:rPr>
          <w:rFonts w:hint="eastAsia" w:ascii="宋体" w:hAnsi="宋体" w:cs="宋体"/>
          <w:sz w:val="24"/>
          <w:szCs w:val="24"/>
          <w:lang w:eastAsia="zh-TW"/>
        </w:rPr>
        <w:t>址：广州</w:t>
      </w:r>
      <w:r>
        <w:rPr>
          <w:rFonts w:hint="eastAsia" w:ascii="宋体" w:hAnsi="宋体" w:cs="宋体"/>
          <w:sz w:val="24"/>
          <w:szCs w:val="24"/>
        </w:rPr>
        <w:t>市</w:t>
      </w:r>
      <w:r>
        <w:rPr>
          <w:rFonts w:hint="eastAsia" w:ascii="宋体" w:hAnsi="宋体" w:cs="宋体"/>
          <w:sz w:val="24"/>
          <w:szCs w:val="24"/>
          <w:lang w:eastAsia="zh-TW"/>
        </w:rPr>
        <w:t>南沙区海滨路171号。</w:t>
      </w:r>
    </w:p>
    <w:p>
      <w:pPr>
        <w:pStyle w:val="25"/>
        <w:spacing w:line="360" w:lineRule="auto"/>
        <w:ind w:firstLine="482" w:firstLineChars="200"/>
        <w:rPr>
          <w:rFonts w:ascii="宋体" w:hAnsi="宋体" w:eastAsia="宋体" w:cs="宋体"/>
          <w:b/>
          <w:color w:val="auto"/>
        </w:rPr>
      </w:pPr>
      <w:r>
        <w:rPr>
          <w:rFonts w:hint="eastAsia" w:ascii="宋体" w:hAnsi="宋体" w:eastAsia="宋体" w:cs="宋体"/>
          <w:b/>
          <w:color w:val="auto"/>
        </w:rPr>
        <w:t>十、采购单位</w:t>
      </w:r>
      <w:r>
        <w:rPr>
          <w:rFonts w:ascii="宋体" w:hAnsi="宋体" w:eastAsia="宋体" w:cs="宋体"/>
          <w:b/>
          <w:color w:val="auto"/>
        </w:rPr>
        <w:t>联系方式</w:t>
      </w:r>
      <w:r>
        <w:rPr>
          <w:rFonts w:hint="eastAsia" w:ascii="宋体" w:hAnsi="宋体" w:eastAsia="宋体" w:cs="宋体"/>
          <w:b/>
          <w:color w:val="auto"/>
        </w:rPr>
        <w:t>：</w:t>
      </w:r>
    </w:p>
    <w:p>
      <w:pPr>
        <w:pStyle w:val="25"/>
        <w:spacing w:line="360" w:lineRule="auto"/>
        <w:ind w:firstLine="480" w:firstLineChars="200"/>
        <w:rPr>
          <w:rFonts w:ascii="宋体" w:hAnsi="宋体" w:eastAsia="宋体" w:cs="宋体"/>
          <w:color w:val="auto"/>
        </w:rPr>
      </w:pPr>
      <w:r>
        <w:rPr>
          <w:rFonts w:hint="eastAsia" w:ascii="宋体" w:hAnsi="宋体" w:eastAsia="宋体" w:cs="宋体"/>
          <w:color w:val="auto"/>
        </w:rPr>
        <w:t>联 系 人：吴先生</w:t>
      </w:r>
    </w:p>
    <w:p>
      <w:pPr>
        <w:pStyle w:val="25"/>
        <w:spacing w:line="360" w:lineRule="auto"/>
        <w:ind w:firstLine="480" w:firstLineChars="200"/>
        <w:rPr>
          <w:rFonts w:ascii="宋体" w:hAnsi="宋体" w:eastAsia="宋体" w:cs="宋体"/>
          <w:color w:val="auto"/>
        </w:rPr>
      </w:pPr>
      <w:r>
        <w:rPr>
          <w:rFonts w:hint="eastAsia" w:ascii="宋体" w:hAnsi="宋体" w:eastAsia="宋体" w:cs="宋体"/>
          <w:color w:val="auto"/>
        </w:rPr>
        <w:t>联系电话：13826477455</w:t>
      </w:r>
    </w:p>
    <w:p>
      <w:pPr>
        <w:pStyle w:val="25"/>
        <w:spacing w:line="360" w:lineRule="auto"/>
        <w:ind w:firstLine="480" w:firstLineChars="200"/>
        <w:rPr>
          <w:rFonts w:ascii="宋体" w:hAnsi="宋体" w:eastAsia="宋体" w:cs="宋体"/>
          <w:color w:val="auto"/>
        </w:rPr>
      </w:pPr>
      <w:r>
        <w:rPr>
          <w:rFonts w:hint="eastAsia" w:ascii="宋体" w:hAnsi="宋体" w:eastAsia="宋体" w:cs="宋体"/>
          <w:color w:val="auto"/>
        </w:rPr>
        <w:t xml:space="preserve">地    址：广州市南沙区万倾沙镇新垦18涌南沙湿地景区     </w:t>
      </w:r>
    </w:p>
    <w:p>
      <w:pPr>
        <w:pStyle w:val="25"/>
        <w:spacing w:line="360" w:lineRule="auto"/>
        <w:ind w:firstLine="480" w:firstLineChars="200"/>
        <w:jc w:val="right"/>
        <w:rPr>
          <w:rFonts w:eastAsia="宋体"/>
          <w:color w:val="auto"/>
        </w:rPr>
      </w:pPr>
    </w:p>
    <w:p>
      <w:pPr>
        <w:pStyle w:val="25"/>
        <w:spacing w:line="360" w:lineRule="auto"/>
        <w:ind w:firstLine="480" w:firstLineChars="200"/>
        <w:jc w:val="right"/>
        <w:rPr>
          <w:rFonts w:eastAsia="宋体"/>
          <w:color w:val="auto"/>
        </w:rPr>
      </w:pPr>
      <w:r>
        <w:rPr>
          <w:rFonts w:hint="eastAsia" w:eastAsia="宋体"/>
          <w:color w:val="auto"/>
        </w:rPr>
        <w:t>广州南沙湿地旅游发展有限公司</w:t>
      </w:r>
    </w:p>
    <w:p>
      <w:pPr>
        <w:pStyle w:val="25"/>
        <w:spacing w:line="360" w:lineRule="auto"/>
        <w:ind w:right="960" w:firstLine="480" w:firstLineChars="200"/>
        <w:jc w:val="right"/>
        <w:rPr>
          <w:rFonts w:eastAsia="宋体"/>
          <w:color w:val="auto"/>
        </w:rPr>
      </w:pPr>
      <w:r>
        <w:rPr>
          <w:rFonts w:hint="eastAsia" w:eastAsia="宋体"/>
          <w:color w:val="auto"/>
        </w:rPr>
        <w:t>2022年5月</w:t>
      </w:r>
      <w:r>
        <w:rPr>
          <w:rFonts w:hint="eastAsia" w:eastAsia="宋体"/>
          <w:color w:val="auto"/>
          <w:lang w:val="en-US" w:eastAsia="zh-CN"/>
        </w:rPr>
        <w:t>24</w:t>
      </w:r>
      <w:r>
        <w:rPr>
          <w:rFonts w:hint="eastAsia" w:eastAsia="宋体"/>
          <w:color w:val="auto"/>
        </w:rPr>
        <w:t>日</w:t>
      </w:r>
    </w:p>
    <w:p>
      <w:pPr>
        <w:pStyle w:val="8"/>
        <w:snapToGrid w:val="0"/>
        <w:spacing w:line="360" w:lineRule="exact"/>
        <w:ind w:right="92" w:firstLine="0"/>
        <w:rPr>
          <w:rFonts w:ascii="宋体"/>
          <w:bCs/>
          <w:sz w:val="24"/>
          <w:szCs w:val="24"/>
        </w:rPr>
      </w:pPr>
    </w:p>
    <w:p>
      <w:pPr>
        <w:jc w:val="center"/>
        <w:rPr>
          <w:b/>
          <w:sz w:val="32"/>
          <w:szCs w:val="32"/>
        </w:rPr>
      </w:pPr>
      <w:bookmarkStart w:id="20" w:name="_Toc366180610"/>
      <w:r>
        <w:rPr>
          <w:sz w:val="32"/>
          <w:szCs w:val="32"/>
        </w:rPr>
        <w:br w:type="page"/>
      </w:r>
      <w:r>
        <w:rPr>
          <w:rFonts w:hint="eastAsia"/>
          <w:sz w:val="32"/>
          <w:szCs w:val="32"/>
        </w:rPr>
        <w:t>投标申请人声明</w:t>
      </w:r>
      <w:bookmarkEnd w:id="20"/>
    </w:p>
    <w:p>
      <w:pPr>
        <w:pStyle w:val="25"/>
        <w:spacing w:line="360" w:lineRule="auto"/>
        <w:ind w:firstLine="2650" w:firstLineChars="1100"/>
        <w:rPr>
          <w:rFonts w:hAnsi="宋体"/>
          <w:b/>
          <w:color w:val="auto"/>
        </w:rPr>
      </w:pPr>
    </w:p>
    <w:p>
      <w:pPr>
        <w:snapToGrid w:val="0"/>
        <w:spacing w:line="500" w:lineRule="exact"/>
        <w:rPr>
          <w:szCs w:val="28"/>
        </w:rPr>
      </w:pPr>
      <w:r>
        <w:rPr>
          <w:rFonts w:hint="eastAsia"/>
          <w:szCs w:val="28"/>
        </w:rPr>
        <w:t>致：广州南沙湿地旅游发展有限公司</w:t>
      </w:r>
    </w:p>
    <w:p>
      <w:pPr>
        <w:snapToGrid w:val="0"/>
        <w:spacing w:line="500" w:lineRule="exact"/>
        <w:ind w:firstLine="840" w:firstLineChars="300"/>
        <w:rPr>
          <w:szCs w:val="28"/>
        </w:rPr>
      </w:pPr>
    </w:p>
    <w:p>
      <w:pPr>
        <w:snapToGrid w:val="0"/>
        <w:spacing w:line="500" w:lineRule="exact"/>
        <w:ind w:firstLine="840" w:firstLineChars="300"/>
        <w:rPr>
          <w:szCs w:val="28"/>
        </w:rPr>
      </w:pPr>
      <w:r>
        <w:rPr>
          <w:rFonts w:hint="eastAsia"/>
          <w:szCs w:val="28"/>
        </w:rPr>
        <w:t>本公司就参加</w:t>
      </w:r>
      <w:r>
        <w:rPr>
          <w:rFonts w:hint="eastAsia"/>
          <w:szCs w:val="28"/>
          <w:u w:val="single"/>
        </w:rPr>
        <w:t>广州南沙湿地旅游发展有限公司南沙湿地景区海景园餐饮配套设备采购项目</w:t>
      </w:r>
      <w:r>
        <w:rPr>
          <w:rFonts w:hint="eastAsia"/>
          <w:szCs w:val="28"/>
        </w:rPr>
        <w:t>投标工作，作出郑重声明：</w:t>
      </w:r>
    </w:p>
    <w:p>
      <w:pPr>
        <w:numPr>
          <w:ilvl w:val="1"/>
          <w:numId w:val="4"/>
        </w:numPr>
        <w:snapToGrid w:val="0"/>
        <w:spacing w:line="500" w:lineRule="exact"/>
        <w:rPr>
          <w:szCs w:val="28"/>
        </w:rPr>
      </w:pPr>
      <w:r>
        <w:rPr>
          <w:rFonts w:hint="eastAsia"/>
          <w:szCs w:val="28"/>
        </w:rPr>
        <w:t>本公司保证投标报名材料及其后提供的一切材料都是真实的。</w:t>
      </w:r>
    </w:p>
    <w:p>
      <w:pPr>
        <w:numPr>
          <w:ilvl w:val="1"/>
          <w:numId w:val="4"/>
        </w:numPr>
        <w:snapToGrid w:val="0"/>
        <w:spacing w:line="500" w:lineRule="exact"/>
        <w:rPr>
          <w:szCs w:val="28"/>
        </w:rPr>
      </w:pPr>
      <w:r>
        <w:rPr>
          <w:rFonts w:hint="eastAsia"/>
          <w:szCs w:val="28"/>
        </w:rPr>
        <w:t>本公司保证不与其他单位围标、串标，不出让投标资格，不向招标单位或评标委员会成员行贿。</w:t>
      </w:r>
    </w:p>
    <w:p>
      <w:pPr>
        <w:numPr>
          <w:ilvl w:val="1"/>
          <w:numId w:val="4"/>
        </w:numPr>
        <w:snapToGrid w:val="0"/>
        <w:spacing w:line="500" w:lineRule="exact"/>
        <w:rPr>
          <w:szCs w:val="28"/>
        </w:rPr>
      </w:pPr>
      <w:r>
        <w:rPr>
          <w:rFonts w:hint="eastAsia"/>
          <w:szCs w:val="28"/>
        </w:rPr>
        <w:t>本公司没有处于被责令停业的状态；没有处于被取消投标资格的处罚期内；没有处于财产被接管、冻结、破产的状态；在广州市人民检察院行贿犯罪档案结果中，本公司没有在投标报名截止时间前三年内被人民法院判决犯有行贿罪的记录；在投标报名截止日期前三年内，本公司没有弄虚作假骗取中标、围标串标行为（以行政主管部门或法院或检察院书面认定为准）。</w:t>
      </w:r>
    </w:p>
    <w:p>
      <w:pPr>
        <w:numPr>
          <w:ilvl w:val="1"/>
          <w:numId w:val="4"/>
        </w:numPr>
        <w:snapToGrid w:val="0"/>
        <w:spacing w:line="500" w:lineRule="exact"/>
        <w:rPr>
          <w:szCs w:val="28"/>
        </w:rPr>
      </w:pPr>
      <w:r>
        <w:rPr>
          <w:rFonts w:hint="eastAsia"/>
          <w:szCs w:val="28"/>
        </w:rPr>
        <w:t>本公司及其有隶属关系的机构，没有参加本项目采购文件的编写工作。本公司违反上述保证或本声明陈述与事实不符，经查实，本公司愿意接受公开通报，承担由此带来的法律后果，并自愿停止参加广州市行政辖区内的采购投标活动三个月。</w:t>
      </w:r>
    </w:p>
    <w:p>
      <w:pPr>
        <w:snapToGrid w:val="0"/>
        <w:spacing w:line="500" w:lineRule="exact"/>
        <w:ind w:left="420"/>
        <w:rPr>
          <w:szCs w:val="28"/>
        </w:rPr>
      </w:pPr>
    </w:p>
    <w:p>
      <w:pPr>
        <w:snapToGrid w:val="0"/>
        <w:spacing w:line="500" w:lineRule="exact"/>
        <w:ind w:left="420" w:firstLine="560" w:firstLineChars="200"/>
        <w:rPr>
          <w:szCs w:val="28"/>
        </w:rPr>
      </w:pPr>
      <w:r>
        <w:rPr>
          <w:rFonts w:hint="eastAsia"/>
          <w:szCs w:val="28"/>
        </w:rPr>
        <w:t>特此声明</w:t>
      </w:r>
    </w:p>
    <w:p>
      <w:pPr>
        <w:snapToGrid w:val="0"/>
        <w:spacing w:before="120" w:beforeLines="50" w:line="360" w:lineRule="auto"/>
        <w:ind w:left="420"/>
        <w:rPr>
          <w:szCs w:val="28"/>
        </w:rPr>
      </w:pPr>
    </w:p>
    <w:p>
      <w:pPr>
        <w:snapToGrid w:val="0"/>
        <w:spacing w:before="120" w:beforeLines="50" w:line="360" w:lineRule="auto"/>
        <w:ind w:left="420"/>
        <w:jc w:val="center"/>
        <w:rPr>
          <w:szCs w:val="28"/>
        </w:rPr>
      </w:pPr>
      <w:r>
        <w:rPr>
          <w:rFonts w:hint="eastAsia"/>
          <w:szCs w:val="28"/>
        </w:rPr>
        <w:t xml:space="preserve">                                                                  </w:t>
      </w:r>
    </w:p>
    <w:p>
      <w:pPr>
        <w:snapToGrid w:val="0"/>
        <w:spacing w:before="120" w:beforeLines="50" w:line="360" w:lineRule="auto"/>
        <w:ind w:left="420"/>
        <w:jc w:val="center"/>
        <w:rPr>
          <w:szCs w:val="28"/>
        </w:rPr>
      </w:pPr>
      <w:r>
        <w:rPr>
          <w:rFonts w:hint="eastAsia"/>
          <w:szCs w:val="28"/>
        </w:rPr>
        <w:t xml:space="preserve">          声明企业：（企业公章）</w:t>
      </w:r>
    </w:p>
    <w:p>
      <w:pPr>
        <w:wordWrap w:val="0"/>
        <w:snapToGrid w:val="0"/>
        <w:spacing w:before="120" w:beforeLines="50" w:line="360" w:lineRule="auto"/>
        <w:ind w:left="420"/>
        <w:jc w:val="right"/>
        <w:rPr>
          <w:rFonts w:ascii="宋体" w:hAnsi="宋体"/>
          <w:szCs w:val="28"/>
        </w:rPr>
      </w:pPr>
      <w:r>
        <w:rPr>
          <w:rFonts w:hint="eastAsia" w:ascii="宋体" w:hAnsi="宋体"/>
          <w:szCs w:val="28"/>
        </w:rPr>
        <w:t xml:space="preserve">        年       月       日     </w:t>
      </w:r>
    </w:p>
    <w:p>
      <w:pPr>
        <w:snapToGrid w:val="0"/>
        <w:spacing w:before="120" w:beforeLines="50" w:line="360" w:lineRule="auto"/>
        <w:ind w:firstLine="3920" w:firstLineChars="1400"/>
        <w:rPr>
          <w:rFonts w:ascii="宋体"/>
          <w:szCs w:val="28"/>
        </w:rPr>
      </w:pPr>
      <w:r>
        <w:rPr>
          <w:rFonts w:hint="eastAsia" w:ascii="宋体"/>
          <w:szCs w:val="28"/>
        </w:rPr>
        <w:t xml:space="preserve"> 法定代表人签字：</w:t>
      </w:r>
      <w:r>
        <w:rPr>
          <w:rFonts w:hint="eastAsia" w:ascii="宋体"/>
          <w:szCs w:val="28"/>
          <w:u w:val="single"/>
        </w:rPr>
        <w:t xml:space="preserve">                   </w:t>
      </w: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8"/>
        <w:snapToGrid w:val="0"/>
        <w:spacing w:line="360" w:lineRule="exact"/>
        <w:ind w:right="92" w:firstLine="0"/>
        <w:rPr>
          <w:rFonts w:ascii="宋体"/>
          <w:bCs/>
          <w:sz w:val="24"/>
          <w:szCs w:val="24"/>
        </w:rPr>
      </w:pPr>
    </w:p>
    <w:p>
      <w:pPr>
        <w:pStyle w:val="3"/>
        <w:ind w:right="-588"/>
        <w:jc w:val="center"/>
        <w:rPr>
          <w:sz w:val="44"/>
        </w:rPr>
      </w:pPr>
      <w:bookmarkStart w:id="21" w:name="_Toc14450807"/>
      <w:bookmarkStart w:id="22" w:name="_Toc458795996"/>
      <w:bookmarkStart w:id="23" w:name="_Toc28489434"/>
      <w:bookmarkStart w:id="24" w:name="_Toc20486"/>
      <w:bookmarkStart w:id="25" w:name="_Toc27703"/>
      <w:bookmarkStart w:id="26" w:name="_Toc13149"/>
      <w:bookmarkStart w:id="27" w:name="_Toc1563"/>
      <w:bookmarkStart w:id="28" w:name="_Toc22648"/>
      <w:bookmarkStart w:id="29" w:name="_Toc16402"/>
      <w:bookmarkStart w:id="30" w:name="_Toc31772"/>
      <w:bookmarkStart w:id="31" w:name="_Toc6555"/>
      <w:bookmarkStart w:id="32" w:name="_Toc16301"/>
      <w:bookmarkStart w:id="33" w:name="_Toc11737"/>
      <w:r>
        <w:rPr>
          <w:rFonts w:hint="eastAsia"/>
          <w:sz w:val="44"/>
        </w:rPr>
        <w:t>第二章</w:t>
      </w:r>
      <w:bookmarkStart w:id="34" w:name="_Toc10525515"/>
      <w:r>
        <w:rPr>
          <w:rFonts w:hint="eastAsia"/>
          <w:sz w:val="44"/>
        </w:rPr>
        <w:t xml:space="preserve"> </w:t>
      </w:r>
      <w:bookmarkEnd w:id="21"/>
      <w:bookmarkEnd w:id="22"/>
      <w:bookmarkEnd w:id="23"/>
      <w:bookmarkEnd w:id="34"/>
      <w:r>
        <w:rPr>
          <w:rFonts w:hint="eastAsia"/>
          <w:sz w:val="44"/>
        </w:rPr>
        <w:t>投标人须知</w:t>
      </w:r>
      <w:bookmarkEnd w:id="24"/>
      <w:bookmarkEnd w:id="25"/>
      <w:bookmarkEnd w:id="26"/>
      <w:bookmarkEnd w:id="27"/>
      <w:bookmarkEnd w:id="28"/>
      <w:bookmarkEnd w:id="29"/>
      <w:bookmarkEnd w:id="30"/>
      <w:bookmarkEnd w:id="31"/>
      <w:bookmarkEnd w:id="32"/>
      <w:bookmarkEnd w:id="33"/>
    </w:p>
    <w:p>
      <w:pPr>
        <w:spacing w:line="360" w:lineRule="auto"/>
        <w:jc w:val="center"/>
        <w:rPr>
          <w:rFonts w:ascii="宋体" w:hAnsi="宋体"/>
          <w:sz w:val="44"/>
        </w:rPr>
      </w:pPr>
      <w:r>
        <w:rPr>
          <w:rFonts w:ascii="宋体" w:hAnsi="宋体"/>
          <w:sz w:val="44"/>
        </w:rPr>
        <w:br w:type="page"/>
      </w:r>
    </w:p>
    <w:p>
      <w:pPr>
        <w:spacing w:line="360" w:lineRule="auto"/>
        <w:jc w:val="center"/>
        <w:rPr>
          <w:rFonts w:ascii="宋体" w:hAnsi="宋体"/>
          <w:b/>
          <w:bCs/>
          <w:sz w:val="30"/>
        </w:rPr>
      </w:pPr>
      <w:r>
        <w:rPr>
          <w:rFonts w:hint="eastAsia" w:ascii="宋体" w:hAnsi="宋体"/>
          <w:b/>
          <w:bCs/>
          <w:sz w:val="30"/>
        </w:rPr>
        <w:t>投标人须知一览表</w:t>
      </w:r>
    </w:p>
    <w:tbl>
      <w:tblPr>
        <w:tblStyle w:val="18"/>
        <w:tblW w:w="97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0"/>
        <w:gridCol w:w="1869"/>
        <w:gridCol w:w="1990"/>
        <w:gridCol w:w="1985"/>
        <w:gridCol w:w="25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序号</w:t>
            </w:r>
          </w:p>
        </w:tc>
        <w:tc>
          <w:tcPr>
            <w:tcW w:w="18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项</w:t>
            </w:r>
            <w:r>
              <w:rPr>
                <w:rFonts w:ascii="宋体" w:hAnsi="宋体"/>
                <w:b/>
                <w:sz w:val="24"/>
              </w:rPr>
              <w:t xml:space="preserve">  </w:t>
            </w:r>
            <w:r>
              <w:rPr>
                <w:rFonts w:hint="eastAsia" w:ascii="宋体" w:hAnsi="宋体"/>
                <w:b/>
                <w:sz w:val="24"/>
              </w:rPr>
              <w:t>目</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b/>
                <w:sz w:val="24"/>
              </w:rPr>
              <w:t>主</w:t>
            </w:r>
            <w:r>
              <w:rPr>
                <w:rFonts w:ascii="宋体" w:hAnsi="宋体"/>
                <w:b/>
                <w:sz w:val="24"/>
              </w:rPr>
              <w:t xml:space="preserve">  </w:t>
            </w:r>
            <w:r>
              <w:rPr>
                <w:rFonts w:hint="eastAsia" w:ascii="宋体" w:hAnsi="宋体"/>
                <w:b/>
                <w:sz w:val="24"/>
              </w:rPr>
              <w:t>要</w:t>
            </w:r>
            <w:r>
              <w:rPr>
                <w:rFonts w:ascii="宋体" w:hAnsi="宋体"/>
                <w:b/>
                <w:sz w:val="24"/>
              </w:rPr>
              <w:t xml:space="preserve">  </w:t>
            </w:r>
            <w:r>
              <w:rPr>
                <w:rFonts w:hint="eastAsia" w:ascii="宋体" w:hAnsi="宋体"/>
                <w:b/>
                <w:sz w:val="24"/>
              </w:rPr>
              <w:t>内</w:t>
            </w:r>
            <w:r>
              <w:rPr>
                <w:rFonts w:ascii="宋体" w:hAnsi="宋体"/>
                <w:b/>
                <w:sz w:val="24"/>
              </w:rPr>
              <w:t xml:space="preserve">  </w:t>
            </w:r>
            <w:r>
              <w:rPr>
                <w:rFonts w:hint="eastAsia" w:ascii="宋体" w:hAnsi="宋体"/>
                <w:b/>
                <w:sz w:val="24"/>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jc w:val="center"/>
        </w:trPr>
        <w:tc>
          <w:tcPr>
            <w:tcW w:w="1310" w:type="dxa"/>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（1）</w:t>
            </w:r>
          </w:p>
        </w:tc>
        <w:tc>
          <w:tcPr>
            <w:tcW w:w="1869" w:type="dxa"/>
            <w:tcBorders>
              <w:top w:val="single" w:color="auto" w:sz="4" w:space="0"/>
              <w:left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项目名称</w:t>
            </w:r>
          </w:p>
        </w:tc>
        <w:tc>
          <w:tcPr>
            <w:tcW w:w="6551" w:type="dxa"/>
            <w:gridSpan w:val="3"/>
            <w:tcBorders>
              <w:top w:val="single" w:color="auto" w:sz="4" w:space="0"/>
              <w:left w:val="single" w:color="auto" w:sz="4" w:space="0"/>
              <w:right w:val="single" w:color="auto" w:sz="4" w:space="0"/>
            </w:tcBorders>
            <w:vAlign w:val="center"/>
          </w:tcPr>
          <w:p>
            <w:pPr>
              <w:spacing w:line="400" w:lineRule="exact"/>
              <w:jc w:val="left"/>
              <w:rPr>
                <w:rFonts w:ascii="宋体" w:hAnsi="宋体"/>
                <w:sz w:val="24"/>
              </w:rPr>
            </w:pPr>
            <w:r>
              <w:rPr>
                <w:rFonts w:hint="eastAsia" w:ascii="宋体" w:hAnsi="宋体"/>
                <w:sz w:val="24"/>
                <w:szCs w:val="24"/>
              </w:rPr>
              <w:t>广州南沙湿地旅游发展有限公司南沙湿地景区海景园餐饮配套设备采购项目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（2）</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采购人</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pStyle w:val="7"/>
            </w:pPr>
            <w:r>
              <w:rPr>
                <w:rFonts w:hint="eastAsia" w:ascii="宋体" w:hAnsi="宋体"/>
              </w:rPr>
              <w:t>广州南沙湿地旅游发展有限公司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（3）</w:t>
            </w:r>
          </w:p>
        </w:tc>
        <w:tc>
          <w:tcPr>
            <w:tcW w:w="1869" w:type="dxa"/>
            <w:tcBorders>
              <w:top w:val="single" w:color="auto" w:sz="4" w:space="0"/>
              <w:left w:val="single" w:color="auto" w:sz="4" w:space="0"/>
              <w:bottom w:val="single" w:color="auto" w:sz="4" w:space="0"/>
              <w:right w:val="single" w:color="auto" w:sz="4" w:space="0"/>
            </w:tcBorders>
            <w:vAlign w:val="center"/>
          </w:tcPr>
          <w:p>
            <w:pPr>
              <w:pStyle w:val="5"/>
              <w:tabs>
                <w:tab w:val="left" w:pos="630"/>
                <w:tab w:val="left" w:pos="1981"/>
              </w:tabs>
              <w:spacing w:line="240" w:lineRule="auto"/>
              <w:ind w:firstLine="240" w:firstLineChars="100"/>
              <w:rPr>
                <w:sz w:val="24"/>
              </w:rPr>
            </w:pPr>
            <w:r>
              <w:rPr>
                <w:b w:val="0"/>
                <w:bCs/>
                <w:sz w:val="24"/>
              </w:rPr>
              <w:t>投标有效期</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rFonts w:hint="eastAsia" w:ascii="宋体" w:hAnsi="宋体"/>
                <w:sz w:val="24"/>
              </w:rPr>
              <w:t>从投标截止日起，投标有效期为90天，中标人的投标有效期自动延长至合同终止为止。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（4）</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采购内容</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szCs w:val="24"/>
              </w:rPr>
              <w:t>详见用户需求书。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（5）</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服务质量</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必须符合国家、省、市、区的相关法律法规和采购人的要求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（6）</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统一结算币种</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均不计息以人民币元结算。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ind w:right="480"/>
              <w:jc w:val="center"/>
              <w:rPr>
                <w:rFonts w:ascii="宋体" w:hAnsi="宋体"/>
                <w:sz w:val="24"/>
              </w:rPr>
            </w:pPr>
            <w:r>
              <w:rPr>
                <w:rFonts w:hint="eastAsia" w:ascii="宋体" w:hAnsi="宋体"/>
                <w:sz w:val="24"/>
              </w:rPr>
              <w:t>（7）</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投标文件数量</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五份（一份正本、</w:t>
            </w:r>
            <w:r>
              <w:rPr>
                <w:rFonts w:hint="eastAsia" w:ascii="宋体" w:hAnsi="宋体" w:cs="宋体"/>
                <w:sz w:val="24"/>
              </w:rPr>
              <w:t>四</w:t>
            </w:r>
            <w:r>
              <w:rPr>
                <w:rFonts w:hint="eastAsia" w:ascii="宋体" w:hAnsi="宋体"/>
                <w:sz w:val="24"/>
              </w:rPr>
              <w:t>份副本）、电子文件一份、唱标信封一份。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（8）</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开标时间</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2022年5</w:t>
            </w:r>
            <w:r>
              <w:rPr>
                <w:rFonts w:hint="eastAsia" w:ascii="宋体"/>
                <w:bCs/>
                <w:sz w:val="24"/>
                <w:szCs w:val="24"/>
              </w:rPr>
              <w:t>月</w:t>
            </w:r>
            <w:r>
              <w:rPr>
                <w:rFonts w:hint="eastAsia" w:ascii="宋体"/>
                <w:bCs/>
                <w:sz w:val="24"/>
                <w:szCs w:val="24"/>
                <w:lang w:val="en-US" w:eastAsia="zh-CN"/>
              </w:rPr>
              <w:t>30</w:t>
            </w:r>
            <w:r>
              <w:rPr>
                <w:rFonts w:hint="eastAsia" w:ascii="宋体"/>
                <w:bCs/>
                <w:sz w:val="24"/>
                <w:szCs w:val="24"/>
              </w:rPr>
              <w:t>日</w:t>
            </w:r>
            <w:r>
              <w:rPr>
                <w:rFonts w:hint="eastAsia" w:ascii="宋体" w:hAnsi="宋体"/>
                <w:sz w:val="24"/>
                <w:lang w:val="en-US" w:eastAsia="zh-CN"/>
              </w:rPr>
              <w:t>9:30</w:t>
            </w:r>
            <w:bookmarkStart w:id="316" w:name="_GoBack"/>
            <w:bookmarkEnd w:id="316"/>
            <w:r>
              <w:rPr>
                <w:rFonts w:hint="eastAsia" w:ascii="宋体" w:hAnsi="宋体"/>
                <w:sz w:val="24"/>
              </w:rPr>
              <w:t>（北京时间）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1" w:hRule="atLeast"/>
          <w:jc w:val="center"/>
        </w:trPr>
        <w:tc>
          <w:tcPr>
            <w:tcW w:w="1310" w:type="dxa"/>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（9）</w:t>
            </w:r>
          </w:p>
        </w:tc>
        <w:tc>
          <w:tcPr>
            <w:tcW w:w="1869" w:type="dxa"/>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投标最高限价</w:t>
            </w:r>
          </w:p>
        </w:tc>
        <w:tc>
          <w:tcPr>
            <w:tcW w:w="6551" w:type="dxa"/>
            <w:gridSpan w:val="3"/>
            <w:tcBorders>
              <w:top w:val="single" w:color="auto" w:sz="4" w:space="0"/>
              <w:left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szCs w:val="24"/>
              </w:rPr>
              <w:t>480000.00元 （大写:人民币肆拾捌万元整）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3" w:hRule="atLeast"/>
          <w:jc w:val="center"/>
        </w:trPr>
        <w:tc>
          <w:tcPr>
            <w:tcW w:w="1310" w:type="dxa"/>
            <w:vMerge w:val="restart"/>
            <w:tcBorders>
              <w:top w:val="single" w:color="auto" w:sz="4" w:space="0"/>
              <w:left w:val="single" w:color="auto" w:sz="4" w:space="0"/>
              <w:right w:val="single" w:color="auto" w:sz="4" w:space="0"/>
            </w:tcBorders>
            <w:vAlign w:val="center"/>
          </w:tcPr>
          <w:p>
            <w:pPr>
              <w:spacing w:line="360" w:lineRule="auto"/>
              <w:ind w:right="480"/>
              <w:jc w:val="center"/>
              <w:rPr>
                <w:rFonts w:ascii="宋体" w:hAnsi="宋体"/>
                <w:sz w:val="24"/>
              </w:rPr>
            </w:pPr>
            <w:r>
              <w:rPr>
                <w:rFonts w:hint="eastAsia" w:ascii="宋体" w:hAnsi="宋体"/>
                <w:sz w:val="24"/>
              </w:rPr>
              <w:t>（10）</w:t>
            </w:r>
          </w:p>
        </w:tc>
        <w:tc>
          <w:tcPr>
            <w:tcW w:w="1869"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评审方法</w:t>
            </w:r>
          </w:p>
        </w:tc>
        <w:tc>
          <w:tcPr>
            <w:tcW w:w="6551"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综合评分法（</w:t>
            </w:r>
            <w:r>
              <w:rPr>
                <w:rFonts w:ascii="宋体" w:hAnsi="宋体"/>
                <w:sz w:val="24"/>
              </w:rPr>
              <w:t>100%</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4" w:hRule="atLeast"/>
          <w:jc w:val="center"/>
        </w:trPr>
        <w:tc>
          <w:tcPr>
            <w:tcW w:w="131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869" w:type="dxa"/>
            <w:vMerge w:val="continue"/>
            <w:tcBorders>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99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技术权重40</w:t>
            </w:r>
            <w:r>
              <w:rPr>
                <w:rFonts w:ascii="宋体" w:hAnsi="宋体"/>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商务权重30</w:t>
            </w:r>
            <w:r>
              <w:rPr>
                <w:rFonts w:ascii="宋体" w:hAnsi="宋体"/>
                <w:sz w:val="24"/>
              </w:rPr>
              <w:t>%</w:t>
            </w:r>
          </w:p>
        </w:tc>
        <w:tc>
          <w:tcPr>
            <w:tcW w:w="25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rPr>
            </w:pPr>
            <w:r>
              <w:rPr>
                <w:rFonts w:hint="eastAsia" w:ascii="宋体" w:hAnsi="宋体"/>
                <w:sz w:val="24"/>
              </w:rPr>
              <w:t>价格权重30</w:t>
            </w:r>
            <w:r>
              <w:rPr>
                <w:rFonts w:ascii="宋体" w:hAnsi="宋体"/>
                <w:sz w:val="24"/>
              </w:rPr>
              <w:t>%</w:t>
            </w:r>
          </w:p>
        </w:tc>
      </w:tr>
    </w:tbl>
    <w:p>
      <w:pPr>
        <w:pStyle w:val="26"/>
        <w:widowControl w:val="0"/>
        <w:spacing w:before="0" w:beforeAutospacing="0" w:after="0" w:afterAutospacing="0" w:line="360" w:lineRule="auto"/>
        <w:rPr>
          <w:b/>
        </w:rPr>
      </w:pPr>
      <w:r>
        <w:rPr>
          <w:kern w:val="2"/>
          <w:szCs w:val="24"/>
        </w:rPr>
        <w:br w:type="page"/>
      </w:r>
      <w:r>
        <w:rPr>
          <w:rFonts w:hint="eastAsia"/>
          <w:b/>
        </w:rPr>
        <w:t>投标人须知</w:t>
      </w:r>
    </w:p>
    <w:p>
      <w:pPr>
        <w:spacing w:line="360" w:lineRule="auto"/>
        <w:ind w:firstLine="482" w:firstLineChars="200"/>
        <w:rPr>
          <w:rFonts w:ascii="宋体" w:hAnsi="宋体" w:cs="Arial"/>
          <w:b/>
          <w:sz w:val="24"/>
        </w:rPr>
      </w:pPr>
      <w:r>
        <w:rPr>
          <w:rFonts w:hint="eastAsia" w:ascii="宋体" w:hAnsi="宋体" w:cs="Arial"/>
          <w:b/>
          <w:sz w:val="24"/>
        </w:rPr>
        <w:t>投标人必须认真阅读以下内容，以免造成投标失败。</w:t>
      </w:r>
    </w:p>
    <w:p>
      <w:pPr>
        <w:pStyle w:val="23"/>
        <w:ind w:firstLine="560"/>
      </w:pPr>
    </w:p>
    <w:p>
      <w:pPr>
        <w:pStyle w:val="4"/>
        <w:adjustRightInd/>
        <w:spacing w:before="48" w:after="48"/>
        <w:textAlignment w:val="auto"/>
        <w:rPr>
          <w:sz w:val="28"/>
          <w:szCs w:val="28"/>
        </w:rPr>
      </w:pPr>
      <w:bookmarkStart w:id="35" w:name="_Toc184442574"/>
      <w:r>
        <w:rPr>
          <w:rFonts w:hint="eastAsia"/>
          <w:sz w:val="28"/>
          <w:szCs w:val="28"/>
        </w:rPr>
        <w:t>一、总体说明</w:t>
      </w:r>
      <w:bookmarkEnd w:id="35"/>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适用范围</w:t>
      </w:r>
    </w:p>
    <w:p>
      <w:pPr>
        <w:spacing w:line="380" w:lineRule="exact"/>
        <w:ind w:firstLine="480" w:firstLineChars="200"/>
        <w:rPr>
          <w:rFonts w:ascii="宋体" w:hAnsi="宋体"/>
          <w:sz w:val="24"/>
        </w:rPr>
      </w:pPr>
      <w:r>
        <w:rPr>
          <w:rFonts w:hint="eastAsia" w:ascii="宋体" w:hAnsi="宋体"/>
          <w:sz w:val="24"/>
        </w:rPr>
        <w:t>本采购文件仅适用于本次投标邀请中所叙述的服务采购。本次采购采用一次报价一次评标定标的方式，投标人的报价必须固定，且只能作一个最有竞争力的报价和方案，否则将作无效投标处理。</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适用法律</w:t>
      </w:r>
    </w:p>
    <w:p>
      <w:pPr>
        <w:spacing w:line="380" w:lineRule="exact"/>
        <w:ind w:firstLine="480" w:firstLineChars="200"/>
        <w:rPr>
          <w:rFonts w:ascii="宋体" w:hAnsi="宋体"/>
          <w:sz w:val="24"/>
          <w:lang w:val="en-GB"/>
        </w:rPr>
      </w:pPr>
      <w:r>
        <w:rPr>
          <w:rFonts w:hint="eastAsia" w:ascii="宋体" w:hAnsi="宋体"/>
          <w:sz w:val="24"/>
          <w:lang w:val="en-GB"/>
        </w:rPr>
        <w:t>本次</w:t>
      </w:r>
      <w:r>
        <w:rPr>
          <w:rFonts w:hint="eastAsia" w:ascii="宋体" w:hAnsi="宋体"/>
          <w:sz w:val="24"/>
        </w:rPr>
        <w:t>采购</w:t>
      </w:r>
      <w:r>
        <w:rPr>
          <w:rFonts w:hint="eastAsia" w:ascii="宋体" w:hAnsi="宋体"/>
          <w:sz w:val="24"/>
          <w:lang w:val="en-GB"/>
        </w:rPr>
        <w:t>适用的主要法律法规为《中华人民共和国招标投标法》及国家和地方政府招标投标相关法规。</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采购</w:t>
      </w:r>
      <w:r>
        <w:rPr>
          <w:sz w:val="24"/>
        </w:rPr>
        <w:t>内容</w:t>
      </w:r>
    </w:p>
    <w:p>
      <w:pPr>
        <w:pStyle w:val="2"/>
        <w:spacing w:line="380" w:lineRule="exact"/>
        <w:ind w:firstLine="480" w:firstLineChars="200"/>
        <w:jc w:val="left"/>
        <w:rPr>
          <w:rFonts w:ascii="宋体" w:hAnsi="宋体" w:eastAsia="宋体"/>
          <w:b w:val="0"/>
          <w:kern w:val="0"/>
          <w:sz w:val="24"/>
        </w:rPr>
      </w:pPr>
      <w:r>
        <w:rPr>
          <w:rFonts w:hint="eastAsia" w:ascii="宋体" w:hAnsi="宋体" w:eastAsia="宋体"/>
          <w:b w:val="0"/>
          <w:kern w:val="0"/>
          <w:sz w:val="24"/>
        </w:rPr>
        <w:t>本次采购的内容为确定广州南沙湿地旅游发展有限公司南沙湿地景区海景园餐饮配套设备采购项目的承包商。</w:t>
      </w:r>
    </w:p>
    <w:p>
      <w:pPr>
        <w:spacing w:line="380" w:lineRule="exact"/>
        <w:ind w:firstLine="480" w:firstLineChars="200"/>
        <w:rPr>
          <w:rFonts w:ascii="宋体" w:hAnsi="宋体"/>
          <w:sz w:val="24"/>
        </w:rPr>
      </w:pPr>
      <w:r>
        <w:rPr>
          <w:rFonts w:hint="eastAsia" w:ascii="宋体" w:hAnsi="宋体"/>
          <w:sz w:val="24"/>
        </w:rPr>
        <w:t>服务地点：详见用户需求书</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关于投标人</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具有独立承担民事责任能力的在中华人民共和国境内注册的法人或其他组织，并取得合法企业工商营业执照且具有相关经营范围；</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bCs/>
          <w:sz w:val="24"/>
          <w:szCs w:val="24"/>
        </w:rPr>
        <w:t>投标人应是所投货物的制造商，具备</w:t>
      </w:r>
      <w:r>
        <w:rPr>
          <w:rFonts w:hint="eastAsia" w:ascii="宋体" w:hAnsi="宋体"/>
          <w:sz w:val="24"/>
          <w:szCs w:val="24"/>
        </w:rPr>
        <w:t>本次采购标的设备的生产资格、生产能力、销售、安装能力的，并具有较强的经济实力、良好信誉和售后服务能力的厂家，均可参加投标。</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本项目不拆分，不接受联合体投标。</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投标人在参加本次采购活动前三年内，在经营活动中（公司或法人）无重大违法记录；</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单位负责人为同一人或者存在直接控股、管理关系的不同供应商，不得同时参加本项采购投标。</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投标人按照投标邀请函的附件1内容签署盖章的投标申请人声明原件；</w:t>
      </w:r>
    </w:p>
    <w:p>
      <w:pPr>
        <w:numPr>
          <w:ilvl w:val="0"/>
          <w:numId w:val="6"/>
        </w:numPr>
        <w:tabs>
          <w:tab w:val="left" w:pos="425"/>
          <w:tab w:val="left" w:pos="567"/>
        </w:tabs>
        <w:autoSpaceDE w:val="0"/>
        <w:autoSpaceDN w:val="0"/>
        <w:adjustRightInd w:val="0"/>
        <w:snapToGrid w:val="0"/>
        <w:spacing w:line="380" w:lineRule="exact"/>
        <w:ind w:firstLine="480" w:firstLineChars="200"/>
        <w:jc w:val="left"/>
        <w:rPr>
          <w:rFonts w:ascii="宋体" w:hAnsi="宋体"/>
          <w:sz w:val="24"/>
          <w:szCs w:val="24"/>
        </w:rPr>
      </w:pPr>
      <w:r>
        <w:rPr>
          <w:rFonts w:hint="eastAsia" w:ascii="宋体" w:hAnsi="宋体"/>
          <w:sz w:val="24"/>
          <w:szCs w:val="24"/>
        </w:rPr>
        <w:t>提供相同品牌产品的不同投标人参加投标的，按一家投标供应商计算。</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关于投标费用</w:t>
      </w:r>
    </w:p>
    <w:p>
      <w:pPr>
        <w:spacing w:line="380" w:lineRule="exact"/>
        <w:ind w:firstLine="480" w:firstLineChars="200"/>
        <w:rPr>
          <w:rFonts w:ascii="宋体" w:hAnsi="宋体"/>
          <w:sz w:val="24"/>
          <w:lang w:val="en-GB"/>
        </w:rPr>
      </w:pPr>
      <w:r>
        <w:rPr>
          <w:rFonts w:hint="eastAsia" w:ascii="宋体" w:hAnsi="宋体"/>
          <w:sz w:val="24"/>
        </w:rPr>
        <w:t>不论投标的结果如何，投标人应承担所有与其参加本次投标活动有关的费用</w:t>
      </w:r>
      <w:r>
        <w:rPr>
          <w:rFonts w:hint="eastAsia" w:ascii="宋体" w:hAnsi="宋体"/>
          <w:sz w:val="24"/>
          <w:lang w:val="en-GB"/>
        </w:rPr>
        <w:t>。</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定义</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“采购人”系指依法进行招标的国家机关、事业单位、团体组织，本项目的采购人是广州南沙湿地旅游发展有限公司。</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“业主</w:t>
      </w:r>
      <w:r>
        <w:rPr>
          <w:rFonts w:ascii="宋体" w:hAnsi="宋体"/>
          <w:sz w:val="24"/>
        </w:rPr>
        <w:t>/</w:t>
      </w:r>
      <w:r>
        <w:rPr>
          <w:rFonts w:hint="eastAsia" w:ascii="宋体" w:hAnsi="宋体"/>
          <w:sz w:val="24"/>
        </w:rPr>
        <w:t>用户”系指本招标项目的最终使用单位，本项目的业主</w:t>
      </w:r>
      <w:r>
        <w:rPr>
          <w:rFonts w:ascii="宋体" w:hAnsi="宋体"/>
          <w:sz w:val="24"/>
        </w:rPr>
        <w:t>/</w:t>
      </w:r>
      <w:r>
        <w:rPr>
          <w:rFonts w:hint="eastAsia" w:ascii="宋体" w:hAnsi="宋体"/>
          <w:sz w:val="24"/>
        </w:rPr>
        <w:t>用户是广州南沙湿地旅游发展有限公司。</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“投标人”系指向采购人提交投标文件的合格供应商。</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“中标单位”系指经评标委员会评审推荐、采购人确认的获得本项目中标资格的投标人。</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“实质性响应”系指符合采购文件的所有要求、条款、条件和规定，且没有不利于项目实施质量效果和服务保障的重大偏离或保留。</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“重大偏离或保留”系指影响到采购文件规定的范围、质量和性能或限制了采购人的权力和投标人义务的规定，而纠正这些偏离将影响到其它投标人的公平竞争地位。</w:t>
      </w:r>
    </w:p>
    <w:p>
      <w:pPr>
        <w:numPr>
          <w:ilvl w:val="2"/>
          <w:numId w:val="5"/>
        </w:numPr>
        <w:tabs>
          <w:tab w:val="left" w:pos="-5220"/>
          <w:tab w:val="left" w:pos="-4320"/>
          <w:tab w:val="left" w:pos="780"/>
        </w:tabs>
        <w:adjustRightInd w:val="0"/>
        <w:spacing w:line="380" w:lineRule="exact"/>
        <w:ind w:left="0" w:firstLine="480" w:firstLineChars="200"/>
        <w:rPr>
          <w:rFonts w:ascii="宋体" w:hAnsi="宋体"/>
          <w:sz w:val="24"/>
        </w:rPr>
      </w:pPr>
      <w:r>
        <w:rPr>
          <w:rFonts w:hint="eastAsia" w:ascii="宋体" w:hAnsi="宋体"/>
          <w:sz w:val="24"/>
        </w:rPr>
        <w:t>本采购文件所涉及的日期时间，没有特别说明时系指北京时间，天数为日历日。</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合格的</w:t>
      </w:r>
      <w:r>
        <w:rPr>
          <w:rFonts w:hint="eastAsia"/>
          <w:sz w:val="24"/>
        </w:rPr>
        <w:t>货物和</w:t>
      </w:r>
      <w:r>
        <w:rPr>
          <w:sz w:val="24"/>
        </w:rPr>
        <w:t>服务</w:t>
      </w:r>
    </w:p>
    <w:p>
      <w:pPr>
        <w:numPr>
          <w:ilvl w:val="2"/>
          <w:numId w:val="5"/>
        </w:numPr>
        <w:tabs>
          <w:tab w:val="left" w:pos="-5220"/>
          <w:tab w:val="left" w:pos="780"/>
        </w:tabs>
        <w:spacing w:line="380" w:lineRule="exact"/>
        <w:ind w:left="0" w:firstLine="480" w:firstLineChars="200"/>
        <w:rPr>
          <w:rFonts w:ascii="宋体" w:hAnsi="宋体"/>
          <w:sz w:val="24"/>
        </w:rPr>
      </w:pPr>
      <w:r>
        <w:rPr>
          <w:rFonts w:hint="eastAsia" w:ascii="宋体" w:hAnsi="宋体" w:cs="宋体"/>
          <w:sz w:val="24"/>
        </w:rPr>
        <w:t>“货物”是指投标人制造或组织符合采购文件要求的货物等。投标的货物必须是其合法生产、合法来源的符合国家有关标准要求的货物，并满足采购文件规定的规格、参数、质量、价格、有效期、售后服务等要求。</w:t>
      </w:r>
    </w:p>
    <w:p>
      <w:pPr>
        <w:numPr>
          <w:ilvl w:val="2"/>
          <w:numId w:val="5"/>
        </w:numPr>
        <w:tabs>
          <w:tab w:val="left" w:pos="-5220"/>
          <w:tab w:val="left" w:pos="780"/>
        </w:tabs>
        <w:spacing w:line="380" w:lineRule="exact"/>
        <w:ind w:left="0" w:firstLine="480" w:firstLineChars="200"/>
        <w:rPr>
          <w:rFonts w:ascii="宋体" w:hAnsi="宋体"/>
          <w:sz w:val="24"/>
        </w:rPr>
      </w:pPr>
      <w:r>
        <w:rPr>
          <w:rFonts w:hint="eastAsia" w:ascii="宋体" w:hAnsi="宋体" w:cs="宋体"/>
          <w:sz w:val="24"/>
        </w:rPr>
        <w:t>“服务”是指投标人须承担的运输、安装、技术支持、培训以及采购文件规定的其它伴随服务。</w:t>
      </w:r>
    </w:p>
    <w:p>
      <w:pPr>
        <w:numPr>
          <w:ilvl w:val="2"/>
          <w:numId w:val="5"/>
        </w:numPr>
        <w:tabs>
          <w:tab w:val="left" w:pos="-5220"/>
          <w:tab w:val="left" w:pos="780"/>
        </w:tabs>
        <w:spacing w:line="380" w:lineRule="exact"/>
        <w:ind w:left="0" w:firstLine="480" w:firstLineChars="200"/>
        <w:rPr>
          <w:rFonts w:ascii="宋体" w:hAnsi="宋体"/>
          <w:sz w:val="24"/>
        </w:rPr>
      </w:pPr>
      <w:r>
        <w:rPr>
          <w:rFonts w:hint="eastAsia" w:ascii="宋体" w:hAnsi="宋体"/>
          <w:sz w:val="24"/>
        </w:rPr>
        <w:t>采购人将拒绝接受不合格的货物及服务，并有权不予支付任何费用，同时保留追究相关责任的权利。</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知识产权</w:t>
      </w:r>
    </w:p>
    <w:p>
      <w:pPr>
        <w:spacing w:line="380" w:lineRule="exact"/>
        <w:ind w:firstLine="480" w:firstLineChars="200"/>
        <w:rPr>
          <w:rFonts w:ascii="宋体" w:hAnsi="宋体"/>
          <w:sz w:val="24"/>
          <w:lang w:val="en-GB"/>
        </w:rPr>
      </w:pPr>
      <w:r>
        <w:rPr>
          <w:rFonts w:hint="eastAsia" w:ascii="宋体" w:hAnsi="宋体"/>
          <w:sz w:val="24"/>
          <w:lang w:val="en-GB"/>
        </w:rPr>
        <w:t>投标人必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纪律与保密事项</w:t>
      </w:r>
    </w:p>
    <w:p>
      <w:pPr>
        <w:spacing w:line="380" w:lineRule="exact"/>
        <w:ind w:firstLine="480" w:firstLineChars="200"/>
        <w:rPr>
          <w:rFonts w:ascii="宋体" w:hAnsi="宋体"/>
          <w:sz w:val="24"/>
        </w:rPr>
      </w:pPr>
      <w:r>
        <w:rPr>
          <w:rFonts w:hint="eastAsia" w:ascii="宋体" w:hAnsi="宋体"/>
          <w:sz w:val="24"/>
        </w:rPr>
        <w:t>投标人不得相互串通投标报价，不得妨碍其他投标人的公平竞争，不得损害采购人或其他投标人的合法权益，投标人不得以向采购人、评标委员会成员行贿或者采取其他不正当手段谋取中标。除投标人被要求对投标文件进行澄清外，在确定中标人之前，投标人不得与采购人就投标价格、中标人案等实质性内容进行谈判，也不得私下接触评标委员会成员。在确定中标人之前，投标人试图在投标文件审查、澄清、比较和评价时对评标委员会、采购人施加任何影响都可能导致其投标文件被拒绝。获得本采购文件者，不得将采购文件用作本次投标以外的任何用途，若有要求，开标后，投标人应归还采购文件中的保密的文件和资料。除非得到采购人的同意，不能向任何第三方透露。开标结束后，应采购人要求，投标人应归还所有从采购人处获得的保密资料。</w:t>
      </w:r>
    </w:p>
    <w:p>
      <w:pPr>
        <w:pStyle w:val="4"/>
        <w:adjustRightInd/>
        <w:spacing w:before="48" w:after="48" w:line="380" w:lineRule="exact"/>
        <w:textAlignment w:val="auto"/>
        <w:rPr>
          <w:sz w:val="28"/>
          <w:szCs w:val="28"/>
        </w:rPr>
      </w:pPr>
      <w:r>
        <w:rPr>
          <w:rFonts w:hint="eastAsia"/>
          <w:sz w:val="28"/>
          <w:szCs w:val="28"/>
        </w:rPr>
        <w:t>二、采购文件</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关于</w:t>
      </w:r>
      <w:r>
        <w:rPr>
          <w:rFonts w:hint="eastAsia"/>
          <w:sz w:val="24"/>
        </w:rPr>
        <w:t>采购文件</w:t>
      </w:r>
    </w:p>
    <w:p>
      <w:pPr>
        <w:spacing w:line="380" w:lineRule="exact"/>
        <w:ind w:firstLine="480" w:firstLineChars="200"/>
        <w:rPr>
          <w:rFonts w:ascii="宋体" w:hAnsi="宋体"/>
          <w:sz w:val="24"/>
        </w:rPr>
      </w:pPr>
      <w:r>
        <w:rPr>
          <w:rFonts w:hint="eastAsia" w:ascii="宋体" w:hAnsi="宋体"/>
          <w:sz w:val="24"/>
        </w:rPr>
        <w:t>采购文件是采购人作为阐明所需服务的基本要求，采购文件、投标文件、评标结果、合同书和相关承诺确认文件均作为任何一方当事人履约的重要依据。</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采购文件</w:t>
      </w:r>
      <w:r>
        <w:rPr>
          <w:sz w:val="24"/>
        </w:rPr>
        <w:t>的组成</w:t>
      </w:r>
    </w:p>
    <w:p>
      <w:pPr>
        <w:numPr>
          <w:ilvl w:val="2"/>
          <w:numId w:val="5"/>
        </w:numPr>
        <w:tabs>
          <w:tab w:val="left" w:pos="-5220"/>
        </w:tabs>
        <w:spacing w:line="380" w:lineRule="exact"/>
        <w:rPr>
          <w:rFonts w:ascii="宋体" w:hAnsi="宋体"/>
          <w:sz w:val="24"/>
        </w:rPr>
      </w:pPr>
      <w:r>
        <w:rPr>
          <w:rFonts w:hint="eastAsia" w:ascii="宋体" w:hAnsi="宋体"/>
          <w:sz w:val="24"/>
        </w:rPr>
        <w:t>投标邀请</w:t>
      </w:r>
    </w:p>
    <w:p>
      <w:pPr>
        <w:numPr>
          <w:ilvl w:val="2"/>
          <w:numId w:val="5"/>
        </w:numPr>
        <w:tabs>
          <w:tab w:val="left" w:pos="-5220"/>
        </w:tabs>
        <w:spacing w:line="380" w:lineRule="exact"/>
        <w:rPr>
          <w:rFonts w:ascii="宋体" w:hAnsi="宋体"/>
          <w:sz w:val="24"/>
        </w:rPr>
      </w:pPr>
      <w:r>
        <w:rPr>
          <w:rFonts w:hint="eastAsia" w:ascii="宋体" w:hAnsi="宋体"/>
          <w:sz w:val="24"/>
        </w:rPr>
        <w:t>投标人须知</w:t>
      </w:r>
    </w:p>
    <w:p>
      <w:pPr>
        <w:numPr>
          <w:ilvl w:val="2"/>
          <w:numId w:val="5"/>
        </w:numPr>
        <w:tabs>
          <w:tab w:val="left" w:pos="-5220"/>
        </w:tabs>
        <w:spacing w:line="380" w:lineRule="exact"/>
        <w:rPr>
          <w:rFonts w:ascii="宋体" w:hAnsi="宋体"/>
          <w:sz w:val="24"/>
        </w:rPr>
      </w:pPr>
      <w:r>
        <w:rPr>
          <w:rFonts w:hint="eastAsia" w:ascii="宋体" w:hAnsi="宋体"/>
          <w:sz w:val="24"/>
        </w:rPr>
        <w:t>用户需求书</w:t>
      </w:r>
    </w:p>
    <w:p>
      <w:pPr>
        <w:numPr>
          <w:ilvl w:val="2"/>
          <w:numId w:val="5"/>
        </w:numPr>
        <w:tabs>
          <w:tab w:val="left" w:pos="-5220"/>
        </w:tabs>
        <w:spacing w:line="380" w:lineRule="exact"/>
        <w:rPr>
          <w:rFonts w:ascii="宋体" w:hAnsi="宋体"/>
          <w:sz w:val="24"/>
        </w:rPr>
      </w:pPr>
      <w:r>
        <w:rPr>
          <w:rFonts w:hint="eastAsia" w:ascii="宋体" w:hAnsi="宋体"/>
          <w:sz w:val="24"/>
        </w:rPr>
        <w:t>合同文本</w:t>
      </w:r>
    </w:p>
    <w:p>
      <w:pPr>
        <w:numPr>
          <w:ilvl w:val="2"/>
          <w:numId w:val="5"/>
        </w:numPr>
        <w:tabs>
          <w:tab w:val="left" w:pos="-5220"/>
        </w:tabs>
        <w:spacing w:line="380" w:lineRule="exact"/>
        <w:rPr>
          <w:rFonts w:ascii="宋体" w:hAnsi="宋体"/>
          <w:sz w:val="24"/>
        </w:rPr>
      </w:pPr>
      <w:r>
        <w:rPr>
          <w:rFonts w:hint="eastAsia" w:ascii="宋体" w:hAnsi="宋体"/>
          <w:sz w:val="24"/>
        </w:rPr>
        <w:t>附件（格式）</w:t>
      </w:r>
    </w:p>
    <w:p>
      <w:pPr>
        <w:numPr>
          <w:ilvl w:val="2"/>
          <w:numId w:val="5"/>
        </w:numPr>
        <w:tabs>
          <w:tab w:val="left" w:pos="-5220"/>
        </w:tabs>
        <w:spacing w:line="380" w:lineRule="exact"/>
        <w:rPr>
          <w:rFonts w:ascii="宋体" w:hAnsi="宋体"/>
          <w:sz w:val="24"/>
        </w:rPr>
      </w:pPr>
      <w:r>
        <w:rPr>
          <w:rFonts w:hint="eastAsia" w:ascii="宋体" w:hAnsi="宋体"/>
          <w:sz w:val="24"/>
        </w:rPr>
        <w:t>评标细则</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采购文件</w:t>
      </w:r>
      <w:r>
        <w:rPr>
          <w:sz w:val="24"/>
        </w:rPr>
        <w:t>的澄清和修改</w:t>
      </w:r>
    </w:p>
    <w:p>
      <w:pPr>
        <w:spacing w:line="380" w:lineRule="exact"/>
        <w:ind w:firstLine="480" w:firstLineChars="200"/>
        <w:rPr>
          <w:rFonts w:ascii="宋体" w:hAnsi="宋体"/>
          <w:sz w:val="24"/>
        </w:rPr>
      </w:pPr>
      <w:r>
        <w:rPr>
          <w:rFonts w:hint="eastAsia" w:ascii="宋体" w:hAnsi="宋体"/>
          <w:sz w:val="24"/>
        </w:rPr>
        <w:t>投标人如对采购文件有任何疑问，均应在投标文件递交截止日5天前以书面形式（包括书面文字、电传、传真、电报等，应加盖公章）向采购人提出澄清要求。</w:t>
      </w:r>
    </w:p>
    <w:p>
      <w:pPr>
        <w:spacing w:line="380" w:lineRule="exact"/>
        <w:ind w:firstLine="480" w:firstLineChars="200"/>
        <w:rPr>
          <w:rFonts w:ascii="宋体" w:hAnsi="宋体"/>
          <w:sz w:val="24"/>
        </w:rPr>
      </w:pPr>
      <w:r>
        <w:rPr>
          <w:rFonts w:hint="eastAsia" w:ascii="宋体" w:hAnsi="宋体"/>
          <w:sz w:val="24"/>
        </w:rPr>
        <w:t>对采购文件进行必要的澄清修改或对投标人澄清要求的回复，采购人将视情况确定采用适当方式予以澄清或以书面形式予以答复，并在其认为必要时，将不标明询问来源的书面答复发送给每个领取采购文件的投标人；投标人在收到澄清或修改通知后24小时内应立即以书面形式（应加盖公章）予以确认，逾期不提交书面确认的，视为已确认。</w:t>
      </w:r>
    </w:p>
    <w:p>
      <w:pPr>
        <w:spacing w:line="380" w:lineRule="exact"/>
        <w:ind w:firstLine="480" w:firstLineChars="200"/>
        <w:rPr>
          <w:rFonts w:ascii="宋体" w:hAnsi="宋体"/>
          <w:sz w:val="24"/>
        </w:rPr>
      </w:pPr>
      <w:r>
        <w:rPr>
          <w:rFonts w:hint="eastAsia" w:ascii="宋体" w:hAnsi="宋体"/>
          <w:sz w:val="24"/>
        </w:rPr>
        <w:t>招标过程中的一切修改文件或补充文件一旦确认后与采购文件具有同等法律效力，投标人有责任履行相应的义务。</w:t>
      </w:r>
    </w:p>
    <w:p>
      <w:pPr>
        <w:spacing w:line="380" w:lineRule="exact"/>
        <w:ind w:firstLine="480" w:firstLineChars="200"/>
        <w:rPr>
          <w:rFonts w:ascii="宋体" w:hAnsi="宋体"/>
          <w:sz w:val="24"/>
        </w:rPr>
      </w:pPr>
      <w:r>
        <w:rPr>
          <w:rFonts w:hint="eastAsia" w:ascii="宋体" w:hAnsi="宋体"/>
          <w:sz w:val="24"/>
        </w:rPr>
        <w:t>为使潜在投标人有合理的时间理解采购文件的修改，采购人可酌情推迟投标截止日期和开标时间。</w:t>
      </w:r>
    </w:p>
    <w:p>
      <w:pPr>
        <w:pStyle w:val="4"/>
        <w:adjustRightInd/>
        <w:spacing w:before="48" w:after="48" w:line="380" w:lineRule="exact"/>
        <w:textAlignment w:val="auto"/>
        <w:rPr>
          <w:sz w:val="28"/>
          <w:szCs w:val="28"/>
        </w:rPr>
      </w:pPr>
      <w:bookmarkStart w:id="36" w:name="_Toc184442576"/>
      <w:r>
        <w:rPr>
          <w:rFonts w:hint="eastAsia"/>
          <w:sz w:val="28"/>
          <w:szCs w:val="28"/>
        </w:rPr>
        <w:t>三、投标总则</w:t>
      </w:r>
      <w:bookmarkEnd w:id="36"/>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投标文件的编写</w:t>
      </w:r>
    </w:p>
    <w:p>
      <w:pPr>
        <w:spacing w:line="380" w:lineRule="exact"/>
        <w:ind w:firstLine="480" w:firstLineChars="200"/>
        <w:rPr>
          <w:rFonts w:ascii="宋体" w:hAnsi="宋体"/>
          <w:sz w:val="24"/>
        </w:rPr>
      </w:pPr>
      <w:r>
        <w:rPr>
          <w:rFonts w:hint="eastAsia" w:ascii="宋体" w:hAnsi="宋体"/>
          <w:sz w:val="24"/>
        </w:rPr>
        <w:t>投标人应仔细阅读采购文件的所有内容，并按采购文件的规定及附件要求的内容和格式，提交完整的投标文件，并保证所提供全部资料的真实性，所有不完整的投标将被拒绝。</w:t>
      </w:r>
    </w:p>
    <w:p>
      <w:pPr>
        <w:spacing w:line="380" w:lineRule="exact"/>
        <w:ind w:firstLine="480" w:firstLineChars="200"/>
        <w:rPr>
          <w:rFonts w:ascii="宋体" w:hAnsi="宋体"/>
          <w:sz w:val="24"/>
        </w:rPr>
      </w:pPr>
      <w:r>
        <w:rPr>
          <w:rFonts w:hint="eastAsia" w:ascii="宋体" w:hAnsi="宋体"/>
          <w:sz w:val="24"/>
        </w:rPr>
        <w:t>投标文件和来往函件应用中文书写，投标人提供的支持文件、技术资料和印刷的文献可以用其它语言，但相应内容应附有中文翻译本，以中文为准，计量单位应使用国际公制单位。</w:t>
      </w:r>
    </w:p>
    <w:p>
      <w:pPr>
        <w:spacing w:line="380" w:lineRule="exact"/>
        <w:ind w:firstLine="480" w:firstLineChars="200"/>
        <w:rPr>
          <w:rFonts w:ascii="宋体" w:hAnsi="宋体"/>
          <w:sz w:val="24"/>
        </w:rPr>
      </w:pPr>
      <w:r>
        <w:rPr>
          <w:rFonts w:hint="eastAsia" w:ascii="宋体" w:hAnsi="宋体"/>
          <w:sz w:val="24"/>
        </w:rPr>
        <w:t>投标人投标总价是以投标人可独立完成本项目，并在通过准确核算后，可满足预期实施效果、符合自身合法利益的前提下所作出的综合性合理最终含税报价。投标人应自行增加项目正常、合法及使用所必需但采购文件没有列明或包含的内容及费用，并在投标文件中加以详细说明，如果投标人在中标并签署合同后，在提供招标范围内的货物及服务工作中出现的任何遗漏，均由中标人免费提供，采购人将不再支付任何费用。对超出常规、具有特别意义或会引起竞争非议的报价须作出特别说明。</w:t>
      </w:r>
    </w:p>
    <w:p>
      <w:pPr>
        <w:spacing w:line="380" w:lineRule="exact"/>
        <w:ind w:firstLine="482" w:firstLineChars="200"/>
        <w:rPr>
          <w:rFonts w:ascii="宋体" w:hAnsi="宋体"/>
          <w:b/>
          <w:sz w:val="24"/>
        </w:rPr>
      </w:pPr>
      <w:r>
        <w:rPr>
          <w:rFonts w:hint="eastAsia" w:ascii="宋体" w:hAnsi="宋体"/>
          <w:b/>
          <w:sz w:val="24"/>
        </w:rPr>
        <w:t>采购文件中，如标有“</w:t>
      </w:r>
      <w:r>
        <w:rPr>
          <w:rFonts w:hint="eastAsia"/>
          <w:b/>
          <w:sz w:val="24"/>
        </w:rPr>
        <w:t>★</w:t>
      </w:r>
      <w:r>
        <w:rPr>
          <w:rFonts w:hint="eastAsia" w:ascii="宋体" w:hAnsi="宋体"/>
          <w:b/>
          <w:sz w:val="24"/>
        </w:rPr>
        <w:t>”的地方均为必须完全满足指标，投标人须进行实质性响应，投标人若有一项带“</w:t>
      </w:r>
      <w:r>
        <w:rPr>
          <w:rFonts w:hint="eastAsia"/>
          <w:b/>
          <w:sz w:val="24"/>
        </w:rPr>
        <w:t>★</w:t>
      </w:r>
      <w:r>
        <w:rPr>
          <w:rFonts w:hint="eastAsia" w:ascii="宋体" w:hAnsi="宋体"/>
          <w:b/>
          <w:sz w:val="24"/>
        </w:rPr>
        <w:t>”的条款未响应或不满足，将按无效投标处理。</w:t>
      </w:r>
    </w:p>
    <w:p>
      <w:pPr>
        <w:spacing w:line="380" w:lineRule="exact"/>
        <w:ind w:firstLine="482" w:firstLineChars="200"/>
        <w:rPr>
          <w:rFonts w:ascii="宋体" w:hAnsi="宋体"/>
          <w:b/>
          <w:sz w:val="24"/>
        </w:rPr>
      </w:pPr>
      <w:r>
        <w:rPr>
          <w:rFonts w:hint="eastAsia" w:ascii="宋体" w:hAnsi="宋体"/>
          <w:b/>
          <w:sz w:val="24"/>
        </w:rPr>
        <w:t>采购文件中，如标有“</w:t>
      </w:r>
      <w:r>
        <w:rPr>
          <w:rFonts w:hint="eastAsia" w:ascii="宋体" w:hAnsi="宋体" w:cs="宋体"/>
          <w:sz w:val="24"/>
        </w:rPr>
        <w:t>▲</w:t>
      </w:r>
      <w:r>
        <w:rPr>
          <w:rFonts w:hint="eastAsia" w:ascii="宋体" w:hAnsi="宋体"/>
          <w:b/>
          <w:sz w:val="24"/>
        </w:rPr>
        <w:t>”的地方均为重要参数和指标要求条款，投标人若有部分“</w:t>
      </w:r>
      <w:r>
        <w:rPr>
          <w:rFonts w:hint="eastAsia" w:ascii="宋体" w:hAnsi="宋体" w:cs="宋体"/>
          <w:sz w:val="24"/>
        </w:rPr>
        <w:t>▲</w:t>
      </w:r>
      <w:r>
        <w:rPr>
          <w:rFonts w:hint="eastAsia" w:ascii="宋体" w:hAnsi="宋体"/>
          <w:b/>
          <w:sz w:val="24"/>
        </w:rPr>
        <w:t>”条款未响应或不满足，将导致其响应性评审严重扣分。</w:t>
      </w:r>
    </w:p>
    <w:p>
      <w:pPr>
        <w:spacing w:line="380" w:lineRule="exact"/>
        <w:ind w:firstLine="482" w:firstLineChars="200"/>
        <w:rPr>
          <w:rFonts w:ascii="宋体" w:hAnsi="宋体"/>
          <w:b/>
          <w:sz w:val="24"/>
          <w:szCs w:val="22"/>
        </w:rPr>
      </w:pPr>
      <w:r>
        <w:rPr>
          <w:rFonts w:hint="eastAsia" w:ascii="宋体" w:hAnsi="宋体"/>
          <w:b/>
          <w:sz w:val="24"/>
          <w:szCs w:val="22"/>
        </w:rPr>
        <w:t>★本项目最高限价为：</w:t>
      </w:r>
      <w:bookmarkStart w:id="37" w:name="_Toc367884850"/>
      <w:bookmarkStart w:id="38" w:name="_Toc361990148"/>
      <w:bookmarkStart w:id="39" w:name="_Toc119321130"/>
      <w:bookmarkStart w:id="40" w:name="_Toc136682895"/>
      <w:bookmarkStart w:id="41" w:name="_Toc397349687"/>
      <w:bookmarkStart w:id="42" w:name="_Toc157504573"/>
      <w:bookmarkStart w:id="43" w:name="_Toc136662919"/>
      <w:bookmarkStart w:id="44" w:name="_Toc361989945"/>
      <w:bookmarkStart w:id="45" w:name="_Toc367885865"/>
      <w:bookmarkStart w:id="46" w:name="_Toc397349838"/>
      <w:r>
        <w:rPr>
          <w:rFonts w:hint="eastAsia" w:ascii="宋体" w:hAnsi="宋体"/>
          <w:b/>
          <w:sz w:val="24"/>
        </w:rPr>
        <w:t>480000.00元 （大写:人民币肆拾捌万元整）。</w:t>
      </w:r>
      <w:r>
        <w:rPr>
          <w:rFonts w:hint="eastAsia" w:ascii="宋体" w:hAnsi="宋体"/>
          <w:b/>
          <w:sz w:val="24"/>
          <w:szCs w:val="22"/>
        </w:rPr>
        <w:t>供应商报价超出最高限价视为非实质性响应投标而予以拒绝。</w:t>
      </w:r>
    </w:p>
    <w:bookmarkEnd w:id="37"/>
    <w:bookmarkEnd w:id="38"/>
    <w:bookmarkEnd w:id="39"/>
    <w:bookmarkEnd w:id="40"/>
    <w:bookmarkEnd w:id="41"/>
    <w:bookmarkEnd w:id="42"/>
    <w:bookmarkEnd w:id="43"/>
    <w:bookmarkEnd w:id="44"/>
    <w:bookmarkEnd w:id="45"/>
    <w:bookmarkEnd w:id="46"/>
    <w:p>
      <w:pPr>
        <w:spacing w:line="380" w:lineRule="exact"/>
        <w:ind w:firstLine="482" w:firstLineChars="200"/>
      </w:pPr>
      <w:r>
        <w:rPr>
          <w:rFonts w:hint="eastAsia" w:ascii="宋体" w:hAnsi="宋体"/>
          <w:b/>
          <w:sz w:val="24"/>
          <w:szCs w:val="22"/>
        </w:rPr>
        <w:t>★供应商项目报价低于最高限价80%（含80%）的，必须出具详细的成本分析（包含项目实施各项工作的具体成本、办公、交通、税费、利润等的详细说明）及相关佐证材料，供应商未提供成本分析或者不能合理说明成本偏低原因的，评标委员会有权视为以低于成本的报价竞标，按无效投标处理。</w:t>
      </w:r>
    </w:p>
    <w:p>
      <w:pPr>
        <w:spacing w:line="380" w:lineRule="exact"/>
        <w:ind w:firstLine="480" w:firstLineChars="200"/>
        <w:rPr>
          <w:rFonts w:ascii="宋体" w:hAnsi="宋体"/>
          <w:sz w:val="24"/>
        </w:rPr>
      </w:pPr>
      <w:r>
        <w:rPr>
          <w:rFonts w:hint="eastAsia" w:ascii="宋体" w:hAnsi="宋体"/>
          <w:sz w:val="24"/>
        </w:rPr>
        <w:t>投标人应对投标内容提供完整的、详细的、清晰的技术说明，如投标人对指定的技术要求建议做任何改动，应在投标文件中清楚地注明；投标人对采购文件的对应要求应当给予唯一的实质性响应，否则将视为不响应。技术参数要求中标注有具体数值要求的，投标人必须在服务响应表中标注实际数值，不标注数值者视为不响应。</w:t>
      </w:r>
    </w:p>
    <w:p>
      <w:pPr>
        <w:spacing w:line="380" w:lineRule="exact"/>
        <w:ind w:firstLine="480" w:firstLineChars="200"/>
        <w:rPr>
          <w:rFonts w:ascii="宋体" w:hAnsi="宋体"/>
          <w:sz w:val="24"/>
        </w:rPr>
      </w:pPr>
      <w:r>
        <w:rPr>
          <w:rFonts w:hint="eastAsia" w:ascii="宋体" w:hAnsi="宋体"/>
          <w:sz w:val="24"/>
        </w:rPr>
        <w:t>投标人响应招标需求应具体、明确，含糊不清、不确切、直接复制招标需求指标要求的或伪造、变造证明材料的，按照不完全响应或完全不响应处理。构成提供虚假材料的，移送监管部门查处。</w:t>
      </w:r>
    </w:p>
    <w:p>
      <w:pPr>
        <w:spacing w:line="380" w:lineRule="exact"/>
        <w:ind w:firstLine="480" w:firstLineChars="200"/>
        <w:rPr>
          <w:rFonts w:ascii="宋体" w:hAnsi="宋体"/>
          <w:sz w:val="24"/>
        </w:rPr>
      </w:pPr>
      <w:r>
        <w:rPr>
          <w:rFonts w:hint="eastAsia" w:ascii="宋体" w:hAnsi="宋体"/>
          <w:sz w:val="24"/>
        </w:rPr>
        <w:t>投标人对采购文件的商务合同不允许实质性偏离，否则将视为不响应。</w:t>
      </w:r>
    </w:p>
    <w:p>
      <w:pPr>
        <w:spacing w:line="380" w:lineRule="exact"/>
        <w:ind w:firstLine="480" w:firstLineChars="200"/>
      </w:pPr>
      <w:r>
        <w:rPr>
          <w:rFonts w:hint="eastAsia" w:ascii="宋体" w:hAnsi="宋体"/>
          <w:sz w:val="24"/>
        </w:rPr>
        <w:t>投标文件按规定加盖的投标人公章必须为企业法人公章，且与投标人名称一致，不能以其它业务章或附属机构章代替。需签名之处必须由法定代表人或投标授权代表签署。</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投标文件的组成</w:t>
      </w:r>
    </w:p>
    <w:p>
      <w:pPr>
        <w:spacing w:line="380" w:lineRule="exact"/>
        <w:ind w:firstLine="480" w:firstLineChars="200"/>
        <w:rPr>
          <w:rFonts w:ascii="宋体" w:hAnsi="宋体"/>
          <w:sz w:val="24"/>
        </w:rPr>
      </w:pPr>
      <w:r>
        <w:rPr>
          <w:rFonts w:hint="eastAsia" w:ascii="宋体" w:hAnsi="宋体"/>
          <w:sz w:val="24"/>
        </w:rPr>
        <w:t>投标文件由技术商务部分、资格证明部分和唱标信封构成。</w:t>
      </w:r>
    </w:p>
    <w:p>
      <w:pPr>
        <w:spacing w:line="380" w:lineRule="exact"/>
        <w:ind w:firstLine="480" w:firstLineChars="200"/>
        <w:rPr>
          <w:rFonts w:ascii="宋体" w:hAnsi="宋体"/>
          <w:sz w:val="24"/>
        </w:rPr>
      </w:pPr>
      <w:r>
        <w:rPr>
          <w:rFonts w:hint="eastAsia" w:ascii="宋体" w:hAnsi="宋体"/>
          <w:sz w:val="24"/>
        </w:rPr>
        <w:t>技术商务部分、资格证明部分须按照第五章的要求装订：技术商务部分和资格证明部分可合装或分别单独装订成册。</w:t>
      </w:r>
    </w:p>
    <w:p>
      <w:pPr>
        <w:tabs>
          <w:tab w:val="left" w:pos="1261"/>
        </w:tabs>
        <w:spacing w:line="380" w:lineRule="exact"/>
        <w:ind w:left="360"/>
        <w:rPr>
          <w:rFonts w:ascii="宋体" w:hAnsi="宋体"/>
          <w:sz w:val="24"/>
        </w:rPr>
      </w:pPr>
      <w:r>
        <w:rPr>
          <w:rFonts w:hint="eastAsia" w:ascii="宋体" w:hAnsi="宋体"/>
          <w:sz w:val="24"/>
        </w:rPr>
        <w:t>唱标信封应按第五章的要求制作。</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投标</w:t>
      </w:r>
    </w:p>
    <w:p>
      <w:pPr>
        <w:spacing w:line="380" w:lineRule="exact"/>
        <w:ind w:firstLine="480" w:firstLineChars="200"/>
        <w:rPr>
          <w:rFonts w:ascii="宋体" w:hAnsi="宋体"/>
          <w:b/>
          <w:sz w:val="24"/>
          <w:u w:val="single"/>
        </w:rPr>
      </w:pPr>
      <w:r>
        <w:rPr>
          <w:rFonts w:hint="eastAsia" w:ascii="宋体" w:hAnsi="宋体"/>
          <w:sz w:val="24"/>
        </w:rPr>
        <w:t>全部投标文件应一式五份，正本 1份（内装投标文件正本 1份，投标文件电子文件 1份，光盘或U盘，不留密码，无病毒，内容应与投标人打印产生的纸质投标文件内容一致，如有不同，以纸质投标文件为准。），副本4 份，在文件封面显著注明“正本”和“副本”字样，并加盖公章。 副本内容可采用正本的复印件，如果正本与副本不符，应以正本为准。投标文件应由投标人的合法授权代表正式签署，任何更改（如有）应由原签署人签字。</w:t>
      </w:r>
      <w:r>
        <w:rPr>
          <w:rFonts w:hint="eastAsia" w:ascii="宋体" w:hAnsi="宋体"/>
          <w:b/>
          <w:sz w:val="24"/>
          <w:u w:val="single"/>
        </w:rPr>
        <w:t>投标人提交投标文件时应备有一个“唱标信封”，</w:t>
      </w:r>
      <w:r>
        <w:rPr>
          <w:rFonts w:hint="eastAsia"/>
          <w:szCs w:val="30"/>
        </w:rPr>
        <w:t xml:space="preserve"> </w:t>
      </w:r>
      <w:r>
        <w:rPr>
          <w:rFonts w:hint="eastAsia" w:ascii="宋体" w:hAnsi="宋体"/>
          <w:b/>
          <w:sz w:val="24"/>
          <w:u w:val="single"/>
        </w:rPr>
        <w:t>唱标信封内容按第五章“唱标信封内容格式”要求制作。</w:t>
      </w:r>
    </w:p>
    <w:p>
      <w:pPr>
        <w:spacing w:line="380" w:lineRule="exact"/>
        <w:ind w:firstLine="480" w:firstLineChars="200"/>
        <w:rPr>
          <w:rFonts w:ascii="宋体" w:hAnsi="宋体"/>
          <w:sz w:val="24"/>
        </w:rPr>
      </w:pPr>
      <w:r>
        <w:rPr>
          <w:rFonts w:hint="eastAsia" w:ascii="宋体" w:hAnsi="宋体"/>
          <w:sz w:val="24"/>
        </w:rPr>
        <w:t>所有投标文件应在投标截止时间前送达投标文件递交地点（时间及地点以第一章投标邀请为准），并当面交予采购人专责人员，拒绝以下情况之一的投标文件：</w:t>
      </w:r>
    </w:p>
    <w:p>
      <w:pPr>
        <w:numPr>
          <w:ilvl w:val="2"/>
          <w:numId w:val="5"/>
        </w:numPr>
        <w:tabs>
          <w:tab w:val="left" w:pos="-5220"/>
        </w:tabs>
        <w:spacing w:line="380" w:lineRule="exact"/>
        <w:ind w:left="0" w:firstLine="480" w:firstLineChars="200"/>
        <w:rPr>
          <w:rFonts w:ascii="宋体" w:hAnsi="宋体"/>
          <w:sz w:val="24"/>
        </w:rPr>
      </w:pPr>
      <w:r>
        <w:rPr>
          <w:rFonts w:hint="eastAsia" w:ascii="宋体" w:hAnsi="宋体"/>
          <w:sz w:val="24"/>
        </w:rPr>
        <w:t>迟于投标截止时间递交的；</w:t>
      </w:r>
    </w:p>
    <w:p>
      <w:pPr>
        <w:numPr>
          <w:ilvl w:val="2"/>
          <w:numId w:val="5"/>
        </w:numPr>
        <w:tabs>
          <w:tab w:val="left" w:pos="-5220"/>
        </w:tabs>
        <w:spacing w:line="380" w:lineRule="exact"/>
        <w:ind w:left="0" w:firstLine="480" w:firstLineChars="200"/>
        <w:rPr>
          <w:rFonts w:ascii="宋体" w:hAnsi="宋体"/>
          <w:sz w:val="24"/>
        </w:rPr>
      </w:pPr>
      <w:r>
        <w:rPr>
          <w:rFonts w:hint="eastAsia" w:ascii="宋体" w:hAnsi="宋体"/>
          <w:sz w:val="24"/>
        </w:rPr>
        <w:t>以电报、电话、电传、传真或邮递形式递交的；</w:t>
      </w:r>
    </w:p>
    <w:p>
      <w:pPr>
        <w:numPr>
          <w:ilvl w:val="2"/>
          <w:numId w:val="5"/>
        </w:numPr>
        <w:tabs>
          <w:tab w:val="left" w:pos="-5220"/>
        </w:tabs>
        <w:spacing w:line="380" w:lineRule="exact"/>
        <w:ind w:left="0" w:firstLine="480" w:firstLineChars="200"/>
        <w:rPr>
          <w:rFonts w:ascii="宋体" w:hAnsi="宋体"/>
          <w:sz w:val="24"/>
        </w:rPr>
      </w:pPr>
      <w:r>
        <w:rPr>
          <w:rFonts w:hint="eastAsia" w:ascii="宋体" w:hAnsi="宋体"/>
          <w:sz w:val="24"/>
        </w:rPr>
        <w:t>密封不严、册装不整的；</w:t>
      </w:r>
    </w:p>
    <w:p>
      <w:pPr>
        <w:spacing w:line="380" w:lineRule="exact"/>
        <w:ind w:firstLine="480" w:firstLineChars="200"/>
        <w:rPr>
          <w:rFonts w:ascii="宋体" w:hAnsi="宋体"/>
          <w:sz w:val="24"/>
        </w:rPr>
      </w:pPr>
      <w:r>
        <w:rPr>
          <w:rFonts w:hint="eastAsia" w:ascii="宋体" w:hAnsi="宋体"/>
          <w:sz w:val="24"/>
        </w:rPr>
        <w:t>所有投标文件必须封入密封的信封或包装，在封口上加盖投标人的公章，并在每一信封或包装的封面上写明：</w:t>
      </w:r>
    </w:p>
    <w:tbl>
      <w:tblPr>
        <w:tblStyle w:val="18"/>
        <w:tblW w:w="7905" w:type="dxa"/>
        <w:tblInd w:w="8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5" w:type="dxa"/>
            <w:tcBorders>
              <w:top w:val="single" w:color="auto" w:sz="4" w:space="0"/>
              <w:left w:val="single" w:color="auto" w:sz="4" w:space="0"/>
              <w:bottom w:val="single" w:color="auto" w:sz="4" w:space="0"/>
              <w:right w:val="single" w:color="auto" w:sz="4" w:space="0"/>
            </w:tcBorders>
          </w:tcPr>
          <w:p>
            <w:pPr>
              <w:spacing w:line="380" w:lineRule="exact"/>
              <w:ind w:firstLine="480" w:firstLineChars="200"/>
              <w:rPr>
                <w:rFonts w:ascii="宋体" w:hAnsi="宋体"/>
                <w:sz w:val="24"/>
              </w:rPr>
            </w:pPr>
            <w:r>
              <w:rPr>
                <w:rFonts w:hint="eastAsia" w:ascii="宋体" w:hAnsi="宋体"/>
                <w:sz w:val="24"/>
              </w:rPr>
              <w:t>收件人名称：</w:t>
            </w:r>
          </w:p>
          <w:p>
            <w:pPr>
              <w:spacing w:line="380" w:lineRule="exact"/>
              <w:ind w:firstLine="480" w:firstLineChars="200"/>
              <w:rPr>
                <w:rFonts w:ascii="宋体" w:hAnsi="宋体"/>
                <w:sz w:val="24"/>
              </w:rPr>
            </w:pPr>
            <w:r>
              <w:rPr>
                <w:rFonts w:hint="eastAsia" w:ascii="宋体" w:hAnsi="宋体"/>
                <w:sz w:val="24"/>
              </w:rPr>
              <w:t>项目编号：</w:t>
            </w:r>
          </w:p>
          <w:p>
            <w:pPr>
              <w:spacing w:line="380" w:lineRule="exact"/>
              <w:ind w:firstLine="480" w:firstLineChars="200"/>
              <w:rPr>
                <w:rFonts w:ascii="宋体" w:hAnsi="宋体" w:cs="宋体"/>
                <w:sz w:val="24"/>
              </w:rPr>
            </w:pPr>
            <w:r>
              <w:rPr>
                <w:rFonts w:hint="eastAsia" w:ascii="宋体" w:hAnsi="宋体"/>
                <w:sz w:val="24"/>
              </w:rPr>
              <w:t>项目名称：</w:t>
            </w:r>
            <w:r>
              <w:rPr>
                <w:rFonts w:hint="eastAsia" w:ascii="宋体" w:hAnsi="宋体" w:cs="宋体"/>
                <w:sz w:val="24"/>
              </w:rPr>
              <w:t xml:space="preserve">                                </w:t>
            </w:r>
          </w:p>
          <w:p>
            <w:pPr>
              <w:spacing w:line="380" w:lineRule="exact"/>
              <w:ind w:firstLine="480" w:firstLineChars="200"/>
              <w:rPr>
                <w:rFonts w:ascii="宋体" w:hAnsi="宋体"/>
                <w:sz w:val="24"/>
              </w:rPr>
            </w:pPr>
            <w:r>
              <w:rPr>
                <w:rFonts w:hint="eastAsia" w:ascii="宋体" w:hAnsi="宋体"/>
                <w:sz w:val="24"/>
              </w:rPr>
              <w:t>包装内容：投标文件正本</w:t>
            </w:r>
            <w:r>
              <w:rPr>
                <w:rFonts w:ascii="宋体" w:hAnsi="宋体"/>
                <w:sz w:val="24"/>
              </w:rPr>
              <w:t>/</w:t>
            </w:r>
            <w:r>
              <w:rPr>
                <w:rFonts w:hint="eastAsia" w:ascii="宋体" w:hAnsi="宋体"/>
                <w:sz w:val="24"/>
              </w:rPr>
              <w:t>副本</w:t>
            </w:r>
            <w:r>
              <w:rPr>
                <w:rFonts w:ascii="宋体" w:hAnsi="宋体"/>
                <w:sz w:val="24"/>
              </w:rPr>
              <w:t>/</w:t>
            </w:r>
            <w:r>
              <w:rPr>
                <w:rFonts w:hint="eastAsia" w:ascii="宋体" w:hAnsi="宋体"/>
                <w:sz w:val="24"/>
              </w:rPr>
              <w:t>唱标信封</w:t>
            </w:r>
          </w:p>
          <w:p>
            <w:pPr>
              <w:spacing w:line="380" w:lineRule="exact"/>
              <w:ind w:firstLine="480" w:firstLineChars="200"/>
              <w:rPr>
                <w:rFonts w:ascii="宋体" w:hAnsi="宋体"/>
                <w:sz w:val="24"/>
              </w:rPr>
            </w:pPr>
            <w:r>
              <w:rPr>
                <w:rFonts w:hint="eastAsia" w:ascii="宋体" w:hAnsi="宋体"/>
                <w:sz w:val="24"/>
              </w:rPr>
              <w:t>投标人名称：</w:t>
            </w:r>
          </w:p>
          <w:p>
            <w:pPr>
              <w:spacing w:line="380" w:lineRule="exact"/>
              <w:ind w:firstLine="480" w:firstLineChars="200"/>
              <w:rPr>
                <w:rFonts w:ascii="宋体" w:hAnsi="宋体"/>
                <w:sz w:val="24"/>
              </w:rPr>
            </w:pPr>
            <w:r>
              <w:rPr>
                <w:rFonts w:hint="eastAsia" w:ascii="宋体" w:hAnsi="宋体"/>
                <w:sz w:val="24"/>
              </w:rPr>
              <w:t>投标人地址：</w:t>
            </w:r>
          </w:p>
          <w:p>
            <w:pPr>
              <w:spacing w:line="380" w:lineRule="exact"/>
              <w:ind w:firstLine="480" w:firstLineChars="200"/>
              <w:rPr>
                <w:rFonts w:ascii="宋体" w:hAnsi="宋体"/>
                <w:sz w:val="24"/>
              </w:rPr>
            </w:pPr>
            <w:r>
              <w:rPr>
                <w:rFonts w:hint="eastAsia" w:ascii="宋体" w:hAnsi="宋体"/>
                <w:sz w:val="24"/>
              </w:rPr>
              <w:t>联</w:t>
            </w:r>
            <w:r>
              <w:rPr>
                <w:rFonts w:ascii="宋体" w:hAnsi="宋体"/>
                <w:sz w:val="24"/>
              </w:rPr>
              <w:t xml:space="preserve"> 系 人：</w:t>
            </w:r>
          </w:p>
          <w:p>
            <w:pPr>
              <w:spacing w:line="380" w:lineRule="exact"/>
              <w:ind w:firstLine="480" w:firstLineChars="200"/>
              <w:rPr>
                <w:rFonts w:ascii="宋体" w:hAnsi="宋体"/>
                <w:sz w:val="24"/>
              </w:rPr>
            </w:pPr>
            <w:r>
              <w:rPr>
                <w:rFonts w:hint="eastAsia" w:ascii="宋体" w:hAnsi="宋体"/>
                <w:sz w:val="24"/>
              </w:rPr>
              <w:t>联系电话：</w:t>
            </w:r>
          </w:p>
          <w:p>
            <w:pPr>
              <w:spacing w:line="380" w:lineRule="exact"/>
              <w:ind w:firstLine="480" w:firstLineChars="200"/>
              <w:rPr>
                <w:rFonts w:ascii="宋体" w:hAnsi="宋体"/>
                <w:sz w:val="24"/>
              </w:rPr>
            </w:pPr>
            <w:r>
              <w:rPr>
                <w:rFonts w:hint="eastAsia" w:ascii="宋体" w:hAnsi="宋体"/>
                <w:sz w:val="24"/>
              </w:rPr>
              <w:t xml:space="preserve">在规定的开标时间    </w:t>
            </w:r>
            <w:r>
              <w:rPr>
                <w:rFonts w:ascii="宋体" w:hAnsi="宋体"/>
                <w:sz w:val="24"/>
              </w:rPr>
              <w:t>年</w:t>
            </w:r>
            <w:r>
              <w:rPr>
                <w:rFonts w:hint="eastAsia" w:ascii="宋体" w:hAnsi="宋体"/>
                <w:sz w:val="24"/>
              </w:rPr>
              <w:t xml:space="preserve">   </w:t>
            </w:r>
            <w:r>
              <w:rPr>
                <w:rFonts w:ascii="宋体" w:hAnsi="宋体"/>
                <w:sz w:val="24"/>
              </w:rPr>
              <w:t>月</w:t>
            </w:r>
            <w:r>
              <w:rPr>
                <w:rFonts w:hint="eastAsia" w:ascii="宋体" w:hAnsi="宋体"/>
                <w:sz w:val="24"/>
              </w:rPr>
              <w:t xml:space="preserve">   </w:t>
            </w:r>
            <w:r>
              <w:rPr>
                <w:rFonts w:ascii="宋体" w:hAnsi="宋体"/>
                <w:sz w:val="24"/>
              </w:rPr>
              <w:t>日</w:t>
            </w:r>
            <w:r>
              <w:rPr>
                <w:rFonts w:hint="eastAsia" w:ascii="宋体" w:hAnsi="宋体"/>
                <w:sz w:val="24"/>
              </w:rPr>
              <w:t xml:space="preserve">   时  分前不得启封</w:t>
            </w:r>
          </w:p>
        </w:tc>
      </w:tr>
    </w:tbl>
    <w:p>
      <w:pPr>
        <w:numPr>
          <w:ilvl w:val="2"/>
          <w:numId w:val="5"/>
        </w:numPr>
        <w:tabs>
          <w:tab w:val="left" w:pos="360"/>
          <w:tab w:val="left" w:pos="780"/>
          <w:tab w:val="left" w:pos="840"/>
        </w:tabs>
        <w:spacing w:line="380" w:lineRule="exact"/>
        <w:ind w:left="840" w:hanging="480"/>
        <w:rPr>
          <w:rFonts w:ascii="宋体" w:hAnsi="宋体"/>
          <w:sz w:val="24"/>
        </w:rPr>
      </w:pPr>
      <w:r>
        <w:rPr>
          <w:rFonts w:hint="eastAsia" w:ascii="宋体" w:hAnsi="宋体"/>
          <w:sz w:val="24"/>
        </w:rPr>
        <w:t>采购人对不可抗力事件造成的投标文件的损坏、丢失不承担任何责任。</w:t>
      </w:r>
    </w:p>
    <w:p>
      <w:pPr>
        <w:numPr>
          <w:ilvl w:val="2"/>
          <w:numId w:val="5"/>
        </w:numPr>
        <w:tabs>
          <w:tab w:val="left" w:pos="360"/>
          <w:tab w:val="left" w:pos="780"/>
          <w:tab w:val="left" w:pos="840"/>
        </w:tabs>
        <w:spacing w:line="380" w:lineRule="exact"/>
        <w:ind w:left="840" w:hanging="480"/>
        <w:rPr>
          <w:rFonts w:ascii="宋体" w:hAnsi="宋体"/>
          <w:sz w:val="24"/>
        </w:rPr>
      </w:pPr>
      <w:r>
        <w:rPr>
          <w:rFonts w:hint="eastAsia" w:ascii="宋体" w:hAnsi="宋体"/>
          <w:sz w:val="24"/>
        </w:rPr>
        <w:t>采购人不退还投标人的投标文件及递交的其它资料。</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投标有效期</w:t>
      </w:r>
    </w:p>
    <w:p>
      <w:pPr>
        <w:spacing w:line="380" w:lineRule="exact"/>
        <w:ind w:firstLine="480" w:firstLineChars="200"/>
      </w:pPr>
      <w:r>
        <w:rPr>
          <w:rFonts w:hint="eastAsia" w:ascii="宋体" w:hAnsi="宋体"/>
          <w:sz w:val="24"/>
        </w:rPr>
        <w:t>从投标截止日起，投标有效期为90天，中标人的投标有效期自动延长至合同终止为止。在特殊情况下，采购人可于投标有效期满之前要求投标人同意延长有效期，要求与答复均应以书面形式进行。投标人可以拒绝上述延长投标有效期的要求，但其投标将会被拒绝；同意延期的投标人根据原截止期，其权利及责任相应也延至新的截止期。</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投标的修改和撤回</w:t>
      </w:r>
    </w:p>
    <w:p>
      <w:pPr>
        <w:spacing w:line="380" w:lineRule="exact"/>
        <w:ind w:firstLine="480" w:firstLineChars="200"/>
        <w:rPr>
          <w:rFonts w:ascii="宋体" w:hAnsi="宋体"/>
          <w:sz w:val="24"/>
        </w:rPr>
      </w:pPr>
      <w:r>
        <w:rPr>
          <w:rFonts w:hint="eastAsia" w:ascii="宋体" w:hAnsi="宋体"/>
          <w:sz w:val="24"/>
        </w:rPr>
        <w:t>投标人在投标截止时间前，可采用书面通知的形式向采购人修改或撤回其投标文件。</w:t>
      </w:r>
    </w:p>
    <w:p>
      <w:pPr>
        <w:spacing w:line="380" w:lineRule="exact"/>
        <w:ind w:firstLine="480" w:firstLineChars="200"/>
        <w:rPr>
          <w:rFonts w:ascii="宋体" w:hAnsi="宋体"/>
          <w:sz w:val="24"/>
        </w:rPr>
      </w:pPr>
      <w:r>
        <w:rPr>
          <w:rFonts w:hint="eastAsia" w:ascii="宋体" w:hAnsi="宋体"/>
          <w:sz w:val="24"/>
        </w:rPr>
        <w:t>在投标截止时间后，投标人不得对其投标文件作任何修改。在投标有效期内，投标人不得撤回其投标。</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开标</w:t>
      </w:r>
    </w:p>
    <w:p>
      <w:pPr>
        <w:spacing w:line="380" w:lineRule="exact"/>
        <w:ind w:firstLine="480" w:firstLineChars="200"/>
        <w:rPr>
          <w:rFonts w:ascii="宋体" w:hAnsi="宋体"/>
          <w:sz w:val="24"/>
        </w:rPr>
      </w:pPr>
      <w:r>
        <w:rPr>
          <w:rFonts w:hint="eastAsia" w:ascii="宋体" w:hAnsi="宋体"/>
          <w:sz w:val="24"/>
        </w:rPr>
        <w:t>开标程序在采购文件确定的提交投标文件截止时间的同一时间公开进行，开标地点为采购文件预先确定的地点。</w:t>
      </w:r>
    </w:p>
    <w:p>
      <w:pPr>
        <w:spacing w:line="380" w:lineRule="exact"/>
        <w:ind w:firstLine="480" w:firstLineChars="200"/>
        <w:rPr>
          <w:rFonts w:ascii="宋体" w:hAnsi="宋体"/>
          <w:sz w:val="24"/>
        </w:rPr>
      </w:pPr>
      <w:r>
        <w:rPr>
          <w:rFonts w:hint="eastAsia" w:ascii="宋体" w:hAnsi="宋体"/>
          <w:sz w:val="24"/>
        </w:rPr>
        <w:t>开标由采购人主持，采购人、投标人和有关方面代表参加。</w:t>
      </w:r>
    </w:p>
    <w:p>
      <w:pPr>
        <w:spacing w:line="380" w:lineRule="exact"/>
        <w:ind w:firstLine="480" w:firstLineChars="200"/>
        <w:rPr>
          <w:rFonts w:ascii="宋体" w:hAnsi="宋体"/>
          <w:sz w:val="24"/>
        </w:rPr>
      </w:pPr>
      <w:r>
        <w:rPr>
          <w:rFonts w:hint="eastAsia" w:ascii="宋体" w:hAnsi="宋体"/>
          <w:sz w:val="24"/>
        </w:rPr>
        <w:t>开标时，由投标人或者其推选的代表检查投标文件的密封情况，或由采购人委托的公证机构检查并公证；经确认无误后，由采购单位工作人员当众拆封，宣读投标人名称、投标报价、服务期和投标文件的其他主要内容。未宣读的投标价格和采购文件允许提供的备选中标人案等实质内容，评标时不予承认。</w:t>
      </w:r>
    </w:p>
    <w:p>
      <w:pPr>
        <w:spacing w:line="380" w:lineRule="exact"/>
        <w:ind w:firstLine="480" w:firstLineChars="200"/>
        <w:rPr>
          <w:rFonts w:ascii="宋体" w:hAnsi="宋体"/>
          <w:sz w:val="24"/>
        </w:rPr>
      </w:pPr>
      <w:r>
        <w:rPr>
          <w:rFonts w:hint="eastAsia" w:ascii="宋体" w:hAnsi="宋体"/>
          <w:sz w:val="24"/>
        </w:rPr>
        <w:t>投标文件报价出现前后不一致的，除采购文件另有规定外，按照下列规定修正：</w:t>
      </w:r>
    </w:p>
    <w:p>
      <w:pPr>
        <w:spacing w:line="380" w:lineRule="exact"/>
        <w:ind w:firstLine="480" w:firstLineChars="200"/>
        <w:rPr>
          <w:rFonts w:ascii="宋体" w:hAnsi="宋体"/>
          <w:sz w:val="24"/>
        </w:rPr>
      </w:pPr>
      <w:r>
        <w:rPr>
          <w:rFonts w:hint="eastAsia" w:ascii="宋体" w:hAnsi="宋体"/>
          <w:sz w:val="24"/>
        </w:rPr>
        <w:t>（一）投标文件中开标一览表（报价表）内容与投标文件中相应内容不一致的，以开标一览表（报价表）为准；</w:t>
      </w:r>
    </w:p>
    <w:p>
      <w:pPr>
        <w:spacing w:line="380" w:lineRule="exact"/>
        <w:ind w:firstLine="480" w:firstLineChars="200"/>
        <w:rPr>
          <w:rFonts w:ascii="宋体" w:hAnsi="宋体"/>
          <w:sz w:val="24"/>
        </w:rPr>
      </w:pPr>
      <w:r>
        <w:rPr>
          <w:rFonts w:hint="eastAsia" w:ascii="宋体" w:hAnsi="宋体"/>
          <w:sz w:val="24"/>
        </w:rPr>
        <w:t>（二）大写金额和小写金额不一致的，以大写金额为准；</w:t>
      </w:r>
    </w:p>
    <w:p>
      <w:pPr>
        <w:spacing w:line="380" w:lineRule="exact"/>
        <w:ind w:firstLine="480" w:firstLineChars="200"/>
        <w:rPr>
          <w:rFonts w:ascii="宋体" w:hAnsi="宋体"/>
          <w:sz w:val="24"/>
        </w:rPr>
      </w:pPr>
      <w:r>
        <w:rPr>
          <w:rFonts w:hint="eastAsia" w:ascii="宋体" w:hAnsi="宋体"/>
          <w:sz w:val="24"/>
        </w:rPr>
        <w:t>（三）单价金额小数点或者百分比有明显错位的，以开标一览表（报价表）的总价为准，并修改单价；</w:t>
      </w:r>
    </w:p>
    <w:p>
      <w:pPr>
        <w:spacing w:line="380" w:lineRule="exact"/>
        <w:ind w:firstLine="480" w:firstLineChars="200"/>
        <w:rPr>
          <w:rFonts w:ascii="宋体" w:hAnsi="宋体"/>
          <w:sz w:val="24"/>
        </w:rPr>
      </w:pPr>
      <w:r>
        <w:rPr>
          <w:rFonts w:hint="eastAsia" w:ascii="宋体" w:hAnsi="宋体"/>
          <w:sz w:val="24"/>
        </w:rPr>
        <w:t>（四）总价金额与按单价汇总金额不一致的，以单价金额计算结果为准。</w:t>
      </w:r>
    </w:p>
    <w:p>
      <w:pPr>
        <w:spacing w:line="380" w:lineRule="exact"/>
        <w:ind w:firstLine="480" w:firstLineChars="200"/>
        <w:rPr>
          <w:rFonts w:ascii="宋体" w:hAnsi="宋体"/>
          <w:sz w:val="24"/>
        </w:rPr>
      </w:pPr>
      <w:r>
        <w:rPr>
          <w:rFonts w:hint="eastAsia" w:ascii="宋体" w:hAnsi="宋体"/>
          <w:sz w:val="24"/>
        </w:rPr>
        <w:t>同时出现两种以上不一致的，按照前款规定的顺序修正。修正后的报价经投标人确认后产生约束力，投标人不确认的，其投标无效。</w:t>
      </w:r>
    </w:p>
    <w:p>
      <w:pPr>
        <w:spacing w:line="380" w:lineRule="exact"/>
        <w:ind w:firstLine="480" w:firstLineChars="200"/>
        <w:rPr>
          <w:rFonts w:ascii="宋体" w:hAnsi="宋体"/>
          <w:sz w:val="24"/>
        </w:rPr>
      </w:pPr>
      <w:r>
        <w:rPr>
          <w:rFonts w:hint="eastAsia" w:ascii="宋体" w:hAnsi="宋体"/>
          <w:sz w:val="24"/>
        </w:rPr>
        <w:t>开标过程由专人负责记录，并存档备验。</w:t>
      </w:r>
    </w:p>
    <w:p>
      <w:pPr>
        <w:spacing w:line="380" w:lineRule="exact"/>
        <w:ind w:firstLine="480" w:firstLineChars="200"/>
        <w:rPr>
          <w:rFonts w:ascii="宋体" w:hAnsi="宋体"/>
          <w:sz w:val="24"/>
        </w:rPr>
      </w:pPr>
      <w:r>
        <w:rPr>
          <w:rFonts w:hint="eastAsia" w:ascii="宋体" w:hAnsi="宋体"/>
          <w:sz w:val="24"/>
        </w:rPr>
        <w:t>如开标记录表上内容与投标文件不一致时，投标人代表须当场提出。开标记录表由记录人、唱标人、投标人代表和有关人员签名确认。</w:t>
      </w:r>
    </w:p>
    <w:p>
      <w:pPr>
        <w:spacing w:line="380" w:lineRule="exact"/>
        <w:ind w:firstLine="480" w:firstLineChars="200"/>
        <w:rPr>
          <w:rFonts w:ascii="宋体" w:hAnsi="宋体"/>
          <w:sz w:val="24"/>
        </w:rPr>
      </w:pPr>
      <w:r>
        <w:rPr>
          <w:rFonts w:hint="eastAsia" w:ascii="宋体" w:hAnsi="宋体"/>
          <w:sz w:val="24"/>
        </w:rPr>
        <w:t>投标截止时间结束后参加投标的投标人不足三家的，依法重新组织招标。</w:t>
      </w:r>
    </w:p>
    <w:p>
      <w:pPr>
        <w:pStyle w:val="5"/>
        <w:keepLines w:val="0"/>
        <w:numPr>
          <w:ilvl w:val="1"/>
          <w:numId w:val="5"/>
        </w:numPr>
        <w:tabs>
          <w:tab w:val="left" w:pos="630"/>
          <w:tab w:val="left" w:pos="1981"/>
        </w:tabs>
        <w:adjustRightInd/>
        <w:spacing w:before="0" w:after="0" w:line="380" w:lineRule="exact"/>
        <w:ind w:left="630" w:hanging="630"/>
        <w:textAlignment w:val="auto"/>
      </w:pPr>
      <w:r>
        <w:rPr>
          <w:sz w:val="24"/>
        </w:rPr>
        <w:t>评标</w:t>
      </w:r>
    </w:p>
    <w:p>
      <w:pPr>
        <w:spacing w:line="380" w:lineRule="exact"/>
        <w:ind w:firstLine="480" w:firstLineChars="200"/>
        <w:rPr>
          <w:rFonts w:ascii="宋体" w:hAnsi="宋体"/>
          <w:sz w:val="24"/>
        </w:rPr>
      </w:pPr>
      <w:r>
        <w:rPr>
          <w:rFonts w:hint="eastAsia" w:ascii="宋体" w:hAnsi="宋体"/>
          <w:sz w:val="24"/>
        </w:rPr>
        <w:t>评标工作由采购人负责组织，具体评标事务由依法组建的评标委员会负责，并独立履行下列职责：</w:t>
      </w:r>
    </w:p>
    <w:p>
      <w:pPr>
        <w:numPr>
          <w:ilvl w:val="0"/>
          <w:numId w:val="7"/>
        </w:numPr>
        <w:tabs>
          <w:tab w:val="left" w:pos="1134"/>
          <w:tab w:val="clear" w:pos="1440"/>
        </w:tabs>
        <w:spacing w:line="380" w:lineRule="exact"/>
        <w:rPr>
          <w:rFonts w:ascii="宋体" w:hAnsi="宋体"/>
          <w:sz w:val="24"/>
        </w:rPr>
      </w:pPr>
      <w:r>
        <w:rPr>
          <w:rFonts w:hint="eastAsia" w:ascii="宋体" w:hAnsi="宋体"/>
          <w:sz w:val="24"/>
        </w:rPr>
        <w:t>审查投标文件是否符合采购文件要求，并作出评价；</w:t>
      </w:r>
    </w:p>
    <w:p>
      <w:pPr>
        <w:numPr>
          <w:ilvl w:val="0"/>
          <w:numId w:val="7"/>
        </w:numPr>
        <w:tabs>
          <w:tab w:val="left" w:pos="1134"/>
          <w:tab w:val="left" w:pos="1571"/>
          <w:tab w:val="clear" w:pos="1440"/>
        </w:tabs>
        <w:spacing w:line="380" w:lineRule="exact"/>
        <w:rPr>
          <w:rFonts w:ascii="宋体" w:hAnsi="宋体"/>
          <w:sz w:val="24"/>
        </w:rPr>
      </w:pPr>
      <w:r>
        <w:rPr>
          <w:rFonts w:hint="eastAsia" w:ascii="宋体" w:hAnsi="宋体"/>
          <w:sz w:val="24"/>
        </w:rPr>
        <w:t>要求投标人对投标文件有关事项作出解释或者澄清；</w:t>
      </w:r>
    </w:p>
    <w:p>
      <w:pPr>
        <w:numPr>
          <w:ilvl w:val="0"/>
          <w:numId w:val="7"/>
        </w:numPr>
        <w:tabs>
          <w:tab w:val="left" w:pos="1134"/>
          <w:tab w:val="left" w:pos="1571"/>
          <w:tab w:val="clear" w:pos="1440"/>
        </w:tabs>
        <w:spacing w:line="380" w:lineRule="exact"/>
        <w:rPr>
          <w:rFonts w:ascii="宋体" w:hAnsi="宋体"/>
          <w:sz w:val="24"/>
        </w:rPr>
      </w:pPr>
      <w:r>
        <w:rPr>
          <w:rFonts w:hint="eastAsia" w:ascii="宋体" w:hAnsi="宋体"/>
          <w:sz w:val="24"/>
        </w:rPr>
        <w:t>推荐中标候选人名单；</w:t>
      </w:r>
    </w:p>
    <w:p>
      <w:pPr>
        <w:numPr>
          <w:ilvl w:val="0"/>
          <w:numId w:val="7"/>
        </w:numPr>
        <w:tabs>
          <w:tab w:val="left" w:pos="1134"/>
          <w:tab w:val="left" w:pos="1571"/>
          <w:tab w:val="clear" w:pos="1440"/>
        </w:tabs>
        <w:spacing w:line="380" w:lineRule="exact"/>
        <w:rPr>
          <w:rFonts w:ascii="宋体" w:hAnsi="宋体"/>
          <w:sz w:val="24"/>
        </w:rPr>
      </w:pPr>
      <w:r>
        <w:rPr>
          <w:rFonts w:hint="eastAsia" w:ascii="宋体" w:hAnsi="宋体"/>
          <w:sz w:val="24"/>
        </w:rPr>
        <w:t>向采购人或者有关部门报告非法干预评标工作的行为。</w:t>
      </w:r>
    </w:p>
    <w:p>
      <w:pPr>
        <w:numPr>
          <w:ilvl w:val="2"/>
          <w:numId w:val="5"/>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评标方法</w:t>
      </w:r>
    </w:p>
    <w:p>
      <w:pPr>
        <w:spacing w:line="380" w:lineRule="exact"/>
        <w:ind w:firstLine="480" w:firstLineChars="200"/>
        <w:rPr>
          <w:rFonts w:ascii="宋体" w:hAnsi="宋体"/>
          <w:sz w:val="24"/>
        </w:rPr>
      </w:pPr>
      <w:r>
        <w:rPr>
          <w:rFonts w:hint="eastAsia" w:ascii="宋体" w:hAnsi="宋体"/>
          <w:sz w:val="24"/>
        </w:rPr>
        <w:t>综合评分法：在最大限度地满足采购文件实质性要求前提下，按照采购文件中规定的各项因素进行综合评审后，以评标总得分最高的投标人作为中标候选人。</w:t>
      </w:r>
    </w:p>
    <w:p>
      <w:pPr>
        <w:spacing w:line="380" w:lineRule="exact"/>
        <w:ind w:firstLine="480" w:firstLineChars="200"/>
        <w:rPr>
          <w:rFonts w:ascii="宋体" w:hAnsi="宋体"/>
          <w:sz w:val="24"/>
        </w:rPr>
      </w:pPr>
      <w:r>
        <w:rPr>
          <w:rFonts w:hint="eastAsia" w:ascii="宋体" w:hAnsi="宋体"/>
          <w:sz w:val="24"/>
        </w:rPr>
        <w:t>综合评分的主要因素是：价格、技术、信誉、业绩、服务、对采购文件的响应程度，以及相应的比重或者权值等（详见评标细则）。</w:t>
      </w:r>
    </w:p>
    <w:p>
      <w:pPr>
        <w:spacing w:line="380" w:lineRule="exact"/>
        <w:ind w:firstLine="480" w:firstLineChars="200"/>
        <w:rPr>
          <w:rFonts w:ascii="宋体" w:hAnsi="宋体"/>
          <w:sz w:val="24"/>
        </w:rPr>
      </w:pPr>
      <w:r>
        <w:rPr>
          <w:rFonts w:hint="eastAsia" w:ascii="宋体" w:hAnsi="宋体"/>
          <w:sz w:val="24"/>
        </w:rPr>
        <w:t>评标时，评标委员会各成员应当独立对每个有效投标人的标书进行评价、打分，然后汇总每个投标人每项评分因素的得分。</w:t>
      </w:r>
    </w:p>
    <w:p>
      <w:pPr>
        <w:numPr>
          <w:ilvl w:val="2"/>
          <w:numId w:val="5"/>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评标过程的保密性</w:t>
      </w:r>
    </w:p>
    <w:p>
      <w:pPr>
        <w:numPr>
          <w:ilvl w:val="0"/>
          <w:numId w:val="8"/>
        </w:numPr>
        <w:tabs>
          <w:tab w:val="left" w:pos="900"/>
          <w:tab w:val="left" w:pos="2160"/>
        </w:tabs>
        <w:spacing w:line="380" w:lineRule="exact"/>
        <w:ind w:left="1242" w:hanging="737"/>
        <w:rPr>
          <w:rFonts w:ascii="宋体" w:hAnsi="宋体"/>
          <w:sz w:val="24"/>
        </w:rPr>
      </w:pPr>
      <w:r>
        <w:rPr>
          <w:rFonts w:hint="eastAsia" w:ascii="宋体" w:hAnsi="宋体"/>
          <w:sz w:val="24"/>
        </w:rPr>
        <w:t>公开开标后，直至向中标人授予合同时止，凡与审查、澄清、评价和比较投标有关的资料以及授标意见等，均不得向投标人及与评标无关的其他人透露。</w:t>
      </w:r>
    </w:p>
    <w:p>
      <w:pPr>
        <w:numPr>
          <w:ilvl w:val="0"/>
          <w:numId w:val="8"/>
        </w:numPr>
        <w:tabs>
          <w:tab w:val="left" w:pos="900"/>
          <w:tab w:val="left" w:pos="2160"/>
        </w:tabs>
        <w:spacing w:line="380" w:lineRule="exact"/>
        <w:ind w:left="1242" w:hanging="737"/>
        <w:rPr>
          <w:rFonts w:ascii="宋体" w:hAnsi="宋体"/>
          <w:sz w:val="24"/>
        </w:rPr>
      </w:pPr>
      <w:r>
        <w:rPr>
          <w:rFonts w:hint="eastAsia" w:ascii="宋体" w:hAnsi="宋体"/>
          <w:sz w:val="24"/>
        </w:rPr>
        <w:t>在评标过程中，如果投标人试图在投标文件审查、澄清、比较及授予合同方面向采购人、评标委员会施加任何影响，其投标将被拒绝。</w:t>
      </w:r>
    </w:p>
    <w:p>
      <w:pPr>
        <w:numPr>
          <w:ilvl w:val="2"/>
          <w:numId w:val="5"/>
        </w:numPr>
        <w:tabs>
          <w:tab w:val="left" w:pos="360"/>
          <w:tab w:val="left" w:pos="780"/>
          <w:tab w:val="left" w:pos="840"/>
        </w:tabs>
        <w:spacing w:line="380" w:lineRule="exact"/>
        <w:ind w:left="840" w:hanging="480"/>
        <w:rPr>
          <w:rFonts w:ascii="宋体" w:hAnsi="宋体"/>
          <w:sz w:val="24"/>
        </w:rPr>
      </w:pPr>
      <w:r>
        <w:rPr>
          <w:rFonts w:hint="eastAsia" w:ascii="宋体" w:hAnsi="宋体"/>
          <w:sz w:val="24"/>
        </w:rPr>
        <w:t>评标工作程序</w:t>
      </w:r>
    </w:p>
    <w:p>
      <w:pPr>
        <w:numPr>
          <w:ilvl w:val="0"/>
          <w:numId w:val="9"/>
        </w:numPr>
        <w:tabs>
          <w:tab w:val="left" w:pos="900"/>
          <w:tab w:val="left" w:pos="2160"/>
        </w:tabs>
        <w:spacing w:line="380" w:lineRule="exact"/>
        <w:ind w:left="1191" w:hanging="737"/>
        <w:rPr>
          <w:rFonts w:ascii="宋体" w:hAnsi="宋体"/>
          <w:sz w:val="24"/>
        </w:rPr>
      </w:pPr>
      <w:r>
        <w:rPr>
          <w:rFonts w:hint="eastAsia" w:ascii="宋体" w:hAnsi="宋体"/>
          <w:sz w:val="24"/>
        </w:rPr>
        <w:t>投标文件初审。</w:t>
      </w:r>
    </w:p>
    <w:p>
      <w:pPr>
        <w:tabs>
          <w:tab w:val="left" w:pos="560"/>
        </w:tabs>
        <w:spacing w:line="380" w:lineRule="exact"/>
        <w:ind w:left="560" w:leftChars="200" w:firstLine="556" w:firstLineChars="232"/>
        <w:rPr>
          <w:rFonts w:ascii="宋体" w:hAnsi="宋体"/>
          <w:sz w:val="24"/>
        </w:rPr>
      </w:pPr>
      <w:r>
        <w:rPr>
          <w:rFonts w:hint="eastAsia" w:ascii="宋体" w:hAnsi="宋体"/>
          <w:sz w:val="24"/>
        </w:rPr>
        <w:t>符合性检查。依据采购文件的规定，从投标文件的有效性、完整性和对采购文件的响应程度进行审查，以确定是否对采购文件的实质性要求作出响应。</w:t>
      </w:r>
    </w:p>
    <w:p>
      <w:pPr>
        <w:spacing w:line="380" w:lineRule="exact"/>
        <w:ind w:left="1120" w:leftChars="400"/>
        <w:rPr>
          <w:rFonts w:ascii="宋体" w:hAnsi="宋体"/>
          <w:sz w:val="24"/>
        </w:rPr>
      </w:pPr>
      <w:r>
        <w:rPr>
          <w:rFonts w:hint="eastAsia" w:ascii="宋体" w:hAnsi="宋体"/>
          <w:sz w:val="24"/>
        </w:rPr>
        <w:t>投标文件应符合下列情况，否则在符合性检查时可按照无效投标处理：</w:t>
      </w:r>
    </w:p>
    <w:p>
      <w:pPr>
        <w:numPr>
          <w:ilvl w:val="0"/>
          <w:numId w:val="10"/>
        </w:numPr>
        <w:spacing w:line="380" w:lineRule="exact"/>
        <w:ind w:left="1701" w:hanging="283"/>
        <w:rPr>
          <w:rFonts w:ascii="宋体" w:hAnsi="宋体"/>
          <w:sz w:val="24"/>
        </w:rPr>
      </w:pPr>
      <w:r>
        <w:rPr>
          <w:rFonts w:hint="eastAsia" w:ascii="宋体" w:hAnsi="宋体"/>
          <w:sz w:val="24"/>
        </w:rPr>
        <w:t>投标报价确定且不高于最高限价；</w:t>
      </w:r>
    </w:p>
    <w:p>
      <w:pPr>
        <w:numPr>
          <w:ilvl w:val="0"/>
          <w:numId w:val="10"/>
        </w:numPr>
        <w:spacing w:line="380" w:lineRule="exact"/>
        <w:ind w:left="1701" w:hanging="283"/>
        <w:rPr>
          <w:rFonts w:ascii="宋体" w:hAnsi="宋体"/>
          <w:sz w:val="24"/>
        </w:rPr>
      </w:pPr>
      <w:r>
        <w:rPr>
          <w:rFonts w:hint="eastAsia" w:ascii="宋体" w:hAnsi="宋体"/>
          <w:sz w:val="24"/>
        </w:rPr>
        <w:t>按采购文件规定，有投标人盖章及其法定代表人（或法定代表人委托的投标授权代表）的签字或签章；</w:t>
      </w:r>
    </w:p>
    <w:p>
      <w:pPr>
        <w:numPr>
          <w:ilvl w:val="0"/>
          <w:numId w:val="10"/>
        </w:numPr>
        <w:spacing w:line="380" w:lineRule="exact"/>
        <w:ind w:left="1701" w:hanging="283"/>
        <w:rPr>
          <w:rFonts w:ascii="宋体" w:hAnsi="宋体"/>
          <w:sz w:val="24"/>
        </w:rPr>
      </w:pPr>
      <w:r>
        <w:rPr>
          <w:rFonts w:hint="eastAsia" w:ascii="宋体" w:hAnsi="宋体"/>
          <w:sz w:val="24"/>
        </w:rPr>
        <w:t>投标文件完全满足采购文件中带“</w:t>
      </w:r>
      <w:r>
        <w:rPr>
          <w:rFonts w:hint="eastAsia"/>
          <w:sz w:val="24"/>
        </w:rPr>
        <w:t>★</w:t>
      </w:r>
      <w:r>
        <w:rPr>
          <w:rFonts w:hint="eastAsia" w:ascii="宋体" w:hAnsi="宋体"/>
          <w:sz w:val="24"/>
        </w:rPr>
        <w:t>”号的条款和指标，符合采购文件的其他要求，没有重大偏离；</w:t>
      </w:r>
    </w:p>
    <w:p>
      <w:pPr>
        <w:numPr>
          <w:ilvl w:val="0"/>
          <w:numId w:val="10"/>
        </w:numPr>
        <w:spacing w:line="380" w:lineRule="exact"/>
        <w:ind w:left="1701" w:hanging="283"/>
        <w:rPr>
          <w:rFonts w:ascii="宋体" w:hAnsi="宋体"/>
          <w:sz w:val="24"/>
        </w:rPr>
      </w:pPr>
      <w:r>
        <w:rPr>
          <w:rFonts w:hint="eastAsia" w:ascii="宋体" w:hAnsi="宋体"/>
          <w:sz w:val="24"/>
        </w:rPr>
        <w:t>符合法律、法规和采购文件中规定的其他实质性要求：</w:t>
      </w:r>
    </w:p>
    <w:p>
      <w:pPr>
        <w:numPr>
          <w:ilvl w:val="0"/>
          <w:numId w:val="11"/>
        </w:numPr>
        <w:spacing w:line="380" w:lineRule="exact"/>
        <w:ind w:left="2121"/>
        <w:rPr>
          <w:rFonts w:ascii="宋体" w:hAnsi="宋体"/>
          <w:sz w:val="24"/>
        </w:rPr>
      </w:pPr>
      <w:r>
        <w:rPr>
          <w:rFonts w:hint="eastAsia" w:ascii="宋体" w:hAnsi="宋体"/>
          <w:sz w:val="24"/>
        </w:rPr>
        <w:t>在参与项目所在地市的各级或以上招投标活动中未被列入不良行为记录名单并正处于处罚期内；</w:t>
      </w:r>
    </w:p>
    <w:p>
      <w:pPr>
        <w:numPr>
          <w:ilvl w:val="0"/>
          <w:numId w:val="11"/>
        </w:numPr>
        <w:spacing w:line="380" w:lineRule="exact"/>
        <w:ind w:left="2121"/>
        <w:rPr>
          <w:rFonts w:ascii="宋体" w:hAnsi="宋体"/>
          <w:sz w:val="24"/>
        </w:rPr>
      </w:pPr>
      <w:r>
        <w:rPr>
          <w:rFonts w:hint="eastAsia" w:ascii="宋体" w:hAnsi="宋体"/>
          <w:sz w:val="24"/>
        </w:rPr>
        <w:t>投标文件未出现制作严重不符合要求，按要求提供重要的样板、物证或资料；</w:t>
      </w:r>
    </w:p>
    <w:p>
      <w:pPr>
        <w:numPr>
          <w:ilvl w:val="0"/>
          <w:numId w:val="11"/>
        </w:numPr>
        <w:spacing w:line="380" w:lineRule="exact"/>
        <w:ind w:left="2121"/>
        <w:rPr>
          <w:rFonts w:ascii="宋体" w:hAnsi="宋体"/>
          <w:sz w:val="24"/>
        </w:rPr>
      </w:pPr>
      <w:r>
        <w:rPr>
          <w:rFonts w:hint="eastAsia" w:ascii="宋体" w:hAnsi="宋体"/>
          <w:sz w:val="24"/>
        </w:rPr>
        <w:t>未故意提供虚假材料谋取中标；</w:t>
      </w:r>
    </w:p>
    <w:p>
      <w:pPr>
        <w:numPr>
          <w:ilvl w:val="0"/>
          <w:numId w:val="11"/>
        </w:numPr>
        <w:spacing w:line="380" w:lineRule="exact"/>
        <w:ind w:left="2121"/>
        <w:rPr>
          <w:rFonts w:ascii="宋体" w:hAnsi="宋体"/>
          <w:sz w:val="24"/>
        </w:rPr>
      </w:pPr>
      <w:r>
        <w:rPr>
          <w:rFonts w:hint="eastAsia" w:ascii="宋体" w:hAnsi="宋体"/>
          <w:sz w:val="24"/>
        </w:rPr>
        <w:t>未采取不正当手段诋毁、排斥其他投标人；</w:t>
      </w:r>
    </w:p>
    <w:p>
      <w:pPr>
        <w:numPr>
          <w:ilvl w:val="0"/>
          <w:numId w:val="11"/>
        </w:numPr>
        <w:spacing w:line="380" w:lineRule="exact"/>
        <w:ind w:left="2121"/>
        <w:rPr>
          <w:rFonts w:ascii="宋体" w:hAnsi="宋体"/>
          <w:sz w:val="24"/>
        </w:rPr>
      </w:pPr>
      <w:r>
        <w:rPr>
          <w:rFonts w:hint="eastAsia" w:ascii="宋体" w:hAnsi="宋体"/>
          <w:sz w:val="24"/>
        </w:rPr>
        <w:t>未在评标、定标过程中对采购人、评标委员会及其工作人员施加影响，有碍招标公平、公正；</w:t>
      </w:r>
    </w:p>
    <w:p>
      <w:pPr>
        <w:numPr>
          <w:ilvl w:val="0"/>
          <w:numId w:val="11"/>
        </w:numPr>
        <w:spacing w:line="380" w:lineRule="exact"/>
        <w:ind w:left="2121"/>
        <w:rPr>
          <w:rFonts w:ascii="宋体" w:hAnsi="宋体"/>
          <w:sz w:val="24"/>
        </w:rPr>
      </w:pPr>
      <w:r>
        <w:rPr>
          <w:rFonts w:hint="eastAsia" w:ascii="宋体" w:hAnsi="宋体"/>
          <w:sz w:val="24"/>
        </w:rPr>
        <w:t>符合专业条件，对技术、商务要求能有效地作实质性响应，未出现重大偏离或保留；</w:t>
      </w:r>
    </w:p>
    <w:p>
      <w:pPr>
        <w:numPr>
          <w:ilvl w:val="0"/>
          <w:numId w:val="11"/>
        </w:numPr>
        <w:spacing w:line="380" w:lineRule="exact"/>
        <w:ind w:left="2121"/>
        <w:rPr>
          <w:rFonts w:ascii="宋体" w:hAnsi="宋体"/>
          <w:sz w:val="24"/>
        </w:rPr>
      </w:pPr>
      <w:r>
        <w:rPr>
          <w:rFonts w:hint="eastAsia" w:ascii="宋体" w:hAnsi="宋体"/>
          <w:sz w:val="24"/>
        </w:rPr>
        <w:t>评审期间按评委会要求提交经授权代表签字的澄清、说明、补正或调整补充部分未改变投标文件的实质性内容及修正报价未超出允许规定范围；</w:t>
      </w:r>
    </w:p>
    <w:p>
      <w:pPr>
        <w:numPr>
          <w:ilvl w:val="0"/>
          <w:numId w:val="11"/>
        </w:numPr>
        <w:spacing w:line="380" w:lineRule="exact"/>
        <w:ind w:left="2121"/>
        <w:rPr>
          <w:rFonts w:ascii="宋体" w:hAnsi="宋体"/>
          <w:sz w:val="24"/>
        </w:rPr>
      </w:pPr>
      <w:r>
        <w:rPr>
          <w:rFonts w:hint="eastAsia" w:ascii="宋体" w:hAnsi="宋体"/>
          <w:sz w:val="24"/>
        </w:rPr>
        <w:t>未拒绝、对抗评委会所作的决定或合理要求；</w:t>
      </w:r>
      <w:r>
        <w:rPr>
          <w:rFonts w:ascii="宋体" w:hAnsi="宋体"/>
          <w:sz w:val="24"/>
        </w:rPr>
        <w:t xml:space="preserve"> </w:t>
      </w:r>
    </w:p>
    <w:p>
      <w:pPr>
        <w:numPr>
          <w:ilvl w:val="0"/>
          <w:numId w:val="11"/>
        </w:numPr>
        <w:spacing w:line="380" w:lineRule="exact"/>
        <w:ind w:left="2121"/>
        <w:rPr>
          <w:rFonts w:ascii="宋体" w:hAnsi="宋体"/>
          <w:sz w:val="24"/>
        </w:rPr>
      </w:pPr>
      <w:r>
        <w:rPr>
          <w:rFonts w:hint="eastAsia" w:ascii="宋体" w:hAnsi="宋体"/>
          <w:sz w:val="24"/>
        </w:rPr>
        <w:t>未出现按有关法律、法规、规章规定属于中标无效的及符合采购文件中载明会导致无效投标的其它规定和要求。</w:t>
      </w:r>
    </w:p>
    <w:p>
      <w:pPr>
        <w:numPr>
          <w:ilvl w:val="0"/>
          <w:numId w:val="9"/>
        </w:numPr>
        <w:tabs>
          <w:tab w:val="left" w:pos="900"/>
          <w:tab w:val="left" w:pos="2160"/>
        </w:tabs>
        <w:spacing w:line="380" w:lineRule="exact"/>
        <w:ind w:left="1191" w:hanging="737"/>
        <w:rPr>
          <w:rFonts w:ascii="宋体" w:hAnsi="宋体"/>
          <w:sz w:val="24"/>
        </w:rPr>
      </w:pPr>
      <w:r>
        <w:rPr>
          <w:rFonts w:hint="eastAsia" w:ascii="宋体" w:hAnsi="宋体"/>
          <w:sz w:val="24"/>
        </w:rPr>
        <w:t>澄清有关问题。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除上述规定的情形之外，评标委员会在评审过程中，不得接收来自评审现场以外的任何形式的文件资料。除评标委员会主动要求澄清、说明或者纠正外，评标定标期间，任何投标人均不得就与其投标相关的任何问题与评标委员会联系。</w:t>
      </w:r>
    </w:p>
    <w:p>
      <w:pPr>
        <w:numPr>
          <w:ilvl w:val="0"/>
          <w:numId w:val="9"/>
        </w:numPr>
        <w:tabs>
          <w:tab w:val="left" w:pos="900"/>
          <w:tab w:val="left" w:pos="2160"/>
        </w:tabs>
        <w:spacing w:line="380" w:lineRule="exact"/>
        <w:ind w:left="1191" w:hanging="737"/>
        <w:rPr>
          <w:rFonts w:ascii="宋体" w:hAnsi="宋体"/>
          <w:sz w:val="24"/>
        </w:rPr>
      </w:pPr>
      <w:r>
        <w:rPr>
          <w:rFonts w:hint="eastAsia" w:ascii="宋体" w:hAnsi="宋体"/>
          <w:sz w:val="24"/>
        </w:rPr>
        <w:t>比较与评价。按照采购文件中规定的评标方法和标准，对符合性检查合格的投标文件进行商务和技术评估，综合比较与评价。综合评分法评分权重详见评标细则。</w:t>
      </w:r>
    </w:p>
    <w:p>
      <w:pPr>
        <w:numPr>
          <w:ilvl w:val="0"/>
          <w:numId w:val="9"/>
        </w:numPr>
        <w:tabs>
          <w:tab w:val="left" w:pos="900"/>
          <w:tab w:val="left" w:pos="2160"/>
        </w:tabs>
        <w:spacing w:line="380" w:lineRule="exact"/>
        <w:ind w:left="1191" w:hanging="737"/>
        <w:rPr>
          <w:rFonts w:ascii="宋体" w:hAnsi="宋体"/>
          <w:sz w:val="24"/>
        </w:rPr>
      </w:pPr>
      <w:r>
        <w:rPr>
          <w:rFonts w:hint="eastAsia" w:ascii="宋体" w:hAnsi="宋体"/>
          <w:sz w:val="24"/>
        </w:rPr>
        <w:t>推荐中标候选人名单。综合评分法按评审后综合得分由高到低顺序排列。综合得分相同的，按投标报价由低到高排列。综合得分且投标报价相同的，</w:t>
      </w:r>
      <w:r>
        <w:rPr>
          <w:rFonts w:ascii="宋体" w:hAnsi="宋体"/>
          <w:sz w:val="24"/>
        </w:rPr>
        <w:t>按技术评分由高到低顺序排列。综合评分相同，且</w:t>
      </w:r>
      <w:r>
        <w:rPr>
          <w:rFonts w:hint="eastAsia" w:ascii="宋体" w:hAnsi="宋体"/>
          <w:sz w:val="24"/>
        </w:rPr>
        <w:t>投标报价</w:t>
      </w:r>
      <w:r>
        <w:rPr>
          <w:rFonts w:ascii="宋体" w:hAnsi="宋体"/>
          <w:sz w:val="24"/>
        </w:rPr>
        <w:t>和技术评分均相同的，名次由评标委员会抽签决定。</w:t>
      </w:r>
    </w:p>
    <w:p>
      <w:pPr>
        <w:numPr>
          <w:ilvl w:val="0"/>
          <w:numId w:val="9"/>
        </w:numPr>
        <w:tabs>
          <w:tab w:val="left" w:pos="900"/>
          <w:tab w:val="left" w:pos="2160"/>
        </w:tabs>
        <w:spacing w:line="380" w:lineRule="exact"/>
        <w:ind w:left="1191" w:hanging="737"/>
        <w:rPr>
          <w:rFonts w:ascii="宋体" w:hAnsi="宋体"/>
          <w:sz w:val="24"/>
        </w:rPr>
      </w:pPr>
      <w:r>
        <w:rPr>
          <w:rFonts w:hint="eastAsia" w:ascii="宋体" w:hAnsi="宋体"/>
          <w:sz w:val="24"/>
        </w:rPr>
        <w:t>编写评审报告。</w:t>
      </w:r>
    </w:p>
    <w:p>
      <w:pPr>
        <w:numPr>
          <w:ilvl w:val="2"/>
          <w:numId w:val="5"/>
        </w:numPr>
        <w:tabs>
          <w:tab w:val="left" w:pos="-3600"/>
          <w:tab w:val="left" w:pos="720"/>
          <w:tab w:val="left" w:pos="780"/>
        </w:tabs>
        <w:spacing w:line="380" w:lineRule="exact"/>
        <w:ind w:left="1080" w:hanging="800"/>
        <w:rPr>
          <w:rFonts w:ascii="宋体" w:hAnsi="宋体"/>
          <w:sz w:val="24"/>
        </w:rPr>
      </w:pPr>
      <w:r>
        <w:rPr>
          <w:rFonts w:hint="eastAsia" w:ascii="宋体" w:hAnsi="宋体"/>
          <w:sz w:val="24"/>
        </w:rPr>
        <w:t>废标的认定</w:t>
      </w:r>
    </w:p>
    <w:p>
      <w:pPr>
        <w:numPr>
          <w:ilvl w:val="0"/>
          <w:numId w:val="12"/>
        </w:numPr>
        <w:tabs>
          <w:tab w:val="left" w:pos="900"/>
          <w:tab w:val="left" w:pos="2160"/>
        </w:tabs>
        <w:spacing w:line="380" w:lineRule="exact"/>
        <w:ind w:left="1191" w:hanging="737"/>
        <w:rPr>
          <w:rFonts w:ascii="宋体" w:hAnsi="宋体"/>
          <w:sz w:val="24"/>
        </w:rPr>
      </w:pPr>
      <w:r>
        <w:rPr>
          <w:rFonts w:hint="eastAsia" w:ascii="宋体" w:hAnsi="宋体"/>
          <w:sz w:val="24"/>
        </w:rPr>
        <w:t>符合专业条件的承包商或者对采购文件作实质响应的承包商不足三家的；</w:t>
      </w:r>
    </w:p>
    <w:p>
      <w:pPr>
        <w:numPr>
          <w:ilvl w:val="0"/>
          <w:numId w:val="12"/>
        </w:numPr>
        <w:tabs>
          <w:tab w:val="left" w:pos="900"/>
          <w:tab w:val="left" w:pos="2160"/>
        </w:tabs>
        <w:spacing w:line="380" w:lineRule="exact"/>
        <w:ind w:left="1191" w:hanging="737"/>
        <w:rPr>
          <w:rFonts w:ascii="宋体" w:hAnsi="宋体"/>
          <w:sz w:val="24"/>
        </w:rPr>
      </w:pPr>
      <w:r>
        <w:rPr>
          <w:rFonts w:hint="eastAsia" w:ascii="宋体" w:hAnsi="宋体"/>
          <w:sz w:val="24"/>
        </w:rPr>
        <w:t>出现影响采购公正的违法、违规行为的；</w:t>
      </w:r>
    </w:p>
    <w:p>
      <w:pPr>
        <w:numPr>
          <w:ilvl w:val="0"/>
          <w:numId w:val="12"/>
        </w:numPr>
        <w:tabs>
          <w:tab w:val="left" w:pos="900"/>
          <w:tab w:val="left" w:pos="2160"/>
        </w:tabs>
        <w:spacing w:line="380" w:lineRule="exact"/>
        <w:ind w:left="1191" w:hanging="737"/>
        <w:rPr>
          <w:rFonts w:ascii="宋体" w:hAnsi="宋体"/>
          <w:sz w:val="24"/>
        </w:rPr>
      </w:pPr>
      <w:r>
        <w:rPr>
          <w:rFonts w:hint="eastAsia" w:ascii="宋体" w:hAnsi="宋体"/>
          <w:sz w:val="24"/>
        </w:rPr>
        <w:t>投标人的报价均超过了</w:t>
      </w:r>
      <w:r>
        <w:rPr>
          <w:rFonts w:ascii="宋体" w:hAnsi="宋体"/>
          <w:sz w:val="24"/>
        </w:rPr>
        <w:t>最高限额</w:t>
      </w:r>
      <w:r>
        <w:rPr>
          <w:rFonts w:hint="eastAsia" w:ascii="宋体" w:hAnsi="宋体"/>
          <w:sz w:val="24"/>
        </w:rPr>
        <w:t>的；</w:t>
      </w:r>
    </w:p>
    <w:p>
      <w:pPr>
        <w:numPr>
          <w:ilvl w:val="0"/>
          <w:numId w:val="12"/>
        </w:numPr>
        <w:tabs>
          <w:tab w:val="left" w:pos="900"/>
          <w:tab w:val="left" w:pos="2160"/>
        </w:tabs>
        <w:spacing w:line="380" w:lineRule="exact"/>
        <w:ind w:left="1191" w:hanging="737"/>
        <w:rPr>
          <w:rFonts w:ascii="宋体" w:hAnsi="宋体"/>
          <w:sz w:val="24"/>
        </w:rPr>
      </w:pPr>
      <w:r>
        <w:rPr>
          <w:rFonts w:hint="eastAsia" w:ascii="宋体" w:hAnsi="宋体"/>
          <w:sz w:val="24"/>
        </w:rPr>
        <w:t>因重大变故，采购任务取消的。</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sz w:val="24"/>
        </w:rPr>
        <w:t>定标</w:t>
      </w:r>
    </w:p>
    <w:p>
      <w:pPr>
        <w:spacing w:line="380" w:lineRule="exact"/>
        <w:ind w:firstLine="480" w:firstLineChars="200"/>
        <w:rPr>
          <w:rFonts w:ascii="宋体" w:hAnsi="宋体"/>
          <w:sz w:val="24"/>
        </w:rPr>
      </w:pPr>
      <w:r>
        <w:rPr>
          <w:rFonts w:hint="eastAsia" w:ascii="宋体" w:hAnsi="宋体"/>
          <w:sz w:val="24"/>
        </w:rPr>
        <w:t>采购人确认评标委员会推荐的评标结果后，由采购人对中标候选人的资格和履约能力进行再次审查，凡发现中标候选人有下列情形之一的，将移交招投标监督管理部门依法处理：</w:t>
      </w:r>
    </w:p>
    <w:p>
      <w:pPr>
        <w:numPr>
          <w:ilvl w:val="2"/>
          <w:numId w:val="5"/>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提供虚假材料谋取中标的；</w:t>
      </w:r>
    </w:p>
    <w:p>
      <w:pPr>
        <w:numPr>
          <w:ilvl w:val="2"/>
          <w:numId w:val="5"/>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采取不正当手段诋毁、排挤其他投标人的；</w:t>
      </w:r>
    </w:p>
    <w:p>
      <w:pPr>
        <w:numPr>
          <w:ilvl w:val="2"/>
          <w:numId w:val="5"/>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与采购人、其他投标人恶意串通的；</w:t>
      </w:r>
    </w:p>
    <w:p>
      <w:pPr>
        <w:numPr>
          <w:ilvl w:val="2"/>
          <w:numId w:val="5"/>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向采购人行贿或者提供其他不正当利益的；</w:t>
      </w:r>
    </w:p>
    <w:p>
      <w:pPr>
        <w:numPr>
          <w:ilvl w:val="2"/>
          <w:numId w:val="5"/>
        </w:numPr>
        <w:tabs>
          <w:tab w:val="left" w:pos="-3600"/>
          <w:tab w:val="left" w:pos="720"/>
          <w:tab w:val="left" w:pos="780"/>
        </w:tabs>
        <w:spacing w:line="380" w:lineRule="exact"/>
        <w:ind w:left="991" w:leftChars="200" w:hanging="431"/>
        <w:rPr>
          <w:rFonts w:ascii="宋体" w:hAnsi="宋体"/>
          <w:sz w:val="24"/>
        </w:rPr>
      </w:pPr>
      <w:r>
        <w:rPr>
          <w:rFonts w:hint="eastAsia" w:ascii="宋体" w:hAnsi="宋体"/>
          <w:sz w:val="24"/>
        </w:rPr>
        <w:t>在采购过程中与采购人进行协商谈判、不按照采购文件和中标人的投标文件订立合同，或者与采购人另行订立背离合同实质性内容的协议的；</w:t>
      </w:r>
    </w:p>
    <w:p>
      <w:pPr>
        <w:numPr>
          <w:ilvl w:val="2"/>
          <w:numId w:val="5"/>
        </w:numPr>
        <w:tabs>
          <w:tab w:val="left" w:pos="-3600"/>
          <w:tab w:val="left" w:pos="720"/>
          <w:tab w:val="left" w:pos="780"/>
          <w:tab w:val="left" w:pos="1440"/>
        </w:tabs>
        <w:spacing w:line="380" w:lineRule="exact"/>
        <w:ind w:left="1637" w:leftChars="200" w:hanging="1077"/>
        <w:rPr>
          <w:rFonts w:ascii="宋体" w:hAnsi="宋体"/>
          <w:sz w:val="24"/>
        </w:rPr>
      </w:pPr>
      <w:r>
        <w:rPr>
          <w:rFonts w:hint="eastAsia" w:ascii="宋体" w:hAnsi="宋体"/>
          <w:sz w:val="24"/>
        </w:rPr>
        <w:t>拒绝有关部门监督检查或者提供虚假情况的。</w:t>
      </w:r>
    </w:p>
    <w:p>
      <w:pPr>
        <w:numPr>
          <w:ilvl w:val="2"/>
          <w:numId w:val="5"/>
        </w:numPr>
        <w:spacing w:line="380" w:lineRule="exact"/>
        <w:ind w:left="1637" w:leftChars="200" w:hanging="1077"/>
        <w:rPr>
          <w:rFonts w:ascii="宋体" w:hAnsi="宋体"/>
          <w:sz w:val="24"/>
        </w:rPr>
      </w:pPr>
      <w:r>
        <w:rPr>
          <w:rFonts w:hint="eastAsia" w:ascii="宋体" w:hAnsi="宋体"/>
          <w:sz w:val="24"/>
        </w:rPr>
        <w:t>投标人有前款1至6项情形之一的，中标无效。</w:t>
      </w:r>
    </w:p>
    <w:p>
      <w:pPr>
        <w:numPr>
          <w:ilvl w:val="2"/>
          <w:numId w:val="5"/>
        </w:numPr>
        <w:spacing w:line="380" w:lineRule="exact"/>
        <w:ind w:left="1637" w:leftChars="200" w:hanging="1077"/>
        <w:rPr>
          <w:rFonts w:ascii="宋体" w:hAnsi="宋体"/>
          <w:sz w:val="24"/>
          <w:szCs w:val="22"/>
        </w:rPr>
      </w:pPr>
      <w:r>
        <w:rPr>
          <w:rFonts w:hint="eastAsia" w:ascii="宋体" w:hAnsi="宋体"/>
          <w:sz w:val="24"/>
          <w:szCs w:val="22"/>
          <w:lang w:eastAsia="zh-TW"/>
        </w:rPr>
        <w:t>中标</w:t>
      </w:r>
      <w:r>
        <w:rPr>
          <w:rFonts w:hint="eastAsia" w:ascii="宋体" w:hAnsi="宋体"/>
          <w:sz w:val="24"/>
          <w:szCs w:val="22"/>
        </w:rPr>
        <w:t>供应商</w:t>
      </w:r>
      <w:r>
        <w:rPr>
          <w:rFonts w:hint="eastAsia" w:ascii="宋体" w:hAnsi="宋体"/>
          <w:sz w:val="24"/>
          <w:szCs w:val="22"/>
          <w:lang w:eastAsia="zh-TW"/>
        </w:rPr>
        <w:t>确定后</w:t>
      </w:r>
      <w:r>
        <w:rPr>
          <w:rFonts w:hint="eastAsia" w:ascii="宋体" w:hAnsi="宋体"/>
          <w:sz w:val="24"/>
          <w:szCs w:val="22"/>
        </w:rPr>
        <w:t>，采购人</w:t>
      </w:r>
      <w:r>
        <w:rPr>
          <w:rFonts w:hint="eastAsia" w:ascii="宋体" w:hAnsi="宋体"/>
          <w:sz w:val="24"/>
          <w:szCs w:val="22"/>
          <w:lang w:eastAsia="zh-TW"/>
        </w:rPr>
        <w:t>将在</w:t>
      </w:r>
      <w:r>
        <w:rPr>
          <w:rFonts w:hint="eastAsia" w:ascii="宋体" w:hAnsi="宋体"/>
          <w:sz w:val="24"/>
          <w:szCs w:val="22"/>
        </w:rPr>
        <w:t>广州南沙资产经营集团有限公司网站</w:t>
      </w:r>
    </w:p>
    <w:p>
      <w:pPr>
        <w:spacing w:line="380" w:lineRule="exact"/>
        <w:ind w:left="560" w:leftChars="200"/>
        <w:rPr>
          <w:rFonts w:ascii="宋体" w:hAnsi="宋体"/>
          <w:sz w:val="24"/>
          <w:szCs w:val="22"/>
        </w:rPr>
      </w:pPr>
      <w:r>
        <w:rPr>
          <w:rFonts w:hint="eastAsia" w:ascii="宋体" w:hAnsi="宋体"/>
          <w:sz w:val="24"/>
          <w:szCs w:val="22"/>
        </w:rPr>
        <w:t>（http://www.gnao.com.cn)上发布</w:t>
      </w:r>
      <w:r>
        <w:rPr>
          <w:rFonts w:hint="eastAsia" w:ascii="宋体" w:hAnsi="宋体"/>
          <w:sz w:val="24"/>
          <w:szCs w:val="22"/>
          <w:lang w:eastAsia="zh-TW"/>
        </w:rPr>
        <w:t>中标</w:t>
      </w:r>
      <w:r>
        <w:rPr>
          <w:rFonts w:hint="eastAsia" w:ascii="宋体" w:hAnsi="宋体"/>
          <w:sz w:val="24"/>
          <w:szCs w:val="22"/>
        </w:rPr>
        <w:t>结果公告，公告期满后</w:t>
      </w:r>
      <w:r>
        <w:rPr>
          <w:rFonts w:hint="eastAsia" w:ascii="宋体" w:hAnsi="宋体"/>
          <w:sz w:val="24"/>
          <w:szCs w:val="22"/>
          <w:lang w:eastAsia="zh-TW"/>
        </w:rPr>
        <w:t>向中标</w:t>
      </w:r>
      <w:r>
        <w:rPr>
          <w:rFonts w:hint="eastAsia" w:ascii="宋体" w:hAnsi="宋体"/>
          <w:sz w:val="24"/>
          <w:szCs w:val="22"/>
        </w:rPr>
        <w:t>人</w:t>
      </w:r>
      <w:r>
        <w:rPr>
          <w:rFonts w:hint="eastAsia" w:ascii="宋体" w:hAnsi="宋体"/>
          <w:sz w:val="24"/>
          <w:szCs w:val="22"/>
          <w:lang w:eastAsia="zh-TW"/>
        </w:rPr>
        <w:t>发出《中标通知书》</w:t>
      </w:r>
      <w:r>
        <w:rPr>
          <w:rFonts w:hint="eastAsia" w:ascii="宋体" w:hAnsi="宋体"/>
          <w:sz w:val="24"/>
          <w:szCs w:val="22"/>
        </w:rPr>
        <w:t>，</w:t>
      </w:r>
      <w:r>
        <w:rPr>
          <w:rFonts w:hint="eastAsia" w:ascii="宋体" w:hAnsi="宋体"/>
          <w:sz w:val="24"/>
          <w:szCs w:val="22"/>
          <w:lang w:eastAsia="zh-TW"/>
        </w:rPr>
        <w:t>《中标通知书》对中标</w:t>
      </w:r>
      <w:r>
        <w:rPr>
          <w:rFonts w:hint="eastAsia" w:ascii="宋体" w:hAnsi="宋体"/>
          <w:sz w:val="24"/>
          <w:szCs w:val="22"/>
        </w:rPr>
        <w:t>供应商</w:t>
      </w:r>
      <w:r>
        <w:rPr>
          <w:rFonts w:hint="eastAsia" w:ascii="宋体" w:hAnsi="宋体"/>
          <w:sz w:val="24"/>
          <w:szCs w:val="22"/>
          <w:lang w:eastAsia="zh-TW"/>
        </w:rPr>
        <w:t>和</w:t>
      </w:r>
      <w:r>
        <w:rPr>
          <w:rFonts w:hint="eastAsia" w:ascii="宋体" w:hAnsi="宋体"/>
          <w:sz w:val="24"/>
          <w:szCs w:val="22"/>
        </w:rPr>
        <w:t>采购人</w:t>
      </w:r>
      <w:r>
        <w:rPr>
          <w:rFonts w:hint="eastAsia" w:ascii="宋体" w:hAnsi="宋体"/>
          <w:sz w:val="24"/>
          <w:szCs w:val="22"/>
          <w:lang w:eastAsia="zh-TW"/>
        </w:rPr>
        <w:t>具有同等法律效力。</w:t>
      </w:r>
      <w:r>
        <w:rPr>
          <w:rFonts w:hint="eastAsia" w:ascii="宋体" w:hAnsi="宋体"/>
          <w:sz w:val="24"/>
          <w:szCs w:val="22"/>
        </w:rPr>
        <w:t>中标人放弃中标的，应当依法承担法律责任。</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bookmarkStart w:id="47" w:name="_Toc184442577"/>
      <w:r>
        <w:rPr>
          <w:rFonts w:hint="eastAsia"/>
          <w:sz w:val="24"/>
        </w:rPr>
        <w:t>签约</w:t>
      </w:r>
      <w:bookmarkEnd w:id="47"/>
    </w:p>
    <w:p>
      <w:pPr>
        <w:spacing w:line="380" w:lineRule="exact"/>
        <w:ind w:firstLine="480" w:firstLineChars="200"/>
        <w:rPr>
          <w:rFonts w:ascii="宋体" w:hAnsi="宋体"/>
          <w:sz w:val="24"/>
        </w:rPr>
      </w:pPr>
      <w:r>
        <w:rPr>
          <w:rFonts w:ascii="宋体" w:hAnsi="宋体"/>
          <w:sz w:val="24"/>
        </w:rPr>
        <w:t>中标</w:t>
      </w:r>
      <w:r>
        <w:rPr>
          <w:rFonts w:hint="eastAsia" w:ascii="宋体" w:hAnsi="宋体"/>
          <w:sz w:val="24"/>
        </w:rPr>
        <w:t>人</w:t>
      </w:r>
      <w:r>
        <w:rPr>
          <w:rFonts w:ascii="宋体" w:hAnsi="宋体"/>
          <w:sz w:val="24"/>
        </w:rPr>
        <w:t>应按中标通知书指定的时间和地点与用户签订合同。</w:t>
      </w:r>
    </w:p>
    <w:p>
      <w:pPr>
        <w:pStyle w:val="5"/>
        <w:keepLines w:val="0"/>
        <w:numPr>
          <w:ilvl w:val="1"/>
          <w:numId w:val="5"/>
        </w:numPr>
        <w:tabs>
          <w:tab w:val="left" w:pos="630"/>
          <w:tab w:val="left" w:pos="1981"/>
        </w:tabs>
        <w:adjustRightInd/>
        <w:spacing w:before="0" w:after="0" w:line="380" w:lineRule="exact"/>
        <w:ind w:left="630" w:hanging="630"/>
        <w:textAlignment w:val="auto"/>
        <w:rPr>
          <w:sz w:val="24"/>
        </w:rPr>
      </w:pPr>
      <w:r>
        <w:rPr>
          <w:rFonts w:hint="eastAsia"/>
          <w:sz w:val="24"/>
        </w:rPr>
        <w:t>投标费用说明</w:t>
      </w:r>
    </w:p>
    <w:p>
      <w:pPr>
        <w:autoSpaceDE w:val="0"/>
        <w:autoSpaceDN w:val="0"/>
        <w:adjustRightInd w:val="0"/>
        <w:snapToGrid w:val="0"/>
        <w:spacing w:line="380" w:lineRule="exact"/>
        <w:ind w:left="11" w:right="32" w:firstLine="549"/>
        <w:sectPr>
          <w:pgSz w:w="11906" w:h="16838"/>
          <w:pgMar w:top="567" w:right="1134" w:bottom="289" w:left="1588" w:header="567" w:footer="737" w:gutter="0"/>
          <w:cols w:space="720" w:num="1"/>
          <w:docGrid w:linePitch="312" w:charSpace="0"/>
        </w:sectPr>
      </w:pPr>
      <w:bookmarkStart w:id="48" w:name="_Toc14450813"/>
      <w:bookmarkStart w:id="49" w:name="_Toc28489462"/>
      <w:r>
        <w:rPr>
          <w:rFonts w:hint="eastAsia" w:ascii="宋体" w:hAnsi="宋体"/>
          <w:sz w:val="24"/>
          <w:szCs w:val="24"/>
        </w:rPr>
        <w:t>投标供应商应承担所有与准备和参加投标有关的费用。不论投标的结果如何，采购人均无义务和责任承担</w:t>
      </w:r>
      <w:bookmarkStart w:id="50" w:name="_Toc458795997"/>
      <w:bookmarkStart w:id="51" w:name="_Toc22133"/>
      <w:bookmarkStart w:id="52" w:name="_Toc29548"/>
      <w:bookmarkStart w:id="53" w:name="_Toc18831"/>
      <w:bookmarkStart w:id="54" w:name="_Toc14331"/>
      <w:bookmarkStart w:id="55" w:name="_Toc11608"/>
      <w:bookmarkStart w:id="56" w:name="_Toc10604"/>
      <w:bookmarkStart w:id="57" w:name="_Toc14752"/>
      <w:bookmarkStart w:id="58" w:name="_Toc14957"/>
      <w:bookmarkStart w:id="59" w:name="_Toc14762"/>
      <w:bookmarkStart w:id="60" w:name="_Toc18621"/>
    </w:p>
    <w:p>
      <w:pPr>
        <w:autoSpaceDE w:val="0"/>
        <w:autoSpaceDN w:val="0"/>
        <w:adjustRightInd w:val="0"/>
        <w:snapToGrid w:val="0"/>
        <w:spacing w:line="380" w:lineRule="exact"/>
        <w:ind w:right="32"/>
        <w:rPr>
          <w:sz w:val="36"/>
          <w:szCs w:val="36"/>
        </w:rPr>
      </w:pPr>
    </w:p>
    <w:p>
      <w:pPr>
        <w:autoSpaceDE w:val="0"/>
        <w:autoSpaceDN w:val="0"/>
        <w:adjustRightInd w:val="0"/>
        <w:snapToGrid w:val="0"/>
        <w:spacing w:line="380" w:lineRule="exact"/>
        <w:ind w:right="32"/>
        <w:jc w:val="center"/>
        <w:rPr>
          <w:sz w:val="36"/>
          <w:szCs w:val="36"/>
        </w:rPr>
      </w:pPr>
      <w:r>
        <w:rPr>
          <w:rFonts w:hint="eastAsia"/>
          <w:sz w:val="36"/>
          <w:szCs w:val="36"/>
        </w:rPr>
        <w:t>第三</w:t>
      </w:r>
      <w:bookmarkStart w:id="61" w:name="_Toc10525517"/>
      <w:r>
        <w:rPr>
          <w:rFonts w:hint="eastAsia"/>
          <w:sz w:val="36"/>
          <w:szCs w:val="36"/>
        </w:rPr>
        <w:t xml:space="preserve">章 </w:t>
      </w:r>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hint="eastAsia"/>
          <w:sz w:val="36"/>
          <w:szCs w:val="36"/>
        </w:rPr>
        <w:t>用户需求书</w:t>
      </w:r>
      <w:bookmarkStart w:id="62" w:name="_Toc117407388"/>
      <w:bookmarkStart w:id="63" w:name="_Toc117414874"/>
      <w:bookmarkStart w:id="64" w:name="_Toc14450822"/>
      <w:bookmarkStart w:id="65" w:name="_Toc28489480"/>
    </w:p>
    <w:bookmarkEnd w:id="62"/>
    <w:bookmarkEnd w:id="63"/>
    <w:p>
      <w:pPr>
        <w:pStyle w:val="7"/>
        <w:spacing w:line="360" w:lineRule="auto"/>
        <w:rPr>
          <w:rFonts w:ascii="宋体" w:hAnsi="宋体" w:cs="宋体"/>
          <w:b/>
        </w:rPr>
      </w:pPr>
      <w:bookmarkStart w:id="66" w:name="_Toc458795998"/>
      <w:bookmarkStart w:id="67" w:name="_Toc82"/>
      <w:bookmarkStart w:id="68" w:name="_Toc11253"/>
      <w:bookmarkStart w:id="69" w:name="_Toc20888"/>
      <w:bookmarkStart w:id="70" w:name="_Toc20183"/>
      <w:r>
        <w:rPr>
          <w:rFonts w:hint="eastAsia" w:ascii="宋体" w:hAnsi="宋体" w:cs="宋体"/>
          <w:b/>
        </w:rPr>
        <w:t>（说明：采购文件中，如标有“★”的条款均为必须完全满足指标，投标人须进行实质性响应，投标人若有一项带“★”的条款未响应或不满足，将按无效投标处理；如标有“▲”的条款均为评审的重要评分指标，投标人若有部分“▲”条款未响应或不满足，将导致其响应性评审严重扣分。）</w:t>
      </w:r>
    </w:p>
    <w:tbl>
      <w:tblPr>
        <w:tblStyle w:val="18"/>
        <w:tblpPr w:leftFromText="180" w:rightFromText="180" w:vertAnchor="text" w:horzAnchor="page" w:tblpX="630" w:tblpY="715"/>
        <w:tblOverlap w:val="never"/>
        <w:tblW w:w="15473" w:type="dxa"/>
        <w:tblInd w:w="0" w:type="dxa"/>
        <w:tblLayout w:type="fixed"/>
        <w:tblCellMar>
          <w:top w:w="15" w:type="dxa"/>
          <w:left w:w="15" w:type="dxa"/>
          <w:bottom w:w="15" w:type="dxa"/>
          <w:right w:w="15" w:type="dxa"/>
        </w:tblCellMar>
      </w:tblPr>
      <w:tblGrid>
        <w:gridCol w:w="738"/>
        <w:gridCol w:w="2112"/>
        <w:gridCol w:w="1843"/>
        <w:gridCol w:w="851"/>
        <w:gridCol w:w="850"/>
        <w:gridCol w:w="6946"/>
        <w:gridCol w:w="2133"/>
      </w:tblGrid>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编号</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设备名称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规格</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单位</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技术参数</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lang w:bidi="ar"/>
              </w:rPr>
            </w:pPr>
            <w:r>
              <w:rPr>
                <w:rFonts w:hint="eastAsia" w:ascii="宋体" w:hAnsi="宋体" w:cs="宋体"/>
                <w:b/>
                <w:sz w:val="20"/>
                <w:lang w:bidi="ar"/>
              </w:rPr>
              <w:t>投标品牌与型号</w:t>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集装箱厨房</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6000*3000*2700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套</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防火 防风 抗震 防锈 防腐</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集装箱体搬运安装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搬运至指定位置及安装</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集装箱体内部改造</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内部开孔、开窗、开门、修饰等</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ascii="宋体" w:hAnsi="宋体" w:cs="宋体"/>
                <w:sz w:val="20"/>
              </w:rPr>
              <w:drawing>
                <wp:inline distT="0" distB="0" distL="0" distR="0">
                  <wp:extent cx="1192530" cy="719455"/>
                  <wp:effectExtent l="0" t="0" r="7620" b="4445"/>
                  <wp:docPr id="21" name="图片 21" descr="C:\Users\68428\AppData\Local\Temp\WeChat Files\f9549feb7c2a8c1eada94dd91611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68428\AppData\Local\Temp\WeChat Files\f9549feb7c2a8c1eada94dd9161154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3028" cy="72000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集装箱体内部排水渠</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内部设不锈钢排水渠及盖板，排水渠有一定倾斜度，用样304 1.2不锈钢</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集装箱体座地框架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座地框架为10#槽钢，地面水泥沙铺平，回填等。</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集装箱体内部水电</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甲方至水电到集装箱房内部内有承包方布置到位包括风机、净化器、厨具设备等。</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集装箱厨房隔油隔渣池</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厨房统一排放至隔油隔渣后再放到市政</w:t>
            </w:r>
            <w:r>
              <w:rPr>
                <w:rStyle w:val="33"/>
                <w:rFonts w:hint="default"/>
                <w:color w:val="auto"/>
                <w:u w:val="none"/>
                <w:lang w:bidi="ar"/>
              </w:rPr>
              <w:t>管</w:t>
            </w:r>
            <w:r>
              <w:rPr>
                <w:rStyle w:val="34"/>
                <w:rFonts w:hint="default"/>
                <w:color w:val="auto"/>
                <w:lang w:bidi="ar"/>
              </w:rPr>
              <w:t>道</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厨房外部绿化装饰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集装箱外部加装环保节能、绿化格栅木片装饰含</w:t>
            </w:r>
            <w:r>
              <w:rPr>
                <w:rStyle w:val="33"/>
                <w:rFonts w:hint="default"/>
                <w:color w:val="auto"/>
                <w:u w:val="none"/>
                <w:lang w:bidi="ar"/>
              </w:rPr>
              <w:t>集装箱</w:t>
            </w:r>
            <w:r>
              <w:rPr>
                <w:rStyle w:val="34"/>
                <w:rFonts w:hint="default"/>
                <w:color w:val="auto"/>
                <w:lang w:bidi="ar"/>
              </w:rPr>
              <w:t>顶部；风机及净化器周围</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ascii="宋体" w:hAnsi="宋体" w:cs="宋体"/>
                <w:sz w:val="20"/>
              </w:rPr>
              <w:drawing>
                <wp:inline distT="0" distB="0" distL="0" distR="0">
                  <wp:extent cx="1153795" cy="929640"/>
                  <wp:effectExtent l="0" t="0" r="8255" b="3810"/>
                  <wp:docPr id="20" name="图片 20" descr="C:\Users\68428\AppData\Local\Temp\WeChat Files\0a8aa6db3d137020c02acd9861ae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68428\AppData\Local\Temp\WeChat Files\0a8aa6db3d137020c02acd9861ae59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51553" cy="927730"/>
                          </a:xfrm>
                          <a:prstGeom prst="rect">
                            <a:avLst/>
                          </a:prstGeom>
                          <a:noFill/>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A</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集装箱厨具设备</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304材料</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炉拼台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400*950*1150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1、台面板采用304#1.2mm磨砂贴塑不锈钢板；底衬1.0mm厚304不锈钢加强梁，</w:t>
            </w:r>
          </w:p>
          <w:p>
            <w:pPr>
              <w:widowControl/>
              <w:jc w:val="left"/>
              <w:textAlignment w:val="center"/>
              <w:rPr>
                <w:rFonts w:ascii="宋体" w:hAnsi="宋体" w:cs="宋体"/>
                <w:sz w:val="20"/>
              </w:rPr>
            </w:pPr>
            <w:r>
              <w:rPr>
                <w:rFonts w:hint="eastAsia" w:ascii="宋体" w:hAnsi="宋体" w:cs="宋体"/>
                <w:sz w:val="20"/>
                <w:lang w:bidi="ar"/>
              </w:rPr>
              <w:t>2、φ38*1.2mm不锈钢脚通，配不锈钢可调子弹脚；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anchor distT="0" distB="0" distL="114300" distR="114300" simplePos="0" relativeHeight="251662336" behindDoc="0" locked="0" layoutInCell="1" allowOverlap="1">
                  <wp:simplePos x="0" y="0"/>
                  <wp:positionH relativeFrom="column">
                    <wp:posOffset>6308725</wp:posOffset>
                  </wp:positionH>
                  <wp:positionV relativeFrom="paragraph">
                    <wp:posOffset>3226435</wp:posOffset>
                  </wp:positionV>
                  <wp:extent cx="723900" cy="716280"/>
                  <wp:effectExtent l="0" t="0" r="0" b="7620"/>
                  <wp:wrapNone/>
                  <wp:docPr id="4" name="图片 4" descr="03b89bc9b28f96c3a87b76ff57364b92_wKgGTFVILaSAAah7AAJ8fYRvuj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b89bc9b28f96c3a87b76ff57364b92_wKgGTFVILaSAAah7AAJ8fYRvujA0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23900" cy="716280"/>
                          </a:xfrm>
                          <a:prstGeom prst="rect">
                            <a:avLst/>
                          </a:prstGeom>
                          <a:noFill/>
                        </pic:spPr>
                      </pic:pic>
                    </a:graphicData>
                  </a:graphic>
                </wp:anchor>
              </w:drawing>
            </w:r>
            <w:r>
              <w:rPr>
                <w:rFonts w:ascii="宋体" w:hAnsi="宋体" w:cs="宋体"/>
                <w:sz w:val="20"/>
              </w:rPr>
              <w:drawing>
                <wp:anchor distT="0" distB="0" distL="114300" distR="114300" simplePos="0" relativeHeight="251661312" behindDoc="0" locked="0" layoutInCell="1" allowOverlap="1">
                  <wp:simplePos x="0" y="0"/>
                  <wp:positionH relativeFrom="column">
                    <wp:posOffset>6308725</wp:posOffset>
                  </wp:positionH>
                  <wp:positionV relativeFrom="paragraph">
                    <wp:posOffset>3226435</wp:posOffset>
                  </wp:positionV>
                  <wp:extent cx="723900" cy="716280"/>
                  <wp:effectExtent l="0" t="0" r="0" b="7620"/>
                  <wp:wrapNone/>
                  <wp:docPr id="3" name="图片 3" descr="03b89bc9b28f96c3a87b76ff57364b92_wKgGTFVILaSAAah7AAJ8fYRvuj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b89bc9b28f96c3a87b76ff57364b92_wKgGTFVILaSAAah7AAJ8fYRvujA0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23900" cy="716280"/>
                          </a:xfrm>
                          <a:prstGeom prst="rect">
                            <a:avLst/>
                          </a:prstGeom>
                          <a:noFill/>
                        </pic:spPr>
                      </pic:pic>
                    </a:graphicData>
                  </a:graphic>
                </wp:anchor>
              </w:drawing>
            </w:r>
            <w:r>
              <w:rPr>
                <w:rFonts w:ascii="宋体" w:hAnsi="宋体" w:cs="宋体"/>
                <w:sz w:val="20"/>
              </w:rPr>
              <w:drawing>
                <wp:inline distT="0" distB="0" distL="0" distR="0">
                  <wp:extent cx="733425" cy="7239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33425" cy="723900"/>
                          </a:xfrm>
                          <a:prstGeom prst="rect">
                            <a:avLst/>
                          </a:prstGeom>
                          <a:noFill/>
                        </pic:spPr>
                      </pic:pic>
                    </a:graphicData>
                  </a:graphic>
                </wp:inline>
              </w:drawing>
            </w:r>
          </w:p>
        </w:tc>
      </w:tr>
      <w:tr>
        <w:tblPrEx>
          <w:tblCellMar>
            <w:top w:w="15" w:type="dxa"/>
            <w:left w:w="15" w:type="dxa"/>
            <w:bottom w:w="15" w:type="dxa"/>
            <w:right w:w="15" w:type="dxa"/>
          </w:tblCellMar>
        </w:tblPrEx>
        <w:trPr>
          <w:trHeight w:val="121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燃气双炒双尾炉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2000*950*1150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3"/>
              </w:numPr>
              <w:jc w:val="left"/>
              <w:textAlignment w:val="center"/>
              <w:rPr>
                <w:rFonts w:ascii="宋体" w:hAnsi="宋体" w:cs="宋体"/>
                <w:sz w:val="20"/>
                <w:lang w:bidi="ar"/>
              </w:rPr>
            </w:pPr>
            <w:r>
              <w:rPr>
                <w:rFonts w:hint="eastAsia" w:ascii="宋体" w:hAnsi="宋体" w:cs="宋体"/>
                <w:sz w:val="20"/>
                <w:lang w:bidi="ar"/>
              </w:rPr>
              <w:t>材质：采用304#不锈钢磨砂板，面板采用1.2mm厚，炉围及炉身、背板、前板采用1.0mm 厚；底架：40*40mm国标角铁焊接组成，炉膛内采用耐火棉隔热；</w:t>
            </w:r>
          </w:p>
          <w:p>
            <w:pPr>
              <w:widowControl/>
              <w:numPr>
                <w:ilvl w:val="0"/>
                <w:numId w:val="13"/>
              </w:numPr>
              <w:jc w:val="left"/>
              <w:textAlignment w:val="center"/>
              <w:rPr>
                <w:rFonts w:ascii="宋体" w:hAnsi="宋体" w:cs="宋体"/>
                <w:sz w:val="20"/>
              </w:rPr>
            </w:pPr>
            <w:r>
              <w:rPr>
                <w:rFonts w:hint="eastAsia" w:ascii="宋体" w:hAnsi="宋体" w:cs="宋体"/>
                <w:sz w:val="20"/>
                <w:lang w:bidi="ar"/>
              </w:rPr>
              <w:t>炉口直径360mm，配4"底沟风炉头、电子点火、点火枪、主气阀、火种阀；热效率≥50%；</w:t>
            </w:r>
          </w:p>
          <w:p>
            <w:pPr>
              <w:widowControl/>
              <w:numPr>
                <w:ilvl w:val="0"/>
                <w:numId w:val="13"/>
              </w:numPr>
              <w:jc w:val="left"/>
              <w:textAlignment w:val="center"/>
              <w:rPr>
                <w:rFonts w:ascii="宋体" w:hAnsi="宋体" w:cs="宋体"/>
                <w:sz w:val="20"/>
              </w:rPr>
            </w:pPr>
            <w:r>
              <w:rPr>
                <w:rFonts w:hint="eastAsia" w:ascii="宋体" w:hAnsi="宋体" w:cs="宋体"/>
                <w:sz w:val="20"/>
                <w:lang w:bidi="ar"/>
              </w:rPr>
              <w:t>配熄火保护：鼓风机功率：0.55kW；</w:t>
            </w:r>
          </w:p>
          <w:p>
            <w:pPr>
              <w:widowControl/>
              <w:numPr>
                <w:ilvl w:val="0"/>
                <w:numId w:val="13"/>
              </w:numPr>
              <w:jc w:val="left"/>
              <w:textAlignment w:val="center"/>
              <w:rPr>
                <w:rFonts w:ascii="宋体" w:hAnsi="宋体" w:cs="宋体"/>
                <w:sz w:val="20"/>
              </w:rPr>
            </w:pPr>
            <w:r>
              <w:rPr>
                <w:rFonts w:hint="eastAsia" w:ascii="宋体" w:hAnsi="宋体" w:cs="宋体"/>
                <w:sz w:val="20"/>
                <w:lang w:bidi="ar"/>
              </w:rPr>
              <w:t>炉脚：Ф50mm304#不锈钢水管包钢管,高度可调整，配装摇摆水龙头，</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anchor distT="0" distB="0" distL="114300" distR="114300" simplePos="0" relativeHeight="251663360" behindDoc="0" locked="0" layoutInCell="1" allowOverlap="1">
                  <wp:simplePos x="0" y="0"/>
                  <wp:positionH relativeFrom="column">
                    <wp:posOffset>6399530</wp:posOffset>
                  </wp:positionH>
                  <wp:positionV relativeFrom="paragraph">
                    <wp:posOffset>4362450</wp:posOffset>
                  </wp:positionV>
                  <wp:extent cx="563880" cy="716280"/>
                  <wp:effectExtent l="0" t="0" r="762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3880" cy="716280"/>
                          </a:xfrm>
                          <a:prstGeom prst="rect">
                            <a:avLst/>
                          </a:prstGeom>
                          <a:noFill/>
                        </pic:spPr>
                      </pic:pic>
                    </a:graphicData>
                  </a:graphic>
                </wp:anchor>
              </w:drawing>
            </w:r>
            <w:r>
              <w:rPr>
                <w:rFonts w:ascii="宋体" w:hAnsi="宋体" w:cs="宋体"/>
                <w:sz w:val="20"/>
              </w:rPr>
              <w:drawing>
                <wp:inline distT="0" distB="0" distL="0" distR="0">
                  <wp:extent cx="571500" cy="723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500" cy="723900"/>
                          </a:xfrm>
                          <a:prstGeom prst="rect">
                            <a:avLst/>
                          </a:prstGeom>
                          <a:noFill/>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燃气六头煲仔炉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1200*950*1150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1、材质：304#不锈钢板,面板1.2mm厚;侧板1.0mm厚;</w:t>
            </w:r>
          </w:p>
          <w:p>
            <w:pPr>
              <w:widowControl/>
              <w:jc w:val="left"/>
              <w:textAlignment w:val="center"/>
              <w:rPr>
                <w:rFonts w:ascii="宋体" w:hAnsi="宋体" w:cs="宋体"/>
                <w:sz w:val="20"/>
                <w:lang w:bidi="ar"/>
              </w:rPr>
            </w:pPr>
            <w:r>
              <w:rPr>
                <w:rFonts w:hint="eastAsia" w:ascii="宋体" w:hAnsi="宋体" w:cs="宋体"/>
                <w:sz w:val="20"/>
                <w:lang w:bidi="ar"/>
              </w:rPr>
              <w:t>2、前挡板、后挡板、侧板1.0mm厚；</w:t>
            </w:r>
          </w:p>
          <w:p>
            <w:pPr>
              <w:widowControl/>
              <w:jc w:val="left"/>
              <w:textAlignment w:val="center"/>
              <w:rPr>
                <w:rFonts w:ascii="宋体" w:hAnsi="宋体" w:cs="宋体"/>
                <w:sz w:val="20"/>
                <w:lang w:bidi="ar"/>
              </w:rPr>
            </w:pPr>
            <w:r>
              <w:rPr>
                <w:rFonts w:hint="eastAsia" w:ascii="宋体" w:hAnsi="宋体" w:cs="宋体"/>
                <w:sz w:val="20"/>
                <w:lang w:bidi="ar"/>
              </w:rPr>
              <w:t>3、炉腿38*1.0mm不锈管。</w:t>
            </w:r>
          </w:p>
          <w:p>
            <w:pPr>
              <w:widowControl/>
              <w:jc w:val="left"/>
              <w:textAlignment w:val="center"/>
              <w:rPr>
                <w:rFonts w:ascii="宋体" w:hAnsi="宋体" w:cs="宋体"/>
                <w:sz w:val="20"/>
              </w:rPr>
            </w:pPr>
            <w:r>
              <w:rPr>
                <w:rFonts w:hint="eastAsia" w:ascii="宋体" w:hAnsi="宋体" w:cs="宋体"/>
                <w:sz w:val="20"/>
                <w:lang w:bidi="ar"/>
              </w:rPr>
              <w:t>4、炉头采用6〞文华炉头，炉花架规格：300*300，配熄火保护：。</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inline distT="0" distB="0" distL="0" distR="0">
                  <wp:extent cx="733425" cy="742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33425" cy="742950"/>
                          </a:xfrm>
                          <a:prstGeom prst="rect">
                            <a:avLst/>
                          </a:prstGeom>
                          <a:noFill/>
                        </pic:spPr>
                      </pic:pic>
                    </a:graphicData>
                  </a:graphic>
                </wp:inline>
              </w:drawing>
            </w:r>
          </w:p>
        </w:tc>
      </w:tr>
      <w:tr>
        <w:tblPrEx>
          <w:tblCellMar>
            <w:top w:w="15" w:type="dxa"/>
            <w:left w:w="15" w:type="dxa"/>
            <w:bottom w:w="15" w:type="dxa"/>
            <w:right w:w="15" w:type="dxa"/>
          </w:tblCellMar>
        </w:tblPrEx>
        <w:trPr>
          <w:trHeight w:val="73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三门海鲜蒸柜炉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1200*950*1850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4"/>
              </w:numPr>
              <w:jc w:val="left"/>
              <w:textAlignment w:val="center"/>
              <w:rPr>
                <w:rFonts w:ascii="宋体" w:hAnsi="宋体" w:cs="宋体"/>
                <w:sz w:val="20"/>
                <w:lang w:bidi="ar"/>
              </w:rPr>
            </w:pPr>
            <w:r>
              <w:rPr>
                <w:rFonts w:hint="eastAsia" w:ascii="宋体" w:hAnsi="宋体" w:cs="宋体"/>
                <w:sz w:val="20"/>
                <w:lang w:bidi="ar"/>
              </w:rPr>
              <w:t xml:space="preserve">材质：采用304#不锈钢磨砂板，面板采用1.2mm厚，炉围及炉身、背板、前板采用1.0mm 厚；     </w:t>
            </w:r>
          </w:p>
          <w:p>
            <w:pPr>
              <w:widowControl/>
              <w:numPr>
                <w:ilvl w:val="0"/>
                <w:numId w:val="14"/>
              </w:numPr>
              <w:jc w:val="left"/>
              <w:textAlignment w:val="center"/>
              <w:rPr>
                <w:rFonts w:ascii="宋体" w:hAnsi="宋体" w:cs="宋体"/>
                <w:sz w:val="20"/>
              </w:rPr>
            </w:pPr>
            <w:r>
              <w:rPr>
                <w:rFonts w:hint="eastAsia" w:ascii="宋体" w:hAnsi="宋体" w:cs="宋体"/>
                <w:sz w:val="20"/>
                <w:lang w:bidi="ar"/>
              </w:rPr>
              <w:t>配高效节能蒸汽发生器。用先进的火管式供热，2-3分钟迅速产生强效蒸汽，使热能利用达90％以上，设有缺水，超压，熄火再点火等安全措施，操作简易。</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inline distT="0" distB="0" distL="0" distR="0">
                  <wp:extent cx="514350" cy="723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4350" cy="723900"/>
                          </a:xfrm>
                          <a:prstGeom prst="rect">
                            <a:avLst/>
                          </a:prstGeom>
                          <a:noFill/>
                        </pic:spPr>
                      </pic:pic>
                    </a:graphicData>
                  </a:graphic>
                </wp:inline>
              </w:drawing>
            </w:r>
          </w:p>
        </w:tc>
      </w:tr>
      <w:tr>
        <w:tblPrEx>
          <w:tblCellMar>
            <w:top w:w="15" w:type="dxa"/>
            <w:left w:w="15" w:type="dxa"/>
            <w:bottom w:w="15" w:type="dxa"/>
            <w:right w:w="15" w:type="dxa"/>
          </w:tblCellMar>
        </w:tblPrEx>
        <w:trPr>
          <w:trHeight w:val="121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单头平头炉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700*800*1150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5"/>
              </w:numPr>
              <w:jc w:val="left"/>
              <w:textAlignment w:val="center"/>
              <w:rPr>
                <w:rFonts w:ascii="宋体" w:hAnsi="宋体" w:cs="宋体"/>
                <w:sz w:val="20"/>
                <w:lang w:bidi="ar"/>
              </w:rPr>
            </w:pPr>
            <w:r>
              <w:rPr>
                <w:rFonts w:hint="eastAsia" w:ascii="宋体" w:hAnsi="宋体" w:cs="宋体"/>
                <w:sz w:val="20"/>
                <w:lang w:bidi="ar"/>
              </w:rPr>
              <w:t>材质：采用304#不锈钢磨砂板，面板采用1.2mm厚，炉围及炉身、背板、前板采用1.0mm 厚；底架：1mm厚Φ80mm不锈钢管及1mm厚不锈钢板焊接组成，炉膛内采用耐火棉隔热；</w:t>
            </w:r>
          </w:p>
          <w:p>
            <w:pPr>
              <w:widowControl/>
              <w:numPr>
                <w:ilvl w:val="0"/>
                <w:numId w:val="15"/>
              </w:numPr>
              <w:jc w:val="left"/>
              <w:textAlignment w:val="center"/>
              <w:rPr>
                <w:rFonts w:ascii="宋体" w:hAnsi="宋体" w:cs="宋体"/>
                <w:sz w:val="20"/>
              </w:rPr>
            </w:pPr>
            <w:r>
              <w:rPr>
                <w:rFonts w:hint="eastAsia" w:ascii="宋体" w:hAnsi="宋体" w:cs="宋体"/>
                <w:sz w:val="20"/>
                <w:lang w:bidi="ar"/>
              </w:rPr>
              <w:t>炉口直径360mm，配4"底沟风炉头、电子点火、点火枪、主气阀、火种阀；热效率≥50%；</w:t>
            </w:r>
          </w:p>
          <w:p>
            <w:pPr>
              <w:widowControl/>
              <w:numPr>
                <w:ilvl w:val="0"/>
                <w:numId w:val="15"/>
              </w:numPr>
              <w:jc w:val="left"/>
              <w:textAlignment w:val="center"/>
              <w:rPr>
                <w:rFonts w:ascii="宋体" w:hAnsi="宋体" w:cs="宋体"/>
                <w:sz w:val="20"/>
              </w:rPr>
            </w:pPr>
            <w:r>
              <w:rPr>
                <w:rFonts w:hint="eastAsia" w:ascii="宋体" w:hAnsi="宋体" w:cs="宋体"/>
                <w:sz w:val="20"/>
                <w:lang w:bidi="ar"/>
              </w:rPr>
              <w:t>配熄火保护：鼓风机功率：0.55kW；</w:t>
            </w:r>
          </w:p>
          <w:p>
            <w:pPr>
              <w:widowControl/>
              <w:numPr>
                <w:ilvl w:val="0"/>
                <w:numId w:val="15"/>
              </w:numPr>
              <w:jc w:val="left"/>
              <w:textAlignment w:val="center"/>
              <w:rPr>
                <w:rFonts w:ascii="宋体" w:hAnsi="宋体" w:cs="宋体"/>
                <w:sz w:val="20"/>
              </w:rPr>
            </w:pPr>
            <w:r>
              <w:rPr>
                <w:rFonts w:hint="eastAsia" w:ascii="宋体" w:hAnsi="宋体" w:cs="宋体"/>
                <w:sz w:val="20"/>
                <w:lang w:bidi="ar"/>
              </w:rPr>
              <w:t>炉脚：Ф50mm304#不锈钢水管包钢管,高度可调整，配装摇摆水龙头，</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inline distT="0" distB="0" distL="0" distR="0">
                  <wp:extent cx="676275" cy="7334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76275" cy="733425"/>
                          </a:xfrm>
                          <a:prstGeom prst="rect">
                            <a:avLst/>
                          </a:prstGeom>
                          <a:noFill/>
                        </pic:spPr>
                      </pic:pic>
                    </a:graphicData>
                  </a:graphic>
                </wp:inline>
              </w:drawing>
            </w:r>
          </w:p>
        </w:tc>
      </w:tr>
      <w:tr>
        <w:tblPrEx>
          <w:tblCellMar>
            <w:top w:w="15" w:type="dxa"/>
            <w:left w:w="15" w:type="dxa"/>
            <w:bottom w:w="15" w:type="dxa"/>
            <w:right w:w="15" w:type="dxa"/>
          </w:tblCellMar>
        </w:tblPrEx>
        <w:trPr>
          <w:trHeight w:val="121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双通道荷台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1800*800*800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rPr>
            </w:pPr>
            <w:r>
              <w:rPr>
                <w:rFonts w:hint="eastAsia" w:ascii="宋体" w:hAnsi="宋体" w:cs="宋体"/>
                <w:sz w:val="20"/>
                <w:lang w:bidi="ar"/>
              </w:rPr>
              <w:t>2、面板厚1.2mm，面板下托木夹板:15mm夹板，底衬1.0mm厚304不锈钢加强梁；层板厚1.0mm，底衬1.0mm厚304不锈钢加强梁；3、φ38*1.2mm不锈钢脚通，配不锈钢可调子弹脚；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center"/>
              <w:textAlignment w:val="center"/>
              <w:rPr>
                <w:rFonts w:ascii="宋体" w:hAnsi="宋体" w:cs="宋体"/>
                <w:sz w:val="20"/>
                <w:lang w:bidi="ar"/>
              </w:rPr>
            </w:pPr>
            <w:r>
              <w:rPr>
                <w:rFonts w:ascii="宋体" w:hAnsi="宋体" w:cs="宋体"/>
                <w:sz w:val="20"/>
              </w:rPr>
              <w:drawing>
                <wp:inline distT="0" distB="0" distL="0" distR="0">
                  <wp:extent cx="723900" cy="676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23900" cy="676275"/>
                          </a:xfrm>
                          <a:prstGeom prst="rect">
                            <a:avLst/>
                          </a:prstGeom>
                          <a:noFill/>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三层工作台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1500*800*800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80" w:firstLineChars="100"/>
              <w:jc w:val="center"/>
              <w:textAlignment w:val="center"/>
              <w:rPr>
                <w:rFonts w:ascii="宋体" w:hAnsi="宋体" w:cs="宋体"/>
                <w:sz w:val="20"/>
                <w:lang w:bidi="ar"/>
              </w:rPr>
            </w:pPr>
            <w:r>
              <w:drawing>
                <wp:inline distT="0" distB="0" distL="114300" distR="114300">
                  <wp:extent cx="1012190" cy="692150"/>
                  <wp:effectExtent l="0" t="0" r="16510" b="1270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1"/>
                          <a:stretch>
                            <a:fillRect/>
                          </a:stretch>
                        </pic:blipFill>
                        <pic:spPr>
                          <a:xfrm>
                            <a:off x="0" y="0"/>
                            <a:ext cx="1012190" cy="69215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双层座台上架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1800*350*800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3、φ32*1.2mm不锈钢脚通，配不锈钢可调子弹脚；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0" w:firstLineChars="100"/>
              <w:jc w:val="left"/>
              <w:textAlignment w:val="center"/>
              <w:rPr>
                <w:rFonts w:ascii="宋体" w:hAnsi="宋体" w:cs="宋体"/>
                <w:sz w:val="20"/>
                <w:lang w:bidi="ar"/>
              </w:rPr>
            </w:pPr>
            <w:r>
              <w:rPr>
                <w:rFonts w:hint="eastAsia" w:ascii="宋体" w:hAnsi="宋体" w:cs="宋体"/>
                <w:sz w:val="20"/>
              </w:rPr>
              <w:drawing>
                <wp:inline distT="0" distB="0" distL="114300" distR="114300">
                  <wp:extent cx="1118870" cy="760095"/>
                  <wp:effectExtent l="0" t="0" r="5080" b="1905"/>
                  <wp:docPr id="50" name="图片 50" descr="f7ddea4dddfa39e85924b2c42353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7ddea4dddfa39e85924b2c42353ae8"/>
                          <pic:cNvPicPr>
                            <a:picLocks noChangeAspect="1"/>
                          </pic:cNvPicPr>
                        </pic:nvPicPr>
                        <pic:blipFill>
                          <a:blip r:embed="rId22"/>
                          <a:stretch>
                            <a:fillRect/>
                          </a:stretch>
                        </pic:blipFill>
                        <pic:spPr>
                          <a:xfrm>
                            <a:off x="0" y="0"/>
                            <a:ext cx="1118870" cy="760095"/>
                          </a:xfrm>
                          <a:prstGeom prst="rect">
                            <a:avLst/>
                          </a:prstGeom>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备餐台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1500*600*800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ind w:firstLine="560"/>
              <w:jc w:val="both"/>
              <w:rPr>
                <w:color w:val="auto"/>
                <w:lang w:val="en-US"/>
              </w:rPr>
            </w:pPr>
            <w:r>
              <w:rPr>
                <w:lang w:val="en-US"/>
              </w:rPr>
              <w:drawing>
                <wp:inline distT="0" distB="0" distL="114300" distR="114300">
                  <wp:extent cx="866775" cy="514985"/>
                  <wp:effectExtent l="0" t="0" r="9525" b="1841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3"/>
                          <a:stretch>
                            <a:fillRect/>
                          </a:stretch>
                        </pic:blipFill>
                        <pic:spPr>
                          <a:xfrm>
                            <a:off x="0" y="0"/>
                            <a:ext cx="866775" cy="51498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双层挂墙架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1800*350*450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1、台面板采用304#1.2mm磨砂贴塑不锈钢板；底衬1.0mm厚304不锈钢加强梁，</w:t>
            </w:r>
          </w:p>
          <w:p>
            <w:pPr>
              <w:widowControl/>
              <w:jc w:val="left"/>
              <w:textAlignment w:val="center"/>
              <w:rPr>
                <w:rFonts w:ascii="宋体" w:hAnsi="宋体" w:cs="宋体"/>
                <w:sz w:val="20"/>
              </w:rPr>
            </w:pPr>
            <w:r>
              <w:rPr>
                <w:rFonts w:hint="eastAsia" w:ascii="宋体" w:hAnsi="宋体" w:cs="宋体"/>
                <w:sz w:val="20"/>
                <w:lang w:bidi="ar"/>
              </w:rPr>
              <w:t>2、φ38*1.2mm不锈钢脚通，配不锈钢可调子弹脚；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3"/>
              <w:ind w:firstLine="0" w:firstLineChars="0"/>
              <w:jc w:val="center"/>
              <w:rPr>
                <w:rFonts w:eastAsia="宋体"/>
                <w:color w:val="auto"/>
                <w:lang w:val="en-US"/>
              </w:rPr>
            </w:pPr>
            <w:r>
              <w:rPr>
                <w:lang w:val="en-US"/>
              </w:rPr>
              <w:drawing>
                <wp:inline distT="0" distB="0" distL="114300" distR="114300">
                  <wp:extent cx="1334135" cy="422910"/>
                  <wp:effectExtent l="0" t="0" r="18415" b="1524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4"/>
                          <a:stretch>
                            <a:fillRect/>
                          </a:stretch>
                        </pic:blipFill>
                        <pic:spPr>
                          <a:xfrm>
                            <a:off x="0" y="0"/>
                            <a:ext cx="1334135" cy="42291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23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单星砧板台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1、面板采用 厚≥1.2mm  304 磨砂不锈钢板，星盆采用厚≥ 1.0mm 304 磨砂不锈钢板冲压式星盆；</w:t>
            </w:r>
          </w:p>
          <w:p>
            <w:pPr>
              <w:widowControl/>
              <w:jc w:val="left"/>
              <w:textAlignment w:val="center"/>
              <w:rPr>
                <w:rFonts w:ascii="宋体" w:hAnsi="宋体" w:cs="宋体"/>
                <w:sz w:val="20"/>
                <w:lang w:bidi="ar"/>
              </w:rPr>
            </w:pPr>
            <w:r>
              <w:rPr>
                <w:rFonts w:hint="eastAsia" w:ascii="宋体" w:hAnsi="宋体" w:cs="宋体"/>
                <w:sz w:val="20"/>
                <w:lang w:bidi="ar"/>
              </w:rPr>
              <w:t xml:space="preserve">2、不锈钢提笼式下水器；                                             </w:t>
            </w:r>
          </w:p>
          <w:p>
            <w:pPr>
              <w:widowControl/>
              <w:jc w:val="left"/>
              <w:textAlignment w:val="center"/>
              <w:rPr>
                <w:rFonts w:ascii="宋体" w:hAnsi="宋体" w:cs="宋体"/>
                <w:sz w:val="20"/>
                <w:lang w:bidi="ar"/>
              </w:rPr>
            </w:pPr>
            <w:r>
              <w:rPr>
                <w:rFonts w:hint="eastAsia" w:ascii="宋体" w:hAnsi="宋体" w:cs="宋体"/>
                <w:sz w:val="20"/>
                <w:lang w:bidi="ar"/>
              </w:rPr>
              <w:t xml:space="preserve">3、横通采用约38*25mm不锈钢扁焊接；                                 </w:t>
            </w:r>
          </w:p>
          <w:p>
            <w:pPr>
              <w:widowControl/>
              <w:jc w:val="left"/>
              <w:textAlignment w:val="center"/>
              <w:rPr>
                <w:rFonts w:ascii="宋体" w:hAnsi="宋体" w:cs="宋体"/>
                <w:sz w:val="20"/>
                <w:lang w:bidi="ar"/>
              </w:rPr>
            </w:pPr>
            <w:r>
              <w:rPr>
                <w:rFonts w:hint="eastAsia" w:ascii="宋体" w:hAnsi="宋体" w:cs="宋体"/>
                <w:sz w:val="20"/>
                <w:lang w:bidi="ar"/>
              </w:rPr>
              <w:t>4、立管采用约φ38mm不锈钢管连可调节高度子弹脚；</w:t>
            </w:r>
          </w:p>
          <w:p>
            <w:pPr>
              <w:widowControl/>
              <w:jc w:val="left"/>
              <w:textAlignment w:val="center"/>
              <w:rPr>
                <w:rFonts w:ascii="宋体" w:hAnsi="宋体" w:cs="宋体"/>
                <w:sz w:val="20"/>
                <w:lang w:bidi="ar"/>
              </w:rPr>
            </w:pPr>
            <w:r>
              <w:rPr>
                <w:rFonts w:hint="eastAsia" w:ascii="宋体" w:hAnsi="宋体" w:cs="宋体"/>
                <w:sz w:val="20"/>
                <w:lang w:bidi="ar"/>
              </w:rPr>
              <w:t>5、配君畅牌高档水龙头、不锈钢满水防溢出管；</w:t>
            </w:r>
          </w:p>
          <w:p>
            <w:pPr>
              <w:widowControl/>
              <w:jc w:val="left"/>
              <w:textAlignment w:val="center"/>
              <w:rPr>
                <w:rFonts w:ascii="宋体" w:hAnsi="宋体" w:cs="宋体"/>
                <w:sz w:val="20"/>
              </w:rPr>
            </w:pPr>
            <w:r>
              <w:rPr>
                <w:rFonts w:hint="eastAsia" w:ascii="宋体" w:hAnsi="宋体" w:cs="宋体"/>
                <w:sz w:val="20"/>
                <w:lang w:bidi="ar"/>
              </w:rPr>
              <w:t xml:space="preserve">6、配 304 不锈钢可调子弹脚。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rPr>
                <w:rFonts w:ascii="宋体" w:hAnsi="宋体" w:cs="宋体"/>
                <w:sz w:val="20"/>
              </w:rPr>
              <w:drawing>
                <wp:inline distT="0" distB="0" distL="0" distR="0">
                  <wp:extent cx="889000" cy="780415"/>
                  <wp:effectExtent l="0" t="0" r="635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89000" cy="780415"/>
                          </a:xfrm>
                          <a:prstGeom prst="rect">
                            <a:avLst/>
                          </a:prstGeom>
                          <a:noFill/>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四层存放架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1500*500*1550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1、立柱采用201#φ38*1.0*1.2mm不锈钢方管；</w:t>
            </w:r>
          </w:p>
          <w:p>
            <w:pPr>
              <w:widowControl/>
              <w:jc w:val="left"/>
              <w:textAlignment w:val="center"/>
              <w:rPr>
                <w:rFonts w:ascii="宋体" w:hAnsi="宋体" w:cs="宋体"/>
                <w:sz w:val="20"/>
                <w:lang w:bidi="ar"/>
              </w:rPr>
            </w:pPr>
            <w:r>
              <w:rPr>
                <w:rFonts w:hint="eastAsia" w:ascii="宋体" w:hAnsi="宋体" w:cs="宋体"/>
                <w:sz w:val="20"/>
                <w:lang w:bidi="ar"/>
              </w:rPr>
              <w:t>2、横管采用201#38*25*1.0mm不锈钢扁管；</w:t>
            </w:r>
          </w:p>
          <w:p>
            <w:pPr>
              <w:widowControl/>
              <w:jc w:val="left"/>
              <w:textAlignment w:val="center"/>
              <w:rPr>
                <w:rFonts w:ascii="宋体" w:hAnsi="宋体" w:cs="宋体"/>
                <w:sz w:val="20"/>
                <w:lang w:bidi="ar"/>
              </w:rPr>
            </w:pPr>
            <w:r>
              <w:rPr>
                <w:rFonts w:hint="eastAsia" w:ascii="宋体" w:hAnsi="宋体" w:cs="宋体"/>
                <w:sz w:val="20"/>
                <w:lang w:bidi="ar"/>
              </w:rPr>
              <w:t>3、蔬枝采用201#25*18*0.8mm不锈钢扁管，间距30mm；</w:t>
            </w:r>
          </w:p>
          <w:p>
            <w:pPr>
              <w:widowControl/>
              <w:jc w:val="left"/>
              <w:textAlignment w:val="center"/>
              <w:rPr>
                <w:rFonts w:ascii="宋体" w:hAnsi="宋体" w:cs="宋体"/>
                <w:sz w:val="20"/>
              </w:rPr>
            </w:pPr>
            <w:r>
              <w:rPr>
                <w:rFonts w:hint="eastAsia" w:ascii="宋体" w:hAnsi="宋体" w:cs="宋体"/>
                <w:sz w:val="20"/>
                <w:lang w:bidi="ar"/>
              </w:rPr>
              <w:t>4、柱脚采用φ38*1.0mm304不锈钢管及高度调整钢脚；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rPr>
                <w:rFonts w:ascii="宋体" w:hAnsi="宋体" w:cs="宋体"/>
                <w:sz w:val="20"/>
              </w:rPr>
              <w:drawing>
                <wp:inline distT="0" distB="0" distL="0" distR="0">
                  <wp:extent cx="771525" cy="9048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71525" cy="904875"/>
                          </a:xfrm>
                          <a:prstGeom prst="rect">
                            <a:avLst/>
                          </a:prstGeom>
                          <a:noFill/>
                        </pic:spPr>
                      </pic:pic>
                    </a:graphicData>
                  </a:graphic>
                </wp:inline>
              </w:drawing>
            </w: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收糠台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800*700*950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1、台面板采用304#1.2mm磨砂贴塑不锈钢板；底衬1.0mm厚304不锈钢加强梁，</w:t>
            </w:r>
          </w:p>
          <w:p>
            <w:pPr>
              <w:widowControl/>
              <w:jc w:val="left"/>
              <w:textAlignment w:val="center"/>
              <w:rPr>
                <w:rFonts w:ascii="宋体" w:hAnsi="宋体" w:cs="宋体"/>
                <w:sz w:val="20"/>
              </w:rPr>
            </w:pPr>
            <w:r>
              <w:rPr>
                <w:rFonts w:hint="eastAsia" w:ascii="宋体" w:hAnsi="宋体" w:cs="宋体"/>
                <w:sz w:val="20"/>
                <w:lang w:bidi="ar"/>
              </w:rPr>
              <w:t>2、φ38*1.2mm不锈钢脚通，配不锈钢可调子弹脚；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76020" cy="744220"/>
                  <wp:effectExtent l="0" t="0" r="5080" b="1778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7"/>
                          <a:stretch>
                            <a:fillRect/>
                          </a:stretch>
                        </pic:blipFill>
                        <pic:spPr>
                          <a:xfrm>
                            <a:off x="0" y="0"/>
                            <a:ext cx="1176020" cy="74422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850"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三星洗涮台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1、面板采用 厚≥1.2mm  304 磨砂不锈钢板，星盆采用厚≥ 1.0mm 304 磨砂不锈钢板冲压式星盆；</w:t>
            </w:r>
          </w:p>
          <w:p>
            <w:pPr>
              <w:widowControl/>
              <w:jc w:val="left"/>
              <w:textAlignment w:val="center"/>
              <w:rPr>
                <w:rFonts w:ascii="宋体" w:hAnsi="宋体" w:cs="宋体"/>
                <w:sz w:val="20"/>
                <w:lang w:bidi="ar"/>
              </w:rPr>
            </w:pPr>
            <w:r>
              <w:rPr>
                <w:rFonts w:hint="eastAsia" w:ascii="宋体" w:hAnsi="宋体" w:cs="宋体"/>
                <w:sz w:val="20"/>
                <w:lang w:bidi="ar"/>
              </w:rPr>
              <w:t xml:space="preserve">2、不锈钢提笼式下水器；                                             </w:t>
            </w:r>
          </w:p>
          <w:p>
            <w:pPr>
              <w:widowControl/>
              <w:jc w:val="left"/>
              <w:textAlignment w:val="center"/>
              <w:rPr>
                <w:rFonts w:ascii="宋体" w:hAnsi="宋体" w:cs="宋体"/>
                <w:sz w:val="20"/>
                <w:lang w:bidi="ar"/>
              </w:rPr>
            </w:pPr>
            <w:r>
              <w:rPr>
                <w:rFonts w:hint="eastAsia" w:ascii="宋体" w:hAnsi="宋体" w:cs="宋体"/>
                <w:sz w:val="20"/>
                <w:lang w:bidi="ar"/>
              </w:rPr>
              <w:t xml:space="preserve">3、横通采用约38*25mm不锈钢扁焊接；                                  </w:t>
            </w:r>
          </w:p>
          <w:p>
            <w:pPr>
              <w:widowControl/>
              <w:jc w:val="left"/>
              <w:textAlignment w:val="center"/>
              <w:rPr>
                <w:rFonts w:ascii="宋体" w:hAnsi="宋体" w:cs="宋体"/>
                <w:sz w:val="20"/>
                <w:lang w:bidi="ar"/>
              </w:rPr>
            </w:pPr>
            <w:r>
              <w:rPr>
                <w:rFonts w:hint="eastAsia" w:ascii="宋体" w:hAnsi="宋体" w:cs="宋体"/>
                <w:sz w:val="20"/>
                <w:lang w:bidi="ar"/>
              </w:rPr>
              <w:t>4、立管采用约φ38mm不锈钢管连可调节高度子弹脚；</w:t>
            </w:r>
          </w:p>
          <w:p>
            <w:pPr>
              <w:widowControl/>
              <w:jc w:val="left"/>
              <w:textAlignment w:val="center"/>
              <w:rPr>
                <w:rFonts w:ascii="宋体" w:hAnsi="宋体" w:cs="宋体"/>
                <w:sz w:val="20"/>
                <w:lang w:bidi="ar"/>
              </w:rPr>
            </w:pPr>
            <w:r>
              <w:rPr>
                <w:rFonts w:hint="eastAsia" w:ascii="宋体" w:hAnsi="宋体" w:cs="宋体"/>
                <w:sz w:val="20"/>
                <w:lang w:bidi="ar"/>
              </w:rPr>
              <w:t>5、配君畅牌高档水龙头、不锈钢满水防溢出管；</w:t>
            </w:r>
          </w:p>
          <w:p>
            <w:pPr>
              <w:widowControl/>
              <w:jc w:val="left"/>
              <w:textAlignment w:val="center"/>
              <w:rPr>
                <w:rFonts w:ascii="宋体" w:hAnsi="宋体" w:cs="宋体"/>
                <w:sz w:val="20"/>
              </w:rPr>
            </w:pPr>
            <w:r>
              <w:rPr>
                <w:rFonts w:hint="eastAsia" w:ascii="宋体" w:hAnsi="宋体" w:cs="宋体"/>
                <w:sz w:val="20"/>
                <w:lang w:bidi="ar"/>
              </w:rPr>
              <w:t xml:space="preserve">6、配 304 不锈钢可调子弹脚。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231265" cy="864870"/>
                  <wp:effectExtent l="0" t="0" r="6985" b="1143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8"/>
                          <a:stretch>
                            <a:fillRect/>
                          </a:stretch>
                        </pic:blipFill>
                        <pic:spPr>
                          <a:xfrm>
                            <a:off x="0" y="0"/>
                            <a:ext cx="1231265" cy="86487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90"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挂式开水器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6KW</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1、规格：166L/小时</w:t>
            </w:r>
          </w:p>
          <w:p>
            <w:pPr>
              <w:widowControl/>
              <w:jc w:val="left"/>
              <w:textAlignment w:val="center"/>
              <w:rPr>
                <w:rFonts w:ascii="宋体" w:hAnsi="宋体" w:cs="宋体"/>
                <w:sz w:val="20"/>
                <w:lang w:bidi="ar"/>
              </w:rPr>
            </w:pPr>
            <w:r>
              <w:rPr>
                <w:rFonts w:hint="eastAsia" w:ascii="宋体" w:hAnsi="宋体" w:cs="宋体"/>
                <w:sz w:val="20"/>
                <w:lang w:bidi="ar"/>
              </w:rPr>
              <w:t>2、电压：380V</w:t>
            </w:r>
          </w:p>
          <w:p>
            <w:pPr>
              <w:widowControl/>
              <w:jc w:val="left"/>
              <w:textAlignment w:val="center"/>
              <w:rPr>
                <w:rFonts w:ascii="宋体" w:hAnsi="宋体" w:cs="宋体"/>
                <w:sz w:val="20"/>
                <w:lang w:bidi="ar"/>
              </w:rPr>
            </w:pPr>
            <w:r>
              <w:rPr>
                <w:rFonts w:hint="eastAsia" w:ascii="宋体" w:hAnsi="宋体" w:cs="宋体"/>
                <w:sz w:val="20"/>
                <w:lang w:bidi="ar"/>
              </w:rPr>
              <w:t>3、功率：约6KW</w:t>
            </w:r>
          </w:p>
          <w:p>
            <w:pPr>
              <w:widowControl/>
              <w:jc w:val="left"/>
              <w:textAlignment w:val="center"/>
              <w:rPr>
                <w:rFonts w:ascii="宋体" w:hAnsi="宋体" w:cs="宋体"/>
                <w:sz w:val="20"/>
              </w:rPr>
            </w:pPr>
            <w:r>
              <w:rPr>
                <w:rFonts w:hint="eastAsia" w:ascii="宋体" w:hAnsi="宋体" w:cs="宋体"/>
                <w:sz w:val="20"/>
                <w:lang w:bidi="ar"/>
              </w:rPr>
              <w:t>4、材料：不锈钢外壳及内胆，环保材料保温层，配不锈钢底座。</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rPr>
                <w:rFonts w:ascii="宋体" w:hAnsi="宋体" w:cs="宋体"/>
                <w:sz w:val="20"/>
              </w:rPr>
              <w:drawing>
                <wp:inline distT="0" distB="0" distL="0" distR="0">
                  <wp:extent cx="647700" cy="981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47700" cy="981075"/>
                          </a:xfrm>
                          <a:prstGeom prst="rect">
                            <a:avLst/>
                          </a:prstGeom>
                          <a:noFill/>
                        </pic:spPr>
                      </pic:pic>
                    </a:graphicData>
                  </a:graphic>
                </wp:inline>
              </w:drawing>
            </w: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400" w:firstLineChars="200"/>
              <w:textAlignment w:val="center"/>
              <w:rPr>
                <w:rFonts w:ascii="宋体" w:hAnsi="宋体" w:cs="宋体"/>
                <w:sz w:val="20"/>
              </w:rPr>
            </w:pPr>
            <w:r>
              <w:rPr>
                <w:rFonts w:hint="eastAsia" w:ascii="宋体" w:hAnsi="宋体" w:cs="宋体"/>
                <w:sz w:val="20"/>
                <w:lang w:bidi="ar"/>
              </w:rPr>
              <w:t>双层工作台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1100*700*950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1、台面板采用304#1.2mm磨砂贴塑不锈钢板；底衬1.0mm厚304不锈钢加强梁，</w:t>
            </w:r>
          </w:p>
          <w:p>
            <w:pPr>
              <w:widowControl/>
              <w:jc w:val="left"/>
              <w:textAlignment w:val="center"/>
              <w:rPr>
                <w:rFonts w:ascii="宋体" w:hAnsi="宋体" w:cs="宋体"/>
                <w:sz w:val="20"/>
              </w:rPr>
            </w:pPr>
            <w:r>
              <w:rPr>
                <w:rFonts w:hint="eastAsia" w:ascii="宋体" w:hAnsi="宋体" w:cs="宋体"/>
                <w:sz w:val="20"/>
                <w:lang w:bidi="ar"/>
              </w:rPr>
              <w:t>2、φ38*1.2mm不锈钢脚通，配不锈钢可调子弹脚；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238250" cy="880110"/>
                  <wp:effectExtent l="0" t="0" r="0" b="1524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30"/>
                          <a:stretch>
                            <a:fillRect/>
                          </a:stretch>
                        </pic:blipFill>
                        <pic:spPr>
                          <a:xfrm>
                            <a:off x="0" y="0"/>
                            <a:ext cx="1238250" cy="88011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厨房设备搬运费用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A19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厨房设备电线路布置</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A20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厨具设备安装五金辅助件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A21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厨具设备安装/调试费用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B</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一楼轻餐间厨具设备</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sz w:val="20"/>
              </w:rPr>
            </w:pPr>
            <w:r>
              <w:rPr>
                <w:rFonts w:hint="eastAsia" w:ascii="宋体" w:hAnsi="宋体" w:cs="宋体"/>
                <w:b/>
                <w:sz w:val="20"/>
                <w:lang w:bidi="ar"/>
              </w:rPr>
              <w:t>304材料</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洗消区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挂式开水器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380V/6KW</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1、规格：166L/小时</w:t>
            </w:r>
          </w:p>
          <w:p>
            <w:pPr>
              <w:widowControl/>
              <w:jc w:val="left"/>
              <w:textAlignment w:val="center"/>
              <w:rPr>
                <w:rFonts w:ascii="宋体" w:hAnsi="宋体" w:cs="宋体"/>
                <w:sz w:val="20"/>
                <w:lang w:bidi="ar"/>
              </w:rPr>
            </w:pPr>
            <w:r>
              <w:rPr>
                <w:rFonts w:hint="eastAsia" w:ascii="宋体" w:hAnsi="宋体" w:cs="宋体"/>
                <w:sz w:val="20"/>
                <w:lang w:bidi="ar"/>
              </w:rPr>
              <w:t>2、电压：380V</w:t>
            </w:r>
          </w:p>
          <w:p>
            <w:pPr>
              <w:widowControl/>
              <w:jc w:val="left"/>
              <w:textAlignment w:val="center"/>
              <w:rPr>
                <w:rFonts w:ascii="宋体" w:hAnsi="宋体" w:cs="宋体"/>
                <w:sz w:val="20"/>
                <w:lang w:bidi="ar"/>
              </w:rPr>
            </w:pPr>
            <w:r>
              <w:rPr>
                <w:rFonts w:hint="eastAsia" w:ascii="宋体" w:hAnsi="宋体" w:cs="宋体"/>
                <w:sz w:val="20"/>
                <w:lang w:bidi="ar"/>
              </w:rPr>
              <w:t>3、功率：约6KW</w:t>
            </w:r>
          </w:p>
          <w:p>
            <w:pPr>
              <w:widowControl/>
              <w:jc w:val="left"/>
              <w:textAlignment w:val="center"/>
              <w:rPr>
                <w:rFonts w:ascii="宋体" w:hAnsi="宋体" w:cs="宋体"/>
                <w:sz w:val="20"/>
              </w:rPr>
            </w:pPr>
            <w:r>
              <w:rPr>
                <w:rFonts w:hint="eastAsia" w:ascii="宋体" w:hAnsi="宋体" w:cs="宋体"/>
                <w:sz w:val="20"/>
                <w:lang w:bidi="ar"/>
              </w:rPr>
              <w:t>4、材料：不锈钢外壳及内胆，环保材料保温层，配不锈钢底座。</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rPr>
                <w:rFonts w:ascii="宋体" w:hAnsi="宋体" w:cs="宋体"/>
                <w:sz w:val="20"/>
              </w:rPr>
              <w:drawing>
                <wp:inline distT="0" distB="0" distL="0" distR="0">
                  <wp:extent cx="584200" cy="745490"/>
                  <wp:effectExtent l="0" t="0" r="6350"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4200" cy="745490"/>
                          </a:xfrm>
                          <a:prstGeom prst="rect">
                            <a:avLst/>
                          </a:prstGeom>
                          <a:noFill/>
                        </pic:spPr>
                      </pic:pic>
                    </a:graphicData>
                  </a:graphic>
                </wp:inline>
              </w:drawing>
            </w:r>
          </w:p>
        </w:tc>
      </w:tr>
      <w:tr>
        <w:tblPrEx>
          <w:tblCellMar>
            <w:top w:w="15" w:type="dxa"/>
            <w:left w:w="15" w:type="dxa"/>
            <w:bottom w:w="15" w:type="dxa"/>
            <w:right w:w="15" w:type="dxa"/>
          </w:tblCellMar>
        </w:tblPrEx>
        <w:trPr>
          <w:trHeight w:val="1696"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单星带台洗涮池</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1100*700*950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1、面板采用 厚≥1.2mm  304 磨砂不锈钢板，星盆采用厚≥ 1.0mm 304 磨砂不锈钢板冲压式星盆；</w:t>
            </w:r>
          </w:p>
          <w:p>
            <w:pPr>
              <w:widowControl/>
              <w:jc w:val="left"/>
              <w:textAlignment w:val="center"/>
              <w:rPr>
                <w:rFonts w:ascii="宋体" w:hAnsi="宋体" w:cs="宋体"/>
                <w:sz w:val="20"/>
                <w:lang w:bidi="ar"/>
              </w:rPr>
            </w:pPr>
            <w:r>
              <w:rPr>
                <w:rFonts w:hint="eastAsia" w:ascii="宋体" w:hAnsi="宋体" w:cs="宋体"/>
                <w:sz w:val="20"/>
                <w:lang w:bidi="ar"/>
              </w:rPr>
              <w:t xml:space="preserve">2、不锈钢提笼式下水器；                                             </w:t>
            </w:r>
          </w:p>
          <w:p>
            <w:pPr>
              <w:widowControl/>
              <w:jc w:val="left"/>
              <w:textAlignment w:val="center"/>
              <w:rPr>
                <w:rFonts w:ascii="宋体" w:hAnsi="宋体" w:cs="宋体"/>
                <w:sz w:val="20"/>
                <w:lang w:bidi="ar"/>
              </w:rPr>
            </w:pPr>
            <w:r>
              <w:rPr>
                <w:rFonts w:hint="eastAsia" w:ascii="宋体" w:hAnsi="宋体" w:cs="宋体"/>
                <w:sz w:val="20"/>
                <w:lang w:bidi="ar"/>
              </w:rPr>
              <w:t xml:space="preserve">3、横通采用约38*25mm不锈钢扁焊接；                                  </w:t>
            </w:r>
          </w:p>
          <w:p>
            <w:pPr>
              <w:widowControl/>
              <w:jc w:val="left"/>
              <w:textAlignment w:val="center"/>
              <w:rPr>
                <w:rFonts w:ascii="宋体" w:hAnsi="宋体" w:cs="宋体"/>
                <w:sz w:val="20"/>
                <w:lang w:bidi="ar"/>
              </w:rPr>
            </w:pPr>
            <w:r>
              <w:rPr>
                <w:rFonts w:hint="eastAsia" w:ascii="宋体" w:hAnsi="宋体" w:cs="宋体"/>
                <w:sz w:val="20"/>
                <w:lang w:bidi="ar"/>
              </w:rPr>
              <w:t>4、立管采用约φ38mm不锈钢管连可调节高度子弹脚；</w:t>
            </w:r>
          </w:p>
          <w:p>
            <w:pPr>
              <w:widowControl/>
              <w:jc w:val="left"/>
              <w:textAlignment w:val="center"/>
              <w:rPr>
                <w:rFonts w:ascii="宋体" w:hAnsi="宋体" w:cs="宋体"/>
                <w:sz w:val="20"/>
                <w:lang w:bidi="ar"/>
              </w:rPr>
            </w:pPr>
            <w:r>
              <w:rPr>
                <w:rFonts w:hint="eastAsia" w:ascii="宋体" w:hAnsi="宋体" w:cs="宋体"/>
                <w:sz w:val="20"/>
                <w:lang w:bidi="ar"/>
              </w:rPr>
              <w:t>5、配君畅牌高档水龙头、不锈钢满水防溢出管；</w:t>
            </w:r>
          </w:p>
          <w:p>
            <w:pPr>
              <w:widowControl/>
              <w:jc w:val="left"/>
              <w:textAlignment w:val="center"/>
              <w:rPr>
                <w:rFonts w:ascii="宋体" w:hAnsi="宋体" w:cs="宋体"/>
                <w:sz w:val="20"/>
              </w:rPr>
            </w:pPr>
            <w:r>
              <w:rPr>
                <w:rFonts w:hint="eastAsia" w:ascii="宋体" w:hAnsi="宋体" w:cs="宋体"/>
                <w:sz w:val="20"/>
                <w:lang w:bidi="ar"/>
              </w:rPr>
              <w:t xml:space="preserve">6、配 304 不锈钢可调子弹脚。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53795" cy="909955"/>
                  <wp:effectExtent l="0" t="0" r="8255" b="444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1"/>
                          <a:stretch>
                            <a:fillRect/>
                          </a:stretch>
                        </pic:blipFill>
                        <pic:spPr>
                          <a:xfrm>
                            <a:off x="0" y="0"/>
                            <a:ext cx="1153795" cy="90995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不锈钢隔油隔渣池</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650*350*300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面板采用 厚≥1.2mm  304 磨砂不锈钢板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水果冷藏间</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三层工作台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1500*600*950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75385" cy="600075"/>
                  <wp:effectExtent l="0" t="0" r="5715" b="952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2"/>
                          <a:stretch>
                            <a:fillRect/>
                          </a:stretch>
                        </pic:blipFill>
                        <pic:spPr>
                          <a:xfrm>
                            <a:off x="0" y="0"/>
                            <a:ext cx="1175385" cy="60007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696"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异形单星带台柜</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1000*700*950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1、面板采用 厚≥1.2mm  304 磨砂不锈钢板，星盆采用厚≥ 1.0mm 304 磨砂不锈钢板冲压式星盆；</w:t>
            </w:r>
          </w:p>
          <w:p>
            <w:pPr>
              <w:widowControl/>
              <w:jc w:val="left"/>
              <w:textAlignment w:val="center"/>
              <w:rPr>
                <w:rFonts w:ascii="宋体" w:hAnsi="宋体" w:cs="宋体"/>
                <w:sz w:val="20"/>
                <w:lang w:bidi="ar"/>
              </w:rPr>
            </w:pPr>
            <w:r>
              <w:rPr>
                <w:rFonts w:hint="eastAsia" w:ascii="宋体" w:hAnsi="宋体" w:cs="宋体"/>
                <w:sz w:val="20"/>
                <w:lang w:bidi="ar"/>
              </w:rPr>
              <w:t xml:space="preserve">2、不锈钢提笼式下水器；                                              </w:t>
            </w:r>
          </w:p>
          <w:p>
            <w:pPr>
              <w:widowControl/>
              <w:jc w:val="left"/>
              <w:textAlignment w:val="center"/>
              <w:rPr>
                <w:rFonts w:ascii="宋体" w:hAnsi="宋体" w:cs="宋体"/>
                <w:sz w:val="20"/>
                <w:lang w:bidi="ar"/>
              </w:rPr>
            </w:pPr>
            <w:r>
              <w:rPr>
                <w:rFonts w:hint="eastAsia" w:ascii="宋体" w:hAnsi="宋体" w:cs="宋体"/>
                <w:sz w:val="20"/>
                <w:lang w:bidi="ar"/>
              </w:rPr>
              <w:t xml:space="preserve">3、横通采用约38*25mm不锈钢扁焊接；                                  </w:t>
            </w:r>
          </w:p>
          <w:p>
            <w:pPr>
              <w:widowControl/>
              <w:jc w:val="left"/>
              <w:textAlignment w:val="center"/>
              <w:rPr>
                <w:rFonts w:ascii="宋体" w:hAnsi="宋体" w:cs="宋体"/>
                <w:sz w:val="20"/>
                <w:lang w:bidi="ar"/>
              </w:rPr>
            </w:pPr>
            <w:r>
              <w:rPr>
                <w:rFonts w:hint="eastAsia" w:ascii="宋体" w:hAnsi="宋体" w:cs="宋体"/>
                <w:sz w:val="20"/>
                <w:lang w:bidi="ar"/>
              </w:rPr>
              <w:t>4、立管采用约φ38mm不锈钢管连可调节高度子弹脚；</w:t>
            </w:r>
          </w:p>
          <w:p>
            <w:pPr>
              <w:widowControl/>
              <w:jc w:val="left"/>
              <w:textAlignment w:val="center"/>
              <w:rPr>
                <w:rFonts w:ascii="宋体" w:hAnsi="宋体" w:cs="宋体"/>
                <w:sz w:val="20"/>
                <w:lang w:bidi="ar"/>
              </w:rPr>
            </w:pPr>
            <w:r>
              <w:rPr>
                <w:rFonts w:hint="eastAsia" w:ascii="宋体" w:hAnsi="宋体" w:cs="宋体"/>
                <w:sz w:val="20"/>
                <w:lang w:bidi="ar"/>
              </w:rPr>
              <w:t>5、配君畅牌高档水龙头、不锈钢满水防溢出管；</w:t>
            </w:r>
          </w:p>
          <w:p>
            <w:pPr>
              <w:widowControl/>
              <w:jc w:val="left"/>
              <w:textAlignment w:val="center"/>
              <w:rPr>
                <w:rFonts w:ascii="宋体" w:hAnsi="宋体" w:cs="宋体"/>
                <w:sz w:val="20"/>
              </w:rPr>
            </w:pPr>
            <w:r>
              <w:rPr>
                <w:rFonts w:hint="eastAsia" w:ascii="宋体" w:hAnsi="宋体" w:cs="宋体"/>
                <w:sz w:val="20"/>
                <w:lang w:bidi="ar"/>
              </w:rPr>
              <w:t xml:space="preserve">6、配 304 不锈钢可调子弹脚。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09345" cy="676910"/>
                  <wp:effectExtent l="0" t="0" r="14605" b="889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3"/>
                          <a:stretch>
                            <a:fillRect/>
                          </a:stretch>
                        </pic:blipFill>
                        <pic:spPr>
                          <a:xfrm>
                            <a:off x="0" y="0"/>
                            <a:ext cx="1109345" cy="67691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餐饮间</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单星台柜</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rPr>
              <w:drawing>
                <wp:inline distT="0" distB="0" distL="114300" distR="114300">
                  <wp:extent cx="1333500" cy="1146810"/>
                  <wp:effectExtent l="0" t="0" r="0" b="15240"/>
                  <wp:docPr id="52" name="图片 52" descr="ae24ad8dd1ca45eebd38f12e9204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e24ad8dd1ca45eebd38f12e92046a2"/>
                          <pic:cNvPicPr>
                            <a:picLocks noChangeAspect="1"/>
                          </pic:cNvPicPr>
                        </pic:nvPicPr>
                        <pic:blipFill>
                          <a:blip r:embed="rId34"/>
                          <a:stretch>
                            <a:fillRect/>
                          </a:stretch>
                        </pic:blipFill>
                        <pic:spPr>
                          <a:xfrm>
                            <a:off x="0" y="0"/>
                            <a:ext cx="1333500" cy="1146810"/>
                          </a:xfrm>
                          <a:prstGeom prst="rect">
                            <a:avLst/>
                          </a:prstGeom>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双层承炉台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949325" cy="555625"/>
                  <wp:effectExtent l="0" t="0" r="3175" b="1587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35"/>
                          <a:stretch>
                            <a:fillRect/>
                          </a:stretch>
                        </pic:blipFill>
                        <pic:spPr>
                          <a:xfrm>
                            <a:off x="0" y="0"/>
                            <a:ext cx="949325" cy="55562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936"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电扒炉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600*600*400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外形尺寸 560*460*250mm      </w:t>
            </w:r>
          </w:p>
          <w:p>
            <w:pPr>
              <w:widowControl/>
              <w:jc w:val="left"/>
              <w:textAlignment w:val="center"/>
              <w:rPr>
                <w:rFonts w:ascii="宋体" w:hAnsi="宋体" w:cs="宋体"/>
                <w:sz w:val="20"/>
                <w:lang w:bidi="ar"/>
              </w:rPr>
            </w:pPr>
            <w:r>
              <w:rPr>
                <w:rFonts w:hint="eastAsia" w:ascii="宋体" w:hAnsi="宋体" w:cs="宋体"/>
                <w:sz w:val="20"/>
                <w:lang w:bidi="ar"/>
              </w:rPr>
              <w:t xml:space="preserve">扒板尺寸 560*350mm  </w:t>
            </w:r>
          </w:p>
          <w:p>
            <w:pPr>
              <w:widowControl/>
              <w:jc w:val="left"/>
              <w:textAlignment w:val="center"/>
              <w:rPr>
                <w:rFonts w:ascii="宋体" w:hAnsi="宋体" w:cs="宋体"/>
                <w:sz w:val="20"/>
                <w:lang w:bidi="ar"/>
              </w:rPr>
            </w:pPr>
            <w:r>
              <w:rPr>
                <w:rFonts w:hint="eastAsia" w:ascii="宋体" w:hAnsi="宋体" w:cs="宋体"/>
                <w:sz w:val="20"/>
                <w:lang w:bidi="ar"/>
              </w:rPr>
              <w:t xml:space="preserve">温控范围 50℃-300℃  </w:t>
            </w:r>
          </w:p>
          <w:p>
            <w:pPr>
              <w:widowControl/>
              <w:jc w:val="left"/>
              <w:textAlignment w:val="center"/>
              <w:rPr>
                <w:rFonts w:ascii="宋体" w:hAnsi="宋体" w:cs="宋体"/>
                <w:sz w:val="20"/>
                <w:lang w:bidi="ar"/>
              </w:rPr>
            </w:pPr>
            <w:r>
              <w:rPr>
                <w:rFonts w:hint="eastAsia" w:ascii="宋体" w:hAnsi="宋体" w:cs="宋体"/>
                <w:sz w:val="20"/>
                <w:lang w:bidi="ar"/>
              </w:rPr>
              <w:t xml:space="preserve">油盒尺寸 245*75*65mm             </w:t>
            </w:r>
          </w:p>
          <w:p>
            <w:pPr>
              <w:widowControl/>
              <w:jc w:val="left"/>
              <w:textAlignment w:val="center"/>
              <w:rPr>
                <w:rFonts w:ascii="宋体" w:hAnsi="宋体" w:cs="宋体"/>
                <w:sz w:val="20"/>
                <w:lang w:bidi="ar"/>
              </w:rPr>
            </w:pPr>
            <w:r>
              <w:rPr>
                <w:rFonts w:hint="eastAsia" w:ascii="宋体" w:hAnsi="宋体" w:cs="宋体"/>
                <w:sz w:val="20"/>
                <w:lang w:bidi="ar"/>
              </w:rPr>
              <w:t xml:space="preserve">重量 23.65kg               </w:t>
            </w:r>
          </w:p>
          <w:p>
            <w:pPr>
              <w:widowControl/>
              <w:jc w:val="left"/>
              <w:textAlignment w:val="center"/>
              <w:rPr>
                <w:rFonts w:ascii="宋体" w:hAnsi="宋体" w:cs="宋体"/>
                <w:sz w:val="20"/>
                <w:lang w:bidi="ar"/>
              </w:rPr>
            </w:pPr>
            <w:r>
              <w:rPr>
                <w:rFonts w:hint="eastAsia" w:ascii="宋体" w:hAnsi="宋体" w:cs="宋体"/>
                <w:sz w:val="20"/>
                <w:lang w:bidi="ar"/>
              </w:rPr>
              <w:t xml:space="preserve">功率 3KW  </w:t>
            </w:r>
          </w:p>
          <w:p>
            <w:pPr>
              <w:widowControl/>
              <w:jc w:val="left"/>
              <w:textAlignment w:val="center"/>
              <w:rPr>
                <w:rFonts w:ascii="宋体" w:hAnsi="宋体" w:cs="宋体"/>
                <w:sz w:val="20"/>
                <w:lang w:bidi="ar"/>
              </w:rPr>
            </w:pPr>
            <w:r>
              <w:rPr>
                <w:rFonts w:hint="eastAsia" w:ascii="宋体" w:hAnsi="宋体" w:cs="宋体"/>
                <w:sz w:val="20"/>
                <w:lang w:bidi="ar"/>
              </w:rPr>
              <w:t xml:space="preserve">电压 220V-240V            </w:t>
            </w:r>
          </w:p>
          <w:p>
            <w:pPr>
              <w:widowControl/>
              <w:jc w:val="left"/>
              <w:textAlignment w:val="center"/>
              <w:rPr>
                <w:rFonts w:ascii="宋体" w:hAnsi="宋体" w:cs="宋体"/>
                <w:sz w:val="20"/>
              </w:rPr>
            </w:pPr>
            <w:r>
              <w:rPr>
                <w:rFonts w:hint="eastAsia" w:ascii="宋体" w:hAnsi="宋体" w:cs="宋体"/>
                <w:sz w:val="20"/>
                <w:lang w:bidi="ar"/>
              </w:rPr>
              <w:t>频率 50Hz</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72"/>
              <w:textAlignment w:val="center"/>
              <w:rPr>
                <w:rFonts w:ascii="宋体" w:hAnsi="宋体" w:cs="宋体"/>
                <w:sz w:val="20"/>
                <w:lang w:bidi="ar"/>
              </w:rPr>
            </w:pPr>
            <w:r>
              <w:drawing>
                <wp:inline distT="0" distB="0" distL="114300" distR="114300">
                  <wp:extent cx="845185" cy="716280"/>
                  <wp:effectExtent l="0" t="0" r="12065"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6"/>
                          <a:stretch>
                            <a:fillRect/>
                          </a:stretch>
                        </pic:blipFill>
                        <pic:spPr>
                          <a:xfrm flipH="1">
                            <a:off x="0" y="0"/>
                            <a:ext cx="845185" cy="71628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双缸双茜电炸炉</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580*550*360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220V 4.5KW+4.5KW</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96975" cy="939800"/>
                  <wp:effectExtent l="0" t="0" r="3175" b="1270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37"/>
                          <a:stretch>
                            <a:fillRect/>
                          </a:stretch>
                        </pic:blipFill>
                        <pic:spPr>
                          <a:xfrm>
                            <a:off x="0" y="0"/>
                            <a:ext cx="1196975" cy="93980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97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B10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双层承炉台</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1700*700*950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 xml:space="preserve">1、采用304#不锈钢磨砂板；                                       </w:t>
            </w:r>
          </w:p>
          <w:p>
            <w:pPr>
              <w:widowControl/>
              <w:jc w:val="left"/>
              <w:textAlignment w:val="center"/>
              <w:rPr>
                <w:rFonts w:ascii="宋体" w:hAnsi="宋体" w:cs="宋体"/>
                <w:sz w:val="20"/>
                <w:lang w:bidi="ar"/>
              </w:rPr>
            </w:pPr>
            <w:r>
              <w:rPr>
                <w:rFonts w:hint="eastAsia" w:ascii="宋体" w:hAnsi="宋体" w:cs="宋体"/>
                <w:sz w:val="20"/>
                <w:lang w:bidi="ar"/>
              </w:rPr>
              <w:t>2、面板厚1.2mm，面板下托木夹板:15mm夹板，底衬1.0mm厚304不锈钢加强梁；层板厚1.0mm，底衬1.0mm厚304不锈钢加强梁；</w:t>
            </w:r>
          </w:p>
          <w:p>
            <w:pPr>
              <w:widowControl/>
              <w:jc w:val="left"/>
              <w:textAlignment w:val="center"/>
              <w:rPr>
                <w:rFonts w:ascii="宋体" w:hAnsi="宋体" w:cs="宋体"/>
                <w:sz w:val="20"/>
              </w:rPr>
            </w:pPr>
            <w:r>
              <w:rPr>
                <w:rFonts w:hint="eastAsia" w:ascii="宋体" w:hAnsi="宋体" w:cs="宋体"/>
                <w:sz w:val="20"/>
                <w:lang w:bidi="ar"/>
              </w:rPr>
              <w:t>3、φ38*1.2mm不锈钢脚通，配不锈钢可调子弹脚；</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178560" cy="690245"/>
                  <wp:effectExtent l="0" t="0" r="2540" b="146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5"/>
                          <a:stretch>
                            <a:fillRect/>
                          </a:stretch>
                        </pic:blipFill>
                        <pic:spPr>
                          <a:xfrm>
                            <a:off x="0" y="0"/>
                            <a:ext cx="1178560" cy="69024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其它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B20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厨房设备搬运费用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B21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厨房设备电线路接驳</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B22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厨具设备安装五金辅助件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73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B23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厨具设备安装/调试费用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1、材料：外壳采用1.2mm厚304#不锈钢板；配304#不锈钢0.8mm厚油烟网及LED防水烟罩灯；底部接油槽及活动集油器；</w:t>
            </w:r>
          </w:p>
          <w:p>
            <w:pPr>
              <w:widowControl/>
              <w:jc w:val="left"/>
              <w:textAlignment w:val="center"/>
              <w:rPr>
                <w:rFonts w:ascii="宋体" w:hAnsi="宋体" w:cs="宋体"/>
                <w:sz w:val="20"/>
              </w:rPr>
            </w:pPr>
            <w:r>
              <w:rPr>
                <w:rFonts w:hint="eastAsia" w:ascii="宋体" w:hAnsi="宋体" w:cs="宋体"/>
                <w:sz w:val="20"/>
                <w:lang w:bidi="ar"/>
              </w:rPr>
              <w:t>2、形式：方形制作，前饰板采用1.2mm厚304#不锈钢板。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集装箱厨房排烟</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不锈钢排烟罩</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1200*500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米</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台面板采用304#1.2mm磨砂贴塑不锈钢板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烟罩隔油网</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600*500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板采用304#磨砂贴塑不锈钢板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不锈钢炉后封板</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800*20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米</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台面板采用304#1.2mm磨砂贴塑不锈钢板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烟罩顶镀锌集烟管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600*400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镀锌板烟管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600*400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镀锌板弯头三通变径</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600*400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开孔</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620*420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1.4#槽钢焊接而成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30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油烟净化器（低空排放）</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25000风量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sz w:val="20"/>
                <w:lang w:bidi="ar"/>
              </w:rPr>
            </w:pPr>
            <w:r>
              <w:rPr>
                <w:rFonts w:hint="eastAsia" w:ascii="宋体" w:hAnsi="宋体" w:cs="宋体"/>
                <w:sz w:val="20"/>
                <w:lang w:bidi="ar"/>
              </w:rPr>
              <w:t>外壳全部为1.2mm以上厚度的碳钢冷板，设备外壳喷涂工艺上采用的是热固性纯聚酯粉末涂料，预处理工艺要脱脂、除锈、中和、表调、磷化和烘干等工艺。电场主体为201不锈钢电场，同时满足可单独拆卸，方便设备清洗维护；</w:t>
            </w:r>
          </w:p>
          <w:p>
            <w:pPr>
              <w:widowControl/>
              <w:jc w:val="left"/>
              <w:textAlignment w:val="center"/>
              <w:rPr>
                <w:rFonts w:ascii="宋体" w:hAnsi="宋体" w:cs="宋体"/>
                <w:sz w:val="20"/>
                <w:lang w:bidi="ar"/>
              </w:rPr>
            </w:pPr>
            <w:r>
              <w:rPr>
                <w:rFonts w:hint="eastAsia" w:ascii="宋体" w:hAnsi="宋体" w:cs="宋体"/>
                <w:sz w:val="20"/>
                <w:lang w:bidi="ar"/>
              </w:rPr>
              <w:t>▲油烟净化器产品通过电磁兼容检测（电磁骚扰检测合格、静电放电抗扰度测试合格、电快速瞬变脉冲群抗扰度测试合格等）提供制造商加盖公章的检验报告复印件证明；</w:t>
            </w:r>
          </w:p>
          <w:p>
            <w:pPr>
              <w:widowControl/>
              <w:jc w:val="left"/>
              <w:textAlignment w:val="center"/>
              <w:rPr>
                <w:rFonts w:ascii="宋体" w:hAnsi="宋体" w:cs="宋体"/>
                <w:sz w:val="20"/>
                <w:lang w:bidi="ar"/>
              </w:rPr>
            </w:pPr>
            <w:r>
              <w:rPr>
                <w:rFonts w:hint="eastAsia" w:ascii="宋体" w:hAnsi="宋体" w:cs="宋体"/>
                <w:sz w:val="20"/>
                <w:lang w:bidi="ar"/>
              </w:rPr>
              <w:t>▲油烟净化器产品的“餐饮油烟净化器用高压电源”符合《餐饮油烟净化器用高压电源检测方法》JCC/I201011.1-2017和《餐饮油烟净化器用高压电源》CCAEPI-RG-Q-041-2018标准，具有过压过流、短路保护、闪络保护、清晰提示、开路保护功能，并符合技术要求。</w:t>
            </w:r>
          </w:p>
          <w:p>
            <w:pPr>
              <w:widowControl/>
              <w:jc w:val="left"/>
              <w:textAlignment w:val="center"/>
              <w:rPr>
                <w:rFonts w:ascii="宋体" w:hAnsi="宋体" w:cs="宋体"/>
                <w:sz w:val="20"/>
              </w:rPr>
            </w:pPr>
            <w:r>
              <w:rPr>
                <w:rFonts w:hint="eastAsia" w:ascii="宋体" w:hAnsi="宋体" w:cs="宋体"/>
                <w:sz w:val="20"/>
                <w:lang w:bidi="ar"/>
              </w:rPr>
              <w:t>▲油烟净化器符合国际安全标准，获得欧洲CE认证和美国UL认证。提供制造商加盖公章的证书复印件证明；</w:t>
            </w:r>
          </w:p>
        </w:tc>
        <w:tc>
          <w:tcPr>
            <w:tcW w:w="21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drawing>
                <wp:inline distT="0" distB="0" distL="114300" distR="114300">
                  <wp:extent cx="1335405" cy="1666875"/>
                  <wp:effectExtent l="0" t="0" r="17145"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1335405" cy="166687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C09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净化器支承架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采用国标8#槽钢焊接组成</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净化器出入口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减震与风柜重量匹配</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2831"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离心抽风机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11KW  380V</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34"/>
                <w:rFonts w:hint="default"/>
                <w:color w:val="auto"/>
                <w:lang w:bidi="ar"/>
              </w:rPr>
            </w:pPr>
            <w:r>
              <w:rPr>
                <w:rFonts w:hint="eastAsia" w:ascii="宋体" w:hAnsi="宋体" w:cs="宋体"/>
                <w:sz w:val="20"/>
                <w:lang w:bidi="ar"/>
              </w:rPr>
              <w:t>1.选用</w:t>
            </w:r>
            <w:r>
              <w:rPr>
                <w:rStyle w:val="34"/>
                <w:rFonts w:hint="default"/>
                <w:color w:val="auto"/>
                <w:lang w:bidi="ar"/>
              </w:rPr>
              <w:t>离心叶轮，叶片采用螺丝固定；双层烤漆箱体框架采用拼装形式，结构全满、紧凑坚固，外观美观大方。</w:t>
            </w:r>
          </w:p>
          <w:p>
            <w:pPr>
              <w:widowControl/>
              <w:jc w:val="left"/>
              <w:textAlignment w:val="center"/>
              <w:rPr>
                <w:rStyle w:val="34"/>
                <w:rFonts w:hint="default"/>
                <w:color w:val="auto"/>
                <w:lang w:bidi="ar"/>
              </w:rPr>
            </w:pPr>
            <w:r>
              <w:rPr>
                <w:rStyle w:val="36"/>
                <w:color w:val="auto"/>
                <w:lang w:bidi="ar"/>
              </w:rPr>
              <w:t>2.</w:t>
            </w:r>
            <w:r>
              <w:rPr>
                <w:rStyle w:val="34"/>
                <w:rFonts w:hint="default"/>
                <w:color w:val="auto"/>
                <w:lang w:bidi="ar"/>
              </w:rPr>
              <w:t>噪音低，流量大，效率高，运行平稳，质量稳定，经久耐用。</w:t>
            </w:r>
          </w:p>
          <w:p>
            <w:pPr>
              <w:widowControl/>
              <w:jc w:val="left"/>
              <w:textAlignment w:val="center"/>
              <w:rPr>
                <w:rStyle w:val="34"/>
                <w:rFonts w:hint="default"/>
                <w:color w:val="auto"/>
                <w:lang w:bidi="ar"/>
              </w:rPr>
            </w:pPr>
            <w:r>
              <w:rPr>
                <w:rStyle w:val="36"/>
                <w:color w:val="auto"/>
                <w:lang w:bidi="ar"/>
              </w:rPr>
              <w:t>3</w:t>
            </w:r>
            <w:r>
              <w:rPr>
                <w:rStyle w:val="34"/>
                <w:rFonts w:hint="default"/>
                <w:color w:val="auto"/>
                <w:lang w:bidi="ar"/>
              </w:rPr>
              <w:t>、风机采用拼装结构，箱板内采用≥</w:t>
            </w:r>
            <w:r>
              <w:rPr>
                <w:rStyle w:val="36"/>
                <w:color w:val="auto"/>
                <w:lang w:bidi="ar"/>
              </w:rPr>
              <w:t>1mm</w:t>
            </w:r>
            <w:r>
              <w:rPr>
                <w:rStyle w:val="34"/>
                <w:rFonts w:hint="default"/>
                <w:color w:val="auto"/>
                <w:lang w:bidi="ar"/>
              </w:rPr>
              <w:t>优质镀锌板，一体成型，牢固结实，八个角采用内螺丝固定，可以整体拆装，方便安装、维护。</w:t>
            </w:r>
          </w:p>
          <w:p>
            <w:pPr>
              <w:widowControl/>
              <w:jc w:val="left"/>
              <w:textAlignment w:val="center"/>
              <w:rPr>
                <w:rStyle w:val="35"/>
                <w:rFonts w:ascii="宋体" w:hAnsi="宋体" w:eastAsia="宋体" w:cs="宋体"/>
                <w:color w:val="auto"/>
                <w:lang w:bidi="ar"/>
              </w:rPr>
            </w:pPr>
            <w:r>
              <w:rPr>
                <w:rStyle w:val="35"/>
                <w:color w:val="auto"/>
                <w:lang w:bidi="ar"/>
              </w:rPr>
              <w:t>▲4.</w:t>
            </w:r>
            <w:r>
              <w:rPr>
                <w:rStyle w:val="35"/>
                <w:rFonts w:hint="eastAsia" w:ascii="宋体" w:hAnsi="宋体" w:eastAsia="宋体" w:cs="宋体"/>
                <w:color w:val="auto"/>
                <w:lang w:bidi="ar"/>
              </w:rPr>
              <w:t>为了保证产品的稳定性，所投产品生产单位必需取得符合</w:t>
            </w:r>
            <w:r>
              <w:rPr>
                <w:rStyle w:val="35"/>
                <w:color w:val="auto"/>
                <w:lang w:bidi="ar"/>
              </w:rPr>
              <w:t>GB/T27922-2011</w:t>
            </w:r>
            <w:r>
              <w:rPr>
                <w:rStyle w:val="35"/>
                <w:rFonts w:hint="eastAsia" w:ascii="宋体" w:hAnsi="宋体" w:eastAsia="宋体" w:cs="宋体"/>
                <w:color w:val="auto"/>
                <w:lang w:bidi="ar"/>
              </w:rPr>
              <w:t>《售后服务评价体系服务能力达到五星级》认证证书（提供复印件或扫描件并加盖厂章）</w:t>
            </w:r>
          </w:p>
          <w:p>
            <w:pPr>
              <w:widowControl/>
              <w:jc w:val="left"/>
              <w:textAlignment w:val="center"/>
              <w:rPr>
                <w:rFonts w:ascii="宋体" w:hAnsi="宋体" w:cs="宋体" w:eastAsiaTheme="minorEastAsia"/>
                <w:sz w:val="20"/>
              </w:rPr>
            </w:pPr>
            <w:r>
              <w:rPr>
                <w:rStyle w:val="35"/>
                <w:color w:val="auto"/>
                <w:lang w:bidi="ar"/>
              </w:rPr>
              <w:t>▲5.</w:t>
            </w:r>
            <w:r>
              <w:rPr>
                <w:rStyle w:val="35"/>
                <w:rFonts w:hint="eastAsia" w:ascii="宋体" w:hAnsi="宋体" w:eastAsia="宋体" w:cs="宋体"/>
                <w:color w:val="auto"/>
                <w:lang w:bidi="ar"/>
              </w:rPr>
              <w:t>由中国品牌评价中心出具的</w:t>
            </w:r>
            <w:r>
              <w:rPr>
                <w:rStyle w:val="35"/>
                <w:color w:val="auto"/>
                <w:lang w:bidi="ar"/>
              </w:rPr>
              <w:t>”</w:t>
            </w:r>
            <w:r>
              <w:rPr>
                <w:rStyle w:val="35"/>
                <w:rFonts w:hint="eastAsia" w:ascii="宋体" w:hAnsi="宋体" w:eastAsia="宋体" w:cs="宋体"/>
                <w:color w:val="auto"/>
                <w:lang w:bidi="ar"/>
              </w:rPr>
              <w:t>绿色节能环保产品</w:t>
            </w:r>
            <w:r>
              <w:rPr>
                <w:rStyle w:val="35"/>
                <w:color w:val="auto"/>
                <w:lang w:bidi="ar"/>
              </w:rPr>
              <w:t>“</w:t>
            </w:r>
            <w:r>
              <w:rPr>
                <w:rStyle w:val="35"/>
                <w:rFonts w:hint="eastAsia" w:ascii="宋体" w:hAnsi="宋体" w:eastAsia="宋体" w:cs="宋体"/>
                <w:color w:val="auto"/>
                <w:lang w:bidi="ar"/>
              </w:rPr>
              <w:t>荣誉证书。</w:t>
            </w:r>
            <w:r>
              <w:rPr>
                <w:rStyle w:val="35"/>
                <w:color w:val="auto"/>
                <w:lang w:bidi="ar"/>
              </w:rPr>
              <w:t xml:space="preserve"> </w:t>
            </w:r>
            <w:r>
              <w:rPr>
                <w:rStyle w:val="35"/>
                <w:rFonts w:hint="eastAsia" w:ascii="宋体" w:hAnsi="宋体" w:eastAsia="宋体" w:cs="宋体"/>
                <w:color w:val="auto"/>
                <w:lang w:bidi="ar"/>
              </w:rPr>
              <w:t>（提供复印件或扫描件并加盖厂章）</w:t>
            </w:r>
            <w:r>
              <w:rPr>
                <w:rStyle w:val="35"/>
                <w:color w:val="auto"/>
                <w:lang w:bidi="ar"/>
              </w:rPr>
              <w:t xml:space="preserve">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330960" cy="1047750"/>
                  <wp:effectExtent l="0" t="0" r="254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9"/>
                          <a:stretch>
                            <a:fillRect/>
                          </a:stretch>
                        </pic:blipFill>
                        <pic:spPr>
                          <a:xfrm>
                            <a:off x="0" y="0"/>
                            <a:ext cx="1330960" cy="104775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离心风机支架及防震垫</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1.8#槽钢焊接而成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风机出口弯头</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风机降压保护电箱</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风机净化器电线电路</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安装五金辅助件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C17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排烟设备安装调试费</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D</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集装箱厨房鲜风</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镀锌鲜风管道</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冷风机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1.5KW,380V</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鲜风机出入口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鲜风支承架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1.4#槽钢焊接而成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弯头变径</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开孔</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不锈钢万向口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鲜风设备安装调试</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D09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鲜风设备电线电路</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E</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一楼轻餐间厨房排烟</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不锈钢排烟罩</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米</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台面板采用304#1.2mm磨砂贴塑不锈钢板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烟罩隔油网</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板采用304#磨砂贴塑不锈钢板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不锈钢炉后封板</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米</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台面板采用304#1.2mm磨砂贴塑不锈钢板</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烟罩顶镀锌集烟管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镀锌板烟管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板面用优质镀锌板厚度1.0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镀锌板弯头变径</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打墙洞</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1.4#槽钢焊接而成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26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油烟净化器(低空排放)</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18000风量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sz w:val="20"/>
                <w:lang w:bidi="ar"/>
              </w:rPr>
            </w:pPr>
            <w:r>
              <w:rPr>
                <w:rFonts w:hint="eastAsia" w:ascii="宋体" w:hAnsi="宋体" w:cs="宋体"/>
                <w:sz w:val="20"/>
                <w:lang w:bidi="ar"/>
              </w:rPr>
              <w:t>外壳全部为1.2mm以上厚度的碳钢冷板，设备外壳喷涂工艺上采用的是热固性纯聚酯粉末涂料，预处理工艺要脱脂、除锈、中和、表调、磷化和烘干等工艺。电场主体为201不锈钢电场，同时满足可单独拆卸，方便设备清洗维护；</w:t>
            </w:r>
          </w:p>
          <w:p>
            <w:pPr>
              <w:widowControl/>
              <w:ind w:right="-210" w:rightChars="-75"/>
              <w:jc w:val="left"/>
              <w:textAlignment w:val="center"/>
              <w:rPr>
                <w:rFonts w:ascii="宋体" w:hAnsi="宋体" w:cs="宋体"/>
                <w:sz w:val="20"/>
                <w:lang w:bidi="ar"/>
              </w:rPr>
            </w:pPr>
            <w:r>
              <w:rPr>
                <w:rFonts w:hint="eastAsia" w:ascii="宋体" w:hAnsi="宋体" w:cs="宋体"/>
                <w:sz w:val="20"/>
                <w:lang w:bidi="ar"/>
              </w:rPr>
              <w:t>▲油烟净化器产品通过电磁兼容检测（电磁骚扰检测合格、静电放电抗扰度测试合格、电快速瞬变脉冲群抗扰度测试合格等）提供制造商加盖公章的检验报告复印件证明；</w:t>
            </w:r>
          </w:p>
          <w:p>
            <w:pPr>
              <w:widowControl/>
              <w:ind w:right="-210" w:rightChars="-75"/>
              <w:jc w:val="left"/>
              <w:textAlignment w:val="center"/>
              <w:rPr>
                <w:rFonts w:ascii="宋体" w:hAnsi="宋体" w:cs="宋体"/>
                <w:sz w:val="20"/>
                <w:lang w:bidi="ar"/>
              </w:rPr>
            </w:pPr>
            <w:r>
              <w:rPr>
                <w:rFonts w:hint="eastAsia" w:ascii="宋体" w:hAnsi="宋体" w:cs="宋体"/>
                <w:sz w:val="20"/>
                <w:lang w:bidi="ar"/>
              </w:rPr>
              <w:t>▲油烟净化器产品的“餐饮油烟净化器用高压电源”符合《餐饮油烟净化器用高压电源检测方法》JCC/I201011.1-2017和《餐饮油烟净化器用高压电源》CCAEPI-RG-Q-041-2018标准，具有过压过流、短路保护、闪络保护、清晰提示、开路保护功能，并符合技术要求。</w:t>
            </w:r>
          </w:p>
          <w:p>
            <w:pPr>
              <w:widowControl/>
              <w:ind w:right="-210" w:rightChars="-75"/>
              <w:jc w:val="left"/>
              <w:textAlignment w:val="center"/>
              <w:rPr>
                <w:rFonts w:ascii="宋体" w:hAnsi="宋体" w:cs="宋体"/>
                <w:sz w:val="20"/>
              </w:rPr>
            </w:pPr>
            <w:r>
              <w:rPr>
                <w:rFonts w:hint="eastAsia" w:ascii="宋体" w:hAnsi="宋体" w:cs="宋体"/>
                <w:sz w:val="20"/>
                <w:lang w:bidi="ar"/>
              </w:rPr>
              <w:t>▲油烟净化器符合国际安全标准，获得欧洲CE认证和美国UL认证。提供制造商加盖公章的证书复印件证明；</w:t>
            </w:r>
          </w:p>
        </w:tc>
        <w:tc>
          <w:tcPr>
            <w:tcW w:w="21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drawing>
                <wp:inline distT="0" distB="0" distL="114300" distR="114300">
                  <wp:extent cx="1335405" cy="1666875"/>
                  <wp:effectExtent l="0" t="0" r="1714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8"/>
                          <a:stretch>
                            <a:fillRect/>
                          </a:stretch>
                        </pic:blipFill>
                        <pic:spPr>
                          <a:xfrm>
                            <a:off x="0" y="0"/>
                            <a:ext cx="1335405" cy="166687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E09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净化器支承架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国标材料</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69"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净化器出入口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减震与风柜重量匹配</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2811"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柜式离心抽风机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7.5KW</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34"/>
                <w:rFonts w:hint="default"/>
                <w:color w:val="auto"/>
                <w:lang w:bidi="ar"/>
              </w:rPr>
            </w:pPr>
            <w:r>
              <w:rPr>
                <w:rFonts w:hint="eastAsia" w:ascii="宋体" w:hAnsi="宋体" w:cs="宋体"/>
                <w:sz w:val="20"/>
                <w:lang w:bidi="ar"/>
              </w:rPr>
              <w:t>1.选用</w:t>
            </w:r>
            <w:r>
              <w:rPr>
                <w:rStyle w:val="34"/>
                <w:rFonts w:hint="default"/>
                <w:color w:val="auto"/>
                <w:lang w:bidi="ar"/>
              </w:rPr>
              <w:t>离心叶轮，叶片采用螺丝固定；双层烤漆箱体框架采用拼装形式，结构全满、紧凑坚固，外观美观大方。</w:t>
            </w:r>
          </w:p>
          <w:p>
            <w:pPr>
              <w:widowControl/>
              <w:jc w:val="left"/>
              <w:textAlignment w:val="center"/>
              <w:rPr>
                <w:rStyle w:val="34"/>
                <w:rFonts w:hint="default"/>
                <w:color w:val="auto"/>
                <w:lang w:bidi="ar"/>
              </w:rPr>
            </w:pPr>
            <w:r>
              <w:rPr>
                <w:rStyle w:val="36"/>
                <w:color w:val="auto"/>
                <w:lang w:bidi="ar"/>
              </w:rPr>
              <w:t>2.</w:t>
            </w:r>
            <w:r>
              <w:rPr>
                <w:rStyle w:val="34"/>
                <w:rFonts w:hint="default"/>
                <w:color w:val="auto"/>
                <w:lang w:bidi="ar"/>
              </w:rPr>
              <w:t>噪音低，流量大，效率高，运行平稳，质量稳定，经久耐用。</w:t>
            </w:r>
          </w:p>
          <w:p>
            <w:pPr>
              <w:widowControl/>
              <w:jc w:val="left"/>
              <w:textAlignment w:val="center"/>
              <w:rPr>
                <w:rStyle w:val="34"/>
                <w:rFonts w:hint="default"/>
                <w:color w:val="auto"/>
                <w:lang w:bidi="ar"/>
              </w:rPr>
            </w:pPr>
            <w:r>
              <w:rPr>
                <w:rStyle w:val="36"/>
                <w:color w:val="auto"/>
                <w:lang w:bidi="ar"/>
              </w:rPr>
              <w:t>3</w:t>
            </w:r>
            <w:r>
              <w:rPr>
                <w:rStyle w:val="34"/>
                <w:rFonts w:hint="default"/>
                <w:color w:val="auto"/>
                <w:lang w:bidi="ar"/>
              </w:rPr>
              <w:t>、风机采用拼装结构，箱板内采用≥</w:t>
            </w:r>
            <w:r>
              <w:rPr>
                <w:rStyle w:val="36"/>
                <w:color w:val="auto"/>
                <w:lang w:bidi="ar"/>
              </w:rPr>
              <w:t>1mm</w:t>
            </w:r>
            <w:r>
              <w:rPr>
                <w:rStyle w:val="34"/>
                <w:rFonts w:hint="default"/>
                <w:color w:val="auto"/>
                <w:lang w:bidi="ar"/>
              </w:rPr>
              <w:t>优质镀锌板，一体成型，牢固结实，八个角采用内螺丝固定，可以整体拆装，方便安装、维护。</w:t>
            </w:r>
          </w:p>
          <w:p>
            <w:pPr>
              <w:widowControl/>
              <w:jc w:val="left"/>
              <w:textAlignment w:val="center"/>
              <w:rPr>
                <w:rStyle w:val="35"/>
                <w:rFonts w:ascii="宋体" w:hAnsi="宋体" w:eastAsia="宋体" w:cs="宋体"/>
                <w:color w:val="auto"/>
                <w:lang w:bidi="ar"/>
              </w:rPr>
            </w:pPr>
            <w:r>
              <w:rPr>
                <w:rStyle w:val="35"/>
                <w:color w:val="auto"/>
                <w:lang w:bidi="ar"/>
              </w:rPr>
              <w:t>▲4.</w:t>
            </w:r>
            <w:r>
              <w:rPr>
                <w:rStyle w:val="35"/>
                <w:rFonts w:hint="eastAsia" w:ascii="宋体" w:hAnsi="宋体" w:eastAsia="宋体" w:cs="宋体"/>
                <w:color w:val="auto"/>
                <w:lang w:bidi="ar"/>
              </w:rPr>
              <w:t>为了保证产品的稳定性，所投产品生产单位必需取得符合</w:t>
            </w:r>
            <w:r>
              <w:rPr>
                <w:rStyle w:val="35"/>
                <w:color w:val="auto"/>
                <w:lang w:bidi="ar"/>
              </w:rPr>
              <w:t>GB/T27922-2011</w:t>
            </w:r>
            <w:r>
              <w:rPr>
                <w:rStyle w:val="35"/>
                <w:rFonts w:hint="eastAsia" w:ascii="宋体" w:hAnsi="宋体" w:eastAsia="宋体" w:cs="宋体"/>
                <w:color w:val="auto"/>
                <w:lang w:bidi="ar"/>
              </w:rPr>
              <w:t>《售后服务评价体系服务能力达到五星级》认证证书（提供复印件或扫描件并加盖厂章）</w:t>
            </w:r>
          </w:p>
          <w:p>
            <w:pPr>
              <w:widowControl/>
              <w:jc w:val="left"/>
              <w:textAlignment w:val="center"/>
              <w:rPr>
                <w:rFonts w:ascii="宋体" w:hAnsi="宋体" w:cs="宋体"/>
                <w:sz w:val="20"/>
              </w:rPr>
            </w:pPr>
            <w:r>
              <w:rPr>
                <w:rStyle w:val="35"/>
                <w:color w:val="auto"/>
                <w:lang w:bidi="ar"/>
              </w:rPr>
              <w:t>▲5.</w:t>
            </w:r>
            <w:r>
              <w:rPr>
                <w:rStyle w:val="35"/>
                <w:rFonts w:hint="eastAsia" w:ascii="宋体" w:hAnsi="宋体" w:eastAsia="宋体" w:cs="宋体"/>
                <w:color w:val="auto"/>
                <w:lang w:bidi="ar"/>
              </w:rPr>
              <w:t>由中国品牌评价中心出具的</w:t>
            </w:r>
            <w:r>
              <w:rPr>
                <w:rStyle w:val="35"/>
                <w:color w:val="auto"/>
                <w:lang w:bidi="ar"/>
              </w:rPr>
              <w:t>”</w:t>
            </w:r>
            <w:r>
              <w:rPr>
                <w:rStyle w:val="35"/>
                <w:rFonts w:hint="eastAsia" w:ascii="宋体" w:hAnsi="宋体" w:eastAsia="宋体" w:cs="宋体"/>
                <w:color w:val="auto"/>
                <w:lang w:bidi="ar"/>
              </w:rPr>
              <w:t>绿色节能环保产品</w:t>
            </w:r>
            <w:r>
              <w:rPr>
                <w:rStyle w:val="35"/>
                <w:color w:val="auto"/>
                <w:lang w:bidi="ar"/>
              </w:rPr>
              <w:t>“</w:t>
            </w:r>
            <w:r>
              <w:rPr>
                <w:rStyle w:val="35"/>
                <w:rFonts w:hint="eastAsia" w:ascii="宋体" w:hAnsi="宋体" w:eastAsia="宋体" w:cs="宋体"/>
                <w:color w:val="auto"/>
                <w:lang w:bidi="ar"/>
              </w:rPr>
              <w:t>荣誉证书。</w:t>
            </w:r>
            <w:r>
              <w:rPr>
                <w:rStyle w:val="35"/>
                <w:color w:val="auto"/>
                <w:lang w:bidi="ar"/>
              </w:rPr>
              <w:t xml:space="preserve"> </w:t>
            </w:r>
            <w:r>
              <w:rPr>
                <w:rStyle w:val="35"/>
                <w:rFonts w:hint="eastAsia" w:ascii="宋体" w:hAnsi="宋体" w:eastAsia="宋体" w:cs="宋体"/>
                <w:color w:val="auto"/>
                <w:lang w:bidi="ar"/>
              </w:rPr>
              <w:t>（提供复印件或扫描件并加盖厂章）</w:t>
            </w:r>
            <w:r>
              <w:rPr>
                <w:rStyle w:val="35"/>
                <w:color w:val="auto"/>
                <w:lang w:bidi="ar"/>
              </w:rPr>
              <w:t xml:space="preserve">                            </w:t>
            </w:r>
            <w:r>
              <w:rPr>
                <w:rStyle w:val="34"/>
                <w:rFonts w:hint="default"/>
                <w:color w:val="auto"/>
                <w:lang w:bidi="ar"/>
              </w:rPr>
              <w:t xml:space="preserve">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lang w:bidi="ar"/>
              </w:rPr>
            </w:pPr>
            <w:r>
              <w:drawing>
                <wp:inline distT="0" distB="0" distL="114300" distR="114300">
                  <wp:extent cx="1330960" cy="1047750"/>
                  <wp:effectExtent l="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9"/>
                          <a:stretch>
                            <a:fillRect/>
                          </a:stretch>
                        </pic:blipFill>
                        <pic:spPr>
                          <a:xfrm>
                            <a:off x="0" y="0"/>
                            <a:ext cx="1330960" cy="104775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495"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离心风机支架及防震垫</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1.8#槽钢焊接而成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风机出口弯头</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风机降压保护电箱</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风机净化器电线电路</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接驳调试</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安装五金辅助件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E17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排烟设备安装调试费</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F</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一楼中西餐厨房鲜风</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镀锌鲜风管道</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平方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冷风机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1.5KW,380V</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鲜风机出入口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不锈钢万向口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鲜风支承架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r>
              <w:rPr>
                <w:rFonts w:hint="eastAsia" w:ascii="宋体" w:hAnsi="宋体" w:cs="宋体"/>
                <w:sz w:val="20"/>
                <w:lang w:bidi="ar"/>
              </w:rPr>
              <w:t>1.4#槽钢焊接而成</w:t>
            </w:r>
          </w:p>
          <w:p>
            <w:pPr>
              <w:widowControl/>
              <w:jc w:val="left"/>
              <w:textAlignment w:val="center"/>
              <w:rPr>
                <w:rFonts w:ascii="宋体" w:hAnsi="宋体" w:cs="宋体"/>
                <w:sz w:val="20"/>
              </w:rPr>
            </w:pPr>
            <w:r>
              <w:rPr>
                <w:rFonts w:hint="eastAsia" w:ascii="宋体" w:hAnsi="宋体" w:cs="宋体"/>
                <w:sz w:val="20"/>
                <w:lang w:bidi="ar"/>
              </w:rPr>
              <w:t>2.两层防锈漆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弯头变径</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板面用优质镀锌板厚度0.8 mm</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开孔</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鲜风口</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不锈钢万向口</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鲜风设备安装调试</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F09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鲜风设备电线电路</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rPr>
            </w:pPr>
            <w:r>
              <w:rPr>
                <w:rFonts w:hint="eastAsia" w:ascii="宋体" w:hAnsi="宋体" w:cs="宋体"/>
                <w:sz w:val="20"/>
                <w:lang w:bidi="ar"/>
              </w:rPr>
              <w:t>1、电线采用国内一线品牌，线管、接线盒采用华达、零配件</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lang w:bidi="ar"/>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lang w:bidi="ar"/>
              </w:rPr>
            </w:pPr>
            <w:r>
              <w:rPr>
                <w:rFonts w:hint="eastAsia" w:ascii="宋体" w:hAnsi="宋体" w:cs="宋体"/>
                <w:b/>
                <w:sz w:val="20"/>
                <w:lang w:bidi="ar"/>
              </w:rPr>
              <w:t>G</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sz w:val="20"/>
              </w:rPr>
            </w:pPr>
            <w:r>
              <w:rPr>
                <w:rFonts w:hint="eastAsia" w:ascii="宋体" w:hAnsi="宋体" w:cs="宋体"/>
                <w:b/>
                <w:sz w:val="20"/>
                <w:lang w:bidi="ar"/>
              </w:rPr>
              <w:t>煤气管设备</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煤气房间隔</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间</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G02</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煤气专用无蓬管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DN50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米</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国标无缝管</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G03</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气化炉设备</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50KG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 xml:space="preserve">8kw  380V </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G04</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中低减压阀门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进口4分，出口6分</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G05</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防爆风机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台</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180瓦 220V 风量2280方</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G06</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煤气专用高压软管</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条</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4分 1米</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G07</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4分燃气球阀</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DN15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626"/>
              </w:tabs>
              <w:jc w:val="left"/>
              <w:rPr>
                <w:rFonts w:ascii="宋体" w:hAnsi="宋体" w:cs="宋体"/>
                <w:sz w:val="20"/>
              </w:rPr>
            </w:pPr>
            <w:r>
              <w:rPr>
                <w:rFonts w:hint="eastAsia" w:ascii="宋体" w:hAnsi="宋体" w:cs="宋体"/>
                <w:sz w:val="20"/>
              </w:rPr>
              <w:t>4分 dn15</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G08</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煤气泄漏报警器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套</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工业用，电脑屏显</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G09</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灭火器</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个</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r>
              <w:rPr>
                <w:rFonts w:hint="eastAsia" w:ascii="宋体" w:hAnsi="宋体" w:cs="宋体"/>
                <w:sz w:val="20"/>
              </w:rPr>
              <w:t>6kg 袋鼠悬挂式自动灭火球</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G10</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安装五金辅助件</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r>
        <w:tblPrEx>
          <w:tblCellMar>
            <w:top w:w="15" w:type="dxa"/>
            <w:left w:w="15" w:type="dxa"/>
            <w:bottom w:w="15" w:type="dxa"/>
            <w:right w:w="15" w:type="dxa"/>
          </w:tblCellMar>
        </w:tblPrEx>
        <w:trPr>
          <w:trHeight w:val="312" w:hRule="atLeast"/>
        </w:trPr>
        <w:tc>
          <w:tcPr>
            <w:tcW w:w="7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lang w:bidi="ar"/>
              </w:rPr>
            </w:pPr>
            <w:r>
              <w:rPr>
                <w:rFonts w:hint="eastAsia" w:ascii="宋体" w:hAnsi="宋体" w:cs="宋体"/>
                <w:sz w:val="20"/>
                <w:lang w:bidi="ar"/>
              </w:rPr>
              <w:t>G11</w:t>
            </w:r>
          </w:p>
        </w:tc>
        <w:tc>
          <w:tcPr>
            <w:tcW w:w="21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sz w:val="20"/>
              </w:rPr>
            </w:pPr>
            <w:r>
              <w:rPr>
                <w:rFonts w:hint="eastAsia" w:ascii="宋体" w:hAnsi="宋体" w:cs="宋体"/>
                <w:sz w:val="20"/>
                <w:lang w:bidi="ar"/>
              </w:rPr>
              <w:t>安装调试</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0"/>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rPr>
            </w:pPr>
            <w:r>
              <w:rPr>
                <w:rFonts w:hint="eastAsia" w:ascii="宋体" w:hAnsi="宋体" w:cs="宋体"/>
                <w:sz w:val="20"/>
                <w:lang w:bidi="ar"/>
              </w:rPr>
              <w:t>项</w:t>
            </w:r>
          </w:p>
        </w:tc>
        <w:tc>
          <w:tcPr>
            <w:tcW w:w="6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rPr>
            </w:pPr>
          </w:p>
        </w:tc>
      </w:tr>
    </w:tbl>
    <w:p>
      <w:pPr>
        <w:pStyle w:val="7"/>
        <w:spacing w:line="460" w:lineRule="exact"/>
      </w:pPr>
      <w:bookmarkStart w:id="71" w:name="_Toc101951257"/>
      <w:bookmarkStart w:id="72" w:name="_Toc101771371"/>
      <w:bookmarkStart w:id="73" w:name="_Toc403491565"/>
      <w:bookmarkStart w:id="74" w:name="_Toc101843124"/>
      <w:bookmarkStart w:id="75" w:name="_Toc175644388"/>
      <w:bookmarkStart w:id="76" w:name="_Toc101775124"/>
      <w:bookmarkStart w:id="77" w:name="_Toc401575143"/>
    </w:p>
    <w:p>
      <w:pPr>
        <w:pStyle w:val="7"/>
        <w:spacing w:line="460" w:lineRule="exact"/>
        <w:sectPr>
          <w:pgSz w:w="16838" w:h="11906" w:orient="landscape"/>
          <w:pgMar w:top="1440" w:right="1080" w:bottom="1440" w:left="1080" w:header="567" w:footer="737" w:gutter="0"/>
          <w:cols w:space="720" w:num="1"/>
          <w:docGrid w:linePitch="312" w:charSpace="0"/>
        </w:sectPr>
      </w:pPr>
    </w:p>
    <w:p>
      <w:pPr>
        <w:pStyle w:val="7"/>
        <w:spacing w:line="380" w:lineRule="exact"/>
        <w:ind w:firstLine="482" w:firstLineChars="200"/>
        <w:rPr>
          <w:rFonts w:ascii="宋体" w:hAnsi="宋体" w:cs="宋体"/>
          <w:b/>
        </w:rPr>
      </w:pPr>
      <w:r>
        <w:rPr>
          <w:rFonts w:hint="eastAsia" w:ascii="宋体" w:hAnsi="宋体" w:cs="宋体"/>
          <w:b/>
        </w:rPr>
        <w:t xml:space="preserve"> 一、项目要求</w:t>
      </w:r>
    </w:p>
    <w:p>
      <w:pPr>
        <w:pStyle w:val="7"/>
        <w:spacing w:line="380" w:lineRule="exact"/>
        <w:ind w:firstLine="482" w:firstLineChars="200"/>
        <w:rPr>
          <w:rFonts w:ascii="宋体" w:hAnsi="宋体" w:cs="宋体"/>
          <w:b/>
        </w:rPr>
      </w:pPr>
      <w:r>
        <w:rPr>
          <w:rFonts w:hint="eastAsia" w:ascii="宋体" w:hAnsi="宋体" w:cs="宋体"/>
          <w:b/>
        </w:rPr>
        <w:t>★1、本次招标餐饮配套设备位于南沙湿地景区内，包含集装箱厨房、轻餐间和集装箱厨房厨具（含安装费用）、煤气房。</w:t>
      </w:r>
    </w:p>
    <w:p>
      <w:pPr>
        <w:pStyle w:val="7"/>
        <w:spacing w:line="380" w:lineRule="exact"/>
        <w:ind w:firstLine="482" w:firstLineChars="200"/>
        <w:rPr>
          <w:rFonts w:ascii="宋体" w:hAnsi="宋体" w:cs="宋体"/>
          <w:b/>
        </w:rPr>
      </w:pPr>
      <w:r>
        <w:rPr>
          <w:rFonts w:hint="eastAsia" w:ascii="宋体" w:hAnsi="宋体" w:cs="宋体"/>
          <w:b/>
        </w:rPr>
        <w:t>★2、海景园餐饮配套设备工程施工，包括但不限于厨房地面回填、装饰装修、给排水及电气照明安装、厨房设备及安装、厨房配套鲜风设备及除油烟设备，具体详见用户需求书。</w:t>
      </w:r>
    </w:p>
    <w:p>
      <w:pPr>
        <w:pStyle w:val="7"/>
        <w:spacing w:line="380" w:lineRule="exact"/>
        <w:ind w:firstLine="482" w:firstLineChars="200"/>
        <w:rPr>
          <w:rFonts w:ascii="宋体" w:hAnsi="宋体" w:cs="宋体"/>
          <w:b/>
        </w:rPr>
      </w:pPr>
      <w:r>
        <w:rPr>
          <w:rFonts w:hint="eastAsia" w:ascii="宋体" w:hAnsi="宋体" w:cs="宋体"/>
          <w:b/>
        </w:rPr>
        <w:t xml:space="preserve">2.1 最高投标限价：人民币 </w:t>
      </w:r>
      <w:r>
        <w:rPr>
          <w:rFonts w:hint="eastAsia" w:ascii="宋体" w:hAnsi="宋体" w:cs="宋体"/>
          <w:b/>
          <w:lang w:val="en-US" w:eastAsia="zh-CN"/>
        </w:rPr>
        <w:t>48</w:t>
      </w:r>
      <w:r>
        <w:rPr>
          <w:rFonts w:hint="eastAsia" w:ascii="宋体" w:hAnsi="宋体" w:cs="宋体"/>
          <w:b/>
        </w:rPr>
        <w:t>万元 。</w:t>
      </w:r>
    </w:p>
    <w:p>
      <w:pPr>
        <w:pStyle w:val="7"/>
        <w:spacing w:line="380" w:lineRule="exact"/>
        <w:ind w:firstLine="482" w:firstLineChars="200"/>
        <w:rPr>
          <w:rFonts w:ascii="宋体" w:hAnsi="宋体" w:cs="宋体"/>
          <w:b/>
        </w:rPr>
      </w:pPr>
      <w:r>
        <w:rPr>
          <w:rFonts w:hint="eastAsia" w:ascii="宋体" w:hAnsi="宋体" w:cs="宋体"/>
          <w:b/>
        </w:rPr>
        <w:t xml:space="preserve">2.2承包方式：综合单价包干、项目措施费包干。 </w:t>
      </w:r>
    </w:p>
    <w:p>
      <w:pPr>
        <w:pStyle w:val="7"/>
        <w:spacing w:line="380" w:lineRule="exact"/>
        <w:ind w:firstLine="482" w:firstLineChars="200"/>
        <w:rPr>
          <w:rFonts w:ascii="宋体" w:hAnsi="宋体" w:cs="宋体"/>
          <w:b/>
        </w:rPr>
      </w:pPr>
      <w:r>
        <w:rPr>
          <w:rFonts w:hint="eastAsia" w:ascii="宋体" w:hAnsi="宋体" w:cs="宋体"/>
          <w:b/>
        </w:rPr>
        <w:t>2.3 计划工期：30天。</w:t>
      </w:r>
    </w:p>
    <w:p>
      <w:pPr>
        <w:pStyle w:val="7"/>
        <w:spacing w:line="380" w:lineRule="exact"/>
        <w:ind w:firstLine="482" w:firstLineChars="200"/>
        <w:rPr>
          <w:rFonts w:ascii="宋体" w:hAnsi="宋体" w:cs="宋体"/>
          <w:b/>
        </w:rPr>
      </w:pPr>
      <w:r>
        <w:rPr>
          <w:rFonts w:hint="eastAsia" w:ascii="宋体" w:hAnsi="宋体" w:cs="宋体"/>
          <w:b/>
        </w:rPr>
        <w:t>★3、厨房专用设备要求：投标人具有燃气燃烧器具安装维修证书。</w:t>
      </w:r>
    </w:p>
    <w:p>
      <w:pPr>
        <w:pStyle w:val="7"/>
        <w:spacing w:line="380" w:lineRule="exact"/>
        <w:ind w:firstLine="482" w:firstLineChars="200"/>
        <w:rPr>
          <w:rFonts w:ascii="宋体" w:hAnsi="宋体" w:cs="宋体"/>
          <w:b/>
        </w:rPr>
      </w:pPr>
      <w:r>
        <w:rPr>
          <w:rFonts w:hint="eastAsia" w:ascii="宋体" w:hAnsi="宋体" w:cs="宋体"/>
          <w:b/>
        </w:rPr>
        <w:t xml:space="preserve">★4、交货地点：广州南沙区万倾沙镇新垦18涌，南沙湿地景区内。      </w:t>
      </w:r>
    </w:p>
    <w:p>
      <w:pPr>
        <w:pStyle w:val="7"/>
        <w:spacing w:line="380" w:lineRule="exact"/>
        <w:ind w:firstLine="482" w:firstLineChars="200"/>
        <w:rPr>
          <w:rFonts w:ascii="宋体" w:hAnsi="宋体" w:cs="宋体"/>
          <w:b/>
        </w:rPr>
      </w:pPr>
      <w:r>
        <w:rPr>
          <w:rFonts w:hint="eastAsia" w:ascii="宋体" w:hAnsi="宋体" w:cs="宋体"/>
          <w:b/>
        </w:rPr>
        <w:t>▲5、售后服务：付使用并验收合格后免费质保两年，响应时间：接到电话后24小时内上门现场维修服务，</w:t>
      </w:r>
      <w:r>
        <w:rPr>
          <w:rFonts w:hint="eastAsia" w:ascii="宋体" w:hAnsi="宋体"/>
          <w:b/>
        </w:rPr>
        <w:t>并在12小时内给出修复意见</w:t>
      </w:r>
      <w:r>
        <w:rPr>
          <w:rFonts w:hint="eastAsia" w:ascii="宋体" w:hAnsi="宋体" w:cs="宋体"/>
          <w:b/>
        </w:rPr>
        <w:t>。</w:t>
      </w:r>
    </w:p>
    <w:p>
      <w:pPr>
        <w:pStyle w:val="7"/>
        <w:spacing w:line="380" w:lineRule="exact"/>
        <w:ind w:firstLine="482" w:firstLineChars="200"/>
        <w:rPr>
          <w:rFonts w:ascii="宋体" w:hAnsi="宋体" w:cs="宋体"/>
          <w:b/>
        </w:rPr>
      </w:pPr>
      <w:r>
        <w:rPr>
          <w:rFonts w:hint="eastAsia" w:ascii="宋体" w:hAnsi="宋体" w:cs="宋体"/>
          <w:b/>
        </w:rPr>
        <w:t>二、其他要求</w:t>
      </w:r>
    </w:p>
    <w:p>
      <w:pPr>
        <w:pStyle w:val="7"/>
        <w:spacing w:line="380" w:lineRule="exact"/>
        <w:ind w:firstLine="482" w:firstLineChars="200"/>
      </w:pPr>
      <w:r>
        <w:rPr>
          <w:rFonts w:hint="eastAsia" w:ascii="宋体" w:hAnsi="宋体" w:cs="宋体"/>
          <w:b/>
        </w:rPr>
        <w:t>▲</w:t>
      </w:r>
      <w:r>
        <w:rPr>
          <w:rFonts w:hint="eastAsia"/>
        </w:rPr>
        <w:t>1、免费质保期：如无具体要求，则免费质保期至少两年。质保期内一切因生产厂制造质量原因造成的损坏，厂家免费负责修妥。由用户操作不当或违反操作规程导致的损坏厂家只收取材料费。质保期满后有偿维修，厂方提供维修服务收费参考标准，终身对机组进行维护和保养。</w:t>
      </w:r>
    </w:p>
    <w:p>
      <w:pPr>
        <w:pStyle w:val="7"/>
        <w:spacing w:line="380" w:lineRule="exact"/>
        <w:ind w:firstLine="480" w:firstLineChars="200"/>
      </w:pPr>
      <w:r>
        <w:rPr>
          <w:rFonts w:hint="eastAsia"/>
        </w:rPr>
        <w:t>2、总报价包括全部设备、辅助材料、安装、调试、吊装费、人工、机械、包装、运输、装卸、仓储、保险、运费、各种税费、劳保、培训、专利技术及质保期间等一切费用。</w:t>
      </w:r>
    </w:p>
    <w:p>
      <w:pPr>
        <w:pStyle w:val="7"/>
        <w:spacing w:line="380" w:lineRule="exact"/>
        <w:ind w:firstLine="482" w:firstLineChars="200"/>
      </w:pPr>
      <w:r>
        <w:rPr>
          <w:rFonts w:hint="eastAsia" w:ascii="宋体" w:hAnsi="宋体" w:cs="宋体"/>
          <w:b/>
        </w:rPr>
        <w:t>▲</w:t>
      </w:r>
      <w:r>
        <w:rPr>
          <w:rFonts w:hint="eastAsia"/>
        </w:rPr>
        <w:t>3、验收：</w:t>
      </w:r>
    </w:p>
    <w:p>
      <w:pPr>
        <w:pStyle w:val="7"/>
        <w:spacing w:line="380" w:lineRule="exact"/>
        <w:ind w:firstLine="480" w:firstLineChars="200"/>
      </w:pPr>
      <w:r>
        <w:rPr>
          <w:rFonts w:hint="eastAsia"/>
        </w:rPr>
        <w:t>3.1中标单位须按照本采购文件的有关规定提供合格产品；</w:t>
      </w:r>
    </w:p>
    <w:p>
      <w:pPr>
        <w:pStyle w:val="7"/>
        <w:spacing w:line="380" w:lineRule="exact"/>
        <w:ind w:firstLine="480" w:firstLineChars="200"/>
      </w:pPr>
      <w:r>
        <w:rPr>
          <w:rFonts w:hint="eastAsia"/>
        </w:rPr>
        <w:t>3.2验收包括：数量、外观、质量、；所有设备应符合其规定的设计，无瑕疵和缺陷，质量为合格产品，同时有明确的生产制造厂商。中标供应商对质量问题发生的费用由中标供应商自行负责。</w:t>
      </w:r>
    </w:p>
    <w:p>
      <w:pPr>
        <w:pStyle w:val="7"/>
        <w:spacing w:line="380" w:lineRule="exact"/>
        <w:ind w:firstLine="480" w:firstLineChars="200"/>
      </w:pPr>
      <w:r>
        <w:rPr>
          <w:rFonts w:hint="eastAsia"/>
        </w:rPr>
        <w:t>3.3验收标准：按投标文件、供应商的承诺及行业相关标准为准。</w:t>
      </w:r>
    </w:p>
    <w:p>
      <w:pPr>
        <w:pStyle w:val="7"/>
        <w:spacing w:line="380" w:lineRule="exact"/>
        <w:ind w:firstLine="482" w:firstLineChars="200"/>
      </w:pPr>
      <w:r>
        <w:rPr>
          <w:rFonts w:hint="eastAsia" w:ascii="宋体" w:hAnsi="宋体" w:cs="宋体"/>
          <w:b/>
        </w:rPr>
        <w:t>★</w:t>
      </w:r>
      <w:r>
        <w:rPr>
          <w:rFonts w:hint="eastAsia"/>
        </w:rPr>
        <w:t>4、付款方式：</w:t>
      </w:r>
    </w:p>
    <w:p>
      <w:pPr>
        <w:pStyle w:val="7"/>
        <w:spacing w:line="380" w:lineRule="exact"/>
        <w:ind w:firstLine="480" w:firstLineChars="200"/>
      </w:pPr>
      <w:r>
        <w:rPr>
          <w:rFonts w:hint="eastAsia"/>
        </w:rPr>
        <w:t>4.1签订合同后支付定金</w:t>
      </w:r>
      <w:r>
        <w:rPr>
          <w:rFonts w:hint="eastAsia" w:ascii="宋体" w:hAnsi="宋体" w:cs="宋体"/>
        </w:rPr>
        <w:t>30%</w:t>
      </w:r>
      <w:r>
        <w:rPr>
          <w:rFonts w:hint="eastAsia"/>
        </w:rPr>
        <w:t>，</w:t>
      </w:r>
      <w:r>
        <w:rPr>
          <w:rFonts w:hint="eastAsia" w:ascii="宋体" w:hAnsi="宋体"/>
          <w:bCs/>
        </w:rPr>
        <w:t>生产完毕并安装经甲方验收合格后支付合同总价的65%</w:t>
      </w:r>
      <w:r>
        <w:rPr>
          <w:rFonts w:hint="eastAsia"/>
        </w:rPr>
        <w:t>，剩下合同总价的</w:t>
      </w:r>
      <w:r>
        <w:rPr>
          <w:rFonts w:hint="eastAsia" w:ascii="宋体" w:hAnsi="宋体" w:cs="宋体"/>
        </w:rPr>
        <w:t>5%</w:t>
      </w:r>
      <w:r>
        <w:rPr>
          <w:rFonts w:hint="eastAsia"/>
        </w:rPr>
        <w:t>作为质保金，质保期到期后一个月内支付完成。</w:t>
      </w:r>
    </w:p>
    <w:p>
      <w:pPr>
        <w:pStyle w:val="7"/>
        <w:spacing w:line="380" w:lineRule="exact"/>
        <w:ind w:firstLine="480" w:firstLineChars="200"/>
      </w:pPr>
      <w:r>
        <w:rPr>
          <w:rFonts w:hint="eastAsia"/>
        </w:rPr>
        <w:t>4.2</w:t>
      </w:r>
      <w:r>
        <w:rPr>
          <w:rFonts w:hint="eastAsia"/>
          <w:lang w:eastAsia="zh-TW"/>
        </w:rPr>
        <w:t>甲乙双方因履行本合同而发生的银行费用，甲方发生的由甲方负担，乙方发生的由乙方负担</w:t>
      </w:r>
      <w:r>
        <w:rPr>
          <w:rFonts w:hint="eastAsia"/>
        </w:rPr>
        <w:t>；</w:t>
      </w:r>
    </w:p>
    <w:p>
      <w:pPr>
        <w:pStyle w:val="7"/>
        <w:spacing w:line="380" w:lineRule="exact"/>
        <w:ind w:firstLine="480" w:firstLineChars="200"/>
      </w:pPr>
      <w:r>
        <w:rPr>
          <w:rFonts w:hint="eastAsia"/>
        </w:rPr>
        <w:t>4.3因采购人使用的是国有资金，采购人在前款规定的付款时间为向采购支付部门提出办理支付申请手续的时间（不含支付部门审核的时间），在规定时间内提出支付申请手续后即视为采购人已经按期支付。</w:t>
      </w:r>
    </w:p>
    <w:bookmarkEnd w:id="71"/>
    <w:bookmarkEnd w:id="72"/>
    <w:bookmarkEnd w:id="73"/>
    <w:bookmarkEnd w:id="74"/>
    <w:bookmarkEnd w:id="75"/>
    <w:bookmarkEnd w:id="76"/>
    <w:bookmarkEnd w:id="77"/>
    <w:p>
      <w:pPr>
        <w:pStyle w:val="7"/>
        <w:spacing w:line="380" w:lineRule="exact"/>
        <w:ind w:firstLine="880" w:firstLineChars="200"/>
        <w:rPr>
          <w:sz w:val="44"/>
        </w:rPr>
      </w:pPr>
    </w:p>
    <w:p>
      <w:pPr>
        <w:spacing w:line="380" w:lineRule="exact"/>
        <w:ind w:firstLine="880" w:firstLineChars="200"/>
        <w:rPr>
          <w:sz w:val="44"/>
        </w:rPr>
      </w:pPr>
      <w:r>
        <w:rPr>
          <w:sz w:val="44"/>
        </w:rPr>
        <w:br w:type="page"/>
      </w:r>
    </w:p>
    <w:p>
      <w:pPr>
        <w:pStyle w:val="7"/>
        <w:rPr>
          <w:sz w:val="44"/>
        </w:rPr>
      </w:pPr>
    </w:p>
    <w:p>
      <w:pPr>
        <w:rPr>
          <w:sz w:val="44"/>
        </w:rPr>
      </w:pPr>
    </w:p>
    <w:p>
      <w:pPr>
        <w:pStyle w:val="7"/>
        <w:rPr>
          <w:sz w:val="44"/>
        </w:rPr>
      </w:pPr>
    </w:p>
    <w:p/>
    <w:p>
      <w:pPr>
        <w:pStyle w:val="7"/>
        <w:rPr>
          <w:sz w:val="44"/>
        </w:rPr>
      </w:pPr>
    </w:p>
    <w:p>
      <w:pPr>
        <w:rPr>
          <w:sz w:val="44"/>
        </w:rPr>
      </w:pPr>
    </w:p>
    <w:p>
      <w:pPr>
        <w:rPr>
          <w:sz w:val="44"/>
        </w:rPr>
      </w:pPr>
    </w:p>
    <w:p>
      <w:pPr>
        <w:pStyle w:val="7"/>
      </w:pPr>
    </w:p>
    <w:p>
      <w:pPr>
        <w:pStyle w:val="3"/>
        <w:ind w:right="-588" w:firstLine="2650" w:firstLineChars="600"/>
        <w:jc w:val="both"/>
        <w:rPr>
          <w:rFonts w:hint="eastAsia"/>
          <w:sz w:val="44"/>
        </w:rPr>
      </w:pPr>
      <w:bookmarkStart w:id="78" w:name="_Toc21306"/>
      <w:bookmarkStart w:id="79" w:name="_Toc26054"/>
      <w:bookmarkStart w:id="80" w:name="_Toc7688"/>
      <w:bookmarkStart w:id="81" w:name="_Toc17030"/>
      <w:bookmarkStart w:id="82" w:name="_Toc13797"/>
      <w:bookmarkStart w:id="83" w:name="_Toc10182"/>
    </w:p>
    <w:p>
      <w:pPr>
        <w:pStyle w:val="3"/>
        <w:ind w:right="-588" w:firstLine="2650" w:firstLineChars="600"/>
        <w:jc w:val="both"/>
        <w:rPr>
          <w:rFonts w:hint="eastAsia"/>
          <w:sz w:val="44"/>
        </w:rPr>
      </w:pPr>
    </w:p>
    <w:p>
      <w:pPr>
        <w:pStyle w:val="3"/>
        <w:ind w:right="-588" w:firstLine="2650" w:firstLineChars="600"/>
        <w:jc w:val="both"/>
        <w:rPr>
          <w:rFonts w:hint="eastAsia"/>
          <w:sz w:val="44"/>
        </w:rPr>
      </w:pPr>
    </w:p>
    <w:p>
      <w:pPr>
        <w:pStyle w:val="3"/>
        <w:ind w:right="-588" w:firstLine="2650" w:firstLineChars="600"/>
        <w:jc w:val="both"/>
        <w:rPr>
          <w:sz w:val="44"/>
        </w:rPr>
      </w:pPr>
      <w:r>
        <w:rPr>
          <w:rFonts w:hint="eastAsia"/>
          <w:sz w:val="44"/>
        </w:rPr>
        <w:t>第四章 合同</w:t>
      </w:r>
      <w:bookmarkEnd w:id="66"/>
      <w:r>
        <w:rPr>
          <w:rFonts w:hint="eastAsia"/>
          <w:sz w:val="44"/>
        </w:rPr>
        <w:t>文本</w:t>
      </w:r>
      <w:bookmarkEnd w:id="67"/>
      <w:bookmarkEnd w:id="68"/>
      <w:bookmarkEnd w:id="69"/>
      <w:bookmarkEnd w:id="70"/>
      <w:bookmarkEnd w:id="78"/>
      <w:bookmarkEnd w:id="79"/>
      <w:bookmarkEnd w:id="80"/>
      <w:bookmarkEnd w:id="81"/>
      <w:bookmarkEnd w:id="82"/>
      <w:bookmarkEnd w:id="83"/>
    </w:p>
    <w:p/>
    <w:p/>
    <w:p/>
    <w:p>
      <w:pPr>
        <w:snapToGrid w:val="0"/>
        <w:spacing w:line="360" w:lineRule="auto"/>
        <w:rPr>
          <w:rFonts w:ascii="宋体" w:hAnsi="宋体"/>
          <w:sz w:val="24"/>
          <w:szCs w:val="24"/>
        </w:rPr>
      </w:pPr>
      <w:r>
        <w:rPr>
          <w:bCs/>
        </w:rPr>
        <w:br w:type="page"/>
      </w:r>
      <w:bookmarkEnd w:id="64"/>
      <w:bookmarkEnd w:id="65"/>
      <w:bookmarkStart w:id="84" w:name="_Toc282161014"/>
      <w:bookmarkStart w:id="85" w:name="_Toc296081818"/>
      <w:bookmarkStart w:id="86" w:name="_Toc14450837"/>
      <w:bookmarkStart w:id="87" w:name="_Toc28489495"/>
    </w:p>
    <w:p>
      <w:pPr>
        <w:widowControl/>
        <w:spacing w:line="360" w:lineRule="auto"/>
        <w:jc w:val="center"/>
        <w:rPr>
          <w:rFonts w:ascii="宋体" w:hAnsi="宋体"/>
          <w:bCs/>
          <w:sz w:val="24"/>
          <w:szCs w:val="24"/>
        </w:rPr>
      </w:pPr>
      <w:r>
        <w:rPr>
          <w:rFonts w:hint="eastAsia" w:ascii="宋体" w:hAnsi="宋体"/>
          <w:b/>
          <w:sz w:val="32"/>
          <w:szCs w:val="32"/>
        </w:rPr>
        <w:t>采购合同</w:t>
      </w:r>
    </w:p>
    <w:p>
      <w:pPr>
        <w:widowControl/>
        <w:spacing w:line="360" w:lineRule="auto"/>
        <w:jc w:val="center"/>
        <w:rPr>
          <w:rFonts w:ascii="宋体" w:hAnsi="宋体"/>
          <w:bCs/>
          <w:sz w:val="21"/>
          <w:szCs w:val="21"/>
        </w:rPr>
      </w:pPr>
      <w:r>
        <w:rPr>
          <w:rFonts w:hint="eastAsia" w:ascii="宋体" w:hAnsi="宋体"/>
          <w:bCs/>
          <w:sz w:val="21"/>
          <w:szCs w:val="21"/>
        </w:rPr>
        <w:t>（最终以签订为准）</w:t>
      </w:r>
    </w:p>
    <w:p>
      <w:pPr>
        <w:pStyle w:val="2"/>
      </w:pP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一、总    则</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第一条  合同当事人</w:t>
      </w:r>
    </w:p>
    <w:p>
      <w:pPr>
        <w:widowControl/>
        <w:spacing w:line="480" w:lineRule="exact"/>
        <w:ind w:firstLine="480" w:firstLineChars="200"/>
        <w:jc w:val="left"/>
        <w:rPr>
          <w:rFonts w:ascii="宋体" w:hAnsi="宋体" w:cs="宋体"/>
          <w:sz w:val="24"/>
          <w:szCs w:val="24"/>
        </w:rPr>
      </w:pPr>
      <w:r>
        <w:rPr>
          <w:rFonts w:hint="eastAsia" w:ascii="宋体" w:hAnsi="宋体"/>
          <w:bCs/>
          <w:sz w:val="24"/>
          <w:szCs w:val="24"/>
        </w:rPr>
        <w:t>甲方（采购人）：</w:t>
      </w:r>
      <w:r>
        <w:rPr>
          <w:rFonts w:hint="eastAsia" w:ascii="宋体" w:hAnsi="宋体" w:cs="宋体"/>
          <w:sz w:val="24"/>
          <w:szCs w:val="24"/>
        </w:rPr>
        <w:t>广州南沙湿地旅游发展有限公司</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乙方（中标供应商）：</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根据《中华人民共和国合同法》、《中华人民共和国招标投标法》及广州南沙湿地旅游发展有限公司南沙湿地景区海景园餐饮配套设备采购项目采购文件的要求和招标结果，经甲乙双方协商一致，签订本合同。双方共同遵守如下条款（其他有关合同项目的特定信息由合同附件予以说明，合同附件及本项目的采购文件、投标文件、中标通知书、在实施过程中双方共同签署的补充文件等均为本合同不可分割之一部分）。</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二、合同标的</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第二条  乙方根据甲方要求提供以下货物：</w:t>
      </w:r>
    </w:p>
    <w:tbl>
      <w:tblPr>
        <w:tblStyle w:val="1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405"/>
        <w:gridCol w:w="983"/>
        <w:gridCol w:w="1155"/>
        <w:gridCol w:w="1155"/>
        <w:gridCol w:w="154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464"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货物品名</w:t>
            </w:r>
          </w:p>
        </w:tc>
        <w:tc>
          <w:tcPr>
            <w:tcW w:w="1405"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规格型号</w:t>
            </w:r>
          </w:p>
        </w:tc>
        <w:tc>
          <w:tcPr>
            <w:tcW w:w="983"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单位</w:t>
            </w:r>
          </w:p>
        </w:tc>
        <w:tc>
          <w:tcPr>
            <w:tcW w:w="1155"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数量</w:t>
            </w:r>
          </w:p>
        </w:tc>
        <w:tc>
          <w:tcPr>
            <w:tcW w:w="1155"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单价</w:t>
            </w:r>
          </w:p>
        </w:tc>
        <w:tc>
          <w:tcPr>
            <w:tcW w:w="1540"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总价</w:t>
            </w:r>
          </w:p>
        </w:tc>
        <w:tc>
          <w:tcPr>
            <w:tcW w:w="1926" w:type="dxa"/>
            <w:vAlign w:val="center"/>
          </w:tcPr>
          <w:p>
            <w:pPr>
              <w:widowControl/>
              <w:spacing w:line="480" w:lineRule="exact"/>
              <w:ind w:firstLine="480" w:firstLineChars="200"/>
              <w:jc w:val="left"/>
              <w:rPr>
                <w:rFonts w:ascii="宋体" w:hAnsi="宋体"/>
                <w:bCs/>
                <w:sz w:val="24"/>
                <w:szCs w:val="24"/>
              </w:rPr>
            </w:pPr>
            <w:r>
              <w:rPr>
                <w:rFonts w:hint="eastAsia" w:ascii="宋体" w:hAnsi="宋体"/>
                <w:bCs/>
                <w:sz w:val="24"/>
                <w:szCs w:val="24"/>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ind w:firstLine="480" w:firstLineChars="200"/>
              <w:jc w:val="left"/>
              <w:rPr>
                <w:rFonts w:ascii="宋体" w:hAnsi="宋体"/>
                <w:bCs/>
                <w:sz w:val="24"/>
                <w:szCs w:val="24"/>
              </w:rPr>
            </w:pPr>
          </w:p>
        </w:tc>
        <w:tc>
          <w:tcPr>
            <w:tcW w:w="1405" w:type="dxa"/>
            <w:vAlign w:val="center"/>
          </w:tcPr>
          <w:p>
            <w:pPr>
              <w:widowControl/>
              <w:spacing w:line="480" w:lineRule="exact"/>
              <w:ind w:firstLine="480" w:firstLineChars="200"/>
              <w:jc w:val="left"/>
              <w:rPr>
                <w:rFonts w:ascii="宋体" w:hAnsi="宋体"/>
                <w:bCs/>
                <w:sz w:val="24"/>
                <w:szCs w:val="24"/>
              </w:rPr>
            </w:pPr>
          </w:p>
        </w:tc>
        <w:tc>
          <w:tcPr>
            <w:tcW w:w="983"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540" w:type="dxa"/>
            <w:vAlign w:val="center"/>
          </w:tcPr>
          <w:p>
            <w:pPr>
              <w:widowControl/>
              <w:spacing w:line="480" w:lineRule="exact"/>
              <w:ind w:firstLine="480" w:firstLineChars="200"/>
              <w:jc w:val="left"/>
              <w:rPr>
                <w:rFonts w:ascii="宋体" w:hAnsi="宋体"/>
                <w:bCs/>
                <w:sz w:val="24"/>
                <w:szCs w:val="24"/>
              </w:rPr>
            </w:pPr>
          </w:p>
        </w:tc>
        <w:tc>
          <w:tcPr>
            <w:tcW w:w="1926" w:type="dxa"/>
            <w:vAlign w:val="center"/>
          </w:tcPr>
          <w:p>
            <w:pPr>
              <w:widowControl/>
              <w:spacing w:line="480" w:lineRule="exact"/>
              <w:ind w:firstLine="480" w:firstLineChars="200"/>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ind w:firstLine="480" w:firstLineChars="200"/>
              <w:jc w:val="left"/>
              <w:rPr>
                <w:rFonts w:ascii="宋体" w:hAnsi="宋体"/>
                <w:bCs/>
                <w:sz w:val="24"/>
                <w:szCs w:val="24"/>
              </w:rPr>
            </w:pPr>
          </w:p>
        </w:tc>
        <w:tc>
          <w:tcPr>
            <w:tcW w:w="1405" w:type="dxa"/>
            <w:vAlign w:val="center"/>
          </w:tcPr>
          <w:p>
            <w:pPr>
              <w:widowControl/>
              <w:spacing w:line="480" w:lineRule="exact"/>
              <w:ind w:firstLine="480" w:firstLineChars="200"/>
              <w:jc w:val="left"/>
              <w:rPr>
                <w:rFonts w:ascii="宋体" w:hAnsi="宋体"/>
                <w:bCs/>
                <w:sz w:val="24"/>
                <w:szCs w:val="24"/>
              </w:rPr>
            </w:pPr>
          </w:p>
        </w:tc>
        <w:tc>
          <w:tcPr>
            <w:tcW w:w="983"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540" w:type="dxa"/>
            <w:vAlign w:val="center"/>
          </w:tcPr>
          <w:p>
            <w:pPr>
              <w:widowControl/>
              <w:spacing w:line="480" w:lineRule="exact"/>
              <w:ind w:firstLine="480" w:firstLineChars="200"/>
              <w:jc w:val="left"/>
              <w:rPr>
                <w:rFonts w:ascii="宋体" w:hAnsi="宋体"/>
                <w:bCs/>
                <w:sz w:val="24"/>
                <w:szCs w:val="24"/>
              </w:rPr>
            </w:pPr>
          </w:p>
        </w:tc>
        <w:tc>
          <w:tcPr>
            <w:tcW w:w="1926" w:type="dxa"/>
            <w:vAlign w:val="center"/>
          </w:tcPr>
          <w:p>
            <w:pPr>
              <w:widowControl/>
              <w:spacing w:line="480" w:lineRule="exact"/>
              <w:ind w:firstLine="480" w:firstLineChars="200"/>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64" w:type="dxa"/>
            <w:vAlign w:val="center"/>
          </w:tcPr>
          <w:p>
            <w:pPr>
              <w:widowControl/>
              <w:spacing w:line="480" w:lineRule="exact"/>
              <w:ind w:firstLine="480" w:firstLineChars="200"/>
              <w:jc w:val="left"/>
              <w:rPr>
                <w:rFonts w:ascii="宋体" w:hAnsi="宋体"/>
                <w:bCs/>
                <w:sz w:val="24"/>
                <w:szCs w:val="24"/>
              </w:rPr>
            </w:pPr>
          </w:p>
        </w:tc>
        <w:tc>
          <w:tcPr>
            <w:tcW w:w="1405" w:type="dxa"/>
            <w:vAlign w:val="center"/>
          </w:tcPr>
          <w:p>
            <w:pPr>
              <w:widowControl/>
              <w:spacing w:line="480" w:lineRule="exact"/>
              <w:ind w:firstLine="480" w:firstLineChars="200"/>
              <w:jc w:val="left"/>
              <w:rPr>
                <w:rFonts w:ascii="宋体" w:hAnsi="宋体"/>
                <w:bCs/>
                <w:sz w:val="24"/>
                <w:szCs w:val="24"/>
              </w:rPr>
            </w:pPr>
          </w:p>
        </w:tc>
        <w:tc>
          <w:tcPr>
            <w:tcW w:w="983"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155" w:type="dxa"/>
            <w:vAlign w:val="center"/>
          </w:tcPr>
          <w:p>
            <w:pPr>
              <w:widowControl/>
              <w:spacing w:line="480" w:lineRule="exact"/>
              <w:ind w:firstLine="480" w:firstLineChars="200"/>
              <w:jc w:val="left"/>
              <w:rPr>
                <w:rFonts w:ascii="宋体" w:hAnsi="宋体"/>
                <w:bCs/>
                <w:sz w:val="24"/>
                <w:szCs w:val="24"/>
              </w:rPr>
            </w:pPr>
          </w:p>
        </w:tc>
        <w:tc>
          <w:tcPr>
            <w:tcW w:w="1540" w:type="dxa"/>
            <w:vAlign w:val="center"/>
          </w:tcPr>
          <w:p>
            <w:pPr>
              <w:widowControl/>
              <w:spacing w:line="480" w:lineRule="exact"/>
              <w:ind w:firstLine="480" w:firstLineChars="200"/>
              <w:jc w:val="left"/>
              <w:rPr>
                <w:rFonts w:ascii="宋体" w:hAnsi="宋体"/>
                <w:bCs/>
                <w:sz w:val="24"/>
                <w:szCs w:val="24"/>
              </w:rPr>
            </w:pPr>
          </w:p>
        </w:tc>
        <w:tc>
          <w:tcPr>
            <w:tcW w:w="1926" w:type="dxa"/>
            <w:vAlign w:val="center"/>
          </w:tcPr>
          <w:p>
            <w:pPr>
              <w:widowControl/>
              <w:spacing w:line="480" w:lineRule="exact"/>
              <w:ind w:firstLine="480" w:firstLineChars="200"/>
              <w:jc w:val="left"/>
              <w:rPr>
                <w:rFonts w:ascii="宋体" w:hAnsi="宋体"/>
                <w:bCs/>
                <w:sz w:val="24"/>
                <w:szCs w:val="24"/>
              </w:rPr>
            </w:pPr>
          </w:p>
        </w:tc>
      </w:tr>
    </w:tbl>
    <w:p>
      <w:pPr>
        <w:widowControl/>
        <w:spacing w:line="480" w:lineRule="exact"/>
        <w:ind w:firstLine="480" w:firstLineChars="200"/>
        <w:jc w:val="left"/>
        <w:rPr>
          <w:rFonts w:ascii="宋体" w:hAnsi="宋体"/>
          <w:bCs/>
          <w:sz w:val="24"/>
          <w:szCs w:val="24"/>
        </w:rPr>
      </w:pPr>
      <w:r>
        <w:rPr>
          <w:rFonts w:hint="eastAsia" w:ascii="宋体" w:hAnsi="宋体"/>
          <w:bCs/>
          <w:sz w:val="24"/>
          <w:szCs w:val="24"/>
        </w:rPr>
        <w:t>三、质   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第三条  货物质量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乙方须提供全新的、未使用过的货物，是目前的型号，其质量、规格及技术特征符合合同附件的要求。产品必须提供出厂合格证。</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货物制造质量出现问题，乙方应负责三包（包修、包换、包退），费用由乙方负责。</w:t>
      </w:r>
    </w:p>
    <w:p>
      <w:pPr>
        <w:widowControl/>
        <w:spacing w:line="480" w:lineRule="exact"/>
        <w:jc w:val="left"/>
        <w:rPr>
          <w:rFonts w:ascii="宋体" w:hAnsi="宋体"/>
          <w:bCs/>
          <w:sz w:val="24"/>
          <w:szCs w:val="24"/>
        </w:rPr>
      </w:pPr>
      <w:r>
        <w:rPr>
          <w:rFonts w:hint="eastAsia" w:ascii="宋体" w:hAnsi="宋体"/>
          <w:bCs/>
          <w:sz w:val="24"/>
          <w:szCs w:val="24"/>
        </w:rPr>
        <w:t>货到现场后由于甲方保管不当造成的质量问题，乙方亦应负责修理，但费用由甲方负担。</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四、交货与验收</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第四条  交货验收、安装调试必须在合同签订并支付预付款完成后30天内交付完成。</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第五条  交货地点：甲方指定地点。</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第六条  由甲方与乙方一起进行到货验收，由乙方免费完成货物的安装调试工作并交付甲方使用。</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第七条  乙方应将所提供货物的装箱清单、用户手册、原厂保修卡、随机资料及配件、随机工具等交付给甲方；乙方不能完整交付货物及本款规定的单证和工具的，视为未按合同约定供货，乙方必须负责补齐，因此导致逾期交付的，由乙方承担相关的违约责任。</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五、合同金额及付款方式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第八条  合同金额</w:t>
      </w:r>
    </w:p>
    <w:p>
      <w:pPr>
        <w:widowControl/>
        <w:spacing w:line="480" w:lineRule="exact"/>
        <w:ind w:firstLine="480" w:firstLineChars="200"/>
        <w:jc w:val="left"/>
        <w:rPr>
          <w:rFonts w:ascii="宋体" w:hAnsi="宋体"/>
          <w:bCs/>
          <w:sz w:val="24"/>
          <w:szCs w:val="24"/>
        </w:rPr>
      </w:pPr>
      <w:r>
        <w:rPr>
          <w:rFonts w:ascii="宋体" w:hAnsi="宋体"/>
          <w:bCs/>
          <w:sz w:val="24"/>
          <w:szCs w:val="24"/>
        </w:rPr>
        <w:t>本合同金额为人民币（大写）                        元整（￥         元）。</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该合同总价是货物设计、材料、制造、包装、运输、安装调试、检测及验收合格之前及质保期内服务及备品备件发生的所有含税费用（包括采购文件第二章采购人需求第四条第5项费用）。本合同执行期间合同总价不变</w:t>
      </w:r>
      <w:r>
        <w:rPr>
          <w:rFonts w:ascii="宋体" w:hAnsi="宋体"/>
          <w:bCs/>
          <w:sz w:val="24"/>
          <w:szCs w:val="24"/>
        </w:rPr>
        <w:t>。</w:t>
      </w:r>
    </w:p>
    <w:p>
      <w:pPr>
        <w:widowControl/>
        <w:numPr>
          <w:ilvl w:val="0"/>
          <w:numId w:val="16"/>
        </w:numPr>
        <w:spacing w:line="480" w:lineRule="exact"/>
        <w:ind w:firstLine="480" w:firstLineChars="200"/>
        <w:jc w:val="left"/>
        <w:rPr>
          <w:rFonts w:ascii="宋体" w:hAnsi="宋体"/>
          <w:bCs/>
          <w:sz w:val="24"/>
          <w:szCs w:val="24"/>
        </w:rPr>
      </w:pPr>
      <w:r>
        <w:rPr>
          <w:rFonts w:ascii="宋体" w:hAnsi="宋体"/>
          <w:bCs/>
          <w:sz w:val="24"/>
          <w:szCs w:val="24"/>
        </w:rPr>
        <w:t xml:space="preserve"> 付款方式</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签订合同后支付定金30%，生产完毕并安装经甲方验收合格后支付合同总价的65%，剩下合同总价的5%作为质保金，质保期到期后一个月内支付完成。</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六、售后服务</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第十条  乙方负责免费送货、上门安装、调试及其他售后服务，对本项目的售后服务作出承诺，并指派专人负责与甲方联系售后服务事宜，具有经过厂家培训及得到认可的维修工程师和售后维修人员。所有货物保修服务方式均为乙方上门保修，由此产生的一切费用均由乙方承担。</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第十一条  乙方所供设备按国家有关产品“三包”规定执行质量“三包”（甲方及其使用人自行拆装设备造成质量问题的除外）。</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第十二条  质保期为 2 年，从产品验收合格之日起计算。</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第十三条  质保期内，乙方免费负责全部合同货物出现的缺陷或故障处理与修复。</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第十四条  在质保期内因乙方责任而产生的质量问题，由其负责无偿返修。不能维修的，整件免费更换。人为原因造成的损坏只收配件费不收人工费。</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第十五条 在质保期内，乙方要保证在接到故障电话后24小时到场，并在12小时内给出修复意见。</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第十六条  质保期结束前，乙方和甲方代表进行一次全面检查，任何缺陷须由乙方或其设备制造商负责修理并提供维修报告。</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七、违约责任</w:t>
      </w:r>
    </w:p>
    <w:p>
      <w:pPr>
        <w:widowControl/>
        <w:spacing w:line="480" w:lineRule="exact"/>
        <w:ind w:firstLine="480" w:firstLineChars="200"/>
        <w:jc w:val="left"/>
        <w:rPr>
          <w:rFonts w:ascii="宋体" w:hAnsi="宋体"/>
          <w:bCs/>
          <w:sz w:val="24"/>
          <w:szCs w:val="24"/>
        </w:rPr>
      </w:pPr>
      <w:r>
        <w:rPr>
          <w:rFonts w:ascii="宋体" w:hAnsi="宋体"/>
          <w:bCs/>
          <w:sz w:val="24"/>
          <w:szCs w:val="24"/>
        </w:rPr>
        <w:t>第十七条  甲方无正当理由拒收货物、拒付货款的，甲方须向乙方交纳合同总价10%的违约金。</w:t>
      </w:r>
    </w:p>
    <w:p>
      <w:pPr>
        <w:widowControl/>
        <w:spacing w:line="480" w:lineRule="exact"/>
        <w:ind w:firstLine="480" w:firstLineChars="200"/>
        <w:jc w:val="left"/>
        <w:rPr>
          <w:rFonts w:ascii="宋体" w:hAnsi="宋体"/>
          <w:bCs/>
          <w:sz w:val="24"/>
          <w:szCs w:val="24"/>
        </w:rPr>
      </w:pPr>
      <w:r>
        <w:rPr>
          <w:rFonts w:ascii="宋体" w:hAnsi="宋体"/>
          <w:bCs/>
          <w:sz w:val="24"/>
          <w:szCs w:val="24"/>
        </w:rPr>
        <w:t xml:space="preserve">第十八条  </w:t>
      </w:r>
      <w:r>
        <w:rPr>
          <w:rFonts w:hint="eastAsia" w:ascii="宋体" w:hAnsi="宋体"/>
          <w:bCs/>
          <w:sz w:val="24"/>
          <w:szCs w:val="24"/>
        </w:rPr>
        <w:t>甲方逾期支付货款的，甲方须每日以欠款总额0.8‰的标准向乙方交纳违约金，累计不超过欠款总额的10%</w:t>
      </w:r>
      <w:r>
        <w:rPr>
          <w:rFonts w:ascii="宋体" w:hAnsi="宋体"/>
          <w:bCs/>
          <w:sz w:val="24"/>
          <w:szCs w:val="24"/>
        </w:rPr>
        <w:t xml:space="preserve"> 。</w:t>
      </w:r>
    </w:p>
    <w:p>
      <w:pPr>
        <w:widowControl/>
        <w:spacing w:line="480" w:lineRule="exact"/>
        <w:ind w:firstLine="480" w:firstLineChars="200"/>
        <w:jc w:val="left"/>
        <w:rPr>
          <w:rFonts w:ascii="宋体" w:hAnsi="宋体"/>
          <w:bCs/>
          <w:sz w:val="24"/>
          <w:szCs w:val="24"/>
        </w:rPr>
      </w:pPr>
      <w:r>
        <w:rPr>
          <w:rFonts w:ascii="宋体" w:hAnsi="宋体"/>
          <w:bCs/>
          <w:sz w:val="24"/>
          <w:szCs w:val="24"/>
        </w:rPr>
        <w:t xml:space="preserve">第十九条  </w:t>
      </w:r>
      <w:r>
        <w:rPr>
          <w:rFonts w:hint="eastAsia" w:ascii="宋体" w:hAnsi="宋体"/>
          <w:bCs/>
          <w:sz w:val="24"/>
          <w:szCs w:val="24"/>
        </w:rPr>
        <w:t>乙方逾期10天未交付货物视为乙方不能交付货物。乙方不能交付货物，须向甲方交纳合同总价10%的违约金，并退回甲方已支付的全部费用</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ascii="宋体" w:hAnsi="宋体"/>
          <w:bCs/>
          <w:sz w:val="24"/>
          <w:szCs w:val="24"/>
        </w:rPr>
        <w:t xml:space="preserve">第二十条  </w:t>
      </w:r>
      <w:r>
        <w:rPr>
          <w:rFonts w:hint="eastAsia" w:ascii="宋体" w:hAnsi="宋体"/>
          <w:bCs/>
          <w:sz w:val="24"/>
          <w:szCs w:val="24"/>
        </w:rPr>
        <w:t>乙方逾期交付货物的，乙方须每日以逾期交货部分货款总额0.8‰的标准向甲方交纳违约金，累计不超过逾期交货部分货款总额的10 %，逾期交货超过10天，甲方有权终止合同，乙方应退回甲方已支付的全部费用，并按合同总价的10%向甲方支付违约金</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ascii="宋体" w:hAnsi="宋体"/>
          <w:bCs/>
          <w:sz w:val="24"/>
          <w:szCs w:val="24"/>
        </w:rPr>
        <w:t xml:space="preserve">第二十一条  </w:t>
      </w:r>
      <w:r>
        <w:rPr>
          <w:rFonts w:hint="eastAsia" w:ascii="宋体" w:hAnsi="宋体"/>
          <w:bCs/>
          <w:sz w:val="24"/>
          <w:szCs w:val="24"/>
        </w:rPr>
        <w:t>乙方逾期交付货物的，乙方须每日以逾期交货部分货款总额0.8‰的标准向甲方交纳违约金，累计不超过逾期交货部分货款总额的10 %，逾期交货超过10天，甲方有权终止合同，乙方应退回甲方已支付的全部费用，并按合同总价的10%向甲方支付违约金</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ascii="宋体" w:hAnsi="宋体"/>
          <w:bCs/>
          <w:sz w:val="24"/>
          <w:szCs w:val="24"/>
        </w:rPr>
        <w:t xml:space="preserve">第二十二条  </w:t>
      </w:r>
      <w:r>
        <w:rPr>
          <w:rFonts w:hint="eastAsia" w:ascii="宋体" w:hAnsi="宋体"/>
          <w:bCs/>
          <w:sz w:val="24"/>
          <w:szCs w:val="24"/>
        </w:rPr>
        <w:t>乙方所交付产品的型号、规格、数量和质量不符合合同规定标准的，甲方有权拒收，并按本合同第十九条处理</w:t>
      </w:r>
      <w:r>
        <w:rPr>
          <w:rFonts w:ascii="宋体" w:hAnsi="宋体"/>
          <w:bCs/>
          <w:sz w:val="24"/>
          <w:szCs w:val="24"/>
        </w:rPr>
        <w:t>。</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八、不可抗力</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第二十三条  由于不可预见、不可避免、不可克服等不可抗力的原因，一方不能履行合同义务的，应当在不可抗力发生之日起20天内以书面形式通知对方，证明不可抗力事件的存在。</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第二十四条  不可抗力事件发生后，甲方和乙方应当积极寻求以合理的方式履行本合同。如不可抗力无法消除，致使合同目的无法实现的，双方均有权解除合同，且均不互相索赔。</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九、争议及解决办法</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第二十五条  因货物的质量问题发生争议，由广州市质量技术监督局或其指定的质量鉴定单位进行质量鉴定。货物符合质量标准的，鉴定费由甲方承担；货物不符合质量标准的，鉴定费由乙方承担。</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第二十六条  本合同发生争议，由双方协商或由采购监管部门调解解决，协商或调解不成时按以下第2种方式解决：</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 xml:space="preserve">1.广州仲裁委员会仲裁； </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2.向甲方所在地人民法院提起诉讼。</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十、其   他</w:t>
      </w:r>
    </w:p>
    <w:p>
      <w:pPr>
        <w:widowControl/>
        <w:spacing w:line="480" w:lineRule="exact"/>
        <w:ind w:firstLine="480" w:firstLineChars="200"/>
        <w:jc w:val="left"/>
        <w:rPr>
          <w:rFonts w:ascii="宋体" w:hAnsi="宋体"/>
          <w:bCs/>
          <w:sz w:val="24"/>
          <w:szCs w:val="24"/>
        </w:rPr>
      </w:pPr>
      <w:r>
        <w:rPr>
          <w:rFonts w:hint="eastAsia" w:ascii="宋体" w:hAnsi="宋体"/>
          <w:bCs/>
          <w:sz w:val="24"/>
          <w:szCs w:val="24"/>
        </w:rPr>
        <w:t>第二十七条  本合同一式陆份，具有同等效力，甲方执伍份、乙方执壹份。合同自双方签字盖章之日起生效。</w:t>
      </w:r>
    </w:p>
    <w:p>
      <w:pPr>
        <w:widowControl/>
        <w:spacing w:line="480" w:lineRule="exact"/>
        <w:jc w:val="left"/>
        <w:rPr>
          <w:rFonts w:ascii="宋体" w:hAnsi="宋体"/>
          <w:bCs/>
          <w:sz w:val="24"/>
          <w:szCs w:val="24"/>
        </w:rPr>
      </w:pPr>
      <w:r>
        <w:rPr>
          <w:rFonts w:hint="eastAsia" w:ascii="宋体" w:hAnsi="宋体"/>
          <w:bCs/>
          <w:sz w:val="24"/>
          <w:szCs w:val="24"/>
        </w:rPr>
        <w:t>第二十八条  本合同未尽事宜，由双方协商处理。</w:t>
      </w:r>
    </w:p>
    <w:p>
      <w:pPr>
        <w:widowControl/>
        <w:spacing w:line="480" w:lineRule="exact"/>
        <w:jc w:val="left"/>
        <w:rPr>
          <w:rFonts w:ascii="宋体" w:hAnsi="宋体"/>
          <w:bCs/>
          <w:sz w:val="24"/>
          <w:szCs w:val="24"/>
        </w:rPr>
      </w:pPr>
    </w:p>
    <w:tbl>
      <w:tblPr>
        <w:tblStyle w:val="18"/>
        <w:tblW w:w="9072" w:type="dxa"/>
        <w:jc w:val="center"/>
        <w:tblLayout w:type="fixed"/>
        <w:tblCellMar>
          <w:top w:w="0" w:type="dxa"/>
          <w:left w:w="108" w:type="dxa"/>
          <w:bottom w:w="0" w:type="dxa"/>
          <w:right w:w="108" w:type="dxa"/>
        </w:tblCellMar>
      </w:tblPr>
      <w:tblGrid>
        <w:gridCol w:w="1390"/>
        <w:gridCol w:w="3146"/>
        <w:gridCol w:w="1390"/>
        <w:gridCol w:w="3146"/>
      </w:tblGrid>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甲方：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乙方：</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（盖章）</w:t>
            </w: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签约代表：</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地    址：</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电    话：</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传    真：</w:t>
            </w:r>
          </w:p>
        </w:tc>
        <w:tc>
          <w:tcPr>
            <w:tcW w:w="3146" w:type="dxa"/>
          </w:tcPr>
          <w:p>
            <w:pPr>
              <w:widowControl/>
              <w:spacing w:line="480" w:lineRule="exact"/>
              <w:jc w:val="left"/>
              <w:rPr>
                <w:rFonts w:ascii="宋体" w:hAnsi="宋体"/>
                <w:bCs/>
                <w:sz w:val="24"/>
                <w:szCs w:val="24"/>
              </w:rPr>
            </w:pPr>
          </w:p>
        </w:tc>
      </w:tr>
      <w:tr>
        <w:tblPrEx>
          <w:tblCellMar>
            <w:top w:w="0" w:type="dxa"/>
            <w:left w:w="108" w:type="dxa"/>
            <w:bottom w:w="0" w:type="dxa"/>
            <w:right w:w="108" w:type="dxa"/>
          </w:tblCellMar>
        </w:tblPrEx>
        <w:trPr>
          <w:trHeight w:val="567" w:hRule="atLeast"/>
          <w:jc w:val="center"/>
        </w:trPr>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c>
          <w:tcPr>
            <w:tcW w:w="1390" w:type="dxa"/>
          </w:tcPr>
          <w:p>
            <w:pPr>
              <w:widowControl/>
              <w:spacing w:line="480" w:lineRule="exact"/>
              <w:jc w:val="left"/>
              <w:rPr>
                <w:rFonts w:ascii="宋体" w:hAnsi="宋体"/>
                <w:bCs/>
                <w:sz w:val="24"/>
                <w:szCs w:val="24"/>
              </w:rPr>
            </w:pPr>
            <w:r>
              <w:rPr>
                <w:rFonts w:hint="eastAsia" w:ascii="宋体" w:hAnsi="宋体"/>
                <w:bCs/>
                <w:sz w:val="24"/>
                <w:szCs w:val="24"/>
              </w:rPr>
              <w:t>签约日期：</w:t>
            </w:r>
          </w:p>
        </w:tc>
        <w:tc>
          <w:tcPr>
            <w:tcW w:w="3146" w:type="dxa"/>
          </w:tcPr>
          <w:p>
            <w:pPr>
              <w:widowControl/>
              <w:spacing w:line="480" w:lineRule="exact"/>
              <w:jc w:val="left"/>
              <w:rPr>
                <w:rFonts w:ascii="宋体" w:hAnsi="宋体"/>
                <w:bCs/>
                <w:sz w:val="24"/>
                <w:szCs w:val="24"/>
              </w:rPr>
            </w:pPr>
            <w:r>
              <w:rPr>
                <w:rFonts w:hint="eastAsia" w:ascii="宋体" w:hAnsi="宋体"/>
                <w:bCs/>
                <w:sz w:val="24"/>
                <w:szCs w:val="24"/>
              </w:rPr>
              <w:t xml:space="preserve">  年   月   日</w:t>
            </w:r>
          </w:p>
        </w:tc>
      </w:tr>
    </w:tbl>
    <w:p>
      <w:pPr>
        <w:widowControl/>
        <w:spacing w:line="360" w:lineRule="auto"/>
        <w:jc w:val="left"/>
        <w:rPr>
          <w:sz w:val="44"/>
        </w:rPr>
      </w:pPr>
      <w:r>
        <w:rPr>
          <w:rFonts w:ascii="宋体" w:hAnsi="宋体"/>
          <w:b/>
          <w:sz w:val="24"/>
          <w:szCs w:val="24"/>
        </w:rPr>
        <w:br w:type="page"/>
      </w:r>
    </w:p>
    <w:p>
      <w:pPr>
        <w:rPr>
          <w:sz w:val="44"/>
        </w:rPr>
      </w:pPr>
    </w:p>
    <w:p>
      <w:pPr>
        <w:pStyle w:val="7"/>
        <w:rPr>
          <w:rFonts w:ascii="宋体" w:hAnsi="宋体"/>
          <w:b/>
          <w:sz w:val="28"/>
          <w:szCs w:val="28"/>
        </w:rPr>
      </w:pPr>
    </w:p>
    <w:p>
      <w:pPr>
        <w:rPr>
          <w:rFonts w:ascii="宋体" w:hAnsi="宋体"/>
          <w:b/>
          <w:szCs w:val="28"/>
        </w:rPr>
      </w:pPr>
    </w:p>
    <w:p>
      <w:pPr>
        <w:pStyle w:val="7"/>
        <w:rPr>
          <w:rFonts w:ascii="宋体" w:hAnsi="宋体"/>
          <w:b/>
          <w:sz w:val="28"/>
          <w:szCs w:val="28"/>
        </w:rPr>
      </w:pPr>
    </w:p>
    <w:p>
      <w:pPr>
        <w:rPr>
          <w:rFonts w:ascii="宋体" w:hAnsi="宋体"/>
          <w:b/>
          <w:szCs w:val="28"/>
        </w:rPr>
      </w:pPr>
    </w:p>
    <w:p>
      <w:pPr>
        <w:pStyle w:val="7"/>
        <w:rPr>
          <w:sz w:val="44"/>
        </w:rPr>
      </w:pPr>
    </w:p>
    <w:p>
      <w:pPr>
        <w:rPr>
          <w:sz w:val="44"/>
        </w:rPr>
      </w:pPr>
    </w:p>
    <w:p>
      <w:pPr>
        <w:pStyle w:val="7"/>
        <w:rPr>
          <w:sz w:val="44"/>
        </w:rPr>
      </w:pPr>
    </w:p>
    <w:p>
      <w:pPr>
        <w:rPr>
          <w:sz w:val="44"/>
        </w:rPr>
      </w:pPr>
    </w:p>
    <w:p>
      <w:pPr>
        <w:pStyle w:val="7"/>
        <w:rPr>
          <w:sz w:val="44"/>
        </w:rPr>
      </w:pPr>
    </w:p>
    <w:p>
      <w:pPr>
        <w:rPr>
          <w:sz w:val="44"/>
        </w:rPr>
      </w:pPr>
    </w:p>
    <w:p>
      <w:pPr>
        <w:pStyle w:val="7"/>
      </w:pPr>
    </w:p>
    <w:p>
      <w:pPr>
        <w:pStyle w:val="3"/>
        <w:ind w:right="-28" w:rightChars="-10"/>
        <w:rPr>
          <w:rFonts w:hint="eastAsia"/>
          <w:sz w:val="44"/>
        </w:rPr>
      </w:pPr>
      <w:bookmarkStart w:id="88" w:name="_Toc1438"/>
      <w:bookmarkStart w:id="89" w:name="_Toc3559"/>
      <w:bookmarkStart w:id="90" w:name="_Toc12439"/>
      <w:bookmarkStart w:id="91" w:name="_Toc19933"/>
      <w:bookmarkStart w:id="92" w:name="_Toc27239"/>
      <w:bookmarkStart w:id="93" w:name="_Toc15675"/>
      <w:bookmarkStart w:id="94" w:name="_Toc16005"/>
      <w:bookmarkStart w:id="95" w:name="_Toc6935"/>
      <w:bookmarkStart w:id="96" w:name="_Toc3098"/>
      <w:bookmarkStart w:id="97" w:name="_Toc24328"/>
      <w:bookmarkStart w:id="98" w:name="_Toc458796007"/>
    </w:p>
    <w:p>
      <w:pPr>
        <w:pStyle w:val="3"/>
        <w:ind w:right="-28" w:rightChars="-10"/>
        <w:rPr>
          <w:sz w:val="44"/>
        </w:rPr>
      </w:pPr>
      <w:r>
        <w:rPr>
          <w:rFonts w:hint="eastAsia"/>
          <w:sz w:val="44"/>
        </w:rPr>
        <w:t>第五章  附  件（格式）</w:t>
      </w:r>
      <w:bookmarkEnd w:id="84"/>
      <w:bookmarkEnd w:id="85"/>
      <w:bookmarkEnd w:id="88"/>
      <w:bookmarkEnd w:id="89"/>
      <w:bookmarkEnd w:id="90"/>
      <w:bookmarkEnd w:id="91"/>
      <w:bookmarkEnd w:id="92"/>
      <w:bookmarkEnd w:id="93"/>
      <w:bookmarkEnd w:id="94"/>
      <w:bookmarkEnd w:id="95"/>
      <w:bookmarkEnd w:id="96"/>
      <w:bookmarkEnd w:id="97"/>
      <w:bookmarkEnd w:id="98"/>
    </w:p>
    <w:p>
      <w:pPr>
        <w:rPr>
          <w:bCs/>
          <w:sz w:val="24"/>
        </w:rPr>
      </w:pPr>
    </w:p>
    <w:p>
      <w:pPr>
        <w:spacing w:line="360" w:lineRule="auto"/>
        <w:rPr>
          <w:rFonts w:ascii="宋体" w:hAnsi="宋体"/>
        </w:rPr>
      </w:pPr>
    </w:p>
    <w:p>
      <w:pPr>
        <w:pStyle w:val="9"/>
        <w:tabs>
          <w:tab w:val="left" w:pos="1260"/>
        </w:tabs>
        <w:adjustRightInd w:val="0"/>
        <w:snapToGrid w:val="0"/>
        <w:spacing w:line="360" w:lineRule="auto"/>
        <w:jc w:val="center"/>
        <w:rPr>
          <w:rFonts w:hAnsi="宋体"/>
          <w:b/>
          <w:spacing w:val="100"/>
          <w:w w:val="110"/>
          <w:sz w:val="48"/>
          <w:szCs w:val="48"/>
        </w:rPr>
      </w:pPr>
      <w:r>
        <w:rPr>
          <w:sz w:val="44"/>
        </w:rPr>
        <w:br w:type="page"/>
      </w:r>
      <w:bookmarkEnd w:id="86"/>
      <w:bookmarkEnd w:id="87"/>
      <w:bookmarkStart w:id="99" w:name="_Toc14450838"/>
      <w:bookmarkStart w:id="100" w:name="_Toc34535358"/>
      <w:bookmarkStart w:id="101" w:name="_Toc35834912"/>
      <w:bookmarkStart w:id="102" w:name="_Toc109467908"/>
      <w:bookmarkStart w:id="103" w:name="_Toc28489496"/>
    </w:p>
    <w:p>
      <w:pPr>
        <w:pStyle w:val="9"/>
        <w:tabs>
          <w:tab w:val="left" w:pos="1260"/>
        </w:tabs>
        <w:adjustRightInd w:val="0"/>
        <w:snapToGrid w:val="0"/>
        <w:spacing w:line="360" w:lineRule="auto"/>
        <w:jc w:val="center"/>
        <w:rPr>
          <w:rFonts w:hAnsi="宋体"/>
          <w:b/>
          <w:spacing w:val="100"/>
          <w:w w:val="110"/>
          <w:sz w:val="48"/>
          <w:szCs w:val="48"/>
        </w:rPr>
      </w:pPr>
    </w:p>
    <w:p>
      <w:pPr>
        <w:pStyle w:val="9"/>
        <w:tabs>
          <w:tab w:val="left" w:pos="1260"/>
        </w:tabs>
        <w:adjustRightInd w:val="0"/>
        <w:snapToGrid w:val="0"/>
        <w:spacing w:line="360" w:lineRule="auto"/>
        <w:jc w:val="center"/>
        <w:rPr>
          <w:rFonts w:hAnsi="宋体"/>
          <w:b/>
          <w:spacing w:val="100"/>
          <w:w w:val="110"/>
          <w:sz w:val="48"/>
          <w:szCs w:val="48"/>
        </w:rPr>
      </w:pPr>
    </w:p>
    <w:p>
      <w:pPr>
        <w:pStyle w:val="9"/>
        <w:tabs>
          <w:tab w:val="left" w:pos="1260"/>
        </w:tabs>
        <w:adjustRightInd w:val="0"/>
        <w:snapToGrid w:val="0"/>
        <w:spacing w:line="360" w:lineRule="auto"/>
        <w:jc w:val="center"/>
        <w:rPr>
          <w:rFonts w:hAnsi="宋体"/>
          <w:b/>
          <w:spacing w:val="100"/>
          <w:w w:val="110"/>
          <w:sz w:val="48"/>
          <w:szCs w:val="48"/>
        </w:rPr>
      </w:pPr>
      <w:r>
        <w:rPr>
          <w:rFonts w:hint="eastAsia" w:hAnsi="宋体"/>
          <w:b/>
          <w:spacing w:val="100"/>
          <w:w w:val="110"/>
          <w:sz w:val="48"/>
          <w:szCs w:val="48"/>
        </w:rPr>
        <w:t>投标文件</w:t>
      </w:r>
    </w:p>
    <w:p>
      <w:pPr>
        <w:pStyle w:val="9"/>
        <w:adjustRightInd w:val="0"/>
        <w:snapToGrid w:val="0"/>
        <w:spacing w:line="360" w:lineRule="auto"/>
        <w:jc w:val="center"/>
        <w:rPr>
          <w:rFonts w:hAnsi="宋体"/>
          <w:b/>
          <w:sz w:val="48"/>
          <w:szCs w:val="48"/>
        </w:rPr>
      </w:pPr>
      <w:r>
        <w:rPr>
          <w:rFonts w:hint="eastAsia" w:hAnsi="宋体"/>
          <w:b/>
          <w:sz w:val="48"/>
          <w:szCs w:val="48"/>
        </w:rPr>
        <w:t>（正本/副本）</w:t>
      </w:r>
    </w:p>
    <w:p>
      <w:pPr>
        <w:pStyle w:val="9"/>
        <w:adjustRightInd w:val="0"/>
        <w:snapToGrid w:val="0"/>
        <w:spacing w:line="360" w:lineRule="auto"/>
        <w:rPr>
          <w:rFonts w:hAnsi="宋体"/>
          <w:b/>
          <w:szCs w:val="28"/>
        </w:rPr>
      </w:pPr>
    </w:p>
    <w:p>
      <w:pPr>
        <w:pStyle w:val="9"/>
        <w:adjustRightInd w:val="0"/>
        <w:snapToGrid w:val="0"/>
        <w:spacing w:line="360" w:lineRule="auto"/>
        <w:jc w:val="center"/>
        <w:rPr>
          <w:rFonts w:hAnsi="宋体"/>
          <w:b/>
          <w:szCs w:val="28"/>
        </w:rPr>
      </w:pPr>
    </w:p>
    <w:p>
      <w:pPr>
        <w:pStyle w:val="9"/>
        <w:adjustRightInd w:val="0"/>
        <w:snapToGrid w:val="0"/>
        <w:spacing w:line="360" w:lineRule="auto"/>
        <w:ind w:firstLine="829" w:firstLineChars="393"/>
        <w:rPr>
          <w:rFonts w:hAnsi="宋体"/>
          <w:b/>
          <w:szCs w:val="28"/>
          <w:u w:val="single"/>
        </w:rPr>
      </w:pPr>
      <w:r>
        <w:rPr>
          <w:rFonts w:hint="eastAsia" w:hAnsi="宋体"/>
          <w:b/>
          <w:szCs w:val="28"/>
        </w:rPr>
        <w:t>项目编号：</w:t>
      </w:r>
      <w:r>
        <w:rPr>
          <w:rFonts w:hint="eastAsia" w:hAnsi="宋体"/>
          <w:b/>
          <w:szCs w:val="28"/>
          <w:u w:val="single"/>
        </w:rPr>
        <w:t xml:space="preserve">                                   </w:t>
      </w:r>
    </w:p>
    <w:p>
      <w:pPr>
        <w:pStyle w:val="8"/>
        <w:adjustRightInd w:val="0"/>
        <w:snapToGrid w:val="0"/>
        <w:spacing w:line="360" w:lineRule="auto"/>
        <w:ind w:firstLine="843" w:firstLineChars="300"/>
        <w:rPr>
          <w:rFonts w:ascii="宋体" w:hAnsi="宋体"/>
          <w:b/>
          <w:szCs w:val="28"/>
        </w:rPr>
      </w:pPr>
      <w:r>
        <w:rPr>
          <w:rFonts w:hint="eastAsia" w:ascii="宋体" w:hAnsi="宋体"/>
          <w:b/>
          <w:szCs w:val="28"/>
        </w:rPr>
        <w:t>项目名称：</w:t>
      </w:r>
      <w:r>
        <w:rPr>
          <w:rFonts w:hint="eastAsia" w:ascii="宋体" w:hAnsi="宋体"/>
          <w:b/>
          <w:szCs w:val="28"/>
          <w:u w:val="single"/>
        </w:rPr>
        <w:t xml:space="preserve">                                   </w:t>
      </w:r>
    </w:p>
    <w:p>
      <w:pPr>
        <w:pStyle w:val="9"/>
        <w:adjustRightInd w:val="0"/>
        <w:snapToGrid w:val="0"/>
        <w:spacing w:line="360" w:lineRule="auto"/>
        <w:ind w:firstLine="632" w:firstLineChars="300"/>
        <w:rPr>
          <w:rFonts w:hAnsi="宋体"/>
          <w:b/>
          <w:szCs w:val="28"/>
        </w:rPr>
      </w:pPr>
    </w:p>
    <w:p>
      <w:pPr>
        <w:pStyle w:val="9"/>
        <w:adjustRightInd w:val="0"/>
        <w:snapToGrid w:val="0"/>
        <w:spacing w:line="360" w:lineRule="auto"/>
        <w:ind w:firstLine="632" w:firstLineChars="300"/>
        <w:rPr>
          <w:rFonts w:hAnsi="宋体"/>
          <w:b/>
          <w:szCs w:val="28"/>
        </w:rPr>
      </w:pPr>
    </w:p>
    <w:p>
      <w:pPr>
        <w:pStyle w:val="9"/>
        <w:adjustRightInd w:val="0"/>
        <w:snapToGrid w:val="0"/>
        <w:spacing w:line="360" w:lineRule="auto"/>
        <w:ind w:firstLine="632" w:firstLineChars="300"/>
        <w:rPr>
          <w:rFonts w:hAnsi="宋体"/>
          <w:b/>
          <w:szCs w:val="28"/>
        </w:rPr>
      </w:pPr>
    </w:p>
    <w:p>
      <w:pPr>
        <w:pStyle w:val="9"/>
        <w:adjustRightInd w:val="0"/>
        <w:snapToGrid w:val="0"/>
        <w:spacing w:line="360" w:lineRule="auto"/>
        <w:ind w:firstLine="632" w:firstLineChars="300"/>
        <w:rPr>
          <w:rFonts w:hAnsi="宋体"/>
          <w:b/>
          <w:szCs w:val="28"/>
        </w:rPr>
      </w:pPr>
    </w:p>
    <w:p>
      <w:pPr>
        <w:pStyle w:val="9"/>
        <w:adjustRightInd w:val="0"/>
        <w:snapToGrid w:val="0"/>
        <w:spacing w:line="360" w:lineRule="auto"/>
        <w:ind w:firstLine="632" w:firstLineChars="300"/>
        <w:rPr>
          <w:rFonts w:hAnsi="宋体"/>
          <w:b/>
          <w:szCs w:val="28"/>
        </w:rPr>
      </w:pPr>
    </w:p>
    <w:p>
      <w:pPr>
        <w:pStyle w:val="9"/>
        <w:adjustRightInd w:val="0"/>
        <w:snapToGrid w:val="0"/>
        <w:spacing w:line="360" w:lineRule="auto"/>
        <w:ind w:firstLine="632" w:firstLineChars="300"/>
        <w:rPr>
          <w:rFonts w:hAnsi="宋体"/>
          <w:b/>
          <w:szCs w:val="28"/>
        </w:rPr>
      </w:pPr>
    </w:p>
    <w:p>
      <w:pPr>
        <w:spacing w:line="380" w:lineRule="exact"/>
        <w:ind w:firstLine="560" w:firstLineChars="200"/>
        <w:rPr>
          <w:rFonts w:ascii="宋体" w:hAnsi="宋体"/>
          <w:szCs w:val="28"/>
          <w:u w:val="single"/>
        </w:rPr>
      </w:pPr>
      <w:r>
        <w:rPr>
          <w:rFonts w:hint="eastAsia" w:ascii="宋体" w:hAnsi="宋体"/>
          <w:szCs w:val="28"/>
        </w:rPr>
        <w:t>投标人名称：</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投标人地址：</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联</w:t>
      </w:r>
      <w:r>
        <w:rPr>
          <w:rFonts w:ascii="宋体" w:hAnsi="宋体"/>
          <w:szCs w:val="28"/>
        </w:rPr>
        <w:t xml:space="preserve"> 系 人：</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联系电话：</w:t>
      </w:r>
      <w:r>
        <w:rPr>
          <w:rFonts w:hint="eastAsia" w:ascii="宋体" w:hAnsi="宋体"/>
          <w:szCs w:val="28"/>
          <w:u w:val="single"/>
        </w:rPr>
        <w:t xml:space="preserve">                                       </w:t>
      </w:r>
    </w:p>
    <w:p>
      <w:pPr>
        <w:spacing w:line="380" w:lineRule="exact"/>
        <w:ind w:firstLine="560" w:firstLineChars="200"/>
        <w:rPr>
          <w:rFonts w:ascii="宋体" w:hAnsi="宋体"/>
          <w:szCs w:val="28"/>
        </w:rPr>
      </w:pPr>
      <w:r>
        <w:rPr>
          <w:rFonts w:hint="eastAsia" w:ascii="宋体" w:hAnsi="宋体"/>
          <w:szCs w:val="28"/>
        </w:rPr>
        <w:t>传真电话（或电子邮箱）：</w:t>
      </w:r>
      <w:r>
        <w:rPr>
          <w:rFonts w:hint="eastAsia" w:ascii="宋体" w:hAnsi="宋体"/>
          <w:szCs w:val="28"/>
          <w:u w:val="single"/>
        </w:rPr>
        <w:t xml:space="preserve">                          </w:t>
      </w:r>
    </w:p>
    <w:p>
      <w:pPr>
        <w:spacing w:line="360" w:lineRule="auto"/>
        <w:ind w:firstLine="560" w:firstLineChars="200"/>
        <w:rPr>
          <w:szCs w:val="30"/>
        </w:rPr>
      </w:pPr>
      <w:r>
        <w:rPr>
          <w:rFonts w:hint="eastAsia" w:ascii="宋体" w:hAnsi="宋体"/>
          <w:szCs w:val="28"/>
        </w:rPr>
        <w:t xml:space="preserve">日期：                                             </w:t>
      </w:r>
      <w:r>
        <w:rPr>
          <w:szCs w:val="28"/>
        </w:rPr>
        <w:br w:type="page"/>
      </w:r>
    </w:p>
    <w:bookmarkEnd w:id="99"/>
    <w:bookmarkEnd w:id="100"/>
    <w:bookmarkEnd w:id="101"/>
    <w:bookmarkEnd w:id="102"/>
    <w:bookmarkEnd w:id="103"/>
    <w:p>
      <w:pPr>
        <w:pStyle w:val="4"/>
        <w:tabs>
          <w:tab w:val="left" w:pos="630"/>
        </w:tabs>
        <w:adjustRightInd/>
        <w:spacing w:before="48" w:after="48"/>
        <w:jc w:val="center"/>
        <w:textAlignment w:val="auto"/>
        <w:rPr>
          <w:bCs/>
        </w:rPr>
      </w:pPr>
      <w:bookmarkStart w:id="104" w:name="_Toc109467925"/>
      <w:bookmarkStart w:id="105" w:name="_Toc35417431"/>
      <w:r>
        <w:rPr>
          <w:rFonts w:hint="eastAsia"/>
          <w:bCs/>
        </w:rPr>
        <w:t>投标文件目录表</w:t>
      </w:r>
    </w:p>
    <w:p>
      <w:pPr>
        <w:adjustRightInd w:val="0"/>
        <w:spacing w:line="264" w:lineRule="auto"/>
        <w:rPr>
          <w:rFonts w:ascii="宋体" w:hAnsi="宋体"/>
          <w:b/>
          <w:sz w:val="24"/>
          <w:szCs w:val="24"/>
        </w:rPr>
      </w:pPr>
      <w:r>
        <w:rPr>
          <w:rFonts w:hint="eastAsia" w:ascii="宋体" w:hAnsi="宋体"/>
          <w:b/>
          <w:sz w:val="24"/>
          <w:szCs w:val="24"/>
        </w:rPr>
        <w:t>说明：1、投标文件包括但不限于以下组成内容，请按顺序制作。</w:t>
      </w:r>
    </w:p>
    <w:p>
      <w:pPr>
        <w:adjustRightInd w:val="0"/>
        <w:spacing w:line="264" w:lineRule="auto"/>
        <w:ind w:firstLine="826" w:firstLineChars="343"/>
        <w:rPr>
          <w:rFonts w:ascii="宋体" w:hAnsi="宋体"/>
          <w:b/>
          <w:sz w:val="24"/>
          <w:szCs w:val="24"/>
        </w:rPr>
      </w:pPr>
      <w:r>
        <w:rPr>
          <w:rFonts w:hint="eastAsia" w:ascii="宋体" w:hAnsi="宋体"/>
          <w:b/>
          <w:sz w:val="24"/>
          <w:szCs w:val="24"/>
        </w:rPr>
        <w:t>2、投标人编制投标文件中的项目编号应为NSSD-YY-2021001。</w:t>
      </w:r>
    </w:p>
    <w:p>
      <w:pPr>
        <w:adjustRightInd w:val="0"/>
        <w:spacing w:line="264" w:lineRule="auto"/>
        <w:jc w:val="center"/>
        <w:outlineLvl w:val="2"/>
        <w:rPr>
          <w:rFonts w:ascii="宋体" w:hAnsi="宋体"/>
          <w:b/>
          <w:sz w:val="24"/>
          <w:szCs w:val="24"/>
        </w:rPr>
      </w:pPr>
      <w:r>
        <w:rPr>
          <w:rFonts w:hint="eastAsia" w:ascii="宋体" w:hAnsi="宋体"/>
          <w:b/>
          <w:sz w:val="24"/>
          <w:szCs w:val="24"/>
        </w:rPr>
        <w:t>价格评审自查表</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top w:val="single" w:color="auto" w:sz="12" w:space="0"/>
              <w:left w:val="single" w:color="auto" w:sz="12" w:space="0"/>
              <w:bottom w:val="single" w:color="auto" w:sz="4" w:space="0"/>
              <w:right w:val="single" w:color="auto" w:sz="4" w:space="0"/>
            </w:tcBorders>
            <w:vAlign w:val="center"/>
          </w:tcPr>
          <w:p>
            <w:pPr>
              <w:adjustRightInd w:val="0"/>
              <w:spacing w:line="264" w:lineRule="auto"/>
              <w:jc w:val="center"/>
              <w:rPr>
                <w:rFonts w:ascii="宋体" w:hAnsi="宋体"/>
                <w:b/>
                <w:sz w:val="24"/>
                <w:szCs w:val="24"/>
              </w:rPr>
            </w:pPr>
            <w:r>
              <w:rPr>
                <w:rFonts w:hint="eastAsia" w:ascii="宋体" w:hAnsi="宋体"/>
                <w:b/>
                <w:sz w:val="24"/>
                <w:szCs w:val="24"/>
              </w:rPr>
              <w:t>序号</w:t>
            </w:r>
          </w:p>
        </w:tc>
        <w:tc>
          <w:tcPr>
            <w:tcW w:w="6662" w:type="dxa"/>
            <w:tcBorders>
              <w:top w:val="single" w:color="auto" w:sz="12" w:space="0"/>
              <w:left w:val="single" w:color="auto" w:sz="4" w:space="0"/>
              <w:bottom w:val="single" w:color="auto" w:sz="4" w:space="0"/>
              <w:right w:val="single" w:color="auto" w:sz="4" w:space="0"/>
            </w:tcBorders>
            <w:vAlign w:val="center"/>
          </w:tcPr>
          <w:p>
            <w:pPr>
              <w:adjustRightInd w:val="0"/>
              <w:spacing w:line="264" w:lineRule="auto"/>
              <w:jc w:val="center"/>
              <w:rPr>
                <w:rFonts w:ascii="宋体" w:hAnsi="宋体"/>
                <w:b/>
                <w:sz w:val="24"/>
                <w:szCs w:val="24"/>
              </w:rPr>
            </w:pPr>
            <w:r>
              <w:rPr>
                <w:rFonts w:hint="eastAsia" w:ascii="宋体" w:hAnsi="宋体"/>
                <w:b/>
                <w:sz w:val="24"/>
                <w:szCs w:val="24"/>
              </w:rPr>
              <w:t>评审分项</w:t>
            </w:r>
          </w:p>
        </w:tc>
        <w:tc>
          <w:tcPr>
            <w:tcW w:w="2268" w:type="dxa"/>
            <w:tcBorders>
              <w:top w:val="single" w:color="auto" w:sz="12" w:space="0"/>
              <w:left w:val="single" w:color="auto" w:sz="4" w:space="0"/>
              <w:bottom w:val="single" w:color="auto" w:sz="4" w:space="0"/>
              <w:right w:val="single" w:color="auto" w:sz="12" w:space="0"/>
            </w:tcBorders>
            <w:vAlign w:val="center"/>
          </w:tcPr>
          <w:p>
            <w:pPr>
              <w:adjustRightInd w:val="0"/>
              <w:spacing w:line="264" w:lineRule="auto"/>
              <w:jc w:val="center"/>
              <w:rPr>
                <w:rFonts w:ascii="宋体" w:hAnsi="宋体"/>
                <w:b/>
                <w:sz w:val="24"/>
                <w:szCs w:val="24"/>
              </w:rPr>
            </w:pPr>
            <w:r>
              <w:rPr>
                <w:rFonts w:hint="eastAsia" w:ascii="宋体" w:hAnsi="宋体"/>
                <w:b/>
                <w:sz w:val="24"/>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top w:val="single" w:color="auto" w:sz="4" w:space="0"/>
              <w:left w:val="single" w:color="auto" w:sz="12" w:space="0"/>
              <w:bottom w:val="single" w:color="auto" w:sz="4" w:space="0"/>
              <w:right w:val="single" w:color="auto" w:sz="4" w:space="0"/>
            </w:tcBorders>
            <w:vAlign w:val="center"/>
          </w:tcPr>
          <w:p>
            <w:pPr>
              <w:numPr>
                <w:ilvl w:val="0"/>
                <w:numId w:val="17"/>
              </w:numPr>
              <w:adjustRightInd w:val="0"/>
              <w:spacing w:line="264" w:lineRule="auto"/>
              <w:jc w:val="center"/>
              <w:rPr>
                <w:rFonts w:ascii="宋体" w:hAnsi="宋体"/>
                <w:sz w:val="24"/>
                <w:szCs w:val="24"/>
              </w:rPr>
            </w:pPr>
          </w:p>
        </w:tc>
        <w:tc>
          <w:tcPr>
            <w:tcW w:w="6662" w:type="dxa"/>
            <w:tcBorders>
              <w:top w:val="single" w:color="auto" w:sz="4" w:space="0"/>
              <w:left w:val="single" w:color="auto" w:sz="4" w:space="0"/>
              <w:bottom w:val="single" w:color="auto" w:sz="4" w:space="0"/>
              <w:right w:val="single" w:color="auto" w:sz="4" w:space="0"/>
            </w:tcBorders>
            <w:vAlign w:val="center"/>
          </w:tcPr>
          <w:p>
            <w:pPr>
              <w:adjustRightInd w:val="0"/>
              <w:spacing w:line="264" w:lineRule="auto"/>
              <w:jc w:val="center"/>
              <w:rPr>
                <w:rFonts w:ascii="宋体" w:hAnsi="宋体"/>
                <w:sz w:val="24"/>
                <w:szCs w:val="24"/>
              </w:rPr>
            </w:pPr>
            <w:r>
              <w:rPr>
                <w:rFonts w:hint="eastAsia" w:hAnsi="宋体" w:cs="Courier New"/>
                <w:sz w:val="24"/>
                <w:szCs w:val="24"/>
              </w:rPr>
              <w:t>开标一览表(报价表)</w:t>
            </w: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vAlign w:val="center"/>
          </w:tcPr>
          <w:p>
            <w:pPr>
              <w:numPr>
                <w:ilvl w:val="0"/>
                <w:numId w:val="17"/>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vAlign w:val="center"/>
          </w:tcPr>
          <w:p>
            <w:pPr>
              <w:adjustRightInd w:val="0"/>
              <w:spacing w:line="264" w:lineRule="auto"/>
              <w:jc w:val="center"/>
              <w:rPr>
                <w:rFonts w:hAnsi="宋体" w:cs="Courier New"/>
                <w:sz w:val="24"/>
                <w:szCs w:val="24"/>
              </w:rPr>
            </w:pPr>
            <w:r>
              <w:rPr>
                <w:rFonts w:hint="eastAsia" w:ascii="宋体" w:hAnsi="宋体"/>
                <w:sz w:val="24"/>
                <w:szCs w:val="24"/>
              </w:rPr>
              <w:t>报价明细表</w:t>
            </w: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vAlign w:val="center"/>
          </w:tcPr>
          <w:p>
            <w:pPr>
              <w:numPr>
                <w:ilvl w:val="0"/>
                <w:numId w:val="17"/>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符合性审查逐项对应按顺序排列资料</w:t>
            </w:r>
          </w:p>
          <w:p>
            <w:pPr>
              <w:adjustRightInd w:val="0"/>
              <w:spacing w:line="264" w:lineRule="auto"/>
              <w:jc w:val="center"/>
              <w:rPr>
                <w:rFonts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right w:val="single" w:color="auto" w:sz="4" w:space="0"/>
            </w:tcBorders>
            <w:vAlign w:val="center"/>
          </w:tcPr>
          <w:p>
            <w:pPr>
              <w:numPr>
                <w:ilvl w:val="0"/>
                <w:numId w:val="17"/>
              </w:numPr>
              <w:adjustRightInd w:val="0"/>
              <w:spacing w:line="264" w:lineRule="auto"/>
              <w:jc w:val="center"/>
              <w:rPr>
                <w:rFonts w:ascii="宋体" w:hAnsi="宋体"/>
                <w:sz w:val="24"/>
                <w:szCs w:val="24"/>
              </w:rPr>
            </w:pPr>
          </w:p>
        </w:tc>
        <w:tc>
          <w:tcPr>
            <w:tcW w:w="6662" w:type="dxa"/>
            <w:tcBorders>
              <w:left w:val="single" w:color="auto" w:sz="4" w:space="0"/>
              <w:right w:val="single" w:color="auto" w:sz="4"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技术资料逐项对应按顺序排列资料</w:t>
            </w:r>
          </w:p>
          <w:p>
            <w:pPr>
              <w:adjustRightInd w:val="0"/>
              <w:spacing w:line="264" w:lineRule="auto"/>
              <w:jc w:val="center"/>
              <w:rPr>
                <w:rFonts w:ascii="宋体" w:hAnsi="宋体"/>
                <w:sz w:val="24"/>
                <w:szCs w:val="24"/>
              </w:rPr>
            </w:pP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9" w:type="dxa"/>
            <w:tcBorders>
              <w:left w:val="single" w:color="auto" w:sz="12" w:space="0"/>
              <w:bottom w:val="single" w:color="auto" w:sz="12" w:space="0"/>
              <w:right w:val="single" w:color="auto" w:sz="4" w:space="0"/>
            </w:tcBorders>
            <w:vAlign w:val="center"/>
          </w:tcPr>
          <w:p>
            <w:pPr>
              <w:numPr>
                <w:ilvl w:val="0"/>
                <w:numId w:val="17"/>
              </w:numPr>
              <w:adjustRightInd w:val="0"/>
              <w:spacing w:line="264" w:lineRule="auto"/>
              <w:jc w:val="center"/>
              <w:rPr>
                <w:rFonts w:ascii="宋体" w:hAnsi="宋体"/>
                <w:sz w:val="24"/>
                <w:szCs w:val="24"/>
              </w:rPr>
            </w:pPr>
          </w:p>
        </w:tc>
        <w:tc>
          <w:tcPr>
            <w:tcW w:w="6662" w:type="dxa"/>
            <w:tcBorders>
              <w:left w:val="single" w:color="auto" w:sz="4" w:space="0"/>
              <w:bottom w:val="single" w:color="auto" w:sz="12" w:space="0"/>
              <w:right w:val="single" w:color="auto" w:sz="4"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商务资料逐项对应按顺序排列资料</w:t>
            </w:r>
          </w:p>
          <w:p>
            <w:pPr>
              <w:adjustRightInd w:val="0"/>
              <w:spacing w:line="264" w:lineRule="auto"/>
              <w:jc w:val="center"/>
              <w:rPr>
                <w:rFonts w:ascii="宋体" w:hAnsi="宋体"/>
                <w:sz w:val="24"/>
                <w:szCs w:val="24"/>
              </w:rPr>
            </w:pPr>
          </w:p>
        </w:tc>
        <w:tc>
          <w:tcPr>
            <w:tcW w:w="2268" w:type="dxa"/>
            <w:tcBorders>
              <w:top w:val="single" w:color="auto" w:sz="4" w:space="0"/>
              <w:left w:val="single" w:color="auto" w:sz="4" w:space="0"/>
              <w:bottom w:val="single" w:color="auto" w:sz="12" w:space="0"/>
              <w:right w:val="single" w:color="auto" w:sz="12" w:space="0"/>
            </w:tcBorders>
            <w:vAlign w:val="center"/>
          </w:tcPr>
          <w:p>
            <w:pPr>
              <w:adjustRightInd w:val="0"/>
              <w:spacing w:line="264" w:lineRule="auto"/>
              <w:jc w:val="center"/>
              <w:rPr>
                <w:rFonts w:ascii="宋体" w:hAnsi="宋体"/>
                <w:sz w:val="24"/>
                <w:szCs w:val="24"/>
              </w:rPr>
            </w:pPr>
            <w:r>
              <w:rPr>
                <w:rFonts w:hint="eastAsia" w:ascii="宋体" w:hAnsi="宋体"/>
                <w:sz w:val="24"/>
                <w:szCs w:val="24"/>
              </w:rPr>
              <w:t>见（ ）页</w:t>
            </w:r>
          </w:p>
        </w:tc>
      </w:tr>
    </w:tbl>
    <w:p>
      <w:pPr>
        <w:adjustRightInd w:val="0"/>
        <w:spacing w:line="264" w:lineRule="auto"/>
        <w:jc w:val="left"/>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rPr>
          <w:rFonts w:ascii="宋体" w:cs="宋体"/>
          <w:szCs w:val="21"/>
        </w:rPr>
      </w:pPr>
    </w:p>
    <w:p>
      <w:pPr>
        <w:pStyle w:val="2"/>
        <w:rPr>
          <w:rFonts w:ascii="宋体" w:cs="宋体"/>
          <w:szCs w:val="21"/>
        </w:rPr>
      </w:pPr>
    </w:p>
    <w:p>
      <w:pPr>
        <w:adjustRightInd w:val="0"/>
        <w:spacing w:line="264" w:lineRule="auto"/>
        <w:jc w:val="left"/>
        <w:rPr>
          <w:rFonts w:ascii="宋体" w:hAnsi="宋体"/>
          <w:b/>
          <w:sz w:val="30"/>
          <w:szCs w:val="30"/>
        </w:rPr>
      </w:pPr>
      <w:r>
        <w:rPr>
          <w:rFonts w:hint="eastAsia" w:ascii="宋体" w:cs="宋体"/>
          <w:szCs w:val="21"/>
        </w:rPr>
        <w:t xml:space="preserve">                          </w:t>
      </w:r>
      <w:r>
        <w:rPr>
          <w:rFonts w:hint="eastAsia" w:ascii="宋体" w:hAnsi="宋体"/>
          <w:b/>
          <w:sz w:val="30"/>
          <w:szCs w:val="30"/>
        </w:rPr>
        <w:t>符合性自查表</w:t>
      </w:r>
    </w:p>
    <w:tbl>
      <w:tblPr>
        <w:tblStyle w:val="18"/>
        <w:tblW w:w="9639" w:type="dxa"/>
        <w:tblInd w:w="113" w:type="dxa"/>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Layout w:type="fixed"/>
        <w:tblCellMar>
          <w:top w:w="0" w:type="dxa"/>
          <w:left w:w="113" w:type="dxa"/>
          <w:bottom w:w="0" w:type="dxa"/>
          <w:right w:w="113" w:type="dxa"/>
        </w:tblCellMar>
      </w:tblPr>
      <w:tblGrid>
        <w:gridCol w:w="709"/>
        <w:gridCol w:w="6499"/>
        <w:gridCol w:w="1297"/>
        <w:gridCol w:w="1134"/>
      </w:tblGrid>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249" w:hRule="atLeast"/>
        </w:trPr>
        <w:tc>
          <w:tcPr>
            <w:tcW w:w="709" w:type="dxa"/>
            <w:vAlign w:val="center"/>
          </w:tcPr>
          <w:p>
            <w:pPr>
              <w:adjustRightInd w:val="0"/>
              <w:spacing w:line="360" w:lineRule="auto"/>
              <w:jc w:val="center"/>
              <w:rPr>
                <w:rStyle w:val="20"/>
                <w:rFonts w:ascii="宋体" w:hAnsi="宋体"/>
                <w:sz w:val="21"/>
                <w:szCs w:val="21"/>
              </w:rPr>
            </w:pPr>
            <w:r>
              <w:rPr>
                <w:rFonts w:hint="eastAsia" w:ascii="宋体" w:hAnsi="宋体"/>
                <w:b/>
                <w:sz w:val="21"/>
                <w:szCs w:val="21"/>
              </w:rPr>
              <w:t>序号</w:t>
            </w:r>
          </w:p>
        </w:tc>
        <w:tc>
          <w:tcPr>
            <w:tcW w:w="6499" w:type="dxa"/>
            <w:vAlign w:val="center"/>
          </w:tcPr>
          <w:p>
            <w:pPr>
              <w:adjustRightInd w:val="0"/>
              <w:spacing w:line="360" w:lineRule="auto"/>
              <w:jc w:val="center"/>
              <w:rPr>
                <w:rFonts w:ascii="宋体" w:hAnsi="宋体" w:cs="宋体"/>
                <w:sz w:val="21"/>
                <w:szCs w:val="21"/>
              </w:rPr>
            </w:pPr>
            <w:r>
              <w:rPr>
                <w:rStyle w:val="20"/>
                <w:rFonts w:hint="eastAsia" w:ascii="宋体" w:hAnsi="宋体"/>
                <w:sz w:val="21"/>
                <w:szCs w:val="21"/>
              </w:rPr>
              <w:t>采购文件要求</w:t>
            </w:r>
          </w:p>
        </w:tc>
        <w:tc>
          <w:tcPr>
            <w:tcW w:w="1297" w:type="dxa"/>
            <w:vAlign w:val="center"/>
          </w:tcPr>
          <w:p>
            <w:pPr>
              <w:adjustRightInd w:val="0"/>
              <w:spacing w:line="360" w:lineRule="auto"/>
              <w:jc w:val="center"/>
              <w:rPr>
                <w:rFonts w:ascii="宋体" w:hAnsi="宋体" w:cs="宋体"/>
                <w:sz w:val="21"/>
                <w:szCs w:val="21"/>
              </w:rPr>
            </w:pPr>
            <w:r>
              <w:rPr>
                <w:rStyle w:val="20"/>
                <w:rFonts w:hint="eastAsia" w:ascii="宋体" w:hAnsi="宋体"/>
                <w:sz w:val="21"/>
                <w:szCs w:val="21"/>
              </w:rPr>
              <w:t>自查结论</w:t>
            </w:r>
          </w:p>
        </w:tc>
        <w:tc>
          <w:tcPr>
            <w:tcW w:w="1134" w:type="dxa"/>
            <w:vAlign w:val="center"/>
          </w:tcPr>
          <w:p>
            <w:pPr>
              <w:adjustRightInd w:val="0"/>
              <w:spacing w:line="360" w:lineRule="auto"/>
              <w:jc w:val="center"/>
              <w:rPr>
                <w:rFonts w:ascii="宋体" w:hAnsi="宋体" w:cs="宋体"/>
                <w:sz w:val="21"/>
                <w:szCs w:val="21"/>
              </w:rPr>
            </w:pPr>
            <w:r>
              <w:rPr>
                <w:rFonts w:hint="eastAsia" w:ascii="宋体" w:hAnsi="宋体"/>
                <w:b/>
                <w:sz w:val="21"/>
                <w:szCs w:val="21"/>
              </w:rPr>
              <w:t>证明文件</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249"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1</w:t>
            </w:r>
          </w:p>
        </w:tc>
        <w:tc>
          <w:tcPr>
            <w:tcW w:w="6499" w:type="dxa"/>
            <w:vAlign w:val="center"/>
          </w:tcPr>
          <w:p>
            <w:pPr>
              <w:adjustRightInd w:val="0"/>
              <w:spacing w:line="360" w:lineRule="auto"/>
              <w:jc w:val="center"/>
              <w:rPr>
                <w:rStyle w:val="20"/>
                <w:rFonts w:ascii="宋体" w:hAnsi="宋体"/>
                <w:sz w:val="21"/>
                <w:szCs w:val="21"/>
              </w:rPr>
            </w:pPr>
            <w:r>
              <w:rPr>
                <w:rFonts w:hint="eastAsia" w:ascii="宋体" w:hAnsi="宋体"/>
                <w:sz w:val="21"/>
                <w:szCs w:val="21"/>
              </w:rPr>
              <w:t>投标文件密封性</w:t>
            </w:r>
          </w:p>
        </w:tc>
        <w:tc>
          <w:tcPr>
            <w:tcW w:w="1297" w:type="dxa"/>
            <w:vAlign w:val="center"/>
          </w:tcPr>
          <w:p>
            <w:pPr>
              <w:adjustRightInd w:val="0"/>
              <w:spacing w:line="264"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264"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vAlign w:val="center"/>
          </w:tcPr>
          <w:p>
            <w:pPr>
              <w:adjustRightInd w:val="0"/>
              <w:spacing w:line="264" w:lineRule="auto"/>
              <w:jc w:val="center"/>
              <w:rPr>
                <w:rFonts w:ascii="宋体" w:hAnsi="宋体"/>
                <w:sz w:val="21"/>
                <w:szCs w:val="21"/>
              </w:rPr>
            </w:pPr>
            <w:r>
              <w:rPr>
                <w:rFonts w:hint="eastAsia" w:ascii="宋体" w:hAnsi="宋体"/>
                <w:sz w:val="21"/>
                <w:szCs w:val="21"/>
              </w:rPr>
              <w:t>/</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249"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2</w:t>
            </w:r>
          </w:p>
        </w:tc>
        <w:tc>
          <w:tcPr>
            <w:tcW w:w="6499" w:type="dxa"/>
            <w:vAlign w:val="center"/>
          </w:tcPr>
          <w:p>
            <w:pPr>
              <w:rPr>
                <w:rFonts w:ascii="宋体" w:hAnsi="宋体" w:cs="宋体"/>
                <w:sz w:val="21"/>
                <w:szCs w:val="21"/>
              </w:rPr>
            </w:pPr>
            <w:r>
              <w:rPr>
                <w:rFonts w:hint="eastAsia" w:ascii="宋体" w:hAnsi="宋体"/>
                <w:sz w:val="21"/>
                <w:szCs w:val="21"/>
              </w:rPr>
              <w:t>按采购文件规定，有投标人盖章及其法定代表人（或法定代表人委托的投标授权代表）的签字或签章</w:t>
            </w:r>
          </w:p>
        </w:tc>
        <w:tc>
          <w:tcPr>
            <w:tcW w:w="1297" w:type="dxa"/>
            <w:vAlign w:val="center"/>
          </w:tcPr>
          <w:p>
            <w:pPr>
              <w:adjustRightInd w:val="0"/>
              <w:spacing w:line="360"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360" w:lineRule="auto"/>
              <w:rPr>
                <w:rFonts w:ascii="宋体" w:hAnsi="宋体" w:cs="宋体"/>
                <w:sz w:val="21"/>
                <w:szCs w:val="21"/>
              </w:rPr>
            </w:pPr>
            <w:r>
              <w:rPr>
                <w:rFonts w:hint="eastAsia" w:ascii="宋体" w:hAnsi="宋体" w:cs="Arial"/>
                <w:sz w:val="21"/>
                <w:szCs w:val="21"/>
              </w:rPr>
              <w:t>□</w:t>
            </w:r>
            <w:r>
              <w:rPr>
                <w:rFonts w:hint="eastAsia" w:ascii="宋体" w:hAnsi="宋体"/>
                <w:sz w:val="21"/>
                <w:szCs w:val="21"/>
              </w:rPr>
              <w:t>不通过</w:t>
            </w:r>
          </w:p>
        </w:tc>
        <w:tc>
          <w:tcPr>
            <w:tcW w:w="1134" w:type="dxa"/>
            <w:vAlign w:val="center"/>
          </w:tcPr>
          <w:p>
            <w:pPr>
              <w:adjustRightInd w:val="0"/>
              <w:spacing w:line="360" w:lineRule="auto"/>
              <w:jc w:val="center"/>
              <w:rPr>
                <w:rFonts w:ascii="宋体" w:hAnsi="宋体" w:cs="宋体"/>
                <w:sz w:val="21"/>
                <w:szCs w:val="21"/>
              </w:rPr>
            </w:pPr>
            <w:r>
              <w:rPr>
                <w:rFonts w:hint="eastAsia" w:ascii="宋体" w:hAnsi="宋体"/>
                <w:sz w:val="21"/>
                <w:szCs w:val="21"/>
              </w:rPr>
              <w:t>第（ ）页</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249"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3</w:t>
            </w:r>
          </w:p>
        </w:tc>
        <w:tc>
          <w:tcPr>
            <w:tcW w:w="6499" w:type="dxa"/>
            <w:vAlign w:val="center"/>
          </w:tcPr>
          <w:p>
            <w:pPr>
              <w:rPr>
                <w:rFonts w:ascii="宋体" w:hAnsi="宋体"/>
                <w:sz w:val="21"/>
                <w:szCs w:val="21"/>
              </w:rPr>
            </w:pPr>
            <w:r>
              <w:rPr>
                <w:rFonts w:hint="eastAsia" w:ascii="宋体" w:hAnsi="宋体" w:cs="宋体"/>
                <w:sz w:val="21"/>
                <w:szCs w:val="21"/>
              </w:rPr>
              <w:t>投标函已提交并符合采购文件要求，且投标有效期满足采购文件要求；</w:t>
            </w:r>
          </w:p>
        </w:tc>
        <w:tc>
          <w:tcPr>
            <w:tcW w:w="1297" w:type="dxa"/>
            <w:vAlign w:val="center"/>
          </w:tcPr>
          <w:p>
            <w:pPr>
              <w:adjustRightInd w:val="0"/>
              <w:spacing w:line="360"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360"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vAlign w:val="center"/>
          </w:tcPr>
          <w:p>
            <w:pPr>
              <w:adjustRightInd w:val="0"/>
              <w:spacing w:line="360" w:lineRule="auto"/>
              <w:jc w:val="center"/>
              <w:rPr>
                <w:rFonts w:ascii="宋体" w:hAnsi="宋体"/>
                <w:sz w:val="21"/>
                <w:szCs w:val="21"/>
              </w:rPr>
            </w:pPr>
            <w:r>
              <w:rPr>
                <w:rFonts w:hint="eastAsia" w:ascii="宋体" w:hAnsi="宋体"/>
                <w:sz w:val="21"/>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113" w:type="dxa"/>
            <w:bottom w:w="0" w:type="dxa"/>
            <w:right w:w="113" w:type="dxa"/>
          </w:tblCellMar>
        </w:tblPrEx>
        <w:trPr>
          <w:trHeight w:val="679" w:hRule="atLeast"/>
        </w:trPr>
        <w:tc>
          <w:tcPr>
            <w:tcW w:w="709" w:type="dxa"/>
            <w:tcBorders>
              <w:top w:val="single" w:color="auto" w:sz="4" w:space="0"/>
              <w:left w:val="single" w:color="auto" w:sz="12" w:space="0"/>
              <w:bottom w:val="single" w:color="auto" w:sz="4" w:space="0"/>
              <w:right w:val="outset" w:color="111111" w:sz="6" w:space="0"/>
            </w:tcBorders>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4</w:t>
            </w:r>
          </w:p>
        </w:tc>
        <w:tc>
          <w:tcPr>
            <w:tcW w:w="6499"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sz w:val="21"/>
                <w:szCs w:val="21"/>
              </w:rPr>
            </w:pPr>
            <w:r>
              <w:rPr>
                <w:rFonts w:hint="eastAsia"/>
                <w:sz w:val="21"/>
                <w:szCs w:val="21"/>
              </w:rPr>
              <w:t>投标人具有燃气燃烧器具安装维修资质证书</w:t>
            </w:r>
          </w:p>
        </w:tc>
        <w:tc>
          <w:tcPr>
            <w:tcW w:w="1297"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264"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tcBorders>
              <w:top w:val="single" w:color="auto" w:sz="4" w:space="0"/>
              <w:left w:val="outset" w:color="111111" w:sz="6" w:space="0"/>
              <w:bottom w:val="single" w:color="auto" w:sz="4" w:space="0"/>
              <w:right w:val="single" w:color="auto" w:sz="12" w:space="0"/>
            </w:tcBorders>
            <w:vAlign w:val="center"/>
          </w:tcPr>
          <w:p>
            <w:pPr>
              <w:adjustRightInd w:val="0"/>
              <w:spacing w:line="264" w:lineRule="auto"/>
              <w:jc w:val="center"/>
              <w:rPr>
                <w:rFonts w:ascii="宋体" w:hAnsi="宋体"/>
                <w:sz w:val="21"/>
                <w:szCs w:val="21"/>
              </w:rPr>
            </w:pPr>
            <w:r>
              <w:rPr>
                <w:rFonts w:hint="eastAsia" w:ascii="宋体" w:hAnsi="宋体"/>
                <w:sz w:val="21"/>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113" w:type="dxa"/>
            <w:bottom w:w="0" w:type="dxa"/>
            <w:right w:w="113" w:type="dxa"/>
          </w:tblCellMar>
        </w:tblPrEx>
        <w:trPr>
          <w:trHeight w:val="679" w:hRule="atLeast"/>
        </w:trPr>
        <w:tc>
          <w:tcPr>
            <w:tcW w:w="709" w:type="dxa"/>
            <w:tcBorders>
              <w:top w:val="single" w:color="auto" w:sz="4" w:space="0"/>
              <w:left w:val="single" w:color="auto" w:sz="12" w:space="0"/>
              <w:bottom w:val="single" w:color="auto" w:sz="4" w:space="0"/>
              <w:right w:val="outset" w:color="111111" w:sz="6" w:space="0"/>
            </w:tcBorders>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5</w:t>
            </w:r>
          </w:p>
        </w:tc>
        <w:tc>
          <w:tcPr>
            <w:tcW w:w="6499"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bCs/>
                <w:sz w:val="21"/>
                <w:szCs w:val="21"/>
              </w:rPr>
            </w:pPr>
            <w:r>
              <w:rPr>
                <w:rFonts w:hint="eastAsia" w:ascii="宋体" w:hAnsi="宋体"/>
                <w:sz w:val="21"/>
                <w:szCs w:val="21"/>
              </w:rPr>
              <w:t>本项目不拆分，不接受联合体投标。</w:t>
            </w:r>
          </w:p>
        </w:tc>
        <w:tc>
          <w:tcPr>
            <w:tcW w:w="1297"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264"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tcBorders>
              <w:top w:val="single" w:color="auto" w:sz="4" w:space="0"/>
              <w:left w:val="outset" w:color="111111" w:sz="6" w:space="0"/>
              <w:bottom w:val="single" w:color="auto" w:sz="4" w:space="0"/>
              <w:right w:val="single" w:color="auto" w:sz="12" w:space="0"/>
            </w:tcBorders>
            <w:vAlign w:val="center"/>
          </w:tcPr>
          <w:p>
            <w:pPr>
              <w:adjustRightInd w:val="0"/>
              <w:spacing w:line="264" w:lineRule="auto"/>
              <w:jc w:val="center"/>
              <w:rPr>
                <w:rFonts w:ascii="宋体" w:hAnsi="宋体"/>
                <w:sz w:val="21"/>
                <w:szCs w:val="21"/>
              </w:rPr>
            </w:pPr>
            <w:r>
              <w:rPr>
                <w:rFonts w:hint="eastAsia" w:ascii="宋体" w:hAnsi="宋体"/>
                <w:sz w:val="21"/>
                <w:szCs w:val="21"/>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113" w:type="dxa"/>
            <w:bottom w:w="0" w:type="dxa"/>
            <w:right w:w="113" w:type="dxa"/>
          </w:tblCellMar>
        </w:tblPrEx>
        <w:trPr>
          <w:trHeight w:val="679" w:hRule="atLeast"/>
        </w:trPr>
        <w:tc>
          <w:tcPr>
            <w:tcW w:w="709" w:type="dxa"/>
            <w:tcBorders>
              <w:top w:val="single" w:color="auto" w:sz="4" w:space="0"/>
              <w:left w:val="single" w:color="auto" w:sz="12" w:space="0"/>
              <w:bottom w:val="single" w:color="auto" w:sz="4" w:space="0"/>
              <w:right w:val="outset" w:color="111111" w:sz="6" w:space="0"/>
            </w:tcBorders>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6</w:t>
            </w:r>
          </w:p>
        </w:tc>
        <w:tc>
          <w:tcPr>
            <w:tcW w:w="6499"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sz w:val="21"/>
                <w:szCs w:val="21"/>
              </w:rPr>
            </w:pPr>
            <w:r>
              <w:rPr>
                <w:rFonts w:hint="eastAsia" w:ascii="宋体" w:hAnsi="宋体"/>
                <w:sz w:val="21"/>
                <w:szCs w:val="21"/>
              </w:rPr>
              <w:t>投标人在参加本次采购活动前三年内，在经营活动中（公司或法人）无重大违法记录；，通过“信用中国”网站（www.creditchina.gov.cn）等渠道查询相关主体信用记录，对列入失信被执行人、重大税收违法案件当事人名单的投标人</w:t>
            </w:r>
          </w:p>
        </w:tc>
        <w:tc>
          <w:tcPr>
            <w:tcW w:w="1297"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264"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tcBorders>
              <w:top w:val="single" w:color="auto" w:sz="4" w:space="0"/>
              <w:left w:val="outset" w:color="111111" w:sz="6" w:space="0"/>
              <w:bottom w:val="single" w:color="auto" w:sz="4" w:space="0"/>
              <w:right w:val="single" w:color="auto" w:sz="12" w:space="0"/>
            </w:tcBorders>
            <w:vAlign w:val="center"/>
          </w:tcPr>
          <w:p>
            <w:pPr>
              <w:adjustRightInd w:val="0"/>
              <w:spacing w:line="264" w:lineRule="auto"/>
              <w:jc w:val="center"/>
              <w:rPr>
                <w:rFonts w:ascii="宋体" w:hAnsi="宋体"/>
                <w:sz w:val="21"/>
                <w:szCs w:val="21"/>
              </w:rPr>
            </w:pPr>
            <w:r>
              <w:rPr>
                <w:rFonts w:hint="eastAsia" w:ascii="宋体" w:hAnsi="宋体"/>
                <w:sz w:val="21"/>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0" w:type="dxa"/>
            <w:left w:w="113" w:type="dxa"/>
            <w:bottom w:w="0" w:type="dxa"/>
            <w:right w:w="113" w:type="dxa"/>
          </w:tblCellMar>
        </w:tblPrEx>
        <w:trPr>
          <w:trHeight w:val="679" w:hRule="atLeast"/>
        </w:trPr>
        <w:tc>
          <w:tcPr>
            <w:tcW w:w="709" w:type="dxa"/>
            <w:tcBorders>
              <w:top w:val="single" w:color="auto" w:sz="4" w:space="0"/>
              <w:left w:val="single" w:color="auto" w:sz="12" w:space="0"/>
              <w:bottom w:val="single" w:color="auto" w:sz="4" w:space="0"/>
              <w:right w:val="outset" w:color="111111" w:sz="6" w:space="0"/>
            </w:tcBorders>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7</w:t>
            </w:r>
          </w:p>
        </w:tc>
        <w:tc>
          <w:tcPr>
            <w:tcW w:w="6499"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sz w:val="21"/>
                <w:szCs w:val="21"/>
              </w:rPr>
            </w:pPr>
            <w:r>
              <w:rPr>
                <w:rFonts w:hint="eastAsia" w:ascii="宋体" w:hAnsi="宋体"/>
                <w:sz w:val="21"/>
                <w:szCs w:val="21"/>
              </w:rPr>
              <w:t>单位负责人为同一人或者存在直接控股、管理关系的不同供应商，不得同时参加本项采购投标。</w:t>
            </w:r>
          </w:p>
        </w:tc>
        <w:tc>
          <w:tcPr>
            <w:tcW w:w="1297" w:type="dxa"/>
            <w:tcBorders>
              <w:top w:val="single" w:color="auto" w:sz="4" w:space="0"/>
              <w:left w:val="outset" w:color="111111" w:sz="6" w:space="0"/>
              <w:bottom w:val="single" w:color="auto" w:sz="4" w:space="0"/>
              <w:right w:val="outset" w:color="111111" w:sz="6" w:space="0"/>
            </w:tcBorders>
            <w:vAlign w:val="center"/>
          </w:tcPr>
          <w:p>
            <w:pPr>
              <w:adjustRightInd w:val="0"/>
              <w:spacing w:line="264"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264" w:lineRule="auto"/>
              <w:rPr>
                <w:rFonts w:ascii="宋体" w:hAnsi="宋体" w:cs="Arial"/>
                <w:sz w:val="21"/>
                <w:szCs w:val="21"/>
              </w:rPr>
            </w:pPr>
            <w:r>
              <w:rPr>
                <w:rFonts w:hint="eastAsia" w:ascii="宋体" w:hAnsi="宋体" w:cs="Arial"/>
                <w:sz w:val="21"/>
                <w:szCs w:val="21"/>
              </w:rPr>
              <w:t>□</w:t>
            </w:r>
            <w:r>
              <w:rPr>
                <w:rFonts w:hint="eastAsia" w:ascii="宋体" w:hAnsi="宋体"/>
                <w:sz w:val="21"/>
                <w:szCs w:val="21"/>
              </w:rPr>
              <w:t>不通过</w:t>
            </w:r>
          </w:p>
        </w:tc>
        <w:tc>
          <w:tcPr>
            <w:tcW w:w="1134" w:type="dxa"/>
            <w:tcBorders>
              <w:top w:val="single" w:color="auto" w:sz="4" w:space="0"/>
              <w:left w:val="outset" w:color="111111" w:sz="6" w:space="0"/>
              <w:bottom w:val="single" w:color="auto" w:sz="4" w:space="0"/>
              <w:right w:val="single" w:color="auto" w:sz="12" w:space="0"/>
            </w:tcBorders>
            <w:vAlign w:val="center"/>
          </w:tcPr>
          <w:p>
            <w:pPr>
              <w:adjustRightInd w:val="0"/>
              <w:spacing w:line="264" w:lineRule="auto"/>
              <w:jc w:val="center"/>
              <w:rPr>
                <w:rFonts w:ascii="宋体" w:hAnsi="宋体"/>
                <w:sz w:val="21"/>
                <w:szCs w:val="21"/>
              </w:rPr>
            </w:pPr>
            <w:r>
              <w:rPr>
                <w:rFonts w:hint="eastAsia" w:ascii="宋体" w:hAnsi="宋体"/>
                <w:sz w:val="21"/>
                <w:szCs w:val="21"/>
              </w:rPr>
              <w:t>/</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382"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8</w:t>
            </w:r>
          </w:p>
        </w:tc>
        <w:tc>
          <w:tcPr>
            <w:tcW w:w="6499" w:type="dxa"/>
            <w:vAlign w:val="center"/>
          </w:tcPr>
          <w:p>
            <w:pPr>
              <w:rPr>
                <w:sz w:val="21"/>
                <w:szCs w:val="21"/>
              </w:rPr>
            </w:pPr>
            <w:r>
              <w:rPr>
                <w:rFonts w:hint="eastAsia"/>
                <w:sz w:val="21"/>
                <w:szCs w:val="21"/>
              </w:rPr>
              <w:t>投标保证金符合采购文件规定</w:t>
            </w:r>
          </w:p>
        </w:tc>
        <w:tc>
          <w:tcPr>
            <w:tcW w:w="1297" w:type="dxa"/>
            <w:vAlign w:val="center"/>
          </w:tcPr>
          <w:p>
            <w:pPr>
              <w:adjustRightInd w:val="0"/>
              <w:spacing w:line="360"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360" w:lineRule="auto"/>
              <w:rPr>
                <w:rFonts w:ascii="宋体" w:hAnsi="宋体" w:cs="宋体"/>
                <w:sz w:val="21"/>
                <w:szCs w:val="21"/>
              </w:rPr>
            </w:pPr>
            <w:r>
              <w:rPr>
                <w:rFonts w:hint="eastAsia" w:ascii="宋体" w:hAnsi="宋体" w:cs="Arial"/>
                <w:sz w:val="21"/>
                <w:szCs w:val="21"/>
              </w:rPr>
              <w:t>□</w:t>
            </w:r>
            <w:r>
              <w:rPr>
                <w:rFonts w:hint="eastAsia" w:ascii="宋体" w:hAnsi="宋体"/>
                <w:sz w:val="21"/>
                <w:szCs w:val="21"/>
              </w:rPr>
              <w:t>不通过</w:t>
            </w:r>
          </w:p>
        </w:tc>
        <w:tc>
          <w:tcPr>
            <w:tcW w:w="1134" w:type="dxa"/>
            <w:vAlign w:val="center"/>
          </w:tcPr>
          <w:p>
            <w:pPr>
              <w:adjustRightInd w:val="0"/>
              <w:spacing w:line="360" w:lineRule="auto"/>
              <w:jc w:val="center"/>
              <w:rPr>
                <w:rFonts w:ascii="宋体" w:hAnsi="宋体" w:cs="宋体"/>
                <w:sz w:val="21"/>
                <w:szCs w:val="21"/>
              </w:rPr>
            </w:pPr>
            <w:r>
              <w:rPr>
                <w:rFonts w:hint="eastAsia" w:ascii="宋体" w:hAnsi="宋体"/>
                <w:sz w:val="21"/>
                <w:szCs w:val="21"/>
              </w:rPr>
              <w:t>第（ ）页</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382"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9</w:t>
            </w:r>
          </w:p>
        </w:tc>
        <w:tc>
          <w:tcPr>
            <w:tcW w:w="6499" w:type="dxa"/>
            <w:vAlign w:val="center"/>
          </w:tcPr>
          <w:p>
            <w:pPr>
              <w:rPr>
                <w:sz w:val="21"/>
                <w:szCs w:val="21"/>
              </w:rPr>
            </w:pPr>
            <w:r>
              <w:rPr>
                <w:rFonts w:hint="eastAsia"/>
                <w:sz w:val="21"/>
                <w:szCs w:val="21"/>
              </w:rPr>
              <w:t>不超过本项目最高限价</w:t>
            </w:r>
          </w:p>
        </w:tc>
        <w:tc>
          <w:tcPr>
            <w:tcW w:w="1297" w:type="dxa"/>
            <w:vAlign w:val="center"/>
          </w:tcPr>
          <w:p>
            <w:pPr>
              <w:adjustRightInd w:val="0"/>
              <w:spacing w:line="360" w:lineRule="auto"/>
              <w:rPr>
                <w:rFonts w:ascii="宋体" w:hAnsi="宋体"/>
                <w:sz w:val="21"/>
                <w:szCs w:val="21"/>
              </w:rPr>
            </w:pPr>
            <w:r>
              <w:rPr>
                <w:rFonts w:hint="eastAsia" w:ascii="宋体" w:hAnsi="宋体" w:cs="Arial"/>
                <w:sz w:val="21"/>
                <w:szCs w:val="21"/>
              </w:rPr>
              <w:t>□</w:t>
            </w:r>
            <w:r>
              <w:rPr>
                <w:rFonts w:hint="eastAsia" w:ascii="宋体" w:hAnsi="宋体"/>
                <w:sz w:val="21"/>
                <w:szCs w:val="21"/>
              </w:rPr>
              <w:t>通过</w:t>
            </w:r>
          </w:p>
          <w:p>
            <w:pPr>
              <w:adjustRightInd w:val="0"/>
              <w:spacing w:line="360" w:lineRule="auto"/>
              <w:rPr>
                <w:rFonts w:ascii="宋体" w:hAnsi="宋体" w:cs="宋体"/>
                <w:sz w:val="21"/>
                <w:szCs w:val="21"/>
              </w:rPr>
            </w:pPr>
            <w:r>
              <w:rPr>
                <w:rFonts w:hint="eastAsia" w:ascii="宋体" w:hAnsi="宋体" w:cs="Arial"/>
                <w:sz w:val="21"/>
                <w:szCs w:val="21"/>
              </w:rPr>
              <w:t>□</w:t>
            </w:r>
            <w:r>
              <w:rPr>
                <w:rFonts w:hint="eastAsia" w:ascii="宋体" w:hAnsi="宋体"/>
                <w:sz w:val="21"/>
                <w:szCs w:val="21"/>
              </w:rPr>
              <w:t>不通过</w:t>
            </w:r>
          </w:p>
        </w:tc>
        <w:tc>
          <w:tcPr>
            <w:tcW w:w="1134" w:type="dxa"/>
            <w:vAlign w:val="center"/>
          </w:tcPr>
          <w:p>
            <w:pPr>
              <w:adjustRightInd w:val="0"/>
              <w:spacing w:line="360" w:lineRule="auto"/>
              <w:jc w:val="center"/>
              <w:rPr>
                <w:rFonts w:ascii="宋体" w:hAnsi="宋体" w:cs="宋体"/>
                <w:sz w:val="21"/>
                <w:szCs w:val="21"/>
              </w:rPr>
            </w:pPr>
            <w:r>
              <w:rPr>
                <w:rFonts w:hint="eastAsia" w:ascii="宋体" w:hAnsi="宋体"/>
                <w:sz w:val="21"/>
                <w:szCs w:val="21"/>
              </w:rPr>
              <w:t>第（ ）页</w:t>
            </w:r>
          </w:p>
        </w:tc>
      </w:tr>
      <w:tr>
        <w:tblPrEx>
          <w:tblBorders>
            <w:top w:val="single" w:color="auto" w:sz="12" w:space="0"/>
            <w:left w:val="single" w:color="auto" w:sz="12" w:space="0"/>
            <w:bottom w:val="single" w:color="auto" w:sz="12" w:space="0"/>
            <w:right w:val="single" w:color="auto" w:sz="12" w:space="0"/>
            <w:insideH w:val="outset" w:color="111111" w:sz="6" w:space="0"/>
            <w:insideV w:val="outset" w:color="111111" w:sz="6" w:space="0"/>
          </w:tblBorders>
          <w:tblCellMar>
            <w:top w:w="0" w:type="dxa"/>
            <w:left w:w="113" w:type="dxa"/>
            <w:bottom w:w="0" w:type="dxa"/>
            <w:right w:w="113" w:type="dxa"/>
          </w:tblCellMar>
        </w:tblPrEx>
        <w:trPr>
          <w:trHeight w:val="382" w:hRule="atLeast"/>
        </w:trPr>
        <w:tc>
          <w:tcPr>
            <w:tcW w:w="709"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结论</w:t>
            </w:r>
          </w:p>
        </w:tc>
        <w:tc>
          <w:tcPr>
            <w:tcW w:w="6499" w:type="dxa"/>
            <w:vAlign w:val="center"/>
          </w:tcPr>
          <w:p>
            <w:pPr>
              <w:rPr>
                <w:sz w:val="21"/>
                <w:szCs w:val="21"/>
              </w:rPr>
            </w:pPr>
          </w:p>
        </w:tc>
        <w:tc>
          <w:tcPr>
            <w:tcW w:w="1297" w:type="dxa"/>
            <w:vAlign w:val="center"/>
          </w:tcPr>
          <w:p>
            <w:pPr>
              <w:adjustRightInd w:val="0"/>
              <w:spacing w:line="360" w:lineRule="auto"/>
              <w:rPr>
                <w:rFonts w:ascii="宋体" w:hAnsi="宋体" w:cs="Arial"/>
                <w:sz w:val="21"/>
                <w:szCs w:val="21"/>
              </w:rPr>
            </w:pPr>
          </w:p>
        </w:tc>
        <w:tc>
          <w:tcPr>
            <w:tcW w:w="1134" w:type="dxa"/>
            <w:vAlign w:val="center"/>
          </w:tcPr>
          <w:p>
            <w:pPr>
              <w:adjustRightInd w:val="0"/>
              <w:spacing w:line="360" w:lineRule="auto"/>
              <w:jc w:val="center"/>
              <w:rPr>
                <w:rFonts w:ascii="宋体" w:hAnsi="宋体"/>
                <w:sz w:val="21"/>
                <w:szCs w:val="21"/>
              </w:rPr>
            </w:pPr>
          </w:p>
        </w:tc>
      </w:tr>
    </w:tbl>
    <w:p>
      <w:pPr>
        <w:tabs>
          <w:tab w:val="left" w:pos="420"/>
          <w:tab w:val="left" w:pos="630"/>
        </w:tabs>
        <w:autoSpaceDE w:val="0"/>
        <w:autoSpaceDN w:val="0"/>
        <w:adjustRightInd w:val="0"/>
        <w:spacing w:line="360" w:lineRule="auto"/>
        <w:rPr>
          <w:rFonts w:ascii="宋体" w:hAnsi="宋体"/>
          <w:sz w:val="24"/>
          <w:szCs w:val="24"/>
        </w:rPr>
      </w:pPr>
    </w:p>
    <w:p>
      <w:pPr>
        <w:tabs>
          <w:tab w:val="left" w:pos="420"/>
          <w:tab w:val="left" w:pos="630"/>
        </w:tabs>
        <w:autoSpaceDE w:val="0"/>
        <w:autoSpaceDN w:val="0"/>
        <w:adjustRightInd w:val="0"/>
        <w:spacing w:line="360" w:lineRule="auto"/>
        <w:rPr>
          <w:b/>
          <w:bCs/>
          <w:szCs w:val="28"/>
        </w:rPr>
      </w:pPr>
      <w:r>
        <w:rPr>
          <w:rFonts w:hint="eastAsia" w:ascii="宋体" w:hAnsi="宋体"/>
          <w:sz w:val="24"/>
          <w:szCs w:val="24"/>
        </w:rPr>
        <w:t>说明：</w:t>
      </w:r>
      <w:r>
        <w:rPr>
          <w:rFonts w:hint="eastAsia" w:ascii="宋体" w:cs="宋体"/>
          <w:sz w:val="24"/>
          <w:szCs w:val="24"/>
        </w:rPr>
        <w:t>投标人必须严格按照《符合性审查表》的评审内容的要求如实提供证明材料。未通过符合性审查的投标人，不进入技术、商务和价格评审。</w:t>
      </w:r>
    </w:p>
    <w:p>
      <w:pPr>
        <w:pageBreakBefore/>
        <w:adjustRightInd w:val="0"/>
        <w:spacing w:line="360" w:lineRule="auto"/>
        <w:rPr>
          <w:rFonts w:ascii="宋体" w:hAnsi="宋体"/>
          <w:b/>
          <w:szCs w:val="21"/>
        </w:rPr>
      </w:pPr>
      <w:r>
        <w:rPr>
          <w:rFonts w:hint="eastAsia" w:ascii="宋体" w:hAnsi="宋体"/>
          <w:b/>
          <w:szCs w:val="21"/>
        </w:rPr>
        <w:t>说明：投标人应根据《技术评分表》、《商务评分表》的各项内容填写此表。</w:t>
      </w:r>
    </w:p>
    <w:p>
      <w:pPr>
        <w:adjustRightInd w:val="0"/>
        <w:spacing w:line="360" w:lineRule="auto"/>
        <w:jc w:val="center"/>
        <w:outlineLvl w:val="2"/>
        <w:rPr>
          <w:rFonts w:ascii="宋体" w:hAnsi="宋体"/>
          <w:b/>
          <w:sz w:val="30"/>
          <w:szCs w:val="30"/>
        </w:rPr>
      </w:pPr>
      <w:r>
        <w:rPr>
          <w:rFonts w:hint="eastAsia" w:ascii="宋体" w:hAnsi="宋体"/>
          <w:b/>
          <w:sz w:val="30"/>
          <w:szCs w:val="30"/>
        </w:rPr>
        <w:t>技术商务评审自查表</w:t>
      </w:r>
    </w:p>
    <w:tbl>
      <w:tblPr>
        <w:tblStyle w:val="18"/>
        <w:tblW w:w="963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4394"/>
        <w:gridCol w:w="2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adjustRightInd w:val="0"/>
              <w:spacing w:line="360" w:lineRule="auto"/>
              <w:jc w:val="center"/>
              <w:rPr>
                <w:rFonts w:ascii="宋体" w:hAnsi="宋体"/>
                <w:b/>
                <w:sz w:val="21"/>
                <w:szCs w:val="21"/>
              </w:rPr>
            </w:pPr>
            <w:r>
              <w:rPr>
                <w:rFonts w:hint="eastAsia" w:ascii="宋体" w:hAnsi="宋体"/>
                <w:b/>
                <w:sz w:val="21"/>
                <w:szCs w:val="21"/>
              </w:rPr>
              <w:t>序号</w:t>
            </w:r>
          </w:p>
        </w:tc>
        <w:tc>
          <w:tcPr>
            <w:tcW w:w="2268" w:type="dxa"/>
            <w:vAlign w:val="center"/>
          </w:tcPr>
          <w:p>
            <w:pPr>
              <w:adjustRightInd w:val="0"/>
              <w:spacing w:line="360" w:lineRule="auto"/>
              <w:jc w:val="center"/>
              <w:rPr>
                <w:rFonts w:ascii="宋体" w:hAnsi="宋体"/>
                <w:b/>
                <w:sz w:val="21"/>
                <w:szCs w:val="21"/>
              </w:rPr>
            </w:pPr>
            <w:r>
              <w:rPr>
                <w:rFonts w:hint="eastAsia" w:ascii="宋体" w:hAnsi="宋体"/>
                <w:b/>
                <w:sz w:val="21"/>
                <w:szCs w:val="21"/>
              </w:rPr>
              <w:t>评审分项</w:t>
            </w:r>
          </w:p>
        </w:tc>
        <w:tc>
          <w:tcPr>
            <w:tcW w:w="4394" w:type="dxa"/>
            <w:vAlign w:val="center"/>
          </w:tcPr>
          <w:p>
            <w:pPr>
              <w:adjustRightInd w:val="0"/>
              <w:spacing w:line="360" w:lineRule="auto"/>
              <w:jc w:val="center"/>
              <w:rPr>
                <w:rFonts w:ascii="宋体" w:hAnsi="宋体"/>
                <w:b/>
                <w:sz w:val="21"/>
                <w:szCs w:val="21"/>
              </w:rPr>
            </w:pPr>
            <w:r>
              <w:rPr>
                <w:rFonts w:hint="eastAsia" w:ascii="宋体" w:hAnsi="宋体"/>
                <w:b/>
                <w:sz w:val="21"/>
                <w:szCs w:val="21"/>
              </w:rPr>
              <w:t>内容</w:t>
            </w:r>
          </w:p>
        </w:tc>
        <w:tc>
          <w:tcPr>
            <w:tcW w:w="2268" w:type="dxa"/>
            <w:vAlign w:val="center"/>
          </w:tcPr>
          <w:p>
            <w:pPr>
              <w:adjustRightInd w:val="0"/>
              <w:spacing w:line="360" w:lineRule="auto"/>
              <w:jc w:val="center"/>
              <w:rPr>
                <w:rFonts w:ascii="宋体" w:hAnsi="宋体"/>
                <w:b/>
                <w:sz w:val="21"/>
                <w:szCs w:val="21"/>
              </w:rPr>
            </w:pPr>
            <w:r>
              <w:rPr>
                <w:rFonts w:hint="eastAsia" w:ascii="宋体" w:hAnsi="宋体"/>
                <w:b/>
                <w:sz w:val="21"/>
                <w:szCs w:val="21"/>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cs="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cs="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vAlign w:val="center"/>
          </w:tcPr>
          <w:p>
            <w:pPr>
              <w:numPr>
                <w:ilvl w:val="0"/>
                <w:numId w:val="18"/>
              </w:num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p>
        </w:tc>
        <w:tc>
          <w:tcPr>
            <w:tcW w:w="4394" w:type="dxa"/>
            <w:vAlign w:val="center"/>
          </w:tcPr>
          <w:p>
            <w:pPr>
              <w:adjustRightInd w:val="0"/>
              <w:spacing w:line="360" w:lineRule="auto"/>
              <w:jc w:val="center"/>
              <w:rPr>
                <w:rFonts w:ascii="宋体" w:hAnsi="宋体"/>
                <w:sz w:val="21"/>
                <w:szCs w:val="21"/>
              </w:rPr>
            </w:pPr>
          </w:p>
        </w:tc>
        <w:tc>
          <w:tcPr>
            <w:tcW w:w="2268" w:type="dxa"/>
            <w:vAlign w:val="center"/>
          </w:tcPr>
          <w:p>
            <w:pPr>
              <w:adjustRightInd w:val="0"/>
              <w:spacing w:line="360" w:lineRule="auto"/>
              <w:jc w:val="center"/>
              <w:rPr>
                <w:rFonts w:ascii="宋体" w:hAnsi="宋体"/>
                <w:sz w:val="21"/>
                <w:szCs w:val="21"/>
              </w:rPr>
            </w:pPr>
            <w:r>
              <w:rPr>
                <w:rFonts w:hint="eastAsia" w:ascii="宋体" w:hAnsi="宋体"/>
                <w:sz w:val="21"/>
                <w:szCs w:val="21"/>
              </w:rPr>
              <w:t>见（ ）页-（ ）页</w:t>
            </w:r>
          </w:p>
        </w:tc>
      </w:tr>
    </w:tbl>
    <w:p>
      <w:pPr>
        <w:adjustRightInd w:val="0"/>
        <w:spacing w:line="360" w:lineRule="auto"/>
        <w:jc w:val="center"/>
        <w:outlineLvl w:val="2"/>
        <w:rPr>
          <w:rFonts w:ascii="宋体" w:hAnsi="宋体"/>
        </w:rPr>
      </w:pPr>
      <w:r>
        <w:rPr>
          <w:rFonts w:hint="eastAsia" w:ascii="宋体" w:hAnsi="宋体"/>
          <w:b/>
          <w:sz w:val="30"/>
          <w:szCs w:val="30"/>
        </w:rPr>
        <w:t>其他资料自查表</w:t>
      </w:r>
    </w:p>
    <w:tbl>
      <w:tblPr>
        <w:tblStyle w:val="1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6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tcBorders>
              <w:top w:val="single" w:color="auto" w:sz="12" w:space="0"/>
              <w:left w:val="single" w:color="auto" w:sz="12" w:space="0"/>
              <w:bottom w:val="single" w:color="auto" w:sz="4" w:space="0"/>
              <w:right w:val="single" w:color="auto" w:sz="4" w:space="0"/>
            </w:tcBorders>
            <w:vAlign w:val="center"/>
          </w:tcPr>
          <w:p>
            <w:pPr>
              <w:adjustRightInd w:val="0"/>
              <w:spacing w:line="360" w:lineRule="auto"/>
              <w:jc w:val="center"/>
              <w:rPr>
                <w:rFonts w:ascii="宋体" w:hAnsi="宋体"/>
                <w:b/>
                <w:sz w:val="21"/>
                <w:szCs w:val="21"/>
              </w:rPr>
            </w:pPr>
            <w:r>
              <w:rPr>
                <w:rFonts w:hint="eastAsia" w:ascii="宋体" w:hAnsi="宋体"/>
                <w:b/>
                <w:sz w:val="21"/>
                <w:szCs w:val="21"/>
              </w:rPr>
              <w:t>序号</w:t>
            </w:r>
          </w:p>
        </w:tc>
        <w:tc>
          <w:tcPr>
            <w:tcW w:w="6662" w:type="dxa"/>
            <w:tcBorders>
              <w:top w:val="single" w:color="auto" w:sz="12"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b/>
                <w:sz w:val="21"/>
                <w:szCs w:val="21"/>
              </w:rPr>
            </w:pPr>
            <w:r>
              <w:rPr>
                <w:rFonts w:hint="eastAsia" w:ascii="宋体" w:hAnsi="宋体"/>
                <w:b/>
                <w:sz w:val="21"/>
                <w:szCs w:val="21"/>
              </w:rPr>
              <w:t>其他内容资料</w:t>
            </w:r>
          </w:p>
        </w:tc>
        <w:tc>
          <w:tcPr>
            <w:tcW w:w="2268" w:type="dxa"/>
            <w:tcBorders>
              <w:top w:val="single" w:color="auto" w:sz="12" w:space="0"/>
              <w:left w:val="single" w:color="auto" w:sz="4" w:space="0"/>
              <w:bottom w:val="single" w:color="auto" w:sz="4" w:space="0"/>
              <w:right w:val="single" w:color="auto" w:sz="12" w:space="0"/>
            </w:tcBorders>
            <w:vAlign w:val="center"/>
          </w:tcPr>
          <w:p>
            <w:pPr>
              <w:adjustRightInd w:val="0"/>
              <w:spacing w:line="360" w:lineRule="auto"/>
              <w:jc w:val="center"/>
              <w:rPr>
                <w:rFonts w:ascii="宋体" w:hAnsi="宋体"/>
                <w:b/>
                <w:sz w:val="21"/>
                <w:szCs w:val="21"/>
              </w:rPr>
            </w:pPr>
            <w:r>
              <w:rPr>
                <w:rFonts w:hint="eastAsia" w:ascii="宋体" w:hAnsi="宋体"/>
                <w:b/>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tcBorders>
              <w:top w:val="single" w:color="auto" w:sz="4" w:space="0"/>
              <w:left w:val="single" w:color="auto" w:sz="12" w:space="0"/>
              <w:bottom w:val="single" w:color="auto" w:sz="4" w:space="0"/>
              <w:right w:val="single" w:color="auto" w:sz="4" w:space="0"/>
            </w:tcBorders>
            <w:vAlign w:val="center"/>
          </w:tcPr>
          <w:p>
            <w:pPr>
              <w:numPr>
                <w:ilvl w:val="0"/>
                <w:numId w:val="19"/>
              </w:numPr>
              <w:adjustRightInd w:val="0"/>
              <w:spacing w:line="360" w:lineRule="auto"/>
              <w:jc w:val="center"/>
              <w:rPr>
                <w:rFonts w:ascii="宋体" w:hAnsi="宋体"/>
                <w:sz w:val="21"/>
                <w:szCs w:val="21"/>
              </w:rPr>
            </w:pPr>
          </w:p>
        </w:tc>
        <w:tc>
          <w:tcPr>
            <w:tcW w:w="666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Ansi="宋体" w:cs="Courier New"/>
                <w:sz w:val="21"/>
                <w:szCs w:val="21"/>
              </w:rPr>
            </w:pPr>
            <w:r>
              <w:rPr>
                <w:rFonts w:hint="eastAsia" w:hAnsi="宋体" w:cs="Courier New"/>
                <w:sz w:val="21"/>
                <w:szCs w:val="21"/>
              </w:rPr>
              <w:t>投标人基本情况表</w:t>
            </w: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360" w:lineRule="auto"/>
              <w:jc w:val="center"/>
              <w:rPr>
                <w:rFonts w:ascii="宋体" w:hAnsi="宋体"/>
                <w:sz w:val="21"/>
                <w:szCs w:val="21"/>
              </w:rPr>
            </w:pPr>
            <w:r>
              <w:rPr>
                <w:rFonts w:hint="eastAsia" w:ascii="宋体" w:hAnsi="宋体"/>
                <w:sz w:val="21"/>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9" w:type="dxa"/>
            <w:tcBorders>
              <w:top w:val="single" w:color="auto" w:sz="4" w:space="0"/>
              <w:left w:val="single" w:color="auto" w:sz="12" w:space="0"/>
              <w:bottom w:val="single" w:color="auto" w:sz="4" w:space="0"/>
              <w:right w:val="single" w:color="auto" w:sz="4" w:space="0"/>
            </w:tcBorders>
            <w:vAlign w:val="center"/>
          </w:tcPr>
          <w:p>
            <w:pPr>
              <w:numPr>
                <w:ilvl w:val="0"/>
                <w:numId w:val="19"/>
              </w:numPr>
              <w:adjustRightInd w:val="0"/>
              <w:spacing w:line="360" w:lineRule="auto"/>
              <w:jc w:val="center"/>
              <w:rPr>
                <w:rFonts w:ascii="宋体" w:hAnsi="宋体"/>
                <w:sz w:val="21"/>
                <w:szCs w:val="21"/>
              </w:rPr>
            </w:pPr>
          </w:p>
        </w:tc>
        <w:tc>
          <w:tcPr>
            <w:tcW w:w="666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宋体" w:hAnsi="宋体"/>
                <w:sz w:val="21"/>
                <w:szCs w:val="21"/>
              </w:rPr>
            </w:pPr>
            <w:r>
              <w:rPr>
                <w:rFonts w:ascii="宋体" w:hAnsi="宋体"/>
                <w:sz w:val="21"/>
                <w:szCs w:val="21"/>
              </w:rPr>
              <w:t>……</w:t>
            </w:r>
          </w:p>
        </w:tc>
        <w:tc>
          <w:tcPr>
            <w:tcW w:w="2268" w:type="dxa"/>
            <w:tcBorders>
              <w:top w:val="single" w:color="auto" w:sz="4" w:space="0"/>
              <w:left w:val="single" w:color="auto" w:sz="4" w:space="0"/>
              <w:bottom w:val="single" w:color="auto" w:sz="4" w:space="0"/>
              <w:right w:val="single" w:color="auto" w:sz="12" w:space="0"/>
            </w:tcBorders>
            <w:vAlign w:val="center"/>
          </w:tcPr>
          <w:p>
            <w:pPr>
              <w:adjustRightInd w:val="0"/>
              <w:spacing w:line="360" w:lineRule="auto"/>
              <w:jc w:val="center"/>
              <w:rPr>
                <w:rFonts w:ascii="宋体" w:hAnsi="宋体"/>
                <w:sz w:val="21"/>
                <w:szCs w:val="21"/>
              </w:rPr>
            </w:pPr>
            <w:r>
              <w:rPr>
                <w:rFonts w:hint="eastAsia" w:ascii="宋体" w:hAnsi="宋体"/>
                <w:sz w:val="21"/>
                <w:szCs w:val="21"/>
              </w:rPr>
              <w:t>见（ ）页</w:t>
            </w:r>
          </w:p>
        </w:tc>
      </w:tr>
    </w:tbl>
    <w:p>
      <w:pPr>
        <w:spacing w:line="360" w:lineRule="auto"/>
        <w:ind w:firstLine="480" w:firstLineChars="200"/>
        <w:rPr>
          <w:rFonts w:ascii="宋体" w:hAnsi="宋体"/>
          <w:sz w:val="24"/>
        </w:rPr>
      </w:pPr>
    </w:p>
    <w:p>
      <w:pPr>
        <w:spacing w:line="360" w:lineRule="auto"/>
        <w:rPr>
          <w:rFonts w:ascii="宋体" w:hAnsi="宋体"/>
          <w:sz w:val="24"/>
          <w:szCs w:val="24"/>
        </w:rPr>
      </w:pPr>
    </w:p>
    <w:p>
      <w:pPr>
        <w:rPr>
          <w:rFonts w:ascii="宋体" w:hAnsi="宋体"/>
          <w:b/>
          <w:bCs/>
          <w:sz w:val="24"/>
          <w:szCs w:val="24"/>
        </w:rPr>
      </w:pPr>
      <w:r>
        <w:rPr>
          <w:rFonts w:hint="eastAsia" w:ascii="宋体" w:hAnsi="宋体"/>
          <w:b/>
          <w:bCs/>
          <w:sz w:val="24"/>
          <w:szCs w:val="24"/>
        </w:rPr>
        <w:t>注：</w:t>
      </w:r>
    </w:p>
    <w:p>
      <w:pPr>
        <w:spacing w:line="440" w:lineRule="exact"/>
        <w:rPr>
          <w:rFonts w:ascii="宋体" w:hAnsi="宋体"/>
          <w:b/>
          <w:sz w:val="24"/>
          <w:szCs w:val="24"/>
        </w:rPr>
      </w:pPr>
      <w:r>
        <w:rPr>
          <w:rFonts w:hint="eastAsia" w:ascii="宋体" w:hAnsi="宋体"/>
          <w:b/>
          <w:sz w:val="24"/>
          <w:szCs w:val="24"/>
        </w:rPr>
        <w:t>（1）投标文件均按采购文件要求签名或签章并每一页均加盖投标人公章。</w:t>
      </w:r>
    </w:p>
    <w:p>
      <w:pPr>
        <w:spacing w:line="440" w:lineRule="exact"/>
        <w:rPr>
          <w:rFonts w:ascii="宋体" w:hAnsi="宋体"/>
          <w:b/>
          <w:sz w:val="24"/>
          <w:szCs w:val="24"/>
        </w:rPr>
      </w:pPr>
      <w:r>
        <w:rPr>
          <w:rFonts w:hint="eastAsia" w:ascii="宋体" w:hAnsi="宋体"/>
          <w:b/>
          <w:sz w:val="24"/>
          <w:szCs w:val="24"/>
        </w:rPr>
        <w:t>（2）投标文件需按照采购文件规定的顺序，编码装订。</w:t>
      </w:r>
    </w:p>
    <w:p>
      <w:pPr>
        <w:spacing w:line="440" w:lineRule="exact"/>
        <w:rPr>
          <w:rFonts w:ascii="宋体" w:hAnsi="宋体"/>
          <w:b/>
          <w:sz w:val="24"/>
          <w:szCs w:val="24"/>
        </w:rPr>
      </w:pPr>
      <w:r>
        <w:rPr>
          <w:rFonts w:hint="eastAsia" w:ascii="宋体" w:hAnsi="宋体"/>
          <w:b/>
          <w:sz w:val="24"/>
          <w:szCs w:val="24"/>
        </w:rPr>
        <w:t>（3）投标人认为有必要提交的其他文件可自行增加表格栏目。</w:t>
      </w:r>
    </w:p>
    <w:p>
      <w:pPr>
        <w:spacing w:line="440" w:lineRule="exact"/>
        <w:rPr>
          <w:rFonts w:ascii="宋体" w:hAnsi="宋体"/>
          <w:b/>
          <w:bCs/>
          <w:sz w:val="24"/>
          <w:szCs w:val="24"/>
        </w:rPr>
      </w:pPr>
      <w:r>
        <w:rPr>
          <w:rFonts w:hint="eastAsia" w:ascii="宋体" w:hAnsi="宋体"/>
          <w:b/>
          <w:sz w:val="24"/>
          <w:szCs w:val="24"/>
        </w:rPr>
        <w:t>（4）投标人所提供的证书类文件必须在有效期内。</w:t>
      </w:r>
    </w:p>
    <w:p>
      <w:pPr>
        <w:pStyle w:val="4"/>
        <w:tabs>
          <w:tab w:val="left" w:pos="420"/>
          <w:tab w:val="left" w:pos="630"/>
        </w:tabs>
        <w:adjustRightInd/>
        <w:spacing w:before="48" w:after="48"/>
        <w:textAlignment w:val="auto"/>
        <w:rPr>
          <w:szCs w:val="30"/>
        </w:rPr>
      </w:pPr>
      <w:r>
        <w:rPr>
          <w:sz w:val="24"/>
          <w:szCs w:val="24"/>
        </w:rPr>
        <w:br w:type="page"/>
      </w:r>
      <w:r>
        <w:rPr>
          <w:rFonts w:hint="eastAsia"/>
          <w:sz w:val="24"/>
        </w:rPr>
        <w:t xml:space="preserve">                          </w:t>
      </w:r>
      <w:r>
        <w:rPr>
          <w:rFonts w:hint="eastAsia"/>
          <w:szCs w:val="30"/>
        </w:rPr>
        <w:t>唱标信封内容格式</w:t>
      </w:r>
    </w:p>
    <w:p>
      <w:pPr>
        <w:spacing w:line="360" w:lineRule="auto"/>
        <w:jc w:val="center"/>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唱标信封须单独密封（该信封不要放入其它信封内），封口加盖公章，与投标文件一同递交，其内装以下内容：</w:t>
      </w:r>
    </w:p>
    <w:p>
      <w:pPr>
        <w:spacing w:line="360" w:lineRule="auto"/>
        <w:ind w:left="540"/>
        <w:rPr>
          <w:rFonts w:ascii="宋体" w:hAnsi="宋体"/>
          <w:bCs/>
          <w:sz w:val="24"/>
        </w:rPr>
      </w:pPr>
      <w:r>
        <w:rPr>
          <w:rFonts w:hint="eastAsia" w:ascii="宋体" w:hAnsi="宋体"/>
          <w:bCs/>
          <w:sz w:val="24"/>
        </w:rPr>
        <w:t>开标一览表(报价表)</w:t>
      </w:r>
    </w:p>
    <w:p>
      <w:pPr>
        <w:spacing w:line="360" w:lineRule="auto"/>
        <w:ind w:left="540"/>
        <w:rPr>
          <w:rFonts w:ascii="宋体" w:hAnsi="宋体"/>
          <w:bCs/>
          <w:sz w:val="24"/>
        </w:rPr>
      </w:pPr>
      <w:r>
        <w:rPr>
          <w:rFonts w:hint="eastAsia" w:ascii="宋体" w:hAnsi="宋体"/>
          <w:bCs/>
          <w:sz w:val="24"/>
        </w:rPr>
        <w:t>法定代表人证明书</w:t>
      </w:r>
    </w:p>
    <w:p>
      <w:pPr>
        <w:spacing w:line="360" w:lineRule="auto"/>
        <w:ind w:left="540"/>
        <w:rPr>
          <w:rFonts w:ascii="宋体" w:hAnsi="宋体"/>
          <w:bCs/>
          <w:sz w:val="24"/>
        </w:rPr>
      </w:pPr>
      <w:r>
        <w:rPr>
          <w:rFonts w:hint="eastAsia" w:ascii="宋体" w:hAnsi="宋体"/>
          <w:bCs/>
          <w:sz w:val="24"/>
        </w:rPr>
        <w:t>授权委托证明书（如适用）</w:t>
      </w:r>
    </w:p>
    <w:p>
      <w:pPr>
        <w:spacing w:line="360" w:lineRule="auto"/>
        <w:rPr>
          <w:rFonts w:ascii="宋体" w:hAnsi="宋体"/>
          <w:sz w:val="24"/>
        </w:rPr>
      </w:pPr>
    </w:p>
    <w:p>
      <w:pPr>
        <w:pStyle w:val="5"/>
        <w:rPr>
          <w:bCs/>
          <w:sz w:val="24"/>
        </w:rPr>
      </w:pPr>
      <w:r>
        <w:rPr>
          <w:sz w:val="24"/>
        </w:rPr>
        <w:br w:type="page"/>
      </w:r>
      <w:r>
        <w:rPr>
          <w:rFonts w:hint="eastAsia"/>
          <w:bCs/>
          <w:sz w:val="24"/>
        </w:rPr>
        <w:t>附件</w:t>
      </w:r>
      <w:bookmarkStart w:id="106" w:name="_Toc34535367"/>
      <w:bookmarkStart w:id="107" w:name="_Toc35834921"/>
      <w:bookmarkStart w:id="108" w:name="_Toc109467920"/>
      <w:bookmarkStart w:id="109" w:name="_Toc28489505"/>
      <w:bookmarkStart w:id="110" w:name="_Toc14450847"/>
      <w:r>
        <w:rPr>
          <w:rFonts w:hint="eastAsia"/>
          <w:bCs/>
          <w:sz w:val="24"/>
        </w:rPr>
        <w:t>1                     法定代表人证明书</w:t>
      </w:r>
      <w:bookmarkEnd w:id="106"/>
      <w:bookmarkEnd w:id="107"/>
      <w:bookmarkEnd w:id="108"/>
      <w:bookmarkEnd w:id="109"/>
      <w:bookmarkEnd w:id="110"/>
    </w:p>
    <w:p>
      <w:pPr>
        <w:pStyle w:val="30"/>
        <w:rPr>
          <w:color w:val="auto"/>
        </w:rPr>
      </w:pP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sz w:val="24"/>
        </w:rPr>
        <w:t>先生/女士，现任我公司</w:t>
      </w:r>
      <w:r>
        <w:rPr>
          <w:rFonts w:hint="eastAsia" w:ascii="宋体" w:hAnsi="宋体"/>
          <w:sz w:val="24"/>
          <w:u w:val="single"/>
        </w:rPr>
        <w:t xml:space="preserve">         </w:t>
      </w:r>
      <w:r>
        <w:rPr>
          <w:rFonts w:hint="eastAsia" w:ascii="宋体" w:hAnsi="宋体"/>
          <w:sz w:val="24"/>
        </w:rPr>
        <w:t>职务，为法定代表人，特此证明。</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单位（盖公章）：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附：</w:t>
      </w:r>
    </w:p>
    <w:p>
      <w:pPr>
        <w:spacing w:line="360" w:lineRule="auto"/>
        <w:rPr>
          <w:rFonts w:ascii="宋体" w:hAnsi="宋体"/>
          <w:sz w:val="24"/>
        </w:rPr>
      </w:pPr>
      <w:r>
        <w:rPr>
          <w:rFonts w:hint="eastAsia" w:ascii="宋体" w:hAnsi="宋体"/>
          <w:sz w:val="24"/>
        </w:rPr>
        <w:t>代表人性别：</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年龄：</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身份证号码：</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营业执照（注册号）：</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经济性质：</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主营（产）：</w:t>
      </w:r>
      <w:r>
        <w:rPr>
          <w:rFonts w:hint="eastAsia" w:ascii="宋体" w:hAnsi="宋体"/>
          <w:sz w:val="24"/>
          <w:u w:val="single"/>
        </w:rPr>
        <w:t xml:space="preserve">                              </w:t>
      </w:r>
    </w:p>
    <w:p>
      <w:pPr>
        <w:spacing w:line="360" w:lineRule="auto"/>
        <w:rPr>
          <w:rFonts w:ascii="宋体" w:hAnsi="宋体"/>
          <w:bCs/>
          <w:sz w:val="24"/>
          <w:u w:val="single"/>
        </w:rPr>
      </w:pP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2" name="文本框 12"/>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59264;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BlwAdcAAAAJAQAADwAAAAAAAAABACAAAAAi&#10;AAAAZHJzL2Rvd25yZXYueG1sUEsBAhQAFAAAAAgAh07iQMIuKo4LAgAAOAQAAA4AAAAAAAAAAQAg&#10;AAAAJgEAAGRycy9lMm9Eb2MueG1sUEsFBgAAAAAGAAYAWQEAAKMFA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18"/>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（法人代表身份证复印件）</w:t>
            </w:r>
          </w:p>
        </w:tc>
      </w:tr>
    </w:tbl>
    <w:p>
      <w:pPr>
        <w:spacing w:line="360" w:lineRule="auto"/>
        <w:ind w:left="560" w:hanging="560" w:hangingChars="200"/>
        <w:rPr>
          <w:rFonts w:ascii="宋体" w:hAnsi="宋体"/>
          <w:bCs/>
        </w:rPr>
      </w:pPr>
    </w:p>
    <w:p>
      <w:pPr>
        <w:spacing w:line="360" w:lineRule="auto"/>
        <w:ind w:left="562" w:hanging="562" w:hangingChars="200"/>
        <w:rPr>
          <w:rFonts w:ascii="宋体" w:hAnsi="宋体"/>
          <w:b/>
          <w:bCs/>
        </w:rPr>
      </w:pPr>
      <w:r>
        <w:rPr>
          <w:rFonts w:hint="eastAsia" w:ascii="宋体" w:hAnsi="宋体"/>
          <w:b/>
          <w:bCs/>
        </w:rPr>
        <w:t>注：法定代表人的姓名必须与营业执照法定代表人姓名完全一致。</w:t>
      </w:r>
    </w:p>
    <w:p>
      <w:pPr>
        <w:pStyle w:val="5"/>
        <w:rPr>
          <w:bCs/>
          <w:sz w:val="24"/>
        </w:rPr>
      </w:pPr>
      <w:r>
        <w:br w:type="page"/>
      </w:r>
      <w:bookmarkStart w:id="111" w:name="_Toc34535368"/>
      <w:bookmarkStart w:id="112" w:name="_Toc35834922"/>
      <w:bookmarkStart w:id="113" w:name="_Toc28489506"/>
      <w:bookmarkStart w:id="114" w:name="_Toc109467921"/>
      <w:bookmarkStart w:id="115" w:name="_Toc14450848"/>
      <w:r>
        <w:rPr>
          <w:rFonts w:hint="eastAsia"/>
          <w:bCs/>
          <w:sz w:val="24"/>
        </w:rPr>
        <w:t>附件2                    法定代表人授权委托书</w:t>
      </w:r>
      <w:bookmarkEnd w:id="111"/>
      <w:bookmarkEnd w:id="112"/>
      <w:bookmarkEnd w:id="113"/>
      <w:bookmarkEnd w:id="114"/>
      <w:bookmarkEnd w:id="115"/>
    </w:p>
    <w:p>
      <w:pPr>
        <w:pStyle w:val="30"/>
        <w:rPr>
          <w:color w:val="auto"/>
        </w:rPr>
      </w:pPr>
    </w:p>
    <w:p>
      <w:pPr>
        <w:spacing w:line="360" w:lineRule="auto"/>
        <w:ind w:left="2" w:firstLine="460" w:firstLineChars="192"/>
        <w:rPr>
          <w:rFonts w:ascii="宋体" w:hAnsi="宋体"/>
          <w:bCs/>
          <w:sz w:val="24"/>
        </w:rPr>
      </w:pPr>
      <w:r>
        <w:rPr>
          <w:rFonts w:hint="eastAsia" w:ascii="宋体" w:hAnsi="宋体"/>
          <w:bCs/>
          <w:sz w:val="24"/>
        </w:rPr>
        <w:t>本授权书声明：注册于</w:t>
      </w:r>
      <w:r>
        <w:rPr>
          <w:rFonts w:hint="eastAsia" w:ascii="宋体" w:hAnsi="宋体"/>
          <w:bCs/>
          <w:sz w:val="24"/>
          <w:u w:val="single"/>
        </w:rPr>
        <w:t>（国家或地区）</w:t>
      </w:r>
      <w:r>
        <w:rPr>
          <w:rFonts w:hint="eastAsia" w:ascii="宋体" w:hAnsi="宋体"/>
          <w:bCs/>
          <w:sz w:val="24"/>
        </w:rPr>
        <w:t>的</w:t>
      </w:r>
      <w:r>
        <w:rPr>
          <w:rFonts w:hint="eastAsia" w:ascii="宋体" w:hAnsi="宋体"/>
          <w:bCs/>
          <w:sz w:val="24"/>
          <w:u w:val="single"/>
        </w:rPr>
        <w:t>（投标人名称）</w:t>
      </w:r>
      <w:r>
        <w:rPr>
          <w:rFonts w:hint="eastAsia" w:ascii="宋体" w:hAnsi="宋体"/>
          <w:bCs/>
          <w:sz w:val="24"/>
        </w:rPr>
        <w:t>在下面签字的</w:t>
      </w:r>
      <w:r>
        <w:rPr>
          <w:rFonts w:hint="eastAsia" w:ascii="宋体" w:hAnsi="宋体"/>
          <w:bCs/>
          <w:sz w:val="24"/>
          <w:u w:val="single"/>
        </w:rPr>
        <w:t>（法定代表人姓名、职务）</w:t>
      </w:r>
      <w:r>
        <w:rPr>
          <w:rFonts w:hint="eastAsia" w:ascii="宋体" w:hAnsi="宋体"/>
          <w:bCs/>
          <w:sz w:val="24"/>
        </w:rPr>
        <w:t>代表本公司授权</w:t>
      </w:r>
      <w:r>
        <w:rPr>
          <w:rFonts w:hint="eastAsia" w:ascii="宋体" w:hAnsi="宋体"/>
          <w:bCs/>
          <w:sz w:val="24"/>
          <w:u w:val="single"/>
        </w:rPr>
        <w:t>（单位名称）</w:t>
      </w:r>
      <w:r>
        <w:rPr>
          <w:rFonts w:hint="eastAsia" w:ascii="宋体" w:hAnsi="宋体"/>
          <w:bCs/>
          <w:sz w:val="24"/>
        </w:rPr>
        <w:t>的在下面签字的</w:t>
      </w:r>
      <w:r>
        <w:rPr>
          <w:rFonts w:hint="eastAsia" w:ascii="宋体" w:hAnsi="宋体"/>
          <w:bCs/>
          <w:sz w:val="24"/>
          <w:u w:val="single"/>
        </w:rPr>
        <w:t>（授权代表姓名、职务）</w:t>
      </w:r>
      <w:r>
        <w:rPr>
          <w:rFonts w:hint="eastAsia" w:ascii="宋体" w:hAnsi="宋体"/>
          <w:bCs/>
          <w:sz w:val="24"/>
        </w:rPr>
        <w:t>为本公司的合法代理人，就项目编号为</w:t>
      </w:r>
      <w:r>
        <w:rPr>
          <w:rFonts w:hint="eastAsia" w:ascii="宋体" w:hAnsi="宋体"/>
          <w:bCs/>
          <w:sz w:val="24"/>
          <w:u w:val="single"/>
        </w:rPr>
        <w:t>　　　　　　</w:t>
      </w:r>
      <w:r>
        <w:rPr>
          <w:rFonts w:hint="eastAsia" w:ascii="宋体" w:hAnsi="宋体"/>
          <w:bCs/>
          <w:sz w:val="24"/>
          <w:shd w:val="clear" w:color="auto" w:fill="FFFFFF"/>
        </w:rPr>
        <w:t>的</w:t>
      </w:r>
      <w:r>
        <w:rPr>
          <w:rFonts w:hint="eastAsia" w:ascii="宋体" w:hAnsi="宋体"/>
          <w:bCs/>
          <w:sz w:val="24"/>
          <w:u w:val="single"/>
          <w:shd w:val="clear" w:color="auto" w:fill="FFFFFF"/>
        </w:rPr>
        <w:t>（采购人名称）</w:t>
      </w:r>
      <w:r>
        <w:rPr>
          <w:rFonts w:hint="eastAsia" w:ascii="宋体" w:hAnsi="宋体"/>
          <w:bCs/>
          <w:sz w:val="24"/>
          <w:shd w:val="clear" w:color="auto" w:fill="FFFFFF"/>
        </w:rPr>
        <w:t>采购</w:t>
      </w:r>
      <w:r>
        <w:rPr>
          <w:rFonts w:hint="eastAsia" w:ascii="宋体" w:hAnsi="宋体"/>
          <w:sz w:val="24"/>
          <w:u w:val="single"/>
        </w:rPr>
        <w:t>　　　</w:t>
      </w:r>
      <w:r>
        <w:rPr>
          <w:rFonts w:hint="eastAsia" w:ascii="宋体" w:hAnsi="宋体"/>
          <w:bCs/>
          <w:sz w:val="24"/>
          <w:u w:val="single"/>
          <w:shd w:val="clear" w:color="auto" w:fill="FFFFFF"/>
        </w:rPr>
        <w:t>项目</w:t>
      </w:r>
      <w:r>
        <w:rPr>
          <w:rFonts w:hint="eastAsia" w:ascii="宋体" w:hAnsi="宋体"/>
          <w:bCs/>
          <w:sz w:val="24"/>
          <w:shd w:val="clear" w:color="auto" w:fill="FFFFFF"/>
        </w:rPr>
        <w:t>的投标和合同执行</w:t>
      </w:r>
      <w:r>
        <w:rPr>
          <w:rFonts w:hint="eastAsia" w:ascii="宋体" w:hAnsi="宋体"/>
          <w:bCs/>
          <w:sz w:val="24"/>
        </w:rPr>
        <w:t>，作为投标人代表以本公司的名义处理一切与之有关的事宜。</w:t>
      </w:r>
    </w:p>
    <w:p>
      <w:pPr>
        <w:spacing w:line="360" w:lineRule="auto"/>
        <w:ind w:left="2" w:firstLine="460" w:firstLineChars="192"/>
        <w:rPr>
          <w:rFonts w:ascii="宋体" w:hAnsi="宋体"/>
          <w:bCs/>
          <w:sz w:val="24"/>
        </w:rPr>
      </w:pPr>
      <w:r>
        <w:rPr>
          <w:rFonts w:hint="eastAsia" w:ascii="宋体" w:hAnsi="宋体"/>
          <w:sz w:val="24"/>
        </w:rPr>
        <w:t>代理人无转委权。</w:t>
      </w:r>
    </w:p>
    <w:p>
      <w:pPr>
        <w:spacing w:line="360" w:lineRule="auto"/>
        <w:ind w:left="2" w:firstLine="460" w:firstLineChars="192"/>
        <w:rPr>
          <w:rFonts w:ascii="宋体" w:hAnsi="宋体"/>
          <w:bCs/>
          <w:sz w:val="24"/>
        </w:rPr>
      </w:pPr>
      <w:r>
        <w:rPr>
          <w:rFonts w:hint="eastAsia" w:ascii="宋体" w:hAnsi="宋体"/>
          <w:bCs/>
          <w:sz w:val="24"/>
        </w:rPr>
        <w:t>本授权书于</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日签字生效，</w:t>
      </w:r>
      <w:r>
        <w:rPr>
          <w:rFonts w:hint="eastAsia" w:ascii="宋体" w:hAnsi="宋体"/>
          <w:sz w:val="24"/>
        </w:rPr>
        <w:t>有效日期：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sz w:val="24"/>
        </w:rPr>
        <w:t xml:space="preserve">  </w:t>
      </w:r>
      <w:r>
        <w:rPr>
          <w:rFonts w:hint="eastAsia" w:ascii="宋体" w:hAnsi="宋体"/>
          <w:bCs/>
          <w:sz w:val="24"/>
        </w:rPr>
        <w:t>特此声明。</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法定代表人签字或盖章：</w:t>
      </w:r>
      <w:r>
        <w:rPr>
          <w:rFonts w:hint="eastAsia" w:ascii="宋体" w:hAnsi="宋体"/>
          <w:bCs/>
          <w:sz w:val="24"/>
          <w:u w:val="single"/>
        </w:rPr>
        <w:t xml:space="preserve">                                  </w:t>
      </w:r>
    </w:p>
    <w:p>
      <w:pPr>
        <w:spacing w:line="360" w:lineRule="auto"/>
        <w:ind w:firstLine="480" w:firstLineChars="200"/>
        <w:rPr>
          <w:rFonts w:ascii="宋体" w:hAnsi="宋体"/>
          <w:bCs/>
          <w:sz w:val="24"/>
        </w:rPr>
      </w:pPr>
      <w:r>
        <w:rPr>
          <w:rFonts w:hint="eastAsia" w:ascii="宋体" w:hAnsi="宋体"/>
          <w:bCs/>
          <w:sz w:val="24"/>
        </w:rPr>
        <w:t>职                务：</w:t>
      </w:r>
      <w:r>
        <w:rPr>
          <w:rFonts w:hint="eastAsia" w:ascii="宋体" w:hAnsi="宋体"/>
          <w:bCs/>
          <w:sz w:val="24"/>
          <w:u w:val="single"/>
        </w:rPr>
        <w:t xml:space="preserve">                                  </w:t>
      </w:r>
    </w:p>
    <w:p>
      <w:pPr>
        <w:spacing w:line="360" w:lineRule="auto"/>
        <w:rPr>
          <w:rFonts w:ascii="宋体" w:hAnsi="宋体"/>
          <w:bCs/>
          <w:sz w:val="24"/>
        </w:rPr>
      </w:pPr>
    </w:p>
    <w:p>
      <w:pPr>
        <w:spacing w:line="360" w:lineRule="auto"/>
        <w:ind w:firstLine="480" w:firstLineChars="200"/>
        <w:rPr>
          <w:rFonts w:ascii="宋体" w:hAnsi="宋体"/>
          <w:bCs/>
          <w:sz w:val="24"/>
        </w:rPr>
      </w:pPr>
      <w:r>
        <w:rPr>
          <w:rFonts w:hint="eastAsia" w:ascii="宋体" w:hAnsi="宋体"/>
          <w:bCs/>
          <w:sz w:val="24"/>
        </w:rPr>
        <w:t>投标人代表（授权代表）签字或盖章：</w:t>
      </w:r>
      <w:r>
        <w:rPr>
          <w:rFonts w:hint="eastAsia" w:ascii="宋体" w:hAnsi="宋体"/>
          <w:bCs/>
          <w:sz w:val="24"/>
          <w:u w:val="single"/>
        </w:rPr>
        <w:t xml:space="preserve">                    </w:t>
      </w:r>
    </w:p>
    <w:p>
      <w:pPr>
        <w:spacing w:line="360" w:lineRule="auto"/>
        <w:rPr>
          <w:rFonts w:ascii="宋体" w:hAnsi="宋体"/>
          <w:bCs/>
          <w:sz w:val="24"/>
        </w:rPr>
      </w:pPr>
    </w:p>
    <w:p>
      <w:pPr>
        <w:spacing w:line="360" w:lineRule="auto"/>
        <w:rPr>
          <w:rFonts w:ascii="宋体" w:hAnsi="宋体"/>
          <w:bCs/>
          <w:sz w:val="24"/>
          <w:u w:val="single"/>
        </w:rPr>
      </w:pPr>
      <w:r>
        <w:rPr>
          <w:rFonts w:ascii="宋体" w:hAnsi="宋体"/>
          <w:bCs/>
          <w:sz w:val="20"/>
          <w:u w:val="single"/>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99060</wp:posOffset>
                </wp:positionV>
                <wp:extent cx="1714500" cy="434340"/>
                <wp:effectExtent l="4445" t="4445" r="14605" b="18415"/>
                <wp:wrapNone/>
                <wp:docPr id="13" name="文本框 13"/>
                <wp:cNvGraphicFramePr/>
                <a:graphic xmlns:a="http://schemas.openxmlformats.org/drawingml/2006/main">
                  <a:graphicData uri="http://schemas.microsoft.com/office/word/2010/wordprocessingShape">
                    <wps:wsp>
                      <wps:cNvSpPr txBox="1"/>
                      <wps:spPr>
                        <a:xfrm>
                          <a:off x="0" y="0"/>
                          <a:ext cx="17145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加盖投标人公章</w:t>
                            </w:r>
                          </w:p>
                          <w:p/>
                        </w:txbxContent>
                      </wps:txbx>
                      <wps:bodyPr upright="1"/>
                    </wps:wsp>
                  </a:graphicData>
                </a:graphic>
              </wp:anchor>
            </w:drawing>
          </mc:Choice>
          <mc:Fallback>
            <w:pict>
              <v:shape id="_x0000_s1026" o:spid="_x0000_s1026" o:spt="202" type="#_x0000_t202" style="position:absolute;left:0pt;margin-left:171pt;margin-top:7.8pt;height:34.2pt;width:135pt;z-index:251660288;mso-width-relative:page;mso-height-relative:page;" fillcolor="#FFFFFF" filled="t" stroked="t" coordsize="21600,21600" o:gfxdata="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ZcAHXAAAACQEAAA8AAAAAAAAAAQAgAAAA&#10;IgAAAGRycy9kb3ducmV2LnhtbFBLAQIUABQAAAAIAIdO4kDJ2rgfDAIAADgEAAAOAAAAAAAAAAEA&#10;IAAAACYBAABkcnMvZTJvRG9jLnhtbFBLBQYAAAAABgAGAFkBAACkBQAAAAA=&#10;">
                <v:fill on="t" focussize="0,0"/>
                <v:stroke color="#000000" joinstyle="miter"/>
                <v:imagedata o:title=""/>
                <o:lock v:ext="edit" aspectratio="f"/>
                <v:textbox>
                  <w:txbxContent>
                    <w:p>
                      <w:pPr>
                        <w:jc w:val="center"/>
                      </w:pPr>
                      <w:r>
                        <w:rPr>
                          <w:rFonts w:hint="eastAsia"/>
                        </w:rPr>
                        <w:t>加盖投标人公章</w:t>
                      </w:r>
                    </w:p>
                    <w:p/>
                  </w:txbxContent>
                </v:textbox>
              </v:shape>
            </w:pict>
          </mc:Fallback>
        </mc:AlternateContent>
      </w:r>
    </w:p>
    <w:tbl>
      <w:tblPr>
        <w:tblStyle w:val="18"/>
        <w:tblW w:w="7740"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trPr>
        <w:tc>
          <w:tcPr>
            <w:tcW w:w="7740" w:type="dxa"/>
            <w:vAlign w:val="center"/>
          </w:tcPr>
          <w:p>
            <w:pPr>
              <w:spacing w:line="460" w:lineRule="exact"/>
              <w:ind w:right="-85" w:firstLine="589"/>
              <w:jc w:val="center"/>
              <w:rPr>
                <w:rFonts w:ascii="宋体" w:hAnsi="宋体"/>
              </w:rPr>
            </w:pPr>
            <w:r>
              <w:rPr>
                <w:rFonts w:hint="eastAsia" w:ascii="宋体" w:hAnsi="宋体"/>
              </w:rPr>
              <w:t>（投标人代表身份证复印件）</w:t>
            </w:r>
          </w:p>
        </w:tc>
      </w:tr>
    </w:tbl>
    <w:p>
      <w:pPr>
        <w:pStyle w:val="5"/>
        <w:rPr>
          <w:sz w:val="24"/>
        </w:rPr>
      </w:pPr>
    </w:p>
    <w:p/>
    <w:p/>
    <w:p/>
    <w:p/>
    <w:p/>
    <w:p>
      <w:pPr>
        <w:pStyle w:val="5"/>
        <w:rPr>
          <w:bCs/>
          <w:sz w:val="24"/>
        </w:rPr>
      </w:pPr>
      <w:r>
        <w:rPr>
          <w:rFonts w:hint="eastAsia"/>
          <w:bCs/>
          <w:sz w:val="24"/>
        </w:rPr>
        <w:t xml:space="preserve">附件3                            </w:t>
      </w:r>
    </w:p>
    <w:p>
      <w:pPr>
        <w:pStyle w:val="5"/>
        <w:ind w:firstLine="3306" w:firstLineChars="1372"/>
        <w:rPr>
          <w:bCs/>
          <w:sz w:val="24"/>
        </w:rPr>
      </w:pPr>
      <w:r>
        <w:rPr>
          <w:rFonts w:hint="eastAsia"/>
          <w:bCs/>
          <w:sz w:val="24"/>
        </w:rPr>
        <w:t xml:space="preserve">    投标函</w:t>
      </w:r>
    </w:p>
    <w:p>
      <w:pPr>
        <w:pStyle w:val="30"/>
        <w:rPr>
          <w:color w:val="auto"/>
        </w:rPr>
      </w:pPr>
    </w:p>
    <w:p>
      <w:pPr>
        <w:spacing w:line="360" w:lineRule="auto"/>
        <w:rPr>
          <w:rFonts w:ascii="宋体" w:hAnsi="宋体"/>
          <w:sz w:val="24"/>
        </w:rPr>
      </w:pPr>
      <w:r>
        <w:rPr>
          <w:rFonts w:hint="eastAsia" w:ascii="宋体" w:hAnsi="宋体"/>
          <w:sz w:val="24"/>
        </w:rPr>
        <w:t>致：广州南沙湿地旅游发展有限公司</w:t>
      </w:r>
    </w:p>
    <w:p>
      <w:pPr>
        <w:pStyle w:val="9"/>
        <w:spacing w:line="360" w:lineRule="auto"/>
        <w:ind w:firstLine="480" w:firstLineChars="200"/>
        <w:rPr>
          <w:rFonts w:hAnsi="宋体"/>
          <w:sz w:val="24"/>
          <w:szCs w:val="24"/>
        </w:rPr>
      </w:pPr>
      <w:r>
        <w:rPr>
          <w:rFonts w:hint="eastAsia" w:hAnsi="宋体"/>
          <w:sz w:val="24"/>
          <w:szCs w:val="24"/>
        </w:rPr>
        <w:t>为响应你方组织的</w:t>
      </w:r>
      <w:r>
        <w:rPr>
          <w:rFonts w:hint="eastAsia" w:hAnsi="宋体"/>
          <w:sz w:val="24"/>
          <w:szCs w:val="24"/>
          <w:u w:val="single"/>
        </w:rPr>
        <w:t xml:space="preserve">  </w:t>
      </w:r>
      <w:bookmarkStart w:id="116" w:name="fsmingc_6"/>
      <w:r>
        <w:rPr>
          <w:rFonts w:hint="eastAsia" w:hAnsi="宋体"/>
          <w:sz w:val="24"/>
          <w:szCs w:val="24"/>
          <w:u w:val="single"/>
        </w:rPr>
        <w:t>(项目名称)</w:t>
      </w:r>
      <w:bookmarkEnd w:id="116"/>
      <w:r>
        <w:rPr>
          <w:rFonts w:hint="eastAsia" w:hAnsi="宋体"/>
          <w:sz w:val="24"/>
          <w:szCs w:val="24"/>
          <w:u w:val="single"/>
        </w:rPr>
        <w:t xml:space="preserve">  </w:t>
      </w:r>
      <w:r>
        <w:rPr>
          <w:rFonts w:hint="eastAsia" w:hAnsi="宋体"/>
          <w:kern w:val="28"/>
          <w:sz w:val="24"/>
          <w:szCs w:val="24"/>
        </w:rPr>
        <w:t>项目</w:t>
      </w:r>
      <w:r>
        <w:rPr>
          <w:rFonts w:hint="eastAsia" w:hAnsi="宋体"/>
          <w:sz w:val="24"/>
          <w:szCs w:val="24"/>
        </w:rPr>
        <w:t>的采购，我方愿参与投标。</w:t>
      </w:r>
    </w:p>
    <w:p>
      <w:pPr>
        <w:pStyle w:val="9"/>
        <w:spacing w:line="360" w:lineRule="auto"/>
        <w:ind w:firstLine="480" w:firstLineChars="200"/>
        <w:rPr>
          <w:rFonts w:hAnsi="宋体"/>
          <w:sz w:val="24"/>
          <w:szCs w:val="24"/>
        </w:rPr>
      </w:pPr>
      <w:r>
        <w:rPr>
          <w:rFonts w:hint="eastAsia" w:hAnsi="宋体"/>
          <w:sz w:val="24"/>
          <w:szCs w:val="24"/>
        </w:rPr>
        <w:t>我方确认收到贵方提供的</w:t>
      </w:r>
      <w:r>
        <w:rPr>
          <w:rFonts w:hAnsi="宋体"/>
          <w:kern w:val="28"/>
          <w:sz w:val="24"/>
          <w:szCs w:val="24"/>
          <w:u w:val="single"/>
        </w:rPr>
        <w:t xml:space="preserve">  </w:t>
      </w:r>
      <w:bookmarkStart w:id="117" w:name="fsmingc_7"/>
      <w:r>
        <w:rPr>
          <w:rFonts w:hint="eastAsia" w:hAnsi="宋体"/>
          <w:kern w:val="28"/>
          <w:sz w:val="24"/>
          <w:szCs w:val="24"/>
          <w:u w:val="single"/>
        </w:rPr>
        <w:t>(项目名称)</w:t>
      </w:r>
      <w:bookmarkEnd w:id="117"/>
      <w:r>
        <w:rPr>
          <w:rFonts w:hAnsi="宋体"/>
          <w:kern w:val="28"/>
          <w:sz w:val="24"/>
          <w:szCs w:val="24"/>
          <w:u w:val="single"/>
        </w:rPr>
        <w:t xml:space="preserve">  </w:t>
      </w:r>
      <w:r>
        <w:rPr>
          <w:rFonts w:hint="eastAsia" w:hAnsi="宋体"/>
          <w:sz w:val="24"/>
          <w:szCs w:val="24"/>
        </w:rPr>
        <w:t>的采购文件的全部内容。</w:t>
      </w:r>
    </w:p>
    <w:p>
      <w:pPr>
        <w:pStyle w:val="9"/>
        <w:spacing w:line="360" w:lineRule="auto"/>
        <w:ind w:firstLine="480" w:firstLineChars="200"/>
        <w:rPr>
          <w:rFonts w:hAnsi="宋体"/>
          <w:sz w:val="24"/>
          <w:szCs w:val="24"/>
        </w:rPr>
      </w:pPr>
      <w:r>
        <w:rPr>
          <w:rFonts w:hint="eastAsia" w:hAnsi="宋体"/>
          <w:sz w:val="24"/>
          <w:szCs w:val="24"/>
        </w:rPr>
        <w:t>我方在参与投标前已详细研究了采购文件的所有内容，包括澄清、修改文件（如有）和所有已提供的参考资料以及有关附件，我方完全明白并认为此采购文件没有倾向性，也不存在排斥潜在投标人的内容，我方同意采购文件的相关条款，放弃对采购文件提出误解和质疑的一切权力。</w:t>
      </w:r>
    </w:p>
    <w:p>
      <w:pPr>
        <w:spacing w:line="360" w:lineRule="auto"/>
        <w:ind w:firstLine="480" w:firstLineChars="200"/>
        <w:rPr>
          <w:rFonts w:ascii="宋体" w:hAnsi="宋体"/>
          <w:sz w:val="24"/>
        </w:rPr>
      </w:pPr>
      <w:r>
        <w:rPr>
          <w:rFonts w:hint="eastAsia" w:ascii="宋体" w:hAnsi="宋体"/>
          <w:sz w:val="24"/>
          <w:u w:val="single"/>
        </w:rPr>
        <w:t xml:space="preserve">      </w:t>
      </w:r>
      <w:r>
        <w:rPr>
          <w:rFonts w:hint="eastAsia" w:ascii="宋体" w:hAnsi="宋体"/>
          <w:i/>
          <w:sz w:val="24"/>
          <w:u w:val="single"/>
        </w:rPr>
        <w:t>(投标人名称)</w:t>
      </w:r>
      <w:r>
        <w:rPr>
          <w:rFonts w:hint="eastAsia" w:ascii="宋体" w:hAnsi="宋体"/>
          <w:sz w:val="24"/>
          <w:u w:val="single"/>
        </w:rPr>
        <w:t xml:space="preserve">      </w:t>
      </w:r>
      <w:r>
        <w:rPr>
          <w:rFonts w:hint="eastAsia" w:ascii="宋体" w:hAnsi="宋体"/>
          <w:sz w:val="24"/>
        </w:rPr>
        <w:t>作为投标人正式授权</w:t>
      </w:r>
      <w:r>
        <w:rPr>
          <w:rFonts w:hint="eastAsia" w:ascii="宋体" w:hAnsi="宋体"/>
          <w:sz w:val="24"/>
          <w:u w:val="single"/>
        </w:rPr>
        <w:t xml:space="preserve">  </w:t>
      </w:r>
      <w:r>
        <w:rPr>
          <w:rFonts w:hint="eastAsia" w:ascii="宋体" w:hAnsi="宋体"/>
          <w:i/>
          <w:sz w:val="24"/>
          <w:u w:val="single"/>
        </w:rPr>
        <w:t xml:space="preserve">(授权代表全名, 职务)  </w:t>
      </w:r>
      <w:r>
        <w:rPr>
          <w:rFonts w:hint="eastAsia" w:ascii="宋体" w:hAnsi="宋体"/>
          <w:sz w:val="24"/>
        </w:rPr>
        <w:t>代表我方全权处理有关本投标的一切事宜。</w:t>
      </w:r>
    </w:p>
    <w:p>
      <w:pPr>
        <w:spacing w:line="360" w:lineRule="auto"/>
        <w:ind w:firstLine="480" w:firstLineChars="200"/>
        <w:rPr>
          <w:rFonts w:ascii="宋体" w:hAnsi="宋体"/>
          <w:sz w:val="24"/>
        </w:rPr>
      </w:pPr>
      <w:r>
        <w:rPr>
          <w:rFonts w:hint="eastAsia" w:ascii="宋体" w:hAnsi="宋体"/>
          <w:sz w:val="24"/>
        </w:rPr>
        <w:t>在此提交的投标文件，正本壹份，副本肆份。</w:t>
      </w:r>
    </w:p>
    <w:p>
      <w:pPr>
        <w:pStyle w:val="9"/>
        <w:spacing w:line="360" w:lineRule="auto"/>
        <w:ind w:firstLine="480" w:firstLineChars="200"/>
        <w:rPr>
          <w:rFonts w:hAnsi="宋体"/>
          <w:sz w:val="24"/>
          <w:szCs w:val="24"/>
        </w:rPr>
      </w:pPr>
      <w:r>
        <w:rPr>
          <w:rFonts w:hint="eastAsia" w:hAnsi="宋体"/>
          <w:sz w:val="24"/>
          <w:szCs w:val="24"/>
        </w:rPr>
        <w:t>我方已完全明白采购文件的所有条款要求，并申明如下：</w:t>
      </w:r>
    </w:p>
    <w:p>
      <w:pPr>
        <w:pStyle w:val="9"/>
        <w:spacing w:line="360" w:lineRule="auto"/>
        <w:ind w:firstLine="480" w:firstLineChars="200"/>
        <w:rPr>
          <w:rFonts w:hAnsi="宋体"/>
          <w:sz w:val="24"/>
          <w:szCs w:val="24"/>
        </w:rPr>
      </w:pPr>
      <w:r>
        <w:rPr>
          <w:rFonts w:hint="eastAsia" w:hAnsi="宋体"/>
          <w:sz w:val="24"/>
          <w:szCs w:val="24"/>
        </w:rPr>
        <w:t>（一）按采购文件提供的相关服务的投标总价详见《开标一览表(报价表)》。</w:t>
      </w:r>
    </w:p>
    <w:p>
      <w:pPr>
        <w:pStyle w:val="9"/>
        <w:spacing w:line="360" w:lineRule="auto"/>
        <w:ind w:firstLine="480" w:firstLineChars="200"/>
        <w:rPr>
          <w:rFonts w:hAnsi="宋体"/>
          <w:sz w:val="24"/>
          <w:szCs w:val="24"/>
        </w:rPr>
      </w:pPr>
      <w:r>
        <w:rPr>
          <w:rFonts w:hint="eastAsia" w:hAnsi="宋体"/>
          <w:sz w:val="24"/>
          <w:szCs w:val="24"/>
        </w:rPr>
        <w:t>（二）本投标文件的有效期为投标截止时间起90天。如中标，有效期将延至合同终止之日为止。在此提交的资格证明文件均至投标截止日有效，如有在投标有效期内失效的，我方承诺在中标后补齐一切手续，保证所有资格证明文件能在签订采购合同时直至采购合同终止日有效。</w:t>
      </w:r>
    </w:p>
    <w:p>
      <w:pPr>
        <w:pStyle w:val="9"/>
        <w:spacing w:line="360" w:lineRule="auto"/>
        <w:ind w:firstLine="480" w:firstLineChars="200"/>
        <w:rPr>
          <w:rFonts w:hAnsi="宋体"/>
          <w:sz w:val="24"/>
          <w:szCs w:val="24"/>
        </w:rPr>
      </w:pPr>
      <w:r>
        <w:rPr>
          <w:rFonts w:hint="eastAsia" w:hAnsi="宋体"/>
          <w:sz w:val="24"/>
          <w:szCs w:val="24"/>
        </w:rPr>
        <w:t>（三）我方明白并同意，在规定的投标截止日之后，投标有效期之内不得撤回投标。</w:t>
      </w:r>
    </w:p>
    <w:p>
      <w:pPr>
        <w:pStyle w:val="9"/>
        <w:spacing w:line="360" w:lineRule="auto"/>
        <w:ind w:firstLine="480" w:firstLineChars="200"/>
        <w:rPr>
          <w:rFonts w:hAnsi="宋体"/>
          <w:sz w:val="24"/>
          <w:szCs w:val="24"/>
        </w:rPr>
      </w:pPr>
      <w:r>
        <w:rPr>
          <w:rFonts w:hint="eastAsia" w:hAnsi="宋体"/>
          <w:sz w:val="24"/>
          <w:szCs w:val="24"/>
        </w:rPr>
        <w:t>（四）我方同意按照贵方可能提出的要求而提供与投标有关的任何其它数据、信息或资料。</w:t>
      </w:r>
    </w:p>
    <w:p>
      <w:pPr>
        <w:pStyle w:val="9"/>
        <w:spacing w:line="360" w:lineRule="auto"/>
        <w:ind w:firstLine="480" w:firstLineChars="200"/>
        <w:rPr>
          <w:rFonts w:hAnsi="宋体"/>
          <w:sz w:val="24"/>
          <w:szCs w:val="24"/>
        </w:rPr>
      </w:pPr>
      <w:r>
        <w:rPr>
          <w:rFonts w:hint="eastAsia" w:hAnsi="宋体"/>
          <w:sz w:val="24"/>
          <w:szCs w:val="24"/>
        </w:rPr>
        <w:t>（五）我方理解贵方不一定接受最低投标价或任何贵方可能收到的投标。</w:t>
      </w:r>
    </w:p>
    <w:p>
      <w:pPr>
        <w:pStyle w:val="9"/>
        <w:spacing w:line="360" w:lineRule="auto"/>
        <w:ind w:firstLine="480" w:firstLineChars="200"/>
        <w:rPr>
          <w:rFonts w:hAnsi="宋体"/>
          <w:sz w:val="24"/>
          <w:szCs w:val="24"/>
        </w:rPr>
      </w:pPr>
      <w:r>
        <w:rPr>
          <w:rFonts w:hint="eastAsia" w:hAnsi="宋体"/>
          <w:sz w:val="24"/>
          <w:szCs w:val="24"/>
        </w:rPr>
        <w:t>（六）我方如果中标，将保证履行采购文件及其澄清、修改文件（如有）中的全部责任和义务，按质、按量、按期完成《用户需求书》及《合同书》中的全部任务。</w:t>
      </w:r>
    </w:p>
    <w:p>
      <w:pPr>
        <w:pStyle w:val="9"/>
        <w:tabs>
          <w:tab w:val="left" w:pos="9360"/>
        </w:tabs>
        <w:spacing w:line="360" w:lineRule="auto"/>
        <w:ind w:firstLine="480" w:firstLineChars="200"/>
        <w:rPr>
          <w:rFonts w:hAnsi="宋体"/>
          <w:sz w:val="24"/>
          <w:szCs w:val="24"/>
        </w:rPr>
      </w:pPr>
      <w:r>
        <w:rPr>
          <w:rFonts w:hint="eastAsia" w:hAnsi="宋体"/>
          <w:sz w:val="24"/>
          <w:szCs w:val="24"/>
        </w:rPr>
        <w:t>（八）我方是在法律、财务和运作上独立于采购人的投标人，在此保证所提交的所有文件和全部说明是真实的和正确的。</w:t>
      </w:r>
    </w:p>
    <w:p>
      <w:pPr>
        <w:spacing w:line="360" w:lineRule="auto"/>
        <w:ind w:firstLine="410" w:firstLineChars="171"/>
        <w:rPr>
          <w:rFonts w:ascii="宋体" w:hAnsi="宋体"/>
          <w:sz w:val="24"/>
        </w:rPr>
      </w:pPr>
      <w:r>
        <w:rPr>
          <w:rFonts w:hint="eastAsia" w:ascii="宋体" w:hAnsi="宋体"/>
          <w:sz w:val="24"/>
        </w:rPr>
        <w:t>（九）我方投标报价已包含应向知识产权所有权人支付的所有相关税费，并保证采购人在中国使用我方提供的货物或服务时，如有第三方提出侵犯其知识产权主张的，责任由我方承担。</w:t>
      </w:r>
    </w:p>
    <w:p>
      <w:pPr>
        <w:spacing w:line="360" w:lineRule="auto"/>
        <w:ind w:firstLine="480" w:firstLineChars="200"/>
        <w:rPr>
          <w:rFonts w:ascii="宋体" w:hAnsi="宋体"/>
          <w:sz w:val="24"/>
        </w:rPr>
      </w:pPr>
      <w:r>
        <w:rPr>
          <w:rFonts w:hint="eastAsia" w:ascii="宋体" w:hAnsi="宋体"/>
          <w:sz w:val="24"/>
        </w:rPr>
        <w:t>（十）我方对在本函及投标文件中所作的所有承诺承担法律责任。</w:t>
      </w:r>
    </w:p>
    <w:p>
      <w:pPr>
        <w:spacing w:line="360" w:lineRule="auto"/>
        <w:ind w:firstLine="720" w:firstLineChars="300"/>
        <w:rPr>
          <w:rFonts w:ascii="宋体" w:hAnsi="宋体"/>
          <w:sz w:val="24"/>
        </w:rPr>
      </w:pPr>
      <w:r>
        <w:rPr>
          <w:rFonts w:hint="eastAsia" w:ascii="宋体" w:hAnsi="宋体"/>
          <w:sz w:val="24"/>
        </w:rPr>
        <w:t>以上内容如有虚假或与事实不符的，评审委员会可将我方做无效投标处理，我方愿意承担相应的法律责任。</w:t>
      </w:r>
    </w:p>
    <w:p>
      <w:pPr>
        <w:spacing w:line="360" w:lineRule="auto"/>
        <w:rPr>
          <w:rFonts w:ascii="宋体" w:hAnsi="宋体"/>
          <w:sz w:val="24"/>
        </w:rPr>
      </w:pPr>
      <w:r>
        <w:rPr>
          <w:rFonts w:hint="eastAsia" w:ascii="宋体" w:hAnsi="宋体"/>
          <w:sz w:val="24"/>
        </w:rPr>
        <w:t xml:space="preserve">    </w:t>
      </w:r>
    </w:p>
    <w:p>
      <w:pPr>
        <w:spacing w:line="360" w:lineRule="auto"/>
        <w:ind w:firstLine="480" w:firstLineChars="200"/>
        <w:rPr>
          <w:rFonts w:ascii="宋体" w:hAnsi="宋体"/>
          <w:sz w:val="24"/>
          <w:u w:val="single"/>
        </w:rPr>
      </w:pPr>
      <w:r>
        <w:rPr>
          <w:rFonts w:hint="eastAsia" w:ascii="宋体" w:hAnsi="宋体"/>
          <w:sz w:val="24"/>
        </w:rPr>
        <w:t>投 标 人 名 称：</w:t>
      </w:r>
      <w:r>
        <w:rPr>
          <w:rFonts w:ascii="宋体" w:hAnsi="宋体"/>
          <w:sz w:val="24"/>
          <w:u w:val="single"/>
        </w:rPr>
        <w:t xml:space="preserve">      </w:t>
      </w:r>
      <w:r>
        <w:rPr>
          <w:rFonts w:hint="eastAsia" w:ascii="宋体" w:hAnsi="宋体"/>
          <w:sz w:val="24"/>
          <w:u w:val="single"/>
        </w:rPr>
        <w:t xml:space="preserve">                           </w:t>
      </w:r>
    </w:p>
    <w:p>
      <w:pPr>
        <w:pStyle w:val="7"/>
      </w:pPr>
    </w:p>
    <w:p>
      <w:pPr>
        <w:spacing w:line="360" w:lineRule="auto"/>
        <w:ind w:firstLine="480" w:firstLineChars="200"/>
        <w:rPr>
          <w:rFonts w:ascii="宋体" w:hAnsi="宋体"/>
          <w:sz w:val="24"/>
        </w:rPr>
      </w:pPr>
      <w:r>
        <w:rPr>
          <w:rFonts w:hint="eastAsia" w:ascii="宋体" w:hAnsi="宋体"/>
          <w:sz w:val="24"/>
        </w:rPr>
        <w:t>法定代表人或投标授权代表（签字或签章）：</w:t>
      </w:r>
      <w:r>
        <w:rPr>
          <w:rFonts w:hint="eastAsia" w:ascii="宋体" w:hAnsi="宋体"/>
          <w:sz w:val="24"/>
          <w:u w:val="single"/>
        </w:rPr>
        <w:t xml:space="preserve">                            </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投标人（公章）：</w:t>
      </w:r>
    </w:p>
    <w:p>
      <w:pPr>
        <w:spacing w:line="360" w:lineRule="auto"/>
        <w:rPr>
          <w:rFonts w:ascii="宋体" w:hAnsi="宋体"/>
          <w:sz w:val="24"/>
          <w:u w:val="single"/>
        </w:rPr>
      </w:pPr>
    </w:p>
    <w:p>
      <w:pPr>
        <w:spacing w:line="360" w:lineRule="auto"/>
        <w:ind w:firstLine="480" w:firstLineChars="200"/>
        <w:rPr>
          <w:rFonts w:ascii="宋体" w:hAnsi="宋体"/>
          <w:sz w:val="24"/>
        </w:rPr>
      </w:pPr>
      <w:r>
        <w:rPr>
          <w:rFonts w:hint="eastAsia" w:ascii="宋体" w:hAnsi="宋体"/>
          <w:sz w:val="24"/>
        </w:rPr>
        <w:t>电话：</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传真：</w:t>
      </w:r>
    </w:p>
    <w:p>
      <w:pPr>
        <w:pStyle w:val="5"/>
        <w:rPr>
          <w:bCs/>
          <w:sz w:val="24"/>
        </w:rPr>
      </w:pPr>
      <w:r>
        <w:br w:type="page"/>
      </w:r>
      <w:bookmarkStart w:id="118" w:name="_Toc55816096"/>
      <w:bookmarkStart w:id="119" w:name="_Toc86065029"/>
      <w:bookmarkStart w:id="120" w:name="_Toc25224019"/>
      <w:bookmarkStart w:id="121" w:name="_Toc41448359"/>
      <w:bookmarkStart w:id="122" w:name="_Toc109467909"/>
      <w:bookmarkStart w:id="123" w:name="_Toc34535359"/>
      <w:bookmarkStart w:id="124" w:name="_Toc14450839"/>
      <w:bookmarkStart w:id="125" w:name="_Toc35834913"/>
      <w:bookmarkStart w:id="126" w:name="_Toc28489497"/>
      <w:r>
        <w:rPr>
          <w:rFonts w:hint="eastAsia"/>
          <w:bCs/>
          <w:sz w:val="24"/>
        </w:rPr>
        <w:t xml:space="preserve">附件4                      </w:t>
      </w:r>
    </w:p>
    <w:p>
      <w:pPr>
        <w:pStyle w:val="5"/>
        <w:ind w:firstLine="3188" w:firstLineChars="1323"/>
        <w:rPr>
          <w:bCs/>
          <w:sz w:val="24"/>
        </w:rPr>
      </w:pPr>
      <w:r>
        <w:rPr>
          <w:rFonts w:hint="eastAsia"/>
          <w:bCs/>
          <w:sz w:val="24"/>
        </w:rPr>
        <w:t>投标人基本情况表</w:t>
      </w:r>
      <w:bookmarkEnd w:id="118"/>
      <w:bookmarkEnd w:id="119"/>
      <w:bookmarkEnd w:id="120"/>
      <w:bookmarkEnd w:id="121"/>
      <w:bookmarkEnd w:id="122"/>
    </w:p>
    <w:p>
      <w:pPr>
        <w:pStyle w:val="30"/>
        <w:rPr>
          <w:color w:val="auto"/>
        </w:rPr>
      </w:pPr>
    </w:p>
    <w:p>
      <w:pPr>
        <w:spacing w:line="360" w:lineRule="auto"/>
        <w:rPr>
          <w:rFonts w:ascii="宋体" w:hAnsi="宋体"/>
          <w:sz w:val="24"/>
          <w:u w:val="single"/>
        </w:rPr>
      </w:pPr>
      <w:r>
        <w:rPr>
          <w:rFonts w:hint="eastAsia" w:ascii="宋体" w:hAnsi="宋体"/>
          <w:sz w:val="24"/>
        </w:rPr>
        <w:t>1、公司名称：</w:t>
      </w:r>
      <w:r>
        <w:rPr>
          <w:rFonts w:hint="eastAsia" w:ascii="宋体" w:hAnsi="宋体"/>
          <w:sz w:val="24"/>
          <w:u w:val="single"/>
        </w:rPr>
        <w:t xml:space="preserve">                    </w:t>
      </w:r>
      <w:r>
        <w:rPr>
          <w:rFonts w:hint="eastAsia" w:ascii="宋体" w:hAnsi="宋体"/>
          <w:sz w:val="24"/>
        </w:rPr>
        <w:t xml:space="preserve">            电话号码：</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2、地    址：</w:t>
      </w:r>
      <w:r>
        <w:rPr>
          <w:rFonts w:hint="eastAsia" w:ascii="宋体" w:hAnsi="宋体"/>
          <w:sz w:val="24"/>
          <w:u w:val="single"/>
        </w:rPr>
        <w:t xml:space="preserve">                    </w:t>
      </w:r>
      <w:r>
        <w:rPr>
          <w:rFonts w:hint="eastAsia" w:ascii="宋体" w:hAnsi="宋体"/>
          <w:sz w:val="24"/>
        </w:rPr>
        <w:t xml:space="preserve">            传    真：</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3、注册资金：</w:t>
      </w:r>
      <w:r>
        <w:rPr>
          <w:rFonts w:hint="eastAsia" w:ascii="宋体" w:hAnsi="宋体"/>
          <w:sz w:val="24"/>
          <w:u w:val="single"/>
        </w:rPr>
        <w:t xml:space="preserve">                    </w:t>
      </w:r>
      <w:r>
        <w:rPr>
          <w:rFonts w:hint="eastAsia" w:ascii="宋体" w:hAnsi="宋体"/>
          <w:sz w:val="24"/>
        </w:rPr>
        <w:t xml:space="preserve">            经济性质：</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4、公司经营及资金状况：</w:t>
      </w:r>
    </w:p>
    <w:p>
      <w:pPr>
        <w:spacing w:line="360" w:lineRule="auto"/>
        <w:rPr>
          <w:rFonts w:ascii="宋体" w:hAnsi="宋体"/>
          <w:sz w:val="24"/>
        </w:rPr>
      </w:pPr>
      <w:r>
        <w:rPr>
          <w:rFonts w:hint="eastAsia" w:ascii="宋体" w:hAnsi="宋体"/>
          <w:sz w:val="24"/>
        </w:rPr>
        <w:t>经营范围：</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5、公司开户银行名称及帐户：                  地    址：</w:t>
      </w:r>
    </w:p>
    <w:p>
      <w:pPr>
        <w:pStyle w:val="30"/>
        <w:rPr>
          <w:color w:val="auto"/>
        </w:rPr>
      </w:pPr>
      <w:r>
        <w:rPr>
          <w:rFonts w:hint="eastAsia"/>
          <w:color w:val="auto"/>
        </w:rPr>
        <w:t xml:space="preserve">   名称：                    </w:t>
      </w:r>
    </w:p>
    <w:p>
      <w:pPr>
        <w:spacing w:line="360" w:lineRule="auto"/>
        <w:ind w:firstLine="420" w:firstLineChars="175"/>
        <w:rPr>
          <w:rFonts w:ascii="宋体" w:hAnsi="宋体"/>
          <w:sz w:val="24"/>
          <w:u w:val="single"/>
        </w:rPr>
      </w:pPr>
      <w:r>
        <w:rPr>
          <w:rFonts w:hint="eastAsia" w:ascii="宋体" w:hAnsi="宋体"/>
          <w:sz w:val="24"/>
        </w:rPr>
        <w:t>帐户：</w:t>
      </w:r>
    </w:p>
    <w:p>
      <w:pPr>
        <w:numPr>
          <w:ilvl w:val="0"/>
          <w:numId w:val="20"/>
        </w:numPr>
        <w:spacing w:line="360" w:lineRule="auto"/>
        <w:rPr>
          <w:rFonts w:ascii="宋体" w:hAnsi="宋体"/>
          <w:sz w:val="24"/>
        </w:rPr>
      </w:pPr>
      <w:r>
        <w:rPr>
          <w:rFonts w:hint="eastAsia" w:ascii="宋体" w:hAnsi="宋体"/>
          <w:sz w:val="24"/>
        </w:rPr>
        <w:t>投标人获得资质和代理权限资格证书复印件一览表</w:t>
      </w:r>
    </w:p>
    <w:tbl>
      <w:tblPr>
        <w:tblStyle w:val="18"/>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vAlign w:val="center"/>
          </w:tcPr>
          <w:p>
            <w:pPr>
              <w:spacing w:line="360" w:lineRule="auto"/>
              <w:jc w:val="center"/>
              <w:rPr>
                <w:rFonts w:ascii="宋体" w:hAnsi="宋体"/>
                <w:sz w:val="24"/>
              </w:rPr>
            </w:pPr>
            <w:r>
              <w:rPr>
                <w:rFonts w:hint="eastAsia" w:ascii="宋体" w:hAnsi="宋体"/>
                <w:sz w:val="24"/>
              </w:rPr>
              <w:t>证书名称</w:t>
            </w:r>
          </w:p>
        </w:tc>
        <w:tc>
          <w:tcPr>
            <w:tcW w:w="2350" w:type="dxa"/>
            <w:vAlign w:val="center"/>
          </w:tcPr>
          <w:p>
            <w:pPr>
              <w:spacing w:line="360" w:lineRule="auto"/>
              <w:jc w:val="center"/>
              <w:rPr>
                <w:rFonts w:ascii="宋体" w:hAnsi="宋体"/>
                <w:sz w:val="24"/>
              </w:rPr>
            </w:pPr>
            <w:r>
              <w:rPr>
                <w:rFonts w:hint="eastAsia" w:ascii="宋体" w:hAnsi="宋体"/>
                <w:sz w:val="24"/>
              </w:rPr>
              <w:t>发证单位</w:t>
            </w:r>
          </w:p>
        </w:tc>
        <w:tc>
          <w:tcPr>
            <w:tcW w:w="2350" w:type="dxa"/>
            <w:vAlign w:val="center"/>
          </w:tcPr>
          <w:p>
            <w:pPr>
              <w:spacing w:line="360" w:lineRule="auto"/>
              <w:jc w:val="center"/>
              <w:rPr>
                <w:rFonts w:ascii="宋体" w:hAnsi="宋体"/>
                <w:sz w:val="24"/>
              </w:rPr>
            </w:pPr>
            <w:r>
              <w:rPr>
                <w:rFonts w:hint="eastAsia" w:ascii="宋体" w:hAnsi="宋体"/>
                <w:sz w:val="24"/>
              </w:rPr>
              <w:t>证书等级</w:t>
            </w:r>
          </w:p>
        </w:tc>
        <w:tc>
          <w:tcPr>
            <w:tcW w:w="2350" w:type="dxa"/>
            <w:vAlign w:val="center"/>
          </w:tcPr>
          <w:p>
            <w:pPr>
              <w:spacing w:line="360" w:lineRule="auto"/>
              <w:jc w:val="center"/>
              <w:rPr>
                <w:rFonts w:ascii="宋体" w:hAnsi="宋体"/>
                <w:sz w:val="24"/>
              </w:rPr>
            </w:pPr>
            <w:r>
              <w:rPr>
                <w:rFonts w:hint="eastAsia" w:ascii="宋体" w:hAnsi="宋体"/>
                <w:sz w:val="24"/>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c>
          <w:tcPr>
            <w:tcW w:w="2350" w:type="dxa"/>
          </w:tcPr>
          <w:p>
            <w:pPr>
              <w:spacing w:line="360" w:lineRule="auto"/>
              <w:rPr>
                <w:rFonts w:ascii="宋体" w:hAnsi="宋体"/>
                <w:sz w:val="24"/>
              </w:rPr>
            </w:pPr>
          </w:p>
        </w:tc>
      </w:tr>
    </w:tbl>
    <w:p>
      <w:pPr>
        <w:spacing w:line="360" w:lineRule="auto"/>
        <w:rPr>
          <w:rFonts w:ascii="宋体" w:hAnsi="宋体"/>
          <w:sz w:val="24"/>
        </w:rPr>
      </w:pPr>
      <w:r>
        <w:rPr>
          <w:rFonts w:hint="eastAsia" w:ascii="宋体" w:hAnsi="宋体"/>
          <w:sz w:val="24"/>
        </w:rPr>
        <w:t>7、营业执照注册号：</w:t>
      </w:r>
    </w:p>
    <w:p>
      <w:pPr>
        <w:spacing w:line="360" w:lineRule="auto"/>
        <w:rPr>
          <w:rFonts w:ascii="宋体" w:hAnsi="宋体"/>
          <w:sz w:val="24"/>
        </w:rPr>
      </w:pPr>
      <w:r>
        <w:rPr>
          <w:rFonts w:hint="eastAsia" w:ascii="宋体" w:hAnsi="宋体"/>
          <w:sz w:val="24"/>
        </w:rPr>
        <w:t>我/我们声明以上所述准确无误，您有权进行您认为有必要的所有调查。</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日    期：     年   月   日</w:t>
      </w:r>
    </w:p>
    <w:p>
      <w:pPr>
        <w:pStyle w:val="5"/>
        <w:rPr>
          <w:bCs/>
          <w:sz w:val="24"/>
        </w:rPr>
      </w:pPr>
      <w:r>
        <w:br w:type="page"/>
      </w:r>
      <w:bookmarkStart w:id="127" w:name="_Toc109467910"/>
      <w:r>
        <w:rPr>
          <w:rFonts w:hint="eastAsia"/>
          <w:bCs/>
          <w:sz w:val="24"/>
        </w:rPr>
        <w:t xml:space="preserve">附件5                       </w:t>
      </w:r>
    </w:p>
    <w:p>
      <w:pPr>
        <w:pStyle w:val="5"/>
        <w:ind w:firstLine="3660" w:firstLineChars="1519"/>
        <w:rPr>
          <w:bCs/>
          <w:sz w:val="24"/>
        </w:rPr>
      </w:pPr>
      <w:r>
        <w:rPr>
          <w:rFonts w:hint="eastAsia"/>
          <w:bCs/>
          <w:sz w:val="24"/>
        </w:rPr>
        <w:t xml:space="preserve"> </w:t>
      </w:r>
      <w:bookmarkEnd w:id="123"/>
      <w:bookmarkEnd w:id="124"/>
      <w:bookmarkEnd w:id="125"/>
      <w:bookmarkEnd w:id="126"/>
      <w:bookmarkEnd w:id="127"/>
      <w:r>
        <w:rPr>
          <w:rFonts w:hint="eastAsia"/>
          <w:bCs/>
          <w:sz w:val="24"/>
        </w:rPr>
        <w:t>开标一览表(报价表)</w:t>
      </w:r>
    </w:p>
    <w:p>
      <w:pPr>
        <w:pStyle w:val="30"/>
        <w:rPr>
          <w:color w:val="auto"/>
        </w:rPr>
      </w:pPr>
    </w:p>
    <w:p>
      <w:pPr>
        <w:pStyle w:val="16"/>
        <w:spacing w:line="360" w:lineRule="auto"/>
        <w:ind w:left="557" w:leftChars="199"/>
        <w:rPr>
          <w:rFonts w:ascii="宋体" w:hAnsi="宋体"/>
          <w:sz w:val="24"/>
        </w:rPr>
      </w:pPr>
      <w:r>
        <w:rPr>
          <w:rFonts w:hint="eastAsia" w:ascii="宋体" w:hAnsi="宋体"/>
          <w:sz w:val="24"/>
        </w:rPr>
        <w:t xml:space="preserve">项目名称：                </w:t>
      </w:r>
    </w:p>
    <w:p>
      <w:pPr>
        <w:pStyle w:val="16"/>
        <w:spacing w:line="360" w:lineRule="auto"/>
        <w:ind w:left="557" w:leftChars="199"/>
        <w:rPr>
          <w:rFonts w:ascii="宋体" w:hAnsi="宋体"/>
          <w:sz w:val="24"/>
        </w:rPr>
      </w:pPr>
      <w:r>
        <w:rPr>
          <w:rFonts w:hint="eastAsia" w:ascii="宋体" w:hAnsi="宋体"/>
          <w:sz w:val="24"/>
        </w:rPr>
        <w:t>项目编号：</w:t>
      </w:r>
    </w:p>
    <w:tbl>
      <w:tblPr>
        <w:tblStyle w:val="18"/>
        <w:tblW w:w="965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3135"/>
        <w:gridCol w:w="1575"/>
        <w:gridCol w:w="1560"/>
        <w:gridCol w:w="11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2222" w:type="dxa"/>
            <w:tcBorders>
              <w:tl2br w:val="nil"/>
              <w:tr2bl w:val="nil"/>
            </w:tcBorders>
            <w:vAlign w:val="center"/>
          </w:tcPr>
          <w:p>
            <w:pPr>
              <w:spacing w:line="312" w:lineRule="auto"/>
              <w:jc w:val="center"/>
              <w:rPr>
                <w:rFonts w:ascii="宋体" w:hAnsi="宋体"/>
                <w:b/>
              </w:rPr>
            </w:pPr>
            <w:r>
              <w:rPr>
                <w:rFonts w:hint="eastAsia" w:ascii="宋体" w:hAnsi="宋体"/>
                <w:b/>
              </w:rPr>
              <w:t>服务内容</w:t>
            </w:r>
          </w:p>
        </w:tc>
        <w:tc>
          <w:tcPr>
            <w:tcW w:w="3135" w:type="dxa"/>
            <w:tcBorders>
              <w:tl2br w:val="nil"/>
              <w:tr2bl w:val="nil"/>
            </w:tcBorders>
            <w:vAlign w:val="center"/>
          </w:tcPr>
          <w:p>
            <w:pPr>
              <w:jc w:val="center"/>
              <w:rPr>
                <w:rFonts w:ascii="宋体" w:hAnsi="宋体"/>
                <w:b/>
              </w:rPr>
            </w:pPr>
            <w:r>
              <w:rPr>
                <w:rFonts w:hint="eastAsia" w:ascii="宋体" w:hAnsi="宋体"/>
                <w:b/>
              </w:rPr>
              <w:t>投标报价（元）</w:t>
            </w:r>
          </w:p>
        </w:tc>
        <w:tc>
          <w:tcPr>
            <w:tcW w:w="1575" w:type="dxa"/>
            <w:tcBorders>
              <w:tl2br w:val="nil"/>
              <w:tr2bl w:val="nil"/>
            </w:tcBorders>
            <w:vAlign w:val="center"/>
          </w:tcPr>
          <w:p>
            <w:pPr>
              <w:jc w:val="center"/>
              <w:rPr>
                <w:rFonts w:ascii="宋体" w:hAnsi="宋体"/>
                <w:b/>
              </w:rPr>
            </w:pPr>
            <w:r>
              <w:rPr>
                <w:rFonts w:hint="eastAsia" w:ascii="宋体" w:hAnsi="宋体"/>
                <w:b/>
              </w:rPr>
              <w:t>交货期</w:t>
            </w:r>
          </w:p>
        </w:tc>
        <w:tc>
          <w:tcPr>
            <w:tcW w:w="1560" w:type="dxa"/>
            <w:tcBorders>
              <w:tl2br w:val="nil"/>
              <w:tr2bl w:val="nil"/>
            </w:tcBorders>
            <w:vAlign w:val="center"/>
          </w:tcPr>
          <w:p>
            <w:pPr>
              <w:jc w:val="center"/>
              <w:rPr>
                <w:rFonts w:ascii="宋体" w:hAnsi="宋体"/>
                <w:b/>
              </w:rPr>
            </w:pPr>
            <w:r>
              <w:rPr>
                <w:rFonts w:hint="eastAsia" w:ascii="宋体" w:hAnsi="宋体"/>
                <w:b/>
              </w:rPr>
              <w:t>服务质量</w:t>
            </w:r>
          </w:p>
        </w:tc>
        <w:tc>
          <w:tcPr>
            <w:tcW w:w="1163" w:type="dxa"/>
            <w:tcBorders>
              <w:tl2br w:val="nil"/>
              <w:tr2bl w:val="nil"/>
            </w:tcBorders>
            <w:vAlign w:val="center"/>
          </w:tcPr>
          <w:p>
            <w:pPr>
              <w:spacing w:line="312" w:lineRule="auto"/>
              <w:jc w:val="center"/>
              <w:rPr>
                <w:rFonts w:ascii="宋体" w:hAnsi="宋体"/>
                <w:b/>
              </w:rPr>
            </w:pPr>
            <w:r>
              <w:rPr>
                <w:rFonts w:hint="eastAsia" w:ascii="宋体" w:hAnsi="宋体"/>
                <w:b/>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38" w:hRule="atLeast"/>
          <w:jc w:val="center"/>
        </w:trPr>
        <w:tc>
          <w:tcPr>
            <w:tcW w:w="2222" w:type="dxa"/>
            <w:tcBorders>
              <w:tl2br w:val="nil"/>
              <w:tr2bl w:val="nil"/>
            </w:tcBorders>
            <w:vAlign w:val="center"/>
          </w:tcPr>
          <w:p>
            <w:pPr>
              <w:pStyle w:val="16"/>
              <w:spacing w:line="276" w:lineRule="auto"/>
              <w:ind w:left="-16" w:leftChars="-6" w:hanging="1"/>
              <w:jc w:val="center"/>
              <w:rPr>
                <w:rFonts w:ascii="宋体" w:hAnsi="宋体"/>
                <w:position w:val="6"/>
                <w:sz w:val="24"/>
                <w:szCs w:val="24"/>
                <w:u w:color="000000"/>
              </w:rPr>
            </w:pPr>
            <w:r>
              <w:rPr>
                <w:rFonts w:hint="eastAsia" w:ascii="宋体" w:hAnsi="宋体"/>
                <w:sz w:val="24"/>
                <w:szCs w:val="24"/>
              </w:rPr>
              <w:t>南沙湿地景区海景园餐饮配套设备采购项目</w:t>
            </w:r>
          </w:p>
        </w:tc>
        <w:tc>
          <w:tcPr>
            <w:tcW w:w="3135" w:type="dxa"/>
            <w:tcBorders>
              <w:tl2br w:val="nil"/>
              <w:tr2bl w:val="nil"/>
            </w:tcBorders>
            <w:vAlign w:val="center"/>
          </w:tcPr>
          <w:p>
            <w:pPr>
              <w:pageBreakBefore/>
              <w:tabs>
                <w:tab w:val="left" w:pos="654"/>
                <w:tab w:val="left" w:pos="1734"/>
                <w:tab w:val="left" w:pos="2814"/>
                <w:tab w:val="left" w:pos="3894"/>
                <w:tab w:val="left" w:pos="5334"/>
                <w:tab w:val="left" w:pos="6414"/>
                <w:tab w:val="left" w:pos="7254"/>
                <w:tab w:val="left" w:pos="8574"/>
                <w:tab w:val="left" w:pos="9654"/>
              </w:tabs>
              <w:rPr>
                <w:rFonts w:ascii="宋体" w:hAnsi="宋体"/>
                <w:sz w:val="24"/>
                <w:szCs w:val="24"/>
              </w:rPr>
            </w:pPr>
            <w:r>
              <w:rPr>
                <w:rFonts w:hint="eastAsia" w:ascii="宋体" w:hAnsi="宋体"/>
                <w:sz w:val="24"/>
                <w:szCs w:val="24"/>
              </w:rPr>
              <w:t>投标总价：</w:t>
            </w:r>
          </w:p>
          <w:p>
            <w:pPr>
              <w:pageBreakBefore/>
              <w:tabs>
                <w:tab w:val="left" w:pos="654"/>
                <w:tab w:val="left" w:pos="1734"/>
                <w:tab w:val="left" w:pos="2814"/>
                <w:tab w:val="left" w:pos="3894"/>
                <w:tab w:val="left" w:pos="5334"/>
                <w:tab w:val="left" w:pos="6414"/>
                <w:tab w:val="left" w:pos="7254"/>
                <w:tab w:val="left" w:pos="8574"/>
                <w:tab w:val="left" w:pos="9654"/>
              </w:tabs>
              <w:rPr>
                <w:rFonts w:ascii="宋体" w:hAnsi="宋体"/>
                <w:sz w:val="24"/>
                <w:szCs w:val="24"/>
              </w:rPr>
            </w:pPr>
            <w:r>
              <w:rPr>
                <w:rFonts w:hint="eastAsia" w:ascii="宋体" w:hAnsi="宋体"/>
                <w:sz w:val="24"/>
                <w:szCs w:val="24"/>
              </w:rPr>
              <w:t>小写（人民币大写）：</w:t>
            </w:r>
          </w:p>
        </w:tc>
        <w:tc>
          <w:tcPr>
            <w:tcW w:w="1575" w:type="dxa"/>
            <w:tcBorders>
              <w:tl2br w:val="nil"/>
              <w:tr2bl w:val="nil"/>
            </w:tcBorders>
            <w:vAlign w:val="center"/>
          </w:tcPr>
          <w:p>
            <w:pPr>
              <w:jc w:val="center"/>
              <w:rPr>
                <w:rFonts w:ascii="宋体" w:hAnsi="宋体"/>
                <w:sz w:val="24"/>
                <w:szCs w:val="24"/>
              </w:rPr>
            </w:pPr>
            <w:r>
              <w:rPr>
                <w:rFonts w:hint="eastAsia" w:ascii="宋体" w:hAnsi="宋体"/>
                <w:sz w:val="24"/>
                <w:szCs w:val="24"/>
              </w:rPr>
              <w:t xml:space="preserve"> </w:t>
            </w:r>
          </w:p>
        </w:tc>
        <w:tc>
          <w:tcPr>
            <w:tcW w:w="1560" w:type="dxa"/>
            <w:tcBorders>
              <w:tl2br w:val="nil"/>
              <w:tr2bl w:val="nil"/>
            </w:tcBorders>
            <w:vAlign w:val="center"/>
          </w:tcPr>
          <w:p>
            <w:pPr>
              <w:jc w:val="center"/>
              <w:rPr>
                <w:rFonts w:ascii="宋体" w:hAnsi="宋体"/>
                <w:sz w:val="24"/>
                <w:szCs w:val="24"/>
              </w:rPr>
            </w:pPr>
            <w:r>
              <w:rPr>
                <w:rFonts w:hint="eastAsia" w:ascii="宋体" w:hAnsi="宋体"/>
                <w:sz w:val="24"/>
                <w:szCs w:val="24"/>
              </w:rPr>
              <w:t xml:space="preserve"> </w:t>
            </w:r>
          </w:p>
        </w:tc>
        <w:tc>
          <w:tcPr>
            <w:tcW w:w="1163" w:type="dxa"/>
            <w:tcBorders>
              <w:tl2br w:val="nil"/>
              <w:tr2bl w:val="nil"/>
            </w:tcBorders>
            <w:vAlign w:val="center"/>
          </w:tcPr>
          <w:p>
            <w:pPr>
              <w:spacing w:line="312" w:lineRule="auto"/>
              <w:jc w:val="center"/>
              <w:rPr>
                <w:rFonts w:ascii="宋体" w:hAnsi="宋体"/>
                <w:bCs/>
                <w:sz w:val="24"/>
                <w:szCs w:val="24"/>
              </w:rPr>
            </w:pPr>
            <w:r>
              <w:rPr>
                <w:rFonts w:hint="eastAsia" w:ascii="宋体" w:hAnsi="宋体"/>
                <w:bCs/>
                <w:sz w:val="24"/>
                <w:szCs w:val="24"/>
              </w:rPr>
              <w:t xml:space="preserve"> </w:t>
            </w:r>
          </w:p>
        </w:tc>
      </w:tr>
    </w:tbl>
    <w:p>
      <w:pPr>
        <w:pStyle w:val="16"/>
        <w:spacing w:line="360" w:lineRule="auto"/>
        <w:ind w:left="557" w:leftChars="199"/>
        <w:rPr>
          <w:rFonts w:ascii="宋体" w:hAnsi="宋体"/>
          <w:sz w:val="24"/>
        </w:rPr>
      </w:pPr>
    </w:p>
    <w:p>
      <w:pPr>
        <w:pStyle w:val="16"/>
        <w:spacing w:line="360" w:lineRule="auto"/>
        <w:ind w:left="557" w:leftChars="199"/>
        <w:rPr>
          <w:rFonts w:ascii="宋体" w:hAnsi="宋体"/>
          <w:sz w:val="24"/>
        </w:rPr>
      </w:pPr>
      <w:r>
        <w:rPr>
          <w:rFonts w:hint="eastAsia" w:ascii="宋体" w:hAnsi="宋体"/>
          <w:sz w:val="24"/>
        </w:rPr>
        <w:t>附件：</w:t>
      </w:r>
      <w:r>
        <w:rPr>
          <w:rFonts w:hint="eastAsia"/>
          <w:sz w:val="24"/>
        </w:rPr>
        <w:t>报价明细表</w:t>
      </w:r>
    </w:p>
    <w:p>
      <w:pPr>
        <w:pStyle w:val="16"/>
        <w:spacing w:line="360" w:lineRule="auto"/>
        <w:ind w:left="557" w:leftChars="199"/>
        <w:rPr>
          <w:rFonts w:ascii="宋体" w:hAnsi="宋体"/>
          <w:sz w:val="24"/>
        </w:rPr>
      </w:pPr>
    </w:p>
    <w:p>
      <w:pPr>
        <w:pStyle w:val="16"/>
        <w:spacing w:line="360" w:lineRule="auto"/>
        <w:ind w:left="557" w:leftChars="199"/>
        <w:rPr>
          <w:rFonts w:ascii="宋体" w:hAnsi="宋体"/>
          <w:sz w:val="24"/>
        </w:rPr>
      </w:pPr>
      <w:r>
        <w:rPr>
          <w:rFonts w:hint="eastAsia" w:ascii="宋体" w:hAnsi="宋体"/>
          <w:sz w:val="24"/>
        </w:rPr>
        <w:t>投标人全称（盖公章）：</w:t>
      </w:r>
    </w:p>
    <w:p>
      <w:pPr>
        <w:pStyle w:val="16"/>
        <w:spacing w:line="360" w:lineRule="auto"/>
        <w:ind w:left="557" w:leftChars="199"/>
        <w:rPr>
          <w:rFonts w:ascii="宋体" w:hAnsi="宋体"/>
          <w:sz w:val="24"/>
        </w:rPr>
      </w:pPr>
      <w:r>
        <w:rPr>
          <w:rFonts w:hint="eastAsia" w:ascii="宋体" w:hAnsi="宋体"/>
          <w:sz w:val="24"/>
        </w:rPr>
        <w:t>授权代表（签字或签章）：</w:t>
      </w:r>
    </w:p>
    <w:p>
      <w:pPr>
        <w:pStyle w:val="16"/>
        <w:spacing w:line="360" w:lineRule="auto"/>
        <w:ind w:left="557" w:leftChars="199"/>
        <w:rPr>
          <w:rFonts w:ascii="宋体" w:hAnsi="宋体"/>
          <w:sz w:val="24"/>
        </w:rPr>
      </w:pPr>
      <w:r>
        <w:rPr>
          <w:rFonts w:hint="eastAsia" w:ascii="宋体" w:hAnsi="宋体"/>
          <w:sz w:val="24"/>
        </w:rPr>
        <w:t xml:space="preserve">职    务： </w:t>
      </w:r>
    </w:p>
    <w:p>
      <w:pPr>
        <w:pStyle w:val="16"/>
        <w:spacing w:line="360" w:lineRule="auto"/>
        <w:ind w:left="557" w:leftChars="199"/>
        <w:rPr>
          <w:rFonts w:ascii="宋体" w:hAnsi="宋体"/>
          <w:sz w:val="24"/>
        </w:rPr>
      </w:pPr>
      <w:r>
        <w:rPr>
          <w:rFonts w:hint="eastAsia" w:ascii="宋体" w:hAnsi="宋体"/>
          <w:sz w:val="24"/>
        </w:rPr>
        <w:t>日    期：</w:t>
      </w:r>
    </w:p>
    <w:p>
      <w:pPr>
        <w:pStyle w:val="16"/>
        <w:spacing w:line="360" w:lineRule="auto"/>
        <w:ind w:left="557" w:leftChars="199"/>
        <w:rPr>
          <w:rFonts w:ascii="宋体" w:hAnsi="宋体"/>
          <w:sz w:val="24"/>
        </w:rPr>
      </w:pPr>
    </w:p>
    <w:p>
      <w:pPr>
        <w:snapToGrid w:val="0"/>
        <w:spacing w:line="360" w:lineRule="auto"/>
        <w:ind w:left="720" w:hanging="720" w:hangingChars="299"/>
        <w:rPr>
          <w:rFonts w:ascii="宋体" w:hAnsi="宋体"/>
          <w:b/>
          <w:sz w:val="24"/>
          <w:szCs w:val="24"/>
        </w:rPr>
      </w:pPr>
      <w:r>
        <w:rPr>
          <w:rFonts w:hint="eastAsia" w:ascii="宋体" w:hAnsi="宋体"/>
          <w:b/>
          <w:sz w:val="24"/>
          <w:szCs w:val="24"/>
        </w:rPr>
        <w:t>注:1.投标人应按“用户需求书”的要求，根据实际情况进行报价。本表内的投标报价为最终报价，投标文件内不得含有任何对本报价进行修改的其他说明，否则将被视为无效投标；</w:t>
      </w:r>
    </w:p>
    <w:p>
      <w:pPr>
        <w:snapToGrid w:val="0"/>
        <w:spacing w:line="360" w:lineRule="auto"/>
        <w:ind w:left="664" w:leftChars="195" w:hanging="118" w:hangingChars="49"/>
        <w:rPr>
          <w:rFonts w:ascii="宋体" w:hAnsi="宋体"/>
          <w:b/>
          <w:sz w:val="24"/>
          <w:szCs w:val="24"/>
        </w:rPr>
      </w:pPr>
      <w:r>
        <w:rPr>
          <w:rFonts w:hint="eastAsia" w:ascii="宋体" w:hAnsi="宋体"/>
          <w:b/>
          <w:sz w:val="24"/>
          <w:szCs w:val="24"/>
        </w:rPr>
        <w:t>2. 投标报价应综合考虑采购项目的全部费用，投标人不得再向采购人收取任何费用；</w:t>
      </w:r>
    </w:p>
    <w:p>
      <w:pPr>
        <w:snapToGrid w:val="0"/>
        <w:spacing w:line="360" w:lineRule="auto"/>
        <w:ind w:firstLine="472" w:firstLineChars="196"/>
        <w:rPr>
          <w:rFonts w:ascii="宋体" w:hAnsi="宋体"/>
          <w:b/>
          <w:bCs/>
          <w:sz w:val="24"/>
          <w:szCs w:val="24"/>
        </w:rPr>
      </w:pPr>
      <w:r>
        <w:rPr>
          <w:rFonts w:hint="eastAsia" w:ascii="宋体" w:hAnsi="宋体"/>
          <w:b/>
          <w:bCs/>
          <w:sz w:val="24"/>
          <w:szCs w:val="24"/>
        </w:rPr>
        <w:t>3.</w:t>
      </w:r>
      <w:r>
        <w:rPr>
          <w:rFonts w:hint="eastAsia"/>
          <w:sz w:val="24"/>
          <w:szCs w:val="24"/>
        </w:rPr>
        <w:t xml:space="preserve"> </w:t>
      </w:r>
      <w:r>
        <w:rPr>
          <w:rFonts w:hint="eastAsia" w:ascii="宋体" w:hAnsi="宋体"/>
          <w:b/>
          <w:sz w:val="24"/>
          <w:szCs w:val="24"/>
        </w:rPr>
        <w:t>投标报价的小数点后保留两位有效数；</w:t>
      </w:r>
    </w:p>
    <w:p>
      <w:pPr>
        <w:ind w:firstLine="472" w:firstLineChars="196"/>
        <w:rPr>
          <w:rFonts w:ascii="宋体" w:hAnsi="宋体"/>
          <w:b/>
          <w:sz w:val="24"/>
          <w:szCs w:val="24"/>
        </w:rPr>
      </w:pPr>
      <w:r>
        <w:rPr>
          <w:rFonts w:hint="eastAsia" w:ascii="宋体" w:hAnsi="宋体"/>
          <w:b/>
          <w:sz w:val="24"/>
          <w:szCs w:val="24"/>
        </w:rPr>
        <w:t>4.此表一份装在“唱标信封”内，另一份装订在投标文件中。</w:t>
      </w:r>
    </w:p>
    <w:p>
      <w:pPr>
        <w:pStyle w:val="5"/>
        <w:ind w:firstLine="3641"/>
        <w:rPr>
          <w:strike/>
          <w:sz w:val="24"/>
        </w:rPr>
      </w:pPr>
      <w:bookmarkStart w:id="128" w:name="_Toc109467911"/>
      <w:bookmarkStart w:id="129" w:name="_Toc14450840"/>
      <w:bookmarkStart w:id="130" w:name="_Toc28489498"/>
      <w:bookmarkStart w:id="131" w:name="_Toc34535360"/>
      <w:bookmarkStart w:id="132" w:name="_Toc35834914"/>
    </w:p>
    <w:p>
      <w:pPr>
        <w:spacing w:line="360" w:lineRule="auto"/>
        <w:rPr>
          <w:b/>
          <w:bCs/>
          <w:sz w:val="24"/>
        </w:rPr>
      </w:pPr>
      <w:r>
        <w:rPr>
          <w:rFonts w:hint="eastAsia"/>
          <w:sz w:val="24"/>
        </w:rPr>
        <w:br w:type="page"/>
      </w:r>
      <w:bookmarkEnd w:id="128"/>
      <w:bookmarkEnd w:id="129"/>
      <w:bookmarkEnd w:id="130"/>
      <w:bookmarkEnd w:id="131"/>
      <w:bookmarkEnd w:id="132"/>
      <w:bookmarkStart w:id="133" w:name="_Toc109467915"/>
      <w:bookmarkStart w:id="134" w:name="_Toc81142099"/>
      <w:r>
        <w:rPr>
          <w:rFonts w:hint="eastAsia"/>
          <w:b/>
          <w:bCs/>
          <w:sz w:val="24"/>
        </w:rPr>
        <w:t>附件</w:t>
      </w:r>
      <w:bookmarkEnd w:id="133"/>
      <w:bookmarkEnd w:id="134"/>
      <w:r>
        <w:rPr>
          <w:rFonts w:hint="eastAsia"/>
          <w:b/>
          <w:bCs/>
          <w:sz w:val="24"/>
        </w:rPr>
        <w:t xml:space="preserve">6           </w:t>
      </w:r>
    </w:p>
    <w:p>
      <w:pPr>
        <w:pStyle w:val="4"/>
        <w:keepNext w:val="0"/>
        <w:keepLines w:val="0"/>
        <w:spacing w:before="120" w:beforeLines="50" w:after="120" w:afterLines="50"/>
        <w:jc w:val="center"/>
        <w:rPr>
          <w:sz w:val="24"/>
          <w:szCs w:val="24"/>
        </w:rPr>
      </w:pPr>
      <w:r>
        <w:rPr>
          <w:rFonts w:hint="eastAsia"/>
          <w:sz w:val="24"/>
          <w:szCs w:val="24"/>
        </w:rPr>
        <w:t>用户需求书“★”条款偏离表</w:t>
      </w:r>
    </w:p>
    <w:p>
      <w:pPr>
        <w:spacing w:line="360" w:lineRule="auto"/>
        <w:ind w:left="355" w:hanging="355" w:hangingChars="148"/>
        <w:rPr>
          <w:rFonts w:ascii="宋体" w:hAnsi="宋体"/>
          <w:sz w:val="24"/>
        </w:rPr>
      </w:pPr>
      <w:r>
        <w:rPr>
          <w:rFonts w:hint="eastAsia" w:ascii="宋体" w:hAnsi="宋体"/>
          <w:sz w:val="24"/>
        </w:rPr>
        <w:t xml:space="preserve">项目名称：                              </w:t>
      </w:r>
    </w:p>
    <w:p>
      <w:pPr>
        <w:spacing w:line="360" w:lineRule="auto"/>
        <w:ind w:left="355" w:hanging="355" w:hangingChars="148"/>
        <w:rPr>
          <w:rFonts w:ascii="宋体" w:hAnsi="宋体"/>
          <w:sz w:val="24"/>
        </w:rPr>
      </w:pPr>
      <w:r>
        <w:rPr>
          <w:rFonts w:hint="eastAsia" w:ascii="宋体" w:hAnsi="宋体"/>
          <w:sz w:val="24"/>
        </w:rPr>
        <w:t>项目编号：</w:t>
      </w:r>
    </w:p>
    <w:tbl>
      <w:tblPr>
        <w:tblStyle w:val="18"/>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b/>
                <w:bCs/>
                <w:sz w:val="24"/>
                <w:szCs w:val="24"/>
              </w:rPr>
            </w:pPr>
            <w:r>
              <w:rPr>
                <w:rFonts w:hint="eastAsia" w:ascii="宋体" w:hAnsi="宋体"/>
                <w:b/>
                <w:bCs/>
                <w:sz w:val="24"/>
                <w:szCs w:val="24"/>
              </w:rPr>
              <w:t>序号</w:t>
            </w:r>
          </w:p>
        </w:tc>
        <w:tc>
          <w:tcPr>
            <w:tcW w:w="2154" w:type="dxa"/>
            <w:vAlign w:val="center"/>
          </w:tcPr>
          <w:p>
            <w:pPr>
              <w:jc w:val="center"/>
              <w:rPr>
                <w:rFonts w:ascii="宋体" w:hAnsi="宋体"/>
                <w:b/>
                <w:bCs/>
                <w:sz w:val="24"/>
                <w:szCs w:val="24"/>
              </w:rPr>
            </w:pPr>
            <w:r>
              <w:rPr>
                <w:rFonts w:hint="eastAsia" w:ascii="宋体" w:hAnsi="宋体"/>
                <w:b/>
                <w:bCs/>
                <w:sz w:val="24"/>
                <w:szCs w:val="24"/>
              </w:rPr>
              <w:t>条款序号</w:t>
            </w:r>
          </w:p>
        </w:tc>
        <w:tc>
          <w:tcPr>
            <w:tcW w:w="2269" w:type="dxa"/>
            <w:vAlign w:val="center"/>
          </w:tcPr>
          <w:p>
            <w:pPr>
              <w:jc w:val="center"/>
              <w:rPr>
                <w:rFonts w:ascii="宋体" w:hAnsi="宋体"/>
                <w:b/>
                <w:bCs/>
                <w:sz w:val="24"/>
                <w:szCs w:val="24"/>
              </w:rPr>
            </w:pPr>
            <w:r>
              <w:rPr>
                <w:rFonts w:hint="eastAsia" w:ascii="宋体" w:hAnsi="宋体"/>
                <w:b/>
                <w:bCs/>
                <w:sz w:val="24"/>
                <w:szCs w:val="24"/>
              </w:rPr>
              <w:t>条款内容</w:t>
            </w:r>
          </w:p>
        </w:tc>
        <w:tc>
          <w:tcPr>
            <w:tcW w:w="1134" w:type="dxa"/>
            <w:vAlign w:val="center"/>
          </w:tcPr>
          <w:p>
            <w:pPr>
              <w:jc w:val="center"/>
              <w:rPr>
                <w:rFonts w:ascii="宋体" w:hAnsi="宋体"/>
                <w:b/>
                <w:bCs/>
                <w:sz w:val="24"/>
                <w:szCs w:val="24"/>
              </w:rPr>
            </w:pPr>
            <w:r>
              <w:rPr>
                <w:rFonts w:hint="eastAsia" w:ascii="宋体" w:hAnsi="宋体"/>
                <w:b/>
                <w:bCs/>
                <w:sz w:val="24"/>
                <w:szCs w:val="24"/>
              </w:rPr>
              <w:t>是否响应</w:t>
            </w:r>
          </w:p>
        </w:tc>
        <w:tc>
          <w:tcPr>
            <w:tcW w:w="2658" w:type="dxa"/>
            <w:vAlign w:val="center"/>
          </w:tcPr>
          <w:p>
            <w:pPr>
              <w:jc w:val="center"/>
              <w:rPr>
                <w:rFonts w:ascii="宋体" w:hAnsi="宋体"/>
                <w:b/>
                <w:bCs/>
                <w:sz w:val="24"/>
                <w:szCs w:val="24"/>
              </w:rPr>
            </w:pPr>
            <w:r>
              <w:rPr>
                <w:rFonts w:hint="eastAsia" w:ascii="宋体" w:hAnsi="宋体"/>
                <w:b/>
                <w:bCs/>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w:t>
            </w:r>
          </w:p>
        </w:tc>
        <w:tc>
          <w:tcPr>
            <w:tcW w:w="2154" w:type="dxa"/>
            <w:vAlign w:val="center"/>
          </w:tcPr>
          <w:p>
            <w:pPr>
              <w:rPr>
                <w:rFonts w:ascii="宋体" w:hAnsi="宋体"/>
                <w:sz w:val="24"/>
                <w:szCs w:val="24"/>
              </w:rPr>
            </w:pPr>
          </w:p>
        </w:tc>
        <w:tc>
          <w:tcPr>
            <w:tcW w:w="2269" w:type="dxa"/>
            <w:vAlign w:val="center"/>
          </w:tcPr>
          <w:p>
            <w:pPr>
              <w:pStyle w:val="31"/>
              <w:keepNext w:val="0"/>
              <w:adjustRightInd/>
              <w:spacing w:before="0" w:after="0" w:line="240" w:lineRule="auto"/>
              <w:textAlignment w:val="auto"/>
              <w:rPr>
                <w:rFonts w:ascii="宋体" w:hAnsi="宋体"/>
                <w:snapToGrid/>
                <w:spacing w:val="0"/>
                <w:kern w:val="2"/>
                <w:szCs w:val="24"/>
              </w:rPr>
            </w:pPr>
          </w:p>
        </w:tc>
        <w:tc>
          <w:tcPr>
            <w:tcW w:w="1134" w:type="dxa"/>
            <w:vAlign w:val="center"/>
          </w:tcPr>
          <w:p>
            <w:pPr>
              <w:pStyle w:val="31"/>
              <w:keepNext w:val="0"/>
              <w:adjustRightInd/>
              <w:spacing w:before="0" w:after="0" w:line="240" w:lineRule="auto"/>
              <w:textAlignment w:val="auto"/>
              <w:rPr>
                <w:rFonts w:ascii="宋体" w:hAnsi="宋体"/>
                <w:snapToGrid/>
                <w:spacing w:val="0"/>
                <w:kern w:val="2"/>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2</w:t>
            </w:r>
          </w:p>
        </w:tc>
        <w:tc>
          <w:tcPr>
            <w:tcW w:w="2154" w:type="dxa"/>
            <w:vAlign w:val="center"/>
          </w:tcPr>
          <w:p>
            <w:pPr>
              <w:rPr>
                <w:rFonts w:ascii="宋体" w:hAnsi="宋体"/>
                <w:sz w:val="24"/>
                <w:szCs w:val="24"/>
              </w:rPr>
            </w:pPr>
          </w:p>
        </w:tc>
        <w:tc>
          <w:tcPr>
            <w:tcW w:w="2269" w:type="dxa"/>
            <w:vAlign w:val="center"/>
          </w:tcPr>
          <w:p>
            <w:pPr>
              <w:pStyle w:val="31"/>
              <w:keepNext w:val="0"/>
              <w:adjustRightInd/>
              <w:spacing w:before="0" w:after="0" w:line="240" w:lineRule="auto"/>
              <w:textAlignment w:val="auto"/>
              <w:rPr>
                <w:rFonts w:ascii="宋体" w:hAnsi="宋体"/>
                <w:snapToGrid/>
                <w:spacing w:val="0"/>
                <w:kern w:val="2"/>
                <w:szCs w:val="24"/>
              </w:rPr>
            </w:pPr>
          </w:p>
        </w:tc>
        <w:tc>
          <w:tcPr>
            <w:tcW w:w="1134" w:type="dxa"/>
            <w:vAlign w:val="center"/>
          </w:tcPr>
          <w:p>
            <w:pPr>
              <w:pStyle w:val="31"/>
              <w:keepNext w:val="0"/>
              <w:adjustRightInd/>
              <w:spacing w:before="0" w:after="0" w:line="240" w:lineRule="auto"/>
              <w:textAlignment w:val="auto"/>
              <w:rPr>
                <w:rFonts w:ascii="宋体" w:hAnsi="宋体"/>
                <w:snapToGrid/>
                <w:spacing w:val="0"/>
                <w:kern w:val="2"/>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3</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rPr>
                <w:rFonts w:ascii="宋体" w:hAnsi="宋体"/>
                <w:sz w:val="24"/>
                <w:szCs w:val="24"/>
              </w:rPr>
            </w:pPr>
            <w:r>
              <w:rPr>
                <w:rFonts w:hint="eastAsia" w:ascii="宋体" w:hAnsi="宋体"/>
                <w:sz w:val="24"/>
                <w:szCs w:val="24"/>
              </w:rPr>
              <w:t xml:space="preserve">  4</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5</w:t>
            </w:r>
          </w:p>
        </w:tc>
        <w:tc>
          <w:tcPr>
            <w:tcW w:w="2154" w:type="dxa"/>
            <w:vAlign w:val="center"/>
          </w:tcPr>
          <w:p>
            <w:pPr>
              <w:rPr>
                <w:rFonts w:ascii="宋体" w:hAnsi="宋体"/>
                <w:i/>
                <w:iCs/>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6</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ind w:right="-35"/>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7</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8</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9</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10</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11</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12</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lang w:val="en-GB"/>
              </w:rPr>
            </w:pPr>
          </w:p>
        </w:tc>
        <w:tc>
          <w:tcPr>
            <w:tcW w:w="1134" w:type="dxa"/>
            <w:vAlign w:val="center"/>
          </w:tcPr>
          <w:p>
            <w:pPr>
              <w:jc w:val="center"/>
              <w:rPr>
                <w:rFonts w:ascii="宋体" w:hAnsi="宋体"/>
                <w:sz w:val="24"/>
                <w:szCs w:val="24"/>
                <w:lang w:val="en-GB"/>
              </w:rPr>
            </w:pPr>
          </w:p>
        </w:tc>
        <w:tc>
          <w:tcPr>
            <w:tcW w:w="2658"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13</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14</w:t>
            </w:r>
          </w:p>
        </w:tc>
        <w:tc>
          <w:tcPr>
            <w:tcW w:w="2154" w:type="dxa"/>
            <w:vAlign w:val="center"/>
          </w:tcPr>
          <w:p>
            <w:pPr>
              <w:rPr>
                <w:rFonts w:ascii="宋体" w:hAnsi="宋体"/>
                <w:sz w:val="24"/>
                <w:szCs w:val="24"/>
              </w:rPr>
            </w:pPr>
          </w:p>
        </w:tc>
        <w:tc>
          <w:tcPr>
            <w:tcW w:w="2269" w:type="dxa"/>
            <w:vAlign w:val="center"/>
          </w:tcPr>
          <w:p>
            <w:pPr>
              <w:jc w:val="center"/>
              <w:rPr>
                <w:rFonts w:ascii="宋体" w:hAnsi="宋体"/>
                <w:sz w:val="24"/>
                <w:szCs w:val="24"/>
              </w:rPr>
            </w:pPr>
          </w:p>
        </w:tc>
        <w:tc>
          <w:tcPr>
            <w:tcW w:w="1134" w:type="dxa"/>
            <w:vAlign w:val="center"/>
          </w:tcPr>
          <w:p>
            <w:pPr>
              <w:jc w:val="center"/>
              <w:rPr>
                <w:rFonts w:ascii="宋体" w:hAnsi="宋体"/>
                <w:sz w:val="24"/>
                <w:szCs w:val="24"/>
              </w:rPr>
            </w:pPr>
          </w:p>
        </w:tc>
        <w:tc>
          <w:tcPr>
            <w:tcW w:w="2658"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jc w:val="center"/>
              <w:rPr>
                <w:rFonts w:ascii="宋体" w:hAnsi="宋体"/>
                <w:sz w:val="24"/>
                <w:szCs w:val="24"/>
              </w:rPr>
            </w:pPr>
            <w:r>
              <w:rPr>
                <w:rFonts w:hint="eastAsia" w:ascii="宋体" w:hAnsi="宋体"/>
                <w:sz w:val="24"/>
                <w:szCs w:val="24"/>
              </w:rPr>
              <w:t>15</w:t>
            </w:r>
          </w:p>
        </w:tc>
        <w:tc>
          <w:tcPr>
            <w:tcW w:w="2154" w:type="dxa"/>
            <w:vAlign w:val="center"/>
          </w:tcPr>
          <w:p>
            <w:pPr>
              <w:pStyle w:val="14"/>
              <w:rPr>
                <w:rFonts w:ascii="宋体" w:hAnsi="宋体"/>
                <w:sz w:val="24"/>
                <w:szCs w:val="24"/>
              </w:rPr>
            </w:pPr>
          </w:p>
        </w:tc>
        <w:tc>
          <w:tcPr>
            <w:tcW w:w="2269" w:type="dxa"/>
            <w:vAlign w:val="center"/>
          </w:tcPr>
          <w:p>
            <w:pPr>
              <w:pStyle w:val="32"/>
              <w:rPr>
                <w:rFonts w:ascii="宋体" w:hAnsi="宋体"/>
                <w:color w:val="auto"/>
                <w:szCs w:val="24"/>
              </w:rPr>
            </w:pPr>
          </w:p>
        </w:tc>
        <w:tc>
          <w:tcPr>
            <w:tcW w:w="1134" w:type="dxa"/>
            <w:vAlign w:val="center"/>
          </w:tcPr>
          <w:p>
            <w:pPr>
              <w:pStyle w:val="32"/>
              <w:rPr>
                <w:rFonts w:ascii="宋体" w:hAnsi="宋体"/>
                <w:color w:val="auto"/>
                <w:szCs w:val="24"/>
              </w:rPr>
            </w:pPr>
          </w:p>
        </w:tc>
        <w:tc>
          <w:tcPr>
            <w:tcW w:w="2658" w:type="dxa"/>
            <w:vAlign w:val="center"/>
          </w:tcPr>
          <w:p>
            <w:pPr>
              <w:pStyle w:val="32"/>
              <w:rPr>
                <w:rFonts w:ascii="宋体" w:hAnsi="宋体"/>
                <w:color w:val="auto"/>
                <w:szCs w:val="24"/>
              </w:rPr>
            </w:pPr>
          </w:p>
        </w:tc>
      </w:tr>
    </w:tbl>
    <w:p>
      <w:pPr>
        <w:spacing w:line="360" w:lineRule="auto"/>
        <w:rPr>
          <w:rFonts w:ascii="宋体" w:hAnsi="宋体" w:cs="宋体"/>
          <w:sz w:val="24"/>
        </w:rPr>
      </w:pPr>
      <w:r>
        <w:rPr>
          <w:rFonts w:hint="eastAsia" w:ascii="宋体" w:hAnsi="宋体" w:cs="宋体"/>
          <w:sz w:val="24"/>
        </w:rPr>
        <w:t>说明：</w:t>
      </w:r>
    </w:p>
    <w:p>
      <w:pPr>
        <w:spacing w:line="360" w:lineRule="auto"/>
        <w:rPr>
          <w:rFonts w:ascii="宋体" w:hAnsi="宋体" w:cs="宋体"/>
          <w:sz w:val="24"/>
        </w:rPr>
      </w:pPr>
      <w:r>
        <w:rPr>
          <w:rFonts w:hint="eastAsia" w:ascii="宋体" w:hAnsi="宋体" w:cs="宋体"/>
          <w:sz w:val="24"/>
        </w:rPr>
        <w:t>1.本表所列条款必须一一予以响应，“投标人响应情况”一栏应</w:t>
      </w:r>
      <w:r>
        <w:rPr>
          <w:rFonts w:hint="eastAsia" w:ascii="宋体" w:hAnsi="宋体" w:cs="宋体"/>
          <w:b/>
          <w:sz w:val="24"/>
        </w:rPr>
        <w:t>填写具体的响应内容，有差异的</w:t>
      </w:r>
      <w:r>
        <w:rPr>
          <w:rFonts w:hint="eastAsia" w:ascii="宋体" w:hAnsi="宋体" w:cs="宋体"/>
          <w:sz w:val="24"/>
        </w:rPr>
        <w:t>要具体说明。</w:t>
      </w:r>
    </w:p>
    <w:p>
      <w:pPr>
        <w:spacing w:line="360" w:lineRule="auto"/>
        <w:rPr>
          <w:rFonts w:ascii="宋体" w:hAnsi="宋体" w:cs="宋体"/>
          <w:sz w:val="24"/>
        </w:rPr>
      </w:pPr>
      <w:r>
        <w:rPr>
          <w:rFonts w:hint="eastAsia" w:ascii="宋体" w:hAnsi="宋体" w:cs="宋体"/>
          <w:sz w:val="24"/>
        </w:rPr>
        <w:t>2.请投标人认真填写本表内容，如填写错误将可能导致投标无效。</w:t>
      </w:r>
    </w:p>
    <w:p>
      <w:pPr>
        <w:spacing w:line="360" w:lineRule="auto"/>
        <w:rPr>
          <w:rFonts w:ascii="宋体" w:hAnsi="宋体" w:cs="宋体"/>
          <w:sz w:val="24"/>
        </w:rPr>
      </w:pPr>
      <w:r>
        <w:rPr>
          <w:rFonts w:hint="eastAsia" w:ascii="宋体" w:hAnsi="宋体" w:cs="宋体"/>
          <w:sz w:val="24"/>
        </w:rPr>
        <w:t>3.本表应列出所有★号条款的响应情况，格式如有遗漏，请投标人自行补充完整。</w:t>
      </w:r>
    </w:p>
    <w:p>
      <w:pPr>
        <w:spacing w:line="360" w:lineRule="auto"/>
        <w:ind w:left="473" w:leftChars="169" w:firstLine="2479" w:firstLineChars="1029"/>
        <w:rPr>
          <w:rFonts w:ascii="宋体" w:hAnsi="宋体"/>
          <w:b/>
          <w:bCs/>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r>
        <w:rPr>
          <w:rFonts w:hint="eastAsia" w:ascii="宋体" w:hAnsi="宋体"/>
          <w:sz w:val="24"/>
        </w:rPr>
        <w:t>日    期：     年   月   日</w:t>
      </w:r>
    </w:p>
    <w:p>
      <w:pPr>
        <w:spacing w:line="360" w:lineRule="auto"/>
        <w:ind w:left="473" w:leftChars="169" w:firstLine="2479" w:firstLineChars="1029"/>
        <w:rPr>
          <w:rFonts w:ascii="宋体" w:hAnsi="宋体"/>
          <w:b/>
          <w:bCs/>
          <w:sz w:val="24"/>
        </w:rPr>
      </w:pPr>
    </w:p>
    <w:p>
      <w:pPr>
        <w:spacing w:line="360" w:lineRule="auto"/>
        <w:ind w:left="473" w:leftChars="169" w:firstLine="2479" w:firstLineChars="1029"/>
        <w:rPr>
          <w:rFonts w:ascii="宋体" w:hAnsi="宋体"/>
          <w:b/>
          <w:bCs/>
          <w:sz w:val="24"/>
        </w:rPr>
      </w:pPr>
    </w:p>
    <w:p>
      <w:pPr>
        <w:spacing w:line="360" w:lineRule="auto"/>
        <w:rPr>
          <w:rFonts w:ascii="宋体" w:hAnsi="宋体"/>
        </w:rPr>
      </w:pPr>
      <w:r>
        <w:rPr>
          <w:rFonts w:hint="eastAsia"/>
          <w:b/>
          <w:bCs/>
          <w:sz w:val="24"/>
        </w:rPr>
        <w:br w:type="page"/>
      </w:r>
      <w:bookmarkStart w:id="135" w:name="_Toc927365"/>
      <w:bookmarkStart w:id="136" w:name="_Toc856905"/>
      <w:bookmarkStart w:id="137" w:name="_Toc35834919"/>
      <w:bookmarkStart w:id="138" w:name="_Toc34535365"/>
      <w:bookmarkStart w:id="139" w:name="_Toc14450845"/>
      <w:bookmarkStart w:id="140" w:name="_Toc109467918"/>
      <w:bookmarkStart w:id="141" w:name="_Toc28489503"/>
    </w:p>
    <w:p>
      <w:pPr>
        <w:pStyle w:val="5"/>
        <w:rPr>
          <w:bCs/>
          <w:sz w:val="24"/>
        </w:rPr>
      </w:pPr>
      <w:r>
        <w:rPr>
          <w:rFonts w:hint="eastAsia"/>
          <w:bCs/>
          <w:sz w:val="24"/>
        </w:rPr>
        <w:t>附件7</w:t>
      </w:r>
    </w:p>
    <w:p>
      <w:pPr>
        <w:pStyle w:val="5"/>
        <w:ind w:firstLine="3318" w:firstLineChars="1377"/>
      </w:pPr>
      <w:r>
        <w:rPr>
          <w:rFonts w:hint="eastAsia"/>
          <w:bCs/>
          <w:sz w:val="24"/>
        </w:rPr>
        <w:t>投标人业绩一览表</w:t>
      </w:r>
    </w:p>
    <w:p>
      <w:pPr>
        <w:spacing w:line="360" w:lineRule="auto"/>
        <w:ind w:right="-347" w:rightChars="-124" w:firstLine="40" w:firstLineChars="17"/>
        <w:rPr>
          <w:rFonts w:ascii="宋体" w:hAnsi="宋体"/>
          <w:sz w:val="24"/>
        </w:rPr>
      </w:pPr>
      <w:r>
        <w:rPr>
          <w:rFonts w:hint="eastAsia" w:ascii="宋体" w:hAnsi="宋体"/>
          <w:sz w:val="24"/>
        </w:rPr>
        <w:t xml:space="preserve">项目名称：                  </w:t>
      </w:r>
    </w:p>
    <w:p>
      <w:pPr>
        <w:spacing w:line="360" w:lineRule="auto"/>
        <w:ind w:right="-347" w:rightChars="-124" w:firstLine="40" w:firstLineChars="17"/>
        <w:rPr>
          <w:rFonts w:ascii="宋体" w:hAnsi="宋体"/>
          <w:sz w:val="24"/>
        </w:rPr>
      </w:pPr>
      <w:r>
        <w:rPr>
          <w:rFonts w:hint="eastAsia" w:ascii="宋体" w:hAnsi="宋体"/>
          <w:sz w:val="24"/>
        </w:rPr>
        <w:t>项目编号：</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jc w:val="center"/>
              <w:rPr>
                <w:rFonts w:ascii="宋体" w:hAnsi="宋体"/>
                <w:sz w:val="24"/>
              </w:rPr>
            </w:pPr>
            <w:r>
              <w:rPr>
                <w:rFonts w:hint="eastAsia" w:ascii="宋体" w:hAnsi="宋体"/>
                <w:sz w:val="24"/>
              </w:rPr>
              <w:t>序号</w:t>
            </w:r>
          </w:p>
        </w:tc>
        <w:tc>
          <w:tcPr>
            <w:tcW w:w="1707" w:type="dxa"/>
            <w:vAlign w:val="center"/>
          </w:tcPr>
          <w:p>
            <w:pPr>
              <w:jc w:val="center"/>
              <w:rPr>
                <w:rFonts w:ascii="宋体" w:hAnsi="宋体"/>
                <w:sz w:val="24"/>
              </w:rPr>
            </w:pPr>
            <w:r>
              <w:rPr>
                <w:rFonts w:hint="eastAsia" w:ascii="宋体" w:hAnsi="宋体"/>
                <w:sz w:val="24"/>
              </w:rPr>
              <w:t>项目名称</w:t>
            </w:r>
          </w:p>
        </w:tc>
        <w:tc>
          <w:tcPr>
            <w:tcW w:w="1707" w:type="dxa"/>
            <w:vAlign w:val="center"/>
          </w:tcPr>
          <w:p>
            <w:pPr>
              <w:jc w:val="center"/>
              <w:rPr>
                <w:rFonts w:ascii="宋体" w:hAnsi="宋体"/>
                <w:sz w:val="24"/>
              </w:rPr>
            </w:pPr>
            <w:r>
              <w:rPr>
                <w:rFonts w:hint="eastAsia" w:ascii="宋体" w:hAnsi="宋体"/>
                <w:sz w:val="24"/>
              </w:rPr>
              <w:t>规模</w:t>
            </w:r>
          </w:p>
        </w:tc>
        <w:tc>
          <w:tcPr>
            <w:tcW w:w="1707" w:type="dxa"/>
            <w:vAlign w:val="center"/>
          </w:tcPr>
          <w:p>
            <w:pPr>
              <w:jc w:val="center"/>
              <w:rPr>
                <w:rFonts w:ascii="宋体" w:hAnsi="宋体"/>
                <w:sz w:val="24"/>
              </w:rPr>
            </w:pPr>
            <w:r>
              <w:rPr>
                <w:rFonts w:hint="eastAsia" w:ascii="宋体" w:hAnsi="宋体"/>
                <w:sz w:val="24"/>
              </w:rPr>
              <w:t>合同总价</w:t>
            </w:r>
          </w:p>
        </w:tc>
        <w:tc>
          <w:tcPr>
            <w:tcW w:w="1707" w:type="dxa"/>
            <w:vAlign w:val="center"/>
          </w:tcPr>
          <w:p>
            <w:pPr>
              <w:jc w:val="center"/>
              <w:rPr>
                <w:rFonts w:ascii="宋体" w:hAnsi="宋体"/>
                <w:sz w:val="24"/>
              </w:rPr>
            </w:pPr>
            <w:r>
              <w:rPr>
                <w:rFonts w:hint="eastAsia" w:ascii="宋体" w:hAnsi="宋体"/>
                <w:sz w:val="24"/>
              </w:rPr>
              <w:t>开始时间</w:t>
            </w:r>
          </w:p>
        </w:tc>
        <w:tc>
          <w:tcPr>
            <w:tcW w:w="1708" w:type="dxa"/>
            <w:vAlign w:val="center"/>
          </w:tcPr>
          <w:p>
            <w:pPr>
              <w:jc w:val="center"/>
              <w:rPr>
                <w:rFonts w:ascii="宋体" w:hAnsi="宋体"/>
                <w:sz w:val="24"/>
              </w:rPr>
            </w:pPr>
            <w:r>
              <w:rPr>
                <w:rFonts w:hint="eastAsia" w:ascii="宋体" w:hAnsi="宋体"/>
                <w:sz w:val="24"/>
              </w:rPr>
              <w:t>业主单位、</w:t>
            </w:r>
          </w:p>
          <w:p>
            <w:pPr>
              <w:jc w:val="center"/>
              <w:rPr>
                <w:rFonts w:ascii="宋体" w:hAnsi="宋体"/>
                <w:sz w:val="24"/>
              </w:rPr>
            </w:pPr>
            <w:r>
              <w:rPr>
                <w:rFonts w:hint="eastAsia" w:ascii="宋体" w:hAnsi="宋体"/>
                <w:sz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pStyle w:val="30"/>
              <w:rPr>
                <w:color w:val="auto"/>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7" w:type="dxa"/>
            <w:vAlign w:val="center"/>
          </w:tcPr>
          <w:p>
            <w:pPr>
              <w:spacing w:line="360" w:lineRule="auto"/>
              <w:rPr>
                <w:rFonts w:ascii="宋体" w:hAnsi="宋体"/>
                <w:sz w:val="24"/>
              </w:rPr>
            </w:pPr>
          </w:p>
        </w:tc>
        <w:tc>
          <w:tcPr>
            <w:tcW w:w="1708" w:type="dxa"/>
            <w:vAlign w:val="center"/>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投标人全称（盖公章）：</w:t>
      </w:r>
    </w:p>
    <w:p>
      <w:pPr>
        <w:spacing w:line="360" w:lineRule="auto"/>
        <w:rPr>
          <w:rFonts w:ascii="宋体" w:hAnsi="宋体"/>
          <w:sz w:val="24"/>
        </w:rPr>
      </w:pPr>
      <w:r>
        <w:rPr>
          <w:rFonts w:hint="eastAsia" w:ascii="宋体" w:hAnsi="宋体"/>
          <w:sz w:val="24"/>
        </w:rPr>
        <w:t>法定代表人或投标授权代表（签字或签章）：</w:t>
      </w:r>
    </w:p>
    <w:p>
      <w:pPr>
        <w:spacing w:line="360" w:lineRule="auto"/>
        <w:rPr>
          <w:rFonts w:ascii="宋体" w:hAnsi="宋体"/>
          <w:sz w:val="24"/>
        </w:rPr>
      </w:pPr>
      <w:r>
        <w:rPr>
          <w:rFonts w:hint="eastAsia" w:ascii="宋体" w:hAnsi="宋体"/>
          <w:sz w:val="24"/>
        </w:rPr>
        <w:t>日    期：     年   月   日</w:t>
      </w:r>
    </w:p>
    <w:p>
      <w:pPr>
        <w:pStyle w:val="5"/>
        <w:ind w:left="480"/>
        <w:rPr>
          <w:sz w:val="21"/>
        </w:rPr>
      </w:pPr>
      <w:r>
        <w:rPr>
          <w:rFonts w:hint="eastAsia"/>
          <w:sz w:val="21"/>
        </w:rPr>
        <w:t>注：1、本格式仅供参考，投标人可根据实际情况自定。</w:t>
      </w:r>
    </w:p>
    <w:p>
      <w:pPr>
        <w:pStyle w:val="5"/>
        <w:ind w:left="480" w:firstLine="420" w:firstLineChars="200"/>
        <w:rPr>
          <w:b w:val="0"/>
          <w:sz w:val="21"/>
        </w:rPr>
      </w:pPr>
      <w:r>
        <w:rPr>
          <w:rFonts w:hint="eastAsia"/>
          <w:b w:val="0"/>
          <w:sz w:val="21"/>
        </w:rPr>
        <w:t>2、投标人应附上项目合同等相关证明材料，证明材料所需资料评见商务评分要求。</w:t>
      </w:r>
    </w:p>
    <w:p/>
    <w:p/>
    <w:p/>
    <w:p/>
    <w:p>
      <w:pPr>
        <w:pStyle w:val="2"/>
      </w:pPr>
    </w:p>
    <w:p/>
    <w:p/>
    <w:p/>
    <w:p/>
    <w:p>
      <w:pPr>
        <w:pStyle w:val="5"/>
        <w:rPr>
          <w:bCs/>
          <w:sz w:val="24"/>
        </w:rPr>
      </w:pPr>
      <w:r>
        <w:rPr>
          <w:rFonts w:hint="eastAsia"/>
          <w:bCs/>
          <w:sz w:val="24"/>
        </w:rPr>
        <w:t>附件8  技术文件（格式自定，可另册）</w:t>
      </w:r>
    </w:p>
    <w:bookmarkEnd w:id="135"/>
    <w:bookmarkEnd w:id="136"/>
    <w:bookmarkEnd w:id="137"/>
    <w:bookmarkEnd w:id="138"/>
    <w:bookmarkEnd w:id="139"/>
    <w:bookmarkEnd w:id="140"/>
    <w:bookmarkEnd w:id="141"/>
    <w:p>
      <w:pPr>
        <w:pStyle w:val="5"/>
        <w:rPr>
          <w:bCs/>
          <w:sz w:val="24"/>
        </w:rPr>
      </w:pPr>
      <w:r>
        <w:br w:type="page"/>
      </w:r>
      <w:r>
        <w:rPr>
          <w:rFonts w:hint="eastAsia"/>
          <w:bCs/>
          <w:sz w:val="24"/>
        </w:rPr>
        <w:t>附件9</w:t>
      </w:r>
    </w:p>
    <w:p>
      <w:pPr>
        <w:pStyle w:val="5"/>
        <w:ind w:firstLine="3424" w:firstLineChars="1421"/>
        <w:rPr>
          <w:bCs/>
          <w:sz w:val="24"/>
        </w:rPr>
      </w:pPr>
      <w:r>
        <w:rPr>
          <w:rFonts w:hint="eastAsia"/>
          <w:bCs/>
          <w:sz w:val="24"/>
        </w:rPr>
        <w:t>公平竞争承诺书</w:t>
      </w: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240" w:firstLineChars="100"/>
        <w:jc w:val="left"/>
        <w:rPr>
          <w:rFonts w:ascii="宋体" w:hAnsi="宋体" w:cs="宋体"/>
          <w:sz w:val="24"/>
        </w:rPr>
      </w:pPr>
    </w:p>
    <w:p>
      <w:pPr>
        <w:autoSpaceDE w:val="0"/>
        <w:autoSpaceDN w:val="0"/>
        <w:adjustRightInd w:val="0"/>
        <w:spacing w:line="360" w:lineRule="auto"/>
        <w:ind w:firstLine="480" w:firstLineChars="200"/>
        <w:jc w:val="left"/>
        <w:rPr>
          <w:rFonts w:ascii="宋体" w:hAnsi="宋体" w:cs="宋体"/>
          <w:sz w:val="24"/>
        </w:rPr>
      </w:pPr>
      <w:r>
        <w:rPr>
          <w:rFonts w:hint="eastAsia" w:ascii="宋体" w:hAnsi="宋体" w:cs="宋体"/>
          <w:sz w:val="24"/>
        </w:rPr>
        <w:t>本公司郑重承诺：本公司保证所提交的相关资质文件和证明材料的真实性，有良好的历史诚信记录，并将依法参与</w:t>
      </w:r>
      <w:r>
        <w:rPr>
          <w:rFonts w:hint="eastAsia" w:ascii="宋体" w:hAnsi="宋体" w:cs="宋体"/>
          <w:sz w:val="24"/>
          <w:u w:val="single"/>
        </w:rPr>
        <w:t xml:space="preserve">                     </w:t>
      </w:r>
      <w:r>
        <w:rPr>
          <w:rFonts w:hint="eastAsia" w:ascii="宋体" w:hAnsi="宋体" w:cs="宋体"/>
          <w:sz w:val="24"/>
        </w:rPr>
        <w:t>项目的公平竞争，不以任何不正当行为谋取不当利益，否则承担相应的法律责任。</w:t>
      </w: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p>
    <w:p>
      <w:pPr>
        <w:autoSpaceDE w:val="0"/>
        <w:autoSpaceDN w:val="0"/>
        <w:adjustRightInd w:val="0"/>
        <w:spacing w:line="360" w:lineRule="auto"/>
        <w:jc w:val="right"/>
        <w:rPr>
          <w:rFonts w:ascii="宋体" w:hAnsi="宋体" w:cs="宋体"/>
          <w:sz w:val="24"/>
        </w:rPr>
      </w:pPr>
      <w:r>
        <w:rPr>
          <w:rFonts w:hint="eastAsia" w:ascii="宋体" w:hAnsi="宋体" w:cs="宋体"/>
          <w:sz w:val="24"/>
        </w:rPr>
        <w:t>（公司名称，加盖公章）</w:t>
      </w:r>
    </w:p>
    <w:p>
      <w:pPr>
        <w:spacing w:line="380" w:lineRule="exact"/>
        <w:ind w:firstLine="120" w:firstLineChars="50"/>
        <w:jc w:val="right"/>
        <w:rPr>
          <w:rFonts w:ascii="宋体" w:hAnsi="宋体" w:cs="宋体"/>
          <w:sz w:val="24"/>
        </w:rPr>
      </w:pPr>
      <w:r>
        <w:rPr>
          <w:rFonts w:hint="eastAsia" w:ascii="宋体" w:hAnsi="宋体" w:cs="宋体"/>
          <w:sz w:val="24"/>
        </w:rPr>
        <w:t xml:space="preserve">时间：  </w:t>
      </w:r>
      <w:r>
        <w:rPr>
          <w:rFonts w:ascii="宋体" w:hAnsi="宋体" w:cs="宋体"/>
          <w:sz w:val="24"/>
        </w:rPr>
        <w:t xml:space="preserve"> </w:t>
      </w:r>
      <w:r>
        <w:rPr>
          <w:rFonts w:hint="eastAsia" w:ascii="宋体" w:hAnsi="宋体" w:cs="宋体"/>
          <w:sz w:val="24"/>
        </w:rPr>
        <w:t xml:space="preserve">年  </w:t>
      </w:r>
      <w:r>
        <w:rPr>
          <w:rFonts w:ascii="宋体" w:hAnsi="宋体" w:cs="宋体"/>
          <w:sz w:val="24"/>
        </w:rPr>
        <w:t xml:space="preserve"> </w:t>
      </w:r>
      <w:r>
        <w:rPr>
          <w:rFonts w:hint="eastAsia" w:ascii="宋体" w:hAnsi="宋体" w:cs="宋体"/>
          <w:sz w:val="24"/>
        </w:rPr>
        <w:t xml:space="preserve">月  </w:t>
      </w:r>
      <w:r>
        <w:rPr>
          <w:rFonts w:ascii="宋体" w:hAnsi="宋体" w:cs="宋体"/>
          <w:sz w:val="24"/>
        </w:rPr>
        <w:t xml:space="preserve"> </w:t>
      </w:r>
      <w:r>
        <w:rPr>
          <w:rFonts w:hint="eastAsia" w:ascii="宋体" w:hAnsi="宋体" w:cs="宋体"/>
          <w:sz w:val="24"/>
        </w:rPr>
        <w:t>日</w:t>
      </w:r>
    </w:p>
    <w:p>
      <w:pPr>
        <w:pStyle w:val="4"/>
        <w:spacing w:before="48" w:after="48"/>
        <w:rPr>
          <w:sz w:val="28"/>
        </w:rPr>
      </w:pPr>
    </w:p>
    <w:p/>
    <w:p>
      <w:pPr>
        <w:pStyle w:val="7"/>
        <w:rPr>
          <w:sz w:val="28"/>
        </w:rPr>
      </w:pPr>
    </w:p>
    <w:p/>
    <w:p>
      <w:pPr>
        <w:pStyle w:val="7"/>
        <w:rPr>
          <w:sz w:val="28"/>
        </w:rPr>
      </w:pPr>
    </w:p>
    <w:p/>
    <w:p>
      <w:pPr>
        <w:pStyle w:val="7"/>
        <w:rPr>
          <w:sz w:val="28"/>
        </w:rPr>
      </w:pPr>
    </w:p>
    <w:p/>
    <w:p>
      <w:pPr>
        <w:pStyle w:val="7"/>
        <w:rPr>
          <w:sz w:val="28"/>
        </w:rPr>
      </w:pPr>
    </w:p>
    <w:p/>
    <w:p>
      <w:pPr>
        <w:pStyle w:val="7"/>
        <w:rPr>
          <w:sz w:val="28"/>
        </w:rPr>
      </w:pPr>
    </w:p>
    <w:p/>
    <w:p>
      <w:pPr>
        <w:pStyle w:val="7"/>
        <w:rPr>
          <w:sz w:val="28"/>
        </w:rPr>
      </w:pPr>
    </w:p>
    <w:p/>
    <w:p>
      <w:pPr>
        <w:pStyle w:val="7"/>
        <w:rPr>
          <w:sz w:val="28"/>
        </w:rPr>
      </w:pPr>
    </w:p>
    <w:p/>
    <w:p>
      <w:pPr>
        <w:pStyle w:val="7"/>
        <w:rPr>
          <w:sz w:val="28"/>
        </w:rPr>
      </w:pPr>
    </w:p>
    <w:p/>
    <w:bookmarkEnd w:id="104"/>
    <w:bookmarkEnd w:id="105"/>
    <w:p>
      <w:pPr>
        <w:spacing w:line="360" w:lineRule="auto"/>
        <w:rPr>
          <w:rFonts w:ascii="宋体" w:hAnsi="宋体"/>
          <w:b/>
          <w:sz w:val="24"/>
        </w:rPr>
      </w:pPr>
    </w:p>
    <w:p>
      <w:pPr>
        <w:rPr>
          <w:rFonts w:ascii="宋体" w:hAnsi="宋体"/>
          <w:b/>
          <w:sz w:val="24"/>
        </w:rPr>
      </w:pPr>
    </w:p>
    <w:p>
      <w:pPr>
        <w:rPr>
          <w:rFonts w:ascii="宋体" w:hAnsi="宋体"/>
          <w:b/>
          <w:sz w:val="24"/>
        </w:rPr>
      </w:pPr>
    </w:p>
    <w:p>
      <w:pPr>
        <w:rPr>
          <w:rFonts w:ascii="宋体" w:hAnsi="宋体"/>
          <w:b/>
          <w:sz w:val="44"/>
        </w:rPr>
      </w:pPr>
      <w:r>
        <w:rPr>
          <w:rFonts w:ascii="宋体" w:hAnsi="宋体"/>
          <w:b/>
          <w:sz w:val="24"/>
        </w:rPr>
        <w:br w:type="page"/>
      </w:r>
    </w:p>
    <w:p>
      <w:pPr>
        <w:spacing w:line="360" w:lineRule="auto"/>
        <w:jc w:val="center"/>
        <w:rPr>
          <w:rFonts w:ascii="宋体" w:hAnsi="宋体"/>
          <w:b/>
          <w:sz w:val="44"/>
        </w:rPr>
      </w:pPr>
    </w:p>
    <w:p>
      <w:pPr>
        <w:spacing w:line="360" w:lineRule="auto"/>
        <w:jc w:val="center"/>
        <w:rPr>
          <w:rFonts w:ascii="宋体" w:hAnsi="宋体"/>
          <w:b/>
          <w:sz w:val="44"/>
        </w:rPr>
      </w:pPr>
    </w:p>
    <w:p>
      <w:pPr>
        <w:spacing w:line="360" w:lineRule="auto"/>
        <w:jc w:val="center"/>
        <w:outlineLvl w:val="0"/>
        <w:rPr>
          <w:sz w:val="44"/>
        </w:rPr>
      </w:pPr>
    </w:p>
    <w:p>
      <w:pPr>
        <w:spacing w:line="360" w:lineRule="auto"/>
        <w:jc w:val="center"/>
        <w:outlineLvl w:val="0"/>
        <w:rPr>
          <w:sz w:val="44"/>
        </w:rPr>
      </w:pPr>
    </w:p>
    <w:p>
      <w:pPr>
        <w:spacing w:line="360" w:lineRule="auto"/>
        <w:jc w:val="center"/>
        <w:outlineLvl w:val="0"/>
        <w:rPr>
          <w:sz w:val="44"/>
        </w:rPr>
      </w:pPr>
    </w:p>
    <w:p>
      <w:pPr>
        <w:spacing w:line="360" w:lineRule="auto"/>
        <w:jc w:val="center"/>
        <w:outlineLvl w:val="0"/>
        <w:rPr>
          <w:sz w:val="44"/>
        </w:rPr>
      </w:pPr>
    </w:p>
    <w:p>
      <w:pPr>
        <w:spacing w:line="360" w:lineRule="auto"/>
        <w:jc w:val="center"/>
        <w:outlineLvl w:val="0"/>
        <w:rPr>
          <w:sz w:val="44"/>
        </w:rPr>
      </w:pPr>
    </w:p>
    <w:p>
      <w:pPr>
        <w:spacing w:line="360" w:lineRule="auto"/>
        <w:jc w:val="center"/>
        <w:outlineLvl w:val="0"/>
        <w:rPr>
          <w:rFonts w:ascii="宋体" w:hAnsi="宋体"/>
          <w:b/>
          <w:bCs/>
          <w:sz w:val="84"/>
        </w:rPr>
      </w:pPr>
      <w:bookmarkStart w:id="142" w:name="_Toc14490"/>
      <w:r>
        <w:rPr>
          <w:rFonts w:hint="eastAsia"/>
          <w:b/>
          <w:bCs/>
          <w:sz w:val="44"/>
        </w:rPr>
        <w:t>第六章 评标细则</w:t>
      </w:r>
      <w:bookmarkEnd w:id="142"/>
    </w:p>
    <w:p>
      <w:pPr>
        <w:spacing w:line="360" w:lineRule="auto"/>
        <w:jc w:val="center"/>
        <w:rPr>
          <w:rFonts w:ascii="宋体" w:hAnsi="宋体"/>
          <w:b/>
          <w:sz w:val="84"/>
        </w:rPr>
      </w:pPr>
    </w:p>
    <w:p>
      <w:pPr>
        <w:spacing w:line="360" w:lineRule="auto"/>
        <w:jc w:val="center"/>
        <w:rPr>
          <w:rFonts w:ascii="宋体" w:hAnsi="宋体"/>
          <w:b/>
          <w:sz w:val="32"/>
        </w:rPr>
      </w:pPr>
    </w:p>
    <w:p>
      <w:pPr>
        <w:spacing w:line="360" w:lineRule="auto"/>
        <w:jc w:val="center"/>
        <w:rPr>
          <w:rFonts w:ascii="宋体" w:hAnsi="宋体"/>
          <w:b/>
          <w:sz w:val="32"/>
        </w:rPr>
      </w:pPr>
    </w:p>
    <w:p>
      <w:pPr>
        <w:spacing w:line="360" w:lineRule="auto"/>
        <w:ind w:left="562" w:hanging="562" w:hangingChars="200"/>
        <w:jc w:val="center"/>
        <w:rPr>
          <w:rFonts w:ascii="宋体" w:hAnsi="宋体"/>
          <w:b/>
          <w:bCs/>
          <w:szCs w:val="28"/>
        </w:rPr>
      </w:pPr>
    </w:p>
    <w:p>
      <w:pPr>
        <w:spacing w:line="360" w:lineRule="auto"/>
        <w:jc w:val="center"/>
        <w:rPr>
          <w:rFonts w:ascii="宋体" w:hAnsi="宋体"/>
          <w:b/>
        </w:rPr>
      </w:pPr>
    </w:p>
    <w:p>
      <w:pPr>
        <w:pStyle w:val="5"/>
        <w:adjustRightInd/>
        <w:spacing w:before="0" w:after="0" w:line="440" w:lineRule="exact"/>
        <w:rPr>
          <w:sz w:val="24"/>
          <w:szCs w:val="24"/>
        </w:rPr>
      </w:pPr>
      <w:r>
        <w:rPr>
          <w:sz w:val="24"/>
        </w:rPr>
        <w:br w:type="page"/>
      </w:r>
      <w:bookmarkStart w:id="143" w:name="_Toc148420064"/>
      <w:bookmarkStart w:id="144" w:name="_Toc150050896"/>
      <w:bookmarkStart w:id="145" w:name="_Toc107383641"/>
      <w:bookmarkStart w:id="146" w:name="_Toc131922497"/>
      <w:bookmarkStart w:id="147" w:name="_Toc148060900"/>
      <w:bookmarkStart w:id="148" w:name="_Toc131904924"/>
      <w:bookmarkStart w:id="149" w:name="_Toc61327422"/>
      <w:bookmarkStart w:id="150" w:name="_Toc109467926"/>
      <w:bookmarkStart w:id="151" w:name="_Toc138568666"/>
      <w:bookmarkStart w:id="152" w:name="_Toc107460006"/>
      <w:bookmarkStart w:id="153" w:name="_Toc107385313"/>
      <w:bookmarkStart w:id="154" w:name="_Toc169334810"/>
      <w:bookmarkStart w:id="155" w:name="_Toc138506086"/>
      <w:r>
        <w:rPr>
          <w:rFonts w:hint="eastAsia"/>
          <w:sz w:val="24"/>
          <w:szCs w:val="24"/>
        </w:rPr>
        <w:t>一.说明</w:t>
      </w:r>
      <w:bookmarkEnd w:id="143"/>
      <w:bookmarkEnd w:id="144"/>
      <w:bookmarkEnd w:id="145"/>
      <w:bookmarkEnd w:id="146"/>
      <w:bookmarkEnd w:id="147"/>
      <w:bookmarkEnd w:id="148"/>
      <w:bookmarkEnd w:id="149"/>
      <w:bookmarkEnd w:id="150"/>
      <w:bookmarkEnd w:id="151"/>
      <w:bookmarkEnd w:id="152"/>
      <w:bookmarkEnd w:id="153"/>
      <w:bookmarkEnd w:id="154"/>
      <w:bookmarkEnd w:id="155"/>
    </w:p>
    <w:p>
      <w:pPr>
        <w:spacing w:line="440" w:lineRule="exact"/>
        <w:rPr>
          <w:rFonts w:ascii="宋体" w:hAnsi="宋体"/>
          <w:b/>
          <w:bCs/>
          <w:sz w:val="24"/>
          <w:szCs w:val="24"/>
        </w:rPr>
      </w:pPr>
      <w:bookmarkStart w:id="156" w:name="_Toc61327423"/>
      <w:r>
        <w:rPr>
          <w:rFonts w:hint="eastAsia" w:ascii="宋体" w:hAnsi="宋体"/>
          <w:b/>
          <w:bCs/>
          <w:sz w:val="24"/>
          <w:szCs w:val="24"/>
        </w:rPr>
        <w:t>1.概述</w:t>
      </w:r>
      <w:bookmarkEnd w:id="156"/>
    </w:p>
    <w:p>
      <w:pPr>
        <w:pStyle w:val="8"/>
        <w:spacing w:line="440" w:lineRule="exact"/>
        <w:ind w:firstLine="476"/>
        <w:rPr>
          <w:rFonts w:ascii="宋体" w:hAnsi="宋体"/>
          <w:sz w:val="24"/>
          <w:szCs w:val="24"/>
        </w:rPr>
      </w:pPr>
      <w:r>
        <w:rPr>
          <w:rFonts w:hint="eastAsia" w:ascii="宋体" w:hAnsi="宋体"/>
          <w:sz w:val="24"/>
          <w:szCs w:val="24"/>
        </w:rPr>
        <w:t>根据《中华人民共和国招标投标法》和国家及地方采购有关文件精神，在保证广州南沙湿地旅游发展有限公司采购南沙湿地景区海景园餐饮配套设备采购项目（以下简称项目）招标公开、公平、公正的基础上，结合项目的技术和商务需求，编制本评标文件。</w:t>
      </w:r>
    </w:p>
    <w:p>
      <w:pPr>
        <w:spacing w:line="440" w:lineRule="exact"/>
        <w:rPr>
          <w:rFonts w:ascii="宋体" w:hAnsi="宋体"/>
          <w:b/>
          <w:bCs/>
          <w:sz w:val="24"/>
          <w:szCs w:val="24"/>
        </w:rPr>
      </w:pPr>
      <w:bookmarkStart w:id="157" w:name="_Toc61327424"/>
      <w:r>
        <w:rPr>
          <w:rFonts w:hint="eastAsia" w:ascii="宋体" w:hAnsi="宋体"/>
          <w:b/>
          <w:bCs/>
          <w:sz w:val="24"/>
          <w:szCs w:val="24"/>
        </w:rPr>
        <w:t>2.定义</w:t>
      </w:r>
      <w:bookmarkEnd w:id="157"/>
    </w:p>
    <w:p>
      <w:pPr>
        <w:spacing w:line="360" w:lineRule="auto"/>
        <w:ind w:firstLine="482" w:firstLineChars="200"/>
        <w:rPr>
          <w:rFonts w:ascii="宋体" w:hAnsi="宋体"/>
          <w:sz w:val="24"/>
          <w:szCs w:val="24"/>
        </w:rPr>
      </w:pPr>
      <w:r>
        <w:rPr>
          <w:rFonts w:hint="eastAsia" w:ascii="宋体" w:hAnsi="宋体"/>
          <w:b/>
          <w:bCs/>
          <w:sz w:val="24"/>
          <w:szCs w:val="24"/>
        </w:rPr>
        <w:t>采 购 人</w:t>
      </w:r>
      <w:r>
        <w:rPr>
          <w:rFonts w:hint="eastAsia" w:ascii="宋体" w:hAnsi="宋体"/>
          <w:sz w:val="24"/>
          <w:szCs w:val="24"/>
        </w:rPr>
        <w:t>：系指广州南沙湿地旅游发展有限公司。                             。</w:t>
      </w:r>
    </w:p>
    <w:p>
      <w:pPr>
        <w:spacing w:line="360" w:lineRule="auto"/>
        <w:ind w:firstLine="482" w:firstLineChars="200"/>
        <w:rPr>
          <w:rFonts w:ascii="宋体" w:hAnsi="宋体"/>
          <w:sz w:val="24"/>
          <w:szCs w:val="24"/>
        </w:rPr>
      </w:pPr>
      <w:r>
        <w:rPr>
          <w:rFonts w:hint="eastAsia" w:ascii="宋体" w:hAnsi="宋体"/>
          <w:b/>
          <w:bCs/>
          <w:sz w:val="24"/>
          <w:szCs w:val="24"/>
        </w:rPr>
        <w:t>业主/用户</w:t>
      </w:r>
      <w:r>
        <w:rPr>
          <w:rFonts w:hint="eastAsia" w:ascii="宋体" w:hAnsi="宋体"/>
          <w:sz w:val="24"/>
          <w:szCs w:val="24"/>
        </w:rPr>
        <w:t>：系指本项目的最终使用单位。</w:t>
      </w:r>
    </w:p>
    <w:p>
      <w:pPr>
        <w:spacing w:line="440" w:lineRule="exact"/>
        <w:rPr>
          <w:rFonts w:ascii="宋体" w:hAnsi="宋体"/>
          <w:b/>
          <w:bCs/>
          <w:sz w:val="24"/>
          <w:szCs w:val="24"/>
        </w:rPr>
      </w:pPr>
      <w:bookmarkStart w:id="158" w:name="_Toc61327425"/>
      <w:r>
        <w:rPr>
          <w:rFonts w:hint="eastAsia" w:ascii="宋体" w:hAnsi="宋体"/>
          <w:b/>
          <w:bCs/>
          <w:sz w:val="24"/>
          <w:szCs w:val="24"/>
        </w:rPr>
        <w:t>3.评标委员会组成</w:t>
      </w:r>
      <w:bookmarkEnd w:id="158"/>
    </w:p>
    <w:p>
      <w:pPr>
        <w:pStyle w:val="8"/>
        <w:spacing w:line="440" w:lineRule="exact"/>
        <w:ind w:firstLine="480" w:firstLineChars="200"/>
        <w:rPr>
          <w:rFonts w:ascii="宋体" w:hAnsi="宋体"/>
          <w:sz w:val="24"/>
          <w:szCs w:val="24"/>
        </w:rPr>
      </w:pPr>
      <w:r>
        <w:rPr>
          <w:rFonts w:hint="eastAsia" w:ascii="宋体" w:hAnsi="宋体"/>
          <w:sz w:val="24"/>
        </w:rPr>
        <w:t>本次招标依法组建评标委员会。本次评标的评委会依法由5位评委组成。评委会负责全部的评审工作，任何人不得干预评委会的工作。</w:t>
      </w:r>
    </w:p>
    <w:p>
      <w:pPr>
        <w:pStyle w:val="5"/>
        <w:adjustRightInd/>
        <w:spacing w:before="0" w:after="0" w:line="440" w:lineRule="exact"/>
        <w:rPr>
          <w:sz w:val="24"/>
          <w:szCs w:val="24"/>
        </w:rPr>
      </w:pPr>
      <w:bookmarkStart w:id="159" w:name="_Toc109467927"/>
      <w:bookmarkStart w:id="160" w:name="_Toc150050897"/>
      <w:bookmarkStart w:id="161" w:name="_Toc107385314"/>
      <w:bookmarkStart w:id="162" w:name="_Toc138568667"/>
      <w:bookmarkStart w:id="163" w:name="_Toc107460007"/>
      <w:bookmarkStart w:id="164" w:name="_Toc148060901"/>
      <w:bookmarkStart w:id="165" w:name="_Toc61327427"/>
      <w:bookmarkStart w:id="166" w:name="_Toc131922498"/>
      <w:bookmarkStart w:id="167" w:name="_Toc138506087"/>
      <w:bookmarkStart w:id="168" w:name="_Toc169334811"/>
      <w:bookmarkStart w:id="169" w:name="_Toc131904925"/>
      <w:bookmarkStart w:id="170" w:name="_Toc107383642"/>
      <w:bookmarkStart w:id="171" w:name="_Toc148420065"/>
      <w:r>
        <w:rPr>
          <w:rFonts w:hint="eastAsia"/>
          <w:sz w:val="24"/>
          <w:szCs w:val="24"/>
        </w:rPr>
        <w:t>二.评标须知</w:t>
      </w:r>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line="440" w:lineRule="exact"/>
        <w:rPr>
          <w:rFonts w:ascii="宋体" w:hAnsi="宋体"/>
          <w:b/>
          <w:bCs/>
          <w:sz w:val="24"/>
          <w:szCs w:val="24"/>
        </w:rPr>
      </w:pPr>
      <w:bookmarkStart w:id="172" w:name="_Toc61327428"/>
      <w:r>
        <w:rPr>
          <w:rFonts w:hint="eastAsia" w:ascii="宋体" w:hAnsi="宋体"/>
          <w:b/>
          <w:bCs/>
          <w:sz w:val="24"/>
          <w:szCs w:val="24"/>
        </w:rPr>
        <w:t>1.关于评标方案</w:t>
      </w:r>
      <w:bookmarkEnd w:id="172"/>
    </w:p>
    <w:p>
      <w:pPr>
        <w:spacing w:line="440" w:lineRule="exact"/>
        <w:rPr>
          <w:rFonts w:ascii="宋体" w:hAnsi="宋体"/>
          <w:sz w:val="24"/>
          <w:szCs w:val="24"/>
        </w:rPr>
      </w:pPr>
      <w:r>
        <w:rPr>
          <w:rFonts w:hint="eastAsia" w:ascii="宋体" w:hAnsi="宋体"/>
          <w:sz w:val="24"/>
          <w:szCs w:val="24"/>
        </w:rPr>
        <w:t>（1）评标委员会的每位成员（简称评委）应认真地阅读并确认已经正确理解了评标方案；</w:t>
      </w:r>
    </w:p>
    <w:p>
      <w:pPr>
        <w:spacing w:line="440" w:lineRule="exact"/>
        <w:rPr>
          <w:rFonts w:ascii="宋体" w:hAnsi="宋体"/>
          <w:sz w:val="24"/>
          <w:szCs w:val="24"/>
        </w:rPr>
      </w:pPr>
      <w:r>
        <w:rPr>
          <w:rFonts w:hint="eastAsia" w:ascii="宋体" w:hAnsi="宋体"/>
          <w:sz w:val="24"/>
          <w:szCs w:val="24"/>
        </w:rPr>
        <w:t>（2）评委如对评标方案有异议，应在评标开始前提出。</w:t>
      </w:r>
    </w:p>
    <w:p>
      <w:pPr>
        <w:spacing w:line="440" w:lineRule="exact"/>
        <w:rPr>
          <w:rFonts w:ascii="宋体" w:hAnsi="宋体"/>
          <w:b/>
          <w:bCs/>
          <w:sz w:val="24"/>
          <w:szCs w:val="24"/>
        </w:rPr>
      </w:pPr>
      <w:bookmarkStart w:id="173" w:name="_Toc61327429"/>
      <w:r>
        <w:rPr>
          <w:rFonts w:hint="eastAsia" w:ascii="宋体" w:hAnsi="宋体"/>
          <w:b/>
          <w:bCs/>
          <w:sz w:val="24"/>
          <w:szCs w:val="24"/>
        </w:rPr>
        <w:t>2.关于评标纪律</w:t>
      </w:r>
      <w:bookmarkEnd w:id="173"/>
    </w:p>
    <w:p>
      <w:pPr>
        <w:spacing w:line="440" w:lineRule="exact"/>
        <w:ind w:left="588" w:hanging="588" w:hangingChars="245"/>
        <w:rPr>
          <w:rFonts w:ascii="宋体" w:hAnsi="宋体"/>
          <w:sz w:val="24"/>
          <w:szCs w:val="24"/>
        </w:rPr>
      </w:pPr>
      <w:r>
        <w:rPr>
          <w:rFonts w:hint="eastAsia" w:ascii="宋体" w:hAnsi="宋体"/>
          <w:sz w:val="24"/>
          <w:szCs w:val="24"/>
        </w:rPr>
        <w:t>（1）评标委员会成员不得与任何投标人或者与招标结果有利害关系的人进行私下接触，不得收受投标人、中介人、其他利害关系人的财物或者其他好处；</w:t>
      </w:r>
    </w:p>
    <w:p>
      <w:pPr>
        <w:spacing w:line="440" w:lineRule="exact"/>
        <w:rPr>
          <w:rFonts w:ascii="宋体" w:hAnsi="宋体"/>
          <w:sz w:val="24"/>
          <w:szCs w:val="24"/>
        </w:rPr>
      </w:pPr>
      <w:r>
        <w:rPr>
          <w:rFonts w:hint="eastAsia" w:ascii="宋体" w:hAnsi="宋体"/>
          <w:sz w:val="24"/>
          <w:szCs w:val="24"/>
        </w:rPr>
        <w:t>（2）评委应本着客观、公正的原则独立给出评价意见；</w:t>
      </w:r>
    </w:p>
    <w:p>
      <w:pPr>
        <w:spacing w:line="440" w:lineRule="exact"/>
        <w:rPr>
          <w:rFonts w:ascii="宋体" w:hAnsi="宋体"/>
          <w:sz w:val="24"/>
          <w:szCs w:val="24"/>
        </w:rPr>
      </w:pPr>
      <w:r>
        <w:rPr>
          <w:rFonts w:hint="eastAsia" w:ascii="宋体" w:hAnsi="宋体"/>
          <w:sz w:val="24"/>
          <w:szCs w:val="24"/>
        </w:rPr>
        <w:t>（3）评委之间不得相互串通进行评分；</w:t>
      </w:r>
    </w:p>
    <w:p>
      <w:pPr>
        <w:spacing w:line="440" w:lineRule="exact"/>
        <w:rPr>
          <w:rFonts w:ascii="宋体" w:hAnsi="宋体"/>
          <w:sz w:val="24"/>
          <w:szCs w:val="24"/>
        </w:rPr>
      </w:pPr>
      <w:r>
        <w:rPr>
          <w:rFonts w:hint="eastAsia" w:ascii="宋体" w:hAnsi="宋体"/>
          <w:sz w:val="24"/>
          <w:szCs w:val="24"/>
        </w:rPr>
        <w:t>（4）评委不得试图影响其他评委的评价意见。</w:t>
      </w:r>
    </w:p>
    <w:p>
      <w:pPr>
        <w:spacing w:line="440" w:lineRule="exact"/>
        <w:rPr>
          <w:rFonts w:ascii="宋体" w:hAnsi="宋体"/>
          <w:b/>
          <w:bCs/>
          <w:sz w:val="24"/>
          <w:szCs w:val="24"/>
        </w:rPr>
      </w:pPr>
      <w:bookmarkStart w:id="174" w:name="_Toc61327430"/>
      <w:r>
        <w:rPr>
          <w:rFonts w:hint="eastAsia" w:ascii="宋体" w:hAnsi="宋体"/>
          <w:b/>
          <w:bCs/>
          <w:sz w:val="24"/>
          <w:szCs w:val="24"/>
        </w:rPr>
        <w:t>3.关于评标责任</w:t>
      </w:r>
      <w:bookmarkEnd w:id="174"/>
    </w:p>
    <w:p>
      <w:pPr>
        <w:spacing w:line="440" w:lineRule="exact"/>
        <w:rPr>
          <w:rFonts w:ascii="宋体" w:hAnsi="宋体"/>
          <w:sz w:val="24"/>
          <w:szCs w:val="24"/>
        </w:rPr>
      </w:pPr>
      <w:r>
        <w:rPr>
          <w:rFonts w:hint="eastAsia" w:ascii="宋体" w:hAnsi="宋体"/>
          <w:sz w:val="24"/>
          <w:szCs w:val="24"/>
        </w:rPr>
        <w:t>（1）评委应在其书面评审意见上签字确认；</w:t>
      </w:r>
    </w:p>
    <w:p>
      <w:pPr>
        <w:spacing w:line="440" w:lineRule="exact"/>
        <w:rPr>
          <w:rFonts w:ascii="宋体" w:hAnsi="宋体"/>
          <w:sz w:val="24"/>
          <w:szCs w:val="24"/>
        </w:rPr>
      </w:pPr>
      <w:r>
        <w:rPr>
          <w:rFonts w:hint="eastAsia" w:ascii="宋体" w:hAnsi="宋体"/>
          <w:sz w:val="24"/>
          <w:szCs w:val="24"/>
        </w:rPr>
        <w:t>（2）评委对其所提出的评审意见承担个人责任。</w:t>
      </w:r>
    </w:p>
    <w:p>
      <w:pPr>
        <w:spacing w:line="440" w:lineRule="exact"/>
        <w:rPr>
          <w:rFonts w:ascii="宋体" w:hAnsi="宋体"/>
          <w:b/>
          <w:bCs/>
          <w:sz w:val="24"/>
          <w:szCs w:val="24"/>
        </w:rPr>
      </w:pPr>
      <w:bookmarkStart w:id="175" w:name="_Toc61327431"/>
      <w:r>
        <w:rPr>
          <w:rFonts w:hint="eastAsia" w:ascii="宋体" w:hAnsi="宋体"/>
          <w:b/>
          <w:bCs/>
          <w:sz w:val="24"/>
          <w:szCs w:val="24"/>
        </w:rPr>
        <w:t>4.关于回避</w:t>
      </w:r>
      <w:bookmarkEnd w:id="175"/>
    </w:p>
    <w:p>
      <w:pPr>
        <w:spacing w:line="440" w:lineRule="exact"/>
        <w:ind w:firstLine="480" w:firstLineChars="200"/>
        <w:rPr>
          <w:rFonts w:ascii="宋体" w:hAnsi="宋体"/>
          <w:sz w:val="24"/>
          <w:szCs w:val="24"/>
        </w:rPr>
      </w:pPr>
      <w:r>
        <w:rPr>
          <w:rFonts w:hint="eastAsia" w:ascii="宋体" w:hAnsi="宋体"/>
          <w:sz w:val="24"/>
          <w:szCs w:val="24"/>
        </w:rPr>
        <w:t>有下列情形之一的，不得担任评标委员会成员，如事先不知情的，应在采购人宣读投标人名单及评标纪律后主动提出回避：</w:t>
      </w:r>
    </w:p>
    <w:p>
      <w:pPr>
        <w:spacing w:line="440" w:lineRule="exact"/>
        <w:rPr>
          <w:rFonts w:ascii="宋体" w:hAnsi="宋体"/>
          <w:sz w:val="24"/>
          <w:szCs w:val="24"/>
        </w:rPr>
      </w:pPr>
      <w:r>
        <w:rPr>
          <w:rFonts w:hint="eastAsia" w:ascii="宋体" w:hAnsi="宋体"/>
          <w:sz w:val="24"/>
          <w:szCs w:val="24"/>
        </w:rPr>
        <w:t>（1）是投标人或者投标人主要负责人的近亲属；</w:t>
      </w:r>
    </w:p>
    <w:p>
      <w:pPr>
        <w:spacing w:line="440" w:lineRule="exact"/>
        <w:rPr>
          <w:rFonts w:ascii="宋体" w:hAnsi="宋体"/>
          <w:sz w:val="24"/>
          <w:szCs w:val="24"/>
        </w:rPr>
      </w:pPr>
      <w:r>
        <w:rPr>
          <w:rFonts w:hint="eastAsia" w:ascii="宋体" w:hAnsi="宋体"/>
          <w:sz w:val="24"/>
          <w:szCs w:val="24"/>
        </w:rPr>
        <w:t>（2）项目主管部门或行政监督部门的人员；</w:t>
      </w:r>
    </w:p>
    <w:p>
      <w:pPr>
        <w:spacing w:line="440" w:lineRule="exact"/>
        <w:rPr>
          <w:rFonts w:ascii="宋体" w:hAnsi="宋体"/>
          <w:sz w:val="24"/>
          <w:szCs w:val="24"/>
        </w:rPr>
      </w:pPr>
      <w:r>
        <w:rPr>
          <w:rFonts w:hint="eastAsia" w:ascii="宋体" w:hAnsi="宋体"/>
          <w:sz w:val="24"/>
          <w:szCs w:val="24"/>
        </w:rPr>
        <w:t>（3）与投标人有经济利益关系，可能影响对投标公正评审的；</w:t>
      </w:r>
    </w:p>
    <w:p>
      <w:pPr>
        <w:spacing w:line="440" w:lineRule="exact"/>
        <w:ind w:left="600" w:hanging="600" w:hangingChars="250"/>
        <w:rPr>
          <w:rFonts w:ascii="宋体" w:hAnsi="宋体"/>
          <w:sz w:val="24"/>
          <w:szCs w:val="24"/>
        </w:rPr>
      </w:pPr>
      <w:r>
        <w:rPr>
          <w:rFonts w:hint="eastAsia" w:ascii="宋体" w:hAnsi="宋体"/>
          <w:sz w:val="24"/>
          <w:szCs w:val="24"/>
        </w:rPr>
        <w:t>（4）曾因在招标、评标以及其他与招标投标有关活动中从事违法行为而受过行政处罚或刑事处罚的。</w:t>
      </w:r>
    </w:p>
    <w:p>
      <w:pPr>
        <w:spacing w:line="440" w:lineRule="exact"/>
        <w:rPr>
          <w:rFonts w:ascii="宋体" w:hAnsi="宋体"/>
          <w:b/>
          <w:bCs/>
          <w:sz w:val="24"/>
          <w:szCs w:val="24"/>
        </w:rPr>
      </w:pPr>
      <w:bookmarkStart w:id="176" w:name="_Toc61327432"/>
      <w:r>
        <w:rPr>
          <w:rFonts w:hint="eastAsia" w:ascii="宋体" w:hAnsi="宋体"/>
          <w:b/>
          <w:bCs/>
          <w:sz w:val="24"/>
          <w:szCs w:val="24"/>
        </w:rPr>
        <w:t>5.关于保密</w:t>
      </w:r>
      <w:bookmarkEnd w:id="176"/>
    </w:p>
    <w:p>
      <w:pPr>
        <w:spacing w:line="440" w:lineRule="exact"/>
        <w:ind w:firstLine="480" w:firstLineChars="200"/>
        <w:rPr>
          <w:rFonts w:ascii="宋体" w:hAnsi="宋体"/>
          <w:sz w:val="24"/>
          <w:szCs w:val="24"/>
        </w:rPr>
      </w:pPr>
      <w:r>
        <w:rPr>
          <w:rFonts w:hint="eastAsia" w:ascii="宋体" w:hAnsi="宋体"/>
          <w:sz w:val="24"/>
          <w:szCs w:val="24"/>
        </w:rPr>
        <w:t>评标委员会成员和与评标活动有关的工作人员不得透露对投标文件的评审和比较、中标候选人的推荐情况以及评标有关的其他情况。</w:t>
      </w:r>
    </w:p>
    <w:p>
      <w:pPr>
        <w:pStyle w:val="2"/>
        <w:spacing w:line="440" w:lineRule="exact"/>
        <w:ind w:firstLine="480" w:firstLineChars="200"/>
        <w:rPr>
          <w:rFonts w:ascii="宋体" w:hAnsi="宋体" w:eastAsia="宋体"/>
          <w:sz w:val="24"/>
          <w:szCs w:val="24"/>
        </w:rPr>
      </w:pPr>
      <w:r>
        <w:rPr>
          <w:rFonts w:hint="eastAsia" w:ascii="宋体" w:hAnsi="宋体" w:eastAsia="宋体"/>
          <w:b w:val="0"/>
          <w:sz w:val="24"/>
          <w:szCs w:val="24"/>
        </w:rPr>
        <w:t>前款所称与评标活动有关的工作人员，是指评标委员会成员以外的因参与评标监督工作或者事务性工作而知悉有关评标情况的所有人员。</w:t>
      </w:r>
    </w:p>
    <w:p>
      <w:pPr>
        <w:spacing w:line="440" w:lineRule="exact"/>
        <w:rPr>
          <w:rFonts w:ascii="宋体" w:hAnsi="宋体"/>
          <w:b/>
          <w:bCs/>
          <w:sz w:val="24"/>
          <w:szCs w:val="24"/>
        </w:rPr>
      </w:pPr>
      <w:bookmarkStart w:id="177" w:name="_Toc61327433"/>
      <w:r>
        <w:rPr>
          <w:rFonts w:hint="eastAsia" w:ascii="宋体" w:hAnsi="宋体"/>
          <w:b/>
          <w:bCs/>
          <w:sz w:val="24"/>
          <w:szCs w:val="24"/>
        </w:rPr>
        <w:t>6.罚则</w:t>
      </w:r>
      <w:bookmarkEnd w:id="177"/>
    </w:p>
    <w:p>
      <w:pPr>
        <w:spacing w:line="440" w:lineRule="exact"/>
        <w:ind w:left="600" w:hanging="600" w:hangingChars="250"/>
        <w:rPr>
          <w:rFonts w:ascii="宋体" w:hAnsi="宋体"/>
          <w:sz w:val="24"/>
          <w:szCs w:val="24"/>
        </w:rPr>
      </w:pPr>
      <w:r>
        <w:rPr>
          <w:rFonts w:hint="eastAsia" w:ascii="宋体" w:hAnsi="宋体"/>
          <w:sz w:val="24"/>
          <w:szCs w:val="24"/>
        </w:rPr>
        <w:t>（1）评标委员会成员在评标过程中擅离职守，影响评标程序正常进行，或者在评标过程中不能客观公正地履行职责的，给予警告；情节严重的，取消担任评标委员会成员的资格，不得再参加任何依法必须进行招标项目的评标，并处一万元以下的罚款；</w:t>
      </w:r>
    </w:p>
    <w:p>
      <w:pPr>
        <w:spacing w:line="440" w:lineRule="exact"/>
        <w:ind w:left="600" w:hanging="600" w:hangingChars="250"/>
        <w:rPr>
          <w:rFonts w:ascii="宋体" w:hAnsi="宋体"/>
          <w:sz w:val="24"/>
          <w:szCs w:val="24"/>
        </w:rPr>
      </w:pPr>
      <w:r>
        <w:rPr>
          <w:rFonts w:hint="eastAsia" w:ascii="宋体" w:hAnsi="宋体"/>
          <w:sz w:val="24"/>
          <w:szCs w:val="24"/>
        </w:rPr>
        <w:t>（2）评标委员会成员收受投标人、其他利害关系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5"/>
        <w:adjustRightInd/>
        <w:spacing w:before="0" w:after="0" w:line="440" w:lineRule="exact"/>
        <w:rPr>
          <w:sz w:val="24"/>
          <w:szCs w:val="24"/>
        </w:rPr>
      </w:pPr>
      <w:bookmarkStart w:id="178" w:name="_Toc107383643"/>
      <w:bookmarkStart w:id="179" w:name="_Toc131904926"/>
      <w:bookmarkStart w:id="180" w:name="_Toc107460008"/>
      <w:bookmarkStart w:id="181" w:name="_Toc131922499"/>
      <w:bookmarkStart w:id="182" w:name="_Toc148420066"/>
      <w:bookmarkStart w:id="183" w:name="_Toc138568668"/>
      <w:bookmarkStart w:id="184" w:name="_Toc109467928"/>
      <w:bookmarkStart w:id="185" w:name="_Toc169334812"/>
      <w:bookmarkStart w:id="186" w:name="_Toc61327434"/>
      <w:bookmarkStart w:id="187" w:name="_Toc107385315"/>
      <w:bookmarkStart w:id="188" w:name="_Toc148060902"/>
      <w:bookmarkStart w:id="189" w:name="_Toc150050898"/>
      <w:bookmarkStart w:id="190" w:name="_Toc138506088"/>
      <w:r>
        <w:rPr>
          <w:rFonts w:hint="eastAsia"/>
          <w:sz w:val="24"/>
          <w:szCs w:val="24"/>
        </w:rPr>
        <w:t>三.评标原则</w:t>
      </w:r>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8"/>
        <w:spacing w:line="440" w:lineRule="exact"/>
        <w:ind w:firstLine="476"/>
        <w:rPr>
          <w:rFonts w:ascii="宋体" w:hAnsi="宋体"/>
          <w:sz w:val="24"/>
          <w:szCs w:val="24"/>
        </w:rPr>
      </w:pPr>
      <w:r>
        <w:rPr>
          <w:rFonts w:hint="eastAsia" w:ascii="宋体" w:hAnsi="宋体"/>
          <w:sz w:val="24"/>
          <w:szCs w:val="24"/>
        </w:rPr>
        <w:t>评标工作应依据《中华人民共和国招标投标法》以及《评标委员会和评标方法暂行规定》和地方政府关于政府招投标的有关规定，遵循“公平、公正、科学、择优”的原则进行。评标委员会将按照规定只对通过符合性检查的投标文件进行评价和比较。</w:t>
      </w:r>
    </w:p>
    <w:p>
      <w:pPr>
        <w:pStyle w:val="5"/>
        <w:adjustRightInd/>
        <w:spacing w:before="0" w:after="0" w:line="440" w:lineRule="exact"/>
        <w:rPr>
          <w:b w:val="0"/>
          <w:bCs/>
          <w:sz w:val="24"/>
          <w:szCs w:val="24"/>
        </w:rPr>
      </w:pPr>
      <w:bookmarkStart w:id="191" w:name="_Toc66722109"/>
      <w:bookmarkStart w:id="192" w:name="_Toc131904927"/>
      <w:bookmarkStart w:id="193" w:name="_Toc35834931"/>
      <w:bookmarkStart w:id="194" w:name="_Toc68620009"/>
      <w:bookmarkStart w:id="195" w:name="_Toc104874462"/>
      <w:bookmarkStart w:id="196" w:name="_Toc101553658"/>
      <w:bookmarkStart w:id="197" w:name="_Toc104902926"/>
      <w:bookmarkStart w:id="198" w:name="_Toc113277289"/>
      <w:bookmarkStart w:id="199" w:name="_Toc95304220"/>
      <w:bookmarkStart w:id="200" w:name="_Toc67911939"/>
      <w:bookmarkStart w:id="201" w:name="_Toc169334813"/>
      <w:bookmarkStart w:id="202" w:name="_Toc34535377"/>
      <w:bookmarkStart w:id="203" w:name="_Toc150050899"/>
      <w:bookmarkStart w:id="204" w:name="_Toc124646431"/>
      <w:bookmarkStart w:id="205" w:name="_Toc131922500"/>
      <w:bookmarkStart w:id="206" w:name="_Toc148420067"/>
      <w:bookmarkStart w:id="207" w:name="_Toc28489525"/>
      <w:bookmarkStart w:id="208" w:name="_Toc102211721"/>
      <w:bookmarkStart w:id="209" w:name="_Toc125770205"/>
      <w:bookmarkStart w:id="210" w:name="_Toc138506089"/>
      <w:bookmarkStart w:id="211" w:name="_Toc138568669"/>
      <w:bookmarkStart w:id="212" w:name="_Toc95249604"/>
      <w:bookmarkStart w:id="213" w:name="_Toc148060903"/>
      <w:bookmarkStart w:id="214" w:name="_Toc101553553"/>
      <w:bookmarkStart w:id="215" w:name="_Toc124570684"/>
      <w:bookmarkStart w:id="216" w:name="_Toc108001797"/>
      <w:bookmarkStart w:id="217" w:name="_Toc124401379"/>
      <w:bookmarkStart w:id="218" w:name="_Toc108243613"/>
      <w:r>
        <w:rPr>
          <w:rFonts w:hint="eastAsia"/>
          <w:sz w:val="24"/>
          <w:szCs w:val="24"/>
        </w:rPr>
        <w:t>四.评标方法及流程</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pPr>
        <w:spacing w:line="440" w:lineRule="exact"/>
        <w:ind w:firstLine="480" w:firstLineChars="200"/>
        <w:rPr>
          <w:rFonts w:ascii="宋体" w:hAnsi="宋体"/>
          <w:bCs/>
          <w:sz w:val="24"/>
          <w:szCs w:val="24"/>
        </w:rPr>
      </w:pPr>
      <w:r>
        <w:rPr>
          <w:rFonts w:hint="eastAsia" w:ascii="宋体" w:hAnsi="宋体"/>
          <w:bCs/>
          <w:sz w:val="24"/>
          <w:szCs w:val="24"/>
        </w:rPr>
        <w:t>本次招标的评标方法采用综合评分方法。评标分三个阶段进行：投标文件符合性检查和投标文件详细评审。具体方法及流程如下：</w:t>
      </w:r>
    </w:p>
    <w:p>
      <w:pPr>
        <w:numPr>
          <w:ilvl w:val="0"/>
          <w:numId w:val="21"/>
        </w:numPr>
        <w:spacing w:line="440" w:lineRule="exact"/>
        <w:rPr>
          <w:rFonts w:ascii="宋体" w:hAnsi="宋体"/>
          <w:bCs/>
          <w:sz w:val="24"/>
          <w:szCs w:val="24"/>
        </w:rPr>
      </w:pPr>
      <w:r>
        <w:rPr>
          <w:rFonts w:hint="eastAsia" w:ascii="宋体" w:hAnsi="宋体"/>
          <w:bCs/>
          <w:sz w:val="24"/>
          <w:szCs w:val="24"/>
        </w:rPr>
        <w:t>投标文件资格性审查</w:t>
      </w:r>
    </w:p>
    <w:p>
      <w:pPr>
        <w:spacing w:line="440" w:lineRule="exact"/>
        <w:ind w:firstLine="480" w:firstLineChars="200"/>
        <w:rPr>
          <w:rFonts w:ascii="宋体" w:hAnsi="宋体"/>
          <w:bCs/>
          <w:sz w:val="24"/>
          <w:szCs w:val="24"/>
        </w:rPr>
      </w:pPr>
      <w:r>
        <w:rPr>
          <w:rFonts w:hint="eastAsia" w:ascii="宋体" w:hAnsi="宋体"/>
          <w:bCs/>
          <w:sz w:val="24"/>
          <w:szCs w:val="24"/>
        </w:rPr>
        <w:t>评标委员会按照《符合性审查表》内容对投标人进行资格审查。合格投标人不足3家的，不得评标。未通过符合性审查的投标人不进入下一步评标</w:t>
      </w:r>
      <w:r>
        <w:rPr>
          <w:rFonts w:hint="eastAsia" w:ascii="宋体" w:hAnsi="宋体"/>
          <w:sz w:val="24"/>
          <w:szCs w:val="24"/>
        </w:rPr>
        <w:t>。</w:t>
      </w:r>
    </w:p>
    <w:p>
      <w:pPr>
        <w:spacing w:line="440" w:lineRule="exact"/>
        <w:rPr>
          <w:rFonts w:ascii="宋体" w:hAnsi="宋体"/>
          <w:bCs/>
          <w:sz w:val="24"/>
          <w:szCs w:val="24"/>
        </w:rPr>
      </w:pPr>
      <w:r>
        <w:rPr>
          <w:rFonts w:hint="eastAsia" w:ascii="宋体" w:hAnsi="宋体"/>
          <w:bCs/>
          <w:sz w:val="24"/>
          <w:szCs w:val="24"/>
        </w:rPr>
        <w:t>（2）投标文件符合性检查</w:t>
      </w:r>
    </w:p>
    <w:p>
      <w:pPr>
        <w:spacing w:line="440" w:lineRule="exact"/>
        <w:ind w:firstLine="480" w:firstLineChars="200"/>
        <w:rPr>
          <w:rFonts w:ascii="宋体" w:hAnsi="宋体"/>
          <w:bCs/>
          <w:sz w:val="24"/>
          <w:szCs w:val="24"/>
        </w:rPr>
      </w:pPr>
      <w:r>
        <w:rPr>
          <w:rFonts w:hint="eastAsia" w:ascii="宋体" w:hAnsi="宋体"/>
          <w:bCs/>
          <w:sz w:val="24"/>
          <w:szCs w:val="24"/>
        </w:rPr>
        <w:t>1）各评委对各投标文件按照采购文件要求的响应情况进行符合性检查。符合性检查必须根据采购文件中对投标人的要求和投标文件中的响应进行。</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2）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3）在评审中发现关键指标/服务要求等未能达到采购文件中的规定或有虚假情况时，评标委员会有权取消其评审资格。</w:t>
      </w:r>
    </w:p>
    <w:p>
      <w:pPr>
        <w:spacing w:line="440" w:lineRule="exact"/>
        <w:ind w:left="-3" w:leftChars="-1" w:firstLine="480" w:firstLineChars="200"/>
        <w:jc w:val="left"/>
        <w:rPr>
          <w:rFonts w:ascii="宋体" w:hAnsi="宋体"/>
          <w:bCs/>
          <w:sz w:val="24"/>
          <w:szCs w:val="24"/>
        </w:rPr>
      </w:pPr>
      <w:r>
        <w:rPr>
          <w:rFonts w:hint="eastAsia" w:ascii="宋体" w:hAnsi="宋体"/>
          <w:bCs/>
          <w:sz w:val="24"/>
          <w:szCs w:val="24"/>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80" w:firstLineChars="200"/>
        <w:rPr>
          <w:rFonts w:ascii="宋体" w:hAnsi="宋体"/>
          <w:bCs/>
          <w:sz w:val="24"/>
          <w:szCs w:val="24"/>
        </w:rPr>
      </w:pPr>
      <w:r>
        <w:rPr>
          <w:rFonts w:hint="eastAsia" w:ascii="宋体" w:hAnsi="宋体"/>
          <w:bCs/>
          <w:sz w:val="24"/>
          <w:szCs w:val="24"/>
        </w:rPr>
        <w:t>5）投标人只有完全通过符合性检查，才能进入下一阶段的详细评审，否则视为无效投标。（详见符合性检查表）</w:t>
      </w:r>
    </w:p>
    <w:p>
      <w:pPr>
        <w:spacing w:line="440" w:lineRule="exact"/>
        <w:rPr>
          <w:rFonts w:ascii="宋体" w:hAnsi="宋体"/>
          <w:bCs/>
          <w:sz w:val="24"/>
          <w:szCs w:val="24"/>
        </w:rPr>
      </w:pPr>
      <w:r>
        <w:rPr>
          <w:rFonts w:hint="eastAsia" w:ascii="宋体" w:hAnsi="宋体"/>
          <w:bCs/>
          <w:sz w:val="24"/>
          <w:szCs w:val="24"/>
        </w:rPr>
        <w:t>（3）投标文件详细评审</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及符合性检查的投标人多于或等于三家时，按照评标程序的规定和依据评分标准以及各项权重、资格性审查及符合性检查结果，各位评委单独就每个投标人的技术状况、商务状况进行评审和比较，评出其技术评分和商务评分。将技术得分、商务得分和价格得分相加得出综合得分，并按综合得分由高至低排出名次（出现并列得分时，价格低者排名在前）。评标委员会依据得分情况推荐出综合得分排名前两名分别作为第一中标候选人和第二中标候选人。</w:t>
      </w:r>
    </w:p>
    <w:p>
      <w:pPr>
        <w:spacing w:line="440" w:lineRule="exact"/>
        <w:ind w:firstLine="480" w:firstLineChars="200"/>
        <w:rPr>
          <w:rFonts w:ascii="宋体" w:hAnsi="宋体"/>
          <w:bCs/>
          <w:sz w:val="24"/>
          <w:szCs w:val="24"/>
        </w:rPr>
      </w:pPr>
      <w:r>
        <w:rPr>
          <w:rFonts w:hint="eastAsia" w:ascii="宋体" w:hAnsi="宋体"/>
          <w:bCs/>
          <w:sz w:val="24"/>
          <w:szCs w:val="24"/>
        </w:rPr>
        <w:t>当通过资格性审查或符合性检查的投标人少于三家时，否决所有投标文件，提请依法重新招标。</w:t>
      </w:r>
    </w:p>
    <w:p>
      <w:pPr>
        <w:pStyle w:val="5"/>
        <w:adjustRightInd/>
        <w:spacing w:before="0" w:after="0" w:line="440" w:lineRule="exact"/>
        <w:rPr>
          <w:b w:val="0"/>
          <w:bCs/>
          <w:sz w:val="24"/>
          <w:szCs w:val="24"/>
        </w:rPr>
      </w:pPr>
      <w:bookmarkStart w:id="219" w:name="_Toc150050900"/>
      <w:bookmarkStart w:id="220" w:name="_Toc138568670"/>
      <w:bookmarkStart w:id="221" w:name="_Toc108001798"/>
      <w:bookmarkStart w:id="222" w:name="_Toc102211722"/>
      <w:bookmarkStart w:id="223" w:name="_Toc124401380"/>
      <w:bookmarkStart w:id="224" w:name="_Toc138506090"/>
      <w:bookmarkStart w:id="225" w:name="_Toc101553659"/>
      <w:bookmarkStart w:id="226" w:name="_Toc28142596"/>
      <w:bookmarkStart w:id="227" w:name="_Toc34535378"/>
      <w:bookmarkStart w:id="228" w:name="_Toc28489528"/>
      <w:bookmarkStart w:id="229" w:name="_Toc148420068"/>
      <w:bookmarkStart w:id="230" w:name="_Toc125770206"/>
      <w:bookmarkStart w:id="231" w:name="_Toc131922501"/>
      <w:bookmarkStart w:id="232" w:name="_Toc35834932"/>
      <w:bookmarkStart w:id="233" w:name="_Toc104902927"/>
      <w:bookmarkStart w:id="234" w:name="_Toc95249605"/>
      <w:bookmarkStart w:id="235" w:name="_Toc95304221"/>
      <w:bookmarkStart w:id="236" w:name="_Toc68620010"/>
      <w:bookmarkStart w:id="237" w:name="_Toc108243614"/>
      <w:bookmarkStart w:id="238" w:name="_Toc169334814"/>
      <w:bookmarkStart w:id="239" w:name="_Toc101553554"/>
      <w:bookmarkStart w:id="240" w:name="_Toc131904928"/>
      <w:bookmarkStart w:id="241" w:name="_Toc124570685"/>
      <w:bookmarkStart w:id="242" w:name="_Toc104874463"/>
      <w:bookmarkStart w:id="243" w:name="_Toc67911940"/>
      <w:bookmarkStart w:id="244" w:name="_Toc148060904"/>
      <w:bookmarkStart w:id="245" w:name="_Toc124646432"/>
      <w:bookmarkStart w:id="246" w:name="_Toc113277290"/>
      <w:bookmarkStart w:id="247" w:name="_Toc66722110"/>
      <w:r>
        <w:rPr>
          <w:rFonts w:hint="eastAsia"/>
          <w:sz w:val="24"/>
          <w:szCs w:val="24"/>
        </w:rPr>
        <w:t>五.评分标准和权重</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spacing w:line="440" w:lineRule="exact"/>
        <w:rPr>
          <w:rFonts w:ascii="宋体" w:hAnsi="宋体"/>
          <w:b/>
          <w:sz w:val="24"/>
          <w:szCs w:val="24"/>
        </w:rPr>
      </w:pPr>
      <w:bookmarkStart w:id="248" w:name="_Toc28489529"/>
      <w:bookmarkStart w:id="249" w:name="_Toc31424230"/>
      <w:bookmarkStart w:id="250" w:name="_Toc26163628"/>
      <w:bookmarkStart w:id="251" w:name="_Toc28142597"/>
      <w:r>
        <w:rPr>
          <w:rFonts w:hint="eastAsia" w:ascii="宋体" w:hAnsi="宋体"/>
          <w:b/>
          <w:sz w:val="24"/>
          <w:szCs w:val="24"/>
        </w:rPr>
        <w:t>1.评分标准</w:t>
      </w:r>
      <w:bookmarkEnd w:id="248"/>
      <w:bookmarkEnd w:id="249"/>
      <w:bookmarkEnd w:id="250"/>
      <w:bookmarkEnd w:id="251"/>
    </w:p>
    <w:p>
      <w:pPr>
        <w:spacing w:line="440" w:lineRule="exact"/>
        <w:ind w:left="1" w:firstLine="460" w:firstLineChars="192"/>
        <w:jc w:val="left"/>
        <w:rPr>
          <w:rFonts w:ascii="宋体" w:hAnsi="宋体"/>
          <w:bCs/>
          <w:sz w:val="24"/>
          <w:szCs w:val="24"/>
        </w:rPr>
      </w:pPr>
      <w:r>
        <w:rPr>
          <w:rFonts w:hint="eastAsia" w:ascii="宋体" w:hAnsi="宋体"/>
          <w:bCs/>
          <w:sz w:val="24"/>
          <w:szCs w:val="24"/>
        </w:rPr>
        <w:t>评委根据各通过资格性审查及符合性检查投标人的投标文件，并逐项列出投标文件的全部投标偏差。</w:t>
      </w:r>
    </w:p>
    <w:p>
      <w:pPr>
        <w:spacing w:line="440" w:lineRule="exact"/>
        <w:ind w:left="1" w:firstLine="460" w:firstLineChars="192"/>
        <w:jc w:val="left"/>
        <w:rPr>
          <w:rFonts w:ascii="宋体" w:hAnsi="宋体"/>
          <w:bCs/>
          <w:sz w:val="24"/>
          <w:szCs w:val="24"/>
        </w:rPr>
      </w:pPr>
      <w:r>
        <w:rPr>
          <w:rFonts w:hint="eastAsia" w:ascii="宋体" w:hAnsi="宋体"/>
          <w:bCs/>
          <w:sz w:val="24"/>
          <w:szCs w:val="24"/>
        </w:rPr>
        <w:t>评分应考虑到投标文件与采购文件之间的细微偏差。细微偏差是指投标文件在实质上响应采购文件要求，但在个别地方存在漏项或者提供了不完整的技术信息和数据等情况，并且补正这些遗漏或者不完整不会对其他投标人造成不公平的结果。细微偏差不影响投标文件的有效性。在详细评审时对细微偏差作不利于该投标人的量化。</w:t>
      </w:r>
    </w:p>
    <w:p>
      <w:pPr>
        <w:spacing w:line="440" w:lineRule="exact"/>
        <w:ind w:firstLine="480" w:firstLineChars="200"/>
        <w:rPr>
          <w:rFonts w:ascii="宋体" w:hAnsi="宋体"/>
          <w:bCs/>
          <w:sz w:val="24"/>
          <w:szCs w:val="24"/>
        </w:rPr>
      </w:pPr>
      <w:r>
        <w:rPr>
          <w:rFonts w:hint="eastAsia" w:ascii="宋体" w:hAnsi="宋体"/>
          <w:bCs/>
          <w:sz w:val="24"/>
          <w:szCs w:val="24"/>
        </w:rPr>
        <w:t>评委对投标文件的技术及商务响应情况进行评分。评分采用量化方法。</w:t>
      </w:r>
    </w:p>
    <w:p>
      <w:pPr>
        <w:spacing w:line="440" w:lineRule="exact"/>
        <w:ind w:firstLine="403" w:firstLineChars="168"/>
        <w:rPr>
          <w:rFonts w:ascii="宋体" w:hAnsi="宋体"/>
          <w:bCs/>
          <w:sz w:val="24"/>
          <w:szCs w:val="24"/>
        </w:rPr>
      </w:pPr>
      <w:r>
        <w:rPr>
          <w:rFonts w:hint="eastAsia" w:ascii="宋体" w:hAnsi="宋体"/>
          <w:bCs/>
          <w:sz w:val="24"/>
          <w:szCs w:val="24"/>
        </w:rPr>
        <w:t>技术、商务、价格评分应分别考虑下列因素：</w:t>
      </w:r>
    </w:p>
    <w:p>
      <w:pPr>
        <w:spacing w:line="440" w:lineRule="exact"/>
        <w:ind w:left="540"/>
        <w:rPr>
          <w:rFonts w:ascii="宋体" w:hAnsi="宋体"/>
          <w:bCs/>
          <w:sz w:val="24"/>
          <w:szCs w:val="24"/>
        </w:rPr>
      </w:pPr>
      <w:r>
        <w:rPr>
          <w:rFonts w:hint="eastAsia" w:ascii="宋体" w:hAnsi="宋体"/>
          <w:bCs/>
          <w:sz w:val="24"/>
          <w:szCs w:val="24"/>
        </w:rPr>
        <w:t>（1）技术评分（见技术评分标准）</w:t>
      </w:r>
    </w:p>
    <w:p>
      <w:pPr>
        <w:spacing w:line="440" w:lineRule="exact"/>
        <w:ind w:left="540"/>
        <w:rPr>
          <w:rFonts w:ascii="宋体" w:hAnsi="宋体"/>
          <w:bCs/>
          <w:sz w:val="24"/>
          <w:szCs w:val="24"/>
        </w:rPr>
      </w:pPr>
      <w:r>
        <w:rPr>
          <w:rFonts w:hint="eastAsia" w:ascii="宋体" w:hAnsi="宋体"/>
          <w:bCs/>
          <w:sz w:val="24"/>
          <w:szCs w:val="24"/>
        </w:rPr>
        <w:t>（2）商务评分（见商务评分标准）</w:t>
      </w:r>
    </w:p>
    <w:p>
      <w:pPr>
        <w:spacing w:line="440" w:lineRule="exact"/>
        <w:ind w:left="1" w:firstLine="460" w:firstLineChars="192"/>
        <w:jc w:val="left"/>
        <w:rPr>
          <w:rFonts w:ascii="宋体" w:hAnsi="宋体"/>
          <w:bCs/>
          <w:sz w:val="24"/>
          <w:szCs w:val="24"/>
        </w:rPr>
      </w:pPr>
      <w:r>
        <w:rPr>
          <w:rFonts w:hint="eastAsia" w:ascii="宋体" w:hAnsi="宋体"/>
          <w:bCs/>
          <w:sz w:val="24"/>
          <w:szCs w:val="24"/>
        </w:rPr>
        <w:t>（3）价格的开启和评分</w:t>
      </w:r>
    </w:p>
    <w:p>
      <w:pPr>
        <w:spacing w:line="440" w:lineRule="exact"/>
        <w:ind w:left="1" w:firstLine="460" w:firstLineChars="192"/>
        <w:jc w:val="left"/>
        <w:rPr>
          <w:rFonts w:ascii="宋体" w:hAnsi="宋体"/>
          <w:bCs/>
          <w:color w:val="FF0000"/>
          <w:sz w:val="24"/>
          <w:szCs w:val="24"/>
        </w:rPr>
      </w:pPr>
      <w:r>
        <w:rPr>
          <w:rFonts w:hint="eastAsia" w:ascii="宋体" w:hAnsi="宋体"/>
          <w:bCs/>
          <w:color w:val="FF0000"/>
          <w:sz w:val="24"/>
          <w:szCs w:val="24"/>
        </w:rPr>
        <w:t>以所有供应商有效投标价的最低价为评标基准价，基准价得满分30分，每高于基准价2.0%的扣1分。</w:t>
      </w:r>
    </w:p>
    <w:p>
      <w:pPr>
        <w:spacing w:line="440" w:lineRule="exact"/>
        <w:rPr>
          <w:rFonts w:ascii="宋体" w:hAnsi="宋体"/>
          <w:b/>
          <w:sz w:val="24"/>
          <w:szCs w:val="24"/>
        </w:rPr>
      </w:pPr>
      <w:bookmarkStart w:id="252" w:name="_Toc28142598"/>
      <w:bookmarkStart w:id="253" w:name="_Toc28489530"/>
      <w:bookmarkStart w:id="254" w:name="_Toc26163629"/>
      <w:r>
        <w:rPr>
          <w:rFonts w:hint="eastAsia" w:ascii="宋体" w:hAnsi="宋体"/>
          <w:b/>
          <w:sz w:val="24"/>
          <w:szCs w:val="24"/>
        </w:rPr>
        <w:t>2.权重分配</w:t>
      </w:r>
      <w:bookmarkEnd w:id="252"/>
      <w:bookmarkEnd w:id="253"/>
      <w:bookmarkEnd w:id="254"/>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评分项目</w:t>
            </w:r>
          </w:p>
        </w:tc>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技术部分</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商务部分</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权重</w:t>
            </w:r>
          </w:p>
        </w:tc>
        <w:tc>
          <w:tcPr>
            <w:tcW w:w="2130" w:type="dxa"/>
            <w:vAlign w:val="center"/>
          </w:tcPr>
          <w:p>
            <w:pPr>
              <w:spacing w:line="440" w:lineRule="exact"/>
              <w:jc w:val="center"/>
              <w:rPr>
                <w:rFonts w:ascii="宋体" w:hAnsi="宋体"/>
                <w:bCs/>
                <w:sz w:val="24"/>
                <w:szCs w:val="24"/>
              </w:rPr>
            </w:pPr>
            <w:r>
              <w:rPr>
                <w:rFonts w:hint="eastAsia" w:ascii="宋体" w:hAnsi="宋体"/>
                <w:bCs/>
                <w:sz w:val="24"/>
                <w:szCs w:val="24"/>
              </w:rPr>
              <w:t>40%</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30%</w:t>
            </w:r>
          </w:p>
        </w:tc>
        <w:tc>
          <w:tcPr>
            <w:tcW w:w="2131" w:type="dxa"/>
            <w:vAlign w:val="center"/>
          </w:tcPr>
          <w:p>
            <w:pPr>
              <w:spacing w:line="440" w:lineRule="exact"/>
              <w:jc w:val="center"/>
              <w:rPr>
                <w:rFonts w:ascii="宋体" w:hAnsi="宋体"/>
                <w:bCs/>
                <w:sz w:val="24"/>
                <w:szCs w:val="24"/>
              </w:rPr>
            </w:pPr>
            <w:r>
              <w:rPr>
                <w:rFonts w:hint="eastAsia" w:ascii="宋体" w:hAnsi="宋体"/>
                <w:bCs/>
                <w:sz w:val="24"/>
                <w:szCs w:val="24"/>
              </w:rPr>
              <w:t>30%</w:t>
            </w:r>
          </w:p>
        </w:tc>
      </w:tr>
    </w:tbl>
    <w:p>
      <w:pPr>
        <w:spacing w:line="440" w:lineRule="exact"/>
        <w:rPr>
          <w:rFonts w:ascii="宋体" w:hAnsi="宋体"/>
          <w:b/>
          <w:sz w:val="24"/>
          <w:szCs w:val="24"/>
        </w:rPr>
      </w:pPr>
      <w:bookmarkStart w:id="255" w:name="_Toc28489531"/>
      <w:bookmarkStart w:id="256" w:name="_Toc28142599"/>
      <w:bookmarkStart w:id="257" w:name="_Toc26163630"/>
      <w:r>
        <w:rPr>
          <w:rFonts w:hint="eastAsia" w:ascii="宋体" w:hAnsi="宋体"/>
          <w:b/>
          <w:sz w:val="24"/>
          <w:szCs w:val="24"/>
        </w:rPr>
        <w:t>3.综合得分</w:t>
      </w:r>
      <w:bookmarkEnd w:id="255"/>
      <w:bookmarkEnd w:id="256"/>
      <w:bookmarkEnd w:id="257"/>
    </w:p>
    <w:p>
      <w:pPr>
        <w:spacing w:line="440" w:lineRule="exact"/>
        <w:ind w:left="540"/>
        <w:rPr>
          <w:rFonts w:ascii="宋体" w:hAnsi="宋体"/>
          <w:bCs/>
          <w:sz w:val="24"/>
          <w:szCs w:val="24"/>
        </w:rPr>
      </w:pPr>
      <w:r>
        <w:rPr>
          <w:rFonts w:hint="eastAsia" w:ascii="宋体" w:hAnsi="宋体"/>
          <w:sz w:val="24"/>
          <w:szCs w:val="24"/>
        </w:rPr>
        <w:t>综合得分=技术部分得分+商务部分得分+价格部分得分</w:t>
      </w:r>
    </w:p>
    <w:p>
      <w:pPr>
        <w:spacing w:line="440" w:lineRule="exact"/>
        <w:ind w:firstLine="540" w:firstLineChars="225"/>
        <w:rPr>
          <w:rFonts w:ascii="宋体" w:hAnsi="宋体"/>
          <w:bCs/>
          <w:sz w:val="24"/>
          <w:szCs w:val="24"/>
        </w:rPr>
      </w:pPr>
      <w:r>
        <w:rPr>
          <w:rFonts w:hint="eastAsia" w:ascii="宋体" w:hAnsi="宋体"/>
          <w:bCs/>
          <w:sz w:val="24"/>
          <w:szCs w:val="24"/>
        </w:rPr>
        <w:t>评标委员会根据投标人</w:t>
      </w:r>
      <w:r>
        <w:rPr>
          <w:rFonts w:hint="eastAsia" w:ascii="宋体" w:hAnsi="宋体"/>
          <w:sz w:val="24"/>
          <w:szCs w:val="24"/>
        </w:rPr>
        <w:t>综合得分</w:t>
      </w:r>
      <w:r>
        <w:rPr>
          <w:rFonts w:hint="eastAsia" w:ascii="宋体" w:hAnsi="宋体"/>
          <w:bCs/>
          <w:sz w:val="24"/>
          <w:szCs w:val="24"/>
        </w:rPr>
        <w:t>高低排定名次</w:t>
      </w:r>
      <w:r>
        <w:rPr>
          <w:rFonts w:hint="eastAsia"/>
          <w:sz w:val="24"/>
          <w:szCs w:val="24"/>
        </w:rPr>
        <w:t>，如果综合得分相同时，以有效投标报价低者排前，评标委员会编写评标报告，并全体签字确认，推荐满足采购文件要求且综合得分排序的名次最高者为第一中标候选人，推荐满足采购文件要求且综合得分排序的名次次高者为第二中标候选人</w:t>
      </w:r>
      <w:r>
        <w:rPr>
          <w:rFonts w:hint="eastAsia" w:ascii="宋体" w:hAnsi="宋体"/>
          <w:bCs/>
          <w:sz w:val="24"/>
          <w:szCs w:val="24"/>
        </w:rPr>
        <w:t>。</w:t>
      </w:r>
    </w:p>
    <w:p>
      <w:pPr>
        <w:pStyle w:val="5"/>
        <w:adjustRightInd/>
        <w:spacing w:before="0" w:after="0" w:line="440" w:lineRule="exact"/>
        <w:rPr>
          <w:b w:val="0"/>
          <w:bCs/>
          <w:sz w:val="24"/>
          <w:szCs w:val="24"/>
        </w:rPr>
      </w:pPr>
      <w:bookmarkStart w:id="258" w:name="_Toc66722111"/>
      <w:bookmarkStart w:id="259" w:name="_Toc108001799"/>
      <w:bookmarkStart w:id="260" w:name="_Toc169334815"/>
      <w:bookmarkStart w:id="261" w:name="_Toc131922502"/>
      <w:bookmarkStart w:id="262" w:name="_Toc95304222"/>
      <w:bookmarkStart w:id="263" w:name="_Toc124401381"/>
      <w:bookmarkStart w:id="264" w:name="_Toc102211723"/>
      <w:bookmarkStart w:id="265" w:name="_Toc148060905"/>
      <w:bookmarkStart w:id="266" w:name="_Toc124570686"/>
      <w:bookmarkStart w:id="267" w:name="_Toc68620011"/>
      <w:bookmarkStart w:id="268" w:name="_Toc28142600"/>
      <w:bookmarkStart w:id="269" w:name="_Toc108243615"/>
      <w:bookmarkStart w:id="270" w:name="_Toc67911941"/>
      <w:bookmarkStart w:id="271" w:name="_Toc150050901"/>
      <w:bookmarkStart w:id="272" w:name="_Toc101553555"/>
      <w:bookmarkStart w:id="273" w:name="_Toc104874464"/>
      <w:bookmarkStart w:id="274" w:name="_Toc35834933"/>
      <w:bookmarkStart w:id="275" w:name="_Toc113277291"/>
      <w:bookmarkStart w:id="276" w:name="_Toc104902928"/>
      <w:bookmarkStart w:id="277" w:name="_Toc131904929"/>
      <w:bookmarkStart w:id="278" w:name="_Toc148420069"/>
      <w:bookmarkStart w:id="279" w:name="_Toc28489532"/>
      <w:bookmarkStart w:id="280" w:name="_Toc125770207"/>
      <w:bookmarkStart w:id="281" w:name="_Toc138568671"/>
      <w:bookmarkStart w:id="282" w:name="_Toc138506091"/>
      <w:bookmarkStart w:id="283" w:name="_Toc124646433"/>
      <w:bookmarkStart w:id="284" w:name="_Toc34535379"/>
      <w:bookmarkStart w:id="285" w:name="_Toc101553660"/>
      <w:bookmarkStart w:id="286" w:name="_Toc95249606"/>
      <w:r>
        <w:rPr>
          <w:rFonts w:hint="eastAsia"/>
          <w:sz w:val="24"/>
          <w:szCs w:val="24"/>
        </w:rPr>
        <w:t>六.定标和授标</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spacing w:line="440" w:lineRule="exact"/>
        <w:ind w:left="1" w:firstLine="460" w:firstLineChars="192"/>
        <w:jc w:val="left"/>
        <w:rPr>
          <w:rFonts w:ascii="宋体" w:hAnsi="宋体"/>
          <w:bCs/>
          <w:sz w:val="24"/>
          <w:szCs w:val="24"/>
        </w:rPr>
      </w:pPr>
      <w:r>
        <w:rPr>
          <w:rFonts w:hint="eastAsia" w:ascii="宋体" w:hAnsi="宋体"/>
          <w:bCs/>
          <w:sz w:val="24"/>
          <w:szCs w:val="24"/>
        </w:rPr>
        <w:t>第一中标候选人未能通过资格后审或放弃中标、或因不可抗力提出不能履行合同的，采购人可以确定排名次高的第二中标候选人为中标人。</w:t>
      </w:r>
    </w:p>
    <w:p>
      <w:pPr>
        <w:spacing w:line="440" w:lineRule="exact"/>
        <w:ind w:firstLine="480" w:firstLineChars="200"/>
        <w:rPr>
          <w:rFonts w:ascii="宋体" w:hAnsi="宋体"/>
          <w:bCs/>
          <w:sz w:val="24"/>
          <w:szCs w:val="24"/>
        </w:rPr>
      </w:pPr>
      <w:r>
        <w:rPr>
          <w:rFonts w:hint="eastAsia" w:ascii="宋体" w:hAnsi="宋体"/>
          <w:bCs/>
          <w:sz w:val="24"/>
          <w:szCs w:val="24"/>
        </w:rPr>
        <w:t>评标委员会提出评标书面报告和推荐候选中标意见报采购人确认，确认后由采购人与预中标人进行最终澄清及对投标人的资格和履约能力进行再次审查，形成最终合同的基础文件。如在最终澄清过程中，发现预中标人存在重大问题造成其履约能力不能满足要求的，可以取消其中标资格。</w:t>
      </w:r>
    </w:p>
    <w:p>
      <w:pPr>
        <w:spacing w:line="440" w:lineRule="exact"/>
        <w:ind w:firstLine="480" w:firstLineChars="200"/>
        <w:rPr>
          <w:rFonts w:ascii="宋体" w:hAnsi="宋体"/>
          <w:bCs/>
          <w:sz w:val="24"/>
          <w:szCs w:val="24"/>
        </w:rPr>
      </w:pPr>
      <w:r>
        <w:rPr>
          <w:rFonts w:hint="eastAsia" w:ascii="宋体" w:hAnsi="宋体"/>
          <w:bCs/>
          <w:sz w:val="24"/>
          <w:szCs w:val="24"/>
        </w:rPr>
        <w:t>最终澄清完成后，由采购人确认的结果发出中标通知书。中标人应按采购文件规定向采购人提交相应文件，并在规定时间内与采购人签订合同。</w:t>
      </w:r>
    </w:p>
    <w:p>
      <w:pPr>
        <w:pStyle w:val="5"/>
        <w:adjustRightInd/>
        <w:spacing w:before="0" w:after="0" w:line="440" w:lineRule="exact"/>
        <w:rPr>
          <w:bCs/>
          <w:sz w:val="24"/>
          <w:szCs w:val="24"/>
        </w:rPr>
      </w:pPr>
      <w:bookmarkStart w:id="287" w:name="_Toc124570687"/>
      <w:bookmarkStart w:id="288" w:name="_Toc138506092"/>
      <w:bookmarkStart w:id="289" w:name="_Toc28142601"/>
      <w:bookmarkStart w:id="290" w:name="_Toc95249607"/>
      <w:bookmarkStart w:id="291" w:name="_Toc101553556"/>
      <w:bookmarkStart w:id="292" w:name="_Toc108243616"/>
      <w:bookmarkStart w:id="293" w:name="_Toc131922503"/>
      <w:bookmarkStart w:id="294" w:name="_Toc35834934"/>
      <w:bookmarkStart w:id="295" w:name="_Toc124401382"/>
      <w:bookmarkStart w:id="296" w:name="_Toc148420070"/>
      <w:bookmarkStart w:id="297" w:name="_Toc34535380"/>
      <w:bookmarkStart w:id="298" w:name="_Toc148060906"/>
      <w:bookmarkStart w:id="299" w:name="_Toc28489533"/>
      <w:bookmarkStart w:id="300" w:name="_Toc104902929"/>
      <w:bookmarkStart w:id="301" w:name="_Toc67911942"/>
      <w:bookmarkStart w:id="302" w:name="_Toc169334816"/>
      <w:bookmarkStart w:id="303" w:name="_Toc68620012"/>
      <w:bookmarkStart w:id="304" w:name="_Toc131904930"/>
      <w:bookmarkStart w:id="305" w:name="_Toc108001800"/>
      <w:bookmarkStart w:id="306" w:name="_Toc124646434"/>
      <w:bookmarkStart w:id="307" w:name="_Toc104874465"/>
      <w:bookmarkStart w:id="308" w:name="_Toc95304223"/>
      <w:bookmarkStart w:id="309" w:name="_Toc138568672"/>
      <w:bookmarkStart w:id="310" w:name="_Toc113277292"/>
      <w:bookmarkStart w:id="311" w:name="_Toc102211724"/>
      <w:bookmarkStart w:id="312" w:name="_Toc125770208"/>
      <w:bookmarkStart w:id="313" w:name="_Toc101553661"/>
      <w:bookmarkStart w:id="314" w:name="_Toc150050902"/>
      <w:bookmarkStart w:id="315" w:name="_Toc66722112"/>
      <w:r>
        <w:rPr>
          <w:rFonts w:hint="eastAsia"/>
          <w:sz w:val="24"/>
          <w:szCs w:val="24"/>
        </w:rPr>
        <w:t>七.附件</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spacing w:line="440" w:lineRule="exact"/>
        <w:ind w:firstLine="460" w:firstLineChars="192"/>
        <w:rPr>
          <w:rFonts w:ascii="宋体" w:hAnsi="宋体"/>
          <w:bCs/>
          <w:sz w:val="24"/>
          <w:szCs w:val="24"/>
        </w:rPr>
      </w:pPr>
      <w:r>
        <w:rPr>
          <w:rFonts w:hint="eastAsia" w:ascii="宋体" w:hAnsi="宋体"/>
          <w:bCs/>
          <w:sz w:val="24"/>
          <w:szCs w:val="24"/>
        </w:rPr>
        <w:t>本评标文件包括以下评标过程中所需文件附件：</w:t>
      </w:r>
    </w:p>
    <w:p>
      <w:pPr>
        <w:spacing w:line="440" w:lineRule="exact"/>
        <w:ind w:firstLine="960" w:firstLineChars="400"/>
        <w:rPr>
          <w:rFonts w:ascii="宋体" w:hAnsi="宋体"/>
          <w:bCs/>
          <w:sz w:val="24"/>
          <w:szCs w:val="24"/>
        </w:rPr>
      </w:pPr>
      <w:r>
        <w:rPr>
          <w:rFonts w:hint="eastAsia" w:ascii="宋体" w:hAnsi="宋体"/>
          <w:bCs/>
          <w:sz w:val="24"/>
          <w:szCs w:val="24"/>
        </w:rPr>
        <w:t>附件1       符合性审查表</w:t>
      </w:r>
    </w:p>
    <w:p>
      <w:pPr>
        <w:spacing w:line="440" w:lineRule="exact"/>
        <w:ind w:firstLine="960" w:firstLineChars="400"/>
        <w:rPr>
          <w:rFonts w:ascii="宋体" w:hAnsi="宋体"/>
          <w:bCs/>
          <w:sz w:val="24"/>
          <w:szCs w:val="24"/>
        </w:rPr>
      </w:pPr>
      <w:r>
        <w:rPr>
          <w:rFonts w:hint="eastAsia" w:ascii="宋体" w:hAnsi="宋体"/>
          <w:bCs/>
          <w:sz w:val="24"/>
          <w:szCs w:val="24"/>
        </w:rPr>
        <w:t>附件2       技术评分标准</w:t>
      </w:r>
    </w:p>
    <w:p>
      <w:pPr>
        <w:spacing w:line="440" w:lineRule="exact"/>
        <w:ind w:left="960" w:leftChars="343"/>
        <w:rPr>
          <w:rFonts w:ascii="宋体" w:hAnsi="宋体"/>
          <w:bCs/>
          <w:sz w:val="24"/>
          <w:szCs w:val="24"/>
        </w:rPr>
      </w:pPr>
      <w:r>
        <w:rPr>
          <w:rFonts w:hint="eastAsia" w:ascii="宋体" w:hAnsi="宋体"/>
          <w:bCs/>
          <w:sz w:val="24"/>
          <w:szCs w:val="24"/>
        </w:rPr>
        <w:t>附件3       商务评分标准</w:t>
      </w:r>
    </w:p>
    <w:p>
      <w:pPr>
        <w:spacing w:line="440" w:lineRule="exact"/>
        <w:ind w:left="960" w:leftChars="343"/>
        <w:rPr>
          <w:rFonts w:ascii="宋体" w:hAnsi="宋体"/>
          <w:bCs/>
          <w:sz w:val="24"/>
          <w:szCs w:val="24"/>
        </w:rPr>
      </w:pPr>
      <w:r>
        <w:rPr>
          <w:rFonts w:hint="eastAsia" w:ascii="宋体" w:hAnsi="宋体"/>
          <w:bCs/>
          <w:sz w:val="24"/>
          <w:szCs w:val="24"/>
        </w:rPr>
        <w:t xml:space="preserve">附件4       价格响应性评审表  </w:t>
      </w:r>
    </w:p>
    <w:p>
      <w:pPr>
        <w:spacing w:before="240" w:beforeLines="100" w:after="240" w:afterLines="100"/>
        <w:rPr>
          <w:rFonts w:ascii="宋体" w:hAnsi="宋体"/>
          <w:b/>
          <w:sz w:val="24"/>
        </w:rPr>
      </w:pPr>
      <w:r>
        <w:rPr>
          <w:rFonts w:ascii="宋体" w:hAnsi="宋体"/>
          <w:bCs/>
          <w:sz w:val="24"/>
        </w:rPr>
        <w:br w:type="page"/>
      </w:r>
      <w:r>
        <w:rPr>
          <w:rFonts w:hint="eastAsia" w:ascii="宋体" w:hAnsi="宋体"/>
          <w:b/>
          <w:sz w:val="24"/>
        </w:rPr>
        <w:t xml:space="preserve">附件1                                    </w:t>
      </w:r>
    </w:p>
    <w:p>
      <w:pPr>
        <w:spacing w:before="240" w:beforeLines="100" w:after="240" w:afterLines="100"/>
        <w:jc w:val="center"/>
        <w:rPr>
          <w:rFonts w:ascii="宋体" w:hAnsi="宋体"/>
          <w:b/>
          <w:sz w:val="24"/>
        </w:rPr>
      </w:pPr>
      <w:r>
        <w:rPr>
          <w:rFonts w:hint="eastAsia" w:ascii="宋体" w:hAnsi="宋体"/>
          <w:b/>
          <w:sz w:val="24"/>
        </w:rPr>
        <w:t>符合性审查表</w:t>
      </w:r>
    </w:p>
    <w:tbl>
      <w:tblPr>
        <w:tblStyle w:val="18"/>
        <w:tblW w:w="100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87"/>
        <w:gridCol w:w="1091"/>
        <w:gridCol w:w="1380"/>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704" w:type="dxa"/>
            <w:vAlign w:val="center"/>
          </w:tcPr>
          <w:p>
            <w:pPr>
              <w:jc w:val="center"/>
              <w:rPr>
                <w:b/>
                <w:bCs/>
                <w:sz w:val="21"/>
                <w:szCs w:val="21"/>
              </w:rPr>
            </w:pPr>
            <w:r>
              <w:rPr>
                <w:rFonts w:hint="eastAsia"/>
                <w:b/>
                <w:bCs/>
                <w:sz w:val="21"/>
                <w:szCs w:val="21"/>
              </w:rPr>
              <w:t>序号</w:t>
            </w:r>
          </w:p>
        </w:tc>
        <w:tc>
          <w:tcPr>
            <w:tcW w:w="4687" w:type="dxa"/>
            <w:tcBorders>
              <w:tl2br w:val="single" w:color="auto" w:sz="4" w:space="0"/>
            </w:tcBorders>
          </w:tcPr>
          <w:p>
            <w:pPr>
              <w:rPr>
                <w:b/>
                <w:bCs/>
                <w:sz w:val="21"/>
                <w:szCs w:val="21"/>
              </w:rPr>
            </w:pPr>
            <w:r>
              <w:rPr>
                <w:rFonts w:hint="eastAsia"/>
                <w:b/>
                <w:bCs/>
                <w:sz w:val="21"/>
                <w:szCs w:val="21"/>
              </w:rPr>
              <w:t xml:space="preserve">                 投标人名称</w:t>
            </w:r>
          </w:p>
          <w:p>
            <w:pPr>
              <w:rPr>
                <w:b/>
                <w:bCs/>
                <w:sz w:val="21"/>
                <w:szCs w:val="21"/>
              </w:rPr>
            </w:pPr>
          </w:p>
          <w:p>
            <w:pPr>
              <w:rPr>
                <w:b/>
                <w:bCs/>
                <w:sz w:val="21"/>
                <w:szCs w:val="21"/>
              </w:rPr>
            </w:pPr>
            <w:r>
              <w:rPr>
                <w:rFonts w:hint="eastAsia"/>
                <w:b/>
                <w:bCs/>
                <w:sz w:val="21"/>
                <w:szCs w:val="21"/>
              </w:rPr>
              <w:t>符合性审查内容</w:t>
            </w:r>
          </w:p>
        </w:tc>
        <w:tc>
          <w:tcPr>
            <w:tcW w:w="1091" w:type="dxa"/>
            <w:vAlign w:val="center"/>
          </w:tcPr>
          <w:p>
            <w:pPr>
              <w:jc w:val="center"/>
              <w:rPr>
                <w:b/>
                <w:bCs/>
                <w:sz w:val="21"/>
                <w:szCs w:val="21"/>
              </w:rPr>
            </w:pPr>
            <w:r>
              <w:rPr>
                <w:rFonts w:hint="eastAsia"/>
                <w:b/>
                <w:bCs/>
                <w:sz w:val="21"/>
                <w:szCs w:val="21"/>
              </w:rPr>
              <w:t>投标人1</w:t>
            </w:r>
          </w:p>
        </w:tc>
        <w:tc>
          <w:tcPr>
            <w:tcW w:w="1380" w:type="dxa"/>
            <w:vAlign w:val="center"/>
          </w:tcPr>
          <w:p>
            <w:pPr>
              <w:jc w:val="center"/>
              <w:rPr>
                <w:b/>
                <w:bCs/>
                <w:sz w:val="21"/>
                <w:szCs w:val="21"/>
              </w:rPr>
            </w:pPr>
            <w:r>
              <w:rPr>
                <w:rFonts w:hint="eastAsia"/>
                <w:b/>
                <w:bCs/>
                <w:sz w:val="21"/>
                <w:szCs w:val="21"/>
              </w:rPr>
              <w:t>投标人2</w:t>
            </w:r>
          </w:p>
        </w:tc>
        <w:tc>
          <w:tcPr>
            <w:tcW w:w="2160" w:type="dxa"/>
            <w:vAlign w:val="center"/>
          </w:tcPr>
          <w:p>
            <w:pPr>
              <w:jc w:val="center"/>
              <w:rPr>
                <w:b/>
                <w:bCs/>
                <w:sz w:val="21"/>
                <w:szCs w:val="21"/>
              </w:rPr>
            </w:pPr>
            <w:r>
              <w:rPr>
                <w:rFonts w:hint="eastAsia"/>
                <w:b/>
                <w:bCs/>
                <w:sz w:val="21"/>
                <w:szCs w:val="21"/>
              </w:rPr>
              <w:t>投标人3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1</w:t>
            </w:r>
          </w:p>
        </w:tc>
        <w:tc>
          <w:tcPr>
            <w:tcW w:w="4687" w:type="dxa"/>
            <w:vAlign w:val="center"/>
          </w:tcPr>
          <w:p>
            <w:pPr>
              <w:adjustRightInd w:val="0"/>
              <w:spacing w:line="360" w:lineRule="auto"/>
              <w:jc w:val="center"/>
              <w:rPr>
                <w:rFonts w:ascii="宋体" w:hAnsi="宋体"/>
                <w:sz w:val="21"/>
                <w:szCs w:val="21"/>
              </w:rPr>
            </w:pPr>
            <w:r>
              <w:rPr>
                <w:rFonts w:hint="eastAsia" w:ascii="宋体" w:hAnsi="宋体"/>
                <w:sz w:val="21"/>
                <w:szCs w:val="21"/>
              </w:rPr>
              <w:t>投标文件密封性</w:t>
            </w:r>
          </w:p>
        </w:tc>
        <w:tc>
          <w:tcPr>
            <w:tcW w:w="1091" w:type="dxa"/>
            <w:vAlign w:val="center"/>
          </w:tcPr>
          <w:p>
            <w:pPr>
              <w:jc w:val="center"/>
              <w:rPr>
                <w:b/>
                <w:bCs/>
                <w:sz w:val="21"/>
                <w:szCs w:val="21"/>
              </w:rPr>
            </w:pPr>
          </w:p>
        </w:tc>
        <w:tc>
          <w:tcPr>
            <w:tcW w:w="1380" w:type="dxa"/>
            <w:vAlign w:val="center"/>
          </w:tcPr>
          <w:p>
            <w:pPr>
              <w:jc w:val="center"/>
              <w:rPr>
                <w:b/>
                <w:bCs/>
                <w:sz w:val="21"/>
                <w:szCs w:val="21"/>
              </w:rPr>
            </w:pPr>
          </w:p>
        </w:tc>
        <w:tc>
          <w:tcPr>
            <w:tcW w:w="2160" w:type="dxa"/>
            <w:vAlign w:val="center"/>
          </w:tcPr>
          <w:p>
            <w:pPr>
              <w:jc w:val="center"/>
              <w:rPr>
                <w:b/>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2</w:t>
            </w:r>
          </w:p>
        </w:tc>
        <w:tc>
          <w:tcPr>
            <w:tcW w:w="4687" w:type="dxa"/>
            <w:vAlign w:val="center"/>
          </w:tcPr>
          <w:p>
            <w:pPr>
              <w:rPr>
                <w:rFonts w:ascii="宋体" w:hAnsi="宋体" w:cs="宋体"/>
                <w:sz w:val="21"/>
                <w:szCs w:val="21"/>
              </w:rPr>
            </w:pPr>
            <w:r>
              <w:rPr>
                <w:rFonts w:hint="eastAsia" w:ascii="宋体" w:hAnsi="宋体"/>
                <w:sz w:val="21"/>
                <w:szCs w:val="21"/>
              </w:rPr>
              <w:t>按采购文件规定，有投标人盖章及其法定代表人（或法定代表人委托的投标授权代表）的签字或签章</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3</w:t>
            </w:r>
          </w:p>
        </w:tc>
        <w:tc>
          <w:tcPr>
            <w:tcW w:w="4687" w:type="dxa"/>
            <w:vAlign w:val="center"/>
          </w:tcPr>
          <w:p>
            <w:pPr>
              <w:rPr>
                <w:rFonts w:ascii="宋体" w:hAnsi="宋体"/>
                <w:sz w:val="21"/>
                <w:szCs w:val="21"/>
              </w:rPr>
            </w:pPr>
            <w:r>
              <w:rPr>
                <w:rFonts w:hint="eastAsia" w:ascii="宋体" w:hAnsi="宋体" w:cs="宋体"/>
                <w:sz w:val="21"/>
                <w:szCs w:val="21"/>
              </w:rPr>
              <w:t>投标函已提交并符合采购文件要求，且投标有效期满足采购文件要求；</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4</w:t>
            </w:r>
          </w:p>
        </w:tc>
        <w:tc>
          <w:tcPr>
            <w:tcW w:w="4687" w:type="dxa"/>
            <w:vAlign w:val="center"/>
          </w:tcPr>
          <w:p>
            <w:pPr>
              <w:adjustRightInd w:val="0"/>
              <w:spacing w:line="264" w:lineRule="auto"/>
              <w:rPr>
                <w:rFonts w:ascii="宋体" w:hAnsi="宋体"/>
                <w:bCs/>
                <w:sz w:val="21"/>
                <w:szCs w:val="21"/>
              </w:rPr>
            </w:pPr>
            <w:r>
              <w:rPr>
                <w:rFonts w:hint="eastAsia" w:ascii="宋体" w:hAnsi="宋体"/>
                <w:sz w:val="21"/>
                <w:szCs w:val="21"/>
              </w:rPr>
              <w:t>本项目不拆分，不接受联合体投标。</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5</w:t>
            </w:r>
          </w:p>
        </w:tc>
        <w:tc>
          <w:tcPr>
            <w:tcW w:w="4687" w:type="dxa"/>
            <w:vAlign w:val="center"/>
          </w:tcPr>
          <w:p>
            <w:pPr>
              <w:adjustRightInd w:val="0"/>
              <w:spacing w:line="264" w:lineRule="auto"/>
              <w:rPr>
                <w:sz w:val="21"/>
                <w:szCs w:val="21"/>
              </w:rPr>
            </w:pPr>
            <w:r>
              <w:rPr>
                <w:rFonts w:hint="eastAsia" w:ascii="宋体" w:hAnsi="宋体"/>
                <w:sz w:val="21"/>
                <w:szCs w:val="21"/>
              </w:rPr>
              <w:t>投标人在参加本次采购活动前三年内，在经营活动中（公司或法人）无重大违法记录；，通过“信用中国”网站（www.creditchina.gov.cn）等渠道查询相关主体信用记录，对列入失信被执行人、重大税收违法案件当事人名单的投标人</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264" w:lineRule="auto"/>
              <w:ind w:firstLine="0" w:firstLineChars="0"/>
              <w:jc w:val="center"/>
              <w:rPr>
                <w:rFonts w:ascii="宋体" w:hAnsi="宋体"/>
                <w:bCs/>
                <w:sz w:val="21"/>
                <w:szCs w:val="21"/>
              </w:rPr>
            </w:pPr>
            <w:r>
              <w:rPr>
                <w:rFonts w:hint="eastAsia" w:ascii="宋体" w:hAnsi="宋体"/>
                <w:bCs/>
                <w:sz w:val="21"/>
                <w:szCs w:val="21"/>
              </w:rPr>
              <w:t>6</w:t>
            </w:r>
          </w:p>
        </w:tc>
        <w:tc>
          <w:tcPr>
            <w:tcW w:w="4687" w:type="dxa"/>
            <w:vAlign w:val="center"/>
          </w:tcPr>
          <w:p>
            <w:pPr>
              <w:adjustRightInd w:val="0"/>
              <w:spacing w:line="264" w:lineRule="auto"/>
              <w:rPr>
                <w:sz w:val="21"/>
                <w:szCs w:val="21"/>
              </w:rPr>
            </w:pPr>
            <w:r>
              <w:rPr>
                <w:rFonts w:hint="eastAsia" w:ascii="宋体" w:hAnsi="宋体"/>
                <w:sz w:val="21"/>
                <w:szCs w:val="21"/>
              </w:rPr>
              <w:t>单位负责人为同一人或者存在直接控股、管理关系的不同供应商，不得同时参加本项采购投标。</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7</w:t>
            </w:r>
          </w:p>
        </w:tc>
        <w:tc>
          <w:tcPr>
            <w:tcW w:w="4687" w:type="dxa"/>
            <w:vAlign w:val="center"/>
          </w:tcPr>
          <w:p>
            <w:pPr>
              <w:rPr>
                <w:sz w:val="21"/>
                <w:szCs w:val="21"/>
              </w:rPr>
            </w:pPr>
            <w:r>
              <w:rPr>
                <w:rFonts w:hint="eastAsia"/>
                <w:sz w:val="21"/>
                <w:szCs w:val="21"/>
              </w:rPr>
              <w:t>投标人具有燃气燃烧器具安装维修资质证书</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8</w:t>
            </w:r>
          </w:p>
        </w:tc>
        <w:tc>
          <w:tcPr>
            <w:tcW w:w="4687" w:type="dxa"/>
            <w:vAlign w:val="center"/>
          </w:tcPr>
          <w:p>
            <w:pPr>
              <w:rPr>
                <w:sz w:val="21"/>
                <w:szCs w:val="21"/>
              </w:rPr>
            </w:pPr>
            <w:r>
              <w:rPr>
                <w:rFonts w:hint="eastAsia"/>
                <w:sz w:val="21"/>
                <w:szCs w:val="21"/>
              </w:rPr>
              <w:t>投标保证金符合采购文件规定</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704" w:type="dxa"/>
            <w:vAlign w:val="center"/>
          </w:tcPr>
          <w:p>
            <w:pPr>
              <w:pStyle w:val="29"/>
              <w:adjustRightInd w:val="0"/>
              <w:spacing w:line="360" w:lineRule="auto"/>
              <w:ind w:firstLine="0" w:firstLineChars="0"/>
              <w:jc w:val="center"/>
              <w:rPr>
                <w:rFonts w:ascii="宋体" w:hAnsi="宋体" w:cs="宋体"/>
                <w:sz w:val="21"/>
                <w:szCs w:val="21"/>
              </w:rPr>
            </w:pPr>
            <w:r>
              <w:rPr>
                <w:rFonts w:hint="eastAsia" w:ascii="宋体" w:hAnsi="宋体" w:cs="宋体"/>
                <w:sz w:val="21"/>
                <w:szCs w:val="21"/>
              </w:rPr>
              <w:t>9</w:t>
            </w:r>
          </w:p>
        </w:tc>
        <w:tc>
          <w:tcPr>
            <w:tcW w:w="4687" w:type="dxa"/>
            <w:vAlign w:val="center"/>
          </w:tcPr>
          <w:p>
            <w:pPr>
              <w:rPr>
                <w:sz w:val="21"/>
                <w:szCs w:val="21"/>
              </w:rPr>
            </w:pPr>
            <w:r>
              <w:rPr>
                <w:rFonts w:hint="eastAsia"/>
                <w:sz w:val="21"/>
                <w:szCs w:val="21"/>
              </w:rPr>
              <w:t>不超过本项目最高限价</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704" w:type="dxa"/>
            <w:vAlign w:val="center"/>
          </w:tcPr>
          <w:p>
            <w:pPr>
              <w:jc w:val="center"/>
              <w:rPr>
                <w:sz w:val="21"/>
                <w:szCs w:val="21"/>
              </w:rPr>
            </w:pPr>
            <w:r>
              <w:rPr>
                <w:rFonts w:hint="eastAsia"/>
                <w:sz w:val="21"/>
                <w:szCs w:val="21"/>
              </w:rPr>
              <w:t>结论</w:t>
            </w:r>
          </w:p>
        </w:tc>
        <w:tc>
          <w:tcPr>
            <w:tcW w:w="4687" w:type="dxa"/>
            <w:vAlign w:val="center"/>
          </w:tcPr>
          <w:p>
            <w:pPr>
              <w:rPr>
                <w:sz w:val="21"/>
                <w:szCs w:val="21"/>
              </w:rPr>
            </w:pPr>
            <w:r>
              <w:rPr>
                <w:rFonts w:hint="eastAsia"/>
                <w:sz w:val="21"/>
                <w:szCs w:val="21"/>
              </w:rPr>
              <w:t>是否通过符合性审查，进入下一阶段</w:t>
            </w:r>
          </w:p>
        </w:tc>
        <w:tc>
          <w:tcPr>
            <w:tcW w:w="1091" w:type="dxa"/>
          </w:tcPr>
          <w:p>
            <w:pPr>
              <w:rPr>
                <w:sz w:val="21"/>
                <w:szCs w:val="21"/>
              </w:rPr>
            </w:pPr>
          </w:p>
        </w:tc>
        <w:tc>
          <w:tcPr>
            <w:tcW w:w="1380" w:type="dxa"/>
          </w:tcPr>
          <w:p>
            <w:pPr>
              <w:rPr>
                <w:sz w:val="21"/>
                <w:szCs w:val="21"/>
              </w:rPr>
            </w:pPr>
          </w:p>
        </w:tc>
        <w:tc>
          <w:tcPr>
            <w:tcW w:w="2160" w:type="dxa"/>
          </w:tcPr>
          <w:p>
            <w:pPr>
              <w:rPr>
                <w:sz w:val="21"/>
                <w:szCs w:val="21"/>
              </w:rPr>
            </w:pPr>
          </w:p>
        </w:tc>
      </w:tr>
    </w:tbl>
    <w:p>
      <w:pPr>
        <w:tabs>
          <w:tab w:val="left" w:pos="720"/>
        </w:tabs>
        <w:snapToGrid w:val="0"/>
        <w:rPr>
          <w:rFonts w:ascii="宋体"/>
          <w:sz w:val="21"/>
          <w:szCs w:val="21"/>
        </w:rPr>
      </w:pPr>
      <w:r>
        <w:rPr>
          <w:rFonts w:hint="eastAsia" w:ascii="宋体"/>
          <w:sz w:val="21"/>
          <w:szCs w:val="21"/>
        </w:rPr>
        <w:t>备注：1、“是否通过并进入下一阶段评审”一栏应写“通过”或“不通过”。</w:t>
      </w:r>
    </w:p>
    <w:p>
      <w:pPr>
        <w:tabs>
          <w:tab w:val="left" w:pos="720"/>
        </w:tabs>
        <w:snapToGrid w:val="0"/>
        <w:ind w:firstLine="630" w:firstLineChars="300"/>
        <w:rPr>
          <w:rFonts w:ascii="宋体"/>
          <w:sz w:val="21"/>
          <w:szCs w:val="21"/>
        </w:rPr>
      </w:pPr>
      <w:r>
        <w:rPr>
          <w:rFonts w:hint="eastAsia" w:ascii="宋体"/>
          <w:sz w:val="21"/>
          <w:szCs w:val="21"/>
        </w:rPr>
        <w:t>2、满足以上任何一种情形用“</w:t>
      </w:r>
      <w:r>
        <w:rPr>
          <w:rFonts w:hint="eastAsia" w:ascii="宋体" w:hAnsi="宋体"/>
          <w:sz w:val="21"/>
          <w:szCs w:val="21"/>
        </w:rPr>
        <w:t>○</w:t>
      </w:r>
      <w:r>
        <w:rPr>
          <w:rFonts w:hint="eastAsia" w:ascii="宋体"/>
          <w:sz w:val="21"/>
          <w:szCs w:val="21"/>
        </w:rPr>
        <w:t>”表示，不满足用“×”表示。出现一个“×”的结论为“不通过”。表中全部为“</w:t>
      </w:r>
      <w:r>
        <w:rPr>
          <w:rFonts w:hint="eastAsia" w:ascii="宋体" w:hAnsi="宋体"/>
          <w:sz w:val="21"/>
          <w:szCs w:val="21"/>
        </w:rPr>
        <w:t>○</w:t>
      </w:r>
      <w:r>
        <w:rPr>
          <w:rFonts w:hint="eastAsia" w:ascii="宋体"/>
          <w:sz w:val="21"/>
          <w:szCs w:val="21"/>
        </w:rPr>
        <w:t>”，结论为：“通过”方可进入下一阶段评审。</w:t>
      </w:r>
    </w:p>
    <w:p>
      <w:pPr>
        <w:spacing w:before="240" w:beforeLines="100" w:after="240" w:afterLines="100"/>
        <w:rPr>
          <w:rFonts w:ascii="宋体" w:hAnsi="宋体"/>
          <w:b/>
          <w:sz w:val="21"/>
          <w:szCs w:val="21"/>
        </w:rPr>
      </w:pPr>
    </w:p>
    <w:p>
      <w:pPr>
        <w:spacing w:before="240" w:beforeLines="100" w:after="240" w:afterLines="100"/>
        <w:rPr>
          <w:rFonts w:ascii="宋体" w:hAnsi="宋体"/>
          <w:b/>
          <w:sz w:val="24"/>
        </w:rPr>
      </w:pPr>
    </w:p>
    <w:p>
      <w:pPr>
        <w:spacing w:before="240" w:beforeLines="100" w:after="240" w:afterLines="100"/>
        <w:rPr>
          <w:rFonts w:ascii="宋体" w:hAnsi="宋体"/>
          <w:b/>
          <w:sz w:val="24"/>
        </w:rPr>
      </w:pPr>
    </w:p>
    <w:p>
      <w:pPr>
        <w:spacing w:before="240" w:beforeLines="100" w:after="240" w:afterLines="100"/>
        <w:rPr>
          <w:rFonts w:ascii="宋体" w:hAnsi="宋体"/>
          <w:b/>
          <w:sz w:val="24"/>
        </w:rPr>
      </w:pPr>
    </w:p>
    <w:p>
      <w:pPr>
        <w:spacing w:before="240" w:beforeLines="100" w:after="240" w:afterLines="100"/>
        <w:rPr>
          <w:rFonts w:ascii="宋体" w:hAnsi="宋体"/>
          <w:b/>
          <w:sz w:val="24"/>
        </w:rPr>
      </w:pPr>
    </w:p>
    <w:p>
      <w:pPr>
        <w:spacing w:before="240" w:beforeLines="100" w:after="240" w:afterLines="100"/>
        <w:rPr>
          <w:rFonts w:ascii="宋体" w:hAnsi="宋体"/>
          <w:b/>
          <w:sz w:val="24"/>
        </w:rPr>
      </w:pPr>
      <w:r>
        <w:rPr>
          <w:rFonts w:hint="eastAsia" w:ascii="宋体" w:hAnsi="宋体"/>
          <w:b/>
          <w:sz w:val="24"/>
        </w:rPr>
        <w:br w:type="page"/>
      </w:r>
      <w:r>
        <w:rPr>
          <w:rFonts w:hint="eastAsia" w:ascii="宋体" w:hAnsi="宋体"/>
          <w:b/>
          <w:sz w:val="24"/>
        </w:rPr>
        <w:t xml:space="preserve">附件2                        </w:t>
      </w:r>
    </w:p>
    <w:p>
      <w:pPr>
        <w:spacing w:line="360" w:lineRule="auto"/>
        <w:jc w:val="center"/>
        <w:rPr>
          <w:rFonts w:ascii="宋体" w:hAnsi="宋体"/>
          <w:b/>
          <w:szCs w:val="28"/>
        </w:rPr>
      </w:pPr>
      <w:r>
        <w:rPr>
          <w:rFonts w:hint="eastAsia" w:ascii="宋体" w:hAnsi="宋体"/>
          <w:b/>
          <w:szCs w:val="28"/>
        </w:rPr>
        <w:t>技术评分标准</w:t>
      </w:r>
    </w:p>
    <w:tbl>
      <w:tblPr>
        <w:tblStyle w:val="18"/>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58"/>
        <w:gridCol w:w="550"/>
        <w:gridCol w:w="8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19" w:type="dxa"/>
            <w:vAlign w:val="center"/>
          </w:tcPr>
          <w:p>
            <w:pPr>
              <w:jc w:val="center"/>
              <w:rPr>
                <w:rFonts w:ascii="宋体" w:hAnsi="宋体" w:cs="宋体"/>
                <w:b/>
                <w:bCs/>
                <w:sz w:val="21"/>
                <w:szCs w:val="21"/>
              </w:rPr>
            </w:pPr>
            <w:r>
              <w:rPr>
                <w:rFonts w:hint="eastAsia" w:ascii="宋体" w:hAnsi="宋体" w:cs="宋体"/>
                <w:b/>
                <w:bCs/>
                <w:sz w:val="21"/>
                <w:szCs w:val="21"/>
              </w:rPr>
              <w:t>序号</w:t>
            </w:r>
          </w:p>
        </w:tc>
        <w:tc>
          <w:tcPr>
            <w:tcW w:w="758" w:type="dxa"/>
            <w:vAlign w:val="center"/>
          </w:tcPr>
          <w:p>
            <w:pPr>
              <w:jc w:val="center"/>
              <w:rPr>
                <w:rFonts w:ascii="宋体" w:hAnsi="宋体" w:cs="宋体"/>
                <w:b/>
                <w:bCs/>
                <w:sz w:val="21"/>
                <w:szCs w:val="21"/>
              </w:rPr>
            </w:pPr>
            <w:r>
              <w:rPr>
                <w:rFonts w:hint="eastAsia" w:ascii="宋体" w:hAnsi="宋体" w:cs="宋体"/>
                <w:b/>
                <w:bCs/>
                <w:sz w:val="21"/>
                <w:szCs w:val="21"/>
              </w:rPr>
              <w:t>评审分项</w:t>
            </w:r>
          </w:p>
        </w:tc>
        <w:tc>
          <w:tcPr>
            <w:tcW w:w="550" w:type="dxa"/>
            <w:vAlign w:val="center"/>
          </w:tcPr>
          <w:p>
            <w:pPr>
              <w:jc w:val="center"/>
              <w:rPr>
                <w:rFonts w:ascii="宋体" w:hAnsi="宋体" w:cs="宋体"/>
                <w:b/>
                <w:bCs/>
                <w:sz w:val="21"/>
                <w:szCs w:val="21"/>
              </w:rPr>
            </w:pPr>
            <w:r>
              <w:rPr>
                <w:rFonts w:hint="eastAsia" w:ascii="宋体" w:hAnsi="宋体" w:cs="宋体"/>
                <w:b/>
                <w:bCs/>
                <w:sz w:val="21"/>
                <w:szCs w:val="21"/>
              </w:rPr>
              <w:t>得分</w:t>
            </w:r>
          </w:p>
        </w:tc>
        <w:tc>
          <w:tcPr>
            <w:tcW w:w="8367" w:type="dxa"/>
            <w:vAlign w:val="center"/>
          </w:tcPr>
          <w:p>
            <w:pPr>
              <w:jc w:val="center"/>
              <w:rPr>
                <w:rFonts w:ascii="宋体" w:hAnsi="宋体" w:cs="宋体"/>
                <w:b/>
                <w:bCs/>
                <w:sz w:val="21"/>
                <w:szCs w:val="21"/>
              </w:rPr>
            </w:pPr>
            <w:r>
              <w:rPr>
                <w:rFonts w:hint="eastAsia" w:ascii="宋体" w:hAnsi="宋体" w:cs="宋体"/>
                <w:b/>
                <w:bCs/>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4" w:hRule="atLeast"/>
          <w:jc w:val="center"/>
        </w:trPr>
        <w:tc>
          <w:tcPr>
            <w:tcW w:w="419" w:type="dxa"/>
            <w:vMerge w:val="restart"/>
            <w:vAlign w:val="center"/>
          </w:tcPr>
          <w:p>
            <w:pPr>
              <w:jc w:val="center"/>
              <w:rPr>
                <w:rFonts w:ascii="宋体" w:hAnsi="宋体" w:cs="宋体"/>
                <w:sz w:val="21"/>
                <w:szCs w:val="21"/>
              </w:rPr>
            </w:pPr>
            <w:r>
              <w:rPr>
                <w:rFonts w:hint="eastAsia" w:ascii="宋体" w:hAnsi="宋体" w:cs="宋体"/>
                <w:sz w:val="21"/>
                <w:szCs w:val="21"/>
              </w:rPr>
              <w:t>1</w:t>
            </w:r>
          </w:p>
        </w:tc>
        <w:tc>
          <w:tcPr>
            <w:tcW w:w="758" w:type="dxa"/>
            <w:textDirection w:val="tbRlV"/>
            <w:vAlign w:val="center"/>
          </w:tcPr>
          <w:p>
            <w:pPr>
              <w:ind w:left="113" w:right="113"/>
              <w:jc w:val="center"/>
              <w:rPr>
                <w:rFonts w:ascii="宋体" w:hAnsi="宋体" w:cs="宋体"/>
                <w:sz w:val="21"/>
                <w:szCs w:val="21"/>
              </w:rPr>
            </w:pPr>
            <w:r>
              <w:rPr>
                <w:rFonts w:hint="eastAsia" w:ascii="宋体" w:hAnsi="宋体" w:cs="宋体"/>
                <w:sz w:val="21"/>
                <w:szCs w:val="21"/>
              </w:rPr>
              <w:t>产品质量</w:t>
            </w:r>
          </w:p>
        </w:tc>
        <w:tc>
          <w:tcPr>
            <w:tcW w:w="550" w:type="dxa"/>
            <w:vAlign w:val="center"/>
          </w:tcPr>
          <w:p>
            <w:pPr>
              <w:jc w:val="center"/>
              <w:rPr>
                <w:rFonts w:ascii="宋体" w:hAnsi="宋体" w:cs="宋体"/>
                <w:sz w:val="21"/>
                <w:szCs w:val="21"/>
              </w:rPr>
            </w:pPr>
            <w:r>
              <w:rPr>
                <w:rFonts w:hint="eastAsia" w:ascii="宋体" w:hAnsi="宋体" w:cs="宋体"/>
                <w:sz w:val="21"/>
                <w:szCs w:val="21"/>
              </w:rPr>
              <w:t>31</w:t>
            </w:r>
          </w:p>
        </w:tc>
        <w:tc>
          <w:tcPr>
            <w:tcW w:w="8367" w:type="dxa"/>
            <w:vAlign w:val="center"/>
          </w:tcPr>
          <w:p>
            <w:pPr>
              <w:numPr>
                <w:ilvl w:val="255"/>
                <w:numId w:val="0"/>
              </w:numPr>
              <w:autoSpaceDE w:val="0"/>
              <w:autoSpaceDN w:val="0"/>
              <w:adjustRightInd w:val="0"/>
              <w:jc w:val="left"/>
              <w:rPr>
                <w:rFonts w:ascii="宋体" w:hAnsi="宋体" w:cs="宋体"/>
                <w:sz w:val="21"/>
                <w:szCs w:val="21"/>
              </w:rPr>
            </w:pPr>
            <w:r>
              <w:rPr>
                <w:rFonts w:hint="eastAsia" w:ascii="宋体" w:hAnsi="宋体" w:cs="宋体"/>
                <w:bCs/>
                <w:sz w:val="21"/>
                <w:szCs w:val="21"/>
              </w:rPr>
              <w:t>1、投标人所投商用燃气灶具的热负荷和热效率项目进行检测，所检项目符合GB 30531-2014和相关产品标准CJ/T 28-2013的要求，其能效等级为2级或以上；提拱检测报告</w:t>
            </w:r>
            <w:r>
              <w:rPr>
                <w:rFonts w:hint="eastAsia" w:ascii="宋体" w:hAnsi="宋体" w:cs="宋体"/>
                <w:sz w:val="21"/>
                <w:szCs w:val="21"/>
              </w:rPr>
              <w:t>得2分，</w:t>
            </w:r>
            <w:r>
              <w:rPr>
                <w:rFonts w:hint="eastAsia" w:ascii="宋体" w:hAnsi="宋体" w:cs="宋体"/>
                <w:bCs/>
                <w:sz w:val="21"/>
                <w:szCs w:val="21"/>
              </w:rPr>
              <w:t>不提供不得分。（</w:t>
            </w:r>
            <w:r>
              <w:rPr>
                <w:rFonts w:hint="eastAsia" w:ascii="宋体" w:hAnsi="宋体" w:cs="宋体"/>
                <w:sz w:val="21"/>
                <w:szCs w:val="21"/>
              </w:rPr>
              <w:t>满分2分</w:t>
            </w:r>
            <w:r>
              <w:rPr>
                <w:rFonts w:hint="eastAsia" w:ascii="宋体" w:hAnsi="宋体" w:cs="宋体"/>
                <w:bCs/>
                <w:sz w:val="21"/>
                <w:szCs w:val="21"/>
              </w:rPr>
              <w:t>）（提供检测报告复印件加盖公章证明）</w:t>
            </w:r>
          </w:p>
          <w:p>
            <w:pPr>
              <w:pStyle w:val="23"/>
              <w:rPr>
                <w:rFonts w:ascii="宋体" w:hAnsi="宋体" w:eastAsia="宋体" w:cs="宋体"/>
                <w:color w:val="auto"/>
                <w:sz w:val="21"/>
                <w:szCs w:val="21"/>
              </w:rPr>
            </w:pPr>
          </w:p>
          <w:p>
            <w:pPr>
              <w:numPr>
                <w:ilvl w:val="255"/>
                <w:numId w:val="0"/>
              </w:numPr>
              <w:autoSpaceDE w:val="0"/>
              <w:autoSpaceDN w:val="0"/>
              <w:adjustRightInd w:val="0"/>
              <w:jc w:val="left"/>
              <w:rPr>
                <w:rFonts w:ascii="宋体" w:hAnsi="宋体" w:cs="宋体"/>
                <w:sz w:val="21"/>
                <w:szCs w:val="21"/>
              </w:rPr>
            </w:pPr>
            <w:r>
              <w:rPr>
                <w:rFonts w:hint="eastAsia" w:ascii="宋体" w:hAnsi="宋体" w:cs="宋体"/>
                <w:bCs/>
                <w:sz w:val="21"/>
                <w:szCs w:val="21"/>
              </w:rPr>
              <w:t>2、投标人所投的三层工作台：</w:t>
            </w:r>
            <w:r>
              <w:rPr>
                <w:rFonts w:hint="eastAsia" w:ascii="宋体" w:hAnsi="宋体" w:cs="宋体"/>
                <w:sz w:val="21"/>
                <w:szCs w:val="21"/>
                <w:lang w:val="zh-CN"/>
              </w:rPr>
              <w:t>①</w:t>
            </w:r>
            <w:r>
              <w:rPr>
                <w:rFonts w:hint="eastAsia" w:ascii="宋体" w:hAnsi="宋体" w:cs="宋体"/>
                <w:sz w:val="21"/>
                <w:szCs w:val="21"/>
              </w:rPr>
              <w:t>提供“三层工作台”焊接接头拉伸试验检测报告，检测依据“GB/T 2651-2008 《焊接接头拉伸试验方法》”；</w:t>
            </w:r>
            <w:r>
              <w:rPr>
                <w:rFonts w:hint="eastAsia" w:ascii="宋体" w:hAnsi="宋体" w:cs="宋体"/>
                <w:sz w:val="21"/>
                <w:szCs w:val="21"/>
                <w:lang w:val="zh-CN"/>
              </w:rPr>
              <w:t>②</w:t>
            </w:r>
            <w:r>
              <w:rPr>
                <w:rFonts w:hint="eastAsia" w:ascii="宋体" w:hAnsi="宋体" w:cs="宋体"/>
                <w:sz w:val="21"/>
                <w:szCs w:val="21"/>
              </w:rPr>
              <w:t>提供“三层工作台”不锈钢板及不锈钢管检测报告，检测依据GB/T 11170-2008 《不锈钢 多元素含量的测定火花放电原子发射光谱法（常规法）》标准，（提供制造商加盖公章的检验报告复印件）；每提供一个得</w:t>
            </w:r>
            <w:r>
              <w:rPr>
                <w:rFonts w:hint="eastAsia" w:ascii="宋体" w:hAnsi="宋体" w:cs="宋体"/>
                <w:sz w:val="21"/>
                <w:szCs w:val="21"/>
                <w:lang w:val="en-US" w:eastAsia="zh-CN"/>
              </w:rPr>
              <w:t>3</w:t>
            </w:r>
            <w:r>
              <w:rPr>
                <w:rFonts w:hint="eastAsia" w:ascii="宋体" w:hAnsi="宋体" w:cs="宋体"/>
                <w:sz w:val="21"/>
                <w:szCs w:val="21"/>
              </w:rPr>
              <w:t>分，</w:t>
            </w:r>
            <w:r>
              <w:rPr>
                <w:rFonts w:hint="eastAsia" w:ascii="宋体" w:hAnsi="宋体" w:cs="宋体"/>
                <w:bCs/>
                <w:sz w:val="21"/>
                <w:szCs w:val="21"/>
              </w:rPr>
              <w:t>不提供不得分。</w:t>
            </w:r>
            <w:r>
              <w:rPr>
                <w:rFonts w:hint="eastAsia" w:ascii="宋体" w:hAnsi="宋体" w:cs="宋体"/>
                <w:sz w:val="21"/>
                <w:szCs w:val="21"/>
              </w:rPr>
              <w:t>（满分6分）（提供检测报告复印件加盖公章证明）</w:t>
            </w:r>
          </w:p>
          <w:p>
            <w:pPr>
              <w:pStyle w:val="23"/>
              <w:ind w:firstLine="0" w:firstLineChars="0"/>
              <w:rPr>
                <w:rFonts w:ascii="宋体" w:hAnsi="宋体" w:eastAsia="宋体" w:cs="宋体"/>
                <w:color w:val="auto"/>
                <w:sz w:val="21"/>
                <w:szCs w:val="21"/>
              </w:rPr>
            </w:pPr>
          </w:p>
          <w:p>
            <w:pPr>
              <w:numPr>
                <w:ilvl w:val="255"/>
                <w:numId w:val="0"/>
              </w:numPr>
              <w:autoSpaceDE w:val="0"/>
              <w:autoSpaceDN w:val="0"/>
              <w:adjustRightInd w:val="0"/>
              <w:jc w:val="left"/>
              <w:rPr>
                <w:rFonts w:ascii="宋体" w:hAnsi="宋体" w:cs="宋体"/>
                <w:bCs/>
                <w:sz w:val="21"/>
                <w:szCs w:val="21"/>
              </w:rPr>
            </w:pPr>
            <w:r>
              <w:rPr>
                <w:rFonts w:hint="eastAsia" w:ascii="宋体" w:hAnsi="宋体" w:cs="宋体"/>
                <w:bCs/>
                <w:sz w:val="21"/>
                <w:szCs w:val="21"/>
              </w:rPr>
              <w:t>3、投标人所投油烟净化器产品通过电磁兼容检测（电磁骚扰检测合格、静电放电抗扰度测试合格、电快速瞬变脉冲群抗扰度测试合格等检测报告）；提拱检测报告得3分，不提供不得分。（满分3分）（提供制造商加盖公章的检验报告复印件证明）；</w:t>
            </w:r>
          </w:p>
          <w:p>
            <w:pPr>
              <w:pStyle w:val="23"/>
              <w:ind w:firstLine="0" w:firstLineChars="0"/>
              <w:rPr>
                <w:rFonts w:ascii="宋体" w:hAnsi="宋体" w:eastAsia="宋体" w:cs="宋体"/>
                <w:color w:val="auto"/>
                <w:sz w:val="21"/>
                <w:szCs w:val="21"/>
              </w:rPr>
            </w:pPr>
          </w:p>
          <w:p>
            <w:pPr>
              <w:numPr>
                <w:ilvl w:val="255"/>
                <w:numId w:val="0"/>
              </w:numPr>
              <w:autoSpaceDE w:val="0"/>
              <w:autoSpaceDN w:val="0"/>
              <w:adjustRightInd w:val="0"/>
              <w:jc w:val="left"/>
              <w:rPr>
                <w:rFonts w:ascii="宋体" w:hAnsi="宋体" w:cs="宋体"/>
                <w:bCs/>
                <w:sz w:val="21"/>
                <w:szCs w:val="21"/>
              </w:rPr>
            </w:pPr>
            <w:r>
              <w:rPr>
                <w:rFonts w:hint="eastAsia" w:ascii="宋体" w:hAnsi="宋体" w:cs="宋体"/>
                <w:bCs/>
                <w:sz w:val="21"/>
                <w:szCs w:val="21"/>
              </w:rPr>
              <w:t>4、投标人所投油烟净化器符合国际安全标准，获得欧洲CE认证和美国UL认证得5分，不提供不得分。（</w:t>
            </w:r>
            <w:r>
              <w:rPr>
                <w:rFonts w:hint="eastAsia" w:ascii="宋体" w:hAnsi="宋体" w:cs="宋体"/>
                <w:sz w:val="21"/>
                <w:szCs w:val="21"/>
              </w:rPr>
              <w:t>满分5分</w:t>
            </w:r>
            <w:r>
              <w:rPr>
                <w:rFonts w:hint="eastAsia" w:ascii="宋体" w:hAnsi="宋体" w:cs="宋体"/>
                <w:bCs/>
                <w:sz w:val="21"/>
                <w:szCs w:val="21"/>
              </w:rPr>
              <w:t>）（提供制造商加盖公章的证书复印件证明）。</w:t>
            </w:r>
          </w:p>
          <w:p>
            <w:pPr>
              <w:numPr>
                <w:ilvl w:val="255"/>
                <w:numId w:val="0"/>
              </w:numPr>
              <w:autoSpaceDE w:val="0"/>
              <w:autoSpaceDN w:val="0"/>
              <w:adjustRightInd w:val="0"/>
              <w:jc w:val="left"/>
              <w:rPr>
                <w:rFonts w:ascii="宋体" w:hAnsi="宋体" w:cs="宋体"/>
                <w:bCs/>
                <w:sz w:val="21"/>
                <w:szCs w:val="21"/>
              </w:rPr>
            </w:pPr>
          </w:p>
          <w:p>
            <w:pPr>
              <w:autoSpaceDE w:val="0"/>
              <w:autoSpaceDN w:val="0"/>
              <w:adjustRightInd w:val="0"/>
              <w:jc w:val="left"/>
              <w:rPr>
                <w:rFonts w:ascii="宋体" w:hAnsi="宋体" w:cs="宋体"/>
                <w:bCs/>
                <w:sz w:val="21"/>
                <w:szCs w:val="21"/>
              </w:rPr>
            </w:pPr>
            <w:r>
              <w:rPr>
                <w:rFonts w:hint="eastAsia" w:ascii="宋体" w:hAnsi="宋体" w:cs="宋体"/>
                <w:bCs/>
                <w:sz w:val="21"/>
                <w:szCs w:val="21"/>
              </w:rPr>
              <w:t>5、投标人所投油烟净化器产品符合检测标准GB/T 14295-2019《空气过滤器》“计数效率（0.3-1.0）μm≥90%以上、（1.0-3.0）μm≥95%以上、（3.0-10.0）μm≥98%以上”，提供检验报告得4分，不提供不得分。</w:t>
            </w:r>
            <w:r>
              <w:rPr>
                <w:rFonts w:hint="eastAsia" w:ascii="宋体" w:hAnsi="宋体" w:cs="宋体"/>
                <w:sz w:val="21"/>
                <w:szCs w:val="21"/>
              </w:rPr>
              <w:t>（满分4分）</w:t>
            </w:r>
            <w:r>
              <w:rPr>
                <w:rFonts w:hint="eastAsia" w:ascii="宋体" w:hAnsi="宋体" w:cs="宋体"/>
                <w:bCs/>
                <w:sz w:val="21"/>
                <w:szCs w:val="21"/>
              </w:rPr>
              <w:t>（提供制造商加盖公章的检验报告复印件）</w:t>
            </w:r>
          </w:p>
          <w:p>
            <w:pPr>
              <w:rPr>
                <w:rFonts w:ascii="宋体" w:hAnsi="宋体" w:cs="宋体"/>
                <w:bCs/>
                <w:kern w:val="2"/>
                <w:sz w:val="21"/>
                <w:szCs w:val="21"/>
              </w:rPr>
            </w:pPr>
          </w:p>
          <w:p>
            <w:pPr>
              <w:numPr>
                <w:ilvl w:val="255"/>
                <w:numId w:val="0"/>
              </w:numPr>
              <w:rPr>
                <w:rFonts w:ascii="宋体" w:hAnsi="宋体" w:cs="宋体"/>
                <w:bCs/>
                <w:kern w:val="2"/>
                <w:sz w:val="21"/>
                <w:szCs w:val="21"/>
              </w:rPr>
            </w:pPr>
            <w:r>
              <w:rPr>
                <w:rFonts w:hint="eastAsia" w:ascii="宋体" w:hAnsi="宋体" w:cs="宋体"/>
                <w:bCs/>
                <w:sz w:val="21"/>
                <w:szCs w:val="21"/>
              </w:rPr>
              <w:t>6、投标人所投产品“离心抽风机”制造厂家</w:t>
            </w:r>
            <w:r>
              <w:rPr>
                <w:rFonts w:hint="eastAsia" w:ascii="宋体" w:hAnsi="宋体" w:cs="宋体"/>
                <w:bCs/>
                <w:kern w:val="2"/>
                <w:sz w:val="21"/>
                <w:szCs w:val="21"/>
              </w:rPr>
              <w:t>购买高新技术企业产品责任险，包含：通风机系列产品：每次事故财产损失赔偿限额2000万；人身伤亡每次事故赔偿限额2000万，每次事故赔偿限额4000万；全年累计赔偿限额7000万。若全年累计赔偿限额7000万（含）以上得5分，5000万（含）以上得3分，3000万（含）以上得1分。（</w:t>
            </w:r>
            <w:r>
              <w:rPr>
                <w:rFonts w:hint="eastAsia" w:ascii="宋体" w:hAnsi="宋体" w:cs="宋体"/>
                <w:sz w:val="21"/>
                <w:szCs w:val="21"/>
              </w:rPr>
              <w:t>满分5分</w:t>
            </w:r>
            <w:r>
              <w:rPr>
                <w:rFonts w:hint="eastAsia" w:ascii="宋体" w:hAnsi="宋体" w:cs="宋体"/>
                <w:bCs/>
                <w:kern w:val="2"/>
                <w:sz w:val="21"/>
                <w:szCs w:val="21"/>
              </w:rPr>
              <w:t>）（提供保险单或相关证明文件复印件或扫描件并加盖制造商公章）</w:t>
            </w:r>
          </w:p>
          <w:p>
            <w:pPr>
              <w:rPr>
                <w:rFonts w:ascii="宋体" w:hAnsi="宋体" w:cs="宋体"/>
                <w:bCs/>
                <w:kern w:val="2"/>
                <w:sz w:val="21"/>
                <w:szCs w:val="21"/>
              </w:rPr>
            </w:pPr>
          </w:p>
          <w:p>
            <w:pPr>
              <w:rPr>
                <w:rFonts w:ascii="宋体" w:hAnsi="宋体" w:cs="宋体"/>
                <w:bCs/>
                <w:kern w:val="2"/>
                <w:sz w:val="21"/>
                <w:szCs w:val="21"/>
              </w:rPr>
            </w:pPr>
            <w:r>
              <w:rPr>
                <w:rFonts w:hint="eastAsia" w:ascii="宋体" w:hAnsi="宋体" w:cs="宋体"/>
                <w:bCs/>
                <w:kern w:val="2"/>
                <w:sz w:val="21"/>
                <w:szCs w:val="21"/>
              </w:rPr>
              <w:t>7、所投产品“离心风机”轴承通过GB/T2423.2-2008 《电工电子产品环境试验 第2部分∶试验方法 试验B∶ 高温》，将样品在温度为（80±2）℃下，储存48h，试验结束后，检查样品外观结构应正常；提供由省级及以上检测机构出具的合格测试报告扫描件加盖制造厂家公章，提供检测报告得3分，不提供不得分。（</w:t>
            </w:r>
            <w:r>
              <w:rPr>
                <w:rFonts w:hint="eastAsia" w:ascii="宋体" w:hAnsi="宋体" w:cs="宋体"/>
                <w:sz w:val="21"/>
                <w:szCs w:val="21"/>
              </w:rPr>
              <w:t>满分3分</w:t>
            </w:r>
            <w:r>
              <w:rPr>
                <w:rFonts w:hint="eastAsia" w:ascii="宋体" w:hAnsi="宋体" w:cs="宋体"/>
                <w:bCs/>
                <w:kern w:val="2"/>
                <w:sz w:val="21"/>
                <w:szCs w:val="21"/>
              </w:rPr>
              <w:t>）（须在省级及以上质检院客户服务平台官方网站可查询，提供查询截图）</w:t>
            </w:r>
          </w:p>
          <w:p>
            <w:pPr>
              <w:rPr>
                <w:rFonts w:ascii="宋体" w:hAnsi="宋体" w:cs="宋体"/>
                <w:bCs/>
                <w:kern w:val="2"/>
                <w:sz w:val="21"/>
                <w:szCs w:val="21"/>
              </w:rPr>
            </w:pPr>
            <w:r>
              <w:rPr>
                <w:rFonts w:hint="eastAsia" w:ascii="宋体" w:hAnsi="宋体" w:cs="宋体"/>
                <w:bCs/>
                <w:kern w:val="2"/>
                <w:sz w:val="21"/>
                <w:szCs w:val="21"/>
              </w:rPr>
              <w:t xml:space="preserve"> </w:t>
            </w:r>
          </w:p>
          <w:p>
            <w:pPr>
              <w:rPr>
                <w:rFonts w:ascii="宋体" w:hAnsi="宋体" w:cs="宋体"/>
                <w:bCs/>
                <w:kern w:val="2"/>
                <w:sz w:val="21"/>
                <w:szCs w:val="21"/>
              </w:rPr>
            </w:pPr>
            <w:r>
              <w:rPr>
                <w:rFonts w:hint="eastAsia" w:ascii="宋体" w:hAnsi="宋体" w:cs="宋体"/>
                <w:bCs/>
                <w:kern w:val="2"/>
                <w:sz w:val="21"/>
                <w:szCs w:val="21"/>
              </w:rPr>
              <w:t>8、所投双进风柜式离心风机皮带通过GB/T10125-2012 《人造气氛腐蚀试验 盐雾试验》检测铜加速乙酸盐雾试验项目，所检项目符合判定依据的要求；提供由省级及以上检测机构出具的合格测试报告扫描件加盖制造厂家公章得3分，不提供不得分。（</w:t>
            </w:r>
            <w:r>
              <w:rPr>
                <w:rFonts w:hint="eastAsia" w:ascii="宋体" w:hAnsi="宋体" w:cs="宋体"/>
                <w:sz w:val="21"/>
                <w:szCs w:val="21"/>
              </w:rPr>
              <w:t>满分3分</w:t>
            </w:r>
            <w:r>
              <w:rPr>
                <w:rFonts w:hint="eastAsia" w:ascii="宋体" w:hAnsi="宋体" w:cs="宋体"/>
                <w:bCs/>
                <w:kern w:val="2"/>
                <w:sz w:val="21"/>
                <w:szCs w:val="21"/>
              </w:rPr>
              <w:t>）（须在省级及以上质检院客户服务平台官方网站可查询，提供查询截图）</w:t>
            </w:r>
            <w:r>
              <w:rPr>
                <w:rFonts w:hint="eastAsia" w:ascii="宋体" w:hAnsi="宋体" w:cs="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19" w:type="dxa"/>
            <w:vMerge w:val="continue"/>
            <w:vAlign w:val="center"/>
          </w:tcPr>
          <w:p>
            <w:pPr>
              <w:jc w:val="center"/>
              <w:rPr>
                <w:rFonts w:ascii="宋体" w:hAnsi="宋体" w:cs="宋体"/>
                <w:sz w:val="21"/>
                <w:szCs w:val="21"/>
              </w:rPr>
            </w:pPr>
          </w:p>
        </w:tc>
        <w:tc>
          <w:tcPr>
            <w:tcW w:w="758" w:type="dxa"/>
            <w:vAlign w:val="center"/>
          </w:tcPr>
          <w:p>
            <w:pPr>
              <w:spacing w:line="240" w:lineRule="exact"/>
              <w:jc w:val="center"/>
              <w:rPr>
                <w:rFonts w:ascii="宋体" w:hAnsi="宋体" w:cs="宋体"/>
                <w:sz w:val="21"/>
                <w:szCs w:val="21"/>
                <w:lang w:val="zh-CN"/>
              </w:rPr>
            </w:pPr>
            <w:r>
              <w:rPr>
                <w:rFonts w:hint="eastAsia" w:ascii="宋体" w:hAnsi="宋体" w:cs="宋体"/>
                <w:sz w:val="21"/>
                <w:szCs w:val="21"/>
                <w:lang w:val="zh-CN"/>
              </w:rPr>
              <w:t>设备</w:t>
            </w:r>
          </w:p>
          <w:p>
            <w:pPr>
              <w:spacing w:line="240" w:lineRule="exact"/>
              <w:jc w:val="center"/>
              <w:rPr>
                <w:rFonts w:ascii="宋体" w:hAnsi="宋体" w:cs="宋体"/>
                <w:sz w:val="21"/>
                <w:szCs w:val="21"/>
                <w:lang w:val="zh-CN"/>
              </w:rPr>
            </w:pPr>
            <w:r>
              <w:rPr>
                <w:rFonts w:hint="eastAsia" w:ascii="宋体" w:hAnsi="宋体" w:cs="宋体"/>
                <w:sz w:val="21"/>
                <w:szCs w:val="21"/>
                <w:lang w:val="zh-CN"/>
              </w:rPr>
              <w:t>配置</w:t>
            </w:r>
          </w:p>
          <w:p>
            <w:pPr>
              <w:jc w:val="center"/>
              <w:rPr>
                <w:rFonts w:ascii="宋体" w:hAnsi="宋体" w:cs="宋体"/>
                <w:sz w:val="21"/>
                <w:szCs w:val="21"/>
              </w:rPr>
            </w:pPr>
            <w:r>
              <w:rPr>
                <w:rFonts w:hint="eastAsia" w:ascii="宋体" w:hAnsi="宋体" w:cs="宋体"/>
                <w:sz w:val="21"/>
                <w:szCs w:val="21"/>
                <w:lang w:val="zh-CN"/>
              </w:rPr>
              <w:t>方案</w:t>
            </w:r>
          </w:p>
        </w:tc>
        <w:tc>
          <w:tcPr>
            <w:tcW w:w="550" w:type="dxa"/>
            <w:vAlign w:val="center"/>
          </w:tcPr>
          <w:p>
            <w:pPr>
              <w:jc w:val="center"/>
              <w:rPr>
                <w:rFonts w:ascii="宋体" w:hAnsi="宋体" w:cs="宋体"/>
                <w:sz w:val="21"/>
                <w:szCs w:val="21"/>
              </w:rPr>
            </w:pPr>
            <w:r>
              <w:rPr>
                <w:rFonts w:hint="eastAsia" w:ascii="宋体" w:hAnsi="宋体" w:cs="宋体"/>
                <w:sz w:val="21"/>
                <w:szCs w:val="21"/>
              </w:rPr>
              <w:t>3</w:t>
            </w:r>
          </w:p>
        </w:tc>
        <w:tc>
          <w:tcPr>
            <w:tcW w:w="8367" w:type="dxa"/>
            <w:vAlign w:val="center"/>
          </w:tcPr>
          <w:p>
            <w:pPr>
              <w:rPr>
                <w:rFonts w:ascii="宋体" w:hAnsi="宋体" w:cs="宋体"/>
                <w:b/>
                <w:sz w:val="21"/>
                <w:szCs w:val="21"/>
              </w:rPr>
            </w:pPr>
            <w:r>
              <w:rPr>
                <w:rFonts w:hint="eastAsia" w:ascii="宋体" w:hAnsi="宋体" w:cs="宋体"/>
                <w:sz w:val="21"/>
                <w:szCs w:val="21"/>
                <w:lang w:val="zh-CN"/>
              </w:rPr>
              <w:t>评标小组根据投标人提供的①设备配置方案、②设备配置图进行评分、③设备配套设施符合现场实际情况且设计完整合理的得</w:t>
            </w:r>
            <w:r>
              <w:rPr>
                <w:rFonts w:hint="eastAsia" w:ascii="宋体" w:hAnsi="宋体" w:cs="宋体"/>
                <w:color w:val="FF0000"/>
                <w:sz w:val="21"/>
                <w:szCs w:val="21"/>
              </w:rPr>
              <w:t>3</w:t>
            </w:r>
            <w:r>
              <w:rPr>
                <w:rFonts w:hint="eastAsia" w:ascii="宋体" w:hAnsi="宋体" w:cs="宋体"/>
                <w:color w:val="FF0000"/>
                <w:sz w:val="21"/>
                <w:szCs w:val="21"/>
                <w:lang w:val="zh-CN"/>
              </w:rPr>
              <w:t>分</w:t>
            </w:r>
            <w:r>
              <w:rPr>
                <w:rFonts w:hint="eastAsia" w:ascii="宋体" w:hAnsi="宋体" w:cs="宋体"/>
                <w:sz w:val="21"/>
                <w:szCs w:val="21"/>
                <w:lang w:val="zh-CN"/>
              </w:rPr>
              <w:t>；缺漏项的每处扣</w:t>
            </w:r>
            <w:r>
              <w:rPr>
                <w:rFonts w:hint="eastAsia" w:ascii="宋体" w:hAnsi="宋体" w:cs="宋体"/>
                <w:sz w:val="21"/>
                <w:szCs w:val="21"/>
              </w:rPr>
              <w:t>1</w:t>
            </w:r>
            <w:r>
              <w:rPr>
                <w:rFonts w:hint="eastAsia" w:ascii="宋体" w:hAnsi="宋体" w:cs="宋体"/>
                <w:sz w:val="21"/>
                <w:szCs w:val="21"/>
                <w:lang w:val="zh-CN"/>
              </w:rPr>
              <w:t>分，</w:t>
            </w:r>
            <w:r>
              <w:rPr>
                <w:rFonts w:hint="eastAsia" w:ascii="宋体" w:hAnsi="宋体" w:cs="宋体"/>
                <w:sz w:val="21"/>
                <w:szCs w:val="21"/>
              </w:rPr>
              <w:t>扣完为止</w:t>
            </w:r>
            <w:r>
              <w:rPr>
                <w:rFonts w:hint="eastAsia" w:ascii="宋体" w:hAnsi="宋体" w:cs="宋体"/>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419" w:type="dxa"/>
            <w:vMerge w:val="continue"/>
            <w:vAlign w:val="center"/>
          </w:tcPr>
          <w:p>
            <w:pPr>
              <w:jc w:val="center"/>
              <w:rPr>
                <w:rFonts w:ascii="宋体" w:hAnsi="宋体" w:cs="宋体"/>
                <w:sz w:val="21"/>
                <w:szCs w:val="21"/>
              </w:rPr>
            </w:pPr>
          </w:p>
        </w:tc>
        <w:tc>
          <w:tcPr>
            <w:tcW w:w="758" w:type="dxa"/>
            <w:vAlign w:val="center"/>
          </w:tcPr>
          <w:p>
            <w:pPr>
              <w:jc w:val="center"/>
              <w:rPr>
                <w:rFonts w:ascii="宋体" w:hAnsi="宋体" w:cs="宋体"/>
                <w:sz w:val="21"/>
                <w:szCs w:val="21"/>
              </w:rPr>
            </w:pPr>
            <w:r>
              <w:rPr>
                <w:rFonts w:hint="eastAsia" w:ascii="宋体" w:hAnsi="宋体" w:cs="宋体"/>
                <w:sz w:val="21"/>
                <w:szCs w:val="21"/>
                <w:lang w:val="zh-CN"/>
              </w:rPr>
              <w:t>项目实施计划及安装调试措施</w:t>
            </w:r>
          </w:p>
        </w:tc>
        <w:tc>
          <w:tcPr>
            <w:tcW w:w="550" w:type="dxa"/>
            <w:vAlign w:val="center"/>
          </w:tcPr>
          <w:p>
            <w:pPr>
              <w:jc w:val="center"/>
              <w:rPr>
                <w:rFonts w:ascii="宋体" w:hAnsi="宋体" w:cs="宋体"/>
                <w:sz w:val="21"/>
                <w:szCs w:val="21"/>
              </w:rPr>
            </w:pPr>
            <w:r>
              <w:rPr>
                <w:rFonts w:hint="eastAsia" w:ascii="宋体" w:hAnsi="宋体" w:cs="宋体"/>
                <w:sz w:val="21"/>
                <w:szCs w:val="21"/>
              </w:rPr>
              <w:t>4</w:t>
            </w:r>
          </w:p>
        </w:tc>
        <w:tc>
          <w:tcPr>
            <w:tcW w:w="8367" w:type="dxa"/>
            <w:vAlign w:val="center"/>
          </w:tcPr>
          <w:p>
            <w:pPr>
              <w:rPr>
                <w:rFonts w:ascii="宋体" w:hAnsi="宋体" w:cs="宋体"/>
                <w:bCs/>
                <w:sz w:val="21"/>
                <w:szCs w:val="21"/>
              </w:rPr>
            </w:pPr>
            <w:r>
              <w:rPr>
                <w:rFonts w:hint="eastAsia" w:ascii="宋体" w:hAnsi="宋体" w:cs="宋体"/>
                <w:color w:val="auto"/>
                <w:sz w:val="21"/>
                <w:szCs w:val="21"/>
                <w:lang w:val="zh-CN"/>
              </w:rPr>
              <w:t>评标小组根据投标人提供的①项目实施计划、②安装调试措施、③人员配备及安排、④设备及附属设备安装调试措施完善计划（包括安装调试、试运行、测试等，满足交货时间和安装调试竣工时间要求）进行评分，实施计划优秀合理的得</w:t>
            </w:r>
            <w:r>
              <w:rPr>
                <w:rFonts w:hint="eastAsia" w:ascii="宋体" w:hAnsi="宋体" w:cs="宋体"/>
                <w:color w:val="auto"/>
                <w:sz w:val="21"/>
                <w:szCs w:val="21"/>
              </w:rPr>
              <w:t>4</w:t>
            </w:r>
            <w:r>
              <w:rPr>
                <w:rFonts w:hint="eastAsia" w:ascii="宋体" w:hAnsi="宋体" w:cs="宋体"/>
                <w:color w:val="auto"/>
                <w:sz w:val="21"/>
                <w:szCs w:val="21"/>
                <w:lang w:val="zh-CN"/>
              </w:rPr>
              <w:t>分，不合理处每项扣1分，扣完为止。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419" w:type="dxa"/>
            <w:vMerge w:val="continue"/>
            <w:vAlign w:val="center"/>
          </w:tcPr>
          <w:p>
            <w:pPr>
              <w:jc w:val="center"/>
              <w:rPr>
                <w:rFonts w:ascii="宋体" w:hAnsi="宋体" w:cs="宋体"/>
                <w:sz w:val="21"/>
                <w:szCs w:val="21"/>
              </w:rPr>
            </w:pPr>
          </w:p>
        </w:tc>
        <w:tc>
          <w:tcPr>
            <w:tcW w:w="758" w:type="dxa"/>
            <w:vAlign w:val="center"/>
          </w:tcPr>
          <w:p>
            <w:pPr>
              <w:rPr>
                <w:rFonts w:ascii="宋体" w:hAnsi="宋体" w:cs="宋体"/>
                <w:sz w:val="21"/>
                <w:szCs w:val="21"/>
                <w:lang w:val="zh-CN"/>
              </w:rPr>
            </w:pPr>
            <w:r>
              <w:rPr>
                <w:rFonts w:hint="eastAsia" w:ascii="宋体" w:hAnsi="宋体" w:cs="宋体"/>
                <w:sz w:val="21"/>
                <w:szCs w:val="21"/>
                <w:lang w:val="zh-CN"/>
              </w:rPr>
              <w:t>培训</w:t>
            </w:r>
          </w:p>
          <w:p>
            <w:pPr>
              <w:rPr>
                <w:rFonts w:ascii="宋体" w:hAnsi="宋体" w:cs="宋体"/>
                <w:sz w:val="21"/>
                <w:szCs w:val="21"/>
                <w:lang w:val="zh-CN"/>
              </w:rPr>
            </w:pPr>
            <w:r>
              <w:rPr>
                <w:rFonts w:hint="eastAsia" w:ascii="宋体" w:hAnsi="宋体" w:cs="宋体"/>
                <w:sz w:val="21"/>
                <w:szCs w:val="21"/>
                <w:lang w:val="zh-CN"/>
              </w:rPr>
              <w:t>方案</w:t>
            </w:r>
          </w:p>
        </w:tc>
        <w:tc>
          <w:tcPr>
            <w:tcW w:w="550" w:type="dxa"/>
            <w:vAlign w:val="center"/>
          </w:tcPr>
          <w:p>
            <w:pPr>
              <w:jc w:val="center"/>
              <w:rPr>
                <w:rFonts w:ascii="宋体" w:hAnsi="宋体" w:cs="宋体"/>
                <w:sz w:val="21"/>
                <w:szCs w:val="21"/>
                <w:lang w:val="zh-CN"/>
              </w:rPr>
            </w:pPr>
            <w:r>
              <w:rPr>
                <w:rFonts w:hint="eastAsia" w:ascii="宋体" w:hAnsi="宋体" w:cs="宋体"/>
                <w:sz w:val="21"/>
                <w:szCs w:val="21"/>
              </w:rPr>
              <w:t>2</w:t>
            </w:r>
          </w:p>
        </w:tc>
        <w:tc>
          <w:tcPr>
            <w:tcW w:w="8367" w:type="dxa"/>
            <w:vAlign w:val="center"/>
          </w:tcPr>
          <w:p>
            <w:pPr>
              <w:rPr>
                <w:rFonts w:ascii="宋体" w:hAnsi="宋体" w:cs="宋体"/>
                <w:sz w:val="21"/>
                <w:szCs w:val="21"/>
              </w:rPr>
            </w:pPr>
            <w:r>
              <w:rPr>
                <w:rFonts w:hint="eastAsia" w:ascii="宋体" w:hAnsi="宋体" w:cs="宋体"/>
                <w:sz w:val="21"/>
                <w:szCs w:val="21"/>
                <w:lang w:val="zh-CN"/>
              </w:rPr>
              <w:t>①针对设备管理人员进行使用中常见故障的判断与排除、②排水、电器电路的操作常识、③设备的维护和保养以及应采取的正确的维修方法、④ 培训人数、地址，制定详细合理的得</w:t>
            </w:r>
            <w:r>
              <w:rPr>
                <w:rFonts w:hint="eastAsia" w:ascii="宋体" w:hAnsi="宋体" w:cs="宋体"/>
                <w:sz w:val="21"/>
                <w:szCs w:val="21"/>
              </w:rPr>
              <w:t>2</w:t>
            </w:r>
            <w:r>
              <w:rPr>
                <w:rFonts w:hint="eastAsia" w:ascii="宋体" w:hAnsi="宋体" w:cs="宋体"/>
                <w:sz w:val="21"/>
                <w:szCs w:val="21"/>
                <w:lang w:val="zh-CN"/>
              </w:rPr>
              <w:t>分；培训方案有缺漏项的每处扣0.5分，扣完为止。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177" w:type="dxa"/>
            <w:gridSpan w:val="2"/>
            <w:vAlign w:val="center"/>
          </w:tcPr>
          <w:p>
            <w:pPr>
              <w:jc w:val="center"/>
              <w:rPr>
                <w:rFonts w:ascii="宋体" w:hAnsi="宋体" w:cs="宋体"/>
                <w:sz w:val="21"/>
                <w:szCs w:val="21"/>
              </w:rPr>
            </w:pPr>
            <w:r>
              <w:rPr>
                <w:rFonts w:hint="eastAsia" w:ascii="宋体" w:hAnsi="宋体" w:cs="宋体"/>
                <w:sz w:val="21"/>
                <w:szCs w:val="21"/>
              </w:rPr>
              <w:t>技术得分合计</w:t>
            </w:r>
          </w:p>
        </w:tc>
        <w:tc>
          <w:tcPr>
            <w:tcW w:w="550" w:type="dxa"/>
            <w:vAlign w:val="center"/>
          </w:tcPr>
          <w:p>
            <w:pPr>
              <w:jc w:val="center"/>
              <w:rPr>
                <w:rFonts w:ascii="宋体" w:hAnsi="宋体" w:cs="宋体"/>
                <w:sz w:val="21"/>
                <w:szCs w:val="21"/>
              </w:rPr>
            </w:pPr>
            <w:r>
              <w:rPr>
                <w:rFonts w:hint="eastAsia" w:ascii="宋体" w:hAnsi="宋体" w:cs="宋体"/>
                <w:sz w:val="21"/>
                <w:szCs w:val="21"/>
              </w:rPr>
              <w:t>40</w:t>
            </w:r>
          </w:p>
        </w:tc>
        <w:tc>
          <w:tcPr>
            <w:tcW w:w="8367" w:type="dxa"/>
            <w:vAlign w:val="center"/>
          </w:tcPr>
          <w:p>
            <w:pPr>
              <w:jc w:val="center"/>
              <w:rPr>
                <w:rFonts w:ascii="宋体" w:hAnsi="宋体" w:cs="宋体"/>
                <w:sz w:val="21"/>
                <w:szCs w:val="21"/>
              </w:rPr>
            </w:pPr>
          </w:p>
        </w:tc>
      </w:tr>
    </w:tbl>
    <w:p>
      <w:pPr>
        <w:tabs>
          <w:tab w:val="left" w:pos="560"/>
        </w:tabs>
        <w:spacing w:line="360" w:lineRule="auto"/>
        <w:ind w:left="638" w:hanging="638" w:hangingChars="266"/>
        <w:jc w:val="left"/>
        <w:rPr>
          <w:rFonts w:ascii="宋体"/>
          <w:sz w:val="24"/>
          <w:szCs w:val="24"/>
        </w:rPr>
      </w:pPr>
      <w:r>
        <w:rPr>
          <w:rFonts w:hint="eastAsia" w:ascii="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ascii="宋体"/>
          <w:sz w:val="24"/>
          <w:szCs w:val="24"/>
        </w:rPr>
      </w:pPr>
      <w:r>
        <w:rPr>
          <w:rFonts w:hint="eastAsia" w:ascii="宋体"/>
          <w:sz w:val="24"/>
          <w:szCs w:val="24"/>
        </w:rPr>
        <w:t>2.技术评分：将每个评委的评分汇总，各评委评分的算术平均值，即为该投标人的最终技术得分。（四舍五入后，小数点后保留两位有效数）。</w:t>
      </w:r>
    </w:p>
    <w:p>
      <w:pPr>
        <w:jc w:val="left"/>
        <w:rPr>
          <w:rFonts w:ascii="宋体" w:hAnsi="宋体"/>
          <w:b/>
          <w:sz w:val="24"/>
        </w:rPr>
      </w:pPr>
      <w:r>
        <w:rPr>
          <w:rFonts w:ascii="宋体" w:hAnsi="宋体"/>
          <w:b/>
          <w:sz w:val="24"/>
        </w:rPr>
        <w:br w:type="page"/>
      </w:r>
      <w:r>
        <w:rPr>
          <w:rFonts w:hint="eastAsia" w:ascii="宋体" w:hAnsi="宋体"/>
          <w:b/>
          <w:sz w:val="24"/>
        </w:rPr>
        <w:t xml:space="preserve">附件3  </w:t>
      </w:r>
    </w:p>
    <w:p>
      <w:pPr>
        <w:spacing w:line="360" w:lineRule="auto"/>
        <w:jc w:val="center"/>
        <w:rPr>
          <w:rFonts w:ascii="宋体" w:hAnsi="宋体"/>
          <w:b/>
          <w:szCs w:val="28"/>
        </w:rPr>
      </w:pPr>
      <w:r>
        <w:rPr>
          <w:rFonts w:hint="eastAsia" w:ascii="宋体" w:hAnsi="宋体"/>
          <w:b/>
          <w:szCs w:val="28"/>
        </w:rPr>
        <w:t>商务评分标准</w:t>
      </w:r>
    </w:p>
    <w:tbl>
      <w:tblPr>
        <w:tblStyle w:val="18"/>
        <w:tblW w:w="9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440"/>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
                <w:bCs/>
                <w:sz w:val="21"/>
                <w:szCs w:val="21"/>
              </w:rPr>
            </w:pPr>
            <w:r>
              <w:rPr>
                <w:rFonts w:hint="eastAsia" w:ascii="宋体" w:hAnsi="宋体" w:cs="宋体"/>
                <w:b/>
                <w:bCs/>
                <w:sz w:val="21"/>
                <w:szCs w:val="21"/>
              </w:rPr>
              <w:t>序号</w:t>
            </w:r>
          </w:p>
        </w:tc>
        <w:tc>
          <w:tcPr>
            <w:tcW w:w="1417" w:type="dxa"/>
            <w:tcBorders>
              <w:top w:val="single" w:color="auto" w:sz="4" w:space="0"/>
              <w:left w:val="single" w:color="auto" w:sz="4" w:space="0"/>
              <w:bottom w:val="single" w:color="auto" w:sz="4" w:space="0"/>
              <w:right w:val="single" w:color="auto" w:sz="6" w:space="0"/>
            </w:tcBorders>
            <w:vAlign w:val="center"/>
          </w:tcPr>
          <w:p>
            <w:pPr>
              <w:snapToGrid w:val="0"/>
              <w:spacing w:line="360" w:lineRule="exact"/>
              <w:rPr>
                <w:rFonts w:ascii="宋体" w:hAnsi="宋体" w:cs="宋体"/>
                <w:b/>
                <w:bCs/>
                <w:sz w:val="21"/>
                <w:szCs w:val="21"/>
              </w:rPr>
            </w:pPr>
            <w:r>
              <w:rPr>
                <w:rFonts w:hint="eastAsia" w:ascii="宋体" w:hAnsi="宋体" w:cs="宋体"/>
                <w:b/>
                <w:bCs/>
                <w:sz w:val="21"/>
                <w:szCs w:val="21"/>
              </w:rPr>
              <w:t>评审分项</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spacing w:line="360" w:lineRule="exact"/>
              <w:rPr>
                <w:rFonts w:ascii="宋体" w:hAnsi="宋体" w:cs="宋体"/>
                <w:b/>
                <w:bCs/>
                <w:sz w:val="21"/>
                <w:szCs w:val="21"/>
              </w:rPr>
            </w:pPr>
            <w:r>
              <w:rPr>
                <w:rFonts w:hint="eastAsia" w:ascii="宋体" w:hAnsi="宋体" w:cs="宋体"/>
                <w:b/>
                <w:bCs/>
                <w:sz w:val="21"/>
                <w:szCs w:val="21"/>
              </w:rPr>
              <w:t>得分</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
                <w:bCs/>
                <w:sz w:val="21"/>
                <w:szCs w:val="21"/>
              </w:rPr>
            </w:pPr>
            <w:r>
              <w:rPr>
                <w:rFonts w:hint="eastAsia" w:ascii="宋体" w:hAnsi="宋体" w:cs="宋体"/>
                <w:b/>
                <w:bCs/>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53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bCs/>
                <w:sz w:val="21"/>
                <w:szCs w:val="21"/>
              </w:rPr>
            </w:pPr>
            <w:r>
              <w:rPr>
                <w:rFonts w:hint="eastAsia" w:ascii="宋体" w:hAnsi="宋体" w:cs="宋体"/>
                <w:bCs/>
                <w:sz w:val="21"/>
                <w:szCs w:val="21"/>
              </w:rPr>
              <w:t>1</w:t>
            </w:r>
          </w:p>
        </w:tc>
        <w:tc>
          <w:tcPr>
            <w:tcW w:w="1417" w:type="dxa"/>
            <w:tcBorders>
              <w:top w:val="single" w:color="auto" w:sz="4" w:space="0"/>
              <w:left w:val="single" w:color="auto" w:sz="4" w:space="0"/>
              <w:bottom w:val="single" w:color="auto" w:sz="4" w:space="0"/>
              <w:right w:val="single" w:color="auto" w:sz="6" w:space="0"/>
            </w:tcBorders>
            <w:vAlign w:val="center"/>
          </w:tcPr>
          <w:p>
            <w:pPr>
              <w:snapToGrid w:val="0"/>
              <w:jc w:val="left"/>
              <w:rPr>
                <w:rFonts w:ascii="宋体" w:hAnsi="宋体" w:cs="宋体"/>
                <w:bCs/>
                <w:sz w:val="21"/>
                <w:szCs w:val="21"/>
              </w:rPr>
            </w:pPr>
            <w:r>
              <w:rPr>
                <w:rFonts w:hint="eastAsia" w:ascii="宋体" w:hAnsi="宋体" w:cs="宋体"/>
                <w:bCs/>
                <w:sz w:val="21"/>
                <w:szCs w:val="21"/>
              </w:rPr>
              <w:t>类似业绩</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jc w:val="left"/>
              <w:rPr>
                <w:rFonts w:ascii="宋体" w:hAnsi="宋体" w:cs="宋体"/>
                <w:bCs/>
                <w:sz w:val="21"/>
                <w:szCs w:val="21"/>
              </w:rPr>
            </w:pPr>
            <w:r>
              <w:rPr>
                <w:rFonts w:hint="eastAsia" w:ascii="宋体" w:hAnsi="宋体" w:cs="宋体"/>
                <w:bCs/>
                <w:sz w:val="21"/>
                <w:szCs w:val="21"/>
              </w:rPr>
              <w:t>8</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lang w:val="zh-CN"/>
              </w:rPr>
              <w:t>投标人具有近二年（本项目</w:t>
            </w:r>
            <w:r>
              <w:rPr>
                <w:rFonts w:hint="eastAsia" w:ascii="宋体" w:hAnsi="宋体" w:cs="宋体"/>
                <w:bCs/>
                <w:color w:val="auto"/>
                <w:sz w:val="21"/>
                <w:szCs w:val="21"/>
              </w:rPr>
              <w:t>投标截止时间</w:t>
            </w:r>
            <w:r>
              <w:rPr>
                <w:rFonts w:hint="eastAsia" w:ascii="宋体" w:hAnsi="宋体" w:cs="宋体"/>
                <w:bCs/>
                <w:color w:val="auto"/>
                <w:sz w:val="21"/>
                <w:szCs w:val="21"/>
                <w:lang w:val="zh-CN"/>
              </w:rPr>
              <w:t>前</w:t>
            </w:r>
            <w:r>
              <w:rPr>
                <w:rFonts w:hint="eastAsia" w:ascii="宋体" w:hAnsi="宋体" w:cs="宋体"/>
                <w:bCs/>
                <w:color w:val="auto"/>
                <w:sz w:val="21"/>
                <w:szCs w:val="21"/>
              </w:rPr>
              <w:t>24</w:t>
            </w:r>
            <w:r>
              <w:rPr>
                <w:rFonts w:hint="eastAsia" w:ascii="宋体" w:hAnsi="宋体" w:cs="宋体"/>
                <w:bCs/>
                <w:color w:val="auto"/>
                <w:sz w:val="21"/>
                <w:szCs w:val="21"/>
                <w:lang w:val="zh-CN"/>
              </w:rPr>
              <w:t>个月内以甲方签订合同时间为准）类似项目业绩单个金额满</w:t>
            </w:r>
            <w:r>
              <w:rPr>
                <w:rFonts w:hint="eastAsia" w:ascii="宋体" w:hAnsi="宋体" w:cs="宋体"/>
                <w:bCs/>
                <w:color w:val="auto"/>
                <w:sz w:val="21"/>
                <w:szCs w:val="21"/>
              </w:rPr>
              <w:t>95万元</w:t>
            </w:r>
            <w:r>
              <w:rPr>
                <w:rFonts w:hint="eastAsia" w:ascii="宋体" w:hAnsi="宋体" w:cs="宋体"/>
                <w:bCs/>
                <w:color w:val="auto"/>
                <w:sz w:val="21"/>
                <w:szCs w:val="21"/>
                <w:lang w:val="zh-CN"/>
              </w:rPr>
              <w:t>，每提供一个计</w:t>
            </w:r>
            <w:r>
              <w:rPr>
                <w:rFonts w:hint="eastAsia" w:ascii="宋体" w:hAnsi="宋体" w:cs="宋体"/>
                <w:bCs/>
                <w:color w:val="auto"/>
                <w:sz w:val="21"/>
                <w:szCs w:val="21"/>
              </w:rPr>
              <w:t>2</w:t>
            </w:r>
            <w:r>
              <w:rPr>
                <w:rFonts w:hint="eastAsia" w:ascii="宋体" w:hAnsi="宋体" w:cs="宋体"/>
                <w:bCs/>
                <w:color w:val="auto"/>
                <w:sz w:val="21"/>
                <w:szCs w:val="21"/>
                <w:lang w:val="zh-CN"/>
              </w:rPr>
              <w:t>分，满分为</w:t>
            </w:r>
            <w:r>
              <w:rPr>
                <w:rFonts w:hint="eastAsia" w:ascii="宋体" w:hAnsi="宋体" w:cs="宋体"/>
                <w:bCs/>
                <w:color w:val="auto"/>
                <w:sz w:val="21"/>
                <w:szCs w:val="21"/>
              </w:rPr>
              <w:t>8</w:t>
            </w:r>
            <w:r>
              <w:rPr>
                <w:rFonts w:hint="eastAsia" w:ascii="宋体" w:hAnsi="宋体" w:cs="宋体"/>
                <w:bCs/>
                <w:color w:val="auto"/>
                <w:sz w:val="21"/>
                <w:szCs w:val="21"/>
                <w:lang w:val="zh-CN"/>
              </w:rPr>
              <w:t>分。（提供类似项目业绩证明材料（合同复印件）原件备查）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trPr>
        <w:tc>
          <w:tcPr>
            <w:tcW w:w="534" w:type="dxa"/>
            <w:tcBorders>
              <w:top w:val="single" w:color="auto" w:sz="4" w:space="0"/>
              <w:left w:val="single" w:color="auto" w:sz="4" w:space="0"/>
              <w:right w:val="single" w:color="auto" w:sz="4" w:space="0"/>
            </w:tcBorders>
            <w:vAlign w:val="center"/>
          </w:tcPr>
          <w:p>
            <w:pPr>
              <w:snapToGrid w:val="0"/>
              <w:spacing w:line="360" w:lineRule="exact"/>
              <w:jc w:val="center"/>
              <w:rPr>
                <w:rFonts w:ascii="宋体" w:hAnsi="宋体" w:cs="宋体"/>
                <w:bCs/>
                <w:sz w:val="21"/>
                <w:szCs w:val="21"/>
              </w:rPr>
            </w:pPr>
            <w:r>
              <w:rPr>
                <w:rFonts w:hint="eastAsia" w:ascii="宋体" w:hAnsi="宋体" w:cs="宋体"/>
                <w:bCs/>
                <w:sz w:val="21"/>
                <w:szCs w:val="21"/>
              </w:rPr>
              <w:t>2</w:t>
            </w:r>
          </w:p>
        </w:tc>
        <w:tc>
          <w:tcPr>
            <w:tcW w:w="1417" w:type="dxa"/>
            <w:tcBorders>
              <w:top w:val="single" w:color="auto" w:sz="4" w:space="0"/>
              <w:left w:val="single" w:color="auto" w:sz="4" w:space="0"/>
              <w:right w:val="single" w:color="auto" w:sz="6" w:space="0"/>
            </w:tcBorders>
            <w:vAlign w:val="center"/>
          </w:tcPr>
          <w:p>
            <w:pPr>
              <w:snapToGrid w:val="0"/>
              <w:jc w:val="left"/>
              <w:rPr>
                <w:rFonts w:ascii="宋体" w:hAnsi="宋体" w:cs="宋体"/>
                <w:bCs/>
                <w:sz w:val="21"/>
                <w:szCs w:val="21"/>
                <w:lang w:val="zh-CN"/>
              </w:rPr>
            </w:pPr>
            <w:r>
              <w:rPr>
                <w:rFonts w:hint="eastAsia" w:ascii="宋体" w:hAnsi="宋体" w:cs="宋体"/>
                <w:bCs/>
                <w:sz w:val="21"/>
                <w:szCs w:val="21"/>
                <w:lang w:val="zh-CN"/>
              </w:rPr>
              <w:t>投标人</w:t>
            </w:r>
          </w:p>
          <w:p>
            <w:pPr>
              <w:snapToGrid w:val="0"/>
              <w:jc w:val="left"/>
              <w:rPr>
                <w:rFonts w:ascii="宋体" w:hAnsi="宋体" w:cs="宋体"/>
                <w:bCs/>
                <w:sz w:val="21"/>
                <w:szCs w:val="21"/>
              </w:rPr>
            </w:pPr>
            <w:r>
              <w:rPr>
                <w:rFonts w:hint="eastAsia" w:ascii="宋体" w:hAnsi="宋体" w:cs="宋体"/>
                <w:bCs/>
                <w:sz w:val="21"/>
                <w:szCs w:val="21"/>
                <w:lang w:val="zh-CN"/>
              </w:rPr>
              <w:t>综合实力</w:t>
            </w:r>
          </w:p>
        </w:tc>
        <w:tc>
          <w:tcPr>
            <w:tcW w:w="440" w:type="dxa"/>
            <w:tcBorders>
              <w:top w:val="single" w:color="auto" w:sz="4" w:space="0"/>
              <w:left w:val="single" w:color="auto" w:sz="6" w:space="0"/>
              <w:bottom w:val="single" w:color="auto" w:sz="4" w:space="0"/>
              <w:right w:val="single" w:color="auto" w:sz="4" w:space="0"/>
            </w:tcBorders>
            <w:vAlign w:val="center"/>
          </w:tcPr>
          <w:p>
            <w:pPr>
              <w:jc w:val="center"/>
              <w:rPr>
                <w:rFonts w:ascii="宋体" w:hAnsi="宋体" w:cs="宋体"/>
                <w:bCs/>
                <w:sz w:val="21"/>
                <w:szCs w:val="21"/>
              </w:rPr>
            </w:pPr>
            <w:r>
              <w:rPr>
                <w:rFonts w:hint="eastAsia" w:ascii="宋体" w:hAnsi="宋体" w:cs="宋体"/>
                <w:bCs/>
                <w:sz w:val="21"/>
                <w:szCs w:val="21"/>
              </w:rPr>
              <w:t>16</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bCs/>
                <w:color w:val="auto"/>
                <w:sz w:val="21"/>
                <w:szCs w:val="21"/>
                <w:lang w:val="zh-CN"/>
              </w:rPr>
            </w:pPr>
            <w:r>
              <w:rPr>
                <w:rFonts w:hint="eastAsia" w:ascii="宋体" w:hAnsi="宋体" w:cs="宋体"/>
                <w:bCs/>
                <w:color w:val="auto"/>
                <w:sz w:val="21"/>
                <w:szCs w:val="21"/>
              </w:rPr>
              <w:t>1、</w:t>
            </w:r>
            <w:r>
              <w:rPr>
                <w:rFonts w:hint="eastAsia" w:ascii="宋体" w:hAnsi="宋体" w:cs="宋体"/>
                <w:bCs/>
                <w:color w:val="auto"/>
                <w:sz w:val="21"/>
                <w:szCs w:val="21"/>
                <w:lang w:val="zh-CN"/>
              </w:rPr>
              <w:t>投标人具有燃气灶生产许可证及电热食品加工设备生产许可证得</w:t>
            </w:r>
            <w:r>
              <w:rPr>
                <w:rFonts w:hint="eastAsia" w:ascii="宋体" w:hAnsi="宋体" w:cs="宋体"/>
                <w:bCs/>
                <w:color w:val="auto"/>
                <w:sz w:val="21"/>
                <w:szCs w:val="21"/>
              </w:rPr>
              <w:t>4分，</w:t>
            </w:r>
            <w:r>
              <w:rPr>
                <w:rFonts w:hint="eastAsia" w:ascii="宋体" w:hAnsi="宋体" w:cs="宋体"/>
                <w:bCs/>
                <w:color w:val="auto"/>
                <w:sz w:val="21"/>
                <w:szCs w:val="21"/>
                <w:lang w:val="zh-CN"/>
              </w:rPr>
              <w:t>缺一个扣</w:t>
            </w:r>
            <w:r>
              <w:rPr>
                <w:rFonts w:hint="eastAsia" w:ascii="宋体" w:hAnsi="宋体" w:cs="宋体"/>
                <w:bCs/>
                <w:color w:val="auto"/>
                <w:sz w:val="21"/>
                <w:szCs w:val="21"/>
              </w:rPr>
              <w:t>2</w:t>
            </w:r>
            <w:r>
              <w:rPr>
                <w:rFonts w:hint="eastAsia" w:ascii="宋体" w:hAnsi="宋体" w:cs="宋体"/>
                <w:bCs/>
                <w:color w:val="auto"/>
                <w:sz w:val="21"/>
                <w:szCs w:val="21"/>
                <w:lang w:val="zh-CN"/>
              </w:rPr>
              <w:t>分</w:t>
            </w:r>
            <w:r>
              <w:rPr>
                <w:rFonts w:hint="eastAsia" w:ascii="宋体" w:hAnsi="宋体" w:cs="宋体"/>
                <w:bCs/>
                <w:color w:val="auto"/>
                <w:sz w:val="21"/>
                <w:szCs w:val="21"/>
              </w:rPr>
              <w:t>（提供证书复印件，原件备查）</w:t>
            </w:r>
            <w:r>
              <w:rPr>
                <w:rFonts w:hint="eastAsia" w:ascii="宋体" w:hAnsi="宋体" w:cs="宋体"/>
                <w:bCs/>
                <w:color w:val="auto"/>
                <w:sz w:val="21"/>
                <w:szCs w:val="21"/>
                <w:lang w:val="zh-CN"/>
              </w:rPr>
              <w:t>；</w:t>
            </w:r>
          </w:p>
          <w:p>
            <w:pPr>
              <w:snapToGrid w:val="0"/>
              <w:spacing w:line="360" w:lineRule="auto"/>
              <w:jc w:val="left"/>
              <w:rPr>
                <w:rFonts w:ascii="宋体" w:hAnsi="宋体" w:cs="宋体"/>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lang w:val="zh-CN"/>
              </w:rPr>
              <w:t>投标人获得“中联诚（北京）国际信用评价有限公司和中国企业信用公共服务平台”颁发的“诚信经营示范单位证书</w:t>
            </w:r>
            <w:r>
              <w:rPr>
                <w:rFonts w:hint="eastAsia" w:ascii="宋体" w:hAnsi="宋体" w:cs="宋体"/>
                <w:bCs/>
                <w:color w:val="auto"/>
                <w:sz w:val="21"/>
                <w:szCs w:val="21"/>
              </w:rPr>
              <w:t>AAA证书”、“食品接触产品安全认证证书”、“重合同守信用企业AAA证书”、“企业信用等级AAA证书”、“质量服务诚信单位AAA证书”、“诚信经营示范单位AAA证书”每提供一个得2分，满分10分。（提供证书复印件，原件备查）。</w:t>
            </w:r>
            <w:r>
              <w:rPr>
                <w:rFonts w:hint="eastAsia" w:ascii="宋体" w:hAnsi="宋体" w:cs="宋体"/>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7" w:hRule="atLeast"/>
        </w:trPr>
        <w:tc>
          <w:tcPr>
            <w:tcW w:w="534" w:type="dxa"/>
            <w:tcBorders>
              <w:left w:val="single" w:color="auto" w:sz="4" w:space="0"/>
              <w:right w:val="single" w:color="auto" w:sz="4" w:space="0"/>
            </w:tcBorders>
            <w:vAlign w:val="center"/>
          </w:tcPr>
          <w:p>
            <w:pPr>
              <w:snapToGrid w:val="0"/>
              <w:spacing w:line="360" w:lineRule="auto"/>
              <w:jc w:val="left"/>
              <w:rPr>
                <w:rFonts w:ascii="宋体" w:hAnsi="宋体" w:cs="宋体"/>
                <w:bCs/>
                <w:sz w:val="21"/>
                <w:szCs w:val="21"/>
                <w:lang w:val="zh-CN"/>
              </w:rPr>
            </w:pPr>
            <w:r>
              <w:rPr>
                <w:rFonts w:hint="eastAsia" w:ascii="宋体" w:hAnsi="宋体" w:cs="宋体"/>
                <w:bCs/>
                <w:sz w:val="21"/>
                <w:szCs w:val="21"/>
              </w:rPr>
              <w:t>3</w:t>
            </w:r>
          </w:p>
        </w:tc>
        <w:tc>
          <w:tcPr>
            <w:tcW w:w="1417" w:type="dxa"/>
            <w:tcBorders>
              <w:left w:val="single" w:color="auto" w:sz="4" w:space="0"/>
              <w:right w:val="single" w:color="auto" w:sz="6" w:space="0"/>
            </w:tcBorders>
            <w:vAlign w:val="center"/>
          </w:tcPr>
          <w:p>
            <w:pPr>
              <w:snapToGrid w:val="0"/>
              <w:spacing w:line="360" w:lineRule="auto"/>
              <w:jc w:val="left"/>
              <w:rPr>
                <w:rFonts w:ascii="宋体" w:hAnsi="宋体" w:cs="宋体"/>
                <w:bCs/>
                <w:sz w:val="21"/>
                <w:szCs w:val="21"/>
                <w:lang w:val="zh-CN"/>
              </w:rPr>
            </w:pPr>
            <w:r>
              <w:rPr>
                <w:rFonts w:hint="eastAsia" w:ascii="宋体" w:hAnsi="宋体" w:cs="宋体"/>
                <w:bCs/>
                <w:sz w:val="21"/>
                <w:szCs w:val="21"/>
                <w:lang w:val="zh-CN"/>
              </w:rPr>
              <w:t>售后服务</w:t>
            </w:r>
          </w:p>
          <w:p>
            <w:pPr>
              <w:snapToGrid w:val="0"/>
              <w:spacing w:line="360" w:lineRule="auto"/>
              <w:jc w:val="left"/>
              <w:rPr>
                <w:rFonts w:ascii="宋体" w:hAnsi="宋体" w:cs="宋体"/>
                <w:bCs/>
                <w:sz w:val="21"/>
                <w:szCs w:val="21"/>
                <w:lang w:val="zh-CN"/>
              </w:rPr>
            </w:pPr>
            <w:r>
              <w:rPr>
                <w:rFonts w:hint="eastAsia" w:ascii="宋体" w:hAnsi="宋体" w:cs="宋体"/>
                <w:bCs/>
                <w:sz w:val="21"/>
                <w:szCs w:val="21"/>
                <w:lang w:val="zh-CN"/>
              </w:rPr>
              <w:t>方案</w:t>
            </w:r>
          </w:p>
        </w:tc>
        <w:tc>
          <w:tcPr>
            <w:tcW w:w="440" w:type="dxa"/>
            <w:tcBorders>
              <w:top w:val="single" w:color="auto" w:sz="4" w:space="0"/>
              <w:left w:val="single" w:color="auto" w:sz="6" w:space="0"/>
              <w:bottom w:val="single" w:color="auto" w:sz="4" w:space="0"/>
              <w:right w:val="single" w:color="auto" w:sz="4" w:space="0"/>
            </w:tcBorders>
            <w:vAlign w:val="center"/>
          </w:tcPr>
          <w:p>
            <w:pPr>
              <w:snapToGrid w:val="0"/>
              <w:spacing w:line="360" w:lineRule="auto"/>
              <w:jc w:val="left"/>
              <w:rPr>
                <w:rFonts w:ascii="宋体" w:hAnsi="宋体" w:cs="宋体"/>
                <w:bCs/>
                <w:sz w:val="21"/>
                <w:szCs w:val="21"/>
                <w:lang w:val="zh-CN"/>
              </w:rPr>
            </w:pPr>
            <w:r>
              <w:rPr>
                <w:rFonts w:hint="eastAsia" w:ascii="宋体" w:hAnsi="宋体" w:cs="宋体"/>
                <w:bCs/>
                <w:sz w:val="21"/>
                <w:szCs w:val="21"/>
              </w:rPr>
              <w:t>6</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 w:val="21"/>
                <w:szCs w:val="21"/>
                <w:lang w:val="zh-CN"/>
              </w:rPr>
            </w:pPr>
            <w:r>
              <w:rPr>
                <w:rFonts w:hint="eastAsia" w:ascii="宋体" w:hAnsi="宋体" w:cs="宋体"/>
                <w:sz w:val="21"/>
                <w:szCs w:val="21"/>
                <w:lang w:val="zh-CN"/>
              </w:rPr>
              <w:t>1、评标小组根据投标人提供的售后服务方案：①承诺及措施、</w:t>
            </w:r>
            <w:r>
              <w:rPr>
                <w:rFonts w:hint="eastAsia" w:ascii="宋体" w:hAnsi="宋体" w:cs="宋体"/>
                <w:sz w:val="21"/>
                <w:szCs w:val="21"/>
              </w:rPr>
              <w:t>②</w:t>
            </w:r>
            <w:r>
              <w:rPr>
                <w:rFonts w:hint="eastAsia" w:ascii="宋体" w:hAnsi="宋体" w:cs="宋体"/>
                <w:sz w:val="21"/>
                <w:szCs w:val="21"/>
                <w:lang w:val="zh-CN"/>
              </w:rPr>
              <w:t>服务响应体系</w:t>
            </w:r>
            <w:r>
              <w:rPr>
                <w:rFonts w:hint="eastAsia" w:ascii="宋体" w:hAnsi="宋体" w:cs="宋体"/>
                <w:sz w:val="21"/>
                <w:szCs w:val="21"/>
              </w:rPr>
              <w:t>及实施方案</w:t>
            </w:r>
            <w:r>
              <w:rPr>
                <w:rFonts w:hint="eastAsia" w:ascii="宋体" w:hAnsi="宋体" w:cs="宋体"/>
                <w:sz w:val="21"/>
                <w:szCs w:val="21"/>
                <w:lang w:val="zh-CN"/>
              </w:rPr>
              <w:t>、</w:t>
            </w:r>
            <w:r>
              <w:rPr>
                <w:rFonts w:hint="eastAsia" w:ascii="宋体" w:hAnsi="宋体" w:cs="宋体"/>
                <w:sz w:val="21"/>
                <w:szCs w:val="21"/>
              </w:rPr>
              <w:t>③</w:t>
            </w:r>
            <w:r>
              <w:rPr>
                <w:rFonts w:hint="eastAsia" w:ascii="宋体" w:hAnsi="宋体" w:cs="宋体"/>
                <w:sz w:val="21"/>
                <w:szCs w:val="21"/>
                <w:lang w:val="zh-CN"/>
              </w:rPr>
              <w:t>服务响应时间</w:t>
            </w:r>
            <w:r>
              <w:rPr>
                <w:rFonts w:hint="eastAsia" w:ascii="宋体" w:hAnsi="宋体" w:cs="宋体"/>
                <w:sz w:val="21"/>
                <w:szCs w:val="21"/>
              </w:rPr>
              <w:t>及</w:t>
            </w:r>
            <w:r>
              <w:rPr>
                <w:rFonts w:hint="eastAsia" w:ascii="宋体" w:hAnsi="宋体" w:cs="宋体"/>
                <w:sz w:val="21"/>
                <w:szCs w:val="21"/>
                <w:lang w:val="zh-CN"/>
              </w:rPr>
              <w:t>方式、</w:t>
            </w:r>
            <w:r>
              <w:rPr>
                <w:rFonts w:hint="eastAsia" w:ascii="宋体" w:hAnsi="宋体" w:cs="宋体"/>
                <w:sz w:val="21"/>
                <w:szCs w:val="21"/>
              </w:rPr>
              <w:t>④</w:t>
            </w:r>
            <w:r>
              <w:rPr>
                <w:rFonts w:hint="eastAsia" w:ascii="宋体" w:hAnsi="宋体" w:cs="宋体"/>
                <w:sz w:val="21"/>
                <w:szCs w:val="21"/>
                <w:lang w:val="zh-CN"/>
              </w:rPr>
              <w:t>保修期后的维修方案，认为满足招标文件项目需求，方案完整、合理、符合采购要求的</w:t>
            </w:r>
            <w:r>
              <w:rPr>
                <w:rFonts w:hint="eastAsia" w:ascii="宋体" w:hAnsi="宋体" w:cs="宋体"/>
                <w:sz w:val="21"/>
                <w:szCs w:val="21"/>
              </w:rPr>
              <w:t>每项计0.5分，共</w:t>
            </w:r>
            <w:r>
              <w:rPr>
                <w:rFonts w:hint="eastAsia" w:ascii="宋体" w:hAnsi="宋体" w:cs="宋体"/>
                <w:sz w:val="21"/>
                <w:szCs w:val="21"/>
                <w:lang w:val="zh-CN"/>
              </w:rPr>
              <w:t>计</w:t>
            </w:r>
            <w:r>
              <w:rPr>
                <w:rFonts w:hint="eastAsia" w:ascii="宋体" w:hAnsi="宋体" w:cs="宋体"/>
                <w:sz w:val="21"/>
                <w:szCs w:val="21"/>
              </w:rPr>
              <w:t>2</w:t>
            </w:r>
            <w:r>
              <w:rPr>
                <w:rFonts w:hint="eastAsia" w:ascii="宋体" w:hAnsi="宋体" w:cs="宋体"/>
                <w:sz w:val="21"/>
                <w:szCs w:val="21"/>
                <w:lang w:val="zh-CN"/>
              </w:rPr>
              <w:t>分，每缺少一项或单项内容不完整、欠合理的每项扣0.5分，扣完为止。</w:t>
            </w:r>
          </w:p>
          <w:p>
            <w:pPr>
              <w:snapToGrid w:val="0"/>
              <w:spacing w:line="360" w:lineRule="auto"/>
              <w:jc w:val="left"/>
              <w:rPr>
                <w:rFonts w:ascii="宋体" w:hAnsi="宋体" w:cs="宋体"/>
                <w:sz w:val="21"/>
                <w:szCs w:val="21"/>
                <w:lang w:val="zh-CN"/>
              </w:rPr>
            </w:pPr>
            <w:r>
              <w:rPr>
                <w:rFonts w:hint="eastAsia" w:ascii="宋体" w:hAnsi="宋体" w:cs="宋体"/>
                <w:sz w:val="21"/>
                <w:szCs w:val="21"/>
                <w:lang w:val="zh-CN"/>
              </w:rPr>
              <w:t>2、投标人拟派本项目技术人员具有</w:t>
            </w:r>
            <w:r>
              <w:rPr>
                <w:rFonts w:hint="eastAsia" w:ascii="宋体" w:hAnsi="宋体" w:cs="宋体"/>
                <w:sz w:val="21"/>
                <w:szCs w:val="21"/>
              </w:rPr>
              <w:t>职业技能鉴定中心颁发的</w:t>
            </w:r>
            <w:r>
              <w:rPr>
                <w:rFonts w:hint="eastAsia" w:ascii="宋体" w:hAnsi="宋体" w:cs="宋体"/>
                <w:sz w:val="21"/>
                <w:szCs w:val="21"/>
                <w:lang w:val="zh-CN"/>
              </w:rPr>
              <w:t>燃气</w:t>
            </w:r>
            <w:r>
              <w:rPr>
                <w:rFonts w:hint="eastAsia" w:ascii="宋体" w:hAnsi="宋体" w:cs="宋体"/>
                <w:sz w:val="21"/>
                <w:szCs w:val="21"/>
              </w:rPr>
              <w:t>具</w:t>
            </w:r>
            <w:r>
              <w:rPr>
                <w:rFonts w:hint="eastAsia" w:ascii="宋体" w:hAnsi="宋体" w:cs="宋体"/>
                <w:sz w:val="21"/>
                <w:szCs w:val="21"/>
                <w:lang w:val="zh-CN"/>
              </w:rPr>
              <w:t>安装维修工证书或燃气工程师证书的每提供一个计</w:t>
            </w:r>
            <w:r>
              <w:rPr>
                <w:rFonts w:hint="eastAsia" w:ascii="宋体" w:hAnsi="宋体" w:cs="宋体"/>
                <w:sz w:val="21"/>
                <w:szCs w:val="21"/>
              </w:rPr>
              <w:t>1</w:t>
            </w:r>
            <w:r>
              <w:rPr>
                <w:rFonts w:hint="eastAsia" w:ascii="宋体" w:hAnsi="宋体" w:cs="宋体"/>
                <w:sz w:val="21"/>
                <w:szCs w:val="21"/>
                <w:lang w:val="zh-CN"/>
              </w:rPr>
              <w:t>分，最多计</w:t>
            </w:r>
            <w:r>
              <w:rPr>
                <w:rFonts w:hint="eastAsia" w:ascii="宋体" w:hAnsi="宋体" w:cs="宋体"/>
                <w:sz w:val="21"/>
                <w:szCs w:val="21"/>
              </w:rPr>
              <w:t>2</w:t>
            </w:r>
            <w:r>
              <w:rPr>
                <w:rFonts w:hint="eastAsia" w:ascii="宋体" w:hAnsi="宋体" w:cs="宋体"/>
                <w:sz w:val="21"/>
                <w:szCs w:val="21"/>
                <w:lang w:val="zh-CN"/>
              </w:rPr>
              <w:t>分（需提供技术人员在投标单位缴纳近6个月内任意3个月的社保凭证和技术证书复印件，否则本项不计分）。</w:t>
            </w:r>
          </w:p>
          <w:p>
            <w:pPr>
              <w:snapToGrid w:val="0"/>
              <w:spacing w:line="360" w:lineRule="auto"/>
              <w:rPr>
                <w:rFonts w:ascii="宋体" w:hAnsi="宋体" w:cs="宋体"/>
                <w:sz w:val="21"/>
                <w:szCs w:val="21"/>
              </w:rPr>
            </w:pPr>
            <w:r>
              <w:rPr>
                <w:rFonts w:hint="eastAsia" w:ascii="宋体" w:hAnsi="宋体" w:cs="宋体"/>
                <w:sz w:val="21"/>
                <w:szCs w:val="21"/>
              </w:rPr>
              <w:t>3、售后服务便利性，在广州市南沙设有售后服务机构（附营业执照加盖公章），距离项目所在地最近的得2分 、其次得1分，无不得分。</w:t>
            </w:r>
          </w:p>
          <w:p>
            <w:pPr>
              <w:snapToGrid w:val="0"/>
              <w:spacing w:line="360" w:lineRule="auto"/>
              <w:rPr>
                <w:rFonts w:ascii="宋体" w:hAnsi="宋体" w:cs="宋体"/>
                <w:sz w:val="21"/>
                <w:szCs w:val="21"/>
              </w:rPr>
            </w:pPr>
            <w:r>
              <w:rPr>
                <w:rFonts w:hint="eastAsia" w:ascii="宋体" w:hAnsi="宋体" w:cs="宋体"/>
                <w:sz w:val="21"/>
                <w:szCs w:val="21"/>
              </w:rPr>
              <w:t>4、产品质保期为2年，满足要求得2分，不满足不得分。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951" w:type="dxa"/>
            <w:gridSpan w:val="2"/>
            <w:tcBorders>
              <w:left w:val="single" w:color="auto" w:sz="4" w:space="0"/>
              <w:bottom w:val="single" w:color="auto" w:sz="4" w:space="0"/>
              <w:right w:val="single" w:color="auto" w:sz="4" w:space="0"/>
            </w:tcBorders>
            <w:vAlign w:val="center"/>
          </w:tcPr>
          <w:p>
            <w:pPr>
              <w:snapToGrid w:val="0"/>
              <w:jc w:val="center"/>
              <w:rPr>
                <w:rFonts w:ascii="宋体" w:hAnsi="宋体" w:cs="宋体"/>
                <w:bCs/>
                <w:sz w:val="21"/>
                <w:szCs w:val="21"/>
              </w:rPr>
            </w:pPr>
            <w:r>
              <w:rPr>
                <w:rFonts w:hint="eastAsia" w:ascii="宋体" w:hAnsi="宋体" w:cs="宋体"/>
                <w:bCs/>
                <w:sz w:val="21"/>
                <w:szCs w:val="21"/>
              </w:rPr>
              <w:t>商务得分合计</w:t>
            </w:r>
          </w:p>
        </w:tc>
        <w:tc>
          <w:tcPr>
            <w:tcW w:w="440" w:type="dxa"/>
            <w:tcBorders>
              <w:left w:val="single" w:color="auto" w:sz="4" w:space="0"/>
              <w:bottom w:val="single" w:color="auto" w:sz="4" w:space="0"/>
              <w:right w:val="single" w:color="auto" w:sz="4" w:space="0"/>
            </w:tcBorders>
            <w:vAlign w:val="center"/>
          </w:tcPr>
          <w:p>
            <w:pPr>
              <w:snapToGrid w:val="0"/>
              <w:jc w:val="center"/>
              <w:rPr>
                <w:rFonts w:ascii="宋体" w:hAnsi="宋体" w:cs="宋体"/>
                <w:bCs/>
                <w:sz w:val="21"/>
                <w:szCs w:val="21"/>
              </w:rPr>
            </w:pPr>
            <w:r>
              <w:rPr>
                <w:rFonts w:hint="eastAsia" w:ascii="宋体" w:hAnsi="宋体" w:cs="宋体"/>
                <w:bCs/>
                <w:sz w:val="21"/>
                <w:szCs w:val="21"/>
              </w:rPr>
              <w:t>30</w:t>
            </w:r>
          </w:p>
        </w:tc>
        <w:tc>
          <w:tcPr>
            <w:tcW w:w="7032"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bCs/>
                <w:sz w:val="21"/>
                <w:szCs w:val="21"/>
              </w:rPr>
            </w:pPr>
          </w:p>
        </w:tc>
      </w:tr>
    </w:tbl>
    <w:p>
      <w:pPr>
        <w:rPr>
          <w:szCs w:val="28"/>
        </w:rPr>
      </w:pPr>
    </w:p>
    <w:p>
      <w:pPr>
        <w:tabs>
          <w:tab w:val="left" w:pos="560"/>
        </w:tabs>
        <w:spacing w:line="360" w:lineRule="auto"/>
        <w:ind w:left="638" w:hanging="638" w:hangingChars="266"/>
        <w:jc w:val="left"/>
        <w:rPr>
          <w:rFonts w:ascii="宋体"/>
          <w:sz w:val="24"/>
          <w:szCs w:val="24"/>
        </w:rPr>
      </w:pPr>
      <w:r>
        <w:rPr>
          <w:rFonts w:hint="eastAsia" w:ascii="宋体"/>
          <w:sz w:val="24"/>
          <w:szCs w:val="24"/>
        </w:rPr>
        <w:t>备注：1.采购文件要求提交的与评价指标体系相关的各类有效资料，供应商如未按要求提交的，该项评分为零分；</w:t>
      </w:r>
    </w:p>
    <w:p>
      <w:pPr>
        <w:tabs>
          <w:tab w:val="left" w:pos="560"/>
        </w:tabs>
        <w:snapToGrid w:val="0"/>
        <w:spacing w:line="360" w:lineRule="auto"/>
        <w:ind w:left="560" w:leftChars="200"/>
        <w:jc w:val="left"/>
        <w:rPr>
          <w:rFonts w:ascii="宋体"/>
          <w:sz w:val="21"/>
          <w:szCs w:val="21"/>
        </w:rPr>
      </w:pPr>
      <w:r>
        <w:rPr>
          <w:rFonts w:hint="eastAsia" w:ascii="宋体"/>
          <w:sz w:val="24"/>
          <w:szCs w:val="24"/>
        </w:rPr>
        <w:t>2.商务评分：将每个评委的评分汇总，各评委评分的算术平均值，即为该投标人的最终商务得分。（四舍五入后，小数点后保留两位有效数）</w:t>
      </w:r>
      <w:r>
        <w:rPr>
          <w:rFonts w:hint="eastAsia" w:ascii="宋体"/>
          <w:sz w:val="21"/>
          <w:szCs w:val="21"/>
        </w:rPr>
        <w:t>。</w:t>
      </w:r>
    </w:p>
    <w:p>
      <w:pPr>
        <w:rPr>
          <w:rFonts w:ascii="宋体" w:hAnsi="宋体"/>
          <w:b/>
          <w:sz w:val="24"/>
        </w:rPr>
      </w:pPr>
      <w:r>
        <w:rPr>
          <w:rFonts w:hint="eastAsia" w:ascii="宋体"/>
          <w:sz w:val="21"/>
          <w:szCs w:val="21"/>
        </w:rPr>
        <w:br w:type="page"/>
      </w:r>
      <w:r>
        <w:rPr>
          <w:rFonts w:hint="eastAsia" w:ascii="宋体" w:hAnsi="宋体"/>
          <w:b/>
          <w:sz w:val="24"/>
        </w:rPr>
        <w:t xml:space="preserve">附件4                         </w:t>
      </w:r>
    </w:p>
    <w:p>
      <w:pPr>
        <w:jc w:val="center"/>
        <w:rPr>
          <w:rFonts w:ascii="宋体" w:hAnsi="宋体"/>
        </w:rPr>
      </w:pPr>
      <w:r>
        <w:rPr>
          <w:rFonts w:hint="eastAsia" w:ascii="宋体" w:hAnsi="宋体"/>
          <w:b/>
          <w:sz w:val="24"/>
        </w:rPr>
        <w:t>价格响应性评审表</w:t>
      </w:r>
    </w:p>
    <w:p>
      <w:pPr>
        <w:spacing w:line="360" w:lineRule="auto"/>
        <w:rPr>
          <w:rFonts w:ascii="宋体" w:hAnsi="宋体"/>
          <w:bCs/>
          <w:sz w:val="24"/>
        </w:rPr>
      </w:pPr>
      <w:r>
        <w:rPr>
          <w:rFonts w:hint="eastAsia" w:ascii="宋体" w:hAnsi="宋体"/>
          <w:bCs/>
          <w:sz w:val="24"/>
        </w:rPr>
        <w:t>　　　　　　　　　　　　　　　　　　　　　　</w:t>
      </w:r>
    </w:p>
    <w:tbl>
      <w:tblPr>
        <w:tblStyle w:val="18"/>
        <w:tblW w:w="92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68"/>
        <w:gridCol w:w="1892"/>
        <w:gridCol w:w="2486"/>
        <w:gridCol w:w="32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1568"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有效投标人</w:t>
            </w:r>
          </w:p>
          <w:p>
            <w:pPr>
              <w:widowControl/>
              <w:spacing w:line="360" w:lineRule="auto"/>
              <w:jc w:val="center"/>
              <w:rPr>
                <w:rFonts w:ascii="宋体" w:hAnsi="宋体" w:cs="宋体"/>
                <w:sz w:val="21"/>
                <w:szCs w:val="21"/>
              </w:rPr>
            </w:pPr>
            <w:r>
              <w:rPr>
                <w:rFonts w:hint="eastAsia" w:ascii="宋体" w:hAnsi="宋体" w:cs="宋体"/>
                <w:sz w:val="21"/>
                <w:szCs w:val="21"/>
              </w:rPr>
              <w:t>序号及简称</w:t>
            </w:r>
          </w:p>
        </w:tc>
        <w:tc>
          <w:tcPr>
            <w:tcW w:w="437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评审分项</w:t>
            </w:r>
          </w:p>
        </w:tc>
        <w:tc>
          <w:tcPr>
            <w:tcW w:w="3273"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ascii="宋体" w:hAnsi="宋体" w:cs="宋体"/>
                <w:sz w:val="21"/>
                <w:szCs w:val="21"/>
              </w:rPr>
            </w:pPr>
            <w:r>
              <w:rPr>
                <w:rFonts w:hint="eastAsia" w:ascii="宋体" w:hAnsi="宋体" w:cs="宋体"/>
                <w:sz w:val="21"/>
                <w:szCs w:val="21"/>
              </w:rPr>
              <w:t>价格得分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7" w:hRule="atLeast"/>
          <w:jc w:val="center"/>
        </w:trPr>
        <w:tc>
          <w:tcPr>
            <w:tcW w:w="1568" w:type="dxa"/>
            <w:vMerge w:val="continue"/>
            <w:tcBorders>
              <w:left w:val="single" w:color="auto" w:sz="4" w:space="0"/>
              <w:right w:val="single" w:color="auto" w:sz="4" w:space="0"/>
            </w:tcBorders>
            <w:vAlign w:val="center"/>
          </w:tcPr>
          <w:p>
            <w:pPr>
              <w:widowControl/>
              <w:spacing w:line="360" w:lineRule="auto"/>
              <w:jc w:val="left"/>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r>
              <w:rPr>
                <w:rFonts w:hint="eastAsia" w:ascii="宋体" w:hAnsi="宋体" w:cs="宋体"/>
                <w:sz w:val="21"/>
                <w:szCs w:val="21"/>
              </w:rPr>
              <w:t>投标报价</w:t>
            </w: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r>
              <w:rPr>
                <w:rFonts w:hint="eastAsia" w:ascii="宋体" w:hAnsi="宋体" w:cs="宋体"/>
                <w:sz w:val="21"/>
                <w:szCs w:val="21"/>
              </w:rPr>
              <w:t>评标基准价</w:t>
            </w:r>
          </w:p>
        </w:tc>
        <w:tc>
          <w:tcPr>
            <w:tcW w:w="3273"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1"/>
                <w:szCs w:val="21"/>
              </w:rPr>
            </w:pPr>
          </w:p>
        </w:tc>
        <w:tc>
          <w:tcPr>
            <w:tcW w:w="18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2486"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c>
          <w:tcPr>
            <w:tcW w:w="3273"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left="-42" w:right="-61"/>
              <w:jc w:val="center"/>
              <w:rPr>
                <w:rFonts w:ascii="宋体" w:hAnsi="宋体" w:cs="宋体"/>
                <w:sz w:val="21"/>
                <w:szCs w:val="21"/>
              </w:rPr>
            </w:pPr>
          </w:p>
        </w:tc>
      </w:tr>
    </w:tbl>
    <w:p>
      <w:pPr>
        <w:spacing w:line="440" w:lineRule="exact"/>
        <w:ind w:left="1" w:firstLine="523" w:firstLineChars="218"/>
        <w:rPr>
          <w:rFonts w:ascii="宋体" w:hAnsi="宋体"/>
          <w:bCs/>
          <w:sz w:val="24"/>
        </w:rPr>
      </w:pPr>
    </w:p>
    <w:p>
      <w:pPr>
        <w:widowControl/>
        <w:spacing w:line="360" w:lineRule="auto"/>
        <w:jc w:val="left"/>
        <w:rPr>
          <w:rFonts w:ascii="宋体" w:hAnsi="宋体" w:cs="宋体"/>
          <w:sz w:val="21"/>
          <w:szCs w:val="21"/>
        </w:rPr>
      </w:pPr>
      <w:r>
        <w:rPr>
          <w:rFonts w:hint="eastAsia" w:ascii="宋体" w:hAnsi="宋体" w:cs="宋体"/>
          <w:sz w:val="21"/>
          <w:szCs w:val="21"/>
        </w:rPr>
        <w:t>注：1、价格核准；评标委员会详细分析、核准价格表，检查其是否存在计算上或累加上算术错误，修正错误的原则详见采购相关条款。</w:t>
      </w:r>
    </w:p>
    <w:p>
      <w:pPr>
        <w:spacing w:line="440" w:lineRule="exact"/>
        <w:ind w:left="1" w:firstLine="457" w:firstLineChars="218"/>
        <w:rPr>
          <w:rFonts w:ascii="宋体" w:hAnsi="宋体" w:cs="宋体"/>
          <w:sz w:val="20"/>
        </w:rPr>
      </w:pPr>
      <w:r>
        <w:rPr>
          <w:rFonts w:hint="eastAsia" w:ascii="宋体" w:hAnsi="宋体" w:cs="宋体"/>
          <w:sz w:val="21"/>
          <w:szCs w:val="21"/>
        </w:rPr>
        <w:t>2、以所有供应商有效投标价的最低价为评标基准价，基准价得满分30分，每高于基准价2.0%的扣1分。</w:t>
      </w:r>
    </w:p>
    <w:p>
      <w:pPr>
        <w:spacing w:line="440" w:lineRule="exact"/>
        <w:ind w:left="-2"/>
      </w:pPr>
    </w:p>
    <w:p>
      <w:pPr>
        <w:spacing w:line="440" w:lineRule="exact"/>
        <w:ind w:left="960" w:leftChars="343"/>
        <w:rPr>
          <w:rFonts w:ascii="宋体" w:hAnsi="宋体" w:cs="宋体"/>
          <w:sz w:val="21"/>
          <w:szCs w:val="21"/>
        </w:rPr>
      </w:pPr>
      <w:r>
        <w:rPr>
          <w:rFonts w:hint="eastAsia" w:ascii="宋体" w:hAnsi="宋体" w:cs="宋体"/>
          <w:sz w:val="21"/>
          <w:szCs w:val="21"/>
        </w:rPr>
        <w:t>评委签名：</w:t>
      </w:r>
    </w:p>
    <w:p>
      <w:pPr>
        <w:spacing w:line="440" w:lineRule="exact"/>
        <w:ind w:left="960" w:leftChars="343"/>
        <w:rPr>
          <w:rFonts w:ascii="宋体" w:hAnsi="宋体" w:cs="宋体"/>
          <w:sz w:val="21"/>
          <w:szCs w:val="21"/>
        </w:rPr>
      </w:pPr>
    </w:p>
    <w:p>
      <w:pPr>
        <w:spacing w:line="440" w:lineRule="exact"/>
        <w:ind w:firstLine="5670" w:firstLineChars="2700"/>
        <w:rPr>
          <w:rFonts w:ascii="宋体" w:hAnsi="宋体" w:cs="宋体"/>
          <w:sz w:val="21"/>
          <w:szCs w:val="21"/>
        </w:rPr>
      </w:pPr>
      <w:r>
        <w:rPr>
          <w:rFonts w:hint="eastAsia" w:ascii="宋体" w:hAnsi="宋体" w:cs="宋体"/>
          <w:sz w:val="21"/>
          <w:szCs w:val="21"/>
        </w:rPr>
        <w:t>日期：     年   月   日</w:t>
      </w:r>
    </w:p>
    <w:p>
      <w:pPr>
        <w:rPr>
          <w:rFonts w:ascii="宋体" w:hAnsi="宋体" w:cs="宋体"/>
          <w:sz w:val="21"/>
          <w:szCs w:val="21"/>
        </w:rPr>
      </w:pPr>
    </w:p>
    <w:p/>
    <w:p/>
    <w:sectPr>
      <w:pgSz w:w="11906" w:h="16838"/>
      <w:pgMar w:top="567" w:right="1134" w:bottom="289" w:left="1588" w:header="56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font-weight : 400">
    <w:altName w:val="Times New Roman"/>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page" w:x="1581" w:y="34"/>
      <w:rPr>
        <w:rStyle w:val="21"/>
      </w:rPr>
    </w:pPr>
    <w:r>
      <w:rPr>
        <w:rFonts w:hint="eastAsia" w:ascii="宋体" w:hAnsi="宋体"/>
      </w:rPr>
      <w:t xml:space="preserve">黄埔区2017年度老旧小区微改造项目改造实施方案                                                     </w:t>
    </w:r>
    <w:r>
      <w:fldChar w:fldCharType="begin"/>
    </w:r>
    <w:r>
      <w:rPr>
        <w:rStyle w:val="21"/>
      </w:rPr>
      <w:instrText xml:space="preserve">PAGE  </w:instrText>
    </w:r>
    <w:r>
      <w:fldChar w:fldCharType="separate"/>
    </w:r>
    <w:r>
      <w:rPr>
        <w:rStyle w:val="21"/>
      </w:rPr>
      <w:t>22</w:t>
    </w:r>
    <w:r>
      <w:fldChar w:fldCharType="end"/>
    </w:r>
  </w:p>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270" w:firstLineChars="150"/>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GjeyTLAQAAl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rORyoO/PURsIXeWUCeouRjOK3ObdystxL9+znr8n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ho3skywEAAJcDAAAOAAAAAAAAAAEAIAAAACIBAABkcnMv&#10;ZTJvRG9jLnhtbFBLBQYAAAAABgAGAFkBAABfBQAAAAA=&#10;">
              <v:fill on="f" focussize="0,0"/>
              <v:stroke on="f" weight="1.2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rPr>
      <w:t>项目编号：GX17513124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pPr>
  </w:p>
  <w:p>
    <w:pPr>
      <w:pStyle w:val="12"/>
      <w:pBdr>
        <w:bottom w:val="none" w:color="auto" w:sz="0" w:space="0"/>
      </w:pBdr>
      <w:jc w:val="both"/>
    </w:pPr>
  </w:p>
  <w:p>
    <w:pPr>
      <w:pStyle w:val="12"/>
      <w:pBdr>
        <w:bottom w:val="none" w:color="auto" w:sz="0" w:space="0"/>
      </w:pBdr>
      <w:jc w:val="both"/>
    </w:pPr>
  </w:p>
  <w:p>
    <w:pPr>
      <w:pStyle w:val="1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8F98C"/>
    <w:multiLevelType w:val="singleLevel"/>
    <w:tmpl w:val="9218F98C"/>
    <w:lvl w:ilvl="0" w:tentative="0">
      <w:start w:val="4"/>
      <w:numFmt w:val="decimal"/>
      <w:suff w:val="nothing"/>
      <w:lvlText w:val="%1、"/>
      <w:lvlJc w:val="left"/>
    </w:lvl>
  </w:abstractNum>
  <w:abstractNum w:abstractNumId="1">
    <w:nsid w:val="F49C965F"/>
    <w:multiLevelType w:val="singleLevel"/>
    <w:tmpl w:val="F49C965F"/>
    <w:lvl w:ilvl="0" w:tentative="0">
      <w:start w:val="1"/>
      <w:numFmt w:val="decimal"/>
      <w:suff w:val="nothing"/>
      <w:lvlText w:val="%1、"/>
      <w:lvlJc w:val="left"/>
    </w:lvl>
  </w:abstractNum>
  <w:abstractNum w:abstractNumId="2">
    <w:nsid w:val="0000000F"/>
    <w:multiLevelType w:val="multilevel"/>
    <w:tmpl w:val="0000000F"/>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3">
    <w:nsid w:val="00000012"/>
    <w:multiLevelType w:val="multilevel"/>
    <w:tmpl w:val="00000012"/>
    <w:lvl w:ilvl="0" w:tentative="0">
      <w:start w:val="1"/>
      <w:numFmt w:val="decimalEnclosedCircle"/>
      <w:suff w:val="space"/>
      <w:lvlText w:val="%1"/>
      <w:lvlJc w:val="left"/>
      <w:pPr>
        <w:ind w:left="1634" w:hanging="794"/>
      </w:pPr>
      <w:rPr>
        <w:rFonts w:ascii="宋体" w:hAnsi="宋体" w:eastAsia="宋体" w:cs="Times New Roman"/>
      </w:rPr>
    </w:lvl>
    <w:lvl w:ilvl="1" w:tentative="0">
      <w:start w:val="1"/>
      <w:numFmt w:val="lowerLetter"/>
      <w:lvlText w:val="%2)"/>
      <w:lvlJc w:val="left"/>
      <w:pPr>
        <w:tabs>
          <w:tab w:val="left" w:pos="1680"/>
        </w:tabs>
        <w:ind w:left="1680" w:hanging="420"/>
      </w:pPr>
      <w:rPr>
        <w:rFonts w:hint="eastAsia"/>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abstractNum w:abstractNumId="4">
    <w:nsid w:val="00000013"/>
    <w:multiLevelType w:val="multilevel"/>
    <w:tmpl w:val="0000001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6"/>
    <w:multiLevelType w:val="multilevel"/>
    <w:tmpl w:val="00000016"/>
    <w:lvl w:ilvl="0" w:tentative="0">
      <w:start w:val="1"/>
      <w:numFmt w:val="upp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6">
    <w:nsid w:val="00000018"/>
    <w:multiLevelType w:val="multilevel"/>
    <w:tmpl w:val="00000018"/>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7">
    <w:nsid w:val="0000001D"/>
    <w:multiLevelType w:val="multilevel"/>
    <w:tmpl w:val="0000001D"/>
    <w:lvl w:ilvl="0" w:tentative="0">
      <w:start w:val="1"/>
      <w:numFmt w:val="decimal"/>
      <w:suff w:val="space"/>
      <w:lvlText w:val="（%1）"/>
      <w:lvlJc w:val="left"/>
      <w:pPr>
        <w:ind w:left="1080" w:hanging="840"/>
      </w:pPr>
      <w:rPr>
        <w:rFonts w:hint="eastAsia" w:ascii="宋体" w:hAnsi="宋体" w:eastAsia="宋体" w:cs="Times New Roman"/>
      </w:rPr>
    </w:lvl>
    <w:lvl w:ilvl="1" w:tentative="0">
      <w:start w:val="1"/>
      <w:numFmt w:val="decimal"/>
      <w:lvlText w:val="%2."/>
      <w:lvlJc w:val="left"/>
      <w:pPr>
        <w:tabs>
          <w:tab w:val="left" w:pos="1440"/>
        </w:tabs>
        <w:ind w:left="1440" w:hanging="360"/>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8">
    <w:nsid w:val="00000021"/>
    <w:multiLevelType w:val="multilevel"/>
    <w:tmpl w:val="00000021"/>
    <w:lvl w:ilvl="0" w:tentative="0">
      <w:start w:val="1"/>
      <w:numFmt w:val="japaneseCounting"/>
      <w:lvlText w:val="%1、"/>
      <w:lvlJc w:val="left"/>
      <w:pPr>
        <w:tabs>
          <w:tab w:val="left" w:pos="1905"/>
        </w:tabs>
        <w:ind w:left="1905" w:hanging="855"/>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3"/>
    <w:multiLevelType w:val="multilevel"/>
    <w:tmpl w:val="00000023"/>
    <w:lvl w:ilvl="0" w:tentative="0">
      <w:start w:val="1"/>
      <w:numFmt w:val="bullet"/>
      <w:lvlText w:val=""/>
      <w:lvlJc w:val="left"/>
      <w:pPr>
        <w:tabs>
          <w:tab w:val="left" w:pos="1440"/>
        </w:tabs>
        <w:ind w:left="1440" w:hanging="720"/>
      </w:pPr>
      <w:rPr>
        <w:rFonts w:hint="default" w:ascii="Wingdings" w:hAnsi="Wingdings"/>
      </w:r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10">
    <w:nsid w:val="00000027"/>
    <w:multiLevelType w:val="multilevel"/>
    <w:tmpl w:val="00000027"/>
    <w:lvl w:ilvl="0" w:tentative="0">
      <w:start w:val="12"/>
      <w:numFmt w:val="decimal"/>
      <w:lvlText w:val="（%1）"/>
      <w:lvlJc w:val="left"/>
      <w:pPr>
        <w:tabs>
          <w:tab w:val="left" w:pos="845"/>
        </w:tabs>
        <w:ind w:left="845" w:hanging="420"/>
      </w:pPr>
      <w:rPr>
        <w:rFonts w:hint="eastAsia"/>
      </w:rPr>
    </w:lvl>
    <w:lvl w:ilvl="1" w:tentative="0">
      <w:start w:val="1"/>
      <w:numFmt w:val="chineseCountingThousand"/>
      <w:suff w:val="space"/>
      <w:lvlText w:val="(%2)"/>
      <w:lvlJc w:val="left"/>
      <w:pPr>
        <w:ind w:left="1981" w:hanging="720"/>
      </w:pPr>
      <w:rPr>
        <w:rFonts w:hint="eastAsia"/>
        <w:b/>
        <w:i w:val="0"/>
      </w:rPr>
    </w:lvl>
    <w:lvl w:ilvl="2" w:tentative="0">
      <w:start w:val="1"/>
      <w:numFmt w:val="decimal"/>
      <w:suff w:val="space"/>
      <w:lvlText w:val="%3、"/>
      <w:lvlJc w:val="left"/>
      <w:pPr>
        <w:ind w:left="780" w:hanging="360"/>
      </w:pPr>
      <w:rPr>
        <w:rFonts w:hint="eastAsia" w:ascii="宋体" w:hAnsi="宋体" w:eastAsia="宋体" w:cs="Times New Roman"/>
      </w:rPr>
    </w:lvl>
    <w:lvl w:ilvl="3" w:tentative="0">
      <w:start w:val="1"/>
      <w:numFmt w:val="decimal"/>
      <w:lvlText w:val="%4."/>
      <w:lvlJc w:val="left"/>
      <w:pPr>
        <w:tabs>
          <w:tab w:val="left" w:pos="2521"/>
        </w:tabs>
        <w:ind w:left="2521" w:hanging="420"/>
      </w:pPr>
      <w:rPr>
        <w:rFonts w:hint="eastAsia"/>
      </w:rPr>
    </w:lvl>
    <w:lvl w:ilvl="4" w:tentative="0">
      <w:start w:val="1"/>
      <w:numFmt w:val="lowerLetter"/>
      <w:lvlText w:val="%5)"/>
      <w:lvlJc w:val="left"/>
      <w:pPr>
        <w:tabs>
          <w:tab w:val="left" w:pos="2941"/>
        </w:tabs>
        <w:ind w:left="2941" w:hanging="420"/>
      </w:pPr>
      <w:rPr>
        <w:rFonts w:hint="eastAsia"/>
      </w:rPr>
    </w:lvl>
    <w:lvl w:ilvl="5" w:tentative="0">
      <w:start w:val="1"/>
      <w:numFmt w:val="lowerRoman"/>
      <w:lvlText w:val="%6."/>
      <w:lvlJc w:val="right"/>
      <w:pPr>
        <w:tabs>
          <w:tab w:val="left" w:pos="3361"/>
        </w:tabs>
        <w:ind w:left="3361" w:hanging="420"/>
      </w:pPr>
      <w:rPr>
        <w:rFonts w:hint="eastAsia"/>
      </w:rPr>
    </w:lvl>
    <w:lvl w:ilvl="6" w:tentative="0">
      <w:start w:val="1"/>
      <w:numFmt w:val="decimal"/>
      <w:lvlText w:val="%7."/>
      <w:lvlJc w:val="left"/>
      <w:pPr>
        <w:tabs>
          <w:tab w:val="left" w:pos="3781"/>
        </w:tabs>
        <w:ind w:left="3781" w:hanging="420"/>
      </w:pPr>
      <w:rPr>
        <w:rFonts w:hint="eastAsia"/>
      </w:rPr>
    </w:lvl>
    <w:lvl w:ilvl="7" w:tentative="0">
      <w:start w:val="1"/>
      <w:numFmt w:val="lowerLetter"/>
      <w:lvlText w:val="%8)"/>
      <w:lvlJc w:val="left"/>
      <w:pPr>
        <w:tabs>
          <w:tab w:val="left" w:pos="4201"/>
        </w:tabs>
        <w:ind w:left="4201" w:hanging="420"/>
      </w:pPr>
      <w:rPr>
        <w:rFonts w:hint="eastAsia"/>
      </w:rPr>
    </w:lvl>
    <w:lvl w:ilvl="8" w:tentative="0">
      <w:start w:val="1"/>
      <w:numFmt w:val="lowerRoman"/>
      <w:lvlText w:val="%9."/>
      <w:lvlJc w:val="right"/>
      <w:pPr>
        <w:tabs>
          <w:tab w:val="left" w:pos="4621"/>
        </w:tabs>
        <w:ind w:left="4621" w:hanging="420"/>
      </w:pPr>
      <w:rPr>
        <w:rFonts w:hint="eastAsia"/>
      </w:rPr>
    </w:lvl>
  </w:abstractNum>
  <w:abstractNum w:abstractNumId="11">
    <w:nsid w:val="129474E6"/>
    <w:multiLevelType w:val="singleLevel"/>
    <w:tmpl w:val="129474E6"/>
    <w:lvl w:ilvl="0" w:tentative="0">
      <w:start w:val="1"/>
      <w:numFmt w:val="decimal"/>
      <w:suff w:val="nothing"/>
      <w:lvlText w:val="%1、"/>
      <w:lvlJc w:val="left"/>
    </w:lvl>
  </w:abstractNum>
  <w:abstractNum w:abstractNumId="12">
    <w:nsid w:val="2D23426E"/>
    <w:multiLevelType w:val="multilevel"/>
    <w:tmpl w:val="2D23426E"/>
    <w:lvl w:ilvl="0" w:tentative="0">
      <w:start w:val="1"/>
      <w:numFmt w:val="decimal"/>
      <w:suff w:val="nothing"/>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3">
    <w:nsid w:val="2E4BCF02"/>
    <w:multiLevelType w:val="singleLevel"/>
    <w:tmpl w:val="2E4BCF02"/>
    <w:lvl w:ilvl="0" w:tentative="0">
      <w:start w:val="1"/>
      <w:numFmt w:val="decimal"/>
      <w:suff w:val="nothing"/>
      <w:lvlText w:val="%1、"/>
      <w:lvlJc w:val="left"/>
    </w:lvl>
  </w:abstractNum>
  <w:abstractNum w:abstractNumId="14">
    <w:nsid w:val="36D724EB"/>
    <w:multiLevelType w:val="multilevel"/>
    <w:tmpl w:val="36D724EB"/>
    <w:lvl w:ilvl="0" w:tentative="0">
      <w:start w:val="1"/>
      <w:numFmt w:val="decimal"/>
      <w:suff w:val="nothing"/>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5">
    <w:nsid w:val="57936100"/>
    <w:multiLevelType w:val="singleLevel"/>
    <w:tmpl w:val="57936100"/>
    <w:lvl w:ilvl="0" w:tentative="0">
      <w:start w:val="1"/>
      <w:numFmt w:val="decimal"/>
      <w:suff w:val="nothing"/>
      <w:lvlText w:val="%1、"/>
      <w:lvlJc w:val="left"/>
    </w:lvl>
  </w:abstractNum>
  <w:abstractNum w:abstractNumId="16">
    <w:nsid w:val="59DDFFAA"/>
    <w:multiLevelType w:val="singleLevel"/>
    <w:tmpl w:val="59DDFFAA"/>
    <w:lvl w:ilvl="0" w:tentative="0">
      <w:start w:val="1"/>
      <w:numFmt w:val="decimal"/>
      <w:suff w:val="nothing"/>
      <w:lvlText w:val="（%1）"/>
      <w:lvlJc w:val="left"/>
    </w:lvl>
  </w:abstractNum>
  <w:abstractNum w:abstractNumId="17">
    <w:nsid w:val="59EC7344"/>
    <w:multiLevelType w:val="multilevel"/>
    <w:tmpl w:val="59EC7344"/>
    <w:lvl w:ilvl="0" w:tentative="0">
      <w:start w:val="1"/>
      <w:numFmt w:val="decimal"/>
      <w:suff w:val="nothing"/>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8">
    <w:nsid w:val="727E1B3B"/>
    <w:multiLevelType w:val="multilevel"/>
    <w:tmpl w:val="727E1B3B"/>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CE61B8F"/>
    <w:multiLevelType w:val="singleLevel"/>
    <w:tmpl w:val="7CE61B8F"/>
    <w:lvl w:ilvl="0" w:tentative="0">
      <w:start w:val="9"/>
      <w:numFmt w:val="chineseCounting"/>
      <w:suff w:val="space"/>
      <w:lvlText w:val="第%1条"/>
      <w:lvlJc w:val="left"/>
      <w:rPr>
        <w:rFonts w:hint="eastAsia"/>
      </w:rPr>
    </w:lvl>
  </w:abstractNum>
  <w:abstractNum w:abstractNumId="20">
    <w:nsid w:val="7D9E5906"/>
    <w:multiLevelType w:val="singleLevel"/>
    <w:tmpl w:val="7D9E5906"/>
    <w:lvl w:ilvl="0" w:tentative="0">
      <w:start w:val="1"/>
      <w:numFmt w:val="decimal"/>
      <w:suff w:val="nothing"/>
      <w:lvlText w:val="%1、"/>
      <w:lvlJc w:val="left"/>
    </w:lvl>
  </w:abstractNum>
  <w:num w:numId="1">
    <w:abstractNumId w:val="8"/>
  </w:num>
  <w:num w:numId="2">
    <w:abstractNumId w:val="1"/>
  </w:num>
  <w:num w:numId="3">
    <w:abstractNumId w:val="0"/>
  </w:num>
  <w:num w:numId="4">
    <w:abstractNumId w:val="18"/>
  </w:num>
  <w:num w:numId="5">
    <w:abstractNumId w:val="10"/>
  </w:num>
  <w:num w:numId="6">
    <w:abstractNumId w:val="15"/>
  </w:num>
  <w:num w:numId="7">
    <w:abstractNumId w:val="9"/>
  </w:num>
  <w:num w:numId="8">
    <w:abstractNumId w:val="6"/>
  </w:num>
  <w:num w:numId="9">
    <w:abstractNumId w:val="2"/>
  </w:num>
  <w:num w:numId="10">
    <w:abstractNumId w:val="3"/>
  </w:num>
  <w:num w:numId="11">
    <w:abstractNumId w:val="5"/>
  </w:num>
  <w:num w:numId="12">
    <w:abstractNumId w:val="7"/>
  </w:num>
  <w:num w:numId="13">
    <w:abstractNumId w:val="11"/>
  </w:num>
  <w:num w:numId="14">
    <w:abstractNumId w:val="20"/>
  </w:num>
  <w:num w:numId="15">
    <w:abstractNumId w:val="13"/>
  </w:num>
  <w:num w:numId="16">
    <w:abstractNumId w:val="19"/>
  </w:num>
  <w:num w:numId="17">
    <w:abstractNumId w:val="17"/>
  </w:num>
  <w:num w:numId="18">
    <w:abstractNumId w:val="14"/>
  </w:num>
  <w:num w:numId="19">
    <w:abstractNumId w:val="12"/>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NmNkNjE5YTdkNDZlOWU1ZGJmZGE0ZWY4NTY4ZTQifQ=="/>
  </w:docVars>
  <w:rsids>
    <w:rsidRoot w:val="3F113C6B"/>
    <w:rsid w:val="00064B71"/>
    <w:rsid w:val="00184F2E"/>
    <w:rsid w:val="001E1698"/>
    <w:rsid w:val="001F01ED"/>
    <w:rsid w:val="00260799"/>
    <w:rsid w:val="00274D1E"/>
    <w:rsid w:val="00334ABE"/>
    <w:rsid w:val="003A1812"/>
    <w:rsid w:val="0042583F"/>
    <w:rsid w:val="0043242A"/>
    <w:rsid w:val="004F0665"/>
    <w:rsid w:val="0050394A"/>
    <w:rsid w:val="00565040"/>
    <w:rsid w:val="00582406"/>
    <w:rsid w:val="005A0847"/>
    <w:rsid w:val="00642B71"/>
    <w:rsid w:val="00661237"/>
    <w:rsid w:val="00687020"/>
    <w:rsid w:val="00693F9B"/>
    <w:rsid w:val="006C356E"/>
    <w:rsid w:val="006F699D"/>
    <w:rsid w:val="0070491C"/>
    <w:rsid w:val="0076520A"/>
    <w:rsid w:val="007658F0"/>
    <w:rsid w:val="00826741"/>
    <w:rsid w:val="008C2FA5"/>
    <w:rsid w:val="008E464D"/>
    <w:rsid w:val="00935345"/>
    <w:rsid w:val="009407AC"/>
    <w:rsid w:val="00972D14"/>
    <w:rsid w:val="00A60346"/>
    <w:rsid w:val="00AA10F0"/>
    <w:rsid w:val="00AC4C15"/>
    <w:rsid w:val="00AD55F9"/>
    <w:rsid w:val="00B00F5C"/>
    <w:rsid w:val="00B162B1"/>
    <w:rsid w:val="00B643D5"/>
    <w:rsid w:val="00B9340A"/>
    <w:rsid w:val="00C22288"/>
    <w:rsid w:val="00C622B9"/>
    <w:rsid w:val="00C6563A"/>
    <w:rsid w:val="00C7191C"/>
    <w:rsid w:val="00CB43B1"/>
    <w:rsid w:val="00CD2671"/>
    <w:rsid w:val="00D35D82"/>
    <w:rsid w:val="00DE634E"/>
    <w:rsid w:val="00E5037D"/>
    <w:rsid w:val="00EB2132"/>
    <w:rsid w:val="00EC1863"/>
    <w:rsid w:val="00FD5121"/>
    <w:rsid w:val="021D5714"/>
    <w:rsid w:val="038E5743"/>
    <w:rsid w:val="04B0790D"/>
    <w:rsid w:val="05933A65"/>
    <w:rsid w:val="063356E0"/>
    <w:rsid w:val="077A57DA"/>
    <w:rsid w:val="077D0913"/>
    <w:rsid w:val="08A92ADB"/>
    <w:rsid w:val="0A782BEC"/>
    <w:rsid w:val="0D7C480A"/>
    <w:rsid w:val="0DA66FB1"/>
    <w:rsid w:val="0EE26493"/>
    <w:rsid w:val="0F2D6E81"/>
    <w:rsid w:val="11095B6B"/>
    <w:rsid w:val="12A85049"/>
    <w:rsid w:val="1382293A"/>
    <w:rsid w:val="15C3029E"/>
    <w:rsid w:val="16443A6F"/>
    <w:rsid w:val="17815B42"/>
    <w:rsid w:val="19874432"/>
    <w:rsid w:val="199A25F6"/>
    <w:rsid w:val="19C9154C"/>
    <w:rsid w:val="19E740E9"/>
    <w:rsid w:val="1AE55437"/>
    <w:rsid w:val="1D6A7746"/>
    <w:rsid w:val="1D812537"/>
    <w:rsid w:val="1E99361A"/>
    <w:rsid w:val="1FAA0446"/>
    <w:rsid w:val="21463479"/>
    <w:rsid w:val="21877746"/>
    <w:rsid w:val="2288155B"/>
    <w:rsid w:val="23CC1651"/>
    <w:rsid w:val="26305D92"/>
    <w:rsid w:val="27D06199"/>
    <w:rsid w:val="28C56319"/>
    <w:rsid w:val="29A103D9"/>
    <w:rsid w:val="2A2C2DA1"/>
    <w:rsid w:val="2D072EFD"/>
    <w:rsid w:val="2D41716A"/>
    <w:rsid w:val="2D481797"/>
    <w:rsid w:val="2DC25921"/>
    <w:rsid w:val="2E194795"/>
    <w:rsid w:val="2EA80461"/>
    <w:rsid w:val="2F1A6075"/>
    <w:rsid w:val="30226E93"/>
    <w:rsid w:val="302F0233"/>
    <w:rsid w:val="32AE661A"/>
    <w:rsid w:val="32E26CC5"/>
    <w:rsid w:val="35681774"/>
    <w:rsid w:val="35A42022"/>
    <w:rsid w:val="35B013E8"/>
    <w:rsid w:val="37DF3574"/>
    <w:rsid w:val="37EA43F2"/>
    <w:rsid w:val="388211BE"/>
    <w:rsid w:val="3A0255FE"/>
    <w:rsid w:val="3A5B67B0"/>
    <w:rsid w:val="3AA541B4"/>
    <w:rsid w:val="3AB208E1"/>
    <w:rsid w:val="3C7652B5"/>
    <w:rsid w:val="3D525250"/>
    <w:rsid w:val="3EC268EC"/>
    <w:rsid w:val="3F113C6B"/>
    <w:rsid w:val="3FC6289B"/>
    <w:rsid w:val="40034147"/>
    <w:rsid w:val="401A325B"/>
    <w:rsid w:val="41050F5C"/>
    <w:rsid w:val="4A163B16"/>
    <w:rsid w:val="4AE65A80"/>
    <w:rsid w:val="4C186197"/>
    <w:rsid w:val="4CB25C3D"/>
    <w:rsid w:val="4CE14050"/>
    <w:rsid w:val="4ECE3B89"/>
    <w:rsid w:val="4F3F758A"/>
    <w:rsid w:val="526851D4"/>
    <w:rsid w:val="52EC5C11"/>
    <w:rsid w:val="54ED6E78"/>
    <w:rsid w:val="562D5CFA"/>
    <w:rsid w:val="567D76E7"/>
    <w:rsid w:val="576158FB"/>
    <w:rsid w:val="57F40B39"/>
    <w:rsid w:val="589C6A11"/>
    <w:rsid w:val="5A9D56D7"/>
    <w:rsid w:val="5C537E25"/>
    <w:rsid w:val="5CB84E70"/>
    <w:rsid w:val="5E0C2E92"/>
    <w:rsid w:val="5E3E0745"/>
    <w:rsid w:val="5E591D7A"/>
    <w:rsid w:val="5E6D7F2C"/>
    <w:rsid w:val="601F3318"/>
    <w:rsid w:val="64930EFE"/>
    <w:rsid w:val="65537CA4"/>
    <w:rsid w:val="66D44D3E"/>
    <w:rsid w:val="67040966"/>
    <w:rsid w:val="67A839C8"/>
    <w:rsid w:val="68322066"/>
    <w:rsid w:val="6C6F1CD1"/>
    <w:rsid w:val="6F75246D"/>
    <w:rsid w:val="6FBE67A5"/>
    <w:rsid w:val="701E2184"/>
    <w:rsid w:val="70312AB1"/>
    <w:rsid w:val="705341E0"/>
    <w:rsid w:val="752B15CB"/>
    <w:rsid w:val="76224972"/>
    <w:rsid w:val="766D0A01"/>
    <w:rsid w:val="771C3E67"/>
    <w:rsid w:val="7772528F"/>
    <w:rsid w:val="79CF4373"/>
    <w:rsid w:val="7CA5685E"/>
    <w:rsid w:val="7D1B5EDE"/>
    <w:rsid w:val="7DC45D95"/>
    <w:rsid w:val="7E150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8"/>
      <w:lang w:val="en-US" w:eastAsia="zh-CN" w:bidi="ar-SA"/>
    </w:rPr>
  </w:style>
  <w:style w:type="paragraph" w:styleId="3">
    <w:name w:val="heading 1"/>
    <w:basedOn w:val="1"/>
    <w:next w:val="1"/>
    <w:qFormat/>
    <w:uiPriority w:val="0"/>
    <w:pPr>
      <w:keepNext/>
      <w:spacing w:line="360" w:lineRule="auto"/>
      <w:ind w:right="-441" w:rightChars="-210"/>
      <w:jc w:val="center"/>
      <w:outlineLvl w:val="0"/>
    </w:pPr>
    <w:rPr>
      <w:rFonts w:ascii="宋体" w:hAnsi="宋体"/>
      <w:b/>
      <w:bCs/>
      <w:sz w:val="48"/>
    </w:rPr>
  </w:style>
  <w:style w:type="paragraph" w:styleId="4">
    <w:name w:val="heading 2"/>
    <w:basedOn w:val="1"/>
    <w:next w:val="1"/>
    <w:qFormat/>
    <w:uiPriority w:val="0"/>
    <w:pPr>
      <w:keepNext/>
      <w:keepLines/>
      <w:adjustRightInd w:val="0"/>
      <w:spacing w:before="62" w:beforeLines="20" w:after="62" w:afterLines="20" w:line="360" w:lineRule="auto"/>
      <w:textAlignment w:val="baseline"/>
      <w:outlineLvl w:val="1"/>
    </w:pPr>
    <w:rPr>
      <w:rFonts w:ascii="宋体" w:hAnsi="宋体"/>
      <w:b/>
      <w:sz w:val="30"/>
    </w:rPr>
  </w:style>
  <w:style w:type="paragraph" w:styleId="5">
    <w:name w:val="heading 3"/>
    <w:basedOn w:val="1"/>
    <w:next w:val="1"/>
    <w:qFormat/>
    <w:uiPriority w:val="0"/>
    <w:pPr>
      <w:keepNext/>
      <w:keepLines/>
      <w:adjustRightInd w:val="0"/>
      <w:spacing w:before="40" w:after="40" w:line="360" w:lineRule="auto"/>
      <w:textAlignment w:val="baseline"/>
      <w:outlineLvl w:val="2"/>
    </w:pPr>
    <w:rPr>
      <w:rFonts w:ascii="宋体" w:hAnsi="宋体"/>
      <w:b/>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line="480" w:lineRule="atLeast"/>
    </w:pPr>
    <w:rPr>
      <w:rFonts w:ascii="楷体_GB2312" w:eastAsia="楷体_GB2312"/>
      <w:b/>
      <w:kern w:val="2"/>
      <w:sz w:val="30"/>
    </w:rPr>
  </w:style>
  <w:style w:type="paragraph" w:styleId="6">
    <w:name w:val="caption"/>
    <w:basedOn w:val="1"/>
    <w:next w:val="1"/>
    <w:qFormat/>
    <w:uiPriority w:val="0"/>
    <w:rPr>
      <w:rFonts w:ascii="等线 Light" w:hAnsi="等线 Light" w:eastAsia="黑体"/>
      <w:sz w:val="20"/>
    </w:rPr>
  </w:style>
  <w:style w:type="paragraph" w:styleId="7">
    <w:name w:val="toa heading"/>
    <w:basedOn w:val="1"/>
    <w:next w:val="1"/>
    <w:semiHidden/>
    <w:qFormat/>
    <w:uiPriority w:val="99"/>
    <w:pPr>
      <w:spacing w:before="120"/>
    </w:pPr>
    <w:rPr>
      <w:rFonts w:ascii="Cambria" w:hAnsi="Cambria" w:cs="Cambria"/>
      <w:sz w:val="24"/>
      <w:szCs w:val="24"/>
    </w:rPr>
  </w:style>
  <w:style w:type="paragraph" w:styleId="8">
    <w:name w:val="Body Text Indent"/>
    <w:basedOn w:val="1"/>
    <w:qFormat/>
    <w:uiPriority w:val="0"/>
    <w:pPr>
      <w:ind w:firstLine="360"/>
    </w:pPr>
    <w:rPr>
      <w:rFonts w:ascii="Arial" w:hAnsi="Arial"/>
    </w:rPr>
  </w:style>
  <w:style w:type="paragraph" w:styleId="9">
    <w:name w:val="Plain Text"/>
    <w:basedOn w:val="1"/>
    <w:next w:val="1"/>
    <w:qFormat/>
    <w:uiPriority w:val="0"/>
    <w:rPr>
      <w:rFonts w:ascii="宋体" w:hAnsi="Courier New"/>
      <w:kern w:val="2"/>
      <w:sz w:val="21"/>
    </w:rPr>
  </w:style>
  <w:style w:type="paragraph" w:styleId="10">
    <w:name w:val="Balloon Text"/>
    <w:basedOn w:val="1"/>
    <w:link w:val="37"/>
    <w:qFormat/>
    <w:uiPriority w:val="0"/>
    <w:rPr>
      <w:sz w:val="18"/>
      <w:szCs w:val="18"/>
    </w:rPr>
  </w:style>
  <w:style w:type="paragraph" w:styleId="11">
    <w:name w:val="footer"/>
    <w:basedOn w:val="1"/>
    <w:qFormat/>
    <w:uiPriority w:val="0"/>
    <w:pPr>
      <w:tabs>
        <w:tab w:val="center" w:pos="4153"/>
        <w:tab w:val="right" w:pos="8306"/>
      </w:tabs>
      <w:adjustRightInd w:val="0"/>
      <w:spacing w:line="240" w:lineRule="atLeast"/>
      <w:jc w:val="left"/>
      <w:textAlignment w:val="baseline"/>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13">
    <w:name w:val="toc 1"/>
    <w:basedOn w:val="1"/>
    <w:next w:val="1"/>
    <w:qFormat/>
    <w:uiPriority w:val="39"/>
    <w:pPr>
      <w:spacing w:before="120" w:after="120"/>
      <w:jc w:val="left"/>
    </w:pPr>
    <w:rPr>
      <w:b/>
      <w:bCs/>
      <w:caps/>
      <w:sz w:val="20"/>
    </w:rPr>
  </w:style>
  <w:style w:type="paragraph" w:styleId="14">
    <w:name w:val="index heading"/>
    <w:basedOn w:val="1"/>
    <w:next w:val="15"/>
    <w:semiHidden/>
    <w:qFormat/>
    <w:uiPriority w:val="0"/>
  </w:style>
  <w:style w:type="paragraph" w:styleId="15">
    <w:name w:val="index 1"/>
    <w:basedOn w:val="1"/>
    <w:next w:val="1"/>
    <w:semiHidden/>
    <w:qFormat/>
    <w:uiPriority w:val="0"/>
    <w:pPr>
      <w:tabs>
        <w:tab w:val="left" w:pos="7740"/>
      </w:tabs>
      <w:jc w:val="center"/>
    </w:pPr>
    <w:rPr>
      <w:rFonts w:ascii="仿宋" w:hAnsi="仿宋" w:eastAsia="仿宋"/>
      <w:b/>
      <w:szCs w:val="28"/>
    </w:rPr>
  </w:style>
  <w:style w:type="paragraph" w:styleId="16">
    <w:name w:val="Body Text 2"/>
    <w:basedOn w:val="1"/>
    <w:qFormat/>
    <w:uiPriority w:val="0"/>
    <w:rPr>
      <w:sz w:val="18"/>
    </w:rPr>
  </w:style>
  <w:style w:type="paragraph" w:styleId="17">
    <w:name w:val="Body Text First Indent 2"/>
    <w:basedOn w:val="8"/>
    <w:qFormat/>
    <w:uiPriority w:val="0"/>
    <w:pPr>
      <w:ind w:firstLine="420" w:firstLineChars="200"/>
    </w:pPr>
  </w:style>
  <w:style w:type="character" w:styleId="20">
    <w:name w:val="Strong"/>
    <w:qFormat/>
    <w:uiPriority w:val="22"/>
    <w:rPr>
      <w:b/>
      <w:bCs/>
    </w:rPr>
  </w:style>
  <w:style w:type="character" w:styleId="21">
    <w:name w:val="page number"/>
    <w:qFormat/>
    <w:uiPriority w:val="0"/>
  </w:style>
  <w:style w:type="character" w:styleId="22">
    <w:name w:val="Hyperlink"/>
    <w:qFormat/>
    <w:uiPriority w:val="99"/>
    <w:rPr>
      <w:rFonts w:ascii="宋体" w:hAnsi="宋体"/>
      <w:b/>
      <w:color w:val="000000"/>
      <w:sz w:val="28"/>
      <w:szCs w:val="28"/>
      <w:u w:val="none"/>
    </w:rPr>
  </w:style>
  <w:style w:type="paragraph" w:customStyle="1" w:styleId="23">
    <w:name w:val="列出段落1"/>
    <w:basedOn w:val="1"/>
    <w:qFormat/>
    <w:uiPriority w:val="0"/>
    <w:pPr>
      <w:widowControl/>
      <w:ind w:firstLine="420" w:firstLineChars="200"/>
      <w:jc w:val="left"/>
    </w:pPr>
    <w:rPr>
      <w:rFonts w:ascii="Cambria" w:hAnsi="Cambria" w:eastAsia="微软雅黑"/>
      <w:color w:val="595959"/>
      <w:kern w:val="20"/>
      <w:lang w:val="zh-CN"/>
    </w:rPr>
  </w:style>
  <w:style w:type="character" w:customStyle="1" w:styleId="24">
    <w:name w:val="p141"/>
    <w:qFormat/>
    <w:uiPriority w:val="0"/>
    <w:rPr>
      <w:sz w:val="21"/>
      <w:szCs w:val="21"/>
    </w:rPr>
  </w:style>
  <w:style w:type="paragraph" w:customStyle="1" w:styleId="2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6">
    <w:name w:val="xl29"/>
    <w:basedOn w:val="1"/>
    <w:qFormat/>
    <w:uiPriority w:val="0"/>
    <w:pPr>
      <w:widowControl/>
      <w:spacing w:before="100" w:beforeAutospacing="1" w:after="100" w:afterAutospacing="1"/>
      <w:jc w:val="center"/>
    </w:pPr>
    <w:rPr>
      <w:rFonts w:ascii="宋体" w:hAnsi="宋体"/>
      <w:szCs w:val="28"/>
    </w:rPr>
  </w:style>
  <w:style w:type="paragraph" w:customStyle="1" w:styleId="27">
    <w:name w:val="正文_2"/>
    <w:basedOn w:val="28"/>
    <w:qFormat/>
    <w:uiPriority w:val="0"/>
    <w:pPr>
      <w:widowControl w:val="0"/>
      <w:jc w:val="both"/>
    </w:pPr>
    <w:rPr>
      <w:kern w:val="2"/>
      <w:szCs w:val="21"/>
    </w:rPr>
  </w:style>
  <w:style w:type="paragraph" w:customStyle="1" w:styleId="28">
    <w:name w:val="正文_3"/>
    <w:qFormat/>
    <w:uiPriority w:val="0"/>
    <w:rPr>
      <w:rFonts w:ascii="Times New Roman" w:hAnsi="Times New Roman" w:eastAsia="宋体" w:cs="Times New Roman"/>
      <w:sz w:val="21"/>
      <w:szCs w:val="22"/>
      <w:lang w:val="en-US" w:eastAsia="zh-CN" w:bidi="ar-SA"/>
    </w:rPr>
  </w:style>
  <w:style w:type="paragraph" w:customStyle="1" w:styleId="29">
    <w:name w:val="_Style 4"/>
    <w:basedOn w:val="1"/>
    <w:qFormat/>
    <w:uiPriority w:val="34"/>
    <w:pPr>
      <w:ind w:firstLine="420" w:firstLineChars="200"/>
    </w:pPr>
  </w:style>
  <w:style w:type="paragraph" w:customStyle="1" w:styleId="30">
    <w:name w:val="样式 小四 段前: 5 磅 段后: 5 磅 首行缩进:  2 字符"/>
    <w:basedOn w:val="1"/>
    <w:qFormat/>
    <w:uiPriority w:val="0"/>
    <w:pPr>
      <w:spacing w:line="360" w:lineRule="auto"/>
    </w:pPr>
    <w:rPr>
      <w:rFonts w:ascii="宋体" w:hAnsi="宋体"/>
      <w:color w:val="000000"/>
      <w:sz w:val="24"/>
    </w:rPr>
  </w:style>
  <w:style w:type="paragraph" w:customStyle="1" w:styleId="31">
    <w:name w:val="图"/>
    <w:basedOn w:val="1"/>
    <w:qFormat/>
    <w:uiPriority w:val="0"/>
    <w:pPr>
      <w:keepNext/>
      <w:adjustRightInd w:val="0"/>
      <w:spacing w:before="60" w:after="60" w:line="300" w:lineRule="auto"/>
      <w:jc w:val="center"/>
      <w:textAlignment w:val="center"/>
    </w:pPr>
    <w:rPr>
      <w:snapToGrid w:val="0"/>
      <w:spacing w:val="20"/>
      <w:sz w:val="24"/>
    </w:rPr>
  </w:style>
  <w:style w:type="paragraph" w:customStyle="1" w:styleId="32">
    <w:name w:val="题注5"/>
    <w:basedOn w:val="1"/>
    <w:next w:val="6"/>
    <w:qFormat/>
    <w:uiPriority w:val="0"/>
    <w:pPr>
      <w:jc w:val="center"/>
    </w:pPr>
    <w:rPr>
      <w:b/>
      <w:color w:val="000000"/>
      <w:sz w:val="24"/>
      <w:szCs w:val="21"/>
    </w:rPr>
  </w:style>
  <w:style w:type="character" w:customStyle="1" w:styleId="33">
    <w:name w:val="font31"/>
    <w:basedOn w:val="19"/>
    <w:qFormat/>
    <w:uiPriority w:val="0"/>
    <w:rPr>
      <w:rFonts w:hint="eastAsia" w:ascii="宋体" w:hAnsi="宋体" w:eastAsia="宋体" w:cs="宋体"/>
      <w:color w:val="000000"/>
      <w:sz w:val="20"/>
      <w:szCs w:val="20"/>
      <w:u w:val="single"/>
    </w:rPr>
  </w:style>
  <w:style w:type="character" w:customStyle="1" w:styleId="34">
    <w:name w:val="font01"/>
    <w:basedOn w:val="19"/>
    <w:qFormat/>
    <w:uiPriority w:val="0"/>
    <w:rPr>
      <w:rFonts w:hint="eastAsia" w:ascii="宋体" w:hAnsi="宋体" w:eastAsia="宋体" w:cs="宋体"/>
      <w:color w:val="000000"/>
      <w:sz w:val="20"/>
      <w:szCs w:val="20"/>
      <w:u w:val="none"/>
    </w:rPr>
  </w:style>
  <w:style w:type="character" w:customStyle="1" w:styleId="35">
    <w:name w:val="font41"/>
    <w:basedOn w:val="19"/>
    <w:qFormat/>
    <w:uiPriority w:val="0"/>
    <w:rPr>
      <w:rFonts w:ascii="font-weight : 400" w:hAnsi="font-weight : 400" w:eastAsia="font-weight : 400" w:cs="font-weight : 400"/>
      <w:color w:val="000000"/>
      <w:sz w:val="20"/>
      <w:szCs w:val="20"/>
      <w:u w:val="none"/>
    </w:rPr>
  </w:style>
  <w:style w:type="character" w:customStyle="1" w:styleId="36">
    <w:name w:val="font21"/>
    <w:basedOn w:val="19"/>
    <w:qFormat/>
    <w:uiPriority w:val="0"/>
    <w:rPr>
      <w:rFonts w:ascii="Calibri" w:hAnsi="Calibri" w:cs="Calibri"/>
      <w:color w:val="000000"/>
      <w:sz w:val="20"/>
      <w:szCs w:val="20"/>
      <w:u w:val="none"/>
    </w:rPr>
  </w:style>
  <w:style w:type="character" w:customStyle="1" w:styleId="37">
    <w:name w:val="批注框文本 Char"/>
    <w:basedOn w:val="19"/>
    <w:link w:val="10"/>
    <w:qFormat/>
    <w:uiPriority w:val="0"/>
    <w:rPr>
      <w:sz w:val="18"/>
      <w:szCs w:val="18"/>
    </w:rPr>
  </w:style>
  <w:style w:type="paragraph" w:styleId="3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潮州市饶平县机关及下属单位</Company>
  <Pages>61</Pages>
  <Words>26568</Words>
  <Characters>28661</Characters>
  <Lines>243</Lines>
  <Paragraphs>68</Paragraphs>
  <TotalTime>148</TotalTime>
  <ScaleCrop>false</ScaleCrop>
  <LinksUpToDate>false</LinksUpToDate>
  <CharactersWithSpaces>31528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2022-05-08T06:21:00Z</dcterms:created>
  <dc:creator>Administrator</dc:creator>
  <cp:lastModifiedBy>admin</cp:lastModifiedBy>
  <cp:lastPrinted>2022-05-24T06:16:00Z</cp:lastPrinted>
  <dcterms:modified xsi:type="dcterms:W3CDTF">2022-05-24T07:59:56Z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5E4A274E73AE45018F285599556489E6</vt:lpwstr>
  </property>
  <property fmtid="{D5CDD505-2E9C-101B-9397-08002B2CF9AE}" pid="4" name="commondata">
    <vt:lpwstr>eyJoZGlkIjoiYWFjMWI1YmE3MmUyYWJiZGJhNjM2ZDczNDk0YjkwNTIifQ==</vt:lpwstr>
  </property>
</Properties>
</file>