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eastAsia="zh-CN"/>
        </w:rPr>
        <w:t>南沙中心市场改善民生工程施工总承包</w:t>
      </w:r>
    </w:p>
    <w:p>
      <w:pPr>
        <w:rPr>
          <w:rFonts w:ascii="宋体" w:hAnsi="宋体" w:eastAsia="宋体" w:cs="宋体"/>
          <w:color w:val="auto"/>
          <w:sz w:val="72"/>
          <w:szCs w:val="72"/>
          <w:highlight w:val="none"/>
        </w:rPr>
      </w:pP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广州南沙经发投资有限公司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期：2022年</w:t>
      </w:r>
      <w:r>
        <w:rPr>
          <w:rFonts w:hint="eastAsia" w:ascii="宋体" w:hAnsi="宋体" w:eastAsia="宋体" w:cs="宋体"/>
          <w:b/>
          <w:color w:val="auto"/>
          <w:sz w:val="32"/>
          <w:szCs w:val="32"/>
          <w:highlight w:val="none"/>
          <w:lang w:val="en-US" w:eastAsia="zh-CN"/>
        </w:rPr>
        <w:t>7月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"_Toc12170"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附件1：符合性审查表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_Toc12170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39</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"_Toc18783"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附件2综合评分表（100分）</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_Toc18783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39</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4"/>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5"/>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南沙中心市场改善民生工程施工总承包</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w:t>
            </w:r>
          </w:p>
          <w:p>
            <w:pPr>
              <w:pStyle w:val="14"/>
              <w:widowControl/>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广州市南沙区</w:t>
            </w:r>
            <w:r>
              <w:rPr>
                <w:rFonts w:hint="eastAsia" w:ascii="宋体" w:hAnsi="宋体" w:eastAsia="宋体" w:cs="宋体"/>
                <w:color w:val="auto"/>
                <w:sz w:val="21"/>
                <w:szCs w:val="21"/>
                <w:highlight w:val="none"/>
                <w:u w:val="none"/>
              </w:rPr>
              <w:t>海景路45号</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cs="宋体"/>
                <w:color w:val="auto"/>
                <w:highlight w:val="none"/>
                <w:u w:val="none"/>
                <w:lang w:eastAsia="zh-CN"/>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rPr>
              <w:t>南沙中心市场肉菜市场装修改造，面积约4000㎡,</w:t>
            </w:r>
            <w:r>
              <w:rPr>
                <w:rFonts w:hint="eastAsia" w:ascii="宋体" w:hAnsi="宋体" w:eastAsia="宋体" w:cs="宋体"/>
                <w:color w:val="auto"/>
                <w:sz w:val="21"/>
                <w:szCs w:val="21"/>
                <w:highlight w:val="none"/>
                <w:u w:val="none"/>
                <w:shd w:val="clear"/>
              </w:rPr>
              <w:t>主要实施内容包括：（1）翻新市场档口及铺位，实现干湿分区，改善经营硬件设施；（2）改善市场内道路，解决路面积水问题，提升消费购物体验；（3）改善中庭条件；（4）水电线路及照明提升。</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bCs w:val="0"/>
                <w:color w:val="auto"/>
                <w:sz w:val="21"/>
                <w:szCs w:val="21"/>
                <w:highlight w:val="none"/>
                <w:u w:val="none"/>
                <w:lang w:eastAsia="zh-CN"/>
              </w:rPr>
              <w:t>固定综合单价包干，工程量按实结算，绿色施工安全防护措施费总价包干</w:t>
            </w:r>
            <w:r>
              <w:rPr>
                <w:rFonts w:hint="eastAsia" w:ascii="宋体" w:hAnsi="宋体" w:eastAsia="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eastAsia="宋体" w:cs="宋体"/>
                <w:color w:val="auto"/>
                <w:sz w:val="21"/>
                <w:szCs w:val="21"/>
                <w:highlight w:val="none"/>
                <w:u w:val="none"/>
              </w:rPr>
              <w:t>398.77万元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sz w:val="21"/>
                <w:szCs w:val="21"/>
                <w:highlight w:val="none"/>
                <w:u w:val="none"/>
              </w:rPr>
              <w:t>本项目对原广州市南沙区旧镇中心市场室内进行装修改造，主要包括：装修工程、电气工程和给排水工程。其中装修工程包含砌筑工程、楼地面装饰工程、墙、柱面装饰与隔断等;电气工程包含动力系统、照明系统和弱电系统等;给排水工程包含给水和排水系统等</w:t>
            </w:r>
            <w:r>
              <w:rPr>
                <w:rFonts w:hint="eastAsia" w:ascii="宋体" w:hAnsi="宋体" w:eastAsia="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2022年9月30日前完工。</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i w:val="0"/>
                <w:iCs w:val="0"/>
                <w:caps w:val="0"/>
                <w:color w:val="auto"/>
                <w:spacing w:val="0"/>
                <w:sz w:val="21"/>
                <w:szCs w:val="21"/>
                <w:highlight w:val="none"/>
                <w:u w:val="none"/>
                <w:shd w:val="clear"/>
                <w:lang w:eastAsia="zh-CN"/>
              </w:rPr>
              <w:t>具有</w:t>
            </w:r>
            <w:r>
              <w:rPr>
                <w:rFonts w:hint="eastAsia" w:ascii="宋体" w:hAnsi="宋体" w:eastAsia="宋体" w:cs="宋体"/>
                <w:i w:val="0"/>
                <w:iCs w:val="0"/>
                <w:caps w:val="0"/>
                <w:color w:val="auto"/>
                <w:spacing w:val="0"/>
                <w:sz w:val="21"/>
                <w:szCs w:val="21"/>
                <w:highlight w:val="none"/>
                <w:u w:val="none"/>
                <w:shd w:val="clear"/>
              </w:rPr>
              <w:fldChar w:fldCharType="begin"/>
            </w:r>
            <w:r>
              <w:rPr>
                <w:rFonts w:hint="eastAsia" w:ascii="宋体" w:hAnsi="宋体" w:eastAsia="宋体" w:cs="宋体"/>
                <w:i w:val="0"/>
                <w:iCs w:val="0"/>
                <w:caps w:val="0"/>
                <w:color w:val="auto"/>
                <w:spacing w:val="0"/>
                <w:sz w:val="21"/>
                <w:szCs w:val="21"/>
                <w:highlight w:val="none"/>
                <w:u w:val="none"/>
                <w:shd w:val="clear"/>
              </w:rPr>
              <w:instrText xml:space="preserve"> HYPERLINK "https://baike.baidu.com/item/%E5%BB%BA%E7%AD%91%E8%A3%85%E9%A5%B0%E8%A3%85%E4%BF%AE" \t "https://baike.baidu.com/item/%E5%BB%BA%E7%AD%91%E8%A3%85%E9%A5%B0%E8%A3%85%E4%BF%AE%E5%B7%A5%E7%A8%8B%E4%B8%93%E4%B8%9A%E6%89%BF%E5%8C%85%E4%BC%81%E4%B8%9A%E8%B5%84%E8%B4%A8%E7%AD%89%E7%BA%A7%E6%A0%87%E5%87%86/_blank" </w:instrText>
            </w:r>
            <w:r>
              <w:rPr>
                <w:rFonts w:hint="eastAsia" w:ascii="宋体" w:hAnsi="宋体" w:eastAsia="宋体" w:cs="宋体"/>
                <w:i w:val="0"/>
                <w:iCs w:val="0"/>
                <w:caps w:val="0"/>
                <w:color w:val="auto"/>
                <w:spacing w:val="0"/>
                <w:sz w:val="21"/>
                <w:szCs w:val="21"/>
                <w:highlight w:val="none"/>
                <w:u w:val="none"/>
                <w:shd w:val="clear"/>
              </w:rPr>
              <w:fldChar w:fldCharType="separate"/>
            </w:r>
            <w:r>
              <w:rPr>
                <w:rFonts w:hint="eastAsia" w:ascii="宋体" w:hAnsi="宋体" w:eastAsia="宋体" w:cs="宋体"/>
                <w:i w:val="0"/>
                <w:iCs w:val="0"/>
                <w:caps w:val="0"/>
                <w:color w:val="auto"/>
                <w:spacing w:val="0"/>
                <w:sz w:val="21"/>
                <w:szCs w:val="21"/>
                <w:highlight w:val="none"/>
                <w:u w:val="none"/>
                <w:shd w:val="clear"/>
              </w:rPr>
              <w:t>建筑装饰装修</w:t>
            </w:r>
            <w:r>
              <w:rPr>
                <w:rFonts w:hint="eastAsia" w:ascii="宋体" w:hAnsi="宋体" w:eastAsia="宋体" w:cs="宋体"/>
                <w:i w:val="0"/>
                <w:iCs w:val="0"/>
                <w:caps w:val="0"/>
                <w:color w:val="auto"/>
                <w:spacing w:val="0"/>
                <w:sz w:val="21"/>
                <w:szCs w:val="21"/>
                <w:highlight w:val="none"/>
                <w:u w:val="none"/>
                <w:shd w:val="clear"/>
              </w:rPr>
              <w:fldChar w:fldCharType="end"/>
            </w:r>
            <w:r>
              <w:rPr>
                <w:rFonts w:hint="eastAsia" w:ascii="宋体" w:hAnsi="宋体" w:eastAsia="宋体" w:cs="宋体"/>
                <w:i w:val="0"/>
                <w:iCs w:val="0"/>
                <w:caps w:val="0"/>
                <w:color w:val="auto"/>
                <w:spacing w:val="0"/>
                <w:sz w:val="21"/>
                <w:szCs w:val="21"/>
                <w:highlight w:val="none"/>
                <w:u w:val="none"/>
                <w:shd w:val="clear"/>
              </w:rPr>
              <w:t>工程专业承包企业</w:t>
            </w:r>
            <w:r>
              <w:rPr>
                <w:rFonts w:hint="eastAsia" w:ascii="宋体" w:hAnsi="宋体" w:eastAsia="宋体" w:cs="宋体"/>
                <w:color w:val="auto"/>
                <w:sz w:val="21"/>
                <w:szCs w:val="21"/>
                <w:highlight w:val="none"/>
                <w:u w:val="none"/>
              </w:rPr>
              <w:t>资质</w:t>
            </w:r>
            <w:r>
              <w:rPr>
                <w:rFonts w:hint="eastAsia" w:ascii="宋体" w:hAnsi="宋体" w:eastAsia="宋体" w:cs="宋体"/>
                <w:color w:val="auto"/>
                <w:sz w:val="21"/>
                <w:szCs w:val="21"/>
                <w:highlight w:val="none"/>
                <w:u w:val="none"/>
                <w:lang w:eastAsia="zh-CN"/>
              </w:rPr>
              <w:t>二级或以上</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1、</w:t>
            </w:r>
            <w:r>
              <w:rPr>
                <w:rFonts w:hint="eastAsia" w:ascii="宋体" w:hAnsi="宋体" w:eastAsia="宋体" w:cs="宋体"/>
                <w:color w:val="auto"/>
                <w:sz w:val="21"/>
                <w:szCs w:val="21"/>
                <w:highlight w:val="none"/>
                <w:u w:val="none"/>
              </w:rPr>
              <w:t>投标</w:t>
            </w:r>
            <w:r>
              <w:rPr>
                <w:rFonts w:hint="eastAsia" w:ascii="宋体" w:hAnsi="宋体" w:eastAsia="宋体" w:cs="宋体"/>
                <w:color w:val="auto"/>
                <w:sz w:val="21"/>
                <w:szCs w:val="21"/>
                <w:highlight w:val="none"/>
                <w:u w:val="none"/>
                <w:lang w:eastAsia="zh-CN"/>
              </w:rPr>
              <w:t>人</w:t>
            </w:r>
            <w:r>
              <w:rPr>
                <w:rFonts w:hint="eastAsia" w:ascii="宋体" w:hAnsi="宋体" w:eastAsia="宋体" w:cs="宋体"/>
                <w:color w:val="auto"/>
                <w:sz w:val="21"/>
                <w:szCs w:val="21"/>
                <w:highlight w:val="none"/>
                <w:u w:val="none"/>
              </w:rPr>
              <w:t>委派的项目负责人</w:t>
            </w:r>
            <w:r>
              <w:rPr>
                <w:rFonts w:hint="eastAsia" w:ascii="宋体" w:hAnsi="宋体" w:eastAsia="宋体" w:cs="宋体"/>
                <w:color w:val="auto"/>
                <w:sz w:val="21"/>
                <w:szCs w:val="21"/>
                <w:highlight w:val="none"/>
                <w:u w:val="none"/>
                <w:lang w:eastAsia="zh-CN"/>
              </w:rPr>
              <w:t>为：建筑</w:t>
            </w:r>
            <w:r>
              <w:rPr>
                <w:rFonts w:hint="eastAsia" w:ascii="宋体" w:hAnsi="宋体" w:eastAsia="宋体" w:cs="宋体"/>
                <w:color w:val="auto"/>
                <w:sz w:val="21"/>
                <w:szCs w:val="21"/>
                <w:highlight w:val="none"/>
                <w:u w:val="none"/>
              </w:rPr>
              <w:t>工程</w:t>
            </w:r>
            <w:r>
              <w:rPr>
                <w:rFonts w:hint="eastAsia" w:ascii="宋体" w:hAnsi="宋体" w:eastAsia="宋体" w:cs="宋体"/>
                <w:color w:val="auto"/>
                <w:sz w:val="21"/>
                <w:szCs w:val="21"/>
                <w:highlight w:val="none"/>
                <w:u w:val="none"/>
                <w:lang w:eastAsia="zh-CN"/>
              </w:rPr>
              <w:t>二级</w:t>
            </w:r>
            <w:r>
              <w:rPr>
                <w:rFonts w:hint="eastAsia" w:ascii="宋体" w:hAnsi="宋体" w:eastAsia="宋体" w:cs="宋体"/>
                <w:color w:val="auto"/>
                <w:sz w:val="21"/>
                <w:szCs w:val="21"/>
                <w:highlight w:val="none"/>
                <w:u w:val="none"/>
                <w:lang w:val="en-US" w:eastAsia="zh-CN"/>
              </w:rPr>
              <w:t>注册</w:t>
            </w:r>
            <w:r>
              <w:rPr>
                <w:rFonts w:hint="eastAsia" w:ascii="宋体" w:hAnsi="宋体" w:eastAsia="宋体" w:cs="宋体"/>
                <w:color w:val="auto"/>
                <w:sz w:val="21"/>
                <w:szCs w:val="21"/>
                <w:highlight w:val="none"/>
                <w:u w:val="none"/>
                <w:lang w:eastAsia="zh-CN"/>
              </w:rPr>
              <w:t>建造</w:t>
            </w:r>
            <w:r>
              <w:rPr>
                <w:rFonts w:hint="eastAsia" w:ascii="宋体" w:hAnsi="宋体" w:eastAsia="宋体" w:cs="宋体"/>
                <w:color w:val="auto"/>
                <w:sz w:val="21"/>
                <w:szCs w:val="21"/>
                <w:highlight w:val="none"/>
                <w:u w:val="none"/>
              </w:rPr>
              <w:t>师</w:t>
            </w:r>
            <w:r>
              <w:rPr>
                <w:rFonts w:hint="eastAsia" w:ascii="宋体" w:hAnsi="宋体" w:eastAsia="宋体" w:cs="宋体"/>
                <w:color w:val="auto"/>
                <w:sz w:val="21"/>
                <w:szCs w:val="21"/>
                <w:highlight w:val="none"/>
                <w:u w:val="none"/>
                <w:lang w:eastAsia="zh-CN"/>
              </w:rPr>
              <w:t>或以上。</w:t>
            </w:r>
            <w:r>
              <w:rPr>
                <w:rFonts w:hint="eastAsia" w:ascii="宋体" w:hAnsi="宋体" w:eastAsia="宋体" w:cs="宋体"/>
                <w:b w:val="0"/>
                <w:bCs w:val="0"/>
                <w:color w:val="auto"/>
                <w:sz w:val="21"/>
                <w:szCs w:val="21"/>
                <w:highlight w:val="none"/>
                <w:u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u w:val="none"/>
              </w:rPr>
              <w:t>。</w:t>
            </w:r>
          </w:p>
          <w:p>
            <w:pPr>
              <w:widowControl/>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2、</w:t>
            </w:r>
            <w:r>
              <w:rPr>
                <w:rFonts w:hint="eastAsia" w:ascii="宋体" w:hAnsi="宋体" w:eastAsia="宋体" w:cs="宋体"/>
                <w:color w:val="auto"/>
                <w:sz w:val="21"/>
                <w:szCs w:val="21"/>
                <w:highlight w:val="none"/>
                <w:u w:val="none"/>
                <w:lang w:val="en-US" w:eastAsia="zh-CN"/>
              </w:rPr>
              <w:t>投标人委派的技术负责人具有建筑工程专业中级工程师或以上职称。技术负责人与项目负责人不能为同一人。</w:t>
            </w:r>
          </w:p>
          <w:p>
            <w:pPr>
              <w:widowControl/>
              <w:spacing w:line="360" w:lineRule="auto"/>
              <w:rPr>
                <w:rFonts w:hint="eastAsia" w:ascii="宋体" w:hAnsi="宋体" w:eastAsia="宋体" w:cs="宋体"/>
                <w:color w:val="auto"/>
                <w:szCs w:val="21"/>
                <w:highlight w:val="none"/>
                <w:u w:val="none"/>
                <w:lang w:val="en-US" w:eastAsia="zh-CN"/>
              </w:rPr>
            </w:pPr>
            <w:r>
              <w:rPr>
                <w:rFonts w:hint="eastAsia" w:ascii="宋体" w:hAnsi="宋体" w:eastAsia="宋体" w:cs="宋体"/>
                <w:color w:val="auto"/>
                <w:kern w:val="2"/>
                <w:sz w:val="21"/>
                <w:szCs w:val="21"/>
                <w:highlight w:val="none"/>
                <w:u w:val="none"/>
                <w:lang w:val="en-US" w:eastAsia="zh-CN" w:bidi="ar-SA"/>
              </w:rPr>
              <w:t>3、</w:t>
            </w:r>
            <w:r>
              <w:rPr>
                <w:rFonts w:hint="eastAsia" w:ascii="宋体" w:hAnsi="宋体" w:eastAsia="宋体" w:cs="宋体"/>
                <w:b w:val="0"/>
                <w:bCs w:val="0"/>
                <w:color w:val="auto"/>
                <w:sz w:val="21"/>
                <w:szCs w:val="21"/>
                <w:highlight w:val="none"/>
                <w:u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u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ind w:left="-59" w:leftChars="-28" w:right="-59" w:rightChars="-28"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spacing w:line="360" w:lineRule="auto"/>
              <w:ind w:firstLine="0" w:firstLineChars="0"/>
              <w:rPr>
                <w:rFonts w:hint="default" w:ascii="宋体" w:hAnsi="宋体" w:eastAsia="宋体" w:cs="宋体"/>
                <w:color w:val="auto"/>
                <w:kern w:val="2"/>
                <w:sz w:val="21"/>
                <w:szCs w:val="21"/>
                <w:highlight w:val="none"/>
                <w:u w:val="none"/>
                <w:lang w:val="en-US" w:eastAsia="zh-CN" w:bidi="ar-SA"/>
              </w:rPr>
            </w:pPr>
            <w:r>
              <w:rPr>
                <w:rFonts w:hint="default" w:ascii="宋体" w:hAnsi="宋体" w:eastAsia="宋体" w:cs="宋体"/>
                <w:color w:val="auto"/>
                <w:sz w:val="21"/>
                <w:szCs w:val="21"/>
                <w:highlight w:val="none"/>
                <w:u w:val="none"/>
              </w:rPr>
              <w:t>招标控制价为</w:t>
            </w:r>
            <w:r>
              <w:rPr>
                <w:rFonts w:hint="default" w:ascii="宋体" w:hAnsi="宋体" w:eastAsia="宋体" w:cs="宋体"/>
                <w:color w:val="auto"/>
                <w:sz w:val="21"/>
                <w:szCs w:val="21"/>
                <w:highlight w:val="none"/>
                <w:u w:val="none"/>
                <w:lang w:val="en-US" w:eastAsia="zh-CN"/>
              </w:rPr>
              <w:t>¥</w:t>
            </w:r>
            <w:r>
              <w:rPr>
                <w:rFonts w:hint="default" w:ascii="宋体" w:hAnsi="宋体" w:eastAsia="宋体" w:cs="宋体"/>
                <w:b w:val="0"/>
                <w:bCs w:val="0"/>
                <w:color w:val="auto"/>
                <w:sz w:val="21"/>
                <w:szCs w:val="21"/>
                <w:highlight w:val="none"/>
                <w:u w:val="none"/>
                <w:lang w:val="en-US" w:eastAsia="zh-CN"/>
              </w:rPr>
              <w:t>3221499.16</w:t>
            </w:r>
            <w:r>
              <w:rPr>
                <w:rFonts w:hint="default" w:ascii="宋体" w:hAnsi="宋体" w:eastAsia="宋体" w:cs="宋体"/>
                <w:color w:val="auto"/>
                <w:sz w:val="21"/>
                <w:szCs w:val="21"/>
                <w:highlight w:val="none"/>
                <w:u w:val="none"/>
              </w:rPr>
              <w:t>元</w:t>
            </w:r>
            <w:r>
              <w:rPr>
                <w:rFonts w:hint="default" w:ascii="宋体" w:hAnsi="宋体" w:eastAsia="宋体" w:cs="宋体"/>
                <w:color w:val="auto"/>
                <w:sz w:val="21"/>
                <w:szCs w:val="21"/>
                <w:highlight w:val="none"/>
                <w:u w:val="none"/>
                <w:lang w:eastAsia="zh-CN"/>
              </w:rPr>
              <w:t>（大写：人民币叁佰贰拾贰万壹仟肆佰玖拾玖元壹角陆分），其中，</w:t>
            </w:r>
            <w:r>
              <w:rPr>
                <w:rFonts w:hint="default" w:ascii="宋体" w:hAnsi="宋体" w:eastAsia="宋体" w:cs="宋体"/>
                <w:bCs w:val="0"/>
                <w:color w:val="auto"/>
                <w:sz w:val="21"/>
                <w:szCs w:val="21"/>
                <w:highlight w:val="none"/>
                <w:u w:val="none"/>
                <w:lang w:eastAsia="zh-CN"/>
              </w:rPr>
              <w:t>绿色施工安全防护措施费为</w:t>
            </w:r>
            <w:r>
              <w:rPr>
                <w:rFonts w:hint="default" w:ascii="宋体" w:hAnsi="宋体" w:eastAsia="宋体" w:cs="宋体"/>
                <w:color w:val="auto"/>
                <w:sz w:val="21"/>
                <w:szCs w:val="21"/>
                <w:highlight w:val="none"/>
                <w:u w:val="none"/>
                <w:lang w:val="en-US" w:eastAsia="zh-CN"/>
              </w:rPr>
              <w:t>¥</w:t>
            </w:r>
            <w:r>
              <w:rPr>
                <w:rFonts w:hint="default" w:ascii="宋体" w:hAnsi="宋体" w:eastAsia="宋体" w:cs="宋体"/>
                <w:bCs w:val="0"/>
                <w:color w:val="auto"/>
                <w:sz w:val="21"/>
                <w:szCs w:val="21"/>
                <w:highlight w:val="none"/>
                <w:u w:val="none"/>
                <w:lang w:val="en-US" w:eastAsia="zh-CN"/>
              </w:rPr>
              <w:t>187569.16元（固定值）</w:t>
            </w:r>
            <w:r>
              <w:rPr>
                <w:rFonts w:hint="default" w:ascii="宋体" w:hAnsi="宋体" w:eastAsia="宋体" w:cs="宋体"/>
                <w:color w:val="auto"/>
                <w:kern w:val="2"/>
                <w:sz w:val="21"/>
                <w:szCs w:val="21"/>
                <w:highlight w:val="none"/>
                <w:u w:val="none"/>
                <w:lang w:val="en-US" w:eastAsia="zh-CN" w:bidi="ar-SA"/>
              </w:rPr>
              <w:t>。投标单位自行报价，投标报价不能超过</w:t>
            </w:r>
            <w:r>
              <w:rPr>
                <w:rFonts w:hint="eastAsia" w:hAnsi="宋体" w:cs="宋体"/>
                <w:color w:val="auto"/>
                <w:kern w:val="2"/>
                <w:sz w:val="21"/>
                <w:szCs w:val="21"/>
                <w:highlight w:val="none"/>
                <w:u w:val="none"/>
                <w:lang w:val="en-US" w:eastAsia="zh-CN" w:bidi="ar-SA"/>
              </w:rPr>
              <w:t>招标控制价</w:t>
            </w:r>
            <w:r>
              <w:rPr>
                <w:rFonts w:hint="default" w:ascii="宋体" w:hAnsi="宋体" w:eastAsia="宋体" w:cs="宋体"/>
                <w:color w:val="auto"/>
                <w:kern w:val="2"/>
                <w:sz w:val="21"/>
                <w:szCs w:val="21"/>
                <w:highlight w:val="none"/>
                <w:u w:val="none"/>
                <w:lang w:val="en-US" w:eastAsia="zh-CN" w:bidi="ar-SA"/>
              </w:rPr>
              <w:t>，否则按废标处理）。（小数点后保留二位小数，第三位小数四舍五入）</w:t>
            </w:r>
          </w:p>
          <w:p>
            <w:pPr>
              <w:pStyle w:val="9"/>
              <w:widowControl/>
              <w:spacing w:line="360" w:lineRule="auto"/>
              <w:ind w:firstLine="0" w:firstLineChars="0"/>
              <w:rPr>
                <w:rFonts w:hint="default" w:ascii="宋体" w:hAnsi="宋体" w:eastAsia="宋体" w:cs="宋体"/>
                <w:color w:val="auto"/>
                <w:kern w:val="2"/>
                <w:sz w:val="21"/>
                <w:szCs w:val="21"/>
                <w:highlight w:val="none"/>
                <w:u w:val="none"/>
                <w:lang w:val="en-US" w:eastAsia="zh-CN" w:bidi="ar-SA"/>
              </w:rPr>
            </w:pPr>
            <w:r>
              <w:rPr>
                <w:rFonts w:hint="default" w:ascii="宋体" w:hAnsi="宋体" w:eastAsia="宋体" w:cs="宋体"/>
                <w:color w:val="auto"/>
                <w:kern w:val="2"/>
                <w:sz w:val="21"/>
                <w:szCs w:val="21"/>
                <w:highlight w:val="none"/>
                <w:u w:val="none"/>
                <w:lang w:val="en-US" w:eastAsia="zh-CN" w:bidi="ar-SA"/>
              </w:rPr>
              <w:t>结算方式：</w:t>
            </w:r>
            <w:r>
              <w:rPr>
                <w:rFonts w:hint="eastAsia" w:hAnsi="宋体" w:cs="宋体"/>
                <w:color w:val="auto"/>
                <w:kern w:val="2"/>
                <w:sz w:val="21"/>
                <w:szCs w:val="21"/>
                <w:highlight w:val="none"/>
                <w:u w:val="none"/>
                <w:lang w:val="en-US" w:eastAsia="zh-CN" w:bidi="ar-SA"/>
              </w:rPr>
              <w:t>固定综合单价包干，工程量按实结算，绿色施工安全防护措施费总价包干</w:t>
            </w:r>
            <w:r>
              <w:rPr>
                <w:rFonts w:hint="default"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1、金额：人民币</w:t>
            </w:r>
            <w:r>
              <w:rPr>
                <w:rFonts w:hint="eastAsia" w:asciiTheme="minorEastAsia" w:hAnsiTheme="minorEastAsia" w:eastAsiaTheme="minorEastAsia"/>
                <w:color w:val="auto"/>
                <w:sz w:val="21"/>
                <w:szCs w:val="21"/>
                <w:highlight w:val="none"/>
                <w:u w:val="single"/>
              </w:rPr>
              <w:t>壹</w:t>
            </w:r>
            <w:r>
              <w:rPr>
                <w:rFonts w:hint="eastAsia" w:asciiTheme="minorEastAsia" w:hAnsiTheme="minorEastAsia" w:eastAsiaTheme="minorEastAsia"/>
                <w:color w:val="auto"/>
                <w:sz w:val="21"/>
                <w:szCs w:val="21"/>
                <w:highlight w:val="none"/>
              </w:rPr>
              <w:t>万元。</w:t>
            </w:r>
          </w:p>
          <w:p>
            <w:pPr>
              <w:numPr>
                <w:ilvl w:val="-1"/>
                <w:numId w:val="0"/>
              </w:numPr>
              <w:adjustRightInd w:val="0"/>
              <w:snapToGrid w:val="0"/>
              <w:spacing w:line="360" w:lineRule="auto"/>
              <w:rPr>
                <w:rFonts w:hint="eastAsia" w:asciiTheme="minorEastAsia" w:hAnsiTheme="minorEastAsia" w:eastAsiaTheme="minorEastAsia"/>
                <w:color w:val="auto"/>
                <w:sz w:val="21"/>
                <w:szCs w:val="21"/>
                <w:highlight w:val="none"/>
                <w:lang w:eastAsia="zh-CN"/>
              </w:rPr>
            </w:pPr>
            <w:r>
              <w:rPr>
                <w:rFonts w:hint="eastAsia" w:asciiTheme="minorEastAsia" w:hAnsiTheme="minorEastAsia" w:eastAsiaTheme="minorEastAsia"/>
                <w:color w:val="auto"/>
                <w:sz w:val="21"/>
                <w:szCs w:val="21"/>
                <w:highlight w:val="none"/>
              </w:rPr>
              <w:t>2、缴纳方式：</w:t>
            </w:r>
            <w:r>
              <w:rPr>
                <w:rFonts w:hint="eastAsia" w:asciiTheme="minorEastAsia" w:hAnsiTheme="minorEastAsia"/>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账户名称：</w:t>
            </w:r>
            <w:r>
              <w:rPr>
                <w:rFonts w:ascii="宋体" w:hAnsi="宋体" w:cs="宋体"/>
                <w:color w:val="auto"/>
                <w:sz w:val="21"/>
                <w:szCs w:val="21"/>
                <w:highlight w:val="none"/>
              </w:rPr>
              <w:t>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color w:val="auto"/>
                <w:sz w:val="21"/>
                <w:szCs w:val="21"/>
                <w:highlight w:val="none"/>
              </w:rPr>
              <w:t>开户银行：</w:t>
            </w:r>
            <w:r>
              <w:rPr>
                <w:rFonts w:ascii="宋体" w:hAnsi="宋体" w:cs="宋体"/>
                <w:color w:val="auto"/>
                <w:sz w:val="21"/>
                <w:szCs w:val="21"/>
                <w:highlight w:val="none"/>
              </w:rPr>
              <w:t>中国工商银行广东自由贸易试验区南沙分行</w:t>
            </w:r>
            <w:r>
              <w:rPr>
                <w:rFonts w:hint="eastAsia" w:ascii="宋体" w:hAnsi="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rPr>
              <w:t>账号：</w:t>
            </w:r>
            <w:r>
              <w:rPr>
                <w:rFonts w:ascii="宋体" w:hAnsi="宋体" w:cs="宋体"/>
                <w:color w:val="auto"/>
                <w:sz w:val="21"/>
                <w:szCs w:val="21"/>
                <w:highlight w:val="none"/>
              </w:rPr>
              <w:t>3602056909200030855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Theme="minorEastAsia" w:hAnsiTheme="minorEastAsia" w:eastAsiaTheme="minorEastAsia"/>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color w:val="auto"/>
                <w:sz w:val="21"/>
                <w:szCs w:val="21"/>
                <w:highlight w:val="none"/>
                <w:u w:val="single"/>
                <w:lang w:eastAsia="zh-CN"/>
              </w:rPr>
              <w:t>前</w:t>
            </w:r>
            <w:r>
              <w:rPr>
                <w:rFonts w:hint="eastAsia" w:asciiTheme="minorEastAsia" w:hAnsiTheme="minorEastAsia" w:eastAsiaTheme="minorEastAsia"/>
                <w:color w:val="auto"/>
                <w:sz w:val="21"/>
                <w:szCs w:val="21"/>
                <w:highlight w:val="none"/>
              </w:rPr>
              <w:t>以</w:t>
            </w:r>
            <w:r>
              <w:rPr>
                <w:rFonts w:hint="eastAsia"/>
                <w:color w:val="auto"/>
                <w:sz w:val="21"/>
                <w:szCs w:val="21"/>
                <w:highlight w:val="none"/>
              </w:rPr>
              <w:t>投标人转出【以招标单位查询的信息为准，汇款时备注：</w:t>
            </w:r>
            <w:r>
              <w:rPr>
                <w:rFonts w:hint="eastAsia" w:ascii="宋体" w:hAnsi="宋体" w:eastAsia="宋体" w:cs="宋体"/>
                <w:color w:val="auto"/>
                <w:highlight w:val="none"/>
                <w:u w:val="none"/>
                <w:lang w:eastAsia="zh-CN"/>
              </w:rPr>
              <w:t>南沙中心市场改善民生工程施工总承包</w:t>
            </w:r>
            <w:r>
              <w:rPr>
                <w:rFonts w:hint="eastAsia"/>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color w:val="auto"/>
                <w:sz w:val="21"/>
                <w:szCs w:val="21"/>
                <w:highlight w:val="none"/>
                <w:lang w:val="en-US" w:eastAsia="zh-CN"/>
              </w:rPr>
              <w:t>4、</w:t>
            </w:r>
            <w:r>
              <w:rPr>
                <w:rFonts w:hint="eastAsia"/>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default"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7月13</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7月13</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7月13</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color w:val="auto"/>
          <w:szCs w:val="21"/>
          <w:highlight w:val="none"/>
        </w:rPr>
        <w:t xml:space="preserve"> </w:t>
      </w: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广州南沙经发投资有限公司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w:t>
      </w:r>
      <w:r>
        <w:rPr>
          <w:rFonts w:hAnsi="宋体" w:cs="宋体"/>
          <w:color w:val="auto"/>
          <w:sz w:val="24"/>
          <w:highlight w:val="none"/>
        </w:rPr>
        <w:t>）</w:t>
      </w:r>
      <w:r>
        <w:rPr>
          <w:rFonts w:hint="eastAsia" w:hAnsi="宋体" w:cs="宋体"/>
          <w:color w:val="auto"/>
          <w:sz w:val="24"/>
          <w:highlight w:val="none"/>
          <w:lang w:eastAsia="zh-CN"/>
        </w:rPr>
        <w:t>。</w:t>
      </w:r>
    </w:p>
    <w:p>
      <w:pPr>
        <w:pStyle w:val="9"/>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9"/>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11.15投标人认为需要提供的其他文件。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投标报价由低至高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4"/>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numPr>
          <w:ilvl w:val="0"/>
          <w:numId w:val="0"/>
        </w:numPr>
        <w:ind w:firstLine="640" w:firstLineChars="200"/>
        <w:rPr>
          <w:rFonts w:hint="eastAsia" w:ascii="仿宋_GB2312" w:hAnsi="仿宋_GB2312" w:eastAsia="仿宋_GB2312" w:cs="仿宋_GB2312"/>
          <w:b/>
          <w:color w:val="auto"/>
          <w:kern w:val="0"/>
          <w:sz w:val="32"/>
          <w:szCs w:val="32"/>
          <w:highlight w:val="none"/>
          <w:lang w:eastAsia="zh-CN"/>
        </w:rPr>
      </w:pPr>
      <w:r>
        <w:rPr>
          <w:rFonts w:hint="eastAsia" w:ascii="仿宋_GB2312" w:hAnsi="仿宋_GB2312" w:eastAsia="仿宋_GB2312" w:cs="仿宋_GB2312"/>
          <w:color w:val="auto"/>
          <w:sz w:val="32"/>
          <w:szCs w:val="32"/>
          <w:highlight w:val="none"/>
        </w:rPr>
        <w:t>南沙中心市场肉菜市场装修改造，面积约4000</w:t>
      </w:r>
      <w:r>
        <w:rPr>
          <w:rFonts w:hint="eastAsia" w:ascii="宋体" w:hAnsi="宋体" w:eastAsia="宋体" w:cs="宋体"/>
          <w:color w:val="auto"/>
          <w:sz w:val="32"/>
          <w:szCs w:val="32"/>
          <w:highlight w:val="none"/>
        </w:rPr>
        <w:t>㎡</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shd w:val="clear"/>
        </w:rPr>
        <w:t>主要实施内容包括：（1）翻新市场档口及铺位，实现干湿分区，改善经营硬件设施；（2）改善市场内道路，解决路面积水问题，提升消费购物体验；（3）改善中庭条件；（4）水电线路及照明提升。</w:t>
      </w:r>
      <w:r>
        <w:rPr>
          <w:rFonts w:hint="eastAsia" w:ascii="仿宋_GB2312" w:hAnsi="仿宋_GB2312" w:eastAsia="仿宋_GB2312" w:cs="仿宋_GB2312"/>
          <w:color w:val="auto"/>
          <w:sz w:val="32"/>
          <w:szCs w:val="32"/>
          <w:highlight w:val="none"/>
          <w:shd w:val="clear"/>
          <w:lang w:eastAsia="zh-CN"/>
        </w:rPr>
        <w:t>总投资约</w:t>
      </w:r>
      <w:r>
        <w:rPr>
          <w:rFonts w:hint="eastAsia" w:ascii="仿宋_GB2312" w:hAnsi="仿宋_GB2312" w:eastAsia="仿宋_GB2312" w:cs="仿宋_GB2312"/>
          <w:color w:val="auto"/>
          <w:sz w:val="32"/>
          <w:szCs w:val="32"/>
          <w:highlight w:val="none"/>
        </w:rPr>
        <w:t>398.77万元</w:t>
      </w:r>
      <w:r>
        <w:rPr>
          <w:rFonts w:hint="eastAsia" w:ascii="仿宋_GB2312" w:hAnsi="仿宋_GB2312" w:eastAsia="仿宋_GB2312" w:cs="仿宋_GB2312"/>
          <w:color w:val="auto"/>
          <w:sz w:val="32"/>
          <w:szCs w:val="32"/>
          <w:highlight w:val="none"/>
          <w:lang w:eastAsia="zh-CN"/>
        </w:rPr>
        <w:t>。</w:t>
      </w:r>
    </w:p>
    <w:p>
      <w:pPr>
        <w:numPr>
          <w:ilvl w:val="0"/>
          <w:numId w:val="0"/>
        </w:numP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pPr>
        <w:pStyle w:val="9"/>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招标图纸及工程量清单范围内施工专业承包（承包人需按发包人要求施工，根据现场实际情况施工，设计图纸有调整时，必须服从要求调整）。</w:t>
      </w:r>
    </w:p>
    <w:p>
      <w:pPr>
        <w:pStyle w:val="9"/>
        <w:rPr>
          <w:rFonts w:hint="eastAsia" w:ascii="仿宋_GB2312" w:hAnsi="仿宋_GB2312" w:eastAsia="仿宋_GB2312" w:cs="仿宋_GB2312"/>
          <w:color w:val="auto"/>
          <w:sz w:val="32"/>
          <w:szCs w:val="32"/>
          <w:highlight w:val="none"/>
        </w:rPr>
      </w:pP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广州南沙经发投资有限公司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南沙中心市场改善民生工程施工总承包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南沙中心市场改善民生工程施工总承包</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广州南沙经发投资有限公司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4"/>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4"/>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4"/>
        <w:widowControl/>
        <w:ind w:firstLine="618"/>
        <w:rPr>
          <w:b/>
          <w:color w:val="auto"/>
          <w:sz w:val="30"/>
          <w:szCs w:val="30"/>
          <w:highlight w:val="none"/>
        </w:rPr>
      </w:pPr>
      <w:r>
        <w:rPr>
          <w:b/>
          <w:color w:val="auto"/>
          <w:sz w:val="30"/>
          <w:szCs w:val="30"/>
          <w:highlight w:val="none"/>
        </w:rPr>
        <w:t xml:space="preserve"> </w:t>
      </w:r>
    </w:p>
    <w:p>
      <w:pPr>
        <w:pStyle w:val="24"/>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4"/>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2"/>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4"/>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广州南沙经发投资有限公司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南沙中心市场改善民生工程施工总承包</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130110"/>
      <w:bookmarkEnd w:id="11"/>
      <w:bookmarkStart w:id="12" w:name="_Toc196037097"/>
      <w:bookmarkEnd w:id="12"/>
      <w:bookmarkStart w:id="13" w:name="_Toc197235848"/>
      <w:bookmarkEnd w:id="13"/>
      <w:bookmarkStart w:id="14" w:name="_Toc459403394"/>
      <w:bookmarkEnd w:id="14"/>
      <w:bookmarkStart w:id="15" w:name="_Toc415728297"/>
      <w:bookmarkEnd w:id="15"/>
      <w:bookmarkStart w:id="16" w:name="_Toc196130013"/>
      <w:bookmarkEnd w:id="16"/>
      <w:bookmarkStart w:id="17" w:name="_Toc326909213"/>
      <w:bookmarkEnd w:id="17"/>
      <w:bookmarkStart w:id="18" w:name="_Toc199647675"/>
      <w:bookmarkEnd w:id="18"/>
      <w:bookmarkStart w:id="19" w:name="_Toc415833503"/>
      <w:bookmarkEnd w:id="19"/>
      <w:bookmarkStart w:id="20" w:name="_Toc41822703"/>
      <w:bookmarkEnd w:id="20"/>
      <w:bookmarkStart w:id="21" w:name="_Toc196036941"/>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5"/>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415833504"/>
      <w:bookmarkEnd w:id="24"/>
      <w:bookmarkStart w:id="25" w:name="_Toc197235849"/>
      <w:bookmarkEnd w:id="25"/>
      <w:bookmarkStart w:id="26" w:name="_Toc196130111"/>
      <w:bookmarkEnd w:id="26"/>
      <w:bookmarkStart w:id="27" w:name="_Toc415728298"/>
      <w:bookmarkEnd w:id="27"/>
      <w:bookmarkStart w:id="28" w:name="_Toc199647676"/>
      <w:bookmarkEnd w:id="28"/>
      <w:bookmarkStart w:id="29" w:name="_Toc459403395"/>
      <w:bookmarkEnd w:id="29"/>
      <w:bookmarkStart w:id="30" w:name="_Toc326909214"/>
      <w:bookmarkEnd w:id="30"/>
      <w:bookmarkStart w:id="31" w:name="_Toc196130014"/>
      <w:bookmarkEnd w:id="31"/>
      <w:bookmarkStart w:id="32" w:name="_Toc196037098"/>
      <w:bookmarkEnd w:id="32"/>
      <w:bookmarkStart w:id="33" w:name="_Toc196036942"/>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4"/>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5"/>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南沙中心市场改善民生工程施工总承包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autoSpaceDE w:val="0"/>
              <w:autoSpaceDN w:val="0"/>
              <w:adjustRightInd w:val="0"/>
              <w:snapToGrid w:val="0"/>
              <w:spacing w:line="360" w:lineRule="auto"/>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工期</w:t>
            </w: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9"/>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9"/>
        <w:spacing w:line="360" w:lineRule="auto"/>
        <w:ind w:firstLine="210" w:firstLineChars="1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bookmarkStart w:id="41" w:name="_GoBack"/>
      <w:bookmarkEnd w:id="41"/>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施工总承包</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w:t>
      </w:r>
      <w:r>
        <w:rPr>
          <w:rFonts w:hint="eastAsia" w:ascii="仿宋" w:hAnsi="仿宋" w:eastAsia="仿宋" w:cs="仿宋"/>
          <w:color w:val="auto"/>
          <w:sz w:val="28"/>
          <w:szCs w:val="28"/>
          <w:highlight w:val="none"/>
          <w:lang w:eastAsia="zh-CN"/>
        </w:rPr>
        <w:t>施工总承包</w:t>
      </w:r>
      <w:r>
        <w:rPr>
          <w:rFonts w:hint="eastAsia" w:ascii="仿宋" w:hAnsi="仿宋" w:eastAsia="仿宋" w:cs="仿宋"/>
          <w:color w:val="auto"/>
          <w:sz w:val="28"/>
          <w:szCs w:val="28"/>
          <w:highlight w:val="none"/>
        </w:rPr>
        <w:t>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9"/>
        <w:rPr>
          <w:rFonts w:hint="default" w:ascii="仿宋" w:hAnsi="仿宋" w:eastAsia="仿宋" w:cs="仿宋"/>
          <w:color w:val="auto"/>
          <w:sz w:val="28"/>
          <w:szCs w:val="28"/>
          <w:highlight w:val="none"/>
        </w:rPr>
      </w:pPr>
    </w:p>
    <w:p>
      <w:pPr>
        <w:pStyle w:val="9"/>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1"/>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1"/>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5"/>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投标文件封面加盖投标人的法定印章并经投标人代表签字（或盖签章）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投标工期满足招标文件要求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5"/>
        <w:tblW w:w="13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68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10</w:t>
            </w:r>
            <w:r>
              <w:rPr>
                <w:rFonts w:hint="eastAsia" w:ascii="宋体" w:hAnsi="宋体" w:eastAsia="宋体" w:cs="宋体"/>
                <w:b w:val="0"/>
                <w:bCs/>
                <w:color w:val="auto"/>
                <w:szCs w:val="21"/>
                <w:highlight w:val="none"/>
                <w:lang w:val="en-US" w:eastAsia="zh-CN"/>
              </w:rPr>
              <w:t>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认证体系</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p>
        </w:tc>
        <w:tc>
          <w:tcPr>
            <w:tcW w:w="9797" w:type="dxa"/>
            <w:shd w:val="clear" w:color="auto" w:fill="auto"/>
            <w:vAlign w:val="center"/>
          </w:tcPr>
          <w:p>
            <w:pPr>
              <w:pStyle w:val="9"/>
              <w:rPr>
                <w:rFonts w:hint="default" w:ascii="宋体" w:hAnsi="宋体" w:eastAsia="宋体" w:cs="宋体"/>
                <w:color w:val="auto"/>
                <w:highlight w:val="none"/>
                <w:lang w:val="en-US" w:eastAsia="zh-CN"/>
              </w:rPr>
            </w:pP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同时具有有效的</w:t>
            </w:r>
            <w:r>
              <w:rPr>
                <w:rFonts w:ascii="宋体" w:hAnsi="宋体" w:eastAsia="宋体" w:cs="宋体"/>
                <w:color w:val="auto"/>
                <w:szCs w:val="21"/>
                <w:highlight w:val="none"/>
              </w:rPr>
              <w:t>ISO9001</w:t>
            </w:r>
            <w:r>
              <w:rPr>
                <w:rFonts w:hint="eastAsia" w:ascii="宋体" w:hAnsi="宋体" w:eastAsia="宋体" w:cs="宋体"/>
                <w:color w:val="auto"/>
                <w:szCs w:val="21"/>
                <w:highlight w:val="none"/>
              </w:rPr>
              <w:t>质量管理体系认证证书、</w:t>
            </w:r>
            <w:r>
              <w:rPr>
                <w:rFonts w:ascii="宋体" w:hAnsi="宋体" w:eastAsia="宋体" w:cs="宋体"/>
                <w:color w:val="auto"/>
                <w:szCs w:val="21"/>
                <w:highlight w:val="none"/>
              </w:rPr>
              <w:t>ISO14001</w:t>
            </w:r>
            <w:r>
              <w:rPr>
                <w:rFonts w:hint="eastAsia" w:ascii="宋体" w:hAnsi="宋体" w:eastAsia="宋体" w:cs="宋体"/>
                <w:color w:val="auto"/>
                <w:szCs w:val="21"/>
                <w:highlight w:val="none"/>
              </w:rPr>
              <w:t>环境管理体系认证证书、</w:t>
            </w:r>
            <w:r>
              <w:rPr>
                <w:rFonts w:ascii="宋体" w:hAnsi="宋体" w:eastAsia="宋体" w:cs="宋体"/>
                <w:color w:val="auto"/>
                <w:szCs w:val="21"/>
                <w:highlight w:val="none"/>
              </w:rPr>
              <w:t>ISO18001</w:t>
            </w:r>
            <w:r>
              <w:rPr>
                <w:rFonts w:hint="eastAsia" w:ascii="宋体" w:hAnsi="宋体" w:eastAsia="宋体" w:cs="宋体"/>
                <w:color w:val="auto"/>
                <w:szCs w:val="21"/>
                <w:highlight w:val="none"/>
              </w:rPr>
              <w:t>职业健康安全管理体系认证证书的得</w:t>
            </w:r>
            <w:r>
              <w:rPr>
                <w:rFonts w:hint="eastAsia" w:hAnsi="宋体" w:cs="宋体"/>
                <w:color w:val="auto"/>
                <w:szCs w:val="21"/>
                <w:highlight w:val="none"/>
                <w:lang w:val="en-US" w:eastAsia="zh-CN"/>
              </w:rPr>
              <w:t>2</w:t>
            </w:r>
            <w:r>
              <w:rPr>
                <w:rFonts w:hint="eastAsia" w:ascii="宋体" w:hAnsi="宋体" w:eastAsia="宋体" w:cs="宋体"/>
                <w:color w:val="auto"/>
                <w:szCs w:val="21"/>
                <w:highlight w:val="none"/>
              </w:rPr>
              <w:t>分，</w:t>
            </w:r>
            <w:r>
              <w:rPr>
                <w:rFonts w:hint="eastAsia" w:hAnsi="宋体" w:cs="宋体"/>
                <w:color w:val="auto"/>
                <w:szCs w:val="21"/>
                <w:highlight w:val="none"/>
                <w:lang w:val="en-US" w:eastAsia="zh-CN"/>
              </w:rPr>
              <w:t>缺一项的得1分，其余情况不得分</w:t>
            </w:r>
            <w:r>
              <w:rPr>
                <w:rFonts w:hint="eastAsia" w:ascii="宋体" w:hAnsi="宋体" w:eastAsia="宋体" w:cs="宋体"/>
                <w:color w:val="auto"/>
                <w:szCs w:val="21"/>
                <w:highlight w:val="none"/>
              </w:rPr>
              <w:t>。</w:t>
            </w:r>
          </w:p>
        </w:tc>
        <w:tc>
          <w:tcPr>
            <w:tcW w:w="686"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工程研发能力</w:t>
            </w:r>
          </w:p>
        </w:tc>
        <w:tc>
          <w:tcPr>
            <w:tcW w:w="709" w:type="dxa"/>
            <w:shd w:val="clear" w:color="auto" w:fill="auto"/>
            <w:vAlign w:val="center"/>
          </w:tcPr>
          <w:p>
            <w:pPr>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4</w:t>
            </w:r>
          </w:p>
        </w:tc>
        <w:tc>
          <w:tcPr>
            <w:tcW w:w="9797" w:type="dxa"/>
            <w:shd w:val="clear" w:color="auto" w:fill="auto"/>
            <w:vAlign w:val="center"/>
          </w:tcPr>
          <w:p>
            <w:pPr>
              <w:spacing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（1）投标人自201</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年1月1日至投标日止，获得过工程建设类中华人民共和国国家版权局的计算机软件著作权登记证书，且证书在有效期内，累计获得50项以上的（不含50项），得</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w:t>
            </w:r>
          </w:p>
          <w:p>
            <w:pPr>
              <w:spacing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（2）投标人自201</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年1月1日至投标日止，获得过中华人民共和国国家版权局的计算机软件著作权登记证书，且证书在有效期内，累计获得30项（含30项）或以下的，得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p>
          <w:p>
            <w:pPr>
              <w:pStyle w:val="2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（3）投标人自201</w:t>
            </w:r>
            <w:r>
              <w:rPr>
                <w:rFonts w:hint="eastAsia" w:ascii="宋体" w:hAnsi="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年1月1日至投标日止，获得过中华人民共和国国家版权局的计算机软件著作权登记证书，且证书在有效期内，累计获得20项（含20项）或以下的，得</w:t>
            </w:r>
            <w:r>
              <w:rPr>
                <w:rFonts w:hint="eastAsia" w:ascii="宋体" w:hAnsi="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分；</w:t>
            </w:r>
          </w:p>
          <w:p>
            <w:pPr>
              <w:spacing w:line="2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（4）投标人自201</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年1月1日至投标日止，未获得过中华人民共和国国家版权局的计算机软件著作权登记证书的，得0分。</w:t>
            </w:r>
          </w:p>
          <w:p>
            <w:pPr>
              <w:adjustRightInd w:val="0"/>
              <w:snapToGrid w:val="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本项最高得4分。</w:t>
            </w:r>
          </w:p>
        </w:tc>
        <w:tc>
          <w:tcPr>
            <w:tcW w:w="686"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第三方评价</w:t>
            </w:r>
          </w:p>
        </w:tc>
        <w:tc>
          <w:tcPr>
            <w:tcW w:w="709" w:type="dxa"/>
            <w:shd w:val="clear" w:color="auto" w:fill="auto"/>
            <w:vAlign w:val="center"/>
          </w:tcPr>
          <w:p>
            <w:pPr>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4</w:t>
            </w:r>
          </w:p>
        </w:tc>
        <w:tc>
          <w:tcPr>
            <w:tcW w:w="9797" w:type="dxa"/>
            <w:shd w:val="clear" w:color="auto" w:fill="auto"/>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（1）自201</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年1月1日至今，投标人连续</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或以上</w:t>
            </w:r>
            <w:r>
              <w:rPr>
                <w:rFonts w:hint="eastAsia" w:ascii="宋体" w:hAnsi="宋体" w:eastAsia="宋体" w:cs="宋体"/>
                <w:color w:val="auto"/>
                <w:szCs w:val="21"/>
                <w:highlight w:val="none"/>
              </w:rPr>
              <w:t>获得过工程建筑类协会颁发的“诚信企业”及“优秀企业”称号的得</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（2）自201</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年1月1日至今，投标人连续3年</w:t>
            </w:r>
            <w:r>
              <w:rPr>
                <w:rFonts w:hint="eastAsia" w:ascii="宋体" w:hAnsi="宋体" w:eastAsia="宋体" w:cs="宋体"/>
                <w:color w:val="auto"/>
                <w:szCs w:val="21"/>
                <w:highlight w:val="none"/>
                <w:lang w:eastAsia="zh-CN"/>
              </w:rPr>
              <w:t>或</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年获得过工程建筑类协会颁发的“诚信企业”及“优秀企业”称号的得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p>
          <w:p>
            <w:pPr>
              <w:pStyle w:val="20"/>
              <w:rPr>
                <w:rFonts w:hint="eastAsia" w:eastAsia="宋体"/>
                <w:color w:val="auto"/>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）其他情况不得分。</w:t>
            </w:r>
          </w:p>
          <w:p>
            <w:pPr>
              <w:ind w:left="69" w:leftChars="33" w:right="99" w:rightChars="47"/>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本项最高得4分。</w:t>
            </w:r>
          </w:p>
        </w:tc>
        <w:tc>
          <w:tcPr>
            <w:tcW w:w="686"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20</w:t>
            </w:r>
            <w:r>
              <w:rPr>
                <w:rFonts w:hint="eastAsia" w:ascii="宋体" w:hAnsi="宋体" w:eastAsia="宋体" w:cs="宋体"/>
                <w:b w:val="0"/>
                <w:bCs/>
                <w:color w:val="auto"/>
                <w:szCs w:val="21"/>
                <w:highlight w:val="none"/>
                <w:lang w:val="en-US" w:eastAsia="zh-CN"/>
              </w:rPr>
              <w:t>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ind w:left="42" w:leftChars="20" w:right="42" w:rightChars="20"/>
              <w:jc w:val="center"/>
              <w:rPr>
                <w:rFonts w:hint="eastAsia" w:ascii="宋体" w:hAnsi="宋体" w:eastAsiaTheme="minorEastAsia" w:cstheme="minorBidi"/>
                <w:color w:val="auto"/>
                <w:kern w:val="2"/>
                <w:sz w:val="21"/>
                <w:szCs w:val="24"/>
                <w:highlight w:val="none"/>
                <w:lang w:val="en-US" w:eastAsia="zh-CN" w:bidi="ar-SA"/>
              </w:rPr>
            </w:pPr>
            <w:r>
              <w:rPr>
                <w:rFonts w:hint="eastAsia" w:ascii="宋体" w:hAnsi="宋体"/>
                <w:color w:val="auto"/>
                <w:highlight w:val="none"/>
                <w:lang w:eastAsia="zh-CN"/>
              </w:rPr>
              <w:t>施工组织方案（含安全措施）</w:t>
            </w:r>
          </w:p>
        </w:tc>
        <w:tc>
          <w:tcPr>
            <w:tcW w:w="709" w:type="dxa"/>
            <w:shd w:val="clear" w:color="auto" w:fill="auto"/>
            <w:vAlign w:val="center"/>
          </w:tcPr>
          <w:p>
            <w:pPr>
              <w:jc w:val="center"/>
              <w:rPr>
                <w:rFonts w:hint="default" w:ascii="宋体" w:hAnsi="宋体" w:cs="宋体" w:eastAsiaTheme="minorEastAsia"/>
                <w:color w:val="auto"/>
                <w:kern w:val="2"/>
                <w:position w:val="8"/>
                <w:sz w:val="21"/>
                <w:szCs w:val="24"/>
                <w:highlight w:val="none"/>
                <w:lang w:val="en-US" w:eastAsia="zh-CN" w:bidi="ar-SA"/>
              </w:rPr>
            </w:pPr>
            <w:r>
              <w:rPr>
                <w:rFonts w:hint="eastAsia" w:ascii="宋体" w:hAnsi="宋体" w:cs="宋体"/>
                <w:color w:val="auto"/>
                <w:position w:val="8"/>
                <w:highlight w:val="none"/>
                <w:lang w:val="en-US" w:eastAsia="zh-CN"/>
              </w:rPr>
              <w:t>15</w:t>
            </w:r>
          </w:p>
        </w:tc>
        <w:tc>
          <w:tcPr>
            <w:tcW w:w="9797" w:type="dxa"/>
            <w:shd w:val="clear" w:color="auto" w:fill="auto"/>
            <w:vAlign w:val="center"/>
          </w:tcPr>
          <w:p>
            <w:pPr>
              <w:adjustRightInd w:val="0"/>
              <w:snapToGrid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安全生产、文明、环保施工绿色保证措施、进度能完全根据本工程的特点，从安全生产、文明、环保施工保证体系、保证措施及施工管理、施工人员安全培训等方面提出操作性强、安全、可靠且详细的安全生产保证措施。</w:t>
            </w:r>
          </w:p>
          <w:p>
            <w:pPr>
              <w:adjustRightInd w:val="0"/>
              <w:snapToGrid w:val="0"/>
              <w:rPr>
                <w:rFonts w:hint="eastAsia" w:ascii="宋体" w:hAnsi="宋体"/>
                <w:color w:val="auto"/>
                <w:highlight w:val="none"/>
              </w:rPr>
            </w:pPr>
            <w:r>
              <w:rPr>
                <w:rFonts w:hint="eastAsia" w:ascii="宋体" w:hAnsi="宋体"/>
                <w:color w:val="auto"/>
                <w:highlight w:val="none"/>
                <w:lang w:val="en-US" w:eastAsia="zh-CN"/>
              </w:rPr>
              <w:t>1、</w:t>
            </w:r>
            <w:r>
              <w:rPr>
                <w:rFonts w:hint="eastAsia" w:ascii="宋体" w:hAnsi="宋体"/>
                <w:color w:val="auto"/>
                <w:highlight w:val="none"/>
                <w:lang w:eastAsia="zh-CN"/>
              </w:rPr>
              <w:t>方案</w:t>
            </w:r>
            <w:r>
              <w:rPr>
                <w:rFonts w:hint="eastAsia" w:ascii="宋体" w:hAnsi="宋体"/>
                <w:color w:val="auto"/>
                <w:highlight w:val="none"/>
              </w:rPr>
              <w:t>内容详细完整，计划安排合理，得</w:t>
            </w:r>
            <w:r>
              <w:rPr>
                <w:rFonts w:hint="eastAsia" w:ascii="宋体" w:hAnsi="宋体"/>
                <w:color w:val="auto"/>
                <w:highlight w:val="none"/>
                <w:lang w:val="en-US" w:eastAsia="zh-CN"/>
              </w:rPr>
              <w:t>15--10</w:t>
            </w:r>
            <w:r>
              <w:rPr>
                <w:rFonts w:hint="eastAsia" w:ascii="宋体" w:hAnsi="宋体"/>
                <w:color w:val="auto"/>
                <w:highlight w:val="none"/>
              </w:rPr>
              <w:t>分</w:t>
            </w:r>
            <w:r>
              <w:rPr>
                <w:rFonts w:hint="eastAsia" w:ascii="宋体" w:hAnsi="宋体"/>
                <w:color w:val="auto"/>
                <w:highlight w:val="none"/>
                <w:lang w:eastAsia="zh-CN"/>
              </w:rPr>
              <w:t>（</w:t>
            </w:r>
            <w:r>
              <w:rPr>
                <w:rFonts w:hint="eastAsia" w:ascii="宋体" w:hAnsi="宋体"/>
                <w:color w:val="auto"/>
                <w:highlight w:val="none"/>
                <w:lang w:val="en-US" w:eastAsia="zh-CN"/>
              </w:rPr>
              <w:t>含）</w:t>
            </w:r>
            <w:r>
              <w:rPr>
                <w:rFonts w:hint="eastAsia" w:ascii="宋体" w:hAnsi="宋体"/>
                <w:color w:val="auto"/>
                <w:highlight w:val="none"/>
              </w:rPr>
              <w:t>；</w:t>
            </w:r>
          </w:p>
          <w:p>
            <w:pPr>
              <w:adjustRightInd w:val="0"/>
              <w:snapToGrid w:val="0"/>
              <w:rPr>
                <w:rFonts w:hint="eastAsia" w:ascii="宋体" w:hAnsi="宋体"/>
                <w:color w:val="auto"/>
                <w:highlight w:val="none"/>
              </w:rPr>
            </w:pPr>
            <w:r>
              <w:rPr>
                <w:rFonts w:hint="eastAsia" w:ascii="宋体" w:hAnsi="宋体"/>
                <w:color w:val="auto"/>
                <w:highlight w:val="none"/>
                <w:lang w:val="en-US" w:eastAsia="zh-CN"/>
              </w:rPr>
              <w:t>2、</w:t>
            </w:r>
            <w:r>
              <w:rPr>
                <w:rFonts w:hint="eastAsia" w:ascii="宋体" w:hAnsi="宋体"/>
                <w:color w:val="auto"/>
                <w:highlight w:val="none"/>
                <w:lang w:eastAsia="zh-CN"/>
              </w:rPr>
              <w:t>方案</w:t>
            </w:r>
            <w:r>
              <w:rPr>
                <w:rFonts w:hint="eastAsia" w:ascii="宋体" w:hAnsi="宋体"/>
                <w:color w:val="auto"/>
                <w:highlight w:val="none"/>
              </w:rPr>
              <w:t>内容基本详细完整，计划安排基本合理，得</w:t>
            </w:r>
            <w:r>
              <w:rPr>
                <w:rFonts w:hint="eastAsia" w:ascii="宋体" w:hAnsi="宋体"/>
                <w:color w:val="auto"/>
                <w:highlight w:val="none"/>
                <w:lang w:val="en-US" w:eastAsia="zh-CN"/>
              </w:rPr>
              <w:t>10--5</w:t>
            </w:r>
            <w:r>
              <w:rPr>
                <w:rFonts w:hint="eastAsia" w:ascii="宋体" w:hAnsi="宋体"/>
                <w:color w:val="auto"/>
                <w:highlight w:val="none"/>
              </w:rPr>
              <w:t>分</w:t>
            </w:r>
            <w:r>
              <w:rPr>
                <w:rFonts w:hint="eastAsia" w:ascii="宋体" w:hAnsi="宋体"/>
                <w:color w:val="auto"/>
                <w:highlight w:val="none"/>
                <w:lang w:eastAsia="zh-CN"/>
              </w:rPr>
              <w:t>（</w:t>
            </w:r>
            <w:r>
              <w:rPr>
                <w:rFonts w:hint="eastAsia" w:ascii="宋体" w:hAnsi="宋体"/>
                <w:color w:val="auto"/>
                <w:highlight w:val="none"/>
                <w:lang w:val="en-US" w:eastAsia="zh-CN"/>
              </w:rPr>
              <w:t>含）</w:t>
            </w:r>
            <w:r>
              <w:rPr>
                <w:rFonts w:hint="eastAsia" w:ascii="宋体" w:hAnsi="宋体"/>
                <w:color w:val="auto"/>
                <w:highlight w:val="none"/>
              </w:rPr>
              <w:t>；；</w:t>
            </w:r>
          </w:p>
          <w:p>
            <w:pPr>
              <w:adjustRightInd w:val="0"/>
              <w:snapToGrid w:val="0"/>
              <w:rPr>
                <w:rFonts w:hint="eastAsia" w:ascii="宋体" w:hAnsi="宋体"/>
                <w:color w:val="auto"/>
                <w:highlight w:val="none"/>
              </w:rPr>
            </w:pPr>
            <w:r>
              <w:rPr>
                <w:rFonts w:hint="eastAsia" w:ascii="宋体" w:hAnsi="宋体"/>
                <w:color w:val="auto"/>
                <w:highlight w:val="none"/>
                <w:lang w:val="en-US" w:eastAsia="zh-CN"/>
              </w:rPr>
              <w:t>3、</w:t>
            </w:r>
            <w:r>
              <w:rPr>
                <w:rFonts w:hint="eastAsia" w:ascii="宋体" w:hAnsi="宋体"/>
                <w:color w:val="auto"/>
                <w:highlight w:val="none"/>
                <w:lang w:eastAsia="zh-CN"/>
              </w:rPr>
              <w:t>方案</w:t>
            </w:r>
            <w:r>
              <w:rPr>
                <w:rFonts w:hint="eastAsia" w:ascii="宋体" w:hAnsi="宋体"/>
                <w:color w:val="auto"/>
                <w:highlight w:val="none"/>
              </w:rPr>
              <w:t>内容</w:t>
            </w:r>
            <w:r>
              <w:rPr>
                <w:rFonts w:hint="eastAsia" w:ascii="宋体" w:hAnsi="宋体"/>
                <w:color w:val="auto"/>
                <w:highlight w:val="none"/>
                <w:lang w:val="en-US" w:eastAsia="zh-CN"/>
              </w:rPr>
              <w:t>不详细</w:t>
            </w:r>
            <w:r>
              <w:rPr>
                <w:rFonts w:hint="eastAsia" w:ascii="宋体" w:hAnsi="宋体"/>
                <w:color w:val="auto"/>
                <w:highlight w:val="none"/>
              </w:rPr>
              <w:t>，计划安排</w:t>
            </w:r>
            <w:r>
              <w:rPr>
                <w:rFonts w:hint="eastAsia" w:ascii="宋体" w:hAnsi="宋体"/>
                <w:color w:val="auto"/>
                <w:highlight w:val="none"/>
                <w:lang w:val="en-US" w:eastAsia="zh-CN"/>
              </w:rPr>
              <w:t>较差</w:t>
            </w:r>
            <w:r>
              <w:rPr>
                <w:rFonts w:hint="eastAsia" w:ascii="宋体" w:hAnsi="宋体"/>
                <w:color w:val="auto"/>
                <w:highlight w:val="none"/>
              </w:rPr>
              <w:t>，得</w:t>
            </w:r>
            <w:r>
              <w:rPr>
                <w:rFonts w:hint="eastAsia" w:ascii="宋体" w:hAnsi="宋体"/>
                <w:color w:val="auto"/>
                <w:highlight w:val="none"/>
                <w:lang w:val="en-US" w:eastAsia="zh-CN"/>
              </w:rPr>
              <w:t>5--0</w:t>
            </w:r>
            <w:r>
              <w:rPr>
                <w:rFonts w:hint="eastAsia" w:ascii="宋体" w:hAnsi="宋体"/>
                <w:color w:val="auto"/>
                <w:highlight w:val="none"/>
              </w:rPr>
              <w:t>分；</w:t>
            </w:r>
          </w:p>
          <w:p>
            <w:pPr>
              <w:adjustRightInd w:val="0"/>
              <w:snapToGrid w:val="0"/>
              <w:rPr>
                <w:rFonts w:hint="eastAsia" w:ascii="宋体" w:hAnsi="宋体" w:eastAsiaTheme="minorEastAsia" w:cstheme="minorBidi"/>
                <w:color w:val="auto"/>
                <w:kern w:val="2"/>
                <w:sz w:val="21"/>
                <w:szCs w:val="24"/>
                <w:highlight w:val="none"/>
                <w:lang w:val="en-US" w:eastAsia="zh-CN" w:bidi="ar-SA"/>
              </w:rPr>
            </w:pPr>
            <w:r>
              <w:rPr>
                <w:rFonts w:hint="eastAsia" w:ascii="宋体" w:hAnsi="宋体" w:eastAsia="宋体" w:cs="宋体"/>
                <w:color w:val="auto"/>
                <w:sz w:val="21"/>
                <w:szCs w:val="21"/>
                <w:highlight w:val="none"/>
                <w:lang w:val="en-US" w:eastAsia="zh-CN"/>
              </w:rPr>
              <w:t>本项最多得15分。</w:t>
            </w:r>
          </w:p>
        </w:tc>
        <w:tc>
          <w:tcPr>
            <w:tcW w:w="686"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6"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val="0"/>
              <w:ind w:left="-2" w:leftChars="-1"/>
              <w:jc w:val="center"/>
              <w:rPr>
                <w:rFonts w:hint="eastAsia" w:ascii="宋体" w:hAnsi="宋体"/>
                <w:color w:val="auto"/>
                <w:highlight w:val="none"/>
                <w:lang w:eastAsia="zh-CN"/>
              </w:rPr>
            </w:pPr>
            <w:r>
              <w:rPr>
                <w:rFonts w:hint="eastAsia" w:ascii="宋体" w:hAnsi="宋体" w:eastAsia="宋体" w:cs="宋体"/>
                <w:color w:val="auto"/>
                <w:sz w:val="21"/>
                <w:szCs w:val="21"/>
                <w:highlight w:val="none"/>
              </w:rPr>
              <w:t>拟投入人员及架构</w:t>
            </w:r>
          </w:p>
        </w:tc>
        <w:tc>
          <w:tcPr>
            <w:tcW w:w="709" w:type="dxa"/>
            <w:shd w:val="clear" w:color="auto" w:fill="auto"/>
            <w:vAlign w:val="center"/>
          </w:tcPr>
          <w:p>
            <w:pPr>
              <w:spacing w:line="220" w:lineRule="exact"/>
              <w:ind w:left="-2" w:leftChars="-1"/>
              <w:jc w:val="center"/>
              <w:rPr>
                <w:rFonts w:hint="eastAsia" w:ascii="宋体" w:hAnsi="宋体" w:cs="宋体"/>
                <w:color w:val="auto"/>
                <w:position w:val="8"/>
                <w:highlight w:val="none"/>
                <w:lang w:val="en-US" w:eastAsia="zh-CN"/>
              </w:rPr>
            </w:pPr>
            <w:r>
              <w:rPr>
                <w:rFonts w:hint="eastAsia" w:ascii="宋体" w:hAnsi="宋体" w:eastAsia="宋体" w:cs="宋体"/>
                <w:color w:val="auto"/>
                <w:szCs w:val="21"/>
                <w:highlight w:val="none"/>
                <w:lang w:val="en-US" w:eastAsia="zh-CN"/>
              </w:rPr>
              <w:t>2</w:t>
            </w:r>
          </w:p>
        </w:tc>
        <w:tc>
          <w:tcPr>
            <w:tcW w:w="9797" w:type="dxa"/>
            <w:shd w:val="clear" w:color="auto" w:fill="auto"/>
            <w:vAlign w:val="center"/>
          </w:tcPr>
          <w:p>
            <w:pPr>
              <w:numPr>
                <w:ilvl w:val="-1"/>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1、项目负责人具有</w:t>
            </w:r>
            <w:r>
              <w:rPr>
                <w:rFonts w:hint="eastAsia" w:ascii="宋体" w:hAnsi="宋体" w:eastAsia="宋体" w:cs="宋体"/>
                <w:color w:val="auto"/>
                <w:sz w:val="21"/>
                <w:szCs w:val="21"/>
                <w:highlight w:val="none"/>
                <w:lang w:eastAsia="zh-CN"/>
              </w:rPr>
              <w:t>建筑</w:t>
            </w:r>
            <w:r>
              <w:rPr>
                <w:rFonts w:hint="eastAsia" w:ascii="宋体" w:hAnsi="宋体" w:eastAsia="宋体" w:cs="宋体"/>
                <w:color w:val="auto"/>
                <w:sz w:val="21"/>
                <w:szCs w:val="21"/>
                <w:highlight w:val="none"/>
              </w:rPr>
              <w:t>工程</w:t>
            </w:r>
            <w:r>
              <w:rPr>
                <w:rFonts w:hint="eastAsia" w:ascii="宋体" w:hAnsi="宋体" w:eastAsia="宋体" w:cs="宋体"/>
                <w:color w:val="auto"/>
                <w:sz w:val="21"/>
                <w:szCs w:val="21"/>
                <w:highlight w:val="none"/>
                <w:lang w:eastAsia="zh-CN"/>
              </w:rPr>
              <w:t>一级</w:t>
            </w:r>
            <w:r>
              <w:rPr>
                <w:rFonts w:hint="eastAsia" w:ascii="宋体" w:hAnsi="宋体" w:eastAsia="宋体" w:cs="宋体"/>
                <w:color w:val="auto"/>
                <w:sz w:val="21"/>
                <w:szCs w:val="21"/>
                <w:highlight w:val="none"/>
                <w:lang w:val="en-US" w:eastAsia="zh-CN"/>
              </w:rPr>
              <w:t>注册</w:t>
            </w:r>
            <w:r>
              <w:rPr>
                <w:rFonts w:hint="eastAsia" w:ascii="宋体" w:hAnsi="宋体" w:eastAsia="宋体" w:cs="宋体"/>
                <w:color w:val="auto"/>
                <w:sz w:val="21"/>
                <w:szCs w:val="21"/>
                <w:highlight w:val="none"/>
                <w:lang w:eastAsia="zh-CN"/>
              </w:rPr>
              <w:t>建造</w:t>
            </w:r>
            <w:r>
              <w:rPr>
                <w:rFonts w:hint="eastAsia" w:ascii="宋体" w:hAnsi="宋体" w:eastAsia="宋体" w:cs="宋体"/>
                <w:color w:val="auto"/>
                <w:sz w:val="21"/>
                <w:szCs w:val="21"/>
                <w:highlight w:val="none"/>
              </w:rPr>
              <w:t>师</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lang w:val="en-US" w:eastAsia="zh-CN"/>
              </w:rPr>
              <w:t>得1分。</w:t>
            </w:r>
          </w:p>
          <w:p>
            <w:pPr>
              <w:rPr>
                <w:rFonts w:hint="eastAsia" w:ascii="宋体" w:hAnsi="宋体" w:cs="宋体"/>
                <w:color w:val="auto"/>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技术负责人</w:t>
            </w:r>
            <w:r>
              <w:rPr>
                <w:rFonts w:hint="eastAsia" w:ascii="宋体" w:hAnsi="宋体" w:eastAsia="宋体" w:cs="宋体"/>
                <w:color w:val="auto"/>
                <w:sz w:val="21"/>
                <w:szCs w:val="21"/>
                <w:highlight w:val="none"/>
                <w:lang w:val="en-US" w:eastAsia="zh-CN"/>
              </w:rPr>
              <w:t>建筑工程专业高级工程师或以上职称的，得1分。</w:t>
            </w:r>
          </w:p>
          <w:p>
            <w:pP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本项合计最多得2分。</w:t>
            </w:r>
          </w:p>
        </w:tc>
        <w:tc>
          <w:tcPr>
            <w:tcW w:w="686"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val="0"/>
              <w:ind w:left="-2" w:leftChars="-1"/>
              <w:jc w:val="center"/>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eastAsia="zh-CN"/>
              </w:rPr>
              <w:t>工期</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c>
          <w:tcPr>
            <w:tcW w:w="9797" w:type="dxa"/>
            <w:shd w:val="clear" w:color="auto" w:fill="auto"/>
            <w:vAlign w:val="center"/>
          </w:tcPr>
          <w:p>
            <w:pPr>
              <w:tabs>
                <w:tab w:val="left" w:pos="2668"/>
              </w:tabs>
              <w:rPr>
                <w:rFonts w:hint="eastAsia" w:ascii="宋体" w:hAnsi="宋体" w:cs="宋体"/>
                <w:color w:val="auto"/>
                <w:sz w:val="21"/>
                <w:szCs w:val="21"/>
                <w:highlight w:val="none"/>
                <w:lang w:val="en-US" w:eastAsia="zh-CN"/>
              </w:rPr>
            </w:pPr>
            <w:r>
              <w:rPr>
                <w:rFonts w:hint="eastAsia" w:ascii="宋体" w:hAnsi="宋体" w:eastAsia="宋体" w:cs="宋体"/>
                <w:color w:val="auto"/>
                <w:szCs w:val="21"/>
                <w:highlight w:val="none"/>
                <w:lang w:val="en-US" w:eastAsia="zh-CN"/>
              </w:rPr>
              <w:t>投标工期提前5-10（含）天的，得1分；投标工期提前超过10天（不含）的，得3分。不提前不得分。本项最多得3分。</w:t>
            </w:r>
          </w:p>
        </w:tc>
        <w:tc>
          <w:tcPr>
            <w:tcW w:w="686"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70分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70分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spacing w:line="220" w:lineRule="exact"/>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70</w:t>
            </w:r>
          </w:p>
        </w:tc>
        <w:tc>
          <w:tcPr>
            <w:tcW w:w="9797" w:type="dxa"/>
            <w:shd w:val="clear" w:color="auto" w:fill="auto"/>
          </w:tcPr>
          <w:p>
            <w:pPr>
              <w:jc w:val="left"/>
              <w:rPr>
                <w:rFonts w:hint="eastAsia" w:ascii="宋体" w:hAnsi="宋体" w:eastAsia="宋体" w:cs="宋体"/>
                <w:color w:val="auto"/>
                <w:szCs w:val="21"/>
                <w:highlight w:val="none"/>
              </w:rPr>
            </w:pP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报价最低的</w:t>
            </w:r>
            <w:r>
              <w:rPr>
                <w:rFonts w:hint="eastAsia" w:ascii="宋体" w:hAnsi="宋体" w:eastAsia="宋体" w:cs="宋体"/>
                <w:color w:val="auto"/>
                <w:szCs w:val="21"/>
                <w:highlight w:val="none"/>
                <w:lang w:val="en-US" w:eastAsia="zh-CN"/>
              </w:rPr>
              <w:t>5家</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70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9"/>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报价等于基准价的，得分=</w:t>
            </w:r>
            <w:r>
              <w:rPr>
                <w:rFonts w:hint="eastAsia" w:hAnsi="宋体" w:cs="宋体"/>
                <w:color w:val="auto"/>
                <w:highlight w:val="none"/>
                <w:lang w:val="en-US" w:eastAsia="zh-CN"/>
              </w:rPr>
              <w:t>70。</w:t>
            </w:r>
          </w:p>
          <w:p>
            <w:pPr>
              <w:pStyle w:val="9"/>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报价高于基准价的，得分=</w:t>
            </w:r>
            <w:r>
              <w:rPr>
                <w:rFonts w:hint="eastAsia" w:hAnsi="宋体" w:cs="宋体"/>
                <w:color w:val="auto"/>
                <w:highlight w:val="none"/>
                <w:lang w:val="en-US" w:eastAsia="zh-CN"/>
              </w:rPr>
              <w:t>70</w:t>
            </w:r>
            <w:r>
              <w:rPr>
                <w:rFonts w:hint="eastAsia" w:ascii="宋体" w:hAnsi="宋体" w:eastAsia="宋体" w:cs="宋体"/>
                <w:color w:val="auto"/>
                <w:highlight w:val="none"/>
                <w:lang w:val="en-US" w:eastAsia="zh-CN"/>
              </w:rPr>
              <w:t>-[（报价-基准价）/基准价]×100×1</w:t>
            </w:r>
          </w:p>
          <w:p>
            <w:pPr>
              <w:pStyle w:val="9"/>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报价低于基准价的，得分=</w:t>
            </w:r>
            <w:r>
              <w:rPr>
                <w:rFonts w:hint="eastAsia" w:hAnsi="宋体" w:cs="宋体"/>
                <w:color w:val="auto"/>
                <w:highlight w:val="none"/>
                <w:lang w:val="en-US" w:eastAsia="zh-CN"/>
              </w:rPr>
              <w:t>70</w:t>
            </w:r>
            <w:r>
              <w:rPr>
                <w:rFonts w:hint="eastAsia" w:ascii="宋体" w:hAnsi="宋体" w:eastAsia="宋体" w:cs="宋体"/>
                <w:color w:val="auto"/>
                <w:highlight w:val="none"/>
                <w:lang w:val="en-US" w:eastAsia="zh-CN"/>
              </w:rPr>
              <w:t>-[（基准价-报价）/基准价]×100×0.5</w:t>
            </w:r>
          </w:p>
        </w:tc>
        <w:tc>
          <w:tcPr>
            <w:tcW w:w="686"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c>
          <w:tcPr>
            <w:tcW w:w="686"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、项目负责人、</w:t>
      </w:r>
      <w:r>
        <w:rPr>
          <w:rFonts w:hint="eastAsia" w:ascii="宋体" w:hAnsi="宋体" w:cs="宋体"/>
          <w:color w:val="auto"/>
          <w:szCs w:val="18"/>
          <w:highlight w:val="none"/>
          <w:lang w:eastAsia="zh-CN"/>
        </w:rPr>
        <w:t>技术</w:t>
      </w:r>
      <w:r>
        <w:rPr>
          <w:rFonts w:hint="eastAsia" w:ascii="宋体" w:hAnsi="宋体" w:cs="宋体"/>
          <w:color w:val="auto"/>
          <w:szCs w:val="18"/>
          <w:highlight w:val="none"/>
        </w:rPr>
        <w:t>负责人注册关系必须在本单位，以上注册及职称均需提供相应证明材料。</w:t>
      </w:r>
    </w:p>
    <w:p>
      <w:pPr>
        <w:snapToGrid w:val="0"/>
        <w:ind w:firstLine="420" w:firstLineChars="20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    3、</w:t>
      </w:r>
      <w:r>
        <w:rPr>
          <w:rFonts w:hint="eastAsia" w:ascii="宋体" w:hAnsi="宋体" w:eastAsia="宋体" w:cs="宋体"/>
          <w:color w:val="auto"/>
          <w:szCs w:val="21"/>
          <w:highlight w:val="none"/>
        </w:rPr>
        <w:t>计算机软件著作权以证书所列主要完成单位为准，计算机软件著作权时间以登记日加盖国家版权局登记专用章时间为准。计算机软件著作权需提交中国版权保护中心http://www.ccopyright.com.cn/的查询打印页</w:t>
      </w:r>
      <w:r>
        <w:rPr>
          <w:rFonts w:hint="eastAsia" w:ascii="宋体" w:hAnsi="宋体" w:cs="宋体"/>
          <w:color w:val="auto"/>
          <w:szCs w:val="21"/>
          <w:highlight w:val="none"/>
          <w:lang w:eastAsia="zh-CN"/>
        </w:rPr>
        <w:t>。</w:t>
      </w:r>
      <w:r>
        <w:rPr>
          <w:rFonts w:hint="eastAsia" w:ascii="宋体" w:hAnsi="宋体" w:eastAsia="宋体" w:cs="宋体"/>
          <w:color w:val="auto"/>
          <w:kern w:val="0"/>
          <w:sz w:val="21"/>
          <w:szCs w:val="21"/>
          <w:highlight w:val="none"/>
        </w:rPr>
        <w:t>所有证明材料均须加盖公章</w:t>
      </w:r>
      <w:r>
        <w:rPr>
          <w:rFonts w:hint="eastAsia" w:ascii="宋体" w:hAnsi="宋体" w:cs="宋体"/>
          <w:color w:val="auto"/>
          <w:kern w:val="0"/>
          <w:sz w:val="21"/>
          <w:szCs w:val="21"/>
          <w:highlight w:val="none"/>
          <w:lang w:eastAsia="zh-CN"/>
        </w:rPr>
        <w:t>。</w:t>
      </w:r>
    </w:p>
    <w:p>
      <w:pPr>
        <w:pStyle w:val="20"/>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4、第三方评价</w:t>
      </w:r>
      <w:r>
        <w:rPr>
          <w:rFonts w:hint="eastAsia" w:ascii="宋体" w:hAnsi="宋体" w:eastAsia="宋体" w:cs="宋体"/>
          <w:color w:val="auto"/>
          <w:szCs w:val="21"/>
          <w:highlight w:val="none"/>
        </w:rPr>
        <w:t>时间以建筑类行业协会颁发的证书时间为准，需提供协会颁发的“诚信企业”及“优秀企业”称号的证书。证书发证机构必须是在中国社会组织公共服务平台查询到的组织方为有效（附网页截图）</w:t>
      </w:r>
      <w:r>
        <w:rPr>
          <w:rFonts w:hint="eastAsia" w:ascii="宋体" w:hAnsi="宋体" w:eastAsia="宋体" w:cs="宋体"/>
          <w:color w:val="auto"/>
          <w:szCs w:val="21"/>
          <w:highlight w:val="none"/>
          <w:lang w:eastAsia="zh-CN"/>
        </w:rPr>
        <w:t>。</w:t>
      </w:r>
      <w:r>
        <w:rPr>
          <w:rFonts w:hint="eastAsia" w:ascii="宋体" w:hAnsi="宋体" w:eastAsia="宋体" w:cs="宋体"/>
          <w:color w:val="auto"/>
          <w:kern w:val="0"/>
          <w:sz w:val="21"/>
          <w:szCs w:val="21"/>
          <w:highlight w:val="none"/>
        </w:rPr>
        <w:t>所有证明材料均须加盖公章</w:t>
      </w:r>
      <w:r>
        <w:rPr>
          <w:rFonts w:hint="eastAsia" w:ascii="宋体" w:hAnsi="宋体" w:cs="宋体"/>
          <w:color w:val="auto"/>
          <w:kern w:val="0"/>
          <w:sz w:val="21"/>
          <w:szCs w:val="21"/>
          <w:highlight w:val="none"/>
          <w:lang w:eastAsia="zh-CN"/>
        </w:rPr>
        <w:t>。</w:t>
      </w:r>
    </w:p>
    <w:p>
      <w:pPr>
        <w:pStyle w:val="20"/>
        <w:ind w:firstLine="420" w:firstLineChars="20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5、项目负责人、技术负责人需</w:t>
      </w:r>
      <w:r>
        <w:rPr>
          <w:rFonts w:hint="eastAsia" w:ascii="宋体" w:hAnsi="宋体" w:eastAsia="宋体" w:cs="宋体"/>
          <w:color w:val="auto"/>
          <w:sz w:val="21"/>
          <w:szCs w:val="21"/>
          <w:highlight w:val="none"/>
        </w:rPr>
        <w:t>提供</w:t>
      </w:r>
      <w:r>
        <w:rPr>
          <w:rFonts w:hint="eastAsia" w:ascii="宋体" w:hAnsi="宋体" w:cs="宋体"/>
          <w:color w:val="auto"/>
          <w:sz w:val="21"/>
          <w:szCs w:val="21"/>
          <w:highlight w:val="none"/>
          <w:lang w:eastAsia="zh-CN"/>
        </w:rPr>
        <w:t>相关</w:t>
      </w:r>
      <w:r>
        <w:rPr>
          <w:rFonts w:hint="eastAsia" w:ascii="宋体" w:hAnsi="宋体" w:eastAsia="宋体" w:cs="宋体"/>
          <w:color w:val="auto"/>
          <w:kern w:val="0"/>
          <w:sz w:val="21"/>
          <w:szCs w:val="21"/>
          <w:highlight w:val="none"/>
          <w:lang w:val="en-US" w:eastAsia="zh-CN"/>
        </w:rPr>
        <w:t>资格证、</w:t>
      </w:r>
      <w:r>
        <w:rPr>
          <w:rFonts w:hint="eastAsia" w:ascii="宋体" w:hAnsi="宋体" w:eastAsia="宋体" w:cs="宋体"/>
          <w:color w:val="auto"/>
          <w:sz w:val="21"/>
          <w:szCs w:val="21"/>
          <w:highlight w:val="none"/>
        </w:rPr>
        <w:t>职称证书</w:t>
      </w:r>
      <w:r>
        <w:rPr>
          <w:rFonts w:hint="eastAsia" w:ascii="宋体" w:hAnsi="宋体" w:cs="宋体"/>
          <w:color w:val="auto"/>
          <w:sz w:val="21"/>
          <w:szCs w:val="21"/>
          <w:highlight w:val="none"/>
          <w:lang w:val="en-US" w:eastAsia="zh-CN"/>
        </w:rPr>
        <w:t>复印件</w:t>
      </w:r>
      <w:r>
        <w:rPr>
          <w:rFonts w:hint="eastAsia" w:ascii="宋体" w:hAnsi="宋体" w:eastAsia="宋体" w:cs="宋体"/>
          <w:color w:val="auto"/>
          <w:sz w:val="21"/>
          <w:szCs w:val="21"/>
          <w:highlight w:val="none"/>
        </w:rPr>
        <w:t>，需提供上述人员在本单位购买的近</w:t>
      </w:r>
      <w:r>
        <w:rPr>
          <w:rFonts w:hint="eastAsia" w:ascii="宋体" w:hAnsi="宋体" w:cs="宋体"/>
          <w:color w:val="auto"/>
          <w:sz w:val="21"/>
          <w:szCs w:val="21"/>
          <w:highlight w:val="none"/>
          <w:lang w:eastAsia="zh-CN"/>
        </w:rPr>
        <w:t>三</w:t>
      </w:r>
      <w:r>
        <w:rPr>
          <w:rFonts w:hint="eastAsia" w:ascii="宋体" w:hAnsi="宋体" w:eastAsia="宋体" w:cs="宋体"/>
          <w:color w:val="auto"/>
          <w:sz w:val="21"/>
          <w:szCs w:val="21"/>
          <w:highlight w:val="none"/>
        </w:rPr>
        <w:t>个月的社保证明</w:t>
      </w:r>
      <w:r>
        <w:rPr>
          <w:rFonts w:hint="eastAsia" w:ascii="宋体" w:hAnsi="宋体" w:cs="宋体"/>
          <w:color w:val="auto"/>
          <w:sz w:val="21"/>
          <w:szCs w:val="21"/>
          <w:highlight w:val="none"/>
          <w:lang w:eastAsia="zh-CN"/>
        </w:rPr>
        <w:t>复印件</w:t>
      </w:r>
      <w:r>
        <w:rPr>
          <w:rFonts w:hint="eastAsia" w:ascii="宋体" w:hAnsi="宋体" w:eastAsia="宋体" w:cs="宋体"/>
          <w:color w:val="auto"/>
          <w:sz w:val="21"/>
          <w:szCs w:val="21"/>
          <w:highlight w:val="none"/>
        </w:rPr>
        <w:t>，本项目社保缴纳期限包含疫情期，若当地政府部门允许企业在疫情期间缓缴社会保险费且投标人未缴纳的，投标人可提供当地政府部门允许缓缴社保的相关文件作为疫情期缴纳社保的证明。</w:t>
      </w:r>
      <w:r>
        <w:rPr>
          <w:rFonts w:hint="eastAsia" w:ascii="宋体" w:hAnsi="宋体" w:eastAsia="宋体" w:cs="宋体"/>
          <w:color w:val="auto"/>
          <w:kern w:val="0"/>
          <w:sz w:val="21"/>
          <w:szCs w:val="21"/>
          <w:highlight w:val="none"/>
        </w:rPr>
        <w:t>所有证明材料均须加盖公章</w:t>
      </w:r>
      <w:r>
        <w:rPr>
          <w:rFonts w:hint="eastAsia" w:ascii="宋体" w:hAnsi="宋体" w:cs="宋体"/>
          <w:color w:val="auto"/>
          <w:kern w:val="0"/>
          <w:sz w:val="21"/>
          <w:szCs w:val="21"/>
          <w:highlight w:val="none"/>
          <w:lang w:eastAsia="zh-CN"/>
        </w:rPr>
        <w:t>。</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5"/>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广州南沙经发投资有限公司</w:t>
      </w:r>
      <w:r>
        <w:rPr>
          <w:rFonts w:hint="eastAsia" w:ascii="宋体" w:hAnsi="宋体" w:eastAsia="宋体"/>
          <w:color w:val="auto"/>
          <w:sz w:val="24"/>
          <w:szCs w:val="24"/>
          <w:highlight w:val="none"/>
          <w:u w:val="single"/>
        </w:rPr>
        <w:t xml:space="preserve">、广州南沙建设维护管理有限公司 </w:t>
      </w:r>
    </w:p>
    <w:p>
      <w:pPr>
        <w:pStyle w:val="35"/>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南沙中心市场改善民生工程施工总承包</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5"/>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6"/>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5"/>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5"/>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9"/>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E40895"/>
    <w:rsid w:val="051B7598"/>
    <w:rsid w:val="052E78DA"/>
    <w:rsid w:val="059A4101"/>
    <w:rsid w:val="07F66A4C"/>
    <w:rsid w:val="083B43B1"/>
    <w:rsid w:val="08757A2C"/>
    <w:rsid w:val="08A9464F"/>
    <w:rsid w:val="08D505E6"/>
    <w:rsid w:val="09062DA7"/>
    <w:rsid w:val="09A667E8"/>
    <w:rsid w:val="0A621C44"/>
    <w:rsid w:val="0B372B92"/>
    <w:rsid w:val="0BFF40FB"/>
    <w:rsid w:val="0C855B7E"/>
    <w:rsid w:val="0C87037B"/>
    <w:rsid w:val="0CF74903"/>
    <w:rsid w:val="0E1B10A8"/>
    <w:rsid w:val="0E80564C"/>
    <w:rsid w:val="0EA03B8A"/>
    <w:rsid w:val="0EAC0C18"/>
    <w:rsid w:val="0EB25F9A"/>
    <w:rsid w:val="0F8D0176"/>
    <w:rsid w:val="0FD73768"/>
    <w:rsid w:val="10A4638E"/>
    <w:rsid w:val="10D83B3D"/>
    <w:rsid w:val="11135DC8"/>
    <w:rsid w:val="11F528ED"/>
    <w:rsid w:val="12E86716"/>
    <w:rsid w:val="130F5872"/>
    <w:rsid w:val="134A310C"/>
    <w:rsid w:val="13E640E2"/>
    <w:rsid w:val="13E744B7"/>
    <w:rsid w:val="14082F52"/>
    <w:rsid w:val="14085DAD"/>
    <w:rsid w:val="14233C6D"/>
    <w:rsid w:val="14452035"/>
    <w:rsid w:val="1448567A"/>
    <w:rsid w:val="145B3800"/>
    <w:rsid w:val="15B036FB"/>
    <w:rsid w:val="16007AF5"/>
    <w:rsid w:val="17463991"/>
    <w:rsid w:val="179E3273"/>
    <w:rsid w:val="17E977C8"/>
    <w:rsid w:val="1873680D"/>
    <w:rsid w:val="18E67433"/>
    <w:rsid w:val="18F12637"/>
    <w:rsid w:val="19095239"/>
    <w:rsid w:val="1AB46DAB"/>
    <w:rsid w:val="1B6C2995"/>
    <w:rsid w:val="1BB630ED"/>
    <w:rsid w:val="1BC44893"/>
    <w:rsid w:val="1BE136FF"/>
    <w:rsid w:val="1C05708F"/>
    <w:rsid w:val="1C307374"/>
    <w:rsid w:val="1C9203A6"/>
    <w:rsid w:val="1E032835"/>
    <w:rsid w:val="1E562810"/>
    <w:rsid w:val="1EBD45C4"/>
    <w:rsid w:val="1F1C5732"/>
    <w:rsid w:val="1F584BD1"/>
    <w:rsid w:val="205D447F"/>
    <w:rsid w:val="206E043A"/>
    <w:rsid w:val="20AD4C4C"/>
    <w:rsid w:val="21424D60"/>
    <w:rsid w:val="215321ED"/>
    <w:rsid w:val="224A02E7"/>
    <w:rsid w:val="227411DF"/>
    <w:rsid w:val="24856237"/>
    <w:rsid w:val="25053D8A"/>
    <w:rsid w:val="25687B33"/>
    <w:rsid w:val="25791876"/>
    <w:rsid w:val="26236584"/>
    <w:rsid w:val="26B94C66"/>
    <w:rsid w:val="26FF6942"/>
    <w:rsid w:val="272101A5"/>
    <w:rsid w:val="272B74FA"/>
    <w:rsid w:val="2751149E"/>
    <w:rsid w:val="2837076A"/>
    <w:rsid w:val="2865301D"/>
    <w:rsid w:val="28C86C87"/>
    <w:rsid w:val="29051210"/>
    <w:rsid w:val="296119D7"/>
    <w:rsid w:val="2A97100B"/>
    <w:rsid w:val="2B401296"/>
    <w:rsid w:val="2BEC17AE"/>
    <w:rsid w:val="2C1B0D4A"/>
    <w:rsid w:val="2C5357E2"/>
    <w:rsid w:val="2D0635AD"/>
    <w:rsid w:val="2DDB1EBF"/>
    <w:rsid w:val="2DE71DA9"/>
    <w:rsid w:val="2DF963B5"/>
    <w:rsid w:val="2E6C5CB5"/>
    <w:rsid w:val="2EC40C57"/>
    <w:rsid w:val="2EE433BF"/>
    <w:rsid w:val="2F9B6BBA"/>
    <w:rsid w:val="2FEA73B1"/>
    <w:rsid w:val="30136E93"/>
    <w:rsid w:val="30334755"/>
    <w:rsid w:val="30EC6390"/>
    <w:rsid w:val="311233CC"/>
    <w:rsid w:val="31B57180"/>
    <w:rsid w:val="34935BA4"/>
    <w:rsid w:val="34A264CA"/>
    <w:rsid w:val="35830B03"/>
    <w:rsid w:val="3700775A"/>
    <w:rsid w:val="37A26BD4"/>
    <w:rsid w:val="37AE7FE3"/>
    <w:rsid w:val="38417D8A"/>
    <w:rsid w:val="39731517"/>
    <w:rsid w:val="39F52602"/>
    <w:rsid w:val="39FC703A"/>
    <w:rsid w:val="3AC802EF"/>
    <w:rsid w:val="3B183024"/>
    <w:rsid w:val="3B6D4312"/>
    <w:rsid w:val="3BB718A6"/>
    <w:rsid w:val="3BC04127"/>
    <w:rsid w:val="3C88543E"/>
    <w:rsid w:val="3CB7521C"/>
    <w:rsid w:val="3CE76215"/>
    <w:rsid w:val="3CFF0303"/>
    <w:rsid w:val="3D7619F9"/>
    <w:rsid w:val="3D957982"/>
    <w:rsid w:val="3D96007A"/>
    <w:rsid w:val="3F4915A0"/>
    <w:rsid w:val="3F5F332B"/>
    <w:rsid w:val="3F641BC2"/>
    <w:rsid w:val="3F8502F8"/>
    <w:rsid w:val="3FD704B2"/>
    <w:rsid w:val="405854B3"/>
    <w:rsid w:val="408D1DBF"/>
    <w:rsid w:val="409313F9"/>
    <w:rsid w:val="40B7508E"/>
    <w:rsid w:val="40CA2819"/>
    <w:rsid w:val="41EC3A6C"/>
    <w:rsid w:val="42A2655E"/>
    <w:rsid w:val="43420D2F"/>
    <w:rsid w:val="436C5E0D"/>
    <w:rsid w:val="44631084"/>
    <w:rsid w:val="446A549B"/>
    <w:rsid w:val="44800368"/>
    <w:rsid w:val="44E811C0"/>
    <w:rsid w:val="46871AD6"/>
    <w:rsid w:val="47025D0E"/>
    <w:rsid w:val="4735560E"/>
    <w:rsid w:val="47413F22"/>
    <w:rsid w:val="4792678F"/>
    <w:rsid w:val="47E03B89"/>
    <w:rsid w:val="481D5A38"/>
    <w:rsid w:val="487975A7"/>
    <w:rsid w:val="48E72086"/>
    <w:rsid w:val="49732ED5"/>
    <w:rsid w:val="499C01CA"/>
    <w:rsid w:val="49EF5898"/>
    <w:rsid w:val="4A1079FD"/>
    <w:rsid w:val="4A1D620C"/>
    <w:rsid w:val="4AED722D"/>
    <w:rsid w:val="4B3D40BA"/>
    <w:rsid w:val="4BC136D0"/>
    <w:rsid w:val="4BF328A0"/>
    <w:rsid w:val="4C2E17B4"/>
    <w:rsid w:val="4C81677F"/>
    <w:rsid w:val="4D195C1E"/>
    <w:rsid w:val="4D904DD7"/>
    <w:rsid w:val="4D9C287D"/>
    <w:rsid w:val="4DC04FA6"/>
    <w:rsid w:val="4DC53F66"/>
    <w:rsid w:val="4E2A0E48"/>
    <w:rsid w:val="4FC91A1A"/>
    <w:rsid w:val="50DB6247"/>
    <w:rsid w:val="51531E87"/>
    <w:rsid w:val="51552F81"/>
    <w:rsid w:val="51AB2104"/>
    <w:rsid w:val="525A7F6F"/>
    <w:rsid w:val="52760C06"/>
    <w:rsid w:val="530E35F9"/>
    <w:rsid w:val="53427976"/>
    <w:rsid w:val="53A07C03"/>
    <w:rsid w:val="53A63423"/>
    <w:rsid w:val="53B638D1"/>
    <w:rsid w:val="54386D63"/>
    <w:rsid w:val="54A36172"/>
    <w:rsid w:val="54BC0EE8"/>
    <w:rsid w:val="55D41C4B"/>
    <w:rsid w:val="5702252D"/>
    <w:rsid w:val="572444C0"/>
    <w:rsid w:val="576D49E8"/>
    <w:rsid w:val="594F1692"/>
    <w:rsid w:val="59566C52"/>
    <w:rsid w:val="597674DD"/>
    <w:rsid w:val="5A416E84"/>
    <w:rsid w:val="5AAF5CCA"/>
    <w:rsid w:val="5B6E68B8"/>
    <w:rsid w:val="5B8D6C19"/>
    <w:rsid w:val="5BAA698D"/>
    <w:rsid w:val="5BCE61FA"/>
    <w:rsid w:val="5C9B134E"/>
    <w:rsid w:val="5DAA1580"/>
    <w:rsid w:val="5DF14932"/>
    <w:rsid w:val="5DFF04E8"/>
    <w:rsid w:val="5E1A6FB5"/>
    <w:rsid w:val="5E7A3CE2"/>
    <w:rsid w:val="5E960581"/>
    <w:rsid w:val="5F355496"/>
    <w:rsid w:val="5F8349F8"/>
    <w:rsid w:val="5F865CD7"/>
    <w:rsid w:val="5FDC4484"/>
    <w:rsid w:val="60BA0556"/>
    <w:rsid w:val="60F61E20"/>
    <w:rsid w:val="61A7533B"/>
    <w:rsid w:val="621244D5"/>
    <w:rsid w:val="62B2296D"/>
    <w:rsid w:val="62B247EF"/>
    <w:rsid w:val="636147EE"/>
    <w:rsid w:val="63DB6B9E"/>
    <w:rsid w:val="65B441A4"/>
    <w:rsid w:val="65D8147F"/>
    <w:rsid w:val="66373494"/>
    <w:rsid w:val="66591B82"/>
    <w:rsid w:val="68550B65"/>
    <w:rsid w:val="6898637C"/>
    <w:rsid w:val="68B16D7B"/>
    <w:rsid w:val="68BA7003"/>
    <w:rsid w:val="6C281E78"/>
    <w:rsid w:val="6C307E68"/>
    <w:rsid w:val="6C920572"/>
    <w:rsid w:val="6DB227E4"/>
    <w:rsid w:val="6DBE1759"/>
    <w:rsid w:val="6DC31ECB"/>
    <w:rsid w:val="6E307289"/>
    <w:rsid w:val="6E656845"/>
    <w:rsid w:val="6F471F5D"/>
    <w:rsid w:val="6F8E74DB"/>
    <w:rsid w:val="70836CF8"/>
    <w:rsid w:val="70CF07C8"/>
    <w:rsid w:val="710F157A"/>
    <w:rsid w:val="71840FD7"/>
    <w:rsid w:val="718C3480"/>
    <w:rsid w:val="721D56A4"/>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6E43"/>
    <w:rsid w:val="79566D81"/>
    <w:rsid w:val="79E02BD8"/>
    <w:rsid w:val="7A2B55F9"/>
    <w:rsid w:val="7A3458D0"/>
    <w:rsid w:val="7A4B048B"/>
    <w:rsid w:val="7A7C35B8"/>
    <w:rsid w:val="7A96669D"/>
    <w:rsid w:val="7AC70013"/>
    <w:rsid w:val="7B672810"/>
    <w:rsid w:val="7B681B66"/>
    <w:rsid w:val="7C561F60"/>
    <w:rsid w:val="7C6B2EC5"/>
    <w:rsid w:val="7C831CEC"/>
    <w:rsid w:val="7DDF7DDD"/>
    <w:rsid w:val="7E300909"/>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样式 小四 行距: 1.5 倍行距"/>
    <w:basedOn w:val="1"/>
    <w:qFormat/>
    <w:uiPriority w:val="0"/>
    <w:pPr>
      <w:ind w:firstLine="480"/>
    </w:pPr>
    <w:rPr>
      <w:rFonts w:cs="宋体"/>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Plain Text"/>
    <w:basedOn w:val="1"/>
    <w:next w:val="1"/>
    <w:link w:val="32"/>
    <w:qFormat/>
    <w:uiPriority w:val="0"/>
    <w:rPr>
      <w:rFonts w:hint="eastAsia" w:ascii="宋体" w:hAnsi="Courier New" w:eastAsia="宋体" w:cs="Times New Roman"/>
      <w:szCs w:val="21"/>
    </w:rPr>
  </w:style>
  <w:style w:type="paragraph" w:styleId="10">
    <w:name w:val="Balloon Text"/>
    <w:basedOn w:val="1"/>
    <w:link w:val="30"/>
    <w:qFormat/>
    <w:uiPriority w:val="0"/>
    <w:rPr>
      <w:sz w:val="18"/>
      <w:szCs w:val="18"/>
    </w:rPr>
  </w:style>
  <w:style w:type="paragraph" w:styleId="11">
    <w:name w:val="footer"/>
    <w:basedOn w:val="1"/>
    <w:link w:val="29"/>
    <w:qFormat/>
    <w:uiPriority w:val="0"/>
    <w:pPr>
      <w:tabs>
        <w:tab w:val="center" w:pos="4153"/>
        <w:tab w:val="right" w:pos="8306"/>
      </w:tabs>
      <w:snapToGrid w:val="0"/>
      <w:jc w:val="left"/>
    </w:pPr>
    <w:rPr>
      <w:sz w:val="18"/>
      <w:szCs w:val="18"/>
    </w:rPr>
  </w:style>
  <w:style w:type="paragraph" w:styleId="12">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8"/>
    <w:link w:val="33"/>
    <w:qFormat/>
    <w:uiPriority w:val="0"/>
    <w:pPr>
      <w:spacing w:beforeAutospacing="1" w:after="120"/>
      <w:ind w:firstLine="420"/>
    </w:pPr>
    <w:rPr>
      <w:rFonts w:ascii="Times New Roman" w:hAnsi="Times New Roman" w:eastAsia="宋体" w:cs="Times New Roman"/>
      <w:szCs w:val="21"/>
    </w:rPr>
  </w:style>
  <w:style w:type="character" w:styleId="17">
    <w:name w:val="page number"/>
    <w:basedOn w:val="16"/>
    <w:qFormat/>
    <w:uiPriority w:val="0"/>
  </w:style>
  <w:style w:type="character" w:styleId="18">
    <w:name w:val="FollowedHyperlink"/>
    <w:basedOn w:val="16"/>
    <w:qFormat/>
    <w:uiPriority w:val="0"/>
    <w:rPr>
      <w:color w:val="0000FF"/>
      <w:u w:val="single"/>
    </w:rPr>
  </w:style>
  <w:style w:type="character" w:styleId="19">
    <w:name w:val="Hyperlink"/>
    <w:basedOn w:val="16"/>
    <w:qFormat/>
    <w:uiPriority w:val="0"/>
    <w:rPr>
      <w:color w:val="0000FF"/>
      <w:u w:val="single"/>
    </w:rPr>
  </w:style>
  <w:style w:type="paragraph" w:customStyle="1" w:styleId="20">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1">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qFormat/>
    <w:uiPriority w:val="0"/>
    <w:pPr>
      <w:ind w:firstLine="420" w:firstLineChars="200"/>
    </w:pPr>
    <w:rPr>
      <w:rFonts w:ascii="Calibri" w:hAnsi="Calibri" w:eastAsia="宋体" w:cs="Times New Roman"/>
      <w:szCs w:val="21"/>
    </w:rPr>
  </w:style>
  <w:style w:type="paragraph" w:customStyle="1" w:styleId="24">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6"/>
    <w:qFormat/>
    <w:uiPriority w:val="0"/>
    <w:rPr>
      <w:rFonts w:hint="default" w:ascii="Times New Roman" w:hAnsi="Times New Roman" w:cs="Times New Roman"/>
    </w:rPr>
  </w:style>
  <w:style w:type="character" w:customStyle="1" w:styleId="26">
    <w:name w:val="15"/>
    <w:basedOn w:val="16"/>
    <w:qFormat/>
    <w:uiPriority w:val="0"/>
    <w:rPr>
      <w:rFonts w:hint="default" w:ascii="Times New Roman" w:hAnsi="Times New Roman" w:cs="Times New Roman"/>
    </w:rPr>
  </w:style>
  <w:style w:type="character" w:customStyle="1" w:styleId="27">
    <w:name w:val="16"/>
    <w:basedOn w:val="16"/>
    <w:qFormat/>
    <w:uiPriority w:val="0"/>
    <w:rPr>
      <w:rFonts w:hint="default" w:ascii="Times New Roman" w:hAnsi="Times New Roman" w:cs="Times New Roman"/>
      <w:color w:val="0000FF"/>
      <w:u w:val="single"/>
    </w:rPr>
  </w:style>
  <w:style w:type="character" w:customStyle="1" w:styleId="28">
    <w:name w:val="页眉 Char"/>
    <w:basedOn w:val="16"/>
    <w:link w:val="12"/>
    <w:qFormat/>
    <w:uiPriority w:val="0"/>
    <w:rPr>
      <w:rFonts w:asciiTheme="minorHAnsi" w:hAnsiTheme="minorHAnsi" w:eastAsiaTheme="minorEastAsia" w:cstheme="minorBidi"/>
      <w:kern w:val="2"/>
      <w:sz w:val="18"/>
      <w:szCs w:val="18"/>
    </w:rPr>
  </w:style>
  <w:style w:type="character" w:customStyle="1" w:styleId="29">
    <w:name w:val="页脚 Char"/>
    <w:basedOn w:val="16"/>
    <w:link w:val="11"/>
    <w:qFormat/>
    <w:uiPriority w:val="0"/>
    <w:rPr>
      <w:rFonts w:asciiTheme="minorHAnsi" w:hAnsiTheme="minorHAnsi" w:eastAsiaTheme="minorEastAsia" w:cstheme="minorBidi"/>
      <w:kern w:val="2"/>
      <w:sz w:val="18"/>
      <w:szCs w:val="18"/>
    </w:rPr>
  </w:style>
  <w:style w:type="character" w:customStyle="1" w:styleId="30">
    <w:name w:val="批注框文本 Char"/>
    <w:basedOn w:val="16"/>
    <w:link w:val="10"/>
    <w:qFormat/>
    <w:uiPriority w:val="0"/>
    <w:rPr>
      <w:rFonts w:asciiTheme="minorHAnsi" w:hAnsiTheme="minorHAnsi" w:eastAsiaTheme="minorEastAsia" w:cstheme="minorBidi"/>
      <w:kern w:val="2"/>
      <w:sz w:val="18"/>
      <w:szCs w:val="18"/>
    </w:r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纯文本 Char"/>
    <w:link w:val="9"/>
    <w:qFormat/>
    <w:uiPriority w:val="0"/>
    <w:rPr>
      <w:rFonts w:ascii="宋体" w:hAnsi="Courier New"/>
      <w:kern w:val="2"/>
      <w:sz w:val="21"/>
      <w:szCs w:val="21"/>
    </w:rPr>
  </w:style>
  <w:style w:type="character" w:customStyle="1" w:styleId="33">
    <w:name w:val="正文首行缩进 Char"/>
    <w:basedOn w:val="16"/>
    <w:link w:val="14"/>
    <w:qFormat/>
    <w:uiPriority w:val="0"/>
    <w:rPr>
      <w:kern w:val="2"/>
      <w:sz w:val="21"/>
      <w:szCs w:val="21"/>
    </w:rPr>
  </w:style>
  <w:style w:type="paragraph" w:styleId="34">
    <w:name w:val="List Paragraph"/>
    <w:basedOn w:val="1"/>
    <w:unhideWhenUsed/>
    <w:qFormat/>
    <w:uiPriority w:val="99"/>
    <w:pPr>
      <w:ind w:firstLine="420" w:firstLineChars="200"/>
    </w:pPr>
  </w:style>
  <w:style w:type="paragraph" w:customStyle="1" w:styleId="35">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qFormat/>
    <w:uiPriority w:val="0"/>
    <w:pPr>
      <w:ind w:left="4094" w:right="607" w:firstLine="0"/>
      <w:jc w:val="center"/>
    </w:pPr>
  </w:style>
  <w:style w:type="character" w:customStyle="1" w:styleId="37">
    <w:name w:val="c Char1"/>
    <w:link w:val="38"/>
    <w:qFormat/>
    <w:uiPriority w:val="0"/>
    <w:rPr>
      <w:rFonts w:eastAsia="仿宋_GB2312" w:cs="宋体"/>
      <w:sz w:val="28"/>
    </w:rPr>
  </w:style>
  <w:style w:type="paragraph" w:customStyle="1" w:styleId="38">
    <w:name w:val="c"/>
    <w:basedOn w:val="1"/>
    <w:link w:val="37"/>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15345</Words>
  <Characters>16206</Characters>
  <Lines>131</Lines>
  <Paragraphs>37</Paragraphs>
  <TotalTime>1</TotalTime>
  <ScaleCrop>false</ScaleCrop>
  <LinksUpToDate>false</LinksUpToDate>
  <CharactersWithSpaces>17200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2022-07-07T10:30:18Z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6F8842E353744852BDC4E3C1A0BD38D3</vt:lpwstr>
  </property>
</Properties>
</file>