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eastAsia="zh-CN"/>
        </w:rPr>
        <w:t>南沙湿地二期艺术区景观提升项目施工总承包</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广州南沙湿地旅游发展有限公司</w:t>
      </w:r>
      <w:r>
        <w:rPr>
          <w:rFonts w:hint="eastAsia" w:ascii="宋体" w:hAnsi="宋体" w:eastAsia="宋体" w:cs="宋体"/>
          <w:b/>
          <w:color w:val="auto"/>
          <w:sz w:val="32"/>
          <w:szCs w:val="32"/>
          <w:highlight w:val="none"/>
        </w:rPr>
        <w:t>（业主单位）</w:t>
      </w:r>
    </w:p>
    <w:p>
      <w:pPr>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期：2022年</w:t>
      </w:r>
      <w:r>
        <w:rPr>
          <w:rFonts w:hint="eastAsia" w:ascii="宋体" w:hAnsi="宋体" w:eastAsia="宋体" w:cs="宋体"/>
          <w:b/>
          <w:color w:val="auto"/>
          <w:sz w:val="32"/>
          <w:szCs w:val="32"/>
          <w:highlight w:val="none"/>
          <w:lang w:val="en-US" w:eastAsia="zh-CN"/>
        </w:rPr>
        <w:t>8月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2"/>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rPr>
              <w:color w:val="auto"/>
              <w:highlight w:val="none"/>
            </w:rPr>
          </w:pPr>
          <w:r>
            <w:rPr>
              <w:rFonts w:hint="eastAsia" w:asciiTheme="minorEastAsia" w:hAnsiTheme="minorEastAsia" w:cstheme="minorEastAsia"/>
              <w:color w:val="auto"/>
              <w:sz w:val="24"/>
              <w:highlight w:val="none"/>
            </w:rPr>
            <w:fldChar w:fldCharType="end"/>
          </w:r>
        </w:p>
      </w:sdtContent>
    </w:sdt>
    <w:p>
      <w:pPr>
        <w:pStyle w:val="13"/>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3302"/>
      <w:r>
        <w:rPr>
          <w:rFonts w:hint="eastAsia" w:ascii="黑体" w:hAnsi="宋体" w:cs="黑体"/>
          <w:b/>
          <w:color w:val="auto"/>
          <w:kern w:val="44"/>
          <w:sz w:val="44"/>
          <w:szCs w:val="44"/>
          <w:highlight w:val="none"/>
        </w:rPr>
        <w:t>第1章 投标须知及前附表</w:t>
      </w:r>
      <w:bookmarkEnd w:id="2"/>
      <w:bookmarkEnd w:id="3"/>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b/>
                <w:color w:val="auto"/>
                <w:highlight w:val="none"/>
              </w:rPr>
            </w:pPr>
            <w:bookmarkStart w:id="41" w:name="_GoBack"/>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3"/>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cs="宋体"/>
                <w:color w:val="auto"/>
                <w:highlight w:val="none"/>
                <w:u w:val="none"/>
                <w:lang w:eastAsia="zh-CN"/>
              </w:rPr>
              <w:t>南沙湿地二期艺术区景观提升项目</w:t>
            </w:r>
            <w:r>
              <w:rPr>
                <w:rFonts w:hint="eastAsia" w:ascii="宋体" w:hAnsi="宋体" w:eastAsia="宋体" w:cs="宋体"/>
                <w:color w:val="auto"/>
                <w:highlight w:val="none"/>
                <w:u w:val="none"/>
                <w:lang w:eastAsia="zh-CN"/>
              </w:rPr>
              <w:t>施工总承包</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2</w:t>
            </w:r>
          </w:p>
          <w:p>
            <w:pPr>
              <w:pStyle w:val="13"/>
              <w:widowControl/>
              <w:spacing w:after="0" w:line="440" w:lineRule="exact"/>
              <w:ind w:firstLine="0"/>
              <w:jc w:val="center"/>
              <w:rPr>
                <w:rFonts w:ascii="宋体" w:hAnsi="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rPr>
              <w:t>广州市南沙区</w:t>
            </w:r>
            <w:r>
              <w:rPr>
                <w:rFonts w:hint="eastAsia" w:ascii="宋体" w:hAnsi="宋体" w:eastAsia="宋体" w:cs="宋体"/>
                <w:color w:val="auto"/>
                <w:sz w:val="21"/>
                <w:szCs w:val="21"/>
                <w:highlight w:val="none"/>
                <w:lang w:eastAsia="zh-CN"/>
              </w:rPr>
              <w:t>湿地公园景区二期内</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cs="宋体"/>
                <w:color w:val="auto"/>
                <w:highlight w:val="none"/>
                <w:u w:val="none"/>
                <w:lang w:eastAsia="zh-CN"/>
              </w:rPr>
            </w:pPr>
            <w:r>
              <w:rPr>
                <w:rFonts w:hint="eastAsia" w:ascii="宋体" w:hAnsi="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rPr>
              <w:t>项目占地面积约</w:t>
            </w:r>
            <w:r>
              <w:rPr>
                <w:rFonts w:hint="eastAsia" w:ascii="宋体" w:hAnsi="宋体" w:eastAsia="宋体" w:cs="宋体"/>
                <w:color w:val="auto"/>
                <w:sz w:val="21"/>
                <w:szCs w:val="21"/>
                <w:highlight w:val="none"/>
                <w:lang w:val="en-US" w:eastAsia="zh-CN"/>
              </w:rPr>
              <w:t>41000</w:t>
            </w:r>
            <w:r>
              <w:rPr>
                <w:rFonts w:hint="eastAsia" w:ascii="宋体" w:hAnsi="宋体" w:eastAsia="宋体" w:cs="宋体"/>
                <w:color w:val="auto"/>
                <w:sz w:val="21"/>
                <w:szCs w:val="21"/>
                <w:highlight w:val="none"/>
              </w:rPr>
              <w:t>平方米，主要建设水上栈道、空中步道、活动平台、配套服务活动设施、草坪、钓鱼台等</w:t>
            </w:r>
            <w:r>
              <w:rPr>
                <w:rFonts w:hint="eastAsia" w:ascii="宋体" w:hAnsi="宋体" w:eastAsia="宋体" w:cs="宋体"/>
                <w:color w:val="auto"/>
                <w:sz w:val="21"/>
                <w:szCs w:val="21"/>
                <w:highlight w:val="none"/>
                <w:lang w:eastAsia="zh-CN"/>
              </w:rPr>
              <w:t>，提升湿地景区红树林的观赏性和艺术氛围</w:t>
            </w:r>
            <w:r>
              <w:rPr>
                <w:rFonts w:hint="eastAsia" w:ascii="宋体" w:hAnsi="宋体" w:eastAsia="宋体" w:cs="宋体"/>
                <w:color w:val="auto"/>
                <w:sz w:val="21"/>
                <w:szCs w:val="21"/>
                <w:highlight w:val="none"/>
                <w:shd w:val="clear"/>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cs="宋体"/>
                <w:bCs w:val="0"/>
                <w:color w:val="auto"/>
                <w:sz w:val="21"/>
                <w:szCs w:val="21"/>
                <w:highlight w:val="none"/>
                <w:u w:val="none"/>
                <w:lang w:eastAsia="zh-CN"/>
              </w:rPr>
              <w:t>固定综合单价包干，工程量按实结算，绿色施工安全防护措施费固定总价包干</w:t>
            </w:r>
            <w:r>
              <w:rPr>
                <w:rFonts w:hint="eastAsia" w:ascii="宋体" w:hAnsi="宋体" w:eastAsia="宋体" w:cs="宋体"/>
                <w:bCs w:val="0"/>
                <w:color w:val="auto"/>
                <w:sz w:val="21"/>
                <w:szCs w:val="21"/>
                <w:highlight w:val="none"/>
                <w:u w:val="none"/>
                <w:lang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cs="宋体"/>
                <w:color w:val="auto"/>
                <w:sz w:val="21"/>
                <w:szCs w:val="21"/>
                <w:highlight w:val="none"/>
                <w:u w:val="none"/>
                <w:lang w:val="en-US" w:eastAsia="zh-CN"/>
              </w:rPr>
              <w:t>330</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工程质量符合国家验收规范，达到合格标准</w:t>
            </w:r>
            <w:r>
              <w:rPr>
                <w:rFonts w:hint="eastAsia" w:ascii="宋体" w:hAnsi="宋体" w:eastAsia="宋体" w:cs="宋体"/>
                <w:bCs w:val="0"/>
                <w:color w:val="auto"/>
                <w:kern w:val="2"/>
                <w:sz w:val="21"/>
                <w:szCs w:val="21"/>
                <w:highlight w:val="none"/>
                <w:shd w:val="clear" w:color="auto" w:fill="auto"/>
                <w:lang w:eastAsia="zh-CN" w:bidi="ar-SA"/>
              </w:rPr>
              <w:t>。</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20" w:lineRule="exact"/>
              <w:ind w:firstLine="0"/>
              <w:jc w:val="center"/>
              <w:rPr>
                <w:rFonts w:hint="eastAsia" w:ascii="宋体" w:hAnsi="宋体" w:cs="宋体"/>
                <w:color w:val="auto"/>
                <w:highlight w:val="none"/>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20" w:lineRule="exact"/>
              <w:ind w:firstLine="0"/>
              <w:jc w:val="left"/>
              <w:rPr>
                <w:rFonts w:hint="eastAsia" w:ascii="宋体" w:hAnsi="宋体" w:cs="宋体"/>
                <w:color w:val="auto"/>
                <w:highlight w:val="none"/>
              </w:rPr>
            </w:pPr>
            <w:r>
              <w:rPr>
                <w:rFonts w:hint="eastAsia" w:ascii="宋体" w:hAnsi="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rPr>
              <w:t>招标图纸及工程量清单范围内施工专业承包（承包人需按发包人要求施工，根据现场实际情况施工，设计图纸有调整时，必须服从要求调整）</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2022年12月20日前完工。</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rPr>
              <w:t>投标人营业执照范围包含园林绿化相关内容</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服务人员的专业配套要求</w:t>
            </w:r>
          </w:p>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0" w:firstLineChars="0"/>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委派的项目负责人</w:t>
            </w:r>
            <w:r>
              <w:rPr>
                <w:rFonts w:hint="eastAsia" w:ascii="宋体" w:hAnsi="宋体" w:eastAsia="宋体" w:cs="宋体"/>
                <w:color w:val="auto"/>
                <w:sz w:val="21"/>
                <w:szCs w:val="21"/>
                <w:highlight w:val="none"/>
                <w:lang w:eastAsia="zh-CN"/>
              </w:rPr>
              <w:t>为</w:t>
            </w:r>
            <w:r>
              <w:rPr>
                <w:rFonts w:hint="eastAsia" w:ascii="宋体" w:hAnsi="宋体" w:eastAsia="宋体" w:cs="宋体"/>
                <w:i w:val="0"/>
                <w:iCs w:val="0"/>
                <w:caps w:val="0"/>
                <w:color w:val="auto"/>
                <w:spacing w:val="0"/>
                <w:sz w:val="21"/>
                <w:szCs w:val="21"/>
                <w:highlight w:val="none"/>
                <w:shd w:val="clear"/>
              </w:rPr>
              <w:t>市政公用工程专业</w:t>
            </w:r>
            <w:r>
              <w:rPr>
                <w:rFonts w:hint="eastAsia" w:ascii="宋体" w:hAnsi="宋体" w:eastAsia="宋体" w:cs="宋体"/>
                <w:i w:val="0"/>
                <w:iCs w:val="0"/>
                <w:caps w:val="0"/>
                <w:color w:val="auto"/>
                <w:spacing w:val="0"/>
                <w:sz w:val="21"/>
                <w:szCs w:val="21"/>
                <w:highlight w:val="none"/>
                <w:shd w:val="clear"/>
                <w:lang w:eastAsia="zh-CN"/>
              </w:rPr>
              <w:t>二</w:t>
            </w:r>
            <w:r>
              <w:rPr>
                <w:rFonts w:hint="eastAsia" w:ascii="宋体" w:hAnsi="宋体" w:eastAsia="宋体" w:cs="宋体"/>
                <w:i w:val="0"/>
                <w:iCs w:val="0"/>
                <w:caps w:val="0"/>
                <w:color w:val="auto"/>
                <w:spacing w:val="0"/>
                <w:sz w:val="21"/>
                <w:szCs w:val="21"/>
                <w:highlight w:val="none"/>
                <w:shd w:val="clear"/>
              </w:rPr>
              <w:t>级</w:t>
            </w:r>
            <w:r>
              <w:rPr>
                <w:rFonts w:hint="eastAsia" w:ascii="宋体" w:hAnsi="宋体" w:eastAsia="宋体" w:cs="宋体"/>
                <w:i w:val="0"/>
                <w:iCs w:val="0"/>
                <w:caps w:val="0"/>
                <w:color w:val="auto"/>
                <w:spacing w:val="0"/>
                <w:sz w:val="21"/>
                <w:szCs w:val="21"/>
                <w:highlight w:val="none"/>
                <w:shd w:val="clear"/>
                <w:lang w:eastAsia="zh-CN"/>
              </w:rPr>
              <w:t>或以上</w:t>
            </w:r>
            <w:r>
              <w:rPr>
                <w:rFonts w:hint="eastAsia" w:ascii="宋体" w:hAnsi="宋体" w:eastAsia="宋体" w:cs="宋体"/>
                <w:i w:val="0"/>
                <w:iCs w:val="0"/>
                <w:caps w:val="0"/>
                <w:color w:val="auto"/>
                <w:spacing w:val="0"/>
                <w:sz w:val="21"/>
                <w:szCs w:val="21"/>
                <w:highlight w:val="none"/>
                <w:shd w:val="clear"/>
              </w:rPr>
              <w:t>注册建造师</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sz w:val="21"/>
                <w:szCs w:val="21"/>
                <w:highlight w:val="none"/>
              </w:rPr>
              <w:t>项目负责人</w:t>
            </w:r>
            <w:r>
              <w:rPr>
                <w:rFonts w:hint="eastAsia" w:ascii="宋体" w:hAnsi="宋体" w:eastAsia="宋体" w:cs="宋体"/>
                <w:color w:val="auto"/>
                <w:sz w:val="21"/>
                <w:szCs w:val="21"/>
                <w:highlight w:val="none"/>
                <w:u w:val="none"/>
              </w:rPr>
              <w:t>持有安全培训考核合格证（B类）或建筑施工企业项目负责人安全生产考核合格证书</w:t>
            </w:r>
            <w:r>
              <w:rPr>
                <w:rFonts w:hint="eastAsia" w:ascii="宋体" w:hAnsi="宋体" w:eastAsia="宋体" w:cs="宋体"/>
                <w:b w:val="0"/>
                <w:bCs w:val="0"/>
                <w:color w:val="auto"/>
                <w:sz w:val="21"/>
                <w:szCs w:val="21"/>
                <w:highlight w:val="none"/>
              </w:rPr>
              <w:t>。</w:t>
            </w:r>
          </w:p>
          <w:p>
            <w:pPr>
              <w:widowControl/>
              <w:spacing w:line="360" w:lineRule="auto"/>
              <w:ind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委派的</w:t>
            </w:r>
            <w:r>
              <w:rPr>
                <w:rFonts w:hint="eastAsia" w:ascii="宋体" w:hAnsi="宋体" w:eastAsia="宋体" w:cs="宋体"/>
                <w:color w:val="auto"/>
                <w:sz w:val="21"/>
                <w:szCs w:val="21"/>
                <w:highlight w:val="none"/>
                <w:lang w:eastAsia="zh-CN"/>
              </w:rPr>
              <w:t>技术</w:t>
            </w:r>
            <w:r>
              <w:rPr>
                <w:rFonts w:hint="eastAsia" w:ascii="宋体" w:hAnsi="宋体" w:eastAsia="宋体" w:cs="宋体"/>
                <w:color w:val="auto"/>
                <w:sz w:val="21"/>
                <w:szCs w:val="21"/>
                <w:highlight w:val="none"/>
              </w:rPr>
              <w:t>负责人</w:t>
            </w:r>
            <w:r>
              <w:rPr>
                <w:rFonts w:hint="eastAsia" w:ascii="宋体" w:hAnsi="宋体" w:eastAsia="宋体" w:cs="宋体"/>
                <w:color w:val="auto"/>
                <w:sz w:val="21"/>
                <w:szCs w:val="21"/>
                <w:highlight w:val="none"/>
                <w:lang w:eastAsia="zh-CN"/>
              </w:rPr>
              <w:t>具有风景园林</w:t>
            </w:r>
            <w:r>
              <w:rPr>
                <w:rFonts w:hint="eastAsia" w:ascii="宋体" w:hAnsi="宋体" w:eastAsia="宋体" w:cs="宋体"/>
                <w:color w:val="auto"/>
                <w:sz w:val="21"/>
                <w:szCs w:val="21"/>
                <w:highlight w:val="none"/>
                <w:lang w:val="en-US" w:eastAsia="zh-CN"/>
              </w:rPr>
              <w:t>施工</w:t>
            </w:r>
            <w:r>
              <w:rPr>
                <w:rFonts w:hint="eastAsia" w:ascii="宋体" w:hAnsi="宋体" w:eastAsia="宋体" w:cs="宋体"/>
                <w:color w:val="auto"/>
                <w:sz w:val="21"/>
                <w:szCs w:val="21"/>
                <w:highlight w:val="none"/>
                <w:lang w:eastAsia="zh-CN"/>
              </w:rPr>
              <w:t>工程师中级或以上职称。项目负责人和技术负责人不能为同一人。</w:t>
            </w:r>
          </w:p>
          <w:p>
            <w:pPr>
              <w:widowControl/>
              <w:spacing w:line="360" w:lineRule="auto"/>
              <w:ind w:firstLine="0" w:firstLineChars="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b w:val="0"/>
                <w:bCs w:val="0"/>
                <w:color w:val="auto"/>
                <w:sz w:val="21"/>
                <w:szCs w:val="21"/>
                <w:highlight w:val="none"/>
              </w:rPr>
              <w:t>专职安全员须具有</w:t>
            </w:r>
            <w:r>
              <w:rPr>
                <w:rFonts w:hint="eastAsia" w:ascii="宋体" w:hAnsi="宋体" w:eastAsia="宋体" w:cs="宋体"/>
                <w:color w:val="auto"/>
                <w:sz w:val="21"/>
                <w:szCs w:val="21"/>
                <w:highlight w:val="none"/>
                <w:u w:val="none"/>
              </w:rPr>
              <w:t>安全生产考核合格证（C类）</w:t>
            </w:r>
            <w:r>
              <w:rPr>
                <w:rFonts w:hint="eastAsia" w:ascii="宋体" w:hAnsi="宋体" w:eastAsia="宋体" w:cs="宋体"/>
                <w:color w:val="auto"/>
                <w:kern w:val="2"/>
                <w:sz w:val="21"/>
                <w:szCs w:val="21"/>
                <w:highlight w:val="none"/>
                <w:u w:val="none"/>
              </w:rPr>
              <w:t>或建筑施工企业专职安全生产管理人员安全生产考核合格证书</w:t>
            </w:r>
            <w:r>
              <w:rPr>
                <w:rFonts w:hint="eastAsia" w:ascii="宋体" w:hAnsi="宋体" w:eastAsia="宋体" w:cs="宋体"/>
                <w:b w:val="0"/>
                <w:bCs w:val="0"/>
                <w:color w:val="auto"/>
                <w:sz w:val="21"/>
                <w:szCs w:val="21"/>
                <w:highlight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ind w:firstLine="0"/>
              <w:jc w:val="center"/>
              <w:rPr>
                <w:rFonts w:ascii="宋体" w:hAnsi="宋体" w:cs="宋体"/>
                <w:color w:val="auto"/>
                <w:highlight w:val="none"/>
              </w:rPr>
            </w:pPr>
            <w:r>
              <w:rPr>
                <w:rFonts w:hint="eastAsia" w:ascii="宋体" w:hAnsi="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ind w:left="-59" w:leftChars="-28" w:right="-59" w:rightChars="-28"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440" w:lineRule="exact"/>
              <w:ind w:left="-59" w:leftChars="-28" w:right="-44" w:rightChars="-21" w:firstLine="0"/>
              <w:jc w:val="center"/>
              <w:rPr>
                <w:rFonts w:ascii="宋体" w:hAnsi="宋体" w:cs="宋体"/>
                <w:color w:val="auto"/>
                <w:highlight w:val="none"/>
              </w:rPr>
            </w:pPr>
            <w:r>
              <w:rPr>
                <w:rFonts w:hint="eastAsia" w:ascii="宋体" w:hAnsi="宋体" w:cs="宋体"/>
                <w:color w:val="auto"/>
                <w:highlight w:val="none"/>
                <w:lang w:val="en-US" w:eastAsia="zh-CN"/>
              </w:rPr>
              <w:t>招标控制价及</w:t>
            </w:r>
            <w:r>
              <w:rPr>
                <w:rFonts w:hint="eastAsia" w:ascii="宋体" w:hAnsi="宋体" w:cs="宋体"/>
                <w:color w:val="auto"/>
                <w:highlight w:val="none"/>
                <w:lang w:eastAsia="zh-CN"/>
              </w:rPr>
              <w:t>报价</w:t>
            </w:r>
            <w:r>
              <w:rPr>
                <w:rFonts w:hint="eastAsia" w:ascii="宋体" w:hAnsi="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招标控制价为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b w:val="0"/>
                <w:bCs w:val="0"/>
                <w:color w:val="auto"/>
                <w:sz w:val="21"/>
                <w:szCs w:val="21"/>
                <w:highlight w:val="none"/>
                <w:u w:val="none"/>
                <w:lang w:val="en-US" w:eastAsia="zh-CN"/>
              </w:rPr>
              <w:t>2519816.82</w:t>
            </w:r>
            <w:r>
              <w:rPr>
                <w:rFonts w:hint="eastAsia" w:ascii="宋体" w:hAnsi="宋体" w:eastAsia="宋体" w:cs="宋体"/>
                <w:color w:val="auto"/>
                <w:sz w:val="21"/>
                <w:szCs w:val="21"/>
                <w:highlight w:val="none"/>
                <w:u w:val="none"/>
              </w:rPr>
              <w:t>元</w:t>
            </w:r>
            <w:r>
              <w:rPr>
                <w:rFonts w:hint="eastAsia" w:ascii="宋体" w:hAnsi="宋体" w:eastAsia="宋体" w:cs="宋体"/>
                <w:color w:val="auto"/>
                <w:sz w:val="21"/>
                <w:szCs w:val="21"/>
                <w:highlight w:val="none"/>
                <w:u w:val="none"/>
                <w:lang w:eastAsia="zh-CN"/>
              </w:rPr>
              <w:t>（大写：人民币</w:t>
            </w:r>
            <w:r>
              <w:rPr>
                <w:rFonts w:hint="eastAsia" w:ascii="宋体" w:hAnsi="宋体" w:eastAsia="宋体" w:cs="宋体"/>
                <w:color w:val="auto"/>
                <w:sz w:val="21"/>
                <w:szCs w:val="21"/>
                <w:highlight w:val="none"/>
                <w:u w:val="none"/>
                <w:lang w:val="en-US" w:eastAsia="zh-CN"/>
              </w:rPr>
              <w:t>贰佰伍拾壹万玖仟捌佰壹拾陆元捌角贰分</w:t>
            </w:r>
            <w:r>
              <w:rPr>
                <w:rFonts w:hint="eastAsia" w:ascii="宋体" w:hAnsi="宋体" w:eastAsia="宋体" w:cs="宋体"/>
                <w:color w:val="auto"/>
                <w:sz w:val="21"/>
                <w:szCs w:val="21"/>
                <w:highlight w:val="none"/>
                <w:u w:val="none"/>
                <w:lang w:eastAsia="zh-CN"/>
              </w:rPr>
              <w:t>），其中，</w:t>
            </w:r>
            <w:r>
              <w:rPr>
                <w:rFonts w:hint="eastAsia" w:ascii="宋体" w:hAnsi="宋体" w:eastAsia="宋体" w:cs="宋体"/>
                <w:bCs w:val="0"/>
                <w:color w:val="auto"/>
                <w:sz w:val="21"/>
                <w:szCs w:val="21"/>
                <w:highlight w:val="none"/>
                <w:u w:val="none"/>
                <w:lang w:eastAsia="zh-CN"/>
              </w:rPr>
              <w:t>绿色施工安全防护措施费为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bCs w:val="0"/>
                <w:color w:val="auto"/>
                <w:sz w:val="21"/>
                <w:szCs w:val="21"/>
                <w:highlight w:val="none"/>
                <w:u w:val="none"/>
                <w:lang w:val="en-US" w:eastAsia="zh-CN"/>
              </w:rPr>
              <w:t>186165.54元（固定值）</w:t>
            </w:r>
            <w:r>
              <w:rPr>
                <w:rFonts w:hint="eastAsia" w:ascii="宋体" w:hAnsi="宋体" w:eastAsia="宋体" w:cs="宋体"/>
                <w:color w:val="auto"/>
                <w:kern w:val="2"/>
                <w:sz w:val="21"/>
                <w:szCs w:val="21"/>
                <w:highlight w:val="none"/>
                <w:u w:val="none"/>
                <w:lang w:val="en-US" w:eastAsia="zh-CN" w:bidi="ar-SA"/>
              </w:rPr>
              <w:t>。投标单位自行报价，投标报价不能超过</w:t>
            </w:r>
            <w:r>
              <w:rPr>
                <w:rFonts w:hint="eastAsia" w:hAnsi="宋体" w:cs="宋体"/>
                <w:color w:val="auto"/>
                <w:kern w:val="2"/>
                <w:sz w:val="21"/>
                <w:szCs w:val="21"/>
                <w:highlight w:val="none"/>
                <w:u w:val="none"/>
                <w:lang w:val="en-US" w:eastAsia="zh-CN" w:bidi="ar-SA"/>
              </w:rPr>
              <w:t>招标控制价</w:t>
            </w:r>
            <w:r>
              <w:rPr>
                <w:rFonts w:hint="eastAsia" w:ascii="宋体" w:hAnsi="宋体" w:eastAsia="宋体" w:cs="宋体"/>
                <w:color w:val="auto"/>
                <w:kern w:val="2"/>
                <w:sz w:val="21"/>
                <w:szCs w:val="21"/>
                <w:highlight w:val="none"/>
                <w:u w:val="none"/>
                <w:lang w:val="en-US" w:eastAsia="zh-CN" w:bidi="ar-SA"/>
              </w:rPr>
              <w:t>，否则按废标处理）。（小数点后保留二位小数，第三位小数四舍五入）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1、金额：人民币</w:t>
            </w:r>
            <w:r>
              <w:rPr>
                <w:rFonts w:hint="eastAsia" w:ascii="宋体" w:hAnsi="宋体" w:eastAsia="宋体" w:cs="宋体"/>
                <w:color w:val="auto"/>
                <w:sz w:val="21"/>
                <w:szCs w:val="21"/>
                <w:highlight w:val="none"/>
                <w:lang w:val="en-US" w:eastAsia="zh-CN"/>
              </w:rPr>
              <w:t>伍仟</w:t>
            </w:r>
            <w:r>
              <w:rPr>
                <w:rFonts w:hint="eastAsia" w:ascii="宋体" w:hAnsi="宋体" w:eastAsia="宋体" w:cs="宋体"/>
                <w:color w:val="auto"/>
                <w:sz w:val="21"/>
                <w:szCs w:val="21"/>
                <w:highlight w:val="none"/>
              </w:rPr>
              <w:t>元。</w:t>
            </w:r>
          </w:p>
          <w:p>
            <w:pPr>
              <w:numPr>
                <w:ilvl w:val="-1"/>
                <w:numId w:val="0"/>
              </w:numPr>
              <w:adjustRightInd w:val="0"/>
              <w:snapToGri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2、缴纳方式：</w:t>
            </w:r>
            <w:r>
              <w:rPr>
                <w:rFonts w:hint="eastAsia" w:ascii="宋体" w:hAnsi="宋体" w:eastAsia="宋体" w:cs="宋体"/>
                <w:color w:val="auto"/>
                <w:sz w:val="21"/>
                <w:szCs w:val="21"/>
                <w:highlight w:val="none"/>
                <w:lang w:eastAsia="zh-CN"/>
              </w:rPr>
              <w:t>银行转账。</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账户名称：广州南沙建设维护管理有限公司</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开户银行：中国工商银行广东自由贸易试验区南沙分行</w:t>
            </w:r>
            <w:r>
              <w:rPr>
                <w:rFonts w:hint="eastAsia" w:ascii="宋体" w:hAnsi="宋体" w:eastAsia="宋体" w:cs="宋体"/>
                <w:color w:val="auto"/>
                <w:sz w:val="21"/>
                <w:szCs w:val="21"/>
                <w:highlight w:val="none"/>
                <w:lang w:val="en-US" w:eastAsia="zh-CN"/>
              </w:rPr>
              <w:t xml:space="preserve"> </w:t>
            </w:r>
          </w:p>
          <w:p>
            <w:pPr>
              <w:numPr>
                <w:ilvl w:val="-1"/>
                <w:numId w:val="0"/>
              </w:numPr>
              <w:adjustRightIn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账号：3602056909200030855</w:t>
            </w:r>
          </w:p>
          <w:p>
            <w:pPr>
              <w:numPr>
                <w:ilvl w:val="0"/>
                <w:numId w:val="1"/>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缴纳时间：投标单位须在</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8月24</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17</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前</w:t>
            </w:r>
            <w:r>
              <w:rPr>
                <w:rFonts w:hint="eastAsia" w:ascii="宋体" w:hAnsi="宋体" w:eastAsia="宋体" w:cs="宋体"/>
                <w:color w:val="auto"/>
                <w:sz w:val="21"/>
                <w:szCs w:val="21"/>
                <w:highlight w:val="none"/>
              </w:rPr>
              <w:t>以投标人转出【以招标单位查询的信息为准，汇款时备注：</w:t>
            </w:r>
            <w:r>
              <w:rPr>
                <w:rFonts w:hint="eastAsia" w:ascii="宋体" w:hAnsi="宋体" w:eastAsia="宋体" w:cs="宋体"/>
                <w:color w:val="auto"/>
                <w:szCs w:val="21"/>
                <w:highlight w:val="none"/>
                <w:u w:val="none"/>
                <w:lang w:eastAsia="zh-CN"/>
              </w:rPr>
              <w:t>南沙湿地二期艺术区景观提升项目施工总承包</w:t>
            </w:r>
            <w:r>
              <w:rPr>
                <w:rFonts w:hint="eastAsia" w:ascii="宋体" w:hAnsi="宋体" w:eastAsia="宋体" w:cs="宋体"/>
                <w:color w:val="auto"/>
                <w:sz w:val="21"/>
                <w:szCs w:val="21"/>
                <w:highlight w:val="none"/>
              </w:rPr>
              <w:t>投标保证金】</w:t>
            </w:r>
          </w:p>
          <w:p>
            <w:pPr>
              <w:numPr>
                <w:ilvl w:val="-1"/>
                <w:numId w:val="0"/>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440" w:lineRule="exact"/>
              <w:ind w:left="-46" w:leftChars="-22" w:right="-59" w:rightChars="-28" w:firstLine="0"/>
              <w:jc w:val="center"/>
              <w:rPr>
                <w:rFonts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13"/>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13"/>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收件人：李工，66806279</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提交地点：广州市南沙区金融大厦1807会议室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8月25</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（星期四）</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8月25</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kern w:val="2"/>
                <w:sz w:val="21"/>
                <w:szCs w:val="21"/>
                <w:highlight w:val="none"/>
                <w:u w:val="none"/>
                <w:lang w:val="en-US" w:eastAsia="zh-CN" w:bidi="ar-SA"/>
              </w:rPr>
              <w:t>前。</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8月25</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地点：广州市南沙区金融大厦1807会议室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3"/>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综合评分法</w:t>
            </w:r>
          </w:p>
        </w:tc>
      </w:tr>
      <w:bookmarkEnd w:id="41"/>
    </w:tbl>
    <w:p>
      <w:pPr>
        <w:spacing w:line="240" w:lineRule="auto"/>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spacing w:line="240" w:lineRule="auto"/>
        <w:jc w:val="left"/>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广州南沙湿地旅游发展有限公司</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 xml:space="preserve">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3"/>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val="en-US"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3"/>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日前，招标人可对招标文件进行必要的澄清或修改。</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3"/>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11.6项目负责人职称证复印件。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报价表。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技术标文件（独立成册）。</w:t>
      </w:r>
    </w:p>
    <w:p>
      <w:pPr>
        <w:pStyle w:val="9"/>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3</w:t>
      </w:r>
      <w:r>
        <w:rPr>
          <w:rFonts w:hAnsi="宋体" w:cs="宋体"/>
          <w:color w:val="auto"/>
          <w:sz w:val="24"/>
          <w:highlight w:val="none"/>
        </w:rPr>
        <w:t xml:space="preserve"> 投标文件电子版（刻录光盘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w:t>
      </w:r>
      <w:r>
        <w:rPr>
          <w:rFonts w:hAnsi="宋体" w:cs="宋体"/>
          <w:color w:val="auto"/>
          <w:sz w:val="24"/>
          <w:highlight w:val="none"/>
        </w:rPr>
        <w:t>）</w:t>
      </w:r>
      <w:r>
        <w:rPr>
          <w:rFonts w:hint="eastAsia" w:hAnsi="宋体" w:cs="宋体"/>
          <w:color w:val="auto"/>
          <w:sz w:val="24"/>
          <w:highlight w:val="none"/>
          <w:lang w:eastAsia="zh-CN"/>
        </w:rPr>
        <w:t>。</w:t>
      </w:r>
    </w:p>
    <w:p>
      <w:pPr>
        <w:pStyle w:val="9"/>
        <w:ind w:firstLine="480" w:firstLineChars="200"/>
        <w:rPr>
          <w:rFonts w:hint="eastAsia" w:hAnsi="宋体" w:cs="宋体"/>
          <w:color w:val="auto"/>
          <w:sz w:val="24"/>
          <w:highlight w:val="none"/>
          <w:lang w:val="en-US" w:eastAsia="zh-CN"/>
        </w:rPr>
      </w:pPr>
      <w:r>
        <w:rPr>
          <w:rFonts w:hint="eastAsia" w:hAnsi="宋体" w:cs="宋体"/>
          <w:color w:val="auto"/>
          <w:sz w:val="24"/>
          <w:highlight w:val="none"/>
          <w:lang w:val="en-US" w:eastAsia="zh-CN"/>
        </w:rPr>
        <w:t>11.14投标申请人声明。</w:t>
      </w:r>
    </w:p>
    <w:p>
      <w:pPr>
        <w:pStyle w:val="9"/>
        <w:ind w:firstLine="480" w:firstLineChars="200"/>
        <w:rPr>
          <w:rFonts w:hint="eastAsia" w:ascii="宋体" w:hAnsi="宋体" w:cs="宋体"/>
          <w:color w:val="auto"/>
          <w:sz w:val="24"/>
          <w:highlight w:val="none"/>
          <w:lang w:eastAsia="zh-CN"/>
        </w:rPr>
      </w:pPr>
      <w:r>
        <w:rPr>
          <w:rFonts w:hint="eastAsia" w:hAnsi="宋体" w:cs="宋体"/>
          <w:color w:val="auto"/>
          <w:sz w:val="24"/>
          <w:highlight w:val="none"/>
          <w:lang w:val="en-US" w:eastAsia="zh-CN"/>
        </w:rPr>
        <w:t>11.15</w:t>
      </w:r>
      <w:r>
        <w:rPr>
          <w:rFonts w:hint="eastAsia" w:ascii="宋体" w:hAnsi="宋体" w:cs="宋体"/>
          <w:color w:val="auto"/>
          <w:sz w:val="24"/>
          <w:highlight w:val="none"/>
          <w:lang w:eastAsia="zh-CN"/>
        </w:rPr>
        <w:t>施工组织方案（含安全措施</w:t>
      </w:r>
      <w:r>
        <w:rPr>
          <w:rFonts w:hint="eastAsia" w:ascii="宋体" w:hAnsi="宋体" w:eastAsia="宋体" w:cs="宋体"/>
          <w:color w:val="auto"/>
          <w:sz w:val="24"/>
          <w:highlight w:val="none"/>
          <w:lang w:eastAsia="zh-CN"/>
        </w:rPr>
        <w:t>）</w:t>
      </w:r>
    </w:p>
    <w:p>
      <w:pPr>
        <w:pStyle w:val="9"/>
        <w:ind w:firstLine="480" w:firstLineChars="200"/>
        <w:rPr>
          <w:rFonts w:hint="default" w:hAnsi="宋体" w:eastAsia="宋体" w:cs="宋体"/>
          <w:color w:val="auto"/>
          <w:sz w:val="24"/>
          <w:highlight w:val="none"/>
          <w:lang w:val="en-US" w:eastAsia="zh-CN"/>
        </w:rPr>
      </w:pPr>
      <w:r>
        <w:rPr>
          <w:rFonts w:hint="eastAsia" w:hAnsi="宋体" w:cs="宋体"/>
          <w:color w:val="auto"/>
          <w:sz w:val="24"/>
          <w:highlight w:val="none"/>
          <w:lang w:val="en-US" w:eastAsia="zh-CN"/>
        </w:rPr>
        <w:t>11.16投标人认为需要提供的其他文件。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3"/>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3"/>
        <w:widowControl/>
        <w:numPr>
          <w:ilvl w:val="0"/>
          <w:numId w:val="2"/>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3"/>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4" w:name="_Toc1632"/>
      <w:bookmarkStart w:id="5"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pPr>
        <w:rPr>
          <w:rFonts w:ascii="宋体" w:hAnsi="宋体" w:eastAsia="宋体" w:cs="宋体"/>
          <w:b/>
          <w:color w:val="auto"/>
          <w:sz w:val="30"/>
          <w:szCs w:val="30"/>
          <w:highlight w:val="none"/>
        </w:rPr>
      </w:pPr>
    </w:p>
    <w:p>
      <w:pPr>
        <w:numPr>
          <w:ilvl w:val="0"/>
          <w:numId w:val="3"/>
        </w:numPr>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项目概况</w:t>
      </w:r>
    </w:p>
    <w:p>
      <w:pPr>
        <w:numPr>
          <w:ilvl w:val="0"/>
          <w:numId w:val="0"/>
        </w:numPr>
        <w:ind w:firstLine="640" w:firstLineChars="200"/>
        <w:rPr>
          <w:rFonts w:hint="eastAsia" w:ascii="仿宋_GB2312" w:hAnsi="仿宋_GB2312" w:eastAsia="仿宋_GB2312" w:cs="仿宋_GB2312"/>
          <w:b/>
          <w:color w:val="auto"/>
          <w:kern w:val="0"/>
          <w:sz w:val="32"/>
          <w:szCs w:val="32"/>
          <w:highlight w:val="none"/>
          <w:lang w:eastAsia="zh-CN"/>
        </w:rPr>
      </w:pPr>
      <w:r>
        <w:rPr>
          <w:rFonts w:hint="eastAsia" w:ascii="仿宋_GB2312" w:hAnsi="仿宋_GB2312" w:eastAsia="仿宋_GB2312" w:cs="仿宋_GB2312"/>
          <w:color w:val="auto"/>
          <w:sz w:val="32"/>
          <w:szCs w:val="32"/>
          <w:highlight w:val="none"/>
        </w:rPr>
        <w:t>项目</w:t>
      </w:r>
      <w:r>
        <w:rPr>
          <w:rFonts w:hint="eastAsia" w:ascii="仿宋_GB2312" w:hAnsi="仿宋_GB2312" w:eastAsia="仿宋_GB2312" w:cs="仿宋_GB2312"/>
          <w:color w:val="auto"/>
          <w:sz w:val="32"/>
          <w:szCs w:val="32"/>
          <w:highlight w:val="none"/>
          <w:lang w:eastAsia="zh-CN"/>
        </w:rPr>
        <w:t>位于</w:t>
      </w:r>
      <w:r>
        <w:rPr>
          <w:rFonts w:hint="eastAsia" w:ascii="仿宋_GB2312" w:hAnsi="仿宋_GB2312" w:eastAsia="仿宋_GB2312" w:cs="仿宋_GB2312"/>
          <w:color w:val="auto"/>
          <w:sz w:val="32"/>
          <w:szCs w:val="32"/>
          <w:highlight w:val="none"/>
        </w:rPr>
        <w:t>广州市南沙区</w:t>
      </w:r>
      <w:r>
        <w:rPr>
          <w:rFonts w:hint="eastAsia" w:ascii="仿宋_GB2312" w:hAnsi="仿宋_GB2312" w:eastAsia="仿宋_GB2312" w:cs="仿宋_GB2312"/>
          <w:color w:val="auto"/>
          <w:sz w:val="32"/>
          <w:szCs w:val="32"/>
          <w:highlight w:val="none"/>
          <w:lang w:eastAsia="zh-CN"/>
        </w:rPr>
        <w:t>湿地公园景区二期内，</w:t>
      </w:r>
      <w:r>
        <w:rPr>
          <w:rFonts w:hint="eastAsia" w:ascii="仿宋_GB2312" w:hAnsi="仿宋_GB2312" w:eastAsia="仿宋_GB2312" w:cs="仿宋_GB2312"/>
          <w:color w:val="auto"/>
          <w:sz w:val="32"/>
          <w:szCs w:val="32"/>
          <w:highlight w:val="none"/>
        </w:rPr>
        <w:t>占地面积约</w:t>
      </w:r>
      <w:r>
        <w:rPr>
          <w:rFonts w:hint="eastAsia" w:ascii="仿宋_GB2312" w:hAnsi="仿宋_GB2312" w:eastAsia="仿宋_GB2312" w:cs="仿宋_GB2312"/>
          <w:color w:val="auto"/>
          <w:sz w:val="32"/>
          <w:szCs w:val="32"/>
          <w:highlight w:val="none"/>
          <w:lang w:val="en-US" w:eastAsia="zh-CN"/>
        </w:rPr>
        <w:t>41000</w:t>
      </w:r>
      <w:r>
        <w:rPr>
          <w:rFonts w:hint="eastAsia" w:ascii="仿宋_GB2312" w:hAnsi="仿宋_GB2312" w:eastAsia="仿宋_GB2312" w:cs="仿宋_GB2312"/>
          <w:color w:val="auto"/>
          <w:sz w:val="32"/>
          <w:szCs w:val="32"/>
          <w:highlight w:val="none"/>
        </w:rPr>
        <w:t>平方米，主要建设水上栈道、空中步道、活动平台、配套服务活动设施、草坪、钓鱼台等</w:t>
      </w:r>
      <w:r>
        <w:rPr>
          <w:rFonts w:hint="eastAsia" w:ascii="仿宋_GB2312" w:hAnsi="仿宋_GB2312" w:eastAsia="仿宋_GB2312" w:cs="仿宋_GB2312"/>
          <w:color w:val="auto"/>
          <w:sz w:val="32"/>
          <w:szCs w:val="32"/>
          <w:highlight w:val="none"/>
          <w:lang w:eastAsia="zh-CN"/>
        </w:rPr>
        <w:t>，提升湿地景区红树林的观赏性和艺术氛围</w:t>
      </w:r>
      <w:r>
        <w:rPr>
          <w:rFonts w:hint="eastAsia" w:ascii="仿宋_GB2312" w:hAnsi="仿宋_GB2312" w:eastAsia="仿宋_GB2312" w:cs="仿宋_GB2312"/>
          <w:color w:val="auto"/>
          <w:sz w:val="32"/>
          <w:szCs w:val="32"/>
          <w:highlight w:val="none"/>
          <w:shd w:val="clear"/>
        </w:rPr>
        <w:t>。</w:t>
      </w:r>
      <w:r>
        <w:rPr>
          <w:rFonts w:hint="eastAsia" w:ascii="仿宋_GB2312" w:hAnsi="仿宋_GB2312" w:eastAsia="仿宋_GB2312" w:cs="仿宋_GB2312"/>
          <w:color w:val="auto"/>
          <w:sz w:val="32"/>
          <w:szCs w:val="32"/>
          <w:highlight w:val="none"/>
          <w:shd w:val="clear"/>
          <w:lang w:eastAsia="zh-CN"/>
        </w:rPr>
        <w:t>总投资约</w:t>
      </w:r>
      <w:r>
        <w:rPr>
          <w:rFonts w:hint="eastAsia" w:ascii="仿宋_GB2312" w:hAnsi="仿宋_GB2312" w:eastAsia="仿宋_GB2312" w:cs="仿宋_GB2312"/>
          <w:color w:val="auto"/>
          <w:sz w:val="32"/>
          <w:szCs w:val="32"/>
          <w:highlight w:val="none"/>
          <w:lang w:val="en-US" w:eastAsia="zh-CN"/>
        </w:rPr>
        <w:t>330</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eastAsia="zh-CN"/>
        </w:rPr>
        <w:t>。</w:t>
      </w:r>
    </w:p>
    <w:p>
      <w:pPr>
        <w:numPr>
          <w:ilvl w:val="0"/>
          <w:numId w:val="0"/>
        </w:numP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二、招标范围</w:t>
      </w:r>
    </w:p>
    <w:p>
      <w:pPr>
        <w:pStyle w:val="9"/>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招标图纸及工程量清单范围内施工专业承包（承包人需按发包人要求施工，根据现场实际情况施工，设计图纸有调整时，必须服从要求调整）。</w:t>
      </w:r>
    </w:p>
    <w:p>
      <w:pPr>
        <w:pStyle w:val="9"/>
        <w:rPr>
          <w:rFonts w:hint="eastAsia" w:ascii="仿宋_GB2312" w:hAnsi="仿宋_GB2312" w:eastAsia="仿宋_GB2312" w:cs="仿宋_GB2312"/>
          <w:color w:val="auto"/>
          <w:sz w:val="32"/>
          <w:szCs w:val="32"/>
          <w:highlight w:val="none"/>
        </w:rPr>
      </w:pPr>
    </w:p>
    <w:p>
      <w:pPr>
        <w:ind w:firstLine="480" w:firstLineChars="200"/>
        <w:rPr>
          <w:rFonts w:asciiTheme="minorEastAsia" w:hAnsiTheme="minorEastAsia" w:cstheme="minorEastAsia"/>
          <w:color w:val="auto"/>
          <w:kern w:val="0"/>
          <w:sz w:val="24"/>
          <w:highlight w:val="none"/>
        </w:rPr>
      </w:pPr>
    </w:p>
    <w:p>
      <w:pP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广州南沙湿地旅游发展有限公司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南沙湿地二期艺术区景观提升项目施工总承包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南沙湿地二期艺术区景观提升项目施工总承包</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广州南沙湿地旅游发展有限公司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2"/>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23342668"/>
      <w:bookmarkEnd w:id="6"/>
      <w:bookmarkStart w:id="7" w:name="_Toc216145749"/>
      <w:bookmarkEnd w:id="7"/>
      <w:r>
        <w:rPr>
          <w:rFonts w:hint="eastAsia" w:ascii="宋体" w:hAnsi="宋体" w:eastAsia="宋体" w:cs="黑体"/>
          <w:color w:val="auto"/>
          <w:sz w:val="28"/>
          <w:szCs w:val="28"/>
          <w:highlight w:val="none"/>
        </w:rPr>
        <w:t>格式三：</w:t>
      </w:r>
    </w:p>
    <w:p>
      <w:pPr>
        <w:pStyle w:val="24"/>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4"/>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4"/>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4"/>
        <w:widowControl/>
        <w:ind w:firstLine="618"/>
        <w:rPr>
          <w:b/>
          <w:color w:val="auto"/>
          <w:sz w:val="30"/>
          <w:szCs w:val="30"/>
          <w:highlight w:val="none"/>
        </w:rPr>
      </w:pPr>
      <w:r>
        <w:rPr>
          <w:b/>
          <w:color w:val="auto"/>
          <w:sz w:val="30"/>
          <w:szCs w:val="30"/>
          <w:highlight w:val="none"/>
        </w:rPr>
        <w:t xml:space="preserve"> </w:t>
      </w:r>
    </w:p>
    <w:p>
      <w:pPr>
        <w:pStyle w:val="24"/>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4"/>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4"/>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2"/>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2"/>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4"/>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广州南沙湿地旅游发展有限公司</w:t>
      </w:r>
      <w:r>
        <w:rPr>
          <w:rFonts w:hint="eastAsia" w:ascii="宋体" w:hAnsi="宋体" w:eastAsia="宋体" w:cs="宋体"/>
          <w:color w:val="auto"/>
          <w:sz w:val="24"/>
          <w:highlight w:val="none"/>
          <w:u w:val="single"/>
        </w:rPr>
        <w:t>、广州南沙建设维护管理有限公司</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南沙湿地二期艺术区景观提升项目施工总承包</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415833503"/>
      <w:bookmarkEnd w:id="11"/>
      <w:bookmarkStart w:id="12" w:name="_Toc196130013"/>
      <w:bookmarkEnd w:id="12"/>
      <w:bookmarkStart w:id="13" w:name="_Toc196036941"/>
      <w:bookmarkEnd w:id="13"/>
      <w:bookmarkStart w:id="14" w:name="_Toc199647675"/>
      <w:bookmarkEnd w:id="14"/>
      <w:bookmarkStart w:id="15" w:name="_Toc196037097"/>
      <w:bookmarkEnd w:id="15"/>
      <w:bookmarkStart w:id="16" w:name="_Toc415728297"/>
      <w:bookmarkEnd w:id="16"/>
      <w:bookmarkStart w:id="17" w:name="_Toc197235848"/>
      <w:bookmarkEnd w:id="17"/>
      <w:bookmarkStart w:id="18" w:name="_Toc41822703"/>
      <w:bookmarkEnd w:id="18"/>
      <w:bookmarkStart w:id="19" w:name="_Toc459403394"/>
      <w:bookmarkEnd w:id="19"/>
      <w:bookmarkStart w:id="20" w:name="_Toc326909213"/>
      <w:bookmarkEnd w:id="20"/>
      <w:bookmarkStart w:id="21" w:name="_Toc196130110"/>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196130111"/>
      <w:bookmarkEnd w:id="24"/>
      <w:bookmarkStart w:id="25" w:name="_Toc199647676"/>
      <w:bookmarkEnd w:id="25"/>
      <w:bookmarkStart w:id="26" w:name="_Toc197235849"/>
      <w:bookmarkEnd w:id="26"/>
      <w:bookmarkStart w:id="27" w:name="_Toc196036942"/>
      <w:bookmarkEnd w:id="27"/>
      <w:bookmarkStart w:id="28" w:name="_Toc196037098"/>
      <w:bookmarkEnd w:id="28"/>
      <w:bookmarkStart w:id="29" w:name="_Toc415728298"/>
      <w:bookmarkEnd w:id="29"/>
      <w:bookmarkStart w:id="30" w:name="_Toc415833504"/>
      <w:bookmarkEnd w:id="30"/>
      <w:bookmarkStart w:id="31" w:name="_Toc326909214"/>
      <w:bookmarkEnd w:id="31"/>
      <w:bookmarkStart w:id="32" w:name="_Toc196130014"/>
      <w:bookmarkEnd w:id="32"/>
      <w:bookmarkStart w:id="33" w:name="_Toc459403395"/>
      <w:bookmarkEnd w:id="33"/>
      <w:bookmarkStart w:id="34" w:name="_Toc462911099"/>
    </w:p>
    <w:bookmarkEnd w:id="3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六</w:t>
      </w:r>
      <w:r>
        <w:rPr>
          <w:rFonts w:hint="eastAsia" w:ascii="仿宋" w:hAnsi="仿宋" w:eastAsia="仿宋" w:cs="宋体"/>
          <w:color w:val="auto"/>
          <w:sz w:val="28"/>
          <w:szCs w:val="28"/>
          <w:highlight w:val="none"/>
        </w:rPr>
        <w:t>：</w:t>
      </w: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七</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2、项目负责人必须附执业证书及资格证书（项目负责人提供）、身份证、职称证书及业绩等证明材料（复印件，加盖单位公章）。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4"/>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八</w:t>
      </w:r>
      <w:r>
        <w:rPr>
          <w:rFonts w:hint="eastAsia" w:ascii="宋体" w:hAnsi="宋体" w:eastAsia="宋体" w:cs="黑体"/>
          <w:b/>
          <w:color w:val="auto"/>
          <w:spacing w:val="4"/>
          <w:kern w:val="0"/>
          <w:sz w:val="28"/>
          <w:szCs w:val="28"/>
          <w:highlight w:val="none"/>
        </w:rPr>
        <w:t>：</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en-US" w:eastAsia="zh-CN"/>
        </w:rPr>
        <w:t>投标</w:t>
      </w: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eastAsia="zh-CN"/>
              </w:rPr>
              <w:t>南沙湿地二期艺术区景观提升项目施工总承包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color w:val="auto"/>
                <w:highlight w:val="none"/>
                <w:lang w:val="en-US" w:eastAsia="zh-CN"/>
              </w:rPr>
            </w:pPr>
            <w:r>
              <w:rPr>
                <w:rFonts w:hint="eastAsia"/>
                <w:color w:val="auto"/>
                <w:highlight w:val="none"/>
                <w:lang w:eastAsia="zh-CN"/>
              </w:rPr>
              <w:t>下浮率：</w:t>
            </w:r>
            <w:r>
              <w:rPr>
                <w:rFonts w:hint="eastAsia"/>
                <w:color w:val="auto"/>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p>
        </w:tc>
        <w:tc>
          <w:tcPr>
            <w:tcW w:w="6699" w:type="dxa"/>
            <w:vAlign w:val="center"/>
          </w:tcPr>
          <w:p>
            <w:pPr>
              <w:autoSpaceDE w:val="0"/>
              <w:autoSpaceDN w:val="0"/>
              <w:adjustRightInd w:val="0"/>
              <w:snapToGrid w:val="0"/>
              <w:spacing w:line="360" w:lineRule="auto"/>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为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711" w:type="dxa"/>
            <w:vAlign w:val="center"/>
          </w:tcPr>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bCs/>
                <w:color w:val="auto"/>
                <w:szCs w:val="21"/>
                <w:highlight w:val="none"/>
                <w:lang w:val="en-US" w:eastAsia="zh-CN"/>
              </w:rPr>
              <w:t>工期</w:t>
            </w: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9"/>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9"/>
        <w:spacing w:line="360" w:lineRule="auto"/>
        <w:ind w:firstLine="210" w:firstLineChars="100"/>
        <w:rPr>
          <w:rFonts w:hint="eastAsia" w:ascii="宋体" w:hAnsi="宋体" w:eastAsia="宋体" w:cs="宋体"/>
          <w:color w:val="auto"/>
          <w:sz w:val="21"/>
          <w:szCs w:val="21"/>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color w:val="auto"/>
          <w:sz w:val="21"/>
          <w:szCs w:val="21"/>
          <w:highlight w:val="none"/>
        </w:rPr>
        <w:t>本项目</w:t>
      </w:r>
      <w:r>
        <w:rPr>
          <w:rFonts w:hint="eastAsia" w:hAnsi="宋体" w:cs="宋体"/>
          <w:color w:val="auto"/>
          <w:sz w:val="21"/>
          <w:szCs w:val="21"/>
          <w:highlight w:val="none"/>
          <w:lang w:eastAsia="zh-CN"/>
        </w:rPr>
        <w:t>招标控制价详见投标须知前附表约定。</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9"/>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w:t>
      </w:r>
      <w:r>
        <w:rPr>
          <w:rFonts w:hint="eastAsia" w:ascii="仿宋" w:hAnsi="仿宋" w:eastAsia="仿宋" w:cs="仿宋"/>
          <w:color w:val="auto"/>
          <w:sz w:val="28"/>
          <w:szCs w:val="28"/>
          <w:highlight w:val="none"/>
          <w:lang w:eastAsia="zh-CN"/>
        </w:rPr>
        <w:t>施工总承包</w:t>
      </w:r>
      <w:r>
        <w:rPr>
          <w:rFonts w:hint="eastAsia" w:ascii="仿宋" w:hAnsi="仿宋" w:eastAsia="仿宋" w:cs="仿宋"/>
          <w:color w:val="auto"/>
          <w:sz w:val="28"/>
          <w:szCs w:val="28"/>
          <w:highlight w:val="none"/>
        </w:rPr>
        <w:t>单位，为保证招标“公开、公平、公正”，根据国家有关工程建设招标投标的法律、法规和方针、政策，制定本评标细则，实行评标的规范化、标准化、科学化。</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w:t>
      </w:r>
      <w:r>
        <w:rPr>
          <w:rFonts w:hint="eastAsia" w:ascii="仿宋" w:hAnsi="仿宋" w:eastAsia="仿宋" w:cs="仿宋"/>
          <w:color w:val="auto"/>
          <w:sz w:val="28"/>
          <w:szCs w:val="28"/>
          <w:highlight w:val="none"/>
          <w:lang w:eastAsia="zh-CN"/>
        </w:rPr>
        <w:t>施工总承包</w:t>
      </w:r>
      <w:r>
        <w:rPr>
          <w:rFonts w:hint="eastAsia" w:ascii="仿宋" w:hAnsi="仿宋" w:eastAsia="仿宋" w:cs="仿宋"/>
          <w:color w:val="auto"/>
          <w:sz w:val="28"/>
          <w:szCs w:val="28"/>
          <w:highlight w:val="none"/>
        </w:rPr>
        <w:t>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9"/>
        <w:widowControl/>
        <w:spacing w:line="360" w:lineRule="auto"/>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9"/>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9"/>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360" w:lineRule="auto"/>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360" w:lineRule="auto"/>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360" w:lineRule="auto"/>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a、投标人名称；b、标书密封情况；c、法定代表人证明及授权委托；d、项目负责人名称；e、投标报价等主要内容以及开标记录表中的其他必要内容，并予以记录，记录提交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w:t>
      </w:r>
      <w:r>
        <w:rPr>
          <w:rFonts w:hint="eastAsia" w:ascii="仿宋" w:hAnsi="仿宋" w:eastAsia="仿宋" w:cs="仿宋"/>
          <w:color w:val="auto"/>
          <w:sz w:val="28"/>
          <w:szCs w:val="28"/>
          <w:highlight w:val="none"/>
          <w:u w:val="none"/>
        </w:rPr>
        <w:t>若出现得分相同的单位，按报价低者排前的原则，若报价亦一致的，由评标</w:t>
      </w:r>
      <w:r>
        <w:rPr>
          <w:rFonts w:hint="eastAsia" w:ascii="仿宋" w:hAnsi="仿宋" w:eastAsia="仿宋" w:cs="仿宋"/>
          <w:color w:val="auto"/>
          <w:sz w:val="28"/>
          <w:szCs w:val="28"/>
          <w:highlight w:val="none"/>
          <w:u w:val="none"/>
          <w:lang w:eastAsia="zh-CN"/>
        </w:rPr>
        <w:t>小组</w:t>
      </w:r>
      <w:r>
        <w:rPr>
          <w:rFonts w:hint="eastAsia" w:ascii="仿宋" w:hAnsi="仿宋" w:eastAsia="仿宋" w:cs="仿宋"/>
          <w:color w:val="auto"/>
          <w:sz w:val="28"/>
          <w:szCs w:val="28"/>
          <w:highlight w:val="none"/>
          <w:u w:val="none"/>
        </w:rPr>
        <w:t>采用记名投票方式，确定其排序</w:t>
      </w:r>
      <w:r>
        <w:rPr>
          <w:rFonts w:hint="eastAsia" w:ascii="仿宋" w:hAnsi="仿宋" w:eastAsia="仿宋" w:cs="仿宋"/>
          <w:color w:val="auto"/>
          <w:sz w:val="28"/>
          <w:szCs w:val="28"/>
          <w:highlight w:val="none"/>
        </w:rPr>
        <w:t>。</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snapToGrid/>
        <w:spacing w:line="240" w:lineRule="auto"/>
        <w:ind w:firstLine="0" w:firstLineChars="0"/>
        <w:jc w:val="left"/>
        <w:rPr>
          <w:rFonts w:hint="eastAsia"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1"/>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1"/>
        <w:widowControl/>
        <w:ind w:firstLine="562"/>
        <w:rPr>
          <w:rFonts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1"/>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pStyle w:val="21"/>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附件4 图纸（另附）</w:t>
      </w:r>
    </w:p>
    <w:p>
      <w:pPr>
        <w:pStyle w:val="21"/>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附件5 工程量清单（另附）</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投标函签名、并加盖公章有效，且内容与招标文件相同</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投标文件封面加盖投标人的法定印章并经投标人代表签字（或盖签章）</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6</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7</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投标工期满足招标文件要求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pPr>
        <w:snapToGrid w:val="0"/>
        <w:ind w:left="74"/>
        <w:outlineLvl w:val="0"/>
        <w:rPr>
          <w:rFonts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4"/>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797" w:type="dxa"/>
            <w:shd w:val="clear" w:color="auto" w:fill="auto"/>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240"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pStyle w:val="5"/>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15</w:t>
            </w:r>
            <w:r>
              <w:rPr>
                <w:rFonts w:hint="eastAsia" w:ascii="宋体" w:hAnsi="宋体" w:eastAsia="宋体" w:cs="宋体"/>
                <w:b w:val="0"/>
                <w:bCs/>
                <w:color w:val="auto"/>
                <w:szCs w:val="21"/>
                <w:highlight w:val="none"/>
                <w:lang w:val="en-US" w:eastAsia="zh-CN"/>
              </w:rPr>
              <w:t>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认证体系</w:t>
            </w:r>
          </w:p>
        </w:tc>
        <w:tc>
          <w:tcPr>
            <w:tcW w:w="709" w:type="dxa"/>
            <w:shd w:val="clear" w:color="auto" w:fill="auto"/>
            <w:vAlign w:val="center"/>
          </w:tcPr>
          <w:p>
            <w:pPr>
              <w:spacing w:line="220" w:lineRule="exact"/>
              <w:ind w:left="-2" w:leftChars="-1"/>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w:t>
            </w:r>
          </w:p>
        </w:tc>
        <w:tc>
          <w:tcPr>
            <w:tcW w:w="9797" w:type="dxa"/>
            <w:shd w:val="clear" w:color="auto" w:fill="auto"/>
            <w:vAlign w:val="center"/>
          </w:tcPr>
          <w:p>
            <w:pPr>
              <w:pStyle w:val="9"/>
              <w:rPr>
                <w:rFonts w:hint="default" w:ascii="宋体" w:hAnsi="宋体" w:eastAsia="宋体" w:cs="宋体"/>
                <w:color w:val="auto"/>
                <w:highlight w:val="none"/>
                <w:lang w:val="en-US" w:eastAsia="zh-CN"/>
              </w:rPr>
            </w:pP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同时具有有效的</w:t>
            </w:r>
            <w:r>
              <w:rPr>
                <w:rFonts w:ascii="宋体" w:hAnsi="宋体" w:eastAsia="宋体" w:cs="宋体"/>
                <w:color w:val="auto"/>
                <w:szCs w:val="21"/>
                <w:highlight w:val="none"/>
              </w:rPr>
              <w:t>ISO9001</w:t>
            </w:r>
            <w:r>
              <w:rPr>
                <w:rFonts w:hint="eastAsia" w:ascii="宋体" w:hAnsi="宋体" w:eastAsia="宋体" w:cs="宋体"/>
                <w:color w:val="auto"/>
                <w:szCs w:val="21"/>
                <w:highlight w:val="none"/>
              </w:rPr>
              <w:t>质量管理体系认证证书、</w:t>
            </w:r>
            <w:r>
              <w:rPr>
                <w:rFonts w:ascii="宋体" w:hAnsi="宋体" w:eastAsia="宋体" w:cs="宋体"/>
                <w:color w:val="auto"/>
                <w:szCs w:val="21"/>
                <w:highlight w:val="none"/>
              </w:rPr>
              <w:t>ISO14001</w:t>
            </w:r>
            <w:r>
              <w:rPr>
                <w:rFonts w:hint="eastAsia" w:ascii="宋体" w:hAnsi="宋体" w:eastAsia="宋体" w:cs="宋体"/>
                <w:color w:val="auto"/>
                <w:szCs w:val="21"/>
                <w:highlight w:val="none"/>
              </w:rPr>
              <w:t>环境管理体系认证证书、</w:t>
            </w:r>
            <w:r>
              <w:rPr>
                <w:rFonts w:ascii="宋体" w:hAnsi="宋体" w:eastAsia="宋体" w:cs="宋体"/>
                <w:color w:val="auto"/>
                <w:szCs w:val="21"/>
                <w:highlight w:val="none"/>
              </w:rPr>
              <w:t>ISO18001</w:t>
            </w:r>
            <w:r>
              <w:rPr>
                <w:rFonts w:hint="eastAsia" w:ascii="宋体" w:hAnsi="宋体" w:eastAsia="宋体" w:cs="宋体"/>
                <w:color w:val="auto"/>
                <w:szCs w:val="21"/>
                <w:highlight w:val="none"/>
              </w:rPr>
              <w:t>职业健康安全管理体系认证证书的得</w:t>
            </w:r>
            <w:r>
              <w:rPr>
                <w:rFonts w:hint="eastAsia" w:hAnsi="宋体" w:cs="宋体"/>
                <w:color w:val="auto"/>
                <w:szCs w:val="21"/>
                <w:highlight w:val="none"/>
                <w:lang w:val="en-US" w:eastAsia="zh-CN"/>
              </w:rPr>
              <w:t>3</w:t>
            </w:r>
            <w:r>
              <w:rPr>
                <w:rFonts w:hint="eastAsia" w:ascii="宋体" w:hAnsi="宋体" w:eastAsia="宋体" w:cs="宋体"/>
                <w:color w:val="auto"/>
                <w:szCs w:val="21"/>
                <w:highlight w:val="none"/>
              </w:rPr>
              <w:t>分，</w:t>
            </w:r>
            <w:r>
              <w:rPr>
                <w:rFonts w:hint="eastAsia" w:hAnsi="宋体" w:cs="宋体"/>
                <w:color w:val="auto"/>
                <w:szCs w:val="21"/>
                <w:highlight w:val="none"/>
                <w:lang w:eastAsia="zh-CN"/>
              </w:rPr>
              <w:t>每</w:t>
            </w:r>
            <w:r>
              <w:rPr>
                <w:rFonts w:hint="eastAsia" w:hAnsi="宋体" w:cs="宋体"/>
                <w:color w:val="auto"/>
                <w:szCs w:val="21"/>
                <w:highlight w:val="none"/>
                <w:lang w:val="en-US" w:eastAsia="zh-CN"/>
              </w:rPr>
              <w:t>缺一项扣1分，其余情况不得分</w:t>
            </w:r>
            <w:r>
              <w:rPr>
                <w:rFonts w:hint="eastAsia" w:ascii="宋体" w:hAnsi="宋体" w:eastAsia="宋体" w:cs="宋体"/>
                <w:color w:val="auto"/>
                <w:szCs w:val="21"/>
                <w:highlight w:val="none"/>
              </w:rPr>
              <w:t>。</w:t>
            </w:r>
          </w:p>
        </w:tc>
        <w:tc>
          <w:tcPr>
            <w:tcW w:w="240" w:type="dxa"/>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ind w:left="42" w:leftChars="20" w:right="42" w:rightChars="2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eastAsia="zh-CN"/>
              </w:rPr>
              <w:t>业绩情况</w:t>
            </w:r>
          </w:p>
        </w:tc>
        <w:tc>
          <w:tcPr>
            <w:tcW w:w="709" w:type="dxa"/>
            <w:shd w:val="clear" w:color="auto" w:fill="auto"/>
            <w:vAlign w:val="center"/>
          </w:tcPr>
          <w:p>
            <w:pPr>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position w:val="8"/>
                <w:szCs w:val="21"/>
                <w:highlight w:val="none"/>
                <w:lang w:val="en-US" w:eastAsia="zh-CN"/>
              </w:rPr>
              <w:t>5</w:t>
            </w:r>
          </w:p>
        </w:tc>
        <w:tc>
          <w:tcPr>
            <w:tcW w:w="9797" w:type="dxa"/>
            <w:shd w:val="clear" w:color="auto" w:fill="auto"/>
            <w:vAlign w:val="center"/>
          </w:tcPr>
          <w:p>
            <w:pPr>
              <w:pStyle w:val="13"/>
              <w:adjustRightInd w:val="0"/>
              <w:snapToGrid w:val="0"/>
              <w:ind w:firstLine="0"/>
              <w:rPr>
                <w:rFonts w:hint="default"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rPr>
              <w:t>提供</w:t>
            </w:r>
            <w:r>
              <w:rPr>
                <w:rFonts w:hint="eastAsia" w:ascii="宋体" w:hAnsi="宋体" w:eastAsia="宋体" w:cs="宋体"/>
                <w:color w:val="auto"/>
                <w:szCs w:val="21"/>
                <w:highlight w:val="none"/>
              </w:rPr>
              <w:t>自201</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年1月1日至今</w:t>
            </w:r>
            <w:r>
              <w:rPr>
                <w:rFonts w:hint="eastAsia" w:ascii="宋体" w:hAnsi="宋体" w:cs="宋体"/>
                <w:color w:val="auto"/>
                <w:szCs w:val="21"/>
                <w:highlight w:val="none"/>
                <w:lang w:eastAsia="zh-CN"/>
              </w:rPr>
              <w:t>的</w:t>
            </w:r>
            <w:r>
              <w:rPr>
                <w:rFonts w:hint="eastAsia" w:ascii="宋体" w:hAnsi="宋体" w:eastAsia="宋体" w:cs="宋体"/>
                <w:color w:val="auto"/>
                <w:sz w:val="21"/>
                <w:szCs w:val="21"/>
                <w:highlight w:val="none"/>
              </w:rPr>
              <w:t>同类工程业绩（指已完工的、中标金额</w:t>
            </w:r>
            <w:r>
              <w:rPr>
                <w:rFonts w:hint="eastAsia" w:ascii="宋体" w:hAnsi="宋体" w:cs="宋体"/>
                <w:color w:val="auto"/>
                <w:sz w:val="21"/>
                <w:szCs w:val="21"/>
                <w:highlight w:val="none"/>
                <w:lang w:val="en-US" w:eastAsia="zh-CN"/>
              </w:rPr>
              <w:t>150</w:t>
            </w:r>
            <w:r>
              <w:rPr>
                <w:rFonts w:hint="eastAsia" w:ascii="宋体" w:hAnsi="宋体" w:eastAsia="宋体" w:cs="宋体"/>
                <w:color w:val="auto"/>
                <w:sz w:val="21"/>
                <w:szCs w:val="21"/>
                <w:highlight w:val="none"/>
              </w:rPr>
              <w:t>万元或以上的园林绿化</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市政公</w:t>
            </w:r>
            <w:r>
              <w:rPr>
                <w:rFonts w:hint="eastAsia" w:asciiTheme="minorHAnsi" w:hAnsiTheme="minorHAnsi" w:eastAsiaTheme="minorEastAsia" w:cstheme="minorBidi"/>
                <w:color w:val="auto"/>
                <w:sz w:val="21"/>
                <w:szCs w:val="24"/>
                <w:highlight w:val="none"/>
                <w:lang w:val="en-US" w:eastAsia="zh-CN"/>
              </w:rPr>
              <w:t>用工程</w:t>
            </w:r>
            <w:r>
              <w:rPr>
                <w:rFonts w:hint="eastAsia" w:asciiTheme="minorHAnsi" w:hAnsiTheme="minorHAnsi" w:eastAsiaTheme="minorEastAsia" w:cstheme="minorBidi"/>
                <w:color w:val="auto"/>
                <w:sz w:val="21"/>
                <w:szCs w:val="24"/>
                <w:highlight w:val="none"/>
              </w:rPr>
              <w:t>类业绩）；须同时提供施工合同、竣工验收证明。业绩金额以施工合同（不含补充合同）为准，完成时间以竣工验收时间为准。</w:t>
            </w:r>
            <w:r>
              <w:rPr>
                <w:rFonts w:hint="eastAsia" w:asciiTheme="minorHAnsi" w:hAnsiTheme="minorHAnsi" w:eastAsiaTheme="minorEastAsia" w:cstheme="minorBidi"/>
                <w:color w:val="auto"/>
                <w:szCs w:val="24"/>
                <w:highlight w:val="none"/>
                <w:lang w:val="en-US" w:eastAsia="zh-CN"/>
              </w:rPr>
              <w:t>每项业绩得1分，本项最高得5分。注：</w:t>
            </w:r>
            <w:r>
              <w:rPr>
                <w:rFonts w:hint="eastAsia" w:asciiTheme="minorHAnsi" w:hAnsiTheme="minorHAnsi" w:eastAsiaTheme="minorEastAsia" w:cstheme="minorBidi"/>
                <w:color w:val="auto"/>
                <w:sz w:val="21"/>
                <w:szCs w:val="24"/>
                <w:highlight w:val="none"/>
              </w:rPr>
              <w:t>证明文件中需体现工程名称、合同金额</w:t>
            </w:r>
            <w:r>
              <w:rPr>
                <w:rFonts w:hint="eastAsia" w:asciiTheme="minorHAnsi" w:hAnsiTheme="minorHAnsi" w:eastAsiaTheme="minorEastAsia" w:cstheme="minorBidi"/>
                <w:color w:val="auto"/>
                <w:sz w:val="21"/>
                <w:szCs w:val="24"/>
                <w:highlight w:val="none"/>
                <w:lang w:eastAsia="zh-CN"/>
              </w:rPr>
              <w:t>（</w:t>
            </w:r>
            <w:r>
              <w:rPr>
                <w:rFonts w:hint="eastAsia" w:asciiTheme="minorHAnsi" w:hAnsiTheme="minorHAnsi" w:eastAsiaTheme="minorEastAsia" w:cstheme="minorBidi"/>
                <w:color w:val="auto"/>
                <w:sz w:val="21"/>
                <w:szCs w:val="24"/>
                <w:highlight w:val="none"/>
              </w:rPr>
              <w:t>须为园林绿化</w:t>
            </w:r>
            <w:r>
              <w:rPr>
                <w:rFonts w:hint="eastAsia" w:asciiTheme="minorHAnsi" w:hAnsiTheme="minorHAnsi" w:eastAsiaTheme="minorEastAsia" w:cstheme="minorBidi"/>
                <w:color w:val="auto"/>
                <w:sz w:val="21"/>
                <w:szCs w:val="24"/>
                <w:highlight w:val="none"/>
                <w:lang w:eastAsia="zh-CN"/>
              </w:rPr>
              <w:t>、</w:t>
            </w:r>
            <w:r>
              <w:rPr>
                <w:rFonts w:hint="eastAsia" w:asciiTheme="minorHAnsi" w:hAnsiTheme="minorHAnsi" w:eastAsiaTheme="minorEastAsia" w:cstheme="minorBidi"/>
                <w:color w:val="auto"/>
                <w:sz w:val="21"/>
                <w:szCs w:val="24"/>
                <w:highlight w:val="none"/>
                <w:lang w:val="en-US" w:eastAsia="zh-CN"/>
              </w:rPr>
              <w:t>市政公用工程</w:t>
            </w:r>
            <w:r>
              <w:rPr>
                <w:rFonts w:hint="eastAsia" w:asciiTheme="minorHAnsi" w:hAnsiTheme="minorHAnsi" w:eastAsiaTheme="minorEastAsia" w:cstheme="minorBidi"/>
                <w:color w:val="auto"/>
                <w:sz w:val="21"/>
                <w:szCs w:val="24"/>
                <w:highlight w:val="none"/>
              </w:rPr>
              <w:t>施工金额</w:t>
            </w:r>
            <w:r>
              <w:rPr>
                <w:rFonts w:hint="eastAsia" w:asciiTheme="minorHAnsi" w:hAnsiTheme="minorHAnsi" w:eastAsiaTheme="minorEastAsia" w:cstheme="minorBidi"/>
                <w:color w:val="auto"/>
                <w:sz w:val="21"/>
                <w:szCs w:val="24"/>
                <w:highlight w:val="none"/>
                <w:lang w:eastAsia="zh-CN"/>
              </w:rPr>
              <w:t>）</w:t>
            </w:r>
            <w:r>
              <w:rPr>
                <w:rFonts w:hint="eastAsia" w:asciiTheme="minorHAnsi" w:hAnsiTheme="minorHAnsi" w:eastAsiaTheme="minorEastAsia" w:cstheme="minorBidi"/>
                <w:color w:val="auto"/>
                <w:sz w:val="21"/>
                <w:szCs w:val="24"/>
                <w:highlight w:val="none"/>
              </w:rPr>
              <w:t>、合同施工内容、规模指标、合同签订时间或竣工验收时间等信息。</w:t>
            </w:r>
          </w:p>
        </w:tc>
        <w:tc>
          <w:tcPr>
            <w:tcW w:w="240" w:type="dxa"/>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或</w:t>
            </w:r>
          </w:p>
        </w:tc>
        <w:tc>
          <w:tcPr>
            <w:tcW w:w="1406" w:type="dxa"/>
            <w:shd w:val="clear" w:color="auto" w:fill="auto"/>
            <w:vAlign w:val="center"/>
          </w:tcPr>
          <w:p>
            <w:pPr>
              <w:ind w:left="42" w:leftChars="20" w:right="42" w:rightChars="20"/>
              <w:jc w:val="center"/>
              <w:rPr>
                <w:rFonts w:hint="eastAsia" w:ascii="宋体" w:hAnsi="宋体" w:eastAsia="宋体" w:cs="宋体"/>
                <w:color w:val="auto"/>
                <w:kern w:val="2"/>
                <w:sz w:val="21"/>
                <w:szCs w:val="21"/>
                <w:highlight w:val="none"/>
                <w:lang w:val="en-US" w:eastAsia="zh-CN" w:bidi="ar-SA"/>
              </w:rPr>
            </w:pPr>
            <w:r>
              <w:rPr>
                <w:rFonts w:ascii="宋体" w:hAnsi="宋体"/>
                <w:color w:val="auto"/>
                <w:sz w:val="21"/>
                <w:szCs w:val="21"/>
                <w:highlight w:val="none"/>
              </w:rPr>
              <w:t>获奖情况</w:t>
            </w:r>
          </w:p>
        </w:tc>
        <w:tc>
          <w:tcPr>
            <w:tcW w:w="709" w:type="dxa"/>
            <w:shd w:val="clear" w:color="auto" w:fill="auto"/>
            <w:vAlign w:val="center"/>
          </w:tcPr>
          <w:p>
            <w:pPr>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position w:val="8"/>
                <w:szCs w:val="21"/>
                <w:highlight w:val="none"/>
                <w:lang w:val="en-US" w:eastAsia="zh-CN"/>
              </w:rPr>
              <w:t>5</w:t>
            </w:r>
          </w:p>
        </w:tc>
        <w:tc>
          <w:tcPr>
            <w:tcW w:w="9797" w:type="dxa"/>
            <w:shd w:val="clear" w:color="auto" w:fill="auto"/>
            <w:vAlign w:val="center"/>
          </w:tcPr>
          <w:p>
            <w:pPr>
              <w:adjustRightInd w:val="0"/>
              <w:snapToGrid w:val="0"/>
              <w:ind w:left="0" w:leftChars="0" w:right="0" w:rightChars="0"/>
              <w:rPr>
                <w:rFonts w:hint="eastAsia"/>
                <w:lang w:val="en-US" w:eastAsia="zh-CN"/>
              </w:rPr>
            </w:pPr>
            <w:r>
              <w:rPr>
                <w:rFonts w:hint="eastAsia"/>
                <w:lang w:eastAsia="zh-CN"/>
              </w:rPr>
              <w:t>提供</w:t>
            </w:r>
            <w:r>
              <w:rPr>
                <w:rFonts w:hint="eastAsia"/>
              </w:rPr>
              <w:t>自201</w:t>
            </w:r>
            <w:r>
              <w:rPr>
                <w:rFonts w:hint="eastAsia"/>
                <w:lang w:val="en-US" w:eastAsia="zh-CN"/>
              </w:rPr>
              <w:t>7</w:t>
            </w:r>
            <w:r>
              <w:rPr>
                <w:rFonts w:hint="eastAsia"/>
              </w:rPr>
              <w:t>年1月1日至今，企业园林绿化</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市政公</w:t>
            </w:r>
            <w:r>
              <w:rPr>
                <w:rFonts w:hint="eastAsia" w:asciiTheme="minorHAnsi" w:hAnsiTheme="minorHAnsi" w:eastAsiaTheme="minorEastAsia" w:cstheme="minorBidi"/>
                <w:color w:val="auto"/>
                <w:sz w:val="21"/>
                <w:szCs w:val="24"/>
                <w:highlight w:val="none"/>
                <w:lang w:val="en-US" w:eastAsia="zh-CN"/>
              </w:rPr>
              <w:t>用</w:t>
            </w:r>
            <w:r>
              <w:rPr>
                <w:rFonts w:hint="eastAsia"/>
              </w:rPr>
              <w:t>工程获奖证书原件扫描件或相关证明文件，并列表填写获奖时间、奖项名称（含颁奖单位）、工程项目名称（类别）等。</w:t>
            </w:r>
            <w:r>
              <w:rPr>
                <w:rFonts w:hint="eastAsia"/>
                <w:lang w:val="en-US" w:eastAsia="zh-CN"/>
              </w:rPr>
              <w:t>获得</w:t>
            </w:r>
            <w:r>
              <w:rPr>
                <w:rFonts w:hint="eastAsia"/>
              </w:rPr>
              <w:t>国家级奖项的，每个得</w:t>
            </w:r>
            <w:r>
              <w:rPr>
                <w:rFonts w:hint="eastAsia"/>
                <w:lang w:val="en-US" w:eastAsia="zh-CN"/>
              </w:rPr>
              <w:t>2</w:t>
            </w:r>
            <w:r>
              <w:rPr>
                <w:rFonts w:hint="eastAsia"/>
              </w:rPr>
              <w:t>分；获得省级奖项的，每</w:t>
            </w:r>
            <w:r>
              <w:rPr>
                <w:rFonts w:hint="eastAsia"/>
                <w:lang w:val="en-US" w:eastAsia="zh-CN"/>
              </w:rPr>
              <w:t>个</w:t>
            </w:r>
            <w:r>
              <w:rPr>
                <w:rFonts w:hint="eastAsia"/>
              </w:rPr>
              <w:t>得</w:t>
            </w:r>
            <w:r>
              <w:rPr>
                <w:rFonts w:hint="eastAsia"/>
                <w:lang w:val="en-US" w:eastAsia="zh-CN"/>
              </w:rPr>
              <w:t>1</w:t>
            </w:r>
            <w:r>
              <w:rPr>
                <w:rFonts w:hint="eastAsia"/>
              </w:rPr>
              <w:t>分</w:t>
            </w:r>
            <w:r>
              <w:rPr>
                <w:rFonts w:hint="eastAsia"/>
                <w:lang w:eastAsia="zh-CN"/>
              </w:rPr>
              <w:t>；</w:t>
            </w:r>
            <w:r>
              <w:rPr>
                <w:rFonts w:hint="eastAsia"/>
              </w:rPr>
              <w:t>获得</w:t>
            </w:r>
            <w:r>
              <w:rPr>
                <w:rFonts w:hint="eastAsia"/>
                <w:lang w:val="en-US" w:eastAsia="zh-CN"/>
              </w:rPr>
              <w:t>市</w:t>
            </w:r>
            <w:r>
              <w:rPr>
                <w:rFonts w:hint="eastAsia"/>
              </w:rPr>
              <w:t>级奖项的，每</w:t>
            </w:r>
            <w:r>
              <w:rPr>
                <w:rFonts w:hint="eastAsia"/>
                <w:lang w:val="en-US" w:eastAsia="zh-CN"/>
              </w:rPr>
              <w:t>个</w:t>
            </w:r>
            <w:r>
              <w:rPr>
                <w:rFonts w:hint="eastAsia"/>
              </w:rPr>
              <w:t>得</w:t>
            </w:r>
            <w:r>
              <w:rPr>
                <w:rFonts w:hint="eastAsia"/>
                <w:lang w:val="en-US" w:eastAsia="zh-CN"/>
              </w:rPr>
              <w:t>0.5</w:t>
            </w:r>
            <w:r>
              <w:rPr>
                <w:rFonts w:hint="eastAsia"/>
              </w:rPr>
              <w:t>分。</w:t>
            </w:r>
            <w:r>
              <w:rPr>
                <w:rFonts w:hint="eastAsia"/>
                <w:lang w:val="en-US" w:eastAsia="zh-CN"/>
              </w:rPr>
              <w:t>本项最多得5分。</w:t>
            </w:r>
          </w:p>
          <w:p>
            <w:pPr>
              <w:adjustRightInd w:val="0"/>
              <w:snapToGrid w:val="0"/>
              <w:rPr>
                <w:rFonts w:hint="eastAsia"/>
                <w:lang w:val="en-US" w:eastAsia="zh-CN"/>
              </w:rPr>
            </w:pPr>
            <w:r>
              <w:rPr>
                <w:rFonts w:hint="eastAsia" w:asciiTheme="minorHAnsi" w:hAnsiTheme="minorHAnsi" w:eastAsiaTheme="minorEastAsia" w:cstheme="minorBidi"/>
                <w:color w:val="auto"/>
                <w:kern w:val="2"/>
                <w:sz w:val="21"/>
                <w:szCs w:val="24"/>
                <w:highlight w:val="none"/>
                <w:lang w:bidi="ar"/>
              </w:rPr>
              <w:t>注：本项证明材料须提供获奖证书原件扫描件、颁奖单位在“全国社会组织信用信息公示平台”的查询结果，时间以获奖证书落款时间为准，未载明年度的以证书签署日期为准，同一个项目获多个奖项的只按最高奖项计分，不重复计算。</w:t>
            </w:r>
          </w:p>
        </w:tc>
        <w:tc>
          <w:tcPr>
            <w:tcW w:w="240"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napToGrid w:val="0"/>
              <w:ind w:left="-2" w:leftChars="-1"/>
              <w:jc w:val="center"/>
              <w:rPr>
                <w:rFonts w:hint="eastAsia" w:ascii="宋体" w:hAnsi="宋体" w:eastAsiaTheme="minorEastAsia" w:cstheme="minorBidi"/>
                <w:color w:val="auto"/>
                <w:kern w:val="2"/>
                <w:sz w:val="21"/>
                <w:szCs w:val="24"/>
                <w:highlight w:val="none"/>
                <w:lang w:val="en-US" w:eastAsia="zh-CN" w:bidi="ar-SA"/>
              </w:rPr>
            </w:pPr>
            <w:r>
              <w:rPr>
                <w:rFonts w:hint="eastAsia" w:ascii="宋体" w:hAnsi="宋体" w:eastAsia="宋体" w:cs="宋体"/>
                <w:color w:val="auto"/>
                <w:sz w:val="21"/>
                <w:szCs w:val="21"/>
                <w:highlight w:val="none"/>
              </w:rPr>
              <w:t>人员</w:t>
            </w:r>
            <w:r>
              <w:rPr>
                <w:rFonts w:hint="eastAsia" w:ascii="宋体" w:hAnsi="宋体" w:eastAsia="宋体" w:cs="宋体"/>
                <w:color w:val="auto"/>
                <w:sz w:val="21"/>
                <w:szCs w:val="21"/>
                <w:highlight w:val="none"/>
                <w:lang w:eastAsia="zh-CN"/>
              </w:rPr>
              <w:t>配置</w:t>
            </w:r>
          </w:p>
        </w:tc>
        <w:tc>
          <w:tcPr>
            <w:tcW w:w="709" w:type="dxa"/>
            <w:shd w:val="clear" w:color="auto" w:fill="auto"/>
            <w:vAlign w:val="center"/>
          </w:tcPr>
          <w:p>
            <w:pPr>
              <w:spacing w:line="220" w:lineRule="exact"/>
              <w:ind w:left="-2" w:leftChars="-1"/>
              <w:jc w:val="center"/>
              <w:rPr>
                <w:rFonts w:hint="eastAsia" w:ascii="宋体" w:hAnsi="宋体" w:cs="宋体" w:eastAsiaTheme="minorEastAsia"/>
                <w:color w:val="auto"/>
                <w:kern w:val="2"/>
                <w:position w:val="8"/>
                <w:sz w:val="21"/>
                <w:szCs w:val="24"/>
                <w:highlight w:val="none"/>
                <w:lang w:val="en-US" w:eastAsia="zh-CN" w:bidi="ar-SA"/>
              </w:rPr>
            </w:pPr>
            <w:r>
              <w:rPr>
                <w:rFonts w:hint="eastAsia" w:ascii="宋体" w:hAnsi="宋体" w:eastAsia="宋体" w:cs="宋体"/>
                <w:color w:val="auto"/>
                <w:szCs w:val="21"/>
                <w:highlight w:val="none"/>
                <w:lang w:val="en-US" w:eastAsia="zh-CN"/>
              </w:rPr>
              <w:t>2</w:t>
            </w:r>
          </w:p>
        </w:tc>
        <w:tc>
          <w:tcPr>
            <w:tcW w:w="9797" w:type="dxa"/>
            <w:shd w:val="clear" w:color="auto" w:fill="auto"/>
            <w:vAlign w:val="center"/>
          </w:tcPr>
          <w:p>
            <w:pPr>
              <w:numPr>
                <w:ilvl w:val="-1"/>
                <w:numId w:val="0"/>
              </w:num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1、项目负责人具有</w:t>
            </w:r>
            <w:r>
              <w:rPr>
                <w:rFonts w:hint="eastAsia" w:ascii="宋体" w:hAnsi="宋体" w:eastAsia="宋体" w:cs="宋体"/>
                <w:color w:val="auto"/>
                <w:sz w:val="21"/>
                <w:szCs w:val="21"/>
                <w:highlight w:val="none"/>
                <w:lang w:eastAsia="zh-CN"/>
              </w:rPr>
              <w:t>市政公用</w:t>
            </w:r>
            <w:r>
              <w:rPr>
                <w:rFonts w:hint="eastAsia" w:ascii="宋体" w:hAnsi="宋体" w:eastAsia="宋体" w:cs="宋体"/>
                <w:color w:val="auto"/>
                <w:sz w:val="21"/>
                <w:szCs w:val="21"/>
                <w:highlight w:val="none"/>
              </w:rPr>
              <w:t>工程</w:t>
            </w:r>
            <w:r>
              <w:rPr>
                <w:rFonts w:hint="eastAsia" w:ascii="宋体" w:hAnsi="宋体" w:eastAsia="宋体" w:cs="宋体"/>
                <w:color w:val="auto"/>
                <w:sz w:val="21"/>
                <w:szCs w:val="21"/>
                <w:highlight w:val="none"/>
                <w:lang w:eastAsia="zh-CN"/>
              </w:rPr>
              <w:t>一级</w:t>
            </w:r>
            <w:r>
              <w:rPr>
                <w:rFonts w:hint="eastAsia" w:ascii="宋体" w:hAnsi="宋体" w:eastAsia="宋体" w:cs="宋体"/>
                <w:color w:val="auto"/>
                <w:sz w:val="21"/>
                <w:szCs w:val="21"/>
                <w:highlight w:val="none"/>
                <w:lang w:val="en-US" w:eastAsia="zh-CN"/>
              </w:rPr>
              <w:t>注册</w:t>
            </w:r>
            <w:r>
              <w:rPr>
                <w:rFonts w:hint="eastAsia" w:ascii="宋体" w:hAnsi="宋体" w:eastAsia="宋体" w:cs="宋体"/>
                <w:color w:val="auto"/>
                <w:sz w:val="21"/>
                <w:szCs w:val="21"/>
                <w:highlight w:val="none"/>
                <w:lang w:eastAsia="zh-CN"/>
              </w:rPr>
              <w:t>建造</w:t>
            </w:r>
            <w:r>
              <w:rPr>
                <w:rFonts w:hint="eastAsia" w:ascii="宋体" w:hAnsi="宋体" w:eastAsia="宋体" w:cs="宋体"/>
                <w:color w:val="auto"/>
                <w:sz w:val="21"/>
                <w:szCs w:val="21"/>
                <w:highlight w:val="none"/>
              </w:rPr>
              <w:t>师</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lang w:val="en-US" w:eastAsia="zh-CN"/>
              </w:rPr>
              <w:t>得1分。</w:t>
            </w:r>
          </w:p>
          <w:p>
            <w:pPr>
              <w:rPr>
                <w:rFonts w:hint="eastAsia" w:ascii="宋体" w:hAnsi="宋体" w:cs="宋体"/>
                <w:color w:val="auto"/>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技术负责人</w:t>
            </w:r>
            <w:r>
              <w:rPr>
                <w:rFonts w:hint="eastAsia" w:ascii="宋体" w:hAnsi="宋体" w:eastAsia="宋体" w:cs="宋体"/>
                <w:color w:val="auto"/>
                <w:sz w:val="21"/>
                <w:szCs w:val="21"/>
                <w:highlight w:val="none"/>
                <w:lang w:val="en-US" w:eastAsia="zh-CN"/>
              </w:rPr>
              <w:t>风景园林施工高级工程师或以上职称的，得1分。</w:t>
            </w:r>
          </w:p>
          <w:p>
            <w:pP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本项最多得2分。</w:t>
            </w:r>
          </w:p>
        </w:tc>
        <w:tc>
          <w:tcPr>
            <w:tcW w:w="240"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pStyle w:val="5"/>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25</w:t>
            </w:r>
            <w:r>
              <w:rPr>
                <w:rFonts w:hint="eastAsia" w:ascii="宋体" w:hAnsi="宋体" w:eastAsia="宋体" w:cs="宋体"/>
                <w:b w:val="0"/>
                <w:bCs/>
                <w:color w:val="auto"/>
                <w:szCs w:val="21"/>
                <w:highlight w:val="none"/>
                <w:lang w:val="en-US" w:eastAsia="zh-CN"/>
              </w:rPr>
              <w:t>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ind w:left="42" w:leftChars="20" w:right="42" w:rightChars="20"/>
              <w:jc w:val="center"/>
              <w:rPr>
                <w:rFonts w:hint="eastAsia" w:ascii="宋体" w:hAnsi="宋体" w:eastAsiaTheme="minorEastAsia" w:cstheme="minorBidi"/>
                <w:color w:val="auto"/>
                <w:kern w:val="2"/>
                <w:sz w:val="21"/>
                <w:szCs w:val="24"/>
                <w:highlight w:val="none"/>
                <w:lang w:val="en-US" w:eastAsia="zh-CN" w:bidi="ar-SA"/>
              </w:rPr>
            </w:pPr>
            <w:r>
              <w:rPr>
                <w:rFonts w:hint="eastAsia" w:ascii="宋体" w:hAnsi="宋体"/>
                <w:color w:val="auto"/>
                <w:highlight w:val="none"/>
                <w:lang w:eastAsia="zh-CN"/>
              </w:rPr>
              <w:t>施工组织方案（含安全措施）</w:t>
            </w:r>
          </w:p>
        </w:tc>
        <w:tc>
          <w:tcPr>
            <w:tcW w:w="709" w:type="dxa"/>
            <w:shd w:val="clear" w:color="auto" w:fill="auto"/>
            <w:vAlign w:val="center"/>
          </w:tcPr>
          <w:p>
            <w:pPr>
              <w:jc w:val="center"/>
              <w:rPr>
                <w:rFonts w:hint="default" w:ascii="宋体" w:hAnsi="宋体" w:cs="宋体" w:eastAsiaTheme="minorEastAsia"/>
                <w:color w:val="auto"/>
                <w:kern w:val="2"/>
                <w:position w:val="8"/>
                <w:sz w:val="21"/>
                <w:szCs w:val="24"/>
                <w:highlight w:val="none"/>
                <w:lang w:val="en-US" w:eastAsia="zh-CN" w:bidi="ar-SA"/>
              </w:rPr>
            </w:pPr>
            <w:r>
              <w:rPr>
                <w:rFonts w:hint="eastAsia" w:ascii="宋体" w:hAnsi="宋体" w:cs="宋体"/>
                <w:color w:val="auto"/>
                <w:position w:val="8"/>
                <w:highlight w:val="none"/>
                <w:lang w:val="en-US" w:eastAsia="zh-CN"/>
              </w:rPr>
              <w:t>20</w:t>
            </w:r>
          </w:p>
        </w:tc>
        <w:tc>
          <w:tcPr>
            <w:tcW w:w="9797" w:type="dxa"/>
            <w:shd w:val="clear" w:color="auto" w:fill="auto"/>
            <w:vAlign w:val="center"/>
          </w:tcPr>
          <w:p>
            <w:pPr>
              <w:adjustRightInd w:val="0"/>
              <w:snapToGrid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安全生产、文明、环保施工绿色保证措施、进度能完全根据本工程的特点，从安全生产、文明、环保施工保证体系、保证措施及施工管理、施工人员安全培训等方面提出操作性强、安全、可靠且详细的安全生产保证措施。</w:t>
            </w:r>
          </w:p>
          <w:p>
            <w:pPr>
              <w:adjustRightInd w:val="0"/>
              <w:snapToGrid w:val="0"/>
              <w:rPr>
                <w:rFonts w:hint="eastAsia" w:ascii="宋体" w:hAnsi="宋体"/>
                <w:color w:val="auto"/>
                <w:highlight w:val="none"/>
              </w:rPr>
            </w:pPr>
            <w:r>
              <w:rPr>
                <w:rFonts w:hint="eastAsia" w:ascii="宋体" w:hAnsi="宋体"/>
                <w:color w:val="auto"/>
                <w:highlight w:val="none"/>
                <w:lang w:val="en-US" w:eastAsia="zh-CN"/>
              </w:rPr>
              <w:t>1、</w:t>
            </w:r>
            <w:r>
              <w:rPr>
                <w:rFonts w:hint="eastAsia" w:ascii="宋体" w:hAnsi="宋体"/>
                <w:color w:val="auto"/>
                <w:highlight w:val="none"/>
                <w:lang w:eastAsia="zh-CN"/>
              </w:rPr>
              <w:t>方案</w:t>
            </w:r>
            <w:r>
              <w:rPr>
                <w:rFonts w:hint="eastAsia" w:ascii="宋体" w:hAnsi="宋体"/>
                <w:color w:val="auto"/>
                <w:highlight w:val="none"/>
              </w:rPr>
              <w:t>内容详细完整，计划安排合理，得</w:t>
            </w:r>
            <w:r>
              <w:rPr>
                <w:rFonts w:hint="eastAsia" w:ascii="宋体" w:hAnsi="宋体"/>
                <w:color w:val="auto"/>
                <w:highlight w:val="none"/>
                <w:lang w:val="en-US" w:eastAsia="zh-CN"/>
              </w:rPr>
              <w:t>15-20分</w:t>
            </w:r>
            <w:r>
              <w:rPr>
                <w:rFonts w:hint="eastAsia" w:ascii="宋体" w:hAnsi="宋体"/>
                <w:color w:val="auto"/>
                <w:highlight w:val="none"/>
              </w:rPr>
              <w:t>；</w:t>
            </w:r>
          </w:p>
          <w:p>
            <w:pPr>
              <w:adjustRightInd w:val="0"/>
              <w:snapToGrid w:val="0"/>
              <w:rPr>
                <w:rFonts w:hint="eastAsia" w:ascii="宋体" w:hAnsi="宋体"/>
                <w:color w:val="auto"/>
                <w:highlight w:val="none"/>
              </w:rPr>
            </w:pPr>
            <w:r>
              <w:rPr>
                <w:rFonts w:hint="eastAsia" w:ascii="宋体" w:hAnsi="宋体"/>
                <w:color w:val="auto"/>
                <w:highlight w:val="none"/>
                <w:lang w:val="en-US" w:eastAsia="zh-CN"/>
              </w:rPr>
              <w:t>2、</w:t>
            </w:r>
            <w:r>
              <w:rPr>
                <w:rFonts w:hint="eastAsia" w:ascii="宋体" w:hAnsi="宋体"/>
                <w:color w:val="auto"/>
                <w:highlight w:val="none"/>
                <w:lang w:eastAsia="zh-CN"/>
              </w:rPr>
              <w:t>方案</w:t>
            </w:r>
            <w:r>
              <w:rPr>
                <w:rFonts w:hint="eastAsia" w:ascii="宋体" w:hAnsi="宋体"/>
                <w:color w:val="auto"/>
                <w:highlight w:val="none"/>
              </w:rPr>
              <w:t>内容基本详细完整，计划安排基本合理，得</w:t>
            </w:r>
            <w:r>
              <w:rPr>
                <w:rFonts w:hint="eastAsia" w:ascii="宋体" w:hAnsi="宋体"/>
                <w:color w:val="auto"/>
                <w:highlight w:val="none"/>
                <w:lang w:val="en-US" w:eastAsia="zh-CN"/>
              </w:rPr>
              <w:t>8-14分</w:t>
            </w:r>
            <w:r>
              <w:rPr>
                <w:rFonts w:hint="eastAsia" w:ascii="宋体" w:hAnsi="宋体"/>
                <w:color w:val="auto"/>
                <w:highlight w:val="none"/>
              </w:rPr>
              <w:t>；</w:t>
            </w:r>
          </w:p>
          <w:p>
            <w:pPr>
              <w:adjustRightInd w:val="0"/>
              <w:snapToGrid w:val="0"/>
              <w:rPr>
                <w:rFonts w:hint="eastAsia" w:ascii="宋体" w:hAnsi="宋体"/>
                <w:color w:val="auto"/>
                <w:highlight w:val="none"/>
              </w:rPr>
            </w:pPr>
            <w:r>
              <w:rPr>
                <w:rFonts w:hint="eastAsia" w:ascii="宋体" w:hAnsi="宋体"/>
                <w:color w:val="auto"/>
                <w:highlight w:val="none"/>
                <w:lang w:val="en-US" w:eastAsia="zh-CN"/>
              </w:rPr>
              <w:t>3、</w:t>
            </w:r>
            <w:r>
              <w:rPr>
                <w:rFonts w:hint="eastAsia" w:ascii="宋体" w:hAnsi="宋体"/>
                <w:color w:val="auto"/>
                <w:highlight w:val="none"/>
                <w:lang w:eastAsia="zh-CN"/>
              </w:rPr>
              <w:t>方案</w:t>
            </w:r>
            <w:r>
              <w:rPr>
                <w:rFonts w:hint="eastAsia" w:ascii="宋体" w:hAnsi="宋体"/>
                <w:color w:val="auto"/>
                <w:highlight w:val="none"/>
              </w:rPr>
              <w:t>内容</w:t>
            </w:r>
            <w:r>
              <w:rPr>
                <w:rFonts w:hint="eastAsia" w:ascii="宋体" w:hAnsi="宋体"/>
                <w:color w:val="auto"/>
                <w:highlight w:val="none"/>
                <w:lang w:val="en-US" w:eastAsia="zh-CN"/>
              </w:rPr>
              <w:t>不详细</w:t>
            </w:r>
            <w:r>
              <w:rPr>
                <w:rFonts w:hint="eastAsia" w:ascii="宋体" w:hAnsi="宋体"/>
                <w:color w:val="auto"/>
                <w:highlight w:val="none"/>
              </w:rPr>
              <w:t>，计划安排</w:t>
            </w:r>
            <w:r>
              <w:rPr>
                <w:rFonts w:hint="eastAsia" w:ascii="宋体" w:hAnsi="宋体"/>
                <w:color w:val="auto"/>
                <w:highlight w:val="none"/>
                <w:lang w:val="en-US" w:eastAsia="zh-CN"/>
              </w:rPr>
              <w:t>较差</w:t>
            </w:r>
            <w:r>
              <w:rPr>
                <w:rFonts w:hint="eastAsia" w:ascii="宋体" w:hAnsi="宋体"/>
                <w:color w:val="auto"/>
                <w:highlight w:val="none"/>
              </w:rPr>
              <w:t>，得</w:t>
            </w:r>
            <w:r>
              <w:rPr>
                <w:rFonts w:hint="eastAsia" w:ascii="宋体" w:hAnsi="宋体"/>
                <w:color w:val="auto"/>
                <w:highlight w:val="none"/>
                <w:lang w:val="en-US" w:eastAsia="zh-CN"/>
              </w:rPr>
              <w:t>0-7分</w:t>
            </w:r>
            <w:r>
              <w:rPr>
                <w:rFonts w:hint="eastAsia" w:ascii="宋体" w:hAnsi="宋体"/>
                <w:color w:val="auto"/>
                <w:highlight w:val="none"/>
              </w:rPr>
              <w:t>；</w:t>
            </w:r>
          </w:p>
          <w:p>
            <w:pPr>
              <w:adjustRightInd w:val="0"/>
              <w:snapToGrid w:val="0"/>
              <w:rPr>
                <w:rFonts w:hint="eastAsia" w:ascii="宋体" w:hAnsi="宋体" w:eastAsiaTheme="minorEastAsia" w:cstheme="minorBidi"/>
                <w:color w:val="auto"/>
                <w:kern w:val="2"/>
                <w:sz w:val="21"/>
                <w:szCs w:val="24"/>
                <w:highlight w:val="none"/>
                <w:lang w:val="en-US" w:eastAsia="zh-CN" w:bidi="ar-SA"/>
              </w:rPr>
            </w:pPr>
            <w:r>
              <w:rPr>
                <w:rFonts w:hint="eastAsia" w:ascii="宋体" w:hAnsi="宋体" w:eastAsia="宋体" w:cs="宋体"/>
                <w:color w:val="auto"/>
                <w:sz w:val="21"/>
                <w:szCs w:val="21"/>
                <w:highlight w:val="none"/>
                <w:lang w:val="en-US" w:eastAsia="zh-CN"/>
              </w:rPr>
              <w:t>本项最多得20分。</w:t>
            </w:r>
          </w:p>
        </w:tc>
        <w:tc>
          <w:tcPr>
            <w:tcW w:w="240"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napToGrid w:val="0"/>
              <w:ind w:left="-2" w:leftChars="-1"/>
              <w:jc w:val="center"/>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eastAsia="zh-CN"/>
              </w:rPr>
              <w:t>工期</w:t>
            </w:r>
          </w:p>
        </w:tc>
        <w:tc>
          <w:tcPr>
            <w:tcW w:w="709" w:type="dxa"/>
            <w:shd w:val="clear" w:color="auto" w:fill="auto"/>
            <w:vAlign w:val="center"/>
          </w:tcPr>
          <w:p>
            <w:pPr>
              <w:spacing w:line="220" w:lineRule="exact"/>
              <w:ind w:left="-2" w:leftChars="-1"/>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w:t>
            </w:r>
          </w:p>
        </w:tc>
        <w:tc>
          <w:tcPr>
            <w:tcW w:w="9797" w:type="dxa"/>
            <w:shd w:val="clear" w:color="auto" w:fill="auto"/>
            <w:vAlign w:val="center"/>
          </w:tcPr>
          <w:p>
            <w:pPr>
              <w:pStyle w:val="2"/>
              <w:rPr>
                <w:rFonts w:hint="default"/>
                <w:lang w:val="en-US" w:eastAsia="zh-CN"/>
              </w:rPr>
            </w:pPr>
            <w:r>
              <w:rPr>
                <w:rFonts w:hint="eastAsia"/>
                <w:lang w:val="en-US" w:eastAsia="zh-CN"/>
              </w:rPr>
              <w:t>投标工期提前超过10天（不含）的，得5分；提前5-10（含）天的，得3分；提前1-4天的，得1分；不提前不得分。本项最多得5分。</w:t>
            </w:r>
          </w:p>
        </w:tc>
        <w:tc>
          <w:tcPr>
            <w:tcW w:w="240"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60分</w:t>
            </w:r>
            <w:r>
              <w:rPr>
                <w:rFonts w:hint="eastAsia" w:ascii="宋体" w:hAnsi="宋体" w:eastAsia="宋体" w:cs="宋体"/>
                <w:color w:val="auto"/>
                <w:szCs w:val="21"/>
                <w:highlight w:val="none"/>
                <w:lang w:eastAsia="zh-CN"/>
              </w:rPr>
              <w:t>）</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p>
          <w:p>
            <w:pPr>
              <w:snapToGrid w:val="0"/>
              <w:ind w:left="-2" w:leftChars="-1"/>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60分</w:t>
            </w:r>
            <w:r>
              <w:rPr>
                <w:rFonts w:hint="eastAsia" w:ascii="宋体" w:hAnsi="宋体" w:eastAsia="宋体" w:cs="宋体"/>
                <w:color w:val="auto"/>
                <w:szCs w:val="21"/>
                <w:highlight w:val="none"/>
                <w:lang w:eastAsia="zh-CN"/>
              </w:rPr>
              <w:t>）</w:t>
            </w:r>
          </w:p>
        </w:tc>
        <w:tc>
          <w:tcPr>
            <w:tcW w:w="709" w:type="dxa"/>
            <w:shd w:val="clear" w:color="auto" w:fill="auto"/>
            <w:vAlign w:val="center"/>
          </w:tcPr>
          <w:p>
            <w:pPr>
              <w:spacing w:line="220" w:lineRule="exact"/>
              <w:ind w:left="-2" w:leftChars="-1"/>
              <w:jc w:val="center"/>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60</w:t>
            </w:r>
          </w:p>
        </w:tc>
        <w:tc>
          <w:tcPr>
            <w:tcW w:w="9797" w:type="dxa"/>
            <w:shd w:val="clear" w:color="auto" w:fill="auto"/>
          </w:tcPr>
          <w:p>
            <w:pPr>
              <w:jc w:val="left"/>
              <w:rPr>
                <w:rFonts w:hint="eastAsia" w:ascii="宋体" w:hAnsi="宋体" w:eastAsia="宋体" w:cs="宋体"/>
                <w:color w:val="auto"/>
                <w:szCs w:val="21"/>
                <w:highlight w:val="none"/>
              </w:rPr>
            </w:pPr>
          </w:p>
          <w:p>
            <w:pPr>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若经过符合性审查，（</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3至5家的，则</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单位的有效</w:t>
            </w:r>
            <w:r>
              <w:rPr>
                <w:rFonts w:hint="eastAsia" w:ascii="宋体" w:hAnsi="宋体" w:eastAsia="宋体" w:cs="宋体"/>
                <w:color w:val="auto"/>
                <w:szCs w:val="21"/>
                <w:highlight w:val="none"/>
                <w:lang w:eastAsia="zh-CN"/>
              </w:rPr>
              <w:t>总</w:t>
            </w:r>
            <w:r>
              <w:rPr>
                <w:rFonts w:hint="eastAsia" w:ascii="宋体" w:hAnsi="宋体" w:eastAsia="宋体" w:cs="宋体"/>
                <w:color w:val="auto"/>
                <w:szCs w:val="21"/>
                <w:highlight w:val="none"/>
              </w:rPr>
              <w:t>报价的</w:t>
            </w:r>
            <w:r>
              <w:rPr>
                <w:rFonts w:hint="eastAsia" w:ascii="宋体" w:hAnsi="宋体" w:eastAsia="宋体" w:cs="宋体"/>
                <w:color w:val="auto"/>
                <w:szCs w:val="21"/>
                <w:highlight w:val="none"/>
                <w:lang w:eastAsia="zh-CN"/>
              </w:rPr>
              <w:t>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6家或以上的，则</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报价最低的</w:t>
            </w:r>
            <w:r>
              <w:rPr>
                <w:rFonts w:hint="eastAsia" w:ascii="宋体" w:hAnsi="宋体" w:eastAsia="宋体" w:cs="宋体"/>
                <w:color w:val="auto"/>
                <w:szCs w:val="21"/>
                <w:highlight w:val="none"/>
                <w:lang w:val="en-US" w:eastAsia="zh-CN"/>
              </w:rPr>
              <w:t>5家</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w:t>
            </w:r>
            <w:r>
              <w:rPr>
                <w:rFonts w:hint="eastAsia" w:ascii="宋体" w:hAnsi="宋体" w:eastAsia="宋体" w:cs="宋体"/>
                <w:color w:val="auto"/>
                <w:szCs w:val="21"/>
                <w:highlight w:val="none"/>
                <w:lang w:eastAsia="zh-CN"/>
              </w:rPr>
              <w:t>有效报价的算术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p>
          <w:p>
            <w:pPr>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ascii="宋体" w:hAnsi="宋体" w:eastAsia="宋体" w:cs="宋体"/>
                <w:color w:val="auto"/>
                <w:szCs w:val="21"/>
                <w:highlight w:val="none"/>
                <w:lang w:val="en-US" w:eastAsia="zh-CN"/>
              </w:rPr>
              <w:t>60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pStyle w:val="9"/>
              <w:numPr>
                <w:ilvl w:val="0"/>
                <w:numId w:val="5"/>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报价等于基准价的，得分=</w:t>
            </w:r>
            <w:r>
              <w:rPr>
                <w:rFonts w:hint="eastAsia" w:hAnsi="宋体" w:cs="宋体"/>
                <w:color w:val="auto"/>
                <w:highlight w:val="none"/>
                <w:lang w:val="en-US" w:eastAsia="zh-CN"/>
              </w:rPr>
              <w:t>60。</w:t>
            </w:r>
          </w:p>
          <w:p>
            <w:pPr>
              <w:pStyle w:val="9"/>
              <w:numPr>
                <w:ilvl w:val="0"/>
                <w:numId w:val="5"/>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报价高于基准价的，得分=</w:t>
            </w:r>
            <w:r>
              <w:rPr>
                <w:rFonts w:hint="eastAsia" w:hAnsi="宋体" w:cs="宋体"/>
                <w:color w:val="auto"/>
                <w:highlight w:val="none"/>
                <w:lang w:val="en-US" w:eastAsia="zh-CN"/>
              </w:rPr>
              <w:t>60</w:t>
            </w:r>
            <w:r>
              <w:rPr>
                <w:rFonts w:hint="eastAsia" w:ascii="宋体" w:hAnsi="宋体" w:eastAsia="宋体" w:cs="宋体"/>
                <w:color w:val="auto"/>
                <w:highlight w:val="none"/>
                <w:lang w:val="en-US" w:eastAsia="zh-CN"/>
              </w:rPr>
              <w:t>-[（报价-基准价）/基准价]×100×1</w:t>
            </w:r>
          </w:p>
          <w:p>
            <w:pPr>
              <w:pStyle w:val="9"/>
              <w:numPr>
                <w:ilvl w:val="0"/>
                <w:numId w:val="5"/>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报价低于基准价的，得分=</w:t>
            </w:r>
            <w:r>
              <w:rPr>
                <w:rFonts w:hint="eastAsia" w:hAnsi="宋体" w:cs="宋体"/>
                <w:color w:val="auto"/>
                <w:highlight w:val="none"/>
                <w:lang w:val="en-US" w:eastAsia="zh-CN"/>
              </w:rPr>
              <w:t>60</w:t>
            </w:r>
            <w:r>
              <w:rPr>
                <w:rFonts w:hint="eastAsia" w:ascii="宋体" w:hAnsi="宋体" w:eastAsia="宋体" w:cs="宋体"/>
                <w:color w:val="auto"/>
                <w:highlight w:val="none"/>
                <w:lang w:val="en-US" w:eastAsia="zh-CN"/>
              </w:rPr>
              <w:t>-[（基准价-报价）/基准价]×100×0.5</w:t>
            </w:r>
          </w:p>
        </w:tc>
        <w:tc>
          <w:tcPr>
            <w:tcW w:w="240"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09" w:type="dxa"/>
            <w:shd w:val="clear" w:color="auto" w:fill="auto"/>
            <w:vAlign w:val="center"/>
          </w:tcPr>
          <w:p>
            <w:pPr>
              <w:spacing w:line="22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797" w:type="dxa"/>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c>
          <w:tcPr>
            <w:tcW w:w="24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lang w:val="en-US" w:eastAsia="zh-CN"/>
        </w:rPr>
        <w:t>1</w:t>
      </w:r>
      <w:r>
        <w:rPr>
          <w:rFonts w:hint="eastAsia" w:ascii="宋体" w:hAnsi="宋体" w:cs="宋体"/>
          <w:color w:val="auto"/>
          <w:szCs w:val="18"/>
          <w:highlight w:val="none"/>
        </w:rPr>
        <w:t>、项目负责人、</w:t>
      </w:r>
      <w:r>
        <w:rPr>
          <w:rFonts w:hint="eastAsia" w:ascii="宋体" w:hAnsi="宋体" w:cs="宋体"/>
          <w:color w:val="auto"/>
          <w:szCs w:val="18"/>
          <w:highlight w:val="none"/>
          <w:lang w:eastAsia="zh-CN"/>
        </w:rPr>
        <w:t>技术</w:t>
      </w:r>
      <w:r>
        <w:rPr>
          <w:rFonts w:hint="eastAsia" w:ascii="宋体" w:hAnsi="宋体" w:cs="宋体"/>
          <w:color w:val="auto"/>
          <w:szCs w:val="18"/>
          <w:highlight w:val="none"/>
        </w:rPr>
        <w:t>负责人注册关系必须在本单位，以上注册及职称均需提供相应证明材料。</w:t>
      </w:r>
    </w:p>
    <w:p>
      <w:pPr>
        <w:snapToGrid w:val="0"/>
        <w:ind w:firstLine="420" w:firstLineChars="200"/>
        <w:rPr>
          <w:rFonts w:hint="eastAsia" w:ascii="宋体" w:hAnsi="宋体" w:cs="宋体"/>
          <w:color w:val="auto"/>
          <w:szCs w:val="18"/>
          <w:highlight w:val="none"/>
          <w:lang w:eastAsia="zh-CN"/>
        </w:rPr>
      </w:pPr>
      <w:r>
        <w:rPr>
          <w:rFonts w:hint="eastAsia" w:ascii="宋体" w:hAnsi="宋体" w:cs="宋体"/>
          <w:color w:val="auto"/>
          <w:szCs w:val="18"/>
          <w:highlight w:val="none"/>
          <w:lang w:val="en-US" w:eastAsia="zh-CN"/>
        </w:rPr>
        <w:t>2</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p>
      <w:pPr>
        <w:pStyle w:val="20"/>
        <w:ind w:firstLine="0" w:firstLineChars="0"/>
        <w:rPr>
          <w:rFonts w:hint="eastAsia" w:ascii="宋体" w:hAnsi="宋体" w:eastAsia="宋体" w:cs="宋体"/>
          <w:color w:val="auto"/>
          <w:szCs w:val="21"/>
          <w:highlight w:val="none"/>
          <w:lang w:val="en-US" w:eastAsia="zh-CN"/>
        </w:rPr>
        <w:sectPr>
          <w:pgSz w:w="15840" w:h="12240" w:orient="landscape"/>
          <w:pgMar w:top="1797" w:right="1440" w:bottom="1797" w:left="1440" w:header="720" w:footer="720" w:gutter="0"/>
          <w:cols w:space="425" w:num="1"/>
          <w:docGrid w:linePitch="312" w:charSpace="0"/>
        </w:sectPr>
      </w:pPr>
      <w:r>
        <w:rPr>
          <w:rFonts w:hint="eastAsia" w:ascii="宋体" w:hAnsi="宋体" w:cs="宋体"/>
          <w:color w:val="auto"/>
          <w:szCs w:val="21"/>
          <w:highlight w:val="none"/>
          <w:lang w:val="en-US" w:eastAsia="zh-CN"/>
        </w:rPr>
        <w:t xml:space="preserve">    3、项目负责人、技术负责人需</w:t>
      </w:r>
      <w:r>
        <w:rPr>
          <w:rFonts w:hint="eastAsia" w:ascii="宋体" w:hAnsi="宋体" w:eastAsia="宋体" w:cs="宋体"/>
          <w:color w:val="auto"/>
          <w:sz w:val="21"/>
          <w:szCs w:val="21"/>
          <w:highlight w:val="none"/>
        </w:rPr>
        <w:t>提供</w:t>
      </w:r>
      <w:r>
        <w:rPr>
          <w:rFonts w:hint="eastAsia" w:ascii="宋体" w:hAnsi="宋体" w:cs="宋体"/>
          <w:color w:val="auto"/>
          <w:sz w:val="21"/>
          <w:szCs w:val="21"/>
          <w:highlight w:val="none"/>
          <w:lang w:eastAsia="zh-CN"/>
        </w:rPr>
        <w:t>相关</w:t>
      </w:r>
      <w:r>
        <w:rPr>
          <w:rFonts w:hint="eastAsia" w:ascii="宋体" w:hAnsi="宋体" w:eastAsia="宋体" w:cs="宋体"/>
          <w:color w:val="auto"/>
          <w:kern w:val="0"/>
          <w:sz w:val="21"/>
          <w:szCs w:val="21"/>
          <w:highlight w:val="none"/>
          <w:lang w:val="en-US" w:eastAsia="zh-CN"/>
        </w:rPr>
        <w:t>资格证、</w:t>
      </w:r>
      <w:r>
        <w:rPr>
          <w:rFonts w:hint="eastAsia" w:ascii="宋体" w:hAnsi="宋体" w:eastAsia="宋体" w:cs="宋体"/>
          <w:color w:val="auto"/>
          <w:sz w:val="21"/>
          <w:szCs w:val="21"/>
          <w:highlight w:val="none"/>
        </w:rPr>
        <w:t>职称证书</w:t>
      </w:r>
      <w:r>
        <w:rPr>
          <w:rFonts w:hint="eastAsia" w:ascii="宋体" w:hAnsi="宋体" w:cs="宋体"/>
          <w:color w:val="auto"/>
          <w:sz w:val="21"/>
          <w:szCs w:val="21"/>
          <w:highlight w:val="none"/>
          <w:lang w:val="en-US" w:eastAsia="zh-CN"/>
        </w:rPr>
        <w:t>复印件</w:t>
      </w:r>
      <w:r>
        <w:rPr>
          <w:rFonts w:hint="eastAsia" w:ascii="宋体" w:hAnsi="宋体" w:eastAsia="宋体" w:cs="宋体"/>
          <w:color w:val="auto"/>
          <w:sz w:val="21"/>
          <w:szCs w:val="21"/>
          <w:highlight w:val="none"/>
        </w:rPr>
        <w:t>，需提供上述人员在本单位购买的近</w:t>
      </w:r>
      <w:r>
        <w:rPr>
          <w:rFonts w:hint="eastAsia" w:ascii="宋体" w:hAnsi="宋体" w:cs="宋体"/>
          <w:color w:val="auto"/>
          <w:sz w:val="21"/>
          <w:szCs w:val="21"/>
          <w:highlight w:val="none"/>
          <w:lang w:eastAsia="zh-CN"/>
        </w:rPr>
        <w:t>一</w:t>
      </w:r>
      <w:r>
        <w:rPr>
          <w:rFonts w:hint="eastAsia" w:ascii="宋体" w:hAnsi="宋体" w:eastAsia="宋体" w:cs="宋体"/>
          <w:color w:val="auto"/>
          <w:sz w:val="21"/>
          <w:szCs w:val="21"/>
          <w:highlight w:val="none"/>
        </w:rPr>
        <w:t>个月</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2022年7月</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的社保证明</w:t>
      </w:r>
      <w:r>
        <w:rPr>
          <w:rFonts w:hint="eastAsia" w:ascii="宋体" w:hAnsi="宋体" w:cs="宋体"/>
          <w:color w:val="auto"/>
          <w:sz w:val="21"/>
          <w:szCs w:val="21"/>
          <w:highlight w:val="none"/>
          <w:lang w:eastAsia="zh-CN"/>
        </w:rPr>
        <w:t>复印件</w:t>
      </w:r>
      <w:r>
        <w:rPr>
          <w:rFonts w:hint="eastAsia" w:ascii="宋体" w:hAnsi="宋体" w:eastAsia="宋体" w:cs="宋体"/>
          <w:color w:val="auto"/>
          <w:sz w:val="21"/>
          <w:szCs w:val="21"/>
          <w:highlight w:val="none"/>
        </w:rPr>
        <w:t>，本项目社保缴纳期限包含疫情期，若当地政府部门允许企业在疫情期间缓缴社会保险费且投标人未缴纳的，投标人可提供当地政府部门允许缓缴社保的相关文件作为疫情期缴纳社保的证明。</w:t>
      </w:r>
      <w:r>
        <w:rPr>
          <w:rFonts w:hint="eastAsia" w:ascii="宋体" w:hAnsi="宋体" w:eastAsia="宋体" w:cs="宋体"/>
          <w:color w:val="auto"/>
          <w:kern w:val="0"/>
          <w:sz w:val="21"/>
          <w:szCs w:val="21"/>
          <w:highlight w:val="none"/>
        </w:rPr>
        <w:t>所有证明材料均须加盖公章</w:t>
      </w:r>
      <w:r>
        <w:rPr>
          <w:rFonts w:hint="eastAsia" w:ascii="宋体" w:hAnsi="宋体" w:cs="宋体"/>
          <w:color w:val="auto"/>
          <w:kern w:val="0"/>
          <w:sz w:val="21"/>
          <w:szCs w:val="21"/>
          <w:highlight w:val="none"/>
          <w:lang w:eastAsia="zh-CN"/>
        </w:rPr>
        <w:t>。</w:t>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5"/>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广州南沙湿地旅游发展有限公司</w:t>
      </w:r>
      <w:r>
        <w:rPr>
          <w:rFonts w:hint="eastAsia" w:ascii="宋体" w:hAnsi="宋体" w:eastAsia="宋体"/>
          <w:color w:val="auto"/>
          <w:sz w:val="24"/>
          <w:szCs w:val="24"/>
          <w:highlight w:val="none"/>
          <w:u w:val="single"/>
        </w:rPr>
        <w:t xml:space="preserve">、广州南沙建设维护管理有限公司 </w:t>
      </w:r>
    </w:p>
    <w:p>
      <w:pPr>
        <w:pStyle w:val="35"/>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pacing w:val="20"/>
          <w:sz w:val="24"/>
          <w:szCs w:val="24"/>
          <w:highlight w:val="none"/>
          <w:u w:val="single"/>
          <w:lang w:eastAsia="zh-CN"/>
        </w:rPr>
        <w:t>南沙湿地二期艺术区景观提升项目施工总承包</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5"/>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6"/>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5"/>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5"/>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9"/>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15</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32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F9153F42"/>
    <w:multiLevelType w:val="singleLevel"/>
    <w:tmpl w:val="F9153F42"/>
    <w:lvl w:ilvl="0" w:tentative="0">
      <w:start w:val="1"/>
      <w:numFmt w:val="decimal"/>
      <w:suff w:val="nothing"/>
      <w:lvlText w:val="%1、"/>
      <w:lvlJc w:val="left"/>
    </w:lvl>
  </w:abstractNum>
  <w:abstractNum w:abstractNumId="3">
    <w:nsid w:val="71BD1A65"/>
    <w:multiLevelType w:val="singleLevel"/>
    <w:tmpl w:val="71BD1A65"/>
    <w:lvl w:ilvl="0" w:tentative="0">
      <w:start w:val="1"/>
      <w:numFmt w:val="chineseCounting"/>
      <w:suff w:val="nothing"/>
      <w:lvlText w:val="%1、"/>
      <w:lvlJc w:val="left"/>
      <w:rPr>
        <w:rFonts w:hint="eastAsia"/>
      </w:rPr>
    </w:lvl>
  </w:abstractNum>
  <w:abstractNum w:abstractNumId="4">
    <w:nsid w:val="7A7B36A8"/>
    <w:multiLevelType w:val="singleLevel"/>
    <w:tmpl w:val="7A7B36A8"/>
    <w:lvl w:ilvl="0" w:tentative="0">
      <w:start w:val="33"/>
      <w:numFmt w:val="decimal"/>
      <w:suff w:val="nothing"/>
      <w:lvlText w:val="%1．"/>
      <w:lvlJc w:val="left"/>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2JjMjg4NjNjMGQ5OWQxMjU2NzFkNWEwMzQxMDU5MzI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E9680F"/>
    <w:rsid w:val="02F7533D"/>
    <w:rsid w:val="030457ED"/>
    <w:rsid w:val="03562994"/>
    <w:rsid w:val="03CB6D70"/>
    <w:rsid w:val="04364A4F"/>
    <w:rsid w:val="04376975"/>
    <w:rsid w:val="044C08C6"/>
    <w:rsid w:val="04E40895"/>
    <w:rsid w:val="051B7598"/>
    <w:rsid w:val="052E78DA"/>
    <w:rsid w:val="059A4101"/>
    <w:rsid w:val="07F66A4C"/>
    <w:rsid w:val="083B43B1"/>
    <w:rsid w:val="08757A2C"/>
    <w:rsid w:val="08A9464F"/>
    <w:rsid w:val="08D505E6"/>
    <w:rsid w:val="09062DA7"/>
    <w:rsid w:val="09577D3C"/>
    <w:rsid w:val="09A667E8"/>
    <w:rsid w:val="0A31358E"/>
    <w:rsid w:val="0A621C44"/>
    <w:rsid w:val="0B372B92"/>
    <w:rsid w:val="0BFF40FB"/>
    <w:rsid w:val="0C855B7E"/>
    <w:rsid w:val="0C87037B"/>
    <w:rsid w:val="0CF74903"/>
    <w:rsid w:val="0E1B10A8"/>
    <w:rsid w:val="0E80564C"/>
    <w:rsid w:val="0EA03B8A"/>
    <w:rsid w:val="0EAC0C18"/>
    <w:rsid w:val="0EB25F9A"/>
    <w:rsid w:val="0F263AB3"/>
    <w:rsid w:val="0F8D0176"/>
    <w:rsid w:val="0FD73768"/>
    <w:rsid w:val="10A4638E"/>
    <w:rsid w:val="10D83B3D"/>
    <w:rsid w:val="11135DC8"/>
    <w:rsid w:val="11D31BC3"/>
    <w:rsid w:val="11F528ED"/>
    <w:rsid w:val="12E86716"/>
    <w:rsid w:val="130F5872"/>
    <w:rsid w:val="134A310C"/>
    <w:rsid w:val="13E640E2"/>
    <w:rsid w:val="13E744B7"/>
    <w:rsid w:val="14082F52"/>
    <w:rsid w:val="14085DAD"/>
    <w:rsid w:val="14233C6D"/>
    <w:rsid w:val="14452035"/>
    <w:rsid w:val="1448567A"/>
    <w:rsid w:val="145B3800"/>
    <w:rsid w:val="15B036FB"/>
    <w:rsid w:val="16007AF5"/>
    <w:rsid w:val="17463991"/>
    <w:rsid w:val="179E3273"/>
    <w:rsid w:val="17E977C8"/>
    <w:rsid w:val="1873680D"/>
    <w:rsid w:val="18E67433"/>
    <w:rsid w:val="18F12637"/>
    <w:rsid w:val="19095239"/>
    <w:rsid w:val="19A846E9"/>
    <w:rsid w:val="19BE3F0C"/>
    <w:rsid w:val="1A6525DA"/>
    <w:rsid w:val="1AB46DAB"/>
    <w:rsid w:val="1B6C2995"/>
    <w:rsid w:val="1BB630ED"/>
    <w:rsid w:val="1BC44893"/>
    <w:rsid w:val="1BE136FF"/>
    <w:rsid w:val="1C05708F"/>
    <w:rsid w:val="1C307374"/>
    <w:rsid w:val="1C9203A6"/>
    <w:rsid w:val="1E032835"/>
    <w:rsid w:val="1E562810"/>
    <w:rsid w:val="1EBD45C4"/>
    <w:rsid w:val="1F1C5732"/>
    <w:rsid w:val="1F584BD1"/>
    <w:rsid w:val="205D447F"/>
    <w:rsid w:val="206E043A"/>
    <w:rsid w:val="20AD4C4C"/>
    <w:rsid w:val="21424D60"/>
    <w:rsid w:val="215321ED"/>
    <w:rsid w:val="224A02E7"/>
    <w:rsid w:val="227411DF"/>
    <w:rsid w:val="23EE6B47"/>
    <w:rsid w:val="24856237"/>
    <w:rsid w:val="25053D8A"/>
    <w:rsid w:val="25687B33"/>
    <w:rsid w:val="25791876"/>
    <w:rsid w:val="26236584"/>
    <w:rsid w:val="26826F29"/>
    <w:rsid w:val="26B94C66"/>
    <w:rsid w:val="26FF6942"/>
    <w:rsid w:val="272101A5"/>
    <w:rsid w:val="272B74FA"/>
    <w:rsid w:val="2751149E"/>
    <w:rsid w:val="2837076A"/>
    <w:rsid w:val="2865301D"/>
    <w:rsid w:val="28C86C87"/>
    <w:rsid w:val="29051210"/>
    <w:rsid w:val="296119D7"/>
    <w:rsid w:val="2A97100B"/>
    <w:rsid w:val="2B401296"/>
    <w:rsid w:val="2BAE6875"/>
    <w:rsid w:val="2BEC17AE"/>
    <w:rsid w:val="2C0B6D4E"/>
    <w:rsid w:val="2C1B0D4A"/>
    <w:rsid w:val="2C5357E2"/>
    <w:rsid w:val="2D0635AD"/>
    <w:rsid w:val="2D691CC1"/>
    <w:rsid w:val="2D907150"/>
    <w:rsid w:val="2DDB1EBF"/>
    <w:rsid w:val="2DE71DA9"/>
    <w:rsid w:val="2DF963B5"/>
    <w:rsid w:val="2E6C5CB5"/>
    <w:rsid w:val="2EC40C57"/>
    <w:rsid w:val="2EE433BF"/>
    <w:rsid w:val="2F9B6BBA"/>
    <w:rsid w:val="2FEA73B1"/>
    <w:rsid w:val="30136E93"/>
    <w:rsid w:val="30334755"/>
    <w:rsid w:val="30EC6390"/>
    <w:rsid w:val="311233CC"/>
    <w:rsid w:val="31B57180"/>
    <w:rsid w:val="33113670"/>
    <w:rsid w:val="34935BA4"/>
    <w:rsid w:val="34A264CA"/>
    <w:rsid w:val="35830B03"/>
    <w:rsid w:val="3700775A"/>
    <w:rsid w:val="37A26BD4"/>
    <w:rsid w:val="37AE7FE3"/>
    <w:rsid w:val="38417D8A"/>
    <w:rsid w:val="390B4D39"/>
    <w:rsid w:val="39731517"/>
    <w:rsid w:val="39F52602"/>
    <w:rsid w:val="39FC703A"/>
    <w:rsid w:val="3AC802EF"/>
    <w:rsid w:val="3B183024"/>
    <w:rsid w:val="3B6D4312"/>
    <w:rsid w:val="3BB718A6"/>
    <w:rsid w:val="3BC04127"/>
    <w:rsid w:val="3C88543E"/>
    <w:rsid w:val="3CB7521C"/>
    <w:rsid w:val="3CE76215"/>
    <w:rsid w:val="3CFF0303"/>
    <w:rsid w:val="3D7619F9"/>
    <w:rsid w:val="3D957982"/>
    <w:rsid w:val="3D96007A"/>
    <w:rsid w:val="3F4915A0"/>
    <w:rsid w:val="3F5F332B"/>
    <w:rsid w:val="3F641BC2"/>
    <w:rsid w:val="3F8502F8"/>
    <w:rsid w:val="3FBE56FE"/>
    <w:rsid w:val="3FD704B2"/>
    <w:rsid w:val="403B7AF1"/>
    <w:rsid w:val="405854B3"/>
    <w:rsid w:val="408D1DBF"/>
    <w:rsid w:val="409313F9"/>
    <w:rsid w:val="40B7508E"/>
    <w:rsid w:val="40CA2819"/>
    <w:rsid w:val="41EC3A6C"/>
    <w:rsid w:val="42A2655E"/>
    <w:rsid w:val="43420D2F"/>
    <w:rsid w:val="436C5E0D"/>
    <w:rsid w:val="43F36E83"/>
    <w:rsid w:val="44631084"/>
    <w:rsid w:val="446A549B"/>
    <w:rsid w:val="44800368"/>
    <w:rsid w:val="44E811C0"/>
    <w:rsid w:val="45E74C1B"/>
    <w:rsid w:val="46871AD6"/>
    <w:rsid w:val="47025D0E"/>
    <w:rsid w:val="4735560E"/>
    <w:rsid w:val="47413F22"/>
    <w:rsid w:val="4792678F"/>
    <w:rsid w:val="47E03B89"/>
    <w:rsid w:val="481D5A38"/>
    <w:rsid w:val="487975A7"/>
    <w:rsid w:val="48E17BF2"/>
    <w:rsid w:val="48E72086"/>
    <w:rsid w:val="49732ED5"/>
    <w:rsid w:val="499C01CA"/>
    <w:rsid w:val="49EF5898"/>
    <w:rsid w:val="4A1079FD"/>
    <w:rsid w:val="4A1D620C"/>
    <w:rsid w:val="4AED722D"/>
    <w:rsid w:val="4B3D40BA"/>
    <w:rsid w:val="4BC136D0"/>
    <w:rsid w:val="4BF328A0"/>
    <w:rsid w:val="4C2E17B4"/>
    <w:rsid w:val="4C81677F"/>
    <w:rsid w:val="4D195C1E"/>
    <w:rsid w:val="4D904DD7"/>
    <w:rsid w:val="4D9C287D"/>
    <w:rsid w:val="4DC04FA6"/>
    <w:rsid w:val="4DC53F66"/>
    <w:rsid w:val="4E2A0E48"/>
    <w:rsid w:val="4FC91A1A"/>
    <w:rsid w:val="5049448C"/>
    <w:rsid w:val="50DB6247"/>
    <w:rsid w:val="51531E87"/>
    <w:rsid w:val="51552F81"/>
    <w:rsid w:val="51AB2104"/>
    <w:rsid w:val="525A7F6F"/>
    <w:rsid w:val="52760C06"/>
    <w:rsid w:val="530E35F9"/>
    <w:rsid w:val="53427976"/>
    <w:rsid w:val="53A07C03"/>
    <w:rsid w:val="53A63423"/>
    <w:rsid w:val="53B638D1"/>
    <w:rsid w:val="54386D63"/>
    <w:rsid w:val="54A36172"/>
    <w:rsid w:val="54BC0EE8"/>
    <w:rsid w:val="55D41C4B"/>
    <w:rsid w:val="5702252D"/>
    <w:rsid w:val="572444C0"/>
    <w:rsid w:val="576D49E8"/>
    <w:rsid w:val="57B957CF"/>
    <w:rsid w:val="594F1692"/>
    <w:rsid w:val="59566C52"/>
    <w:rsid w:val="597674DD"/>
    <w:rsid w:val="5A416E84"/>
    <w:rsid w:val="5AAF5CCA"/>
    <w:rsid w:val="5B6E68B8"/>
    <w:rsid w:val="5B6F6839"/>
    <w:rsid w:val="5B8D6C19"/>
    <w:rsid w:val="5BAA698D"/>
    <w:rsid w:val="5BCE61FA"/>
    <w:rsid w:val="5C9B134E"/>
    <w:rsid w:val="5D5E6B65"/>
    <w:rsid w:val="5DAA1580"/>
    <w:rsid w:val="5DF14932"/>
    <w:rsid w:val="5DFF04E8"/>
    <w:rsid w:val="5E1A6FB5"/>
    <w:rsid w:val="5E7A3CE2"/>
    <w:rsid w:val="5E960581"/>
    <w:rsid w:val="5F355496"/>
    <w:rsid w:val="5F8349F8"/>
    <w:rsid w:val="5F865CD7"/>
    <w:rsid w:val="5F925D77"/>
    <w:rsid w:val="5FDC4484"/>
    <w:rsid w:val="60BA0556"/>
    <w:rsid w:val="60F61E20"/>
    <w:rsid w:val="61A7533B"/>
    <w:rsid w:val="621244D5"/>
    <w:rsid w:val="62B2296D"/>
    <w:rsid w:val="62B247EF"/>
    <w:rsid w:val="636147EE"/>
    <w:rsid w:val="63DB6B9E"/>
    <w:rsid w:val="65B441A4"/>
    <w:rsid w:val="65D8147F"/>
    <w:rsid w:val="66373494"/>
    <w:rsid w:val="66591B82"/>
    <w:rsid w:val="68550B65"/>
    <w:rsid w:val="6898637C"/>
    <w:rsid w:val="68B16D7B"/>
    <w:rsid w:val="68BA7003"/>
    <w:rsid w:val="691C25EA"/>
    <w:rsid w:val="698555C7"/>
    <w:rsid w:val="6C281E78"/>
    <w:rsid w:val="6C307E68"/>
    <w:rsid w:val="6C920572"/>
    <w:rsid w:val="6DB227E4"/>
    <w:rsid w:val="6DBE1759"/>
    <w:rsid w:val="6DC31ECB"/>
    <w:rsid w:val="6E307289"/>
    <w:rsid w:val="6E656845"/>
    <w:rsid w:val="6F471F5D"/>
    <w:rsid w:val="6F891280"/>
    <w:rsid w:val="6F8E74DB"/>
    <w:rsid w:val="70727FF1"/>
    <w:rsid w:val="70836CF8"/>
    <w:rsid w:val="70CF07C8"/>
    <w:rsid w:val="710F157A"/>
    <w:rsid w:val="71840FD7"/>
    <w:rsid w:val="718C3480"/>
    <w:rsid w:val="721D56A4"/>
    <w:rsid w:val="72BF7C4E"/>
    <w:rsid w:val="72F3401B"/>
    <w:rsid w:val="731416B4"/>
    <w:rsid w:val="73712518"/>
    <w:rsid w:val="738A0204"/>
    <w:rsid w:val="738E7AB2"/>
    <w:rsid w:val="73EF0074"/>
    <w:rsid w:val="74624F7D"/>
    <w:rsid w:val="74B72A06"/>
    <w:rsid w:val="7546516B"/>
    <w:rsid w:val="75AF555B"/>
    <w:rsid w:val="763204BA"/>
    <w:rsid w:val="767D2F83"/>
    <w:rsid w:val="76F3488A"/>
    <w:rsid w:val="77281C38"/>
    <w:rsid w:val="7741229E"/>
    <w:rsid w:val="781828A1"/>
    <w:rsid w:val="781C3DC0"/>
    <w:rsid w:val="78780B98"/>
    <w:rsid w:val="788E06C1"/>
    <w:rsid w:val="78D76423"/>
    <w:rsid w:val="78D86E43"/>
    <w:rsid w:val="79566D81"/>
    <w:rsid w:val="79B10E72"/>
    <w:rsid w:val="79E02BD8"/>
    <w:rsid w:val="7A2B55F9"/>
    <w:rsid w:val="7A3458D0"/>
    <w:rsid w:val="7A4B048B"/>
    <w:rsid w:val="7A7C35B8"/>
    <w:rsid w:val="7A96669D"/>
    <w:rsid w:val="7AC70013"/>
    <w:rsid w:val="7B672810"/>
    <w:rsid w:val="7B681B66"/>
    <w:rsid w:val="7C561F60"/>
    <w:rsid w:val="7C6B2EC5"/>
    <w:rsid w:val="7C831CEC"/>
    <w:rsid w:val="7DDF7DDD"/>
    <w:rsid w:val="7E300909"/>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rPr>
      <w:rFonts w:ascii="Times New Roman" w:hAnsi="Times New Roman" w:eastAsia="宋体" w:cs="Times New Roman"/>
      <w:szCs w:val="21"/>
    </w:r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qFormat/>
    <w:uiPriority w:val="0"/>
    <w:pPr>
      <w:ind w:firstLine="420"/>
    </w:pPr>
    <w:rPr>
      <w:rFonts w:ascii="Times New Roman" w:hAnsi="Times New Roman" w:eastAsia="宋体" w:cs="Times New Roman"/>
      <w:szCs w:val="20"/>
    </w:rPr>
  </w:style>
  <w:style w:type="paragraph" w:styleId="7">
    <w:name w:val="annotation text"/>
    <w:basedOn w:val="1"/>
    <w:semiHidden/>
    <w:unhideWhenUsed/>
    <w:qFormat/>
    <w:uiPriority w:val="0"/>
    <w:pPr>
      <w:jc w:val="left"/>
    </w:pPr>
  </w:style>
  <w:style w:type="paragraph" w:styleId="8">
    <w:name w:val="Body Text"/>
    <w:basedOn w:val="1"/>
    <w:qFormat/>
    <w:uiPriority w:val="0"/>
  </w:style>
  <w:style w:type="paragraph" w:styleId="9">
    <w:name w:val="Plain Text"/>
    <w:basedOn w:val="1"/>
    <w:next w:val="1"/>
    <w:link w:val="32"/>
    <w:qFormat/>
    <w:uiPriority w:val="0"/>
    <w:rPr>
      <w:rFonts w:hint="eastAsia" w:ascii="宋体" w:hAnsi="Courier New" w:eastAsia="宋体" w:cs="Times New Roman"/>
      <w:szCs w:val="21"/>
    </w:rPr>
  </w:style>
  <w:style w:type="paragraph" w:styleId="10">
    <w:name w:val="Balloon Text"/>
    <w:basedOn w:val="1"/>
    <w:link w:val="30"/>
    <w:qFormat/>
    <w:uiPriority w:val="0"/>
    <w:rPr>
      <w:sz w:val="18"/>
      <w:szCs w:val="18"/>
    </w:rPr>
  </w:style>
  <w:style w:type="paragraph" w:styleId="11">
    <w:name w:val="footer"/>
    <w:basedOn w:val="1"/>
    <w:link w:val="29"/>
    <w:qFormat/>
    <w:uiPriority w:val="0"/>
    <w:pPr>
      <w:tabs>
        <w:tab w:val="center" w:pos="4153"/>
        <w:tab w:val="right" w:pos="8306"/>
      </w:tabs>
      <w:snapToGrid w:val="0"/>
      <w:jc w:val="left"/>
    </w:pPr>
    <w:rPr>
      <w:sz w:val="18"/>
      <w:szCs w:val="18"/>
    </w:rPr>
  </w:style>
  <w:style w:type="paragraph" w:styleId="12">
    <w:name w:val="header"/>
    <w:basedOn w:val="1"/>
    <w:link w:val="28"/>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First Indent"/>
    <w:basedOn w:val="8"/>
    <w:link w:val="33"/>
    <w:qFormat/>
    <w:uiPriority w:val="0"/>
    <w:pPr>
      <w:spacing w:beforeAutospacing="1" w:after="120"/>
      <w:ind w:firstLine="420"/>
    </w:pPr>
    <w:rPr>
      <w:rFonts w:ascii="Times New Roman" w:hAnsi="Times New Roman" w:eastAsia="宋体" w:cs="Times New Roman"/>
      <w:szCs w:val="21"/>
    </w:rPr>
  </w:style>
  <w:style w:type="character" w:styleId="16">
    <w:name w:val="page number"/>
    <w:basedOn w:val="15"/>
    <w:qFormat/>
    <w:uiPriority w:val="0"/>
  </w:style>
  <w:style w:type="character" w:styleId="17">
    <w:name w:val="FollowedHyperlink"/>
    <w:basedOn w:val="15"/>
    <w:qFormat/>
    <w:uiPriority w:val="0"/>
    <w:rPr>
      <w:color w:val="0000FF"/>
      <w:u w:val="single"/>
    </w:rPr>
  </w:style>
  <w:style w:type="character" w:styleId="18">
    <w:name w:val="Hyperlink"/>
    <w:basedOn w:val="15"/>
    <w:qFormat/>
    <w:uiPriority w:val="0"/>
    <w:rPr>
      <w:color w:val="0000FF"/>
      <w:u w:val="single"/>
    </w:rPr>
  </w:style>
  <w:style w:type="paragraph" w:customStyle="1" w:styleId="19">
    <w:name w:val="样式 小四 行距: 1.5 倍行距"/>
    <w:basedOn w:val="1"/>
    <w:qFormat/>
    <w:uiPriority w:val="0"/>
    <w:pPr>
      <w:ind w:firstLine="480"/>
    </w:pPr>
    <w:rPr>
      <w:rFonts w:cs="宋体"/>
    </w:rPr>
  </w:style>
  <w:style w:type="paragraph" w:customStyle="1" w:styleId="20">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1">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2">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3">
    <w:name w:val="列出段落1"/>
    <w:basedOn w:val="1"/>
    <w:qFormat/>
    <w:uiPriority w:val="0"/>
    <w:pPr>
      <w:ind w:firstLine="420" w:firstLineChars="200"/>
    </w:pPr>
    <w:rPr>
      <w:rFonts w:ascii="Calibri" w:hAnsi="Calibri" w:eastAsia="宋体" w:cs="Times New Roman"/>
      <w:szCs w:val="21"/>
    </w:rPr>
  </w:style>
  <w:style w:type="paragraph" w:customStyle="1" w:styleId="24">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5">
    <w:name w:val="10"/>
    <w:basedOn w:val="15"/>
    <w:qFormat/>
    <w:uiPriority w:val="0"/>
    <w:rPr>
      <w:rFonts w:hint="default" w:ascii="Times New Roman" w:hAnsi="Times New Roman" w:cs="Times New Roman"/>
    </w:rPr>
  </w:style>
  <w:style w:type="character" w:customStyle="1" w:styleId="26">
    <w:name w:val="15"/>
    <w:basedOn w:val="15"/>
    <w:qFormat/>
    <w:uiPriority w:val="0"/>
    <w:rPr>
      <w:rFonts w:hint="default" w:ascii="Times New Roman" w:hAnsi="Times New Roman" w:cs="Times New Roman"/>
    </w:rPr>
  </w:style>
  <w:style w:type="character" w:customStyle="1" w:styleId="27">
    <w:name w:val="16"/>
    <w:basedOn w:val="15"/>
    <w:qFormat/>
    <w:uiPriority w:val="0"/>
    <w:rPr>
      <w:rFonts w:hint="default" w:ascii="Times New Roman" w:hAnsi="Times New Roman" w:cs="Times New Roman"/>
      <w:color w:val="0000FF"/>
      <w:u w:val="single"/>
    </w:rPr>
  </w:style>
  <w:style w:type="character" w:customStyle="1" w:styleId="28">
    <w:name w:val="页眉 Char"/>
    <w:basedOn w:val="15"/>
    <w:link w:val="12"/>
    <w:qFormat/>
    <w:uiPriority w:val="0"/>
    <w:rPr>
      <w:rFonts w:asciiTheme="minorHAnsi" w:hAnsiTheme="minorHAnsi" w:eastAsiaTheme="minorEastAsia" w:cstheme="minorBidi"/>
      <w:kern w:val="2"/>
      <w:sz w:val="18"/>
      <w:szCs w:val="18"/>
    </w:rPr>
  </w:style>
  <w:style w:type="character" w:customStyle="1" w:styleId="29">
    <w:name w:val="页脚 Char"/>
    <w:basedOn w:val="15"/>
    <w:link w:val="11"/>
    <w:qFormat/>
    <w:uiPriority w:val="0"/>
    <w:rPr>
      <w:rFonts w:asciiTheme="minorHAnsi" w:hAnsiTheme="minorHAnsi" w:eastAsiaTheme="minorEastAsia" w:cstheme="minorBidi"/>
      <w:kern w:val="2"/>
      <w:sz w:val="18"/>
      <w:szCs w:val="18"/>
    </w:rPr>
  </w:style>
  <w:style w:type="character" w:customStyle="1" w:styleId="30">
    <w:name w:val="批注框文本 Char"/>
    <w:basedOn w:val="15"/>
    <w:link w:val="10"/>
    <w:qFormat/>
    <w:uiPriority w:val="0"/>
    <w:rPr>
      <w:rFonts w:asciiTheme="minorHAnsi" w:hAnsiTheme="minorHAnsi" w:eastAsiaTheme="minorEastAsia" w:cstheme="minorBidi"/>
      <w:kern w:val="2"/>
      <w:sz w:val="18"/>
      <w:szCs w:val="18"/>
    </w:rPr>
  </w:style>
  <w:style w:type="paragraph" w:customStyle="1" w:styleId="31">
    <w:name w:val="WPSOffice手动目录 1"/>
    <w:qFormat/>
    <w:uiPriority w:val="0"/>
    <w:rPr>
      <w:rFonts w:ascii="Times New Roman" w:hAnsi="Times New Roman" w:eastAsia="宋体" w:cs="Times New Roman"/>
      <w:lang w:val="en-US" w:eastAsia="zh-CN" w:bidi="ar-SA"/>
    </w:rPr>
  </w:style>
  <w:style w:type="character" w:customStyle="1" w:styleId="32">
    <w:name w:val="纯文本 Char"/>
    <w:link w:val="9"/>
    <w:qFormat/>
    <w:uiPriority w:val="0"/>
    <w:rPr>
      <w:rFonts w:ascii="宋体" w:hAnsi="Courier New"/>
      <w:kern w:val="2"/>
      <w:sz w:val="21"/>
      <w:szCs w:val="21"/>
    </w:rPr>
  </w:style>
  <w:style w:type="character" w:customStyle="1" w:styleId="33">
    <w:name w:val="正文首行缩进 Char"/>
    <w:basedOn w:val="15"/>
    <w:link w:val="13"/>
    <w:qFormat/>
    <w:uiPriority w:val="0"/>
    <w:rPr>
      <w:kern w:val="2"/>
      <w:sz w:val="21"/>
      <w:szCs w:val="21"/>
    </w:rPr>
  </w:style>
  <w:style w:type="paragraph" w:styleId="34">
    <w:name w:val="List Paragraph"/>
    <w:basedOn w:val="1"/>
    <w:unhideWhenUsed/>
    <w:qFormat/>
    <w:uiPriority w:val="99"/>
    <w:pPr>
      <w:ind w:firstLine="420" w:firstLineChars="200"/>
    </w:pPr>
  </w:style>
  <w:style w:type="paragraph" w:customStyle="1" w:styleId="35">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6">
    <w:name w:val="发文落款"/>
    <w:basedOn w:val="35"/>
    <w:qFormat/>
    <w:uiPriority w:val="0"/>
    <w:pPr>
      <w:ind w:left="4094" w:right="607" w:firstLine="0"/>
      <w:jc w:val="center"/>
    </w:pPr>
  </w:style>
  <w:style w:type="character" w:customStyle="1" w:styleId="37">
    <w:name w:val="c Char1"/>
    <w:link w:val="38"/>
    <w:qFormat/>
    <w:uiPriority w:val="0"/>
    <w:rPr>
      <w:rFonts w:eastAsia="仿宋_GB2312" w:cs="宋体"/>
      <w:sz w:val="28"/>
    </w:rPr>
  </w:style>
  <w:style w:type="paragraph" w:customStyle="1" w:styleId="38">
    <w:name w:val="c"/>
    <w:basedOn w:val="1"/>
    <w:link w:val="37"/>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39</Pages>
  <Words>15014</Words>
  <Characters>15831</Characters>
  <Lines>131</Lines>
  <Paragraphs>37</Paragraphs>
  <TotalTime>7</TotalTime>
  <ScaleCrop>false</ScaleCrop>
  <LinksUpToDate>false</LinksUpToDate>
  <CharactersWithSpaces>16830</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2020-07-23T07:52:00Z</cp:lastPrinted>
  <dcterms:modified xsi:type="dcterms:W3CDTF">2022-08-19T07:41:53Z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6F8842E353744852BDC4E3C1A0BD38D3</vt:lpwstr>
  </property>
</Properties>
</file>