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ascii="宋体" w:hAnsi="宋体" w:eastAsia="黑体"/>
          <w:color w:val="auto"/>
          <w:sz w:val="48"/>
          <w:szCs w:val="48"/>
          <w:highlight w:val="none"/>
        </w:rPr>
      </w:pPr>
      <w:r>
        <w:rPr>
          <w:rFonts w:hint="eastAsia" w:ascii="宋体" w:hAnsi="宋体" w:eastAsia="黑体"/>
          <w:color w:val="auto"/>
          <w:sz w:val="48"/>
          <w:szCs w:val="48"/>
          <w:highlight w:val="none"/>
        </w:rPr>
        <w:t>南沙芦湾村新林楼重建工程</w:t>
      </w:r>
    </w:p>
    <w:p>
      <w:pPr>
        <w:spacing w:before="0" w:beforeLines="-2147483648" w:line="360" w:lineRule="auto"/>
        <w:jc w:val="center"/>
        <w:rPr>
          <w:rFonts w:hint="eastAsia" w:ascii="宋体" w:hAnsi="宋体" w:eastAsia="黑体" w:cs="宋体"/>
          <w:b/>
          <w:color w:val="auto"/>
          <w:sz w:val="44"/>
          <w:szCs w:val="44"/>
          <w:highlight w:val="none"/>
          <w:lang w:eastAsia="zh-CN"/>
        </w:rPr>
      </w:pPr>
      <w:r>
        <w:rPr>
          <w:rFonts w:hint="eastAsia" w:ascii="宋体" w:hAnsi="宋体" w:eastAsia="黑体"/>
          <w:color w:val="auto"/>
          <w:sz w:val="48"/>
          <w:szCs w:val="48"/>
          <w:highlight w:val="none"/>
          <w:lang w:eastAsia="zh-CN"/>
        </w:rPr>
        <w:t>设计服务</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招标人：广州南沙经发投资有限公司（业主单位）</w:t>
      </w:r>
    </w:p>
    <w:p>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w:t>
      </w:r>
      <w:bookmarkStart w:id="48" w:name="_GoBack"/>
      <w:bookmarkEnd w:id="48"/>
      <w:r>
        <w:rPr>
          <w:rFonts w:hint="eastAsia" w:ascii="宋体" w:hAnsi="宋体" w:eastAsia="宋体" w:cs="宋体"/>
          <w:b/>
          <w:color w:val="auto"/>
          <w:sz w:val="32"/>
          <w:szCs w:val="32"/>
          <w:highlight w:val="none"/>
        </w:rPr>
        <w:t>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2022年8月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7710"/>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cs="宋体"/>
                <w:color w:val="auto"/>
                <w:highlight w:val="none"/>
              </w:rPr>
              <w:t>南沙芦湾村新林楼重建工程</w:t>
            </w:r>
            <w:r>
              <w:rPr>
                <w:rFonts w:hint="eastAsia" w:ascii="宋体" w:hAnsi="宋体" w:cs="宋体"/>
                <w:color w:val="auto"/>
                <w:highlight w:val="none"/>
                <w:lang w:eastAsia="zh-CN"/>
              </w:rPr>
              <w:t>设计服务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广州市南沙区</w:t>
            </w:r>
            <w:r>
              <w:rPr>
                <w:rFonts w:hint="eastAsia" w:ascii="宋体" w:hAnsi="宋体" w:eastAsia="宋体" w:cs="宋体"/>
                <w:color w:val="auto"/>
                <w:sz w:val="21"/>
                <w:szCs w:val="21"/>
                <w:highlight w:val="none"/>
              </w:rPr>
              <w:t>南沙街道芦湾村芦湾东街</w:t>
            </w:r>
            <w:r>
              <w:rPr>
                <w:rFonts w:ascii="宋体" w:hAnsi="宋体" w:eastAsia="宋体" w:cs="宋体"/>
                <w:color w:val="auto"/>
                <w:sz w:val="21"/>
                <w:szCs w:val="21"/>
                <w:highlight w:val="none"/>
              </w:rPr>
              <w:t>71-4号</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sz w:val="21"/>
                <w:szCs w:val="21"/>
                <w:highlight w:val="none"/>
                <w:lang w:eastAsia="zh-CN"/>
              </w:rPr>
              <w:t>本项目拟</w:t>
            </w:r>
            <w:r>
              <w:rPr>
                <w:rFonts w:hint="eastAsia" w:ascii="宋体" w:hAnsi="宋体" w:eastAsia="宋体" w:cs="宋体"/>
                <w:color w:val="auto"/>
                <w:sz w:val="21"/>
                <w:szCs w:val="21"/>
                <w:highlight w:val="none"/>
              </w:rPr>
              <w:t>拆除原住宅楼单体楼，屋面高</w:t>
            </w:r>
            <w:r>
              <w:rPr>
                <w:rFonts w:ascii="宋体" w:hAnsi="宋体" w:eastAsia="宋体" w:cs="宋体"/>
                <w:color w:val="auto"/>
                <w:sz w:val="21"/>
                <w:szCs w:val="21"/>
                <w:highlight w:val="none"/>
              </w:rPr>
              <w:t>26m（局部27.6m），共八层，每层4户，共计32户，建筑面积3523.4㎡</w:t>
            </w:r>
            <w:r>
              <w:rPr>
                <w:rFonts w:hint="eastAsia" w:ascii="宋体" w:hAnsi="宋体" w:eastAsia="宋体" w:cs="宋体"/>
                <w:color w:val="auto"/>
                <w:sz w:val="21"/>
                <w:szCs w:val="21"/>
                <w:highlight w:val="none"/>
              </w:rPr>
              <w:t>。按工程规划许可批复经济技术指标重建，包括新增电梯安装、永久供电增容、永久供水、燃气、通讯、网络等工程内容。</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总投资约2218万元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设计服务内容</w:t>
            </w:r>
            <w:r>
              <w:rPr>
                <w:rFonts w:hint="eastAsia" w:ascii="宋体" w:hAnsi="宋体" w:cs="宋体"/>
                <w:color w:val="auto"/>
                <w:highlight w:val="none"/>
                <w:lang w:eastAsia="zh-CN"/>
              </w:rPr>
              <w:t>包括但不限于</w:t>
            </w:r>
            <w:r>
              <w:rPr>
                <w:rFonts w:hint="eastAsia" w:ascii="宋体" w:hAnsi="宋体" w:eastAsia="宋体" w:cs="宋体"/>
                <w:color w:val="auto"/>
                <w:sz w:val="21"/>
                <w:szCs w:val="21"/>
                <w:highlight w:val="none"/>
              </w:rPr>
              <w:t>初步设计</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lang w:eastAsia="zh-CN"/>
              </w:rPr>
              <w:t>初步设计概算编制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初步设计评审、</w:t>
            </w:r>
            <w:r>
              <w:rPr>
                <w:rFonts w:hint="eastAsia" w:ascii="宋体" w:hAnsi="宋体" w:eastAsia="宋体" w:cs="宋体"/>
                <w:color w:val="auto"/>
                <w:sz w:val="21"/>
                <w:szCs w:val="21"/>
                <w:highlight w:val="none"/>
              </w:rPr>
              <w:t>施工图设计及施工配合服务，</w:t>
            </w:r>
            <w:r>
              <w:rPr>
                <w:rFonts w:hint="eastAsia" w:ascii="宋体" w:hAnsi="宋体" w:eastAsia="宋体" w:cs="宋体"/>
                <w:color w:val="auto"/>
                <w:kern w:val="2"/>
                <w:sz w:val="21"/>
                <w:szCs w:val="21"/>
                <w:highlight w:val="none"/>
              </w:rPr>
              <w:t>协助</w:t>
            </w:r>
            <w:r>
              <w:rPr>
                <w:rFonts w:hint="eastAsia" w:ascii="宋体" w:hAnsi="宋体" w:eastAsia="宋体" w:cs="宋体"/>
                <w:color w:val="auto"/>
                <w:sz w:val="21"/>
                <w:szCs w:val="21"/>
                <w:highlight w:val="none"/>
              </w:rPr>
              <w:t>招标人</w:t>
            </w:r>
            <w:r>
              <w:rPr>
                <w:rFonts w:hint="eastAsia" w:ascii="宋体" w:hAnsi="宋体" w:eastAsia="宋体" w:cs="宋体"/>
                <w:color w:val="auto"/>
                <w:kern w:val="2"/>
                <w:sz w:val="21"/>
                <w:szCs w:val="21"/>
                <w:highlight w:val="none"/>
              </w:rPr>
              <w:t>取得《建设工程规划许可证》</w:t>
            </w:r>
            <w:r>
              <w:rPr>
                <w:rFonts w:hint="eastAsia" w:ascii="宋体" w:hAnsi="宋体" w:eastAsia="宋体" w:cs="宋体"/>
                <w:color w:val="auto"/>
                <w:sz w:val="21"/>
                <w:szCs w:val="21"/>
                <w:highlight w:val="none"/>
              </w:rPr>
              <w:t>等</w:t>
            </w:r>
            <w:r>
              <w:rPr>
                <w:rFonts w:hint="eastAsia" w:ascii="宋体" w:hAnsi="宋体" w:cs="宋体"/>
                <w:color w:val="auto"/>
                <w:highlight w:val="none"/>
              </w:rPr>
              <w:t>。本次招标要求中标单位有一定的服务质量保证，且具有对本项目建设特点有相关设计经验，信誉可靠。</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 w:val="21"/>
                <w:szCs w:val="21"/>
                <w:highlight w:val="none"/>
              </w:rPr>
              <w:t>出图要求：取得工程规划许可证后，</w:t>
            </w:r>
            <w:r>
              <w:rPr>
                <w:rFonts w:ascii="宋体" w:hAnsi="宋体" w:eastAsia="宋体" w:cs="宋体"/>
                <w:color w:val="auto"/>
                <w:sz w:val="21"/>
                <w:szCs w:val="21"/>
                <w:highlight w:val="none"/>
              </w:rPr>
              <w:t>20个日历天内完成合同范围内全部施工图纸。</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投标人具有建设行政主管部门颁发的工程设计综合资质甲级，或建筑行业设计</w:t>
            </w:r>
            <w:r>
              <w:rPr>
                <w:rFonts w:hint="eastAsia" w:ascii="宋体" w:hAnsi="宋体" w:cs="宋体"/>
                <w:color w:val="auto"/>
                <w:highlight w:val="none"/>
                <w:lang w:eastAsia="zh-CN"/>
              </w:rPr>
              <w:t>丙级</w:t>
            </w:r>
            <w:r>
              <w:rPr>
                <w:rFonts w:hint="eastAsia" w:ascii="宋体" w:hAnsi="宋体" w:cs="宋体"/>
                <w:color w:val="auto"/>
                <w:highlight w:val="none"/>
              </w:rPr>
              <w:t>(或以上）资质或建筑行业（建筑工程）专业</w:t>
            </w:r>
            <w:r>
              <w:rPr>
                <w:rFonts w:hint="eastAsia" w:ascii="宋体" w:hAnsi="宋体" w:cs="宋体"/>
                <w:color w:val="auto"/>
                <w:highlight w:val="none"/>
                <w:lang w:eastAsia="zh-CN"/>
              </w:rPr>
              <w:t>设计丙级</w:t>
            </w:r>
            <w:r>
              <w:rPr>
                <w:rFonts w:hint="eastAsia" w:ascii="宋体" w:hAnsi="宋体" w:cs="宋体"/>
                <w:color w:val="auto"/>
                <w:highlight w:val="none"/>
              </w:rPr>
              <w:t>(或以上）资质或建筑工程设计事务所资质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2"/>
              <w:widowControl/>
              <w:spacing w:after="0"/>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1、项目负责人要求：具有二级或以上注册建筑师资格证书。</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2、其他专业负责人要求：</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（1）具有建筑相关专业中级职称或以上；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（2）具有结构相关专业中级职称或以上；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（3）具有给排水相关专业中级职称或以上；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（4）具有暖通空调相关专业中级职称或以上；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（5）具有电气相关专业中级职称或以上；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（6）具有造价相关专业中级职称或以上。</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numPr>
                <w:ilvl w:val="255"/>
                <w:numId w:val="0"/>
              </w:numPr>
              <w:adjustRightInd w:val="0"/>
              <w:spacing w:line="360" w:lineRule="auto"/>
              <w:ind w:firstLine="0" w:firstLineChars="0"/>
              <w:jc w:val="left"/>
              <w:rPr>
                <w:rFonts w:hint="default" w:ascii="宋体" w:hAnsi="宋体" w:cs="宋体" w:eastAsiaTheme="minorEastAsia"/>
                <w:color w:val="auto"/>
                <w:sz w:val="21"/>
                <w:szCs w:val="21"/>
                <w:highlight w:val="none"/>
              </w:rPr>
            </w:pPr>
            <w:r>
              <w:rPr>
                <w:rFonts w:hint="default" w:ascii="宋体" w:hAnsi="宋体" w:cs="宋体" w:eastAsiaTheme="minorEastAsia"/>
                <w:color w:val="auto"/>
                <w:sz w:val="21"/>
                <w:szCs w:val="21"/>
                <w:highlight w:val="none"/>
              </w:rPr>
              <w:t>本次设计服务招标最高投标限价为</w:t>
            </w:r>
            <w:r>
              <w:rPr>
                <w:rFonts w:hint="default" w:ascii="宋体" w:hAnsi="宋体" w:cs="宋体" w:eastAsiaTheme="minorEastAsia"/>
                <w:color w:val="auto"/>
                <w:sz w:val="21"/>
                <w:szCs w:val="21"/>
                <w:highlight w:val="none"/>
                <w:lang w:val="en-US" w:eastAsia="zh-CN"/>
              </w:rPr>
              <w:t>511025.36</w:t>
            </w:r>
            <w:r>
              <w:rPr>
                <w:rFonts w:hint="default" w:ascii="宋体" w:hAnsi="宋体" w:cs="宋体" w:eastAsiaTheme="minorEastAsia"/>
                <w:color w:val="auto"/>
                <w:sz w:val="21"/>
                <w:szCs w:val="21"/>
                <w:highlight w:val="none"/>
              </w:rPr>
              <w:t>元</w:t>
            </w:r>
            <w:r>
              <w:rPr>
                <w:rFonts w:hint="default" w:ascii="宋体" w:hAnsi="宋体" w:cs="宋体" w:eastAsiaTheme="minorEastAsia"/>
                <w:color w:val="auto"/>
                <w:sz w:val="21"/>
                <w:szCs w:val="21"/>
                <w:highlight w:val="none"/>
                <w:lang w:val="en-US" w:eastAsia="zh-CN"/>
              </w:rPr>
              <w:t>[</w:t>
            </w:r>
            <w:r>
              <w:rPr>
                <w:rFonts w:hint="default" w:ascii="宋体" w:hAnsi="宋体" w:cs="宋体" w:eastAsiaTheme="minorEastAsia"/>
                <w:color w:val="auto"/>
                <w:sz w:val="21"/>
                <w:szCs w:val="21"/>
                <w:highlight w:val="none"/>
              </w:rPr>
              <w:t>暂按工程建安费1861.56万元为计费基数</w:t>
            </w:r>
            <w:r>
              <w:rPr>
                <w:rFonts w:hint="default" w:ascii="宋体" w:hAnsi="宋体" w:cs="宋体" w:eastAsiaTheme="minorEastAsia"/>
                <w:color w:val="auto"/>
                <w:sz w:val="21"/>
                <w:szCs w:val="21"/>
                <w:highlight w:val="none"/>
                <w:lang w:eastAsia="zh-CN"/>
              </w:rPr>
              <w:t>，</w:t>
            </w:r>
            <w:r>
              <w:rPr>
                <w:rFonts w:hint="default" w:ascii="宋体" w:hAnsi="宋体" w:cs="宋体" w:eastAsiaTheme="minorEastAsia"/>
                <w:color w:val="auto"/>
                <w:sz w:val="21"/>
                <w:szCs w:val="21"/>
                <w:highlight w:val="none"/>
              </w:rPr>
              <w:t>参照国家发展计划委员会、建设部2002年颁布的《工程勘察设计收费标准》计价格【2002】10号文</w:t>
            </w:r>
            <w:r>
              <w:rPr>
                <w:rFonts w:hint="default" w:ascii="宋体" w:hAnsi="宋体" w:cs="宋体" w:eastAsiaTheme="minorEastAsia"/>
                <w:color w:val="auto"/>
                <w:sz w:val="21"/>
                <w:szCs w:val="21"/>
                <w:highlight w:val="none"/>
                <w:lang w:eastAsia="zh-CN"/>
              </w:rPr>
              <w:t>为计费标准，</w:t>
            </w:r>
            <w:r>
              <w:rPr>
                <w:rFonts w:hint="default" w:ascii="宋体" w:hAnsi="宋体" w:cs="宋体" w:eastAsiaTheme="minorEastAsia"/>
                <w:color w:val="auto"/>
                <w:sz w:val="21"/>
                <w:szCs w:val="21"/>
                <w:highlight w:val="none"/>
              </w:rPr>
              <w:t>计算出基本设计费用，乘以设计费调整系数（</w:t>
            </w:r>
            <w:r>
              <w:rPr>
                <w:rFonts w:hint="default" w:ascii="宋体" w:hAnsi="宋体" w:cs="宋体" w:eastAsiaTheme="minorEastAsia"/>
                <w:b w:val="0"/>
                <w:bCs w:val="0"/>
                <w:color w:val="auto"/>
                <w:kern w:val="2"/>
                <w:sz w:val="21"/>
                <w:szCs w:val="21"/>
                <w:highlight w:val="none"/>
                <w:lang w:val="en-US" w:eastAsia="zh-CN" w:bidi="ar-SA"/>
              </w:rPr>
              <w:t>专业调整系数1.0，工程复杂程度为Ⅱ级，系数为1.0，附加调整系数为1.0</w:t>
            </w:r>
            <w:r>
              <w:rPr>
                <w:rFonts w:hint="default" w:ascii="宋体" w:hAnsi="宋体" w:cs="宋体" w:eastAsiaTheme="minorEastAsia"/>
                <w:color w:val="auto"/>
                <w:sz w:val="21"/>
                <w:szCs w:val="21"/>
                <w:highlight w:val="none"/>
              </w:rPr>
              <w:t>）再乘以85%（</w:t>
            </w:r>
            <w:r>
              <w:rPr>
                <w:rFonts w:hint="default" w:ascii="宋体" w:hAnsi="宋体" w:cs="宋体" w:eastAsiaTheme="minorEastAsia"/>
                <w:b w:val="0"/>
                <w:bCs w:val="0"/>
                <w:color w:val="auto"/>
                <w:kern w:val="2"/>
                <w:sz w:val="21"/>
                <w:szCs w:val="21"/>
                <w:highlight w:val="none"/>
                <w:lang w:val="en-US" w:eastAsia="zh-CN" w:bidi="ar-SA"/>
              </w:rPr>
              <w:t>按</w:t>
            </w:r>
            <w:r>
              <w:rPr>
                <w:rFonts w:hint="default" w:ascii="宋体" w:hAnsi="宋体" w:cs="宋体" w:eastAsiaTheme="minorEastAsia"/>
                <w:color w:val="auto"/>
                <w:sz w:val="21"/>
                <w:szCs w:val="21"/>
                <w:highlight w:val="none"/>
              </w:rPr>
              <w:t>建筑市政工程各阶段工作量比例</w:t>
            </w:r>
            <w:r>
              <w:rPr>
                <w:rFonts w:hint="default" w:ascii="宋体" w:hAnsi="宋体" w:cs="宋体" w:eastAsiaTheme="minorEastAsia"/>
                <w:color w:val="auto"/>
                <w:sz w:val="21"/>
                <w:szCs w:val="21"/>
                <w:highlight w:val="none"/>
                <w:lang w:eastAsia="zh-CN"/>
              </w:rPr>
              <w:t>，</w:t>
            </w:r>
            <w:r>
              <w:rPr>
                <w:rFonts w:hint="default" w:ascii="宋体" w:hAnsi="宋体" w:cs="宋体" w:eastAsiaTheme="minorEastAsia"/>
                <w:color w:val="auto"/>
                <w:sz w:val="21"/>
                <w:szCs w:val="21"/>
                <w:highlight w:val="none"/>
                <w:lang w:val="en-US" w:eastAsia="zh-CN"/>
              </w:rPr>
              <w:t>本次招标为初步设计占比30%，施工图设计占比55%，合计85%</w:t>
            </w:r>
            <w:r>
              <w:rPr>
                <w:rFonts w:hint="default" w:ascii="宋体" w:hAnsi="宋体" w:cs="宋体" w:eastAsiaTheme="minorEastAsia"/>
                <w:color w:val="auto"/>
                <w:sz w:val="21"/>
                <w:szCs w:val="21"/>
                <w:highlight w:val="none"/>
              </w:rPr>
              <w:t>）再乘以（1-下浮率</w:t>
            </w:r>
            <w:r>
              <w:rPr>
                <w:rFonts w:hint="default" w:ascii="宋体" w:hAnsi="宋体" w:cs="宋体" w:eastAsiaTheme="minorEastAsia"/>
                <w:color w:val="auto"/>
                <w:sz w:val="21"/>
                <w:szCs w:val="21"/>
                <w:highlight w:val="none"/>
                <w:lang w:val="en-US" w:eastAsia="zh-CN"/>
              </w:rPr>
              <w:t>10%</w:t>
            </w:r>
            <w:r>
              <w:rPr>
                <w:rFonts w:hint="default" w:ascii="宋体" w:hAnsi="宋体" w:cs="宋体" w:eastAsiaTheme="minorEastAsia"/>
                <w:color w:val="auto"/>
                <w:sz w:val="21"/>
                <w:szCs w:val="21"/>
                <w:highlight w:val="none"/>
              </w:rPr>
              <w:t>）计算得出</w:t>
            </w:r>
            <w:r>
              <w:rPr>
                <w:rFonts w:hint="default" w:ascii="宋体" w:hAnsi="宋体" w:cs="宋体" w:eastAsiaTheme="minorEastAsia"/>
                <w:color w:val="auto"/>
                <w:sz w:val="21"/>
                <w:szCs w:val="21"/>
                <w:highlight w:val="none"/>
                <w:lang w:val="en-US" w:eastAsia="zh-CN"/>
              </w:rPr>
              <w:t>]</w:t>
            </w:r>
            <w:r>
              <w:rPr>
                <w:rFonts w:hint="default" w:ascii="宋体" w:hAnsi="宋体" w:cs="宋体" w:eastAsiaTheme="minorEastAsia"/>
                <w:color w:val="auto"/>
                <w:sz w:val="21"/>
                <w:szCs w:val="21"/>
                <w:highlight w:val="none"/>
              </w:rPr>
              <w:t>。</w:t>
            </w:r>
          </w:p>
          <w:p>
            <w:pPr>
              <w:numPr>
                <w:ilvl w:val="255"/>
                <w:numId w:val="0"/>
              </w:numPr>
              <w:spacing w:line="360" w:lineRule="auto"/>
              <w:rPr>
                <w:rFonts w:hint="default" w:ascii="宋体" w:hAnsi="宋体" w:cs="宋体"/>
                <w:color w:val="auto"/>
                <w:sz w:val="21"/>
                <w:szCs w:val="21"/>
                <w:highlight w:val="none"/>
              </w:rPr>
            </w:pPr>
            <w:r>
              <w:rPr>
                <w:rFonts w:hint="default" w:ascii="宋体" w:hAnsi="宋体" w:cs="宋体"/>
                <w:color w:val="auto"/>
                <w:sz w:val="21"/>
                <w:szCs w:val="21"/>
                <w:highlight w:val="none"/>
              </w:rPr>
              <w:t>结算价以财评批复深度概算中</w:t>
            </w:r>
            <w:r>
              <w:rPr>
                <w:rFonts w:hint="default" w:ascii="宋体" w:hAnsi="宋体" w:cs="宋体" w:eastAsiaTheme="minorEastAsia"/>
                <w:color w:val="auto"/>
                <w:sz w:val="21"/>
                <w:szCs w:val="21"/>
                <w:highlight w:val="none"/>
              </w:rPr>
              <w:t>涉及本次施工图设计范围内</w:t>
            </w:r>
            <w:r>
              <w:rPr>
                <w:rFonts w:hint="default" w:ascii="宋体" w:hAnsi="宋体" w:cs="宋体"/>
                <w:color w:val="auto"/>
                <w:sz w:val="21"/>
                <w:szCs w:val="21"/>
                <w:highlight w:val="none"/>
              </w:rPr>
              <w:t>的建安工程费为计费基数</w:t>
            </w:r>
            <w:r>
              <w:rPr>
                <w:rFonts w:hint="default" w:ascii="宋体" w:hAnsi="宋体" w:cs="宋体"/>
                <w:color w:val="auto"/>
                <w:sz w:val="21"/>
                <w:szCs w:val="21"/>
                <w:highlight w:val="none"/>
                <w:lang w:eastAsia="zh-CN"/>
              </w:rPr>
              <w:t>，</w:t>
            </w:r>
            <w:r>
              <w:rPr>
                <w:rFonts w:hint="default" w:ascii="宋体" w:hAnsi="宋体" w:cs="宋体"/>
                <w:color w:val="auto"/>
                <w:sz w:val="21"/>
                <w:szCs w:val="21"/>
                <w:highlight w:val="none"/>
              </w:rPr>
              <w:t>参照国家发展计划委员会、建设部2002年颁布的《工程勘察设计收费标准》计价格【2002】10号文</w:t>
            </w:r>
            <w:r>
              <w:rPr>
                <w:rFonts w:hint="default" w:ascii="宋体" w:hAnsi="宋体" w:cs="宋体"/>
                <w:color w:val="auto"/>
                <w:sz w:val="21"/>
                <w:szCs w:val="21"/>
                <w:highlight w:val="none"/>
                <w:lang w:eastAsia="zh-CN"/>
              </w:rPr>
              <w:t>为计费标准</w:t>
            </w:r>
            <w:r>
              <w:rPr>
                <w:rFonts w:hint="default" w:ascii="宋体" w:hAnsi="宋体" w:cs="宋体"/>
                <w:color w:val="auto"/>
                <w:sz w:val="21"/>
                <w:szCs w:val="21"/>
                <w:highlight w:val="none"/>
              </w:rPr>
              <w:t>，计算出基本设计费用，乘以设计费调整系数（</w:t>
            </w:r>
            <w:r>
              <w:rPr>
                <w:rFonts w:hint="default" w:ascii="宋体" w:hAnsi="宋体" w:cs="宋体" w:eastAsiaTheme="minorEastAsia"/>
                <w:b w:val="0"/>
                <w:bCs w:val="0"/>
                <w:color w:val="auto"/>
                <w:kern w:val="2"/>
                <w:sz w:val="21"/>
                <w:szCs w:val="21"/>
                <w:highlight w:val="none"/>
                <w:lang w:val="en-US" w:eastAsia="zh-CN" w:bidi="ar-SA"/>
              </w:rPr>
              <w:t>专业调整系数1</w:t>
            </w:r>
            <w:r>
              <w:rPr>
                <w:rFonts w:hint="default" w:ascii="宋体" w:hAnsi="宋体" w:cs="宋体"/>
                <w:b w:val="0"/>
                <w:bCs w:val="0"/>
                <w:color w:val="auto"/>
                <w:kern w:val="2"/>
                <w:sz w:val="21"/>
                <w:szCs w:val="21"/>
                <w:highlight w:val="none"/>
                <w:lang w:val="en-US" w:eastAsia="zh-CN" w:bidi="ar-SA"/>
              </w:rPr>
              <w:t>.0</w:t>
            </w:r>
            <w:r>
              <w:rPr>
                <w:rFonts w:hint="default" w:ascii="宋体" w:hAnsi="宋体" w:cs="宋体" w:eastAsiaTheme="minorEastAsia"/>
                <w:b w:val="0"/>
                <w:bCs w:val="0"/>
                <w:color w:val="auto"/>
                <w:kern w:val="2"/>
                <w:sz w:val="21"/>
                <w:szCs w:val="21"/>
                <w:highlight w:val="none"/>
                <w:lang w:val="en-US" w:eastAsia="zh-CN" w:bidi="ar-SA"/>
              </w:rPr>
              <w:t>，工程复杂程度为</w:t>
            </w:r>
            <w:r>
              <w:rPr>
                <w:rFonts w:hint="default" w:ascii="宋体" w:hAnsi="宋体" w:cs="宋体"/>
                <w:b w:val="0"/>
                <w:bCs w:val="0"/>
                <w:color w:val="auto"/>
                <w:kern w:val="2"/>
                <w:sz w:val="21"/>
                <w:szCs w:val="21"/>
                <w:highlight w:val="none"/>
                <w:lang w:val="en-US" w:eastAsia="zh-CN" w:bidi="ar-SA"/>
              </w:rPr>
              <w:t>Ⅱ</w:t>
            </w:r>
            <w:r>
              <w:rPr>
                <w:rFonts w:hint="default" w:ascii="宋体" w:hAnsi="宋体" w:cs="宋体" w:eastAsiaTheme="minorEastAsia"/>
                <w:b w:val="0"/>
                <w:bCs w:val="0"/>
                <w:color w:val="auto"/>
                <w:kern w:val="2"/>
                <w:sz w:val="21"/>
                <w:szCs w:val="21"/>
                <w:highlight w:val="none"/>
                <w:lang w:val="en-US" w:eastAsia="zh-CN" w:bidi="ar-SA"/>
              </w:rPr>
              <w:t>级，系数为1</w:t>
            </w:r>
            <w:r>
              <w:rPr>
                <w:rFonts w:hint="default" w:ascii="宋体" w:hAnsi="宋体" w:cs="宋体"/>
                <w:b w:val="0"/>
                <w:bCs w:val="0"/>
                <w:color w:val="auto"/>
                <w:kern w:val="2"/>
                <w:sz w:val="21"/>
                <w:szCs w:val="21"/>
                <w:highlight w:val="none"/>
                <w:lang w:val="en-US" w:eastAsia="zh-CN" w:bidi="ar-SA"/>
              </w:rPr>
              <w:t>.0</w:t>
            </w:r>
            <w:r>
              <w:rPr>
                <w:rFonts w:hint="default" w:ascii="宋体" w:hAnsi="宋体" w:cs="宋体" w:eastAsiaTheme="minorEastAsia"/>
                <w:b w:val="0"/>
                <w:bCs w:val="0"/>
                <w:color w:val="auto"/>
                <w:kern w:val="2"/>
                <w:sz w:val="21"/>
                <w:szCs w:val="21"/>
                <w:highlight w:val="none"/>
                <w:lang w:val="en-US" w:eastAsia="zh-CN" w:bidi="ar-SA"/>
              </w:rPr>
              <w:t>，附加调整系数为1</w:t>
            </w:r>
            <w:r>
              <w:rPr>
                <w:rFonts w:hint="default" w:ascii="宋体" w:hAnsi="宋体" w:cs="宋体"/>
                <w:b w:val="0"/>
                <w:bCs w:val="0"/>
                <w:color w:val="auto"/>
                <w:kern w:val="2"/>
                <w:sz w:val="21"/>
                <w:szCs w:val="21"/>
                <w:highlight w:val="none"/>
                <w:lang w:val="en-US" w:eastAsia="zh-CN" w:bidi="ar-SA"/>
              </w:rPr>
              <w:t>.0</w:t>
            </w:r>
            <w:r>
              <w:rPr>
                <w:rFonts w:hint="default" w:ascii="宋体" w:hAnsi="宋体" w:cs="宋体"/>
                <w:color w:val="auto"/>
                <w:sz w:val="21"/>
                <w:szCs w:val="21"/>
                <w:highlight w:val="none"/>
              </w:rPr>
              <w:t>）再乘以85%（</w:t>
            </w:r>
            <w:r>
              <w:rPr>
                <w:rFonts w:hint="default" w:ascii="宋体" w:hAnsi="宋体" w:cs="宋体" w:eastAsiaTheme="minorEastAsia"/>
                <w:b w:val="0"/>
                <w:bCs w:val="0"/>
                <w:color w:val="auto"/>
                <w:kern w:val="2"/>
                <w:sz w:val="21"/>
                <w:szCs w:val="21"/>
                <w:highlight w:val="none"/>
                <w:lang w:val="en-US" w:eastAsia="zh-CN" w:bidi="ar-SA"/>
              </w:rPr>
              <w:t>按</w:t>
            </w:r>
            <w:r>
              <w:rPr>
                <w:rFonts w:hint="default" w:ascii="宋体" w:hAnsi="宋体" w:cs="宋体" w:eastAsiaTheme="minorEastAsia"/>
                <w:color w:val="auto"/>
                <w:sz w:val="21"/>
                <w:szCs w:val="21"/>
                <w:highlight w:val="none"/>
              </w:rPr>
              <w:t>建筑市政工程各阶段工作量比例</w:t>
            </w:r>
            <w:r>
              <w:rPr>
                <w:rFonts w:hint="default" w:ascii="宋体" w:hAnsi="宋体" w:cs="宋体" w:eastAsiaTheme="minorEastAsia"/>
                <w:color w:val="auto"/>
                <w:sz w:val="21"/>
                <w:szCs w:val="21"/>
                <w:highlight w:val="none"/>
                <w:lang w:eastAsia="zh-CN"/>
              </w:rPr>
              <w:t>，</w:t>
            </w:r>
            <w:r>
              <w:rPr>
                <w:rFonts w:hint="default" w:ascii="宋体" w:hAnsi="宋体" w:cs="宋体" w:eastAsiaTheme="minorEastAsia"/>
                <w:color w:val="auto"/>
                <w:sz w:val="21"/>
                <w:szCs w:val="21"/>
                <w:highlight w:val="none"/>
                <w:lang w:val="en-US" w:eastAsia="zh-CN"/>
              </w:rPr>
              <w:t>本次招标为初步设计占比30%，施工图设计占比55%，合计85%</w:t>
            </w:r>
            <w:r>
              <w:rPr>
                <w:rFonts w:hint="default" w:ascii="宋体" w:hAnsi="宋体" w:cs="宋体"/>
                <w:color w:val="auto"/>
                <w:sz w:val="21"/>
                <w:szCs w:val="21"/>
                <w:highlight w:val="none"/>
              </w:rPr>
              <w:t>）再乘以</w:t>
            </w:r>
            <w:r>
              <w:rPr>
                <w:rFonts w:hint="default" w:ascii="宋体" w:hAnsi="宋体" w:cs="宋体"/>
                <w:color w:val="auto"/>
                <w:sz w:val="21"/>
                <w:szCs w:val="21"/>
                <w:highlight w:val="none"/>
                <w:lang w:val="en-US" w:eastAsia="zh-CN"/>
              </w:rPr>
              <w:t>[</w:t>
            </w:r>
            <w:r>
              <w:rPr>
                <w:rFonts w:hint="default" w:ascii="宋体" w:hAnsi="宋体" w:cs="宋体"/>
                <w:color w:val="auto"/>
                <w:sz w:val="21"/>
                <w:szCs w:val="21"/>
                <w:highlight w:val="none"/>
              </w:rPr>
              <w:t>1-</w:t>
            </w:r>
            <w:r>
              <w:rPr>
                <w:rFonts w:hint="default" w:ascii="宋体" w:hAnsi="宋体" w:cs="宋体"/>
                <w:color w:val="auto"/>
                <w:sz w:val="21"/>
                <w:szCs w:val="21"/>
                <w:highlight w:val="none"/>
                <w:lang w:eastAsia="zh-CN"/>
              </w:rPr>
              <w:t>（</w:t>
            </w:r>
            <w:r>
              <w:rPr>
                <w:rFonts w:hint="default" w:ascii="宋体" w:hAnsi="宋体" w:cs="宋体"/>
                <w:color w:val="auto"/>
                <w:sz w:val="21"/>
                <w:szCs w:val="21"/>
                <w:highlight w:val="none"/>
              </w:rPr>
              <w:t>投标下浮率</w:t>
            </w:r>
            <w:r>
              <w:rPr>
                <w:rFonts w:hint="default" w:ascii="宋体" w:hAnsi="宋体" w:cs="宋体"/>
                <w:color w:val="auto"/>
                <w:sz w:val="21"/>
                <w:szCs w:val="21"/>
                <w:highlight w:val="none"/>
                <w:lang w:val="en-US" w:eastAsia="zh-CN"/>
              </w:rPr>
              <w:t>+10%）]，</w:t>
            </w:r>
            <w:r>
              <w:rPr>
                <w:rFonts w:hint="default" w:ascii="宋体" w:hAnsi="宋体" w:cs="宋体"/>
                <w:bCs w:val="0"/>
                <w:color w:val="auto"/>
                <w:sz w:val="21"/>
                <w:szCs w:val="21"/>
                <w:highlight w:val="none"/>
                <w:lang w:val="en-US" w:eastAsia="zh-CN"/>
              </w:rPr>
              <w:t>投标下浮率=（1-投标报价/最高投标限价）*100%。</w:t>
            </w:r>
          </w:p>
          <w:p>
            <w:pPr>
              <w:numPr>
                <w:ilvl w:val="255"/>
                <w:numId w:val="0"/>
              </w:numPr>
              <w:spacing w:line="360" w:lineRule="auto"/>
              <w:rPr>
                <w:rFonts w:hint="default" w:ascii="宋体" w:hAnsi="宋体" w:cs="宋体"/>
                <w:color w:val="auto"/>
                <w:kern w:val="2"/>
                <w:sz w:val="21"/>
                <w:szCs w:val="21"/>
                <w:highlight w:val="none"/>
              </w:rPr>
            </w:pPr>
            <w:r>
              <w:rPr>
                <w:rFonts w:hint="default" w:ascii="宋体" w:hAnsi="宋体" w:cs="宋体"/>
                <w:color w:val="auto"/>
                <w:kern w:val="2"/>
                <w:sz w:val="21"/>
                <w:szCs w:val="21"/>
                <w:highlight w:val="none"/>
              </w:rPr>
              <w:t>本次</w:t>
            </w:r>
            <w:r>
              <w:rPr>
                <w:rFonts w:hint="default" w:ascii="宋体" w:hAnsi="宋体" w:cs="宋体"/>
                <w:color w:val="auto"/>
                <w:kern w:val="2"/>
                <w:sz w:val="21"/>
                <w:szCs w:val="21"/>
                <w:highlight w:val="none"/>
                <w:lang w:eastAsia="zh-CN"/>
              </w:rPr>
              <w:t>设计服务</w:t>
            </w:r>
            <w:r>
              <w:rPr>
                <w:rFonts w:hint="default" w:ascii="宋体" w:hAnsi="宋体" w:cs="宋体"/>
                <w:color w:val="auto"/>
                <w:kern w:val="2"/>
                <w:sz w:val="21"/>
                <w:szCs w:val="21"/>
                <w:highlight w:val="none"/>
              </w:rPr>
              <w:t>费包含完成该设计项目的成本、利润、税金、图纸资料文印费、专家评审费等一切费用，投标人应考虑上述情况进行投标下浮率的报价。</w:t>
            </w:r>
            <w:r>
              <w:rPr>
                <w:rFonts w:hint="default" w:ascii="宋体" w:hAnsi="宋体" w:cs="宋体"/>
                <w:color w:val="auto"/>
                <w:kern w:val="2"/>
                <w:sz w:val="21"/>
                <w:szCs w:val="21"/>
                <w:highlight w:val="none"/>
                <w:lang w:val="en-US" w:eastAsia="zh-CN"/>
              </w:rPr>
              <w:t>投标报价超过最高投标限价的为废标。</w:t>
            </w:r>
          </w:p>
          <w:p>
            <w:pPr>
              <w:pStyle w:val="2"/>
              <w:widowControl/>
              <w:spacing w:before="0" w:line="360" w:lineRule="auto"/>
              <w:ind w:right="0" w:rightChars="0" w:firstLine="0"/>
              <w:jc w:val="left"/>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asciiTheme="minorEastAsia" w:hAnsiTheme="minorEastAsia"/>
                <w:color w:val="auto"/>
                <w:szCs w:val="21"/>
                <w:highlight w:val="none"/>
              </w:rPr>
            </w:pPr>
            <w:r>
              <w:rPr>
                <w:rFonts w:hint="eastAsia" w:asciiTheme="minorEastAsia" w:hAnsiTheme="minorEastAsia"/>
                <w:color w:val="auto"/>
                <w:szCs w:val="21"/>
                <w:highlight w:val="none"/>
              </w:rPr>
              <w:t>1、金额：人民币</w:t>
            </w:r>
            <w:r>
              <w:rPr>
                <w:rFonts w:hint="eastAsia" w:asciiTheme="minorEastAsia" w:hAnsiTheme="minorEastAsia"/>
                <w:color w:val="auto"/>
                <w:szCs w:val="21"/>
                <w:highlight w:val="none"/>
                <w:u w:val="single"/>
                <w:lang w:eastAsia="zh-CN"/>
              </w:rPr>
              <w:t>壹万</w:t>
            </w:r>
            <w:r>
              <w:rPr>
                <w:rFonts w:hint="eastAsia" w:asciiTheme="minorEastAsia" w:hAnsiTheme="minorEastAsia"/>
                <w:color w:val="auto"/>
                <w:szCs w:val="21"/>
                <w:highlight w:val="none"/>
              </w:rPr>
              <w:t>元。</w:t>
            </w:r>
          </w:p>
          <w:p>
            <w:pPr>
              <w:numPr>
                <w:ilvl w:val="255"/>
                <w:numId w:val="0"/>
              </w:numPr>
              <w:adjustRightInd w:val="0"/>
              <w:snapToGrid w:val="0"/>
              <w:spacing w:line="360" w:lineRule="auto"/>
              <w:rPr>
                <w:rFonts w:asciiTheme="minorEastAsia" w:hAnsiTheme="minorEastAsia"/>
                <w:color w:val="auto"/>
                <w:szCs w:val="21"/>
                <w:highlight w:val="none"/>
              </w:rPr>
            </w:pPr>
            <w:r>
              <w:rPr>
                <w:rFonts w:hint="eastAsia" w:asciiTheme="minorEastAsia" w:hAnsiTheme="minorEastAsia"/>
                <w:color w:val="auto"/>
                <w:szCs w:val="21"/>
                <w:highlight w:val="none"/>
              </w:rPr>
              <w:t>2、缴纳方式：银行转账。</w:t>
            </w:r>
          </w:p>
          <w:p>
            <w:pPr>
              <w:numPr>
                <w:ilvl w:val="255"/>
                <w:numId w:val="0"/>
              </w:numPr>
              <w:adjustRightInd w:val="0"/>
              <w:spacing w:line="360" w:lineRule="auto"/>
              <w:rPr>
                <w:rFonts w:ascii="宋体" w:hAnsi="宋体" w:eastAsia="宋体"/>
                <w:color w:val="auto"/>
                <w:szCs w:val="21"/>
                <w:highlight w:val="none"/>
              </w:rPr>
            </w:pPr>
            <w:r>
              <w:rPr>
                <w:rFonts w:hint="eastAsia" w:ascii="宋体" w:hAnsi="宋体"/>
                <w:color w:val="auto"/>
                <w:szCs w:val="21"/>
                <w:highlight w:val="none"/>
              </w:rPr>
              <w:t>账户名称：</w:t>
            </w:r>
            <w:r>
              <w:rPr>
                <w:rFonts w:ascii="宋体" w:hAnsi="宋体" w:cs="宋体"/>
                <w:color w:val="auto"/>
                <w:szCs w:val="21"/>
                <w:highlight w:val="none"/>
              </w:rPr>
              <w:t>广州南沙建设维护管理有限公司</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color w:val="auto"/>
                <w:szCs w:val="21"/>
                <w:highlight w:val="none"/>
              </w:rPr>
              <w:t>开户银行：</w:t>
            </w:r>
            <w:r>
              <w:rPr>
                <w:rFonts w:ascii="宋体" w:hAnsi="宋体" w:cs="宋体"/>
                <w:color w:val="auto"/>
                <w:szCs w:val="21"/>
                <w:highlight w:val="none"/>
              </w:rPr>
              <w:t>中国工商银行广东自由贸易试验区南沙分行</w:t>
            </w:r>
            <w:r>
              <w:rPr>
                <w:rFonts w:hint="eastAsia" w:ascii="宋体" w:hAnsi="宋体" w:cs="宋体"/>
                <w:color w:val="auto"/>
                <w:szCs w:val="21"/>
                <w:highlight w:val="none"/>
              </w:rPr>
              <w:t xml:space="preserve"> </w:t>
            </w:r>
          </w:p>
          <w:p>
            <w:pPr>
              <w:numPr>
                <w:ilvl w:val="255"/>
                <w:numId w:val="0"/>
              </w:numPr>
              <w:adjustRightInd w:val="0"/>
              <w:spacing w:line="360" w:lineRule="auto"/>
              <w:rPr>
                <w:rFonts w:ascii="宋体" w:hAnsi="宋体" w:eastAsia="宋体"/>
                <w:color w:val="auto"/>
                <w:szCs w:val="21"/>
                <w:highlight w:val="none"/>
              </w:rPr>
            </w:pPr>
            <w:r>
              <w:rPr>
                <w:rFonts w:hint="eastAsia" w:ascii="宋体" w:hAnsi="宋体"/>
                <w:color w:val="auto"/>
                <w:szCs w:val="21"/>
                <w:highlight w:val="none"/>
              </w:rPr>
              <w:t>账号：</w:t>
            </w:r>
            <w:r>
              <w:rPr>
                <w:rFonts w:ascii="宋体" w:hAnsi="宋体" w:cs="宋体"/>
                <w:color w:val="auto"/>
                <w:szCs w:val="21"/>
                <w:highlight w:val="none"/>
              </w:rPr>
              <w:t>3602056909200030855</w:t>
            </w:r>
          </w:p>
          <w:p>
            <w:pPr>
              <w:numPr>
                <w:ilvl w:val="0"/>
                <w:numId w:val="1"/>
              </w:numPr>
              <w:adjustRightInd w:val="0"/>
              <w:snapToGrid w:val="0"/>
              <w:spacing w:line="360" w:lineRule="auto"/>
              <w:rPr>
                <w:rFonts w:ascii="宋体" w:hAnsi="宋体" w:eastAsia="宋体" w:cs="宋体"/>
                <w:color w:val="auto"/>
                <w:szCs w:val="21"/>
                <w:highlight w:val="none"/>
              </w:rPr>
            </w:pPr>
            <w:r>
              <w:rPr>
                <w:rFonts w:hint="eastAsia" w:asciiTheme="minorEastAsia" w:hAnsiTheme="minorEastAsia"/>
                <w:color w:val="auto"/>
                <w:szCs w:val="21"/>
                <w:highlight w:val="none"/>
              </w:rPr>
              <w:t>缴纳时间：投标单位须在</w:t>
            </w:r>
            <w:r>
              <w:rPr>
                <w:rFonts w:hint="eastAsia" w:ascii="宋体" w:hAnsi="宋体" w:eastAsia="宋体" w:cs="宋体"/>
                <w:color w:val="auto"/>
                <w:szCs w:val="21"/>
                <w:highlight w:val="none"/>
              </w:rPr>
              <w:t>2022年</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color w:val="auto"/>
                <w:szCs w:val="21"/>
                <w:highlight w:val="none"/>
                <w:u w:val="none"/>
              </w:rPr>
              <w:t>前</w:t>
            </w:r>
            <w:r>
              <w:rPr>
                <w:rFonts w:hint="eastAsia" w:asciiTheme="minorEastAsia" w:hAnsiTheme="minorEastAsia"/>
                <w:color w:val="auto"/>
                <w:szCs w:val="21"/>
                <w:highlight w:val="none"/>
              </w:rPr>
              <w:t>以</w:t>
            </w:r>
            <w:r>
              <w:rPr>
                <w:rFonts w:hint="eastAsia"/>
                <w:color w:val="auto"/>
                <w:szCs w:val="21"/>
                <w:highlight w:val="none"/>
              </w:rPr>
              <w:t>投标人转出【以招标单位查询的信息为准，汇款时备注：</w:t>
            </w:r>
            <w:r>
              <w:rPr>
                <w:rFonts w:hint="eastAsia" w:ascii="宋体" w:hAnsi="宋体" w:cs="宋体"/>
                <w:color w:val="auto"/>
                <w:szCs w:val="21"/>
                <w:highlight w:val="none"/>
              </w:rPr>
              <w:t>南沙芦湾村新林楼重建工程</w:t>
            </w:r>
            <w:r>
              <w:rPr>
                <w:rFonts w:hint="eastAsia" w:ascii="宋体" w:hAnsi="宋体" w:eastAsia="宋体" w:cs="宋体"/>
                <w:color w:val="auto"/>
                <w:szCs w:val="21"/>
                <w:highlight w:val="none"/>
                <w:lang w:eastAsia="zh-CN"/>
              </w:rPr>
              <w:t>设计服务</w:t>
            </w:r>
            <w:r>
              <w:rPr>
                <w:rFonts w:hint="eastAsia"/>
                <w:color w:val="auto"/>
                <w:szCs w:val="21"/>
                <w:highlight w:val="none"/>
              </w:rPr>
              <w:t>投标保证金】</w:t>
            </w:r>
          </w:p>
          <w:p>
            <w:pPr>
              <w:pStyle w:val="12"/>
              <w:widowControl/>
              <w:spacing w:beforeAutospacing="0" w:after="0" w:line="360" w:lineRule="auto"/>
              <w:ind w:firstLine="0"/>
              <w:rPr>
                <w:rFonts w:ascii="宋体" w:hAnsi="宋体" w:cs="宋体"/>
                <w:color w:val="auto"/>
                <w:highlight w:val="none"/>
              </w:rPr>
            </w:pPr>
            <w:r>
              <w:rPr>
                <w:rFonts w:hint="eastAsia"/>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投标时间：2022年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eastAsia="zh-CN"/>
              </w:rPr>
              <w:t>（星期四）上午</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分至2022年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eastAsia="zh-CN"/>
              </w:rPr>
              <w:t>（星期四）上午</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前</w:t>
            </w:r>
          </w:p>
          <w:p>
            <w:pPr>
              <w:pStyle w:val="12"/>
              <w:widowControl/>
              <w:spacing w:after="0" w:line="320" w:lineRule="exact"/>
              <w:ind w:firstLine="0"/>
              <w:rPr>
                <w:rFonts w:ascii="宋体" w:hAnsi="宋体" w:cs="宋体"/>
                <w:b/>
                <w:color w:val="auto"/>
                <w:highlight w:val="none"/>
              </w:rPr>
            </w:pPr>
            <w:r>
              <w:rPr>
                <w:rFonts w:hint="eastAsia" w:ascii="宋体" w:hAnsi="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开标时间：2022年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eastAsia="zh-CN"/>
              </w:rPr>
              <w:t>（星期四）上午</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广州南沙经发投资有限公司、广州南沙建设维护管理有限公司。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2"/>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kern w:val="2"/>
          <w:sz w:val="24"/>
          <w:szCs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2.1本招标项目按照《中华人民共和国招标投标法》等有关法律、行政法规和部门规章，采取邀请招标的办法，选择有经验、有实力、社会信誉好的设计咨询单位承担设计服务，确保本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设计服务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11.5公司法人营业执照及设计资质证书复印件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ascii="宋体" w:hAnsi="宋体" w:eastAsia="宋体" w:cs="宋体"/>
          <w:color w:val="auto"/>
          <w:sz w:val="24"/>
          <w:highlight w:val="none"/>
        </w:rPr>
        <w:t>9</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pStyle w:val="7"/>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南沙芦湾村新林楼重建工程</w:t>
      </w:r>
      <w:r>
        <w:rPr>
          <w:rFonts w:hint="eastAsia" w:ascii="宋体" w:hAnsi="宋体" w:eastAsia="宋体" w:cs="宋体"/>
          <w:color w:val="auto"/>
          <w:sz w:val="24"/>
          <w:highlight w:val="none"/>
          <w:u w:val="single"/>
          <w:lang w:eastAsia="zh-CN"/>
        </w:rPr>
        <w:t>设计服务</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2022年</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eastAsia="zh-CN"/>
        </w:rPr>
        <w:t>（星期四）上午</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本招标(项目)的设计咨询合同将授予按本须知第27.3款所确定的中标人。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32.3中标人在投标过程使用的投标人名称、银行名称和账号至项目完成竣工结算不得变更，否则，招标人有权停止设计服务款项的拨付及至解除合同，由此造成的一切责任由中标人承担。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rPr>
        <w:t>广州南沙经发投资有限公司、广州南沙建设维护管理有限公司：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rPr>
        <w:t>南沙芦湾村新林楼重建工程</w:t>
      </w:r>
      <w:r>
        <w:rPr>
          <w:rFonts w:hint="eastAsia" w:ascii="宋体" w:hAnsi="宋体" w:eastAsia="宋体" w:cs="Times New Roman"/>
          <w:color w:val="auto"/>
          <w:spacing w:val="20"/>
          <w:sz w:val="24"/>
          <w:highlight w:val="none"/>
          <w:u w:val="single"/>
          <w:lang w:eastAsia="zh-CN"/>
        </w:rPr>
        <w:t>设计服务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rPr>
        <w:t>广州南沙经发投资有限公司、广州南沙建设维护管理有限公司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rPr>
        <w:t>广州南沙经发投资有限公司、广州南沙建设维护管理有限公司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rPr>
        <w:t>南沙芦湾村新林楼重建工程</w:t>
      </w:r>
      <w:r>
        <w:rPr>
          <w:rFonts w:hint="eastAsia" w:ascii="宋体" w:hAnsi="宋体" w:eastAsia="宋体" w:cs="Times New Roman"/>
          <w:color w:val="auto"/>
          <w:spacing w:val="20"/>
          <w:sz w:val="24"/>
          <w:highlight w:val="none"/>
          <w:u w:val="single"/>
          <w:lang w:eastAsia="zh-CN"/>
        </w:rPr>
        <w:t>设计服务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不包括项目负责人）：建筑、结构、给排水、暖通空调、电气、造价各配备1名负责人，具有相应专业中级或以上职称；各专业人员根据项目进度完成设计任务及施工配合服务。</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822703"/>
      <w:bookmarkEnd w:id="11"/>
      <w:bookmarkStart w:id="12" w:name="_Toc326909213"/>
      <w:bookmarkEnd w:id="12"/>
      <w:bookmarkStart w:id="13" w:name="_Toc415728297"/>
      <w:bookmarkEnd w:id="13"/>
      <w:bookmarkStart w:id="14" w:name="_Toc199647675"/>
      <w:bookmarkEnd w:id="14"/>
      <w:bookmarkStart w:id="15" w:name="_Toc459403394"/>
      <w:bookmarkEnd w:id="15"/>
      <w:bookmarkStart w:id="16" w:name="_Toc196036941"/>
      <w:bookmarkEnd w:id="16"/>
      <w:bookmarkStart w:id="17" w:name="_Toc196037097"/>
      <w:bookmarkEnd w:id="17"/>
      <w:bookmarkStart w:id="18" w:name="_Toc196130110"/>
      <w:bookmarkEnd w:id="18"/>
      <w:bookmarkStart w:id="19" w:name="_Toc197235848"/>
      <w:bookmarkEnd w:id="19"/>
      <w:bookmarkStart w:id="20" w:name="_Toc196130013"/>
      <w:bookmarkEnd w:id="20"/>
      <w:bookmarkStart w:id="21" w:name="_Toc41583350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59403395"/>
      <w:bookmarkEnd w:id="24"/>
      <w:bookmarkStart w:id="25" w:name="_Toc196130014"/>
      <w:bookmarkEnd w:id="25"/>
      <w:bookmarkStart w:id="26" w:name="_Toc415833504"/>
      <w:bookmarkEnd w:id="26"/>
      <w:bookmarkStart w:id="27" w:name="_Toc199647676"/>
      <w:bookmarkEnd w:id="27"/>
      <w:bookmarkStart w:id="28" w:name="_Toc196037098"/>
      <w:bookmarkEnd w:id="28"/>
      <w:bookmarkStart w:id="29" w:name="_Toc196036942"/>
      <w:bookmarkEnd w:id="29"/>
      <w:bookmarkStart w:id="30" w:name="_Toc196130111"/>
      <w:bookmarkEnd w:id="30"/>
      <w:bookmarkStart w:id="31" w:name="_Toc197235849"/>
      <w:bookmarkEnd w:id="31"/>
      <w:bookmarkStart w:id="32" w:name="_Toc415728298"/>
      <w:bookmarkEnd w:id="32"/>
      <w:bookmarkStart w:id="33" w:name="_Toc326909214"/>
      <w:bookmarkEnd w:id="33"/>
      <w:bookmarkStart w:id="34" w:name="_Toc462911099"/>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ascii="仿宋" w:hAnsi="仿宋" w:eastAsia="仿宋" w:cs="仿宋"/>
          <w:color w:val="auto"/>
          <w:kern w:val="24"/>
          <w:sz w:val="24"/>
          <w:highlight w:val="none"/>
        </w:rPr>
        <w:t>9</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6130015"/>
      <w:bookmarkEnd w:id="35"/>
      <w:bookmarkStart w:id="36" w:name="_Toc196037099"/>
      <w:bookmarkEnd w:id="36"/>
      <w:bookmarkStart w:id="37" w:name="_Toc197235850"/>
      <w:bookmarkEnd w:id="37"/>
      <w:bookmarkStart w:id="38" w:name="_Toc196130112"/>
      <w:bookmarkEnd w:id="38"/>
      <w:bookmarkStart w:id="39" w:name="_Toc199647677"/>
      <w:bookmarkEnd w:id="39"/>
      <w:bookmarkStart w:id="40" w:name="_Toc196036943"/>
      <w:bookmarkEnd w:id="40"/>
      <w:bookmarkStart w:id="41" w:name="_Toc41822705"/>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注：1、“拟承担工作”栏，应注明主要设计咨询人员（须注明项目负责人、各专业负责人）等。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3、业绩证明资料（如有）须提供：（1）合同；相关证明资料中必须能反映出评标所需指标、人员姓名和岗位等，否则相应子项不予计分。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711" w:type="dxa"/>
            <w:vMerge w:val="restart"/>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投标总报价（元）</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Merge w:val="continue"/>
            <w:vAlign w:val="center"/>
          </w:tcPr>
          <w:p>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p>
    <w:p>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投标总报价不得超过最高投标限价</w:t>
      </w:r>
      <w:r>
        <w:rPr>
          <w:rFonts w:hint="eastAsia" w:ascii="宋体" w:hAnsi="宋体" w:cs="宋体"/>
          <w:bCs/>
          <w:color w:val="auto"/>
          <w:szCs w:val="21"/>
          <w:highlight w:val="none"/>
        </w:rPr>
        <w:t>，否则按废标处理。</w:t>
      </w:r>
    </w:p>
    <w:p>
      <w:pPr>
        <w:spacing w:line="360" w:lineRule="auto"/>
        <w:rPr>
          <w:rFonts w:hAnsi="宋体"/>
          <w:b/>
          <w:color w:val="auto"/>
          <w:highlight w:val="none"/>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投标下浮率=（1-投标报价/最高投标限价）*100%。</w:t>
      </w: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pStyle w:val="7"/>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9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3"/>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vAlign w:val="center"/>
          </w:tcPr>
          <w:p>
            <w:pPr>
              <w:spacing w:line="400" w:lineRule="exact"/>
              <w:jc w:val="center"/>
              <w:rPr>
                <w:rFonts w:ascii="宋体"/>
                <w:color w:val="auto"/>
                <w:szCs w:val="21"/>
                <w:highlight w:val="none"/>
              </w:rPr>
            </w:pPr>
            <w:r>
              <w:rPr>
                <w:rFonts w:hint="eastAsia" w:ascii="宋体"/>
                <w:color w:val="auto"/>
                <w:szCs w:val="21"/>
                <w:highlight w:val="none"/>
              </w:rPr>
              <w:t>评审内容</w:t>
            </w: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评分因素</w:t>
            </w:r>
          </w:p>
        </w:tc>
        <w:tc>
          <w:tcPr>
            <w:tcW w:w="735" w:type="dxa"/>
            <w:vAlign w:val="center"/>
          </w:tcPr>
          <w:p>
            <w:pPr>
              <w:spacing w:line="400" w:lineRule="exact"/>
              <w:jc w:val="center"/>
              <w:rPr>
                <w:rFonts w:ascii="宋体"/>
                <w:color w:val="auto"/>
                <w:szCs w:val="21"/>
                <w:highlight w:val="none"/>
              </w:rPr>
            </w:pPr>
            <w:r>
              <w:rPr>
                <w:rFonts w:hint="eastAsia" w:ascii="宋体"/>
                <w:color w:val="auto"/>
                <w:szCs w:val="21"/>
                <w:highlight w:val="none"/>
              </w:rPr>
              <w:t>得分</w:t>
            </w:r>
          </w:p>
        </w:tc>
        <w:tc>
          <w:tcPr>
            <w:tcW w:w="5428" w:type="dxa"/>
            <w:vAlign w:val="center"/>
          </w:tcPr>
          <w:p>
            <w:pPr>
              <w:spacing w:line="400" w:lineRule="exact"/>
              <w:jc w:val="center"/>
              <w:rPr>
                <w:rFonts w:ascii="宋体"/>
                <w:color w:val="auto"/>
                <w:szCs w:val="21"/>
                <w:highlight w:val="none"/>
              </w:rPr>
            </w:pPr>
            <w:r>
              <w:rPr>
                <w:rFonts w:hint="eastAsia" w:ascii="宋体"/>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pPr>
              <w:spacing w:line="400" w:lineRule="exact"/>
              <w:jc w:val="center"/>
              <w:rPr>
                <w:rFonts w:ascii="宋体"/>
                <w:color w:val="auto"/>
                <w:szCs w:val="21"/>
                <w:highlight w:val="none"/>
              </w:rPr>
            </w:pPr>
            <w:r>
              <w:rPr>
                <w:rFonts w:hint="eastAsia" w:ascii="宋体"/>
                <w:color w:val="auto"/>
                <w:szCs w:val="21"/>
                <w:highlight w:val="none"/>
              </w:rPr>
              <w:t>商务部分</w:t>
            </w:r>
          </w:p>
          <w:p>
            <w:pPr>
              <w:rPr>
                <w:color w:val="auto"/>
                <w:highlight w:val="none"/>
              </w:rPr>
            </w:pPr>
            <w:r>
              <w:rPr>
                <w:rFonts w:hint="eastAsia" w:ascii="宋体"/>
                <w:color w:val="auto"/>
                <w:szCs w:val="21"/>
                <w:highlight w:val="none"/>
              </w:rPr>
              <w:t>（</w:t>
            </w:r>
            <w:r>
              <w:rPr>
                <w:rFonts w:hint="eastAsia" w:ascii="宋体"/>
                <w:color w:val="auto"/>
                <w:szCs w:val="21"/>
                <w:highlight w:val="none"/>
                <w:lang w:val="en-US" w:eastAsia="zh-CN"/>
              </w:rPr>
              <w:t>35</w:t>
            </w:r>
            <w:r>
              <w:rPr>
                <w:rFonts w:hint="eastAsia" w:ascii="宋体"/>
                <w:color w:val="auto"/>
                <w:szCs w:val="21"/>
                <w:highlight w:val="none"/>
              </w:rPr>
              <w:t>分）</w:t>
            </w: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企业设计业绩</w:t>
            </w:r>
          </w:p>
        </w:tc>
        <w:tc>
          <w:tcPr>
            <w:tcW w:w="735" w:type="dxa"/>
            <w:vAlign w:val="center"/>
          </w:tcPr>
          <w:p>
            <w:pPr>
              <w:jc w:val="center"/>
              <w:rPr>
                <w:rFonts w:ascii="宋体" w:eastAsia="宋体"/>
                <w:color w:val="auto"/>
                <w:szCs w:val="21"/>
                <w:highlight w:val="none"/>
              </w:rPr>
            </w:pPr>
            <w:r>
              <w:rPr>
                <w:rFonts w:hint="eastAsia" w:ascii="宋体"/>
                <w:color w:val="auto"/>
                <w:szCs w:val="21"/>
                <w:highlight w:val="none"/>
                <w:lang w:val="en-US" w:eastAsia="zh-CN"/>
              </w:rPr>
              <w:t>4</w:t>
            </w:r>
          </w:p>
        </w:tc>
        <w:tc>
          <w:tcPr>
            <w:tcW w:w="5428" w:type="dxa"/>
            <w:vAlign w:val="center"/>
          </w:tcPr>
          <w:p>
            <w:pPr>
              <w:rPr>
                <w:color w:val="auto"/>
                <w:highlight w:val="none"/>
              </w:rPr>
            </w:pPr>
            <w:r>
              <w:rPr>
                <w:rFonts w:hint="eastAsia"/>
                <w:color w:val="auto"/>
                <w:highlight w:val="none"/>
              </w:rPr>
              <w:t>2019年1月1日至今独立承担过面积2</w:t>
            </w:r>
            <w:r>
              <w:rPr>
                <w:rFonts w:hint="eastAsia"/>
                <w:color w:val="auto"/>
                <w:highlight w:val="none"/>
                <w:lang w:val="en-US" w:eastAsia="zh-CN"/>
              </w:rPr>
              <w:t>0</w:t>
            </w:r>
            <w:r>
              <w:rPr>
                <w:rFonts w:hint="eastAsia"/>
                <w:color w:val="auto"/>
                <w:highlight w:val="none"/>
              </w:rPr>
              <w:t>00平方米或以上的同类业绩，每项得</w:t>
            </w:r>
            <w:r>
              <w:rPr>
                <w:rFonts w:hint="eastAsia"/>
                <w:color w:val="auto"/>
                <w:highlight w:val="none"/>
                <w:lang w:val="en-US" w:eastAsia="zh-CN"/>
              </w:rPr>
              <w:t>1</w:t>
            </w:r>
            <w:r>
              <w:rPr>
                <w:rFonts w:hint="eastAsia"/>
                <w:color w:val="auto"/>
                <w:highlight w:val="none"/>
              </w:rPr>
              <w:t>分，最高得分为</w:t>
            </w:r>
            <w:r>
              <w:rPr>
                <w:rFonts w:hint="eastAsia"/>
                <w:color w:val="auto"/>
                <w:highlight w:val="none"/>
                <w:lang w:val="en-US" w:eastAsia="zh-CN"/>
              </w:rPr>
              <w:t>4</w:t>
            </w:r>
            <w:r>
              <w:rPr>
                <w:rFonts w:hint="eastAsia"/>
                <w:color w:val="auto"/>
                <w:highlight w:val="none"/>
              </w:rPr>
              <w:t>分。</w:t>
            </w:r>
          </w:p>
          <w:p>
            <w:pPr>
              <w:rPr>
                <w:rFonts w:eastAsia="仿宋_GB2312"/>
                <w:color w:val="auto"/>
                <w:highlight w:val="none"/>
              </w:rPr>
            </w:pPr>
            <w:r>
              <w:rPr>
                <w:rFonts w:hint="eastAsia"/>
                <w:color w:val="auto"/>
                <w:highlight w:val="none"/>
              </w:rPr>
              <w:t>注：同类业绩指公建或住宅类</w:t>
            </w:r>
            <w:r>
              <w:rPr>
                <w:rFonts w:hint="eastAsia"/>
                <w:color w:val="auto"/>
                <w:highlight w:val="none"/>
                <w:lang w:eastAsia="zh-CN"/>
              </w:rPr>
              <w:t>项目设计业绩</w:t>
            </w:r>
            <w:r>
              <w:rPr>
                <w:rFonts w:hint="eastAsia"/>
                <w:color w:val="auto"/>
                <w:highlight w:val="none"/>
              </w:rPr>
              <w:t>，须提供设计合同证明材料</w:t>
            </w:r>
            <w:r>
              <w:rPr>
                <w:rFonts w:hint="eastAsia" w:ascii="Times New Roman" w:hAnsi="Times New Roman" w:cs="Times New Roman"/>
                <w:color w:val="auto"/>
                <w:highlight w:val="none"/>
              </w:rPr>
              <w:t>，</w:t>
            </w:r>
            <w:r>
              <w:rPr>
                <w:rFonts w:hint="eastAsia" w:cs="Times New Roman"/>
                <w:color w:val="auto"/>
                <w:highlight w:val="none"/>
              </w:rPr>
              <w:t>若合同无法显示相关信息需提供业主证明及联系方式，</w:t>
            </w:r>
            <w:r>
              <w:rPr>
                <w:rFonts w:hint="eastAsia" w:ascii="Times New Roman" w:hAnsi="Times New Roman" w:cs="Times New Roman"/>
                <w:color w:val="auto"/>
                <w:highlight w:val="none"/>
              </w:rPr>
              <w:t>无证明材料不计分</w:t>
            </w:r>
            <w:r>
              <w:rPr>
                <w:rFonts w:hint="eastAsia"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企业业绩获奖</w:t>
            </w:r>
          </w:p>
        </w:tc>
        <w:tc>
          <w:tcPr>
            <w:tcW w:w="735" w:type="dxa"/>
            <w:vAlign w:val="center"/>
          </w:tcPr>
          <w:p>
            <w:pPr>
              <w:jc w:val="center"/>
              <w:rPr>
                <w:rFonts w:ascii="宋体" w:eastAsia="宋体"/>
                <w:color w:val="auto"/>
                <w:szCs w:val="21"/>
                <w:highlight w:val="none"/>
              </w:rPr>
            </w:pPr>
            <w:r>
              <w:rPr>
                <w:rFonts w:hint="eastAsia" w:ascii="宋体"/>
                <w:color w:val="auto"/>
                <w:szCs w:val="21"/>
                <w:highlight w:val="none"/>
              </w:rPr>
              <w:t>6</w:t>
            </w:r>
          </w:p>
        </w:tc>
        <w:tc>
          <w:tcPr>
            <w:tcW w:w="5428" w:type="dxa"/>
            <w:vAlign w:val="center"/>
          </w:tcPr>
          <w:p>
            <w:pPr>
              <w:widowControl/>
              <w:jc w:val="left"/>
              <w:rPr>
                <w:color w:val="auto"/>
                <w:highlight w:val="none"/>
              </w:rPr>
            </w:pPr>
            <w:r>
              <w:rPr>
                <w:rFonts w:hint="eastAsia"/>
                <w:color w:val="auto"/>
                <w:highlight w:val="none"/>
              </w:rPr>
              <w:t>2019年1月1日至今完成的建筑工程类设计项目作为独立获奖单位获得建设行政主管部门或行业协会颁发的工程勘察设计奖项的，市级每项得0.5分，省级每项得1分，国家级每项得1.5分，最高得分为6分。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项目负责人</w:t>
            </w:r>
          </w:p>
        </w:tc>
        <w:tc>
          <w:tcPr>
            <w:tcW w:w="735" w:type="dxa"/>
            <w:vAlign w:val="center"/>
          </w:tcPr>
          <w:p>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16</w:t>
            </w:r>
          </w:p>
        </w:tc>
        <w:tc>
          <w:tcPr>
            <w:tcW w:w="5428" w:type="dxa"/>
            <w:vAlign w:val="center"/>
          </w:tcPr>
          <w:p>
            <w:pPr>
              <w:widowControl/>
              <w:numPr>
                <w:ilvl w:val="0"/>
                <w:numId w:val="4"/>
              </w:numPr>
              <w:jc w:val="left"/>
              <w:rPr>
                <w:rFonts w:ascii="宋体" w:hAnsi="宋体" w:eastAsia="宋体" w:cs="宋体"/>
                <w:color w:val="auto"/>
                <w:highlight w:val="none"/>
              </w:rPr>
            </w:pPr>
            <w:r>
              <w:rPr>
                <w:rFonts w:hint="eastAsia"/>
                <w:color w:val="auto"/>
                <w:highlight w:val="none"/>
              </w:rPr>
              <w:t>具有高级工程师资质的，得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p>
            <w:pPr>
              <w:widowControl/>
              <w:numPr>
                <w:ilvl w:val="0"/>
                <w:numId w:val="4"/>
              </w:numPr>
              <w:jc w:val="left"/>
              <w:rPr>
                <w:color w:val="auto"/>
                <w:highlight w:val="none"/>
              </w:rPr>
            </w:pPr>
            <w:r>
              <w:rPr>
                <w:rFonts w:hint="eastAsia" w:asciiTheme="minorHAnsi" w:hAnsiTheme="minorHAnsi" w:eastAsiaTheme="minorEastAsia" w:cstheme="minorBidi"/>
                <w:color w:val="auto"/>
                <w:szCs w:val="24"/>
                <w:highlight w:val="none"/>
              </w:rPr>
              <w:t>具有一级注册建筑师资格证书</w:t>
            </w:r>
            <w:r>
              <w:rPr>
                <w:rFonts w:hint="eastAsia"/>
                <w:color w:val="auto"/>
                <w:highlight w:val="none"/>
              </w:rPr>
              <w:t>，得</w:t>
            </w:r>
            <w:r>
              <w:rPr>
                <w:rFonts w:hint="eastAsia"/>
                <w:color w:val="auto"/>
                <w:highlight w:val="none"/>
                <w:lang w:val="en-US" w:eastAsia="zh-CN"/>
              </w:rPr>
              <w:t>3</w:t>
            </w:r>
            <w:r>
              <w:rPr>
                <w:rFonts w:hint="eastAsia"/>
                <w:color w:val="auto"/>
                <w:highlight w:val="none"/>
              </w:rPr>
              <w:t>分；</w:t>
            </w:r>
          </w:p>
          <w:p>
            <w:pPr>
              <w:widowControl/>
              <w:jc w:val="left"/>
              <w:rPr>
                <w:color w:val="auto"/>
                <w:highlight w:val="none"/>
              </w:rPr>
            </w:pPr>
            <w:r>
              <w:rPr>
                <w:rFonts w:hint="eastAsia"/>
                <w:color w:val="auto"/>
                <w:highlight w:val="none"/>
              </w:rPr>
              <w:t>3.拟派项目负责人类似项目业绩：自2019年1月1日至今作为项目设计总负责完成过建筑面积在10000平方米以上的公建或住宅类项目设计业绩</w:t>
            </w:r>
            <w:r>
              <w:rPr>
                <w:color w:val="auto"/>
                <w:highlight w:val="none"/>
              </w:rPr>
              <w:t>1-</w:t>
            </w:r>
            <w:r>
              <w:rPr>
                <w:rFonts w:hint="eastAsia"/>
                <w:color w:val="auto"/>
                <w:highlight w:val="none"/>
              </w:rPr>
              <w:t>6个的得5分；设计业绩</w:t>
            </w:r>
            <w:r>
              <w:rPr>
                <w:color w:val="auto"/>
                <w:highlight w:val="none"/>
              </w:rPr>
              <w:t>7-9</w:t>
            </w:r>
            <w:r>
              <w:rPr>
                <w:rFonts w:hint="eastAsia"/>
                <w:color w:val="auto"/>
                <w:highlight w:val="none"/>
              </w:rPr>
              <w:t>个的得7分；设计业绩10个或以上的得10分。无设计业绩不得分。本项最高得10分。</w:t>
            </w:r>
          </w:p>
          <w:p>
            <w:pPr>
              <w:widowControl/>
              <w:jc w:val="left"/>
              <w:rPr>
                <w:rFonts w:eastAsia="仿宋_GB2312"/>
                <w:color w:val="auto"/>
                <w:highlight w:val="none"/>
              </w:rPr>
            </w:pPr>
            <w:r>
              <w:rPr>
                <w:rFonts w:hint="eastAsia"/>
                <w:color w:val="auto"/>
                <w:highlight w:val="none"/>
              </w:rPr>
              <w:t>注：须提供设计合同证明材料，或其它显示相关证明项目负责人材料，若无法显示相关信息需提供业主证明及联系方式，无证明材料不计分。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ascii="宋体" w:hAnsi="宋体"/>
                <w:color w:val="auto"/>
                <w:szCs w:val="21"/>
                <w:highlight w:val="none"/>
              </w:rPr>
            </w:pPr>
            <w:r>
              <w:rPr>
                <w:rFonts w:hint="eastAsia" w:ascii="宋体"/>
                <w:color w:val="auto"/>
                <w:szCs w:val="21"/>
                <w:highlight w:val="none"/>
              </w:rPr>
              <w:t>各专业人员</w:t>
            </w:r>
          </w:p>
        </w:tc>
        <w:tc>
          <w:tcPr>
            <w:tcW w:w="735" w:type="dxa"/>
            <w:vAlign w:val="center"/>
          </w:tcPr>
          <w:p>
            <w:pPr>
              <w:jc w:val="center"/>
              <w:rPr>
                <w:rFonts w:hint="eastAsia" w:ascii="宋体" w:eastAsiaTheme="minorEastAsia"/>
                <w:color w:val="auto"/>
                <w:szCs w:val="21"/>
                <w:highlight w:val="none"/>
                <w:lang w:eastAsia="zh-CN"/>
              </w:rPr>
            </w:pPr>
            <w:r>
              <w:rPr>
                <w:rFonts w:hint="eastAsia" w:ascii="宋体"/>
                <w:color w:val="auto"/>
                <w:szCs w:val="21"/>
                <w:highlight w:val="none"/>
                <w:lang w:val="en-US" w:eastAsia="zh-CN"/>
              </w:rPr>
              <w:t>6</w:t>
            </w:r>
          </w:p>
        </w:tc>
        <w:tc>
          <w:tcPr>
            <w:tcW w:w="5428" w:type="dxa"/>
            <w:vAlign w:val="center"/>
          </w:tcPr>
          <w:p>
            <w:pPr>
              <w:widowControl/>
              <w:jc w:val="left"/>
              <w:rPr>
                <w:color w:val="auto"/>
                <w:highlight w:val="none"/>
              </w:rPr>
            </w:pPr>
            <w:r>
              <w:rPr>
                <w:rFonts w:hint="eastAsia"/>
                <w:color w:val="auto"/>
                <w:highlight w:val="none"/>
              </w:rPr>
              <w:t>建筑、结构、给排水、暖通空调、电气、造价各专业</w:t>
            </w:r>
            <w:r>
              <w:rPr>
                <w:rFonts w:hint="eastAsia"/>
                <w:color w:val="auto"/>
                <w:highlight w:val="none"/>
                <w:lang w:eastAsia="zh-CN"/>
              </w:rPr>
              <w:t>负责人</w:t>
            </w:r>
            <w:r>
              <w:rPr>
                <w:rFonts w:hint="eastAsia"/>
                <w:color w:val="auto"/>
                <w:highlight w:val="none"/>
              </w:rPr>
              <w:t>具有相关专业高级职称或以上，每人得</w:t>
            </w:r>
            <w:r>
              <w:rPr>
                <w:rFonts w:hint="eastAsia"/>
                <w:color w:val="auto"/>
                <w:highlight w:val="none"/>
                <w:lang w:val="en-US" w:eastAsia="zh-CN"/>
              </w:rPr>
              <w:t>1</w:t>
            </w:r>
            <w:r>
              <w:rPr>
                <w:rFonts w:hint="eastAsia"/>
                <w:color w:val="auto"/>
                <w:highlight w:val="none"/>
              </w:rPr>
              <w:t>分，本项最高得</w:t>
            </w:r>
            <w:r>
              <w:rPr>
                <w:rFonts w:hint="eastAsia"/>
                <w:color w:val="auto"/>
                <w:highlight w:val="none"/>
                <w:lang w:val="en-US" w:eastAsia="zh-CN"/>
              </w:rPr>
              <w:t>6</w:t>
            </w:r>
            <w:r>
              <w:rPr>
                <w:rFonts w:hint="eastAsia"/>
                <w:color w:val="auto"/>
                <w:highlight w:val="none"/>
              </w:rPr>
              <w:t>分。</w:t>
            </w:r>
          </w:p>
          <w:p>
            <w:pPr>
              <w:widowControl/>
              <w:snapToGrid w:val="0"/>
              <w:jc w:val="left"/>
              <w:rPr>
                <w:rFonts w:ascii="宋体"/>
                <w:b/>
                <w:color w:val="auto"/>
                <w:szCs w:val="21"/>
                <w:highlight w:val="none"/>
                <w:u w:val="single"/>
              </w:rPr>
            </w:pPr>
            <w:r>
              <w:rPr>
                <w:rFonts w:hint="eastAsia"/>
                <w:color w:val="auto"/>
                <w:highlight w:val="none"/>
              </w:rPr>
              <w:t>注：提供职称证、注册证书等证明材料，无证明材料则不计分。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企业实力</w:t>
            </w:r>
          </w:p>
        </w:tc>
        <w:tc>
          <w:tcPr>
            <w:tcW w:w="735" w:type="dxa"/>
            <w:vAlign w:val="center"/>
          </w:tcPr>
          <w:p>
            <w:pPr>
              <w:jc w:val="center"/>
              <w:rPr>
                <w:rFonts w:hint="eastAsia" w:ascii="宋体" w:eastAsiaTheme="minorEastAsia"/>
                <w:color w:val="auto"/>
                <w:szCs w:val="21"/>
                <w:highlight w:val="none"/>
                <w:lang w:eastAsia="zh-CN"/>
              </w:rPr>
            </w:pPr>
            <w:r>
              <w:rPr>
                <w:rFonts w:hint="eastAsia" w:ascii="宋体"/>
                <w:color w:val="auto"/>
                <w:szCs w:val="21"/>
                <w:highlight w:val="none"/>
                <w:lang w:val="en-US" w:eastAsia="zh-CN"/>
              </w:rPr>
              <w:t>3</w:t>
            </w:r>
          </w:p>
        </w:tc>
        <w:tc>
          <w:tcPr>
            <w:tcW w:w="5428" w:type="dxa"/>
            <w:vAlign w:val="center"/>
          </w:tcPr>
          <w:p>
            <w:pPr>
              <w:widowControl/>
              <w:snapToGrid w:val="0"/>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具有质量管理体系认证、环境管理体系认证、职业健康安全管理体系认证的，每项得</w:t>
            </w:r>
            <w:r>
              <w:rPr>
                <w:rFonts w:hint="eastAsia" w:ascii="宋体" w:hAnsi="宋体" w:eastAsia="宋体" w:cs="宋体"/>
                <w:color w:val="auto"/>
                <w:szCs w:val="21"/>
                <w:highlight w:val="none"/>
                <w:lang w:val="en-US" w:eastAsia="zh-CN" w:bidi="ar"/>
              </w:rPr>
              <w:t>1</w:t>
            </w:r>
            <w:r>
              <w:rPr>
                <w:rFonts w:hint="eastAsia" w:ascii="宋体" w:hAnsi="宋体" w:eastAsia="宋体" w:cs="宋体"/>
                <w:color w:val="auto"/>
                <w:szCs w:val="21"/>
                <w:highlight w:val="none"/>
                <w:lang w:bidi="ar"/>
              </w:rPr>
              <w:t>分，最高得分为</w:t>
            </w:r>
            <w:r>
              <w:rPr>
                <w:rFonts w:hint="eastAsia" w:ascii="宋体" w:hAnsi="宋体" w:eastAsia="宋体" w:cs="宋体"/>
                <w:color w:val="auto"/>
                <w:szCs w:val="21"/>
                <w:highlight w:val="none"/>
                <w:lang w:val="en-US" w:eastAsia="zh-CN" w:bidi="ar"/>
              </w:rPr>
              <w:t>3</w:t>
            </w:r>
            <w:r>
              <w:rPr>
                <w:rFonts w:hint="eastAsia" w:ascii="宋体" w:hAnsi="宋体" w:eastAsia="宋体" w:cs="宋体"/>
                <w:color w:val="auto"/>
                <w:szCs w:val="21"/>
                <w:highlight w:val="none"/>
                <w:lang w:bidi="ar"/>
              </w:rPr>
              <w:t>分。</w:t>
            </w:r>
          </w:p>
          <w:p>
            <w:pPr>
              <w:widowControl/>
              <w:snapToGrid w:val="0"/>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注：证书须在有效期内，提供证书原件扫描件。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restart"/>
            <w:vAlign w:val="center"/>
          </w:tcPr>
          <w:p>
            <w:pPr>
              <w:rPr>
                <w:rFonts w:hint="eastAsia" w:eastAsiaTheme="minorEastAsia"/>
                <w:color w:val="auto"/>
                <w:highlight w:val="none"/>
                <w:lang w:eastAsia="zh-CN"/>
              </w:rPr>
            </w:pPr>
            <w:r>
              <w:rPr>
                <w:rFonts w:hint="eastAsia"/>
                <w:color w:val="auto"/>
                <w:highlight w:val="none"/>
                <w:lang w:eastAsia="zh-CN"/>
              </w:rPr>
              <w:t>技术部分（</w:t>
            </w:r>
            <w:r>
              <w:rPr>
                <w:rFonts w:hint="eastAsia"/>
                <w:color w:val="auto"/>
                <w:highlight w:val="none"/>
                <w:lang w:val="en-US" w:eastAsia="zh-CN"/>
              </w:rPr>
              <w:t>15</w:t>
            </w:r>
            <w:r>
              <w:rPr>
                <w:rFonts w:hint="eastAsia"/>
                <w:color w:val="auto"/>
                <w:highlight w:val="none"/>
                <w:lang w:eastAsia="zh-CN"/>
              </w:rPr>
              <w:t>）</w:t>
            </w:r>
          </w:p>
        </w:tc>
        <w:tc>
          <w:tcPr>
            <w:tcW w:w="1101" w:type="dxa"/>
            <w:vAlign w:val="center"/>
          </w:tcPr>
          <w:p>
            <w:pPr>
              <w:spacing w:line="400" w:lineRule="exact"/>
              <w:jc w:val="center"/>
              <w:rPr>
                <w:rFonts w:ascii="宋体"/>
                <w:bCs/>
                <w:color w:val="auto"/>
                <w:szCs w:val="21"/>
                <w:highlight w:val="none"/>
              </w:rPr>
            </w:pPr>
            <w:r>
              <w:rPr>
                <w:rFonts w:hint="eastAsia" w:ascii="宋体"/>
                <w:bCs/>
                <w:color w:val="auto"/>
                <w:szCs w:val="21"/>
                <w:highlight w:val="none"/>
              </w:rPr>
              <w:t>对本项目的</w:t>
            </w:r>
            <w:r>
              <w:rPr>
                <w:rFonts w:hint="eastAsia" w:ascii="宋体" w:hAnsi="宋体"/>
                <w:color w:val="auto"/>
                <w:szCs w:val="21"/>
                <w:highlight w:val="none"/>
              </w:rPr>
              <w:t>理解和总体思路</w:t>
            </w:r>
          </w:p>
          <w:p>
            <w:pPr>
              <w:spacing w:line="400" w:lineRule="exact"/>
              <w:jc w:val="center"/>
              <w:rPr>
                <w:rFonts w:hint="eastAsia" w:ascii="宋体" w:hAnsiTheme="minorHAnsi" w:eastAsiaTheme="minorEastAsia" w:cstheme="minorBidi"/>
                <w:bCs/>
                <w:color w:val="auto"/>
                <w:kern w:val="2"/>
                <w:sz w:val="21"/>
                <w:szCs w:val="21"/>
                <w:highlight w:val="none"/>
                <w:lang w:val="en-US" w:eastAsia="zh-CN" w:bidi="ar-SA"/>
              </w:rPr>
            </w:pPr>
          </w:p>
        </w:tc>
        <w:tc>
          <w:tcPr>
            <w:tcW w:w="735" w:type="dxa"/>
            <w:vAlign w:val="center"/>
          </w:tcPr>
          <w:p>
            <w:pPr>
              <w:spacing w:line="400" w:lineRule="exact"/>
              <w:jc w:val="center"/>
              <w:rPr>
                <w:rFonts w:hint="eastAsia" w:ascii="宋体" w:eastAsia="宋体" w:hAnsiTheme="minorHAnsi" w:cstheme="minorBidi"/>
                <w:color w:val="auto"/>
                <w:kern w:val="2"/>
                <w:sz w:val="21"/>
                <w:szCs w:val="21"/>
                <w:highlight w:val="none"/>
                <w:lang w:val="en-US" w:eastAsia="zh-CN" w:bidi="ar-SA"/>
              </w:rPr>
            </w:pPr>
            <w:r>
              <w:rPr>
                <w:rFonts w:hint="eastAsia" w:ascii="宋体"/>
                <w:bCs/>
                <w:color w:val="auto"/>
                <w:szCs w:val="21"/>
                <w:highlight w:val="none"/>
                <w:lang w:val="en-US" w:eastAsia="zh-CN"/>
              </w:rPr>
              <w:t>5</w:t>
            </w:r>
          </w:p>
        </w:tc>
        <w:tc>
          <w:tcPr>
            <w:tcW w:w="54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contextualSpacing/>
              <w:textAlignment w:val="auto"/>
              <w:outlineLvl w:val="9"/>
              <w:rPr>
                <w:color w:val="auto"/>
                <w:highlight w:val="none"/>
              </w:rPr>
            </w:pPr>
            <w:r>
              <w:rPr>
                <w:rFonts w:hint="eastAsia"/>
                <w:color w:val="auto"/>
                <w:highlight w:val="none"/>
              </w:rPr>
              <w:t>对项目概况理解准确全面、透彻，总体思路理念合理得5</w:t>
            </w:r>
            <w:r>
              <w:rPr>
                <w:rFonts w:hint="eastAsia"/>
                <w:color w:val="auto"/>
                <w:highlight w:val="none"/>
                <w:lang w:val="en-US" w:eastAsia="zh-CN"/>
              </w:rPr>
              <w:t>--4（含）</w:t>
            </w:r>
            <w:r>
              <w:rPr>
                <w:rFonts w:hint="eastAsia"/>
                <w:color w:val="auto"/>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contextualSpacing/>
              <w:textAlignment w:val="auto"/>
              <w:outlineLvl w:val="9"/>
              <w:rPr>
                <w:color w:val="auto"/>
                <w:highlight w:val="none"/>
              </w:rPr>
            </w:pPr>
            <w:r>
              <w:rPr>
                <w:rFonts w:hint="eastAsia"/>
                <w:color w:val="auto"/>
                <w:highlight w:val="none"/>
              </w:rPr>
              <w:t>对项目概况基本理解，总体思路理念基本合理得</w:t>
            </w:r>
            <w:r>
              <w:rPr>
                <w:rFonts w:hint="eastAsia"/>
                <w:color w:val="auto"/>
                <w:highlight w:val="none"/>
                <w:lang w:val="en-US" w:eastAsia="zh-CN"/>
              </w:rPr>
              <w:t>4-2（含）</w:t>
            </w:r>
            <w:r>
              <w:rPr>
                <w:rFonts w:hint="eastAsia"/>
                <w:color w:val="auto"/>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contextualSpacing/>
              <w:textAlignment w:val="auto"/>
              <w:outlineLvl w:val="9"/>
              <w:rPr>
                <w:rFonts w:hint="eastAsia" w:ascii="宋体" w:hAnsiTheme="minorHAnsi" w:eastAsiaTheme="minorEastAsia" w:cstheme="minorBidi"/>
                <w:color w:val="auto"/>
                <w:kern w:val="2"/>
                <w:sz w:val="21"/>
                <w:szCs w:val="21"/>
                <w:highlight w:val="none"/>
                <w:lang w:val="en-US" w:eastAsia="zh-CN" w:bidi="ar-SA"/>
              </w:rPr>
            </w:pPr>
            <w:r>
              <w:rPr>
                <w:rFonts w:hint="eastAsia" w:ascii="Times New Roman" w:hAnsi="Times New Roman" w:cs="Times New Roman"/>
                <w:color w:val="auto"/>
                <w:highlight w:val="none"/>
              </w:rPr>
              <w:t>对项目概况理解较差，总体思路不合理的</w:t>
            </w:r>
            <w:r>
              <w:rPr>
                <w:rFonts w:hint="eastAsia"/>
                <w:color w:val="auto"/>
                <w:highlight w:val="none"/>
                <w:lang w:val="en-US" w:eastAsia="zh-CN"/>
              </w:rPr>
              <w:t>2--0</w:t>
            </w:r>
            <w:r>
              <w:rPr>
                <w:rFonts w:hint="eastAsia" w:ascii="Times New Roman" w:hAnsi="Times New Roman" w:cs="Times New Roman"/>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招标项目的特点、关键技术问题的认识及其对策措施</w:t>
            </w:r>
          </w:p>
        </w:tc>
        <w:tc>
          <w:tcPr>
            <w:tcW w:w="735" w:type="dxa"/>
            <w:vAlign w:val="center"/>
          </w:tcPr>
          <w:p>
            <w:pPr>
              <w:spacing w:line="400" w:lineRule="exact"/>
              <w:jc w:val="center"/>
              <w:rPr>
                <w:rFonts w:hint="eastAsia" w:ascii="宋体"/>
                <w:color w:val="auto"/>
                <w:szCs w:val="21"/>
                <w:highlight w:val="none"/>
              </w:rPr>
            </w:pPr>
            <w:r>
              <w:rPr>
                <w:rFonts w:hint="eastAsia" w:ascii="宋体"/>
                <w:color w:val="auto"/>
                <w:szCs w:val="21"/>
                <w:highlight w:val="none"/>
                <w:lang w:val="en-US" w:eastAsia="zh-CN"/>
              </w:rPr>
              <w:t>5</w:t>
            </w:r>
          </w:p>
        </w:tc>
        <w:tc>
          <w:tcPr>
            <w:tcW w:w="54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contextualSpacing/>
              <w:textAlignment w:val="auto"/>
              <w:outlineLvl w:val="9"/>
              <w:rPr>
                <w:color w:val="auto"/>
                <w:highlight w:val="none"/>
              </w:rPr>
            </w:pPr>
            <w:r>
              <w:rPr>
                <w:rFonts w:hint="eastAsia"/>
                <w:color w:val="auto"/>
                <w:highlight w:val="none"/>
              </w:rPr>
              <w:t>对招标项目的特点分析准确、透彻，对项目关键技术问题的认识准确全面，对策措施准确、优越的得5</w:t>
            </w:r>
            <w:r>
              <w:rPr>
                <w:rFonts w:hint="eastAsia"/>
                <w:color w:val="auto"/>
                <w:highlight w:val="none"/>
                <w:lang w:val="en-US" w:eastAsia="zh-CN"/>
              </w:rPr>
              <w:t>--4（含）</w:t>
            </w:r>
            <w:r>
              <w:rPr>
                <w:rFonts w:hint="eastAsia"/>
                <w:color w:val="auto"/>
                <w:highlight w:val="none"/>
              </w:rPr>
              <w:t>分；</w:t>
            </w:r>
            <w:r>
              <w:rPr>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contextualSpacing/>
              <w:textAlignment w:val="auto"/>
              <w:outlineLvl w:val="9"/>
              <w:rPr>
                <w:color w:val="auto"/>
                <w:highlight w:val="none"/>
              </w:rPr>
            </w:pPr>
            <w:r>
              <w:rPr>
                <w:rFonts w:hint="eastAsia"/>
                <w:color w:val="auto"/>
                <w:highlight w:val="none"/>
              </w:rPr>
              <w:t>对招标项目的特点分析基本准确，对项目关键技术问题的认识较全面，对策措施基本可行的得</w:t>
            </w:r>
            <w:r>
              <w:rPr>
                <w:rFonts w:hint="eastAsia"/>
                <w:color w:val="auto"/>
                <w:highlight w:val="none"/>
                <w:lang w:val="en-US" w:eastAsia="zh-CN"/>
              </w:rPr>
              <w:t>4-2（含）</w:t>
            </w:r>
            <w:r>
              <w:rPr>
                <w:rFonts w:hint="eastAsia"/>
                <w:color w:val="auto"/>
                <w:highlight w:val="none"/>
              </w:rPr>
              <w:t>分；</w:t>
            </w:r>
            <w:r>
              <w:rPr>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color w:val="auto"/>
                <w:szCs w:val="21"/>
                <w:highlight w:val="none"/>
                <w:lang w:bidi="ar"/>
              </w:rPr>
            </w:pPr>
            <w:r>
              <w:rPr>
                <w:rFonts w:hint="eastAsia"/>
                <w:color w:val="auto"/>
                <w:highlight w:val="none"/>
              </w:rPr>
              <w:t>对招标项目的特点分析较差，对项目关键技术问题的认识不准确，对策措施不可行的得</w:t>
            </w:r>
            <w:r>
              <w:rPr>
                <w:rFonts w:hint="eastAsia"/>
                <w:color w:val="auto"/>
                <w:highlight w:val="none"/>
                <w:lang w:val="en-US" w:eastAsia="zh-CN"/>
              </w:rPr>
              <w:t>2--0</w:t>
            </w:r>
            <w:r>
              <w:rPr>
                <w:rFonts w:hint="eastAsia"/>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配合施工方案及施工进度保证措施</w:t>
            </w:r>
          </w:p>
        </w:tc>
        <w:tc>
          <w:tcPr>
            <w:tcW w:w="735" w:type="dxa"/>
            <w:vAlign w:val="center"/>
          </w:tcPr>
          <w:p>
            <w:pPr>
              <w:spacing w:line="400" w:lineRule="exact"/>
              <w:jc w:val="center"/>
              <w:rPr>
                <w:rFonts w:hint="eastAsia" w:ascii="宋体"/>
                <w:color w:val="auto"/>
                <w:szCs w:val="21"/>
                <w:highlight w:val="none"/>
              </w:rPr>
            </w:pPr>
            <w:r>
              <w:rPr>
                <w:rFonts w:hint="eastAsia" w:ascii="宋体"/>
                <w:color w:val="auto"/>
                <w:szCs w:val="21"/>
                <w:highlight w:val="none"/>
                <w:lang w:val="en-US" w:eastAsia="zh-CN"/>
              </w:rPr>
              <w:t>5</w:t>
            </w:r>
          </w:p>
        </w:tc>
        <w:tc>
          <w:tcPr>
            <w:tcW w:w="54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contextualSpacing/>
              <w:textAlignment w:val="auto"/>
              <w:outlineLvl w:val="9"/>
              <w:rPr>
                <w:rFonts w:ascii="宋体" w:hAnsi="宋体"/>
                <w:color w:val="auto"/>
                <w:szCs w:val="21"/>
                <w:highlight w:val="none"/>
              </w:rPr>
            </w:pPr>
            <w:r>
              <w:rPr>
                <w:rFonts w:hint="eastAsia" w:ascii="宋体" w:hAnsi="宋体"/>
                <w:color w:val="auto"/>
                <w:szCs w:val="21"/>
                <w:highlight w:val="none"/>
              </w:rPr>
              <w:t>施工配合方案阐述全面、清晰，方案切实可行具有针对性，保证措施体系严密，后续服务安排得当的得</w:t>
            </w:r>
            <w:r>
              <w:rPr>
                <w:rFonts w:hint="eastAsia"/>
                <w:color w:val="auto"/>
                <w:highlight w:val="none"/>
              </w:rPr>
              <w:t>5</w:t>
            </w:r>
            <w:r>
              <w:rPr>
                <w:rFonts w:hint="eastAsia"/>
                <w:color w:val="auto"/>
                <w:highlight w:val="none"/>
                <w:lang w:val="en-US" w:eastAsia="zh-CN"/>
              </w:rPr>
              <w:t>--4（含）</w:t>
            </w:r>
            <w:r>
              <w:rPr>
                <w:rFonts w:hint="eastAsia" w:ascii="宋体" w:hAnsi="宋体"/>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contextualSpacing/>
              <w:textAlignment w:val="auto"/>
              <w:outlineLvl w:val="9"/>
              <w:rPr>
                <w:rFonts w:ascii="宋体" w:hAnsi="宋体"/>
                <w:color w:val="auto"/>
                <w:szCs w:val="21"/>
                <w:highlight w:val="none"/>
              </w:rPr>
            </w:pPr>
            <w:r>
              <w:rPr>
                <w:rFonts w:hint="eastAsia" w:ascii="宋体" w:hAnsi="宋体"/>
                <w:color w:val="auto"/>
                <w:szCs w:val="21"/>
                <w:highlight w:val="none"/>
              </w:rPr>
              <w:t>施工配合方案阐述基本清晰，方案基本可行，有基本的保证措施体系，后续服务安排基本满足要求的得</w:t>
            </w:r>
            <w:r>
              <w:rPr>
                <w:rFonts w:hint="eastAsia"/>
                <w:color w:val="auto"/>
                <w:highlight w:val="none"/>
                <w:lang w:val="en-US" w:eastAsia="zh-CN"/>
              </w:rPr>
              <w:t>4-2（含）</w:t>
            </w:r>
            <w:r>
              <w:rPr>
                <w:rFonts w:hint="eastAsia" w:ascii="宋体" w:hAnsi="宋体"/>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color w:val="auto"/>
                <w:szCs w:val="21"/>
                <w:highlight w:val="none"/>
                <w:lang w:bidi="ar"/>
              </w:rPr>
            </w:pPr>
            <w:r>
              <w:rPr>
                <w:rFonts w:hint="eastAsia" w:ascii="宋体" w:hAnsi="宋体"/>
                <w:color w:val="auto"/>
                <w:szCs w:val="21"/>
                <w:highlight w:val="none"/>
              </w:rPr>
              <w:t>施工配合方案阐述不清晰，方案较差，保证措施体系不可靠，后续服务安排较差的得</w:t>
            </w:r>
            <w:r>
              <w:rPr>
                <w:rFonts w:hint="eastAsia"/>
                <w:color w:val="auto"/>
                <w:highlight w:val="none"/>
                <w:lang w:val="en-US" w:eastAsia="zh-CN"/>
              </w:rPr>
              <w:t>2--0</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pPr>
              <w:spacing w:line="400" w:lineRule="exact"/>
              <w:jc w:val="center"/>
              <w:rPr>
                <w:rFonts w:ascii="宋体"/>
                <w:color w:val="auto"/>
                <w:szCs w:val="21"/>
                <w:highlight w:val="none"/>
              </w:rPr>
            </w:pPr>
            <w:r>
              <w:rPr>
                <w:rFonts w:hint="eastAsia" w:ascii="宋体"/>
                <w:color w:val="auto"/>
                <w:szCs w:val="21"/>
                <w:highlight w:val="none"/>
              </w:rPr>
              <w:t>价格部分</w:t>
            </w:r>
          </w:p>
          <w:p>
            <w:pPr>
              <w:spacing w:line="400" w:lineRule="exact"/>
              <w:jc w:val="center"/>
              <w:rPr>
                <w:rFonts w:ascii="宋体"/>
                <w:color w:val="auto"/>
                <w:szCs w:val="21"/>
                <w:highlight w:val="none"/>
              </w:rPr>
            </w:pPr>
            <w:r>
              <w:rPr>
                <w:rFonts w:hint="eastAsia" w:ascii="宋体"/>
                <w:color w:val="auto"/>
                <w:szCs w:val="21"/>
                <w:highlight w:val="none"/>
              </w:rPr>
              <w:t>（50分）</w:t>
            </w: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投标报价</w:t>
            </w:r>
          </w:p>
        </w:tc>
        <w:tc>
          <w:tcPr>
            <w:tcW w:w="735" w:type="dxa"/>
            <w:vAlign w:val="center"/>
          </w:tcPr>
          <w:p>
            <w:pPr>
              <w:spacing w:line="400" w:lineRule="exact"/>
              <w:jc w:val="center"/>
              <w:rPr>
                <w:rFonts w:ascii="宋体"/>
                <w:color w:val="auto"/>
                <w:szCs w:val="21"/>
                <w:highlight w:val="none"/>
              </w:rPr>
            </w:pPr>
            <w:r>
              <w:rPr>
                <w:rFonts w:hint="eastAsia" w:ascii="宋体"/>
                <w:color w:val="auto"/>
                <w:szCs w:val="21"/>
                <w:highlight w:val="none"/>
              </w:rPr>
              <w:t>50</w:t>
            </w:r>
          </w:p>
        </w:tc>
        <w:tc>
          <w:tcPr>
            <w:tcW w:w="5428" w:type="dxa"/>
          </w:tcPr>
          <w:p>
            <w:pPr>
              <w:rPr>
                <w:rFonts w:ascii="宋体" w:hAnsi="宋体" w:eastAsia="宋体" w:cs="宋体"/>
                <w:color w:val="auto"/>
                <w:szCs w:val="21"/>
                <w:highlight w:val="none"/>
              </w:rPr>
            </w:pPr>
            <w:r>
              <w:rPr>
                <w:rFonts w:hint="eastAsia" w:ascii="宋体" w:hAnsi="宋体" w:eastAsia="宋体" w:cs="宋体"/>
                <w:color w:val="auto"/>
                <w:szCs w:val="21"/>
                <w:highlight w:val="none"/>
              </w:rPr>
              <w:t>报价得分：M＝N-100 ×</w:t>
            </w:r>
            <w:r>
              <w:rPr>
                <w:rFonts w:hint="eastAsia" w:ascii="宋体" w:hAnsi="宋体" w:eastAsia="宋体" w:cs="宋体"/>
                <w:color w:val="auto"/>
                <w:position w:val="-30"/>
                <w:szCs w:val="21"/>
                <w:highlight w:val="none"/>
              </w:rPr>
              <w:object>
                <v:shape id="_x0000_i1025" o:spt="75" type="#_x0000_t75" style="height:32.6pt;width:45.9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rFonts w:hint="eastAsia" w:ascii="宋体" w:hAnsi="宋体" w:eastAsia="宋体" w:cs="宋体"/>
                <w:color w:val="auto"/>
                <w:szCs w:val="21"/>
                <w:highlight w:val="none"/>
              </w:rPr>
              <w:t>×F</w:t>
            </w:r>
          </w:p>
          <w:p>
            <w:pPr>
              <w:spacing w:line="3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其中 N（分）：投标报价权重分值，为</w:t>
            </w:r>
            <w:r>
              <w:rPr>
                <w:rFonts w:hint="eastAsia" w:ascii="宋体" w:hAnsi="宋体" w:cs="宋体"/>
                <w:color w:val="auto"/>
                <w:szCs w:val="21"/>
                <w:highlight w:val="none"/>
                <w:u w:val="single"/>
              </w:rPr>
              <w:t>50</w:t>
            </w:r>
            <w:r>
              <w:rPr>
                <w:rFonts w:hint="eastAsia" w:ascii="宋体" w:hAnsi="宋体" w:eastAsia="宋体" w:cs="宋体"/>
                <w:color w:val="auto"/>
                <w:szCs w:val="21"/>
                <w:highlight w:val="none"/>
              </w:rPr>
              <w:t>分；</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P（元）：投标文件通过初步评审的有效投标报价；</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Q（元）：评标基准价；</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F：偏离扣分分值，当P≥Q，F=</w:t>
            </w:r>
            <w:r>
              <w:rPr>
                <w:rFonts w:hint="eastAsia" w:ascii="宋体" w:hAnsi="宋体" w:cs="宋体"/>
                <w:color w:val="auto"/>
                <w:szCs w:val="21"/>
                <w:highlight w:val="none"/>
              </w:rPr>
              <w:t>0.4</w:t>
            </w:r>
            <w:r>
              <w:rPr>
                <w:rFonts w:hint="eastAsia" w:ascii="宋体" w:hAnsi="宋体" w:eastAsia="宋体" w:cs="宋体"/>
                <w:color w:val="auto"/>
                <w:szCs w:val="21"/>
                <w:highlight w:val="none"/>
              </w:rPr>
              <w:t>；当P＜Q，F=</w:t>
            </w:r>
            <w:r>
              <w:rPr>
                <w:rFonts w:hint="eastAsia" w:ascii="宋体" w:hAnsi="宋体" w:cs="宋体"/>
                <w:color w:val="auto"/>
                <w:szCs w:val="21"/>
                <w:highlight w:val="none"/>
              </w:rPr>
              <w:t>0.2</w:t>
            </w:r>
            <w:r>
              <w:rPr>
                <w:rFonts w:hint="eastAsia" w:ascii="宋体" w:hAnsi="宋体" w:eastAsia="宋体" w:cs="宋体"/>
                <w:color w:val="auto"/>
                <w:szCs w:val="21"/>
                <w:highlight w:val="none"/>
              </w:rPr>
              <w:t>。</w:t>
            </w:r>
          </w:p>
          <w:p>
            <w:pPr>
              <w:rPr>
                <w:rFonts w:ascii="宋体" w:eastAsia="宋体"/>
                <w:color w:val="auto"/>
                <w:szCs w:val="21"/>
                <w:highlight w:val="none"/>
              </w:rPr>
            </w:pPr>
            <w:r>
              <w:rPr>
                <w:rFonts w:hint="eastAsia" w:ascii="宋体" w:hAnsi="宋体" w:eastAsia="宋体" w:cs="宋体"/>
                <w:b/>
                <w:color w:val="auto"/>
                <w:szCs w:val="21"/>
                <w:highlight w:val="none"/>
              </w:rPr>
              <w:t>注：</w:t>
            </w:r>
            <w:r>
              <w:rPr>
                <w:rFonts w:hint="eastAsia" w:ascii="宋体" w:hAnsi="宋体" w:cs="微软雅黑"/>
                <w:b/>
                <w:color w:val="auto"/>
                <w:position w:val="-1"/>
                <w:szCs w:val="21"/>
                <w:highlight w:val="none"/>
              </w:rPr>
              <w:t>①以所有通过初步评审的投标文件的有效报价作为依据，（当有效报价大于或等于5家时，去掉一个最高报价和一个最低报价后进行算术平均；当有效报价不超过5家时，则对全部有效报价进行算术平均），并以此算术平均值为评标基准价确定其他投标人的投标报价得分。②计算值按四舍五入法保留两位有效小数，本项最低得分为0分。③除计算错误外，评标基准价不因招投标当事人质疑、投诉、复议以及其它任何情形而改变。</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1、企</w:t>
      </w:r>
      <w:r>
        <w:rPr>
          <w:rFonts w:hint="eastAsia" w:hAnsi="宋体" w:cs="宋体"/>
          <w:color w:val="auto"/>
          <w:szCs w:val="18"/>
          <w:highlight w:val="none"/>
        </w:rPr>
        <w:t>业业绩认定证明材料需提供设计合同复印件；业绩认定时间以设计合同签订时间为准。如业绩资料不能证明评标所需指标，须另提供经业主确认的证明资料复印件。</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2、国家级奖项指国家协会、国家建设行政主管部门颁发的设计奖项，省级（含副省级）奖指省级（含副省级）协会或省级（含副省级）行政主管部门颁发的设计奖项。</w:t>
      </w:r>
      <w:r>
        <w:rPr>
          <w:rFonts w:hint="eastAsia" w:ascii="宋体" w:hAnsi="宋体"/>
          <w:color w:val="auto"/>
          <w:szCs w:val="21"/>
          <w:highlight w:val="none"/>
          <w:lang w:val="zh-CN"/>
        </w:rPr>
        <w:t>业绩获奖的按最高奖项只计算一次，不重复计算。业绩获奖确认时间以证书发证日期为准。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3、</w:t>
      </w:r>
      <w:r>
        <w:rPr>
          <w:rFonts w:hint="eastAsia" w:ascii="宋体" w:hAnsi="宋体" w:cs="宋体"/>
          <w:color w:val="auto"/>
          <w:szCs w:val="21"/>
          <w:highlight w:val="none"/>
        </w:rPr>
        <w:t>人员配备及技术水平</w:t>
      </w:r>
      <w:r>
        <w:rPr>
          <w:rFonts w:hint="eastAsia" w:ascii="宋体" w:hAnsi="宋体" w:cs="宋体"/>
          <w:color w:val="auto"/>
          <w:spacing w:val="4"/>
          <w:szCs w:val="21"/>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投标截止日前一个月（2022年</w:t>
      </w:r>
      <w:r>
        <w:rPr>
          <w:rFonts w:hint="eastAsia" w:ascii="宋体" w:hAnsi="宋体" w:cs="宋体"/>
          <w:color w:val="auto"/>
          <w:szCs w:val="18"/>
          <w:highlight w:val="none"/>
          <w:lang w:val="en-US" w:eastAsia="zh-CN"/>
        </w:rPr>
        <w:t>7</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rPr>
        <w:t>4、本表中所有要求提供的证明资料复印件均需加盖投标人公章。未提供证明资料或提供的证明材料不齐全、不符合要求的，不得分。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：广州南沙经发投资有限公司、广州南沙建设维护管理有限公司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南沙芦湾村新林楼重建工程</w:t>
      </w:r>
      <w:r>
        <w:rPr>
          <w:rFonts w:hint="eastAsia" w:ascii="宋体" w:hAnsi="宋体" w:eastAsia="宋体"/>
          <w:color w:val="auto"/>
          <w:sz w:val="24"/>
          <w:szCs w:val="24"/>
          <w:highlight w:val="none"/>
          <w:u w:val="single"/>
          <w:lang w:eastAsia="zh-CN"/>
        </w:rPr>
        <w:t>设计服务</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spacing w:line="360" w:lineRule="auto"/>
        <w:rPr>
          <w:rFonts w:ascii="仿宋_GB2312" w:hAnsi="仿宋_GB2312" w:eastAsia="仿宋_GB2312" w:cs="仿宋_GB2312"/>
          <w:bCs/>
          <w:color w:val="auto"/>
          <w:sz w:val="32"/>
          <w:szCs w:val="32"/>
          <w:highlight w:val="none"/>
        </w:rPr>
      </w:pP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07F37113"/>
    <w:multiLevelType w:val="singleLevel"/>
    <w:tmpl w:val="07F37113"/>
    <w:lvl w:ilvl="0" w:tentative="0">
      <w:start w:val="1"/>
      <w:numFmt w:val="decimal"/>
      <w:lvlText w:val="%1."/>
      <w:lvlJc w:val="left"/>
      <w:pPr>
        <w:tabs>
          <w:tab w:val="left" w:pos="312"/>
        </w:tabs>
      </w:pPr>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F7533D"/>
    <w:rsid w:val="03562994"/>
    <w:rsid w:val="035A0EDE"/>
    <w:rsid w:val="03CB6D70"/>
    <w:rsid w:val="03D5206B"/>
    <w:rsid w:val="04364A4F"/>
    <w:rsid w:val="043A0F20"/>
    <w:rsid w:val="04754D24"/>
    <w:rsid w:val="04E40895"/>
    <w:rsid w:val="050B0AD1"/>
    <w:rsid w:val="051B7598"/>
    <w:rsid w:val="05577B55"/>
    <w:rsid w:val="055B7D38"/>
    <w:rsid w:val="083B43B1"/>
    <w:rsid w:val="08757A2C"/>
    <w:rsid w:val="08A86F0A"/>
    <w:rsid w:val="09A667E8"/>
    <w:rsid w:val="09C053E7"/>
    <w:rsid w:val="0B093D1A"/>
    <w:rsid w:val="0B372B92"/>
    <w:rsid w:val="0B3B76F5"/>
    <w:rsid w:val="0C855B7E"/>
    <w:rsid w:val="0C87037B"/>
    <w:rsid w:val="0CEF0CD8"/>
    <w:rsid w:val="0E1B10A8"/>
    <w:rsid w:val="0E80564C"/>
    <w:rsid w:val="0EA03B8A"/>
    <w:rsid w:val="0EAC0C18"/>
    <w:rsid w:val="0EB25F9A"/>
    <w:rsid w:val="0F0E1360"/>
    <w:rsid w:val="0F8D0176"/>
    <w:rsid w:val="115626A3"/>
    <w:rsid w:val="12E86716"/>
    <w:rsid w:val="14082F52"/>
    <w:rsid w:val="14085DAD"/>
    <w:rsid w:val="14233C6D"/>
    <w:rsid w:val="14452035"/>
    <w:rsid w:val="145B3800"/>
    <w:rsid w:val="147E4E1C"/>
    <w:rsid w:val="16007AF5"/>
    <w:rsid w:val="163A203A"/>
    <w:rsid w:val="17BF20B0"/>
    <w:rsid w:val="17E977C8"/>
    <w:rsid w:val="1873680D"/>
    <w:rsid w:val="18AF3306"/>
    <w:rsid w:val="18F12637"/>
    <w:rsid w:val="1922150A"/>
    <w:rsid w:val="19880595"/>
    <w:rsid w:val="1AB46DAB"/>
    <w:rsid w:val="1B6C2995"/>
    <w:rsid w:val="1BC44893"/>
    <w:rsid w:val="1BC65F54"/>
    <w:rsid w:val="1BDF2274"/>
    <w:rsid w:val="1C05708F"/>
    <w:rsid w:val="1C307374"/>
    <w:rsid w:val="1C9203A6"/>
    <w:rsid w:val="1E8832A2"/>
    <w:rsid w:val="1F1C5732"/>
    <w:rsid w:val="1FC2316E"/>
    <w:rsid w:val="20336A96"/>
    <w:rsid w:val="21424D60"/>
    <w:rsid w:val="220D3E3F"/>
    <w:rsid w:val="224A02E7"/>
    <w:rsid w:val="227411DF"/>
    <w:rsid w:val="22803312"/>
    <w:rsid w:val="238E7B64"/>
    <w:rsid w:val="24856237"/>
    <w:rsid w:val="24FE116D"/>
    <w:rsid w:val="25053D8A"/>
    <w:rsid w:val="25791876"/>
    <w:rsid w:val="26B94C66"/>
    <w:rsid w:val="26FF6942"/>
    <w:rsid w:val="272B74FA"/>
    <w:rsid w:val="27C21F87"/>
    <w:rsid w:val="2865301D"/>
    <w:rsid w:val="28732366"/>
    <w:rsid w:val="28C86C87"/>
    <w:rsid w:val="28FB65E3"/>
    <w:rsid w:val="296119D7"/>
    <w:rsid w:val="297D19A3"/>
    <w:rsid w:val="2A97100B"/>
    <w:rsid w:val="2B401296"/>
    <w:rsid w:val="2B9F277C"/>
    <w:rsid w:val="2D0635AD"/>
    <w:rsid w:val="2DDB1EBF"/>
    <w:rsid w:val="2DF963B5"/>
    <w:rsid w:val="2E6961DD"/>
    <w:rsid w:val="2EA67F31"/>
    <w:rsid w:val="2EC40C57"/>
    <w:rsid w:val="2EE433BF"/>
    <w:rsid w:val="30334755"/>
    <w:rsid w:val="309A6C96"/>
    <w:rsid w:val="311233CC"/>
    <w:rsid w:val="332E1E50"/>
    <w:rsid w:val="34375C94"/>
    <w:rsid w:val="34935BA4"/>
    <w:rsid w:val="34A264CA"/>
    <w:rsid w:val="36BA638E"/>
    <w:rsid w:val="3703456E"/>
    <w:rsid w:val="37A26BD4"/>
    <w:rsid w:val="386E2C1B"/>
    <w:rsid w:val="39FC703A"/>
    <w:rsid w:val="3A4968C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DE71F5"/>
    <w:rsid w:val="40F706D6"/>
    <w:rsid w:val="418C72E5"/>
    <w:rsid w:val="41EC3A6C"/>
    <w:rsid w:val="42A2655E"/>
    <w:rsid w:val="42E71D47"/>
    <w:rsid w:val="436C5E0D"/>
    <w:rsid w:val="440F6ACF"/>
    <w:rsid w:val="44631084"/>
    <w:rsid w:val="446A549B"/>
    <w:rsid w:val="44800368"/>
    <w:rsid w:val="45C40D74"/>
    <w:rsid w:val="46871AD6"/>
    <w:rsid w:val="4735560E"/>
    <w:rsid w:val="47413F22"/>
    <w:rsid w:val="47D55FFA"/>
    <w:rsid w:val="481D5A38"/>
    <w:rsid w:val="487975A7"/>
    <w:rsid w:val="48E72086"/>
    <w:rsid w:val="494D5092"/>
    <w:rsid w:val="49732ED5"/>
    <w:rsid w:val="4A1079FD"/>
    <w:rsid w:val="4A1D620C"/>
    <w:rsid w:val="4AE21D6F"/>
    <w:rsid w:val="4BC136D0"/>
    <w:rsid w:val="4C2E17B4"/>
    <w:rsid w:val="4D904DD7"/>
    <w:rsid w:val="4D9C287D"/>
    <w:rsid w:val="4DC53F66"/>
    <w:rsid w:val="4E4F4497"/>
    <w:rsid w:val="50932EAD"/>
    <w:rsid w:val="51552F81"/>
    <w:rsid w:val="5174053C"/>
    <w:rsid w:val="51AB2104"/>
    <w:rsid w:val="525C5CD6"/>
    <w:rsid w:val="52840C61"/>
    <w:rsid w:val="53427976"/>
    <w:rsid w:val="53A63423"/>
    <w:rsid w:val="54386D63"/>
    <w:rsid w:val="54A36172"/>
    <w:rsid w:val="54B0714A"/>
    <w:rsid w:val="54BC0EE8"/>
    <w:rsid w:val="55C049DC"/>
    <w:rsid w:val="55D41C4B"/>
    <w:rsid w:val="562E1696"/>
    <w:rsid w:val="594F1692"/>
    <w:rsid w:val="59566C52"/>
    <w:rsid w:val="5AAF5CCA"/>
    <w:rsid w:val="5AC43F2A"/>
    <w:rsid w:val="5AD32383"/>
    <w:rsid w:val="5AD75A27"/>
    <w:rsid w:val="5B6E68B8"/>
    <w:rsid w:val="5B8D6C19"/>
    <w:rsid w:val="5BCE61FA"/>
    <w:rsid w:val="5C9B134E"/>
    <w:rsid w:val="5CE91666"/>
    <w:rsid w:val="5D580334"/>
    <w:rsid w:val="5DAA1580"/>
    <w:rsid w:val="5DEB0F2A"/>
    <w:rsid w:val="5E1A6FB5"/>
    <w:rsid w:val="5E7A3CE2"/>
    <w:rsid w:val="5F355496"/>
    <w:rsid w:val="602642B3"/>
    <w:rsid w:val="61A7533B"/>
    <w:rsid w:val="62B2296D"/>
    <w:rsid w:val="62C266BA"/>
    <w:rsid w:val="636147EE"/>
    <w:rsid w:val="63677EFB"/>
    <w:rsid w:val="63DB6B9E"/>
    <w:rsid w:val="63F47577"/>
    <w:rsid w:val="64CD6224"/>
    <w:rsid w:val="65B441A4"/>
    <w:rsid w:val="66373494"/>
    <w:rsid w:val="66591B82"/>
    <w:rsid w:val="66790C75"/>
    <w:rsid w:val="67110541"/>
    <w:rsid w:val="674F15EA"/>
    <w:rsid w:val="67A63985"/>
    <w:rsid w:val="686731DA"/>
    <w:rsid w:val="6898637C"/>
    <w:rsid w:val="68B16D7B"/>
    <w:rsid w:val="68BA7003"/>
    <w:rsid w:val="68C057C9"/>
    <w:rsid w:val="6A364F93"/>
    <w:rsid w:val="6BE11926"/>
    <w:rsid w:val="6C920572"/>
    <w:rsid w:val="6D827B87"/>
    <w:rsid w:val="6DC31ECB"/>
    <w:rsid w:val="6E656845"/>
    <w:rsid w:val="6EA64B45"/>
    <w:rsid w:val="6F471F5D"/>
    <w:rsid w:val="710F157A"/>
    <w:rsid w:val="718C3480"/>
    <w:rsid w:val="726F354B"/>
    <w:rsid w:val="72B9765A"/>
    <w:rsid w:val="72F3401B"/>
    <w:rsid w:val="731416B4"/>
    <w:rsid w:val="73712518"/>
    <w:rsid w:val="738E7AB2"/>
    <w:rsid w:val="73A54F01"/>
    <w:rsid w:val="73DF2037"/>
    <w:rsid w:val="73F47C56"/>
    <w:rsid w:val="74624F7D"/>
    <w:rsid w:val="7546516B"/>
    <w:rsid w:val="75AF555B"/>
    <w:rsid w:val="76F3488A"/>
    <w:rsid w:val="77281C38"/>
    <w:rsid w:val="781828A1"/>
    <w:rsid w:val="78780B98"/>
    <w:rsid w:val="788E06C1"/>
    <w:rsid w:val="78D76423"/>
    <w:rsid w:val="79E02BD8"/>
    <w:rsid w:val="7A3458D0"/>
    <w:rsid w:val="7A4B048B"/>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qFormat/>
    <w:uiPriority w:val="0"/>
  </w:style>
  <w:style w:type="paragraph" w:styleId="7">
    <w:name w:val="Plain Text"/>
    <w:basedOn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15692</Words>
  <Characters>16525</Characters>
  <Lines>139</Lines>
  <Paragraphs>39</Paragraphs>
  <TotalTime>2</TotalTime>
  <ScaleCrop>false</ScaleCrop>
  <LinksUpToDate>false</LinksUpToDate>
  <CharactersWithSpaces>17380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2022-08-26T08:27:55Z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34A582031BBD4A8392FE98AAD5F97DA6</vt:lpwstr>
  </property>
</Properties>
</file>