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3"/>
        <w:ind w:firstLine="400"/>
        <w:rPr>
          <w:sz w:val="20"/>
          <w:szCs w:val="20"/>
        </w:rPr>
      </w:pPr>
    </w:p>
    <w:p>
      <w:pPr>
        <w:spacing w:line="400" w:lineRule="exact"/>
      </w:pPr>
    </w:p>
    <w:p>
      <w:pPr>
        <w:spacing w:line="400" w:lineRule="exact"/>
      </w:pPr>
    </w:p>
    <w:p>
      <w:pPr>
        <w:jc w:val="center"/>
        <w:rPr>
          <w:rFonts w:hint="eastAsia" w:ascii="宋体" w:hAnsi="宋体" w:eastAsia="黑体" w:cstheme="minorBidi"/>
          <w:sz w:val="48"/>
          <w:szCs w:val="48"/>
          <w:lang w:val="en-US" w:eastAsia="zh-CN"/>
        </w:rPr>
      </w:pPr>
      <w:bookmarkStart w:id="1097" w:name="_GoBack"/>
      <w:r>
        <w:rPr>
          <w:rFonts w:hint="eastAsia" w:ascii="宋体" w:hAnsi="宋体" w:eastAsia="黑体" w:cstheme="minorBidi"/>
          <w:sz w:val="48"/>
          <w:szCs w:val="48"/>
          <w:lang w:eastAsia="zh-CN"/>
        </w:rPr>
        <w:t>天后宫专用综合房增容工程</w:t>
      </w:r>
      <w:bookmarkEnd w:id="1097"/>
    </w:p>
    <w:p>
      <w:pPr>
        <w:rPr>
          <w:sz w:val="28"/>
          <w:szCs w:val="28"/>
        </w:rPr>
      </w:pPr>
    </w:p>
    <w:p>
      <w:pPr>
        <w:rPr>
          <w:sz w:val="28"/>
          <w:szCs w:val="28"/>
        </w:rPr>
      </w:pPr>
    </w:p>
    <w:p>
      <w:pPr>
        <w:pStyle w:val="12"/>
      </w:pPr>
    </w:p>
    <w:p>
      <w:pPr>
        <w:rPr>
          <w:sz w:val="28"/>
          <w:szCs w:val="28"/>
        </w:rPr>
      </w:pPr>
    </w:p>
    <w:p>
      <w:pPr>
        <w:jc w:val="center"/>
        <w:rPr>
          <w:rFonts w:hint="eastAsia" w:ascii="楷体" w:hAnsi="楷体" w:eastAsia="楷体" w:cs="楷体"/>
          <w:b/>
          <w:sz w:val="110"/>
          <w:szCs w:val="110"/>
        </w:rPr>
      </w:pPr>
      <w:r>
        <w:rPr>
          <w:rFonts w:hint="eastAsia" w:ascii="楷体" w:hAnsi="楷体" w:eastAsia="楷体" w:cs="楷体"/>
          <w:b/>
          <w:sz w:val="110"/>
          <w:szCs w:val="110"/>
        </w:rPr>
        <w:t>招标文件</w:t>
      </w:r>
    </w:p>
    <w:p>
      <w:pPr>
        <w:spacing w:line="400" w:lineRule="exact"/>
      </w:pPr>
    </w:p>
    <w:p>
      <w:pPr>
        <w:spacing w:line="400" w:lineRule="exact"/>
      </w:pPr>
    </w:p>
    <w:p>
      <w:pPr>
        <w:spacing w:line="400" w:lineRule="exact"/>
      </w:pPr>
    </w:p>
    <w:p>
      <w:pPr>
        <w:spacing w:line="400" w:lineRule="exact"/>
      </w:pPr>
    </w:p>
    <w:p>
      <w:pPr>
        <w:spacing w:line="400" w:lineRule="exact"/>
      </w:pPr>
    </w:p>
    <w:p>
      <w:pPr>
        <w:spacing w:line="400" w:lineRule="exact"/>
      </w:pPr>
    </w:p>
    <w:p>
      <w:pPr>
        <w:spacing w:line="400" w:lineRule="exact"/>
      </w:pPr>
    </w:p>
    <w:p>
      <w:pPr>
        <w:spacing w:line="400" w:lineRule="exact"/>
      </w:pPr>
    </w:p>
    <w:p>
      <w:pPr>
        <w:spacing w:line="400" w:lineRule="exact"/>
      </w:pPr>
    </w:p>
    <w:p>
      <w:pPr>
        <w:spacing w:line="400" w:lineRule="exact"/>
      </w:pPr>
    </w:p>
    <w:p>
      <w:pPr>
        <w:tabs>
          <w:tab w:val="left" w:pos="7067"/>
        </w:tabs>
        <w:spacing w:line="360" w:lineRule="auto"/>
        <w:ind w:firstLine="1506" w:firstLineChars="500"/>
        <w:rPr>
          <w:rFonts w:ascii="宋体" w:hAnsi="宋体" w:cs="宋体"/>
          <w:b/>
          <w:sz w:val="30"/>
          <w:szCs w:val="30"/>
        </w:rPr>
      </w:pPr>
      <w:bookmarkStart w:id="0" w:name="_Toc27659"/>
      <w:bookmarkStart w:id="1" w:name="_Toc494371510"/>
      <w:bookmarkStart w:id="2" w:name="_Toc726"/>
      <w:bookmarkStart w:id="3" w:name="_Toc19474"/>
      <w:bookmarkStart w:id="4" w:name="_Toc363"/>
      <w:bookmarkStart w:id="5" w:name="_Toc23644"/>
      <w:bookmarkStart w:id="6" w:name="_Toc144974478"/>
      <w:bookmarkStart w:id="7" w:name="_Toc24489"/>
      <w:bookmarkStart w:id="8" w:name="_Toc152042286"/>
      <w:bookmarkStart w:id="9" w:name="_Toc20398"/>
      <w:bookmarkStart w:id="10" w:name="_Toc300834926"/>
      <w:bookmarkStart w:id="11" w:name="_Toc28091"/>
      <w:bookmarkStart w:id="12" w:name="_Toc17935"/>
      <w:bookmarkStart w:id="13" w:name="_Toc247527532"/>
      <w:bookmarkStart w:id="14" w:name="_Toc24129"/>
      <w:r>
        <w:rPr>
          <w:rFonts w:hint="eastAsia" w:ascii="宋体" w:hAnsi="宋体" w:cs="宋体"/>
          <w:b/>
          <w:sz w:val="30"/>
          <w:szCs w:val="30"/>
        </w:rPr>
        <w:t>招标单位：广州南沙旅游发展有限公司</w:t>
      </w:r>
    </w:p>
    <w:p>
      <w:pPr>
        <w:pStyle w:val="33"/>
        <w:ind w:firstLine="1482" w:firstLineChars="492"/>
        <w:jc w:val="both"/>
        <w:rPr>
          <w:rFonts w:hint="eastAsia" w:ascii="宋体" w:hAnsi="宋体" w:eastAsia="宋体" w:cs="宋体"/>
          <w:b/>
          <w:kern w:val="2"/>
          <w:sz w:val="30"/>
          <w:szCs w:val="30"/>
          <w:u w:val="none"/>
          <w:lang w:val="en-US" w:eastAsia="zh-CN" w:bidi="ar-SA"/>
        </w:rPr>
        <w:sectPr>
          <w:headerReference r:id="rId3" w:type="default"/>
          <w:endnotePr>
            <w:numFmt w:val="decimal"/>
          </w:endnotePr>
          <w:pgSz w:w="11906" w:h="16838"/>
          <w:pgMar w:top="1361" w:right="1304" w:bottom="1247" w:left="1304" w:header="851" w:footer="992" w:gutter="0"/>
          <w:pgBorders>
            <w:top w:val="none" w:sz="0" w:space="0"/>
            <w:left w:val="none" w:sz="0" w:space="0"/>
            <w:bottom w:val="none" w:sz="0" w:space="0"/>
            <w:right w:val="none" w:sz="0" w:space="0"/>
          </w:pgBorders>
          <w:cols w:space="720" w:num="1"/>
          <w:docGrid w:type="lines" w:linePitch="312" w:charSpace="0"/>
        </w:sectPr>
      </w:pPr>
      <w:r>
        <w:rPr>
          <w:rFonts w:hint="eastAsia" w:ascii="宋体" w:hAnsi="宋体" w:eastAsia="宋体" w:cs="宋体"/>
          <w:b/>
          <w:kern w:val="2"/>
          <w:sz w:val="30"/>
          <w:szCs w:val="30"/>
          <w:u w:val="none"/>
          <w:lang w:val="en-US" w:eastAsia="zh-CN" w:bidi="ar-SA"/>
        </w:rPr>
        <w:t>日    期：2022年</w:t>
      </w:r>
      <w:r>
        <w:rPr>
          <w:rFonts w:hint="eastAsia" w:cs="宋体"/>
          <w:b/>
          <w:kern w:val="2"/>
          <w:sz w:val="30"/>
          <w:szCs w:val="30"/>
          <w:u w:val="none"/>
          <w:lang w:val="en-US" w:eastAsia="zh-CN" w:bidi="ar-SA"/>
        </w:rPr>
        <w:t>8</w:t>
      </w:r>
      <w:r>
        <w:rPr>
          <w:rFonts w:hint="eastAsia" w:ascii="宋体" w:hAnsi="宋体" w:eastAsia="宋体" w:cs="宋体"/>
          <w:b/>
          <w:kern w:val="2"/>
          <w:sz w:val="30"/>
          <w:szCs w:val="30"/>
          <w:u w:val="none"/>
          <w:lang w:val="en-US" w:eastAsia="zh-CN" w:bidi="ar-SA"/>
        </w:rPr>
        <w:t>月</w:t>
      </w:r>
    </w:p>
    <w:p>
      <w:pPr>
        <w:tabs>
          <w:tab w:val="left" w:pos="7067"/>
        </w:tabs>
        <w:spacing w:line="360" w:lineRule="auto"/>
        <w:ind w:firstLine="1506" w:firstLineChars="500"/>
        <w:rPr>
          <w:rFonts w:ascii="宋体" w:hAnsi="宋体" w:cs="宋体"/>
          <w:b/>
          <w:sz w:val="30"/>
          <w:szCs w:val="30"/>
        </w:rPr>
      </w:pPr>
    </w:p>
    <w:p>
      <w:pPr>
        <w:pStyle w:val="3"/>
        <w:jc w:val="center"/>
      </w:pPr>
      <w:bookmarkStart w:id="15" w:name="_Toc29448"/>
      <w:bookmarkStart w:id="16" w:name="_Toc816"/>
      <w:r>
        <w:rPr>
          <w:rFonts w:hint="eastAsia"/>
        </w:rPr>
        <w:t>目录</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p>
    <w:p>
      <w:pPr>
        <w:pStyle w:val="27"/>
        <w:tabs>
          <w:tab w:val="right" w:leader="dot" w:pos="9411"/>
        </w:tabs>
        <w:rPr>
          <w:rFonts w:hint="eastAsia" w:ascii="宋体" w:hAnsi="宋体" w:cs="宋体"/>
          <w:b w:val="0"/>
          <w:bCs w:val="0"/>
          <w:sz w:val="21"/>
          <w:szCs w:val="21"/>
        </w:rPr>
      </w:pPr>
      <w:bookmarkStart w:id="17" w:name="_Toc247527533"/>
      <w:bookmarkStart w:id="18" w:name="_Toc247513932"/>
      <w:bookmarkStart w:id="19" w:name="_Toc152042287"/>
      <w:bookmarkStart w:id="20" w:name="_Toc144974479"/>
      <w:bookmarkStart w:id="21" w:name="_Toc152045511"/>
      <w:r>
        <w:rPr>
          <w:caps w:val="0"/>
          <w:sz w:val="28"/>
          <w:szCs w:val="28"/>
        </w:rPr>
        <w:fldChar w:fldCharType="begin"/>
      </w:r>
      <w:r>
        <w:rPr>
          <w:caps w:val="0"/>
          <w:sz w:val="28"/>
          <w:szCs w:val="28"/>
        </w:rPr>
        <w:instrText xml:space="preserve">TOC \o "1-2" \h \u </w:instrText>
      </w:r>
      <w:r>
        <w:rPr>
          <w:caps w:val="0"/>
          <w:sz w:val="28"/>
          <w:szCs w:val="28"/>
        </w:rPr>
        <w:fldChar w:fldCharType="separate"/>
      </w:r>
      <w:r>
        <w:rPr>
          <w:rFonts w:hint="eastAsia" w:ascii="宋体" w:hAnsi="宋体" w:cs="宋体"/>
          <w:b w:val="0"/>
          <w:bCs w:val="0"/>
          <w:caps/>
          <w:sz w:val="21"/>
          <w:szCs w:val="21"/>
        </w:rPr>
        <w:fldChar w:fldCharType="begin"/>
      </w:r>
      <w:r>
        <w:rPr>
          <w:rFonts w:hint="eastAsia" w:ascii="宋体" w:hAnsi="宋体" w:cs="宋体"/>
          <w:b w:val="0"/>
          <w:bCs w:val="0"/>
          <w:caps/>
          <w:sz w:val="21"/>
          <w:szCs w:val="21"/>
        </w:rPr>
        <w:instrText xml:space="preserve"> HYPERLINK \l _Toc24362 </w:instrText>
      </w:r>
      <w:r>
        <w:rPr>
          <w:rFonts w:hint="eastAsia" w:ascii="宋体" w:hAnsi="宋体" w:cs="宋体"/>
          <w:b w:val="0"/>
          <w:bCs w:val="0"/>
          <w:caps/>
          <w:sz w:val="21"/>
          <w:szCs w:val="21"/>
        </w:rPr>
        <w:fldChar w:fldCharType="separate"/>
      </w:r>
      <w:r>
        <w:rPr>
          <w:rFonts w:hint="eastAsia" w:ascii="宋体" w:hAnsi="宋体" w:cs="宋体"/>
          <w:b w:val="0"/>
          <w:bCs w:val="0"/>
          <w:sz w:val="21"/>
          <w:szCs w:val="21"/>
        </w:rPr>
        <w:t>第一卷</w:t>
      </w:r>
      <w:r>
        <w:rPr>
          <w:rFonts w:hint="eastAsia" w:ascii="宋体" w:hAnsi="宋体" w:cs="宋体"/>
          <w:b w:val="0"/>
          <w:bCs w:val="0"/>
          <w:sz w:val="21"/>
          <w:szCs w:val="21"/>
        </w:rPr>
        <w:tab/>
      </w:r>
      <w:r>
        <w:rPr>
          <w:rFonts w:hint="eastAsia" w:ascii="宋体" w:hAnsi="宋体" w:cs="宋体"/>
          <w:b w:val="0"/>
          <w:bCs w:val="0"/>
          <w:sz w:val="21"/>
          <w:szCs w:val="21"/>
        </w:rPr>
        <w:fldChar w:fldCharType="begin"/>
      </w:r>
      <w:r>
        <w:rPr>
          <w:rFonts w:hint="eastAsia" w:ascii="宋体" w:hAnsi="宋体" w:cs="宋体"/>
          <w:b w:val="0"/>
          <w:bCs w:val="0"/>
          <w:sz w:val="21"/>
          <w:szCs w:val="21"/>
        </w:rPr>
        <w:instrText xml:space="preserve"> PAGEREF _Toc24362 \h </w:instrText>
      </w:r>
      <w:r>
        <w:rPr>
          <w:rFonts w:hint="eastAsia" w:ascii="宋体" w:hAnsi="宋体" w:cs="宋体"/>
          <w:b w:val="0"/>
          <w:bCs w:val="0"/>
          <w:sz w:val="21"/>
          <w:szCs w:val="21"/>
        </w:rPr>
        <w:fldChar w:fldCharType="separate"/>
      </w:r>
      <w:r>
        <w:rPr>
          <w:rFonts w:hint="eastAsia" w:ascii="宋体" w:hAnsi="宋体" w:cs="宋体"/>
          <w:b w:val="0"/>
          <w:bCs w:val="0"/>
          <w:sz w:val="21"/>
          <w:szCs w:val="21"/>
        </w:rPr>
        <w:t>1</w:t>
      </w:r>
      <w:r>
        <w:rPr>
          <w:rFonts w:hint="eastAsia" w:ascii="宋体" w:hAnsi="宋体" w:cs="宋体"/>
          <w:b w:val="0"/>
          <w:bCs w:val="0"/>
          <w:sz w:val="21"/>
          <w:szCs w:val="21"/>
        </w:rPr>
        <w:fldChar w:fldCharType="end"/>
      </w:r>
      <w:r>
        <w:rPr>
          <w:rFonts w:hint="eastAsia" w:ascii="宋体" w:hAnsi="宋体" w:cs="宋体"/>
          <w:b w:val="0"/>
          <w:bCs w:val="0"/>
          <w:caps/>
          <w:sz w:val="21"/>
          <w:szCs w:val="21"/>
        </w:rPr>
        <w:fldChar w:fldCharType="end"/>
      </w:r>
    </w:p>
    <w:p>
      <w:pPr>
        <w:pStyle w:val="27"/>
        <w:tabs>
          <w:tab w:val="right" w:leader="dot" w:pos="9411"/>
        </w:tabs>
        <w:rPr>
          <w:rFonts w:hint="eastAsia" w:ascii="宋体" w:hAnsi="宋体" w:cs="宋体"/>
          <w:b w:val="0"/>
          <w:bCs w:val="0"/>
          <w:sz w:val="21"/>
          <w:szCs w:val="21"/>
        </w:rPr>
      </w:pPr>
      <w:r>
        <w:rPr>
          <w:rFonts w:hint="eastAsia" w:ascii="宋体" w:hAnsi="宋体" w:cs="宋体"/>
          <w:b w:val="0"/>
          <w:bCs w:val="0"/>
          <w:caps/>
          <w:sz w:val="21"/>
          <w:szCs w:val="21"/>
        </w:rPr>
        <w:fldChar w:fldCharType="begin"/>
      </w:r>
      <w:r>
        <w:rPr>
          <w:rFonts w:hint="eastAsia" w:ascii="宋体" w:hAnsi="宋体" w:cs="宋体"/>
          <w:b w:val="0"/>
          <w:bCs w:val="0"/>
          <w:caps/>
          <w:sz w:val="21"/>
          <w:szCs w:val="21"/>
        </w:rPr>
        <w:instrText xml:space="preserve"> HYPERLINK \l _Toc597 </w:instrText>
      </w:r>
      <w:r>
        <w:rPr>
          <w:rFonts w:hint="eastAsia" w:ascii="宋体" w:hAnsi="宋体" w:cs="宋体"/>
          <w:b w:val="0"/>
          <w:bCs w:val="0"/>
          <w:caps/>
          <w:sz w:val="21"/>
          <w:szCs w:val="21"/>
        </w:rPr>
        <w:fldChar w:fldCharType="separate"/>
      </w:r>
      <w:r>
        <w:rPr>
          <w:rFonts w:hint="eastAsia" w:ascii="宋体" w:hAnsi="宋体" w:cs="宋体"/>
          <w:b w:val="0"/>
          <w:bCs w:val="0"/>
          <w:kern w:val="44"/>
          <w:sz w:val="21"/>
          <w:szCs w:val="21"/>
        </w:rPr>
        <w:t>第一章招标公告（另册）</w:t>
      </w:r>
      <w:r>
        <w:rPr>
          <w:rFonts w:hint="eastAsia" w:ascii="宋体" w:hAnsi="宋体" w:cs="宋体"/>
          <w:b w:val="0"/>
          <w:bCs w:val="0"/>
          <w:sz w:val="21"/>
          <w:szCs w:val="21"/>
        </w:rPr>
        <w:tab/>
      </w:r>
      <w:r>
        <w:rPr>
          <w:rFonts w:hint="eastAsia" w:ascii="宋体" w:hAnsi="宋体" w:cs="宋体"/>
          <w:b w:val="0"/>
          <w:bCs w:val="0"/>
          <w:sz w:val="21"/>
          <w:szCs w:val="21"/>
        </w:rPr>
        <w:fldChar w:fldCharType="begin"/>
      </w:r>
      <w:r>
        <w:rPr>
          <w:rFonts w:hint="eastAsia" w:ascii="宋体" w:hAnsi="宋体" w:cs="宋体"/>
          <w:b w:val="0"/>
          <w:bCs w:val="0"/>
          <w:sz w:val="21"/>
          <w:szCs w:val="21"/>
        </w:rPr>
        <w:instrText xml:space="preserve"> PAGEREF _Toc597 \h </w:instrText>
      </w:r>
      <w:r>
        <w:rPr>
          <w:rFonts w:hint="eastAsia" w:ascii="宋体" w:hAnsi="宋体" w:cs="宋体"/>
          <w:b w:val="0"/>
          <w:bCs w:val="0"/>
          <w:sz w:val="21"/>
          <w:szCs w:val="21"/>
        </w:rPr>
        <w:fldChar w:fldCharType="separate"/>
      </w:r>
      <w:r>
        <w:rPr>
          <w:rFonts w:hint="eastAsia" w:ascii="宋体" w:hAnsi="宋体" w:cs="宋体"/>
          <w:b w:val="0"/>
          <w:bCs w:val="0"/>
          <w:sz w:val="21"/>
          <w:szCs w:val="21"/>
        </w:rPr>
        <w:t>2</w:t>
      </w:r>
      <w:r>
        <w:rPr>
          <w:rFonts w:hint="eastAsia" w:ascii="宋体" w:hAnsi="宋体" w:cs="宋体"/>
          <w:b w:val="0"/>
          <w:bCs w:val="0"/>
          <w:sz w:val="21"/>
          <w:szCs w:val="21"/>
        </w:rPr>
        <w:fldChar w:fldCharType="end"/>
      </w:r>
      <w:r>
        <w:rPr>
          <w:rFonts w:hint="eastAsia" w:ascii="宋体" w:hAnsi="宋体" w:cs="宋体"/>
          <w:b w:val="0"/>
          <w:bCs w:val="0"/>
          <w:caps/>
          <w:sz w:val="21"/>
          <w:szCs w:val="21"/>
        </w:rPr>
        <w:fldChar w:fldCharType="end"/>
      </w:r>
    </w:p>
    <w:p>
      <w:pPr>
        <w:pStyle w:val="27"/>
        <w:tabs>
          <w:tab w:val="right" w:leader="dot" w:pos="9411"/>
        </w:tabs>
        <w:rPr>
          <w:rFonts w:hint="eastAsia" w:ascii="宋体" w:hAnsi="宋体" w:cs="宋体"/>
          <w:b w:val="0"/>
          <w:bCs w:val="0"/>
          <w:sz w:val="21"/>
          <w:szCs w:val="21"/>
        </w:rPr>
      </w:pPr>
      <w:r>
        <w:rPr>
          <w:rFonts w:hint="eastAsia" w:ascii="宋体" w:hAnsi="宋体" w:cs="宋体"/>
          <w:b w:val="0"/>
          <w:bCs w:val="0"/>
          <w:caps/>
          <w:sz w:val="21"/>
          <w:szCs w:val="21"/>
        </w:rPr>
        <w:fldChar w:fldCharType="begin"/>
      </w:r>
      <w:r>
        <w:rPr>
          <w:rFonts w:hint="eastAsia" w:ascii="宋体" w:hAnsi="宋体" w:cs="宋体"/>
          <w:b w:val="0"/>
          <w:bCs w:val="0"/>
          <w:caps/>
          <w:sz w:val="21"/>
          <w:szCs w:val="21"/>
        </w:rPr>
        <w:instrText xml:space="preserve"> HYPERLINK \l _Toc26131 </w:instrText>
      </w:r>
      <w:r>
        <w:rPr>
          <w:rFonts w:hint="eastAsia" w:ascii="宋体" w:hAnsi="宋体" w:cs="宋体"/>
          <w:b w:val="0"/>
          <w:bCs w:val="0"/>
          <w:caps/>
          <w:sz w:val="21"/>
          <w:szCs w:val="21"/>
        </w:rPr>
        <w:fldChar w:fldCharType="separate"/>
      </w:r>
      <w:r>
        <w:rPr>
          <w:rFonts w:hint="eastAsia" w:ascii="宋体" w:hAnsi="宋体" w:cs="宋体"/>
          <w:b w:val="0"/>
          <w:bCs w:val="0"/>
          <w:kern w:val="44"/>
          <w:sz w:val="21"/>
          <w:szCs w:val="21"/>
        </w:rPr>
        <w:t>第二章投标人须知</w:t>
      </w:r>
      <w:r>
        <w:rPr>
          <w:rFonts w:hint="eastAsia" w:ascii="宋体" w:hAnsi="宋体" w:cs="宋体"/>
          <w:b w:val="0"/>
          <w:bCs w:val="0"/>
          <w:sz w:val="21"/>
          <w:szCs w:val="21"/>
        </w:rPr>
        <w:tab/>
      </w:r>
      <w:r>
        <w:rPr>
          <w:rFonts w:hint="eastAsia" w:ascii="宋体" w:hAnsi="宋体" w:cs="宋体"/>
          <w:b w:val="0"/>
          <w:bCs w:val="0"/>
          <w:sz w:val="21"/>
          <w:szCs w:val="21"/>
        </w:rPr>
        <w:fldChar w:fldCharType="begin"/>
      </w:r>
      <w:r>
        <w:rPr>
          <w:rFonts w:hint="eastAsia" w:ascii="宋体" w:hAnsi="宋体" w:cs="宋体"/>
          <w:b w:val="0"/>
          <w:bCs w:val="0"/>
          <w:sz w:val="21"/>
          <w:szCs w:val="21"/>
        </w:rPr>
        <w:instrText xml:space="preserve"> PAGEREF _Toc26131 \h </w:instrText>
      </w:r>
      <w:r>
        <w:rPr>
          <w:rFonts w:hint="eastAsia" w:ascii="宋体" w:hAnsi="宋体" w:cs="宋体"/>
          <w:b w:val="0"/>
          <w:bCs w:val="0"/>
          <w:sz w:val="21"/>
          <w:szCs w:val="21"/>
        </w:rPr>
        <w:fldChar w:fldCharType="separate"/>
      </w:r>
      <w:r>
        <w:rPr>
          <w:rFonts w:hint="eastAsia" w:ascii="宋体" w:hAnsi="宋体" w:cs="宋体"/>
          <w:b w:val="0"/>
          <w:bCs w:val="0"/>
          <w:sz w:val="21"/>
          <w:szCs w:val="21"/>
        </w:rPr>
        <w:t>3</w:t>
      </w:r>
      <w:r>
        <w:rPr>
          <w:rFonts w:hint="eastAsia" w:ascii="宋体" w:hAnsi="宋体" w:cs="宋体"/>
          <w:b w:val="0"/>
          <w:bCs w:val="0"/>
          <w:sz w:val="21"/>
          <w:szCs w:val="21"/>
        </w:rPr>
        <w:fldChar w:fldCharType="end"/>
      </w:r>
      <w:r>
        <w:rPr>
          <w:rFonts w:hint="eastAsia" w:ascii="宋体" w:hAnsi="宋体" w:cs="宋体"/>
          <w:b w:val="0"/>
          <w:bCs w:val="0"/>
          <w:caps/>
          <w:sz w:val="21"/>
          <w:szCs w:val="21"/>
        </w:rPr>
        <w:fldChar w:fldCharType="end"/>
      </w:r>
    </w:p>
    <w:p>
      <w:pPr>
        <w:pStyle w:val="31"/>
        <w:tabs>
          <w:tab w:val="right" w:leader="dot" w:pos="9411"/>
        </w:tabs>
        <w:rPr>
          <w:rFonts w:hint="eastAsia" w:ascii="宋体" w:hAnsi="宋体" w:cs="宋体"/>
          <w:b w:val="0"/>
          <w:bCs w:val="0"/>
          <w:sz w:val="21"/>
          <w:szCs w:val="21"/>
        </w:rPr>
      </w:pPr>
      <w:r>
        <w:rPr>
          <w:rFonts w:hint="eastAsia" w:ascii="宋体" w:hAnsi="宋体" w:cs="宋体"/>
          <w:b w:val="0"/>
          <w:bCs w:val="0"/>
          <w:caps/>
          <w:sz w:val="21"/>
          <w:szCs w:val="21"/>
        </w:rPr>
        <w:fldChar w:fldCharType="begin"/>
      </w:r>
      <w:r>
        <w:rPr>
          <w:rFonts w:hint="eastAsia" w:ascii="宋体" w:hAnsi="宋体" w:cs="宋体"/>
          <w:b w:val="0"/>
          <w:bCs w:val="0"/>
          <w:caps/>
          <w:sz w:val="21"/>
          <w:szCs w:val="21"/>
        </w:rPr>
        <w:instrText xml:space="preserve"> HYPERLINK \l _Toc1865 </w:instrText>
      </w:r>
      <w:r>
        <w:rPr>
          <w:rFonts w:hint="eastAsia" w:ascii="宋体" w:hAnsi="宋体" w:cs="宋体"/>
          <w:b w:val="0"/>
          <w:bCs w:val="0"/>
          <w:caps/>
          <w:sz w:val="21"/>
          <w:szCs w:val="21"/>
        </w:rPr>
        <w:fldChar w:fldCharType="separate"/>
      </w:r>
      <w:r>
        <w:rPr>
          <w:rFonts w:hint="eastAsia" w:ascii="宋体" w:hAnsi="宋体" w:cs="宋体"/>
          <w:b w:val="0"/>
          <w:bCs w:val="0"/>
          <w:sz w:val="21"/>
          <w:szCs w:val="21"/>
        </w:rPr>
        <w:t>投标人须知前附表</w:t>
      </w:r>
      <w:r>
        <w:rPr>
          <w:rFonts w:hint="eastAsia" w:ascii="宋体" w:hAnsi="宋体" w:cs="宋体"/>
          <w:b w:val="0"/>
          <w:bCs w:val="0"/>
          <w:sz w:val="21"/>
          <w:szCs w:val="21"/>
        </w:rPr>
        <w:tab/>
      </w:r>
      <w:r>
        <w:rPr>
          <w:rFonts w:hint="eastAsia" w:ascii="宋体" w:hAnsi="宋体" w:cs="宋体"/>
          <w:b w:val="0"/>
          <w:bCs w:val="0"/>
          <w:sz w:val="21"/>
          <w:szCs w:val="21"/>
        </w:rPr>
        <w:fldChar w:fldCharType="begin"/>
      </w:r>
      <w:r>
        <w:rPr>
          <w:rFonts w:hint="eastAsia" w:ascii="宋体" w:hAnsi="宋体" w:cs="宋体"/>
          <w:b w:val="0"/>
          <w:bCs w:val="0"/>
          <w:sz w:val="21"/>
          <w:szCs w:val="21"/>
        </w:rPr>
        <w:instrText xml:space="preserve"> PAGEREF _Toc1865 \h </w:instrText>
      </w:r>
      <w:r>
        <w:rPr>
          <w:rFonts w:hint="eastAsia" w:ascii="宋体" w:hAnsi="宋体" w:cs="宋体"/>
          <w:b w:val="0"/>
          <w:bCs w:val="0"/>
          <w:sz w:val="21"/>
          <w:szCs w:val="21"/>
        </w:rPr>
        <w:fldChar w:fldCharType="separate"/>
      </w:r>
      <w:r>
        <w:rPr>
          <w:rFonts w:hint="eastAsia" w:ascii="宋体" w:hAnsi="宋体" w:cs="宋体"/>
          <w:b w:val="0"/>
          <w:bCs w:val="0"/>
          <w:sz w:val="21"/>
          <w:szCs w:val="21"/>
        </w:rPr>
        <w:t>3</w:t>
      </w:r>
      <w:r>
        <w:rPr>
          <w:rFonts w:hint="eastAsia" w:ascii="宋体" w:hAnsi="宋体" w:cs="宋体"/>
          <w:b w:val="0"/>
          <w:bCs w:val="0"/>
          <w:sz w:val="21"/>
          <w:szCs w:val="21"/>
        </w:rPr>
        <w:fldChar w:fldCharType="end"/>
      </w:r>
      <w:r>
        <w:rPr>
          <w:rFonts w:hint="eastAsia" w:ascii="宋体" w:hAnsi="宋体" w:cs="宋体"/>
          <w:b w:val="0"/>
          <w:bCs w:val="0"/>
          <w:caps/>
          <w:sz w:val="21"/>
          <w:szCs w:val="21"/>
        </w:rPr>
        <w:fldChar w:fldCharType="end"/>
      </w:r>
    </w:p>
    <w:p>
      <w:pPr>
        <w:pStyle w:val="31"/>
        <w:tabs>
          <w:tab w:val="right" w:leader="dot" w:pos="9411"/>
        </w:tabs>
        <w:rPr>
          <w:highlight w:val="none"/>
        </w:rPr>
      </w:pPr>
      <w:r>
        <w:rPr>
          <w:highlight w:val="none"/>
        </w:rPr>
        <w:fldChar w:fldCharType="begin"/>
      </w:r>
      <w:r>
        <w:rPr>
          <w:highlight w:val="none"/>
        </w:rPr>
        <w:instrText xml:space="preserve"> HYPERLINK \l "_Toc23892" </w:instrText>
      </w:r>
      <w:r>
        <w:rPr>
          <w:highlight w:val="none"/>
        </w:rPr>
        <w:fldChar w:fldCharType="separate"/>
      </w:r>
      <w:r>
        <w:rPr>
          <w:highlight w:val="none"/>
        </w:rPr>
        <w:t xml:space="preserve">1. </w:t>
      </w:r>
      <w:r>
        <w:rPr>
          <w:rFonts w:hint="eastAsia"/>
          <w:highlight w:val="none"/>
        </w:rPr>
        <w:t>总则</w:t>
      </w:r>
      <w:r>
        <w:rPr>
          <w:highlight w:val="none"/>
        </w:rPr>
        <w:tab/>
      </w:r>
      <w:r>
        <w:rPr>
          <w:rFonts w:hint="eastAsia"/>
          <w:highlight w:val="none"/>
          <w:lang w:val="en-US" w:eastAsia="zh-CN"/>
        </w:rPr>
        <w:t>6</w:t>
      </w:r>
      <w:r>
        <w:rPr>
          <w:highlight w:val="none"/>
        </w:rPr>
        <w:fldChar w:fldCharType="end"/>
      </w:r>
    </w:p>
    <w:p>
      <w:pPr>
        <w:pStyle w:val="31"/>
        <w:tabs>
          <w:tab w:val="right" w:leader="dot" w:pos="9411"/>
        </w:tabs>
        <w:rPr>
          <w:highlight w:val="none"/>
        </w:rPr>
      </w:pPr>
      <w:r>
        <w:rPr>
          <w:highlight w:val="none"/>
        </w:rPr>
        <w:fldChar w:fldCharType="begin"/>
      </w:r>
      <w:r>
        <w:rPr>
          <w:highlight w:val="none"/>
        </w:rPr>
        <w:instrText xml:space="preserve"> HYPERLINK \l "_Toc28224" </w:instrText>
      </w:r>
      <w:r>
        <w:rPr>
          <w:highlight w:val="none"/>
        </w:rPr>
        <w:fldChar w:fldCharType="separate"/>
      </w:r>
      <w:r>
        <w:rPr>
          <w:highlight w:val="none"/>
        </w:rPr>
        <w:t xml:space="preserve">2. </w:t>
      </w:r>
      <w:r>
        <w:rPr>
          <w:rFonts w:hint="eastAsia"/>
          <w:highlight w:val="none"/>
        </w:rPr>
        <w:t>招标文件</w:t>
      </w:r>
      <w:r>
        <w:rPr>
          <w:highlight w:val="none"/>
        </w:rPr>
        <w:tab/>
      </w:r>
      <w:r>
        <w:rPr>
          <w:rFonts w:hint="eastAsia"/>
          <w:highlight w:val="none"/>
          <w:lang w:val="en-US" w:eastAsia="zh-CN"/>
        </w:rPr>
        <w:t>7</w:t>
      </w:r>
      <w:r>
        <w:rPr>
          <w:highlight w:val="none"/>
        </w:rPr>
        <w:fldChar w:fldCharType="end"/>
      </w:r>
    </w:p>
    <w:p>
      <w:pPr>
        <w:pStyle w:val="31"/>
        <w:tabs>
          <w:tab w:val="right" w:leader="dot" w:pos="9411"/>
        </w:tabs>
        <w:rPr>
          <w:highlight w:val="none"/>
        </w:rPr>
      </w:pPr>
      <w:r>
        <w:rPr>
          <w:highlight w:val="none"/>
        </w:rPr>
        <w:fldChar w:fldCharType="begin"/>
      </w:r>
      <w:r>
        <w:rPr>
          <w:highlight w:val="none"/>
        </w:rPr>
        <w:instrText xml:space="preserve"> HYPERLINK \l "_Toc27286" </w:instrText>
      </w:r>
      <w:r>
        <w:rPr>
          <w:highlight w:val="none"/>
        </w:rPr>
        <w:fldChar w:fldCharType="separate"/>
      </w:r>
      <w:r>
        <w:rPr>
          <w:highlight w:val="none"/>
        </w:rPr>
        <w:t xml:space="preserve">3. </w:t>
      </w:r>
      <w:r>
        <w:rPr>
          <w:rFonts w:hint="eastAsia"/>
          <w:highlight w:val="none"/>
        </w:rPr>
        <w:t>投标文件</w:t>
      </w:r>
      <w:r>
        <w:rPr>
          <w:highlight w:val="none"/>
        </w:rPr>
        <w:tab/>
      </w:r>
      <w:r>
        <w:rPr>
          <w:rFonts w:hint="eastAsia"/>
          <w:highlight w:val="none"/>
          <w:lang w:val="en-US" w:eastAsia="zh-CN"/>
        </w:rPr>
        <w:t>7</w:t>
      </w:r>
      <w:r>
        <w:rPr>
          <w:highlight w:val="none"/>
        </w:rPr>
        <w:fldChar w:fldCharType="end"/>
      </w:r>
    </w:p>
    <w:p>
      <w:pPr>
        <w:pStyle w:val="31"/>
        <w:tabs>
          <w:tab w:val="right" w:leader="dot" w:pos="9411"/>
        </w:tabs>
        <w:rPr>
          <w:highlight w:val="none"/>
        </w:rPr>
      </w:pPr>
      <w:r>
        <w:rPr>
          <w:highlight w:val="none"/>
        </w:rPr>
        <w:fldChar w:fldCharType="begin"/>
      </w:r>
      <w:r>
        <w:rPr>
          <w:highlight w:val="none"/>
        </w:rPr>
        <w:instrText xml:space="preserve"> HYPERLINK \l "_Toc11889" </w:instrText>
      </w:r>
      <w:r>
        <w:rPr>
          <w:highlight w:val="none"/>
        </w:rPr>
        <w:fldChar w:fldCharType="separate"/>
      </w:r>
      <w:r>
        <w:rPr>
          <w:highlight w:val="none"/>
        </w:rPr>
        <w:t xml:space="preserve">4. </w:t>
      </w:r>
      <w:r>
        <w:rPr>
          <w:rFonts w:hint="eastAsia"/>
          <w:highlight w:val="none"/>
        </w:rPr>
        <w:t>投标</w:t>
      </w:r>
      <w:r>
        <w:rPr>
          <w:highlight w:val="none"/>
        </w:rPr>
        <w:tab/>
      </w:r>
      <w:r>
        <w:rPr>
          <w:highlight w:val="none"/>
        </w:rPr>
        <w:fldChar w:fldCharType="begin"/>
      </w:r>
      <w:r>
        <w:rPr>
          <w:highlight w:val="none"/>
        </w:rPr>
        <w:instrText xml:space="preserve"> PAGEREF _Toc11889 </w:instrText>
      </w:r>
      <w:r>
        <w:rPr>
          <w:highlight w:val="none"/>
        </w:rPr>
        <w:fldChar w:fldCharType="separate"/>
      </w:r>
      <w:r>
        <w:rPr>
          <w:highlight w:val="none"/>
        </w:rPr>
        <w:t>9</w:t>
      </w:r>
      <w:r>
        <w:rPr>
          <w:highlight w:val="none"/>
        </w:rPr>
        <w:fldChar w:fldCharType="end"/>
      </w:r>
      <w:r>
        <w:rPr>
          <w:highlight w:val="none"/>
        </w:rPr>
        <w:fldChar w:fldCharType="end"/>
      </w:r>
    </w:p>
    <w:p>
      <w:pPr>
        <w:pStyle w:val="31"/>
        <w:tabs>
          <w:tab w:val="right" w:leader="dot" w:pos="9411"/>
        </w:tabs>
        <w:rPr>
          <w:highlight w:val="none"/>
        </w:rPr>
      </w:pPr>
      <w:r>
        <w:rPr>
          <w:highlight w:val="none"/>
        </w:rPr>
        <w:fldChar w:fldCharType="begin"/>
      </w:r>
      <w:r>
        <w:rPr>
          <w:highlight w:val="none"/>
        </w:rPr>
        <w:instrText xml:space="preserve"> HYPERLINK \l "_Toc9659" </w:instrText>
      </w:r>
      <w:r>
        <w:rPr>
          <w:highlight w:val="none"/>
        </w:rPr>
        <w:fldChar w:fldCharType="separate"/>
      </w:r>
      <w:r>
        <w:rPr>
          <w:highlight w:val="none"/>
        </w:rPr>
        <w:t xml:space="preserve">5. </w:t>
      </w:r>
      <w:r>
        <w:rPr>
          <w:rFonts w:hint="eastAsia"/>
          <w:highlight w:val="none"/>
        </w:rPr>
        <w:t>开标</w:t>
      </w:r>
      <w:r>
        <w:rPr>
          <w:highlight w:val="none"/>
        </w:rPr>
        <w:tab/>
      </w:r>
      <w:r>
        <w:rPr>
          <w:highlight w:val="none"/>
        </w:rPr>
        <w:fldChar w:fldCharType="begin"/>
      </w:r>
      <w:r>
        <w:rPr>
          <w:highlight w:val="none"/>
        </w:rPr>
        <w:instrText xml:space="preserve"> PAGEREF _Toc9659 </w:instrText>
      </w:r>
      <w:r>
        <w:rPr>
          <w:highlight w:val="none"/>
        </w:rPr>
        <w:fldChar w:fldCharType="separate"/>
      </w:r>
      <w:r>
        <w:rPr>
          <w:highlight w:val="none"/>
        </w:rPr>
        <w:t>10</w:t>
      </w:r>
      <w:r>
        <w:rPr>
          <w:highlight w:val="none"/>
        </w:rPr>
        <w:fldChar w:fldCharType="end"/>
      </w:r>
      <w:r>
        <w:rPr>
          <w:highlight w:val="none"/>
        </w:rPr>
        <w:fldChar w:fldCharType="end"/>
      </w:r>
    </w:p>
    <w:p>
      <w:pPr>
        <w:pStyle w:val="31"/>
        <w:tabs>
          <w:tab w:val="right" w:leader="dot" w:pos="9411"/>
        </w:tabs>
        <w:rPr>
          <w:rFonts w:cs="Times New Roman"/>
          <w:highlight w:val="none"/>
        </w:rPr>
      </w:pPr>
      <w:r>
        <w:rPr>
          <w:rFonts w:cs="Times New Roman"/>
          <w:highlight w:val="none"/>
        </w:rPr>
        <w:fldChar w:fldCharType="begin"/>
      </w:r>
      <w:r>
        <w:rPr>
          <w:rFonts w:cs="Times New Roman"/>
          <w:highlight w:val="none"/>
        </w:rPr>
        <w:instrText xml:space="preserve"> HYPERLINK \l "_Toc28414" </w:instrText>
      </w:r>
      <w:r>
        <w:rPr>
          <w:rFonts w:cs="Times New Roman"/>
          <w:highlight w:val="none"/>
        </w:rPr>
        <w:fldChar w:fldCharType="separate"/>
      </w:r>
      <w:r>
        <w:rPr>
          <w:rFonts w:cs="Times New Roman"/>
          <w:highlight w:val="none"/>
        </w:rPr>
        <w:t xml:space="preserve">6. </w:t>
      </w:r>
      <w:r>
        <w:rPr>
          <w:rFonts w:hint="eastAsia" w:cs="Times New Roman"/>
          <w:highlight w:val="none"/>
        </w:rPr>
        <w:t>评标</w:t>
      </w:r>
      <w:r>
        <w:rPr>
          <w:rFonts w:cs="Times New Roman"/>
          <w:highlight w:val="none"/>
        </w:rPr>
        <w:tab/>
      </w:r>
      <w:r>
        <w:rPr>
          <w:rFonts w:cs="Times New Roman"/>
          <w:highlight w:val="none"/>
        </w:rPr>
        <w:fldChar w:fldCharType="begin"/>
      </w:r>
      <w:r>
        <w:rPr>
          <w:rFonts w:cs="Times New Roman"/>
          <w:highlight w:val="none"/>
        </w:rPr>
        <w:instrText xml:space="preserve"> PAGEREF _Toc28414 </w:instrText>
      </w:r>
      <w:r>
        <w:rPr>
          <w:rFonts w:cs="Times New Roman"/>
          <w:highlight w:val="none"/>
        </w:rPr>
        <w:fldChar w:fldCharType="separate"/>
      </w:r>
      <w:r>
        <w:rPr>
          <w:rFonts w:cs="Times New Roman"/>
          <w:highlight w:val="none"/>
        </w:rPr>
        <w:t>11</w:t>
      </w:r>
      <w:r>
        <w:rPr>
          <w:rFonts w:cs="Times New Roman"/>
          <w:highlight w:val="none"/>
        </w:rPr>
        <w:fldChar w:fldCharType="end"/>
      </w:r>
      <w:r>
        <w:rPr>
          <w:rFonts w:cs="Times New Roman"/>
          <w:highlight w:val="none"/>
        </w:rPr>
        <w:fldChar w:fldCharType="end"/>
      </w:r>
    </w:p>
    <w:p>
      <w:pPr>
        <w:pStyle w:val="31"/>
        <w:tabs>
          <w:tab w:val="right" w:leader="dot" w:pos="9411"/>
        </w:tabs>
        <w:rPr>
          <w:rFonts w:hint="eastAsia" w:eastAsia="宋体" w:cs="Times New Roman"/>
          <w:highlight w:val="none"/>
          <w:lang w:val="en-US" w:eastAsia="zh-CN"/>
        </w:rPr>
      </w:pPr>
      <w:r>
        <w:rPr>
          <w:rFonts w:cs="Times New Roman"/>
          <w:highlight w:val="none"/>
        </w:rPr>
        <w:fldChar w:fldCharType="begin"/>
      </w:r>
      <w:r>
        <w:rPr>
          <w:rFonts w:cs="Times New Roman"/>
          <w:highlight w:val="none"/>
        </w:rPr>
        <w:instrText xml:space="preserve"> HYPERLINK \l "_Toc24255" </w:instrText>
      </w:r>
      <w:r>
        <w:rPr>
          <w:rFonts w:cs="Times New Roman"/>
          <w:highlight w:val="none"/>
        </w:rPr>
        <w:fldChar w:fldCharType="separate"/>
      </w:r>
      <w:r>
        <w:rPr>
          <w:rFonts w:cs="Times New Roman"/>
          <w:highlight w:val="none"/>
        </w:rPr>
        <w:t xml:space="preserve">7. </w:t>
      </w:r>
      <w:r>
        <w:rPr>
          <w:rFonts w:hint="eastAsia" w:cs="Times New Roman"/>
          <w:highlight w:val="none"/>
        </w:rPr>
        <w:t>合同授予</w:t>
      </w:r>
      <w:r>
        <w:rPr>
          <w:rFonts w:cs="Times New Roman"/>
          <w:highlight w:val="none"/>
        </w:rPr>
        <w:tab/>
      </w:r>
      <w:r>
        <w:rPr>
          <w:rFonts w:hint="eastAsia" w:cs="Times New Roman"/>
          <w:highlight w:val="none"/>
          <w:lang w:val="en-US" w:eastAsia="zh-CN"/>
        </w:rPr>
        <w:t>1</w:t>
      </w:r>
      <w:r>
        <w:rPr>
          <w:rFonts w:cs="Times New Roman"/>
          <w:highlight w:val="none"/>
        </w:rPr>
        <w:fldChar w:fldCharType="end"/>
      </w:r>
      <w:r>
        <w:rPr>
          <w:rFonts w:hint="eastAsia" w:cs="Times New Roman"/>
          <w:highlight w:val="none"/>
          <w:lang w:val="en-US" w:eastAsia="zh-CN"/>
        </w:rPr>
        <w:t>1</w:t>
      </w:r>
    </w:p>
    <w:p>
      <w:pPr>
        <w:pStyle w:val="31"/>
        <w:tabs>
          <w:tab w:val="right" w:leader="dot" w:pos="9411"/>
        </w:tabs>
        <w:rPr>
          <w:rFonts w:hint="eastAsia" w:eastAsia="宋体" w:cs="Times New Roman"/>
          <w:highlight w:val="none"/>
          <w:lang w:val="en-US" w:eastAsia="zh-CN"/>
        </w:rPr>
      </w:pPr>
      <w:r>
        <w:rPr>
          <w:rFonts w:cs="Times New Roman"/>
          <w:highlight w:val="none"/>
        </w:rPr>
        <w:fldChar w:fldCharType="begin"/>
      </w:r>
      <w:r>
        <w:rPr>
          <w:rFonts w:cs="Times New Roman"/>
          <w:highlight w:val="none"/>
        </w:rPr>
        <w:instrText xml:space="preserve"> HYPERLINK \l "_Toc25097" </w:instrText>
      </w:r>
      <w:r>
        <w:rPr>
          <w:rFonts w:cs="Times New Roman"/>
          <w:highlight w:val="none"/>
        </w:rPr>
        <w:fldChar w:fldCharType="separate"/>
      </w:r>
      <w:r>
        <w:rPr>
          <w:rFonts w:cs="Times New Roman"/>
          <w:highlight w:val="none"/>
        </w:rPr>
        <w:t>8</w:t>
      </w:r>
      <w:r>
        <w:rPr>
          <w:rFonts w:hint="eastAsia" w:cs="Times New Roman"/>
          <w:highlight w:val="none"/>
        </w:rPr>
        <w:t>. 纪律和监督</w:t>
      </w:r>
      <w:r>
        <w:rPr>
          <w:rFonts w:cs="Times New Roman"/>
          <w:highlight w:val="none"/>
        </w:rPr>
        <w:tab/>
      </w:r>
      <w:r>
        <w:rPr>
          <w:rFonts w:hint="eastAsia" w:cs="Times New Roman"/>
          <w:highlight w:val="none"/>
          <w:lang w:val="en-US" w:eastAsia="zh-CN"/>
        </w:rPr>
        <w:t>1</w:t>
      </w:r>
      <w:r>
        <w:rPr>
          <w:rFonts w:cs="Times New Roman"/>
          <w:highlight w:val="none"/>
        </w:rPr>
        <w:fldChar w:fldCharType="end"/>
      </w:r>
      <w:r>
        <w:rPr>
          <w:rFonts w:hint="eastAsia" w:cs="Times New Roman"/>
          <w:highlight w:val="none"/>
          <w:lang w:val="en-US" w:eastAsia="zh-CN"/>
        </w:rPr>
        <w:t>2</w:t>
      </w:r>
    </w:p>
    <w:p>
      <w:pPr>
        <w:pStyle w:val="31"/>
        <w:tabs>
          <w:tab w:val="right" w:leader="dot" w:pos="9411"/>
        </w:tabs>
        <w:rPr>
          <w:rFonts w:hint="default" w:cs="Times New Roman"/>
          <w:highlight w:val="none"/>
          <w:lang w:val="en-US" w:eastAsia="zh-CN"/>
        </w:rPr>
      </w:pPr>
      <w:r>
        <w:rPr>
          <w:rFonts w:hint="eastAsia" w:cs="Times New Roman"/>
          <w:highlight w:val="none"/>
          <w:lang w:val="en-US" w:eastAsia="zh-CN"/>
        </w:rPr>
        <w:fldChar w:fldCharType="begin"/>
      </w:r>
      <w:r>
        <w:rPr>
          <w:rFonts w:hint="eastAsia" w:cs="Times New Roman"/>
          <w:highlight w:val="none"/>
          <w:lang w:val="en-US" w:eastAsia="zh-CN"/>
        </w:rPr>
        <w:instrText xml:space="preserve"> HYPERLINK \l "_Toc2189" </w:instrText>
      </w:r>
      <w:r>
        <w:rPr>
          <w:rFonts w:hint="eastAsia" w:cs="Times New Roman"/>
          <w:highlight w:val="none"/>
          <w:lang w:val="en-US" w:eastAsia="zh-CN"/>
        </w:rPr>
        <w:fldChar w:fldCharType="separate"/>
      </w:r>
      <w:r>
        <w:rPr>
          <w:rFonts w:hint="eastAsia" w:cs="Times New Roman"/>
          <w:highlight w:val="none"/>
          <w:lang w:val="en-US" w:eastAsia="zh-CN"/>
        </w:rPr>
        <w:t>9. 需要补充的其他内容</w:t>
      </w:r>
      <w:r>
        <w:rPr>
          <w:rFonts w:hint="eastAsia" w:cs="Times New Roman"/>
          <w:highlight w:val="none"/>
          <w:lang w:val="en-US" w:eastAsia="zh-CN"/>
        </w:rPr>
        <w:tab/>
      </w:r>
      <w:r>
        <w:rPr>
          <w:rFonts w:hint="eastAsia" w:cs="Times New Roman"/>
          <w:highlight w:val="none"/>
          <w:lang w:val="en-US" w:eastAsia="zh-CN"/>
        </w:rPr>
        <w:fldChar w:fldCharType="end"/>
      </w:r>
      <w:r>
        <w:rPr>
          <w:rFonts w:hint="eastAsia" w:cs="Times New Roman"/>
          <w:highlight w:val="none"/>
          <w:lang w:val="en-US" w:eastAsia="zh-CN"/>
        </w:rPr>
        <w:t>12</w:t>
      </w:r>
    </w:p>
    <w:p>
      <w:pPr>
        <w:pStyle w:val="27"/>
        <w:tabs>
          <w:tab w:val="right" w:leader="dot" w:pos="9411"/>
        </w:tabs>
        <w:rPr>
          <w:rFonts w:hint="eastAsia" w:ascii="宋体" w:hAnsi="宋体" w:cs="宋体"/>
          <w:b w:val="0"/>
          <w:bCs w:val="0"/>
          <w:sz w:val="21"/>
          <w:szCs w:val="21"/>
        </w:rPr>
      </w:pPr>
      <w:r>
        <w:rPr>
          <w:rFonts w:hint="eastAsia" w:ascii="宋体" w:hAnsi="宋体" w:cs="宋体"/>
          <w:b w:val="0"/>
          <w:bCs w:val="0"/>
          <w:caps/>
          <w:sz w:val="21"/>
          <w:szCs w:val="21"/>
        </w:rPr>
        <w:fldChar w:fldCharType="begin"/>
      </w:r>
      <w:r>
        <w:rPr>
          <w:rFonts w:hint="eastAsia" w:ascii="宋体" w:hAnsi="宋体" w:cs="宋体"/>
          <w:b w:val="0"/>
          <w:bCs w:val="0"/>
          <w:caps/>
          <w:sz w:val="21"/>
          <w:szCs w:val="21"/>
        </w:rPr>
        <w:instrText xml:space="preserve"> HYPERLINK \l _Toc28090 </w:instrText>
      </w:r>
      <w:r>
        <w:rPr>
          <w:rFonts w:hint="eastAsia" w:ascii="宋体" w:hAnsi="宋体" w:cs="宋体"/>
          <w:b w:val="0"/>
          <w:bCs w:val="0"/>
          <w:caps/>
          <w:sz w:val="21"/>
          <w:szCs w:val="21"/>
        </w:rPr>
        <w:fldChar w:fldCharType="separate"/>
      </w:r>
      <w:r>
        <w:rPr>
          <w:rFonts w:hint="eastAsia" w:ascii="宋体" w:hAnsi="宋体" w:cs="宋体"/>
          <w:b w:val="0"/>
          <w:bCs w:val="0"/>
          <w:sz w:val="21"/>
          <w:szCs w:val="21"/>
        </w:rPr>
        <w:t>第三章评标办法（综合评</w:t>
      </w:r>
      <w:r>
        <w:rPr>
          <w:rFonts w:hint="eastAsia" w:ascii="宋体" w:hAnsi="宋体" w:cs="宋体"/>
          <w:b w:val="0"/>
          <w:bCs w:val="0"/>
          <w:sz w:val="21"/>
          <w:szCs w:val="21"/>
          <w:lang w:val="en-US" w:eastAsia="zh-CN"/>
        </w:rPr>
        <w:t>分</w:t>
      </w:r>
      <w:r>
        <w:rPr>
          <w:rFonts w:hint="eastAsia" w:ascii="宋体" w:hAnsi="宋体" w:cs="宋体"/>
          <w:b w:val="0"/>
          <w:bCs w:val="0"/>
          <w:sz w:val="21"/>
          <w:szCs w:val="21"/>
        </w:rPr>
        <w:t>法）</w:t>
      </w:r>
      <w:r>
        <w:rPr>
          <w:rFonts w:hint="eastAsia" w:ascii="宋体" w:hAnsi="宋体" w:cs="宋体"/>
          <w:b w:val="0"/>
          <w:bCs w:val="0"/>
          <w:sz w:val="21"/>
          <w:szCs w:val="21"/>
        </w:rPr>
        <w:tab/>
      </w:r>
      <w:r>
        <w:rPr>
          <w:rFonts w:hint="eastAsia" w:ascii="宋体" w:hAnsi="宋体" w:cs="宋体"/>
          <w:b w:val="0"/>
          <w:bCs w:val="0"/>
          <w:sz w:val="21"/>
          <w:szCs w:val="21"/>
        </w:rPr>
        <w:fldChar w:fldCharType="begin"/>
      </w:r>
      <w:r>
        <w:rPr>
          <w:rFonts w:hint="eastAsia" w:ascii="宋体" w:hAnsi="宋体" w:cs="宋体"/>
          <w:b w:val="0"/>
          <w:bCs w:val="0"/>
          <w:sz w:val="21"/>
          <w:szCs w:val="21"/>
        </w:rPr>
        <w:instrText xml:space="preserve"> PAGEREF _Toc28090 \h </w:instrText>
      </w:r>
      <w:r>
        <w:rPr>
          <w:rFonts w:hint="eastAsia" w:ascii="宋体" w:hAnsi="宋体" w:cs="宋体"/>
          <w:b w:val="0"/>
          <w:bCs w:val="0"/>
          <w:sz w:val="21"/>
          <w:szCs w:val="21"/>
        </w:rPr>
        <w:fldChar w:fldCharType="separate"/>
      </w:r>
      <w:r>
        <w:rPr>
          <w:rFonts w:hint="eastAsia" w:ascii="宋体" w:hAnsi="宋体" w:cs="宋体"/>
          <w:b w:val="0"/>
          <w:bCs w:val="0"/>
          <w:sz w:val="21"/>
          <w:szCs w:val="21"/>
        </w:rPr>
        <w:t>14</w:t>
      </w:r>
      <w:r>
        <w:rPr>
          <w:rFonts w:hint="eastAsia" w:ascii="宋体" w:hAnsi="宋体" w:cs="宋体"/>
          <w:b w:val="0"/>
          <w:bCs w:val="0"/>
          <w:sz w:val="21"/>
          <w:szCs w:val="21"/>
        </w:rPr>
        <w:fldChar w:fldCharType="end"/>
      </w:r>
      <w:r>
        <w:rPr>
          <w:rFonts w:hint="eastAsia" w:ascii="宋体" w:hAnsi="宋体" w:cs="宋体"/>
          <w:b w:val="0"/>
          <w:bCs w:val="0"/>
          <w:caps/>
          <w:sz w:val="21"/>
          <w:szCs w:val="21"/>
        </w:rPr>
        <w:fldChar w:fldCharType="end"/>
      </w:r>
    </w:p>
    <w:p>
      <w:pPr>
        <w:pStyle w:val="31"/>
        <w:tabs>
          <w:tab w:val="right" w:leader="dot" w:pos="9411"/>
        </w:tabs>
        <w:rPr>
          <w:rFonts w:hint="eastAsia" w:ascii="宋体" w:hAnsi="宋体" w:cs="宋体"/>
          <w:b w:val="0"/>
          <w:bCs w:val="0"/>
          <w:sz w:val="21"/>
          <w:szCs w:val="21"/>
        </w:rPr>
      </w:pPr>
      <w:r>
        <w:rPr>
          <w:rFonts w:hint="eastAsia" w:ascii="宋体" w:hAnsi="宋体" w:cs="宋体"/>
          <w:b w:val="0"/>
          <w:bCs w:val="0"/>
          <w:caps/>
          <w:sz w:val="21"/>
          <w:szCs w:val="21"/>
        </w:rPr>
        <w:fldChar w:fldCharType="begin"/>
      </w:r>
      <w:r>
        <w:rPr>
          <w:rFonts w:hint="eastAsia" w:ascii="宋体" w:hAnsi="宋体" w:cs="宋体"/>
          <w:b w:val="0"/>
          <w:bCs w:val="0"/>
          <w:caps/>
          <w:sz w:val="21"/>
          <w:szCs w:val="21"/>
        </w:rPr>
        <w:instrText xml:space="preserve"> HYPERLINK \l _Toc13978 </w:instrText>
      </w:r>
      <w:r>
        <w:rPr>
          <w:rFonts w:hint="eastAsia" w:ascii="宋体" w:hAnsi="宋体" w:cs="宋体"/>
          <w:b w:val="0"/>
          <w:bCs w:val="0"/>
          <w:caps/>
          <w:sz w:val="21"/>
          <w:szCs w:val="21"/>
        </w:rPr>
        <w:fldChar w:fldCharType="separate"/>
      </w:r>
      <w:r>
        <w:rPr>
          <w:rFonts w:hint="eastAsia" w:ascii="宋体" w:hAnsi="宋体" w:eastAsia="宋体" w:cs="宋体"/>
          <w:b w:val="0"/>
          <w:bCs w:val="0"/>
          <w:sz w:val="21"/>
          <w:szCs w:val="21"/>
        </w:rPr>
        <w:t>评标办法前附表</w:t>
      </w:r>
      <w:r>
        <w:rPr>
          <w:rFonts w:hint="eastAsia" w:ascii="宋体" w:hAnsi="宋体" w:cs="宋体"/>
          <w:b w:val="0"/>
          <w:bCs w:val="0"/>
          <w:sz w:val="21"/>
          <w:szCs w:val="21"/>
        </w:rPr>
        <w:tab/>
      </w:r>
      <w:r>
        <w:rPr>
          <w:rFonts w:hint="eastAsia" w:ascii="宋体" w:hAnsi="宋体" w:cs="宋体"/>
          <w:b w:val="0"/>
          <w:bCs w:val="0"/>
          <w:sz w:val="21"/>
          <w:szCs w:val="21"/>
        </w:rPr>
        <w:fldChar w:fldCharType="begin"/>
      </w:r>
      <w:r>
        <w:rPr>
          <w:rFonts w:hint="eastAsia" w:ascii="宋体" w:hAnsi="宋体" w:cs="宋体"/>
          <w:b w:val="0"/>
          <w:bCs w:val="0"/>
          <w:sz w:val="21"/>
          <w:szCs w:val="21"/>
        </w:rPr>
        <w:instrText xml:space="preserve"> PAGEREF _Toc13978 \h </w:instrText>
      </w:r>
      <w:r>
        <w:rPr>
          <w:rFonts w:hint="eastAsia" w:ascii="宋体" w:hAnsi="宋体" w:cs="宋体"/>
          <w:b w:val="0"/>
          <w:bCs w:val="0"/>
          <w:sz w:val="21"/>
          <w:szCs w:val="21"/>
        </w:rPr>
        <w:fldChar w:fldCharType="separate"/>
      </w:r>
      <w:r>
        <w:rPr>
          <w:rFonts w:hint="eastAsia" w:ascii="宋体" w:hAnsi="宋体" w:cs="宋体"/>
          <w:b w:val="0"/>
          <w:bCs w:val="0"/>
          <w:sz w:val="21"/>
          <w:szCs w:val="21"/>
        </w:rPr>
        <w:t>14</w:t>
      </w:r>
      <w:r>
        <w:rPr>
          <w:rFonts w:hint="eastAsia" w:ascii="宋体" w:hAnsi="宋体" w:cs="宋体"/>
          <w:b w:val="0"/>
          <w:bCs w:val="0"/>
          <w:sz w:val="21"/>
          <w:szCs w:val="21"/>
        </w:rPr>
        <w:fldChar w:fldCharType="end"/>
      </w:r>
      <w:r>
        <w:rPr>
          <w:rFonts w:hint="eastAsia" w:ascii="宋体" w:hAnsi="宋体" w:cs="宋体"/>
          <w:b w:val="0"/>
          <w:bCs w:val="0"/>
          <w:caps/>
          <w:sz w:val="21"/>
          <w:szCs w:val="21"/>
        </w:rPr>
        <w:fldChar w:fldCharType="end"/>
      </w:r>
    </w:p>
    <w:p>
      <w:pPr>
        <w:pStyle w:val="31"/>
        <w:tabs>
          <w:tab w:val="right" w:leader="dot" w:pos="9411"/>
        </w:tabs>
        <w:rPr>
          <w:rFonts w:hint="eastAsia" w:ascii="宋体" w:hAnsi="宋体" w:cs="宋体"/>
          <w:b w:val="0"/>
          <w:bCs w:val="0"/>
          <w:sz w:val="21"/>
          <w:szCs w:val="21"/>
        </w:rPr>
      </w:pPr>
      <w:r>
        <w:rPr>
          <w:rFonts w:hint="eastAsia" w:ascii="宋体" w:hAnsi="宋体" w:cs="宋体"/>
          <w:b w:val="0"/>
          <w:bCs w:val="0"/>
          <w:caps/>
          <w:sz w:val="21"/>
          <w:szCs w:val="21"/>
        </w:rPr>
        <w:fldChar w:fldCharType="begin"/>
      </w:r>
      <w:r>
        <w:rPr>
          <w:rFonts w:hint="eastAsia" w:ascii="宋体" w:hAnsi="宋体" w:cs="宋体"/>
          <w:b w:val="0"/>
          <w:bCs w:val="0"/>
          <w:caps/>
          <w:sz w:val="21"/>
          <w:szCs w:val="21"/>
        </w:rPr>
        <w:instrText xml:space="preserve"> HYPERLINK \l _Toc6356 </w:instrText>
      </w:r>
      <w:r>
        <w:rPr>
          <w:rFonts w:hint="eastAsia" w:ascii="宋体" w:hAnsi="宋体" w:cs="宋体"/>
          <w:b w:val="0"/>
          <w:bCs w:val="0"/>
          <w:caps/>
          <w:sz w:val="21"/>
          <w:szCs w:val="21"/>
        </w:rPr>
        <w:fldChar w:fldCharType="separate"/>
      </w:r>
      <w:r>
        <w:rPr>
          <w:rFonts w:hint="eastAsia" w:ascii="宋体" w:hAnsi="宋体" w:eastAsia="宋体" w:cs="宋体"/>
          <w:b w:val="0"/>
          <w:bCs w:val="0"/>
          <w:sz w:val="21"/>
          <w:szCs w:val="21"/>
        </w:rPr>
        <w:t>1. 评标方法</w:t>
      </w:r>
      <w:r>
        <w:rPr>
          <w:rFonts w:hint="eastAsia" w:ascii="宋体" w:hAnsi="宋体" w:cs="宋体"/>
          <w:b w:val="0"/>
          <w:bCs w:val="0"/>
          <w:sz w:val="21"/>
          <w:szCs w:val="21"/>
        </w:rPr>
        <w:tab/>
      </w:r>
      <w:r>
        <w:rPr>
          <w:rFonts w:hint="eastAsia" w:ascii="宋体" w:hAnsi="宋体" w:cs="宋体"/>
          <w:b w:val="0"/>
          <w:bCs w:val="0"/>
          <w:sz w:val="21"/>
          <w:szCs w:val="21"/>
        </w:rPr>
        <w:fldChar w:fldCharType="begin"/>
      </w:r>
      <w:r>
        <w:rPr>
          <w:rFonts w:hint="eastAsia" w:ascii="宋体" w:hAnsi="宋体" w:cs="宋体"/>
          <w:b w:val="0"/>
          <w:bCs w:val="0"/>
          <w:sz w:val="21"/>
          <w:szCs w:val="21"/>
        </w:rPr>
        <w:instrText xml:space="preserve"> PAGEREF _Toc6356 \h </w:instrText>
      </w:r>
      <w:r>
        <w:rPr>
          <w:rFonts w:hint="eastAsia" w:ascii="宋体" w:hAnsi="宋体" w:cs="宋体"/>
          <w:b w:val="0"/>
          <w:bCs w:val="0"/>
          <w:sz w:val="21"/>
          <w:szCs w:val="21"/>
        </w:rPr>
        <w:fldChar w:fldCharType="separate"/>
      </w:r>
      <w:r>
        <w:rPr>
          <w:rFonts w:hint="eastAsia" w:ascii="宋体" w:hAnsi="宋体" w:cs="宋体"/>
          <w:b w:val="0"/>
          <w:bCs w:val="0"/>
          <w:sz w:val="21"/>
          <w:szCs w:val="21"/>
        </w:rPr>
        <w:t>15</w:t>
      </w:r>
      <w:r>
        <w:rPr>
          <w:rFonts w:hint="eastAsia" w:ascii="宋体" w:hAnsi="宋体" w:cs="宋体"/>
          <w:b w:val="0"/>
          <w:bCs w:val="0"/>
          <w:sz w:val="21"/>
          <w:szCs w:val="21"/>
        </w:rPr>
        <w:fldChar w:fldCharType="end"/>
      </w:r>
      <w:r>
        <w:rPr>
          <w:rFonts w:hint="eastAsia" w:ascii="宋体" w:hAnsi="宋体" w:cs="宋体"/>
          <w:b w:val="0"/>
          <w:bCs w:val="0"/>
          <w:caps/>
          <w:sz w:val="21"/>
          <w:szCs w:val="21"/>
        </w:rPr>
        <w:fldChar w:fldCharType="end"/>
      </w:r>
    </w:p>
    <w:p>
      <w:pPr>
        <w:pStyle w:val="31"/>
        <w:tabs>
          <w:tab w:val="right" w:leader="dot" w:pos="9411"/>
        </w:tabs>
        <w:rPr>
          <w:rFonts w:hint="eastAsia" w:ascii="宋体" w:hAnsi="宋体" w:cs="宋体"/>
          <w:b w:val="0"/>
          <w:bCs w:val="0"/>
          <w:sz w:val="21"/>
          <w:szCs w:val="21"/>
        </w:rPr>
      </w:pPr>
      <w:r>
        <w:rPr>
          <w:rFonts w:hint="eastAsia" w:ascii="宋体" w:hAnsi="宋体" w:cs="宋体"/>
          <w:b w:val="0"/>
          <w:bCs w:val="0"/>
          <w:caps/>
          <w:sz w:val="21"/>
          <w:szCs w:val="21"/>
        </w:rPr>
        <w:fldChar w:fldCharType="begin"/>
      </w:r>
      <w:r>
        <w:rPr>
          <w:rFonts w:hint="eastAsia" w:ascii="宋体" w:hAnsi="宋体" w:cs="宋体"/>
          <w:b w:val="0"/>
          <w:bCs w:val="0"/>
          <w:caps/>
          <w:sz w:val="21"/>
          <w:szCs w:val="21"/>
        </w:rPr>
        <w:instrText xml:space="preserve"> HYPERLINK \l _Toc29190 </w:instrText>
      </w:r>
      <w:r>
        <w:rPr>
          <w:rFonts w:hint="eastAsia" w:ascii="宋体" w:hAnsi="宋体" w:cs="宋体"/>
          <w:b w:val="0"/>
          <w:bCs w:val="0"/>
          <w:caps/>
          <w:sz w:val="21"/>
          <w:szCs w:val="21"/>
        </w:rPr>
        <w:fldChar w:fldCharType="separate"/>
      </w:r>
      <w:r>
        <w:rPr>
          <w:rFonts w:hint="eastAsia" w:ascii="宋体" w:hAnsi="宋体" w:eastAsia="宋体" w:cs="宋体"/>
          <w:b w:val="0"/>
          <w:bCs w:val="0"/>
          <w:sz w:val="21"/>
          <w:szCs w:val="21"/>
        </w:rPr>
        <w:t>2. 评审标准</w:t>
      </w:r>
      <w:r>
        <w:rPr>
          <w:rFonts w:hint="eastAsia" w:ascii="宋体" w:hAnsi="宋体" w:cs="宋体"/>
          <w:b w:val="0"/>
          <w:bCs w:val="0"/>
          <w:sz w:val="21"/>
          <w:szCs w:val="21"/>
        </w:rPr>
        <w:tab/>
      </w:r>
      <w:r>
        <w:rPr>
          <w:rFonts w:hint="eastAsia" w:ascii="宋体" w:hAnsi="宋体" w:cs="宋体"/>
          <w:b w:val="0"/>
          <w:bCs w:val="0"/>
          <w:sz w:val="21"/>
          <w:szCs w:val="21"/>
        </w:rPr>
        <w:fldChar w:fldCharType="begin"/>
      </w:r>
      <w:r>
        <w:rPr>
          <w:rFonts w:hint="eastAsia" w:ascii="宋体" w:hAnsi="宋体" w:cs="宋体"/>
          <w:b w:val="0"/>
          <w:bCs w:val="0"/>
          <w:sz w:val="21"/>
          <w:szCs w:val="21"/>
        </w:rPr>
        <w:instrText xml:space="preserve"> PAGEREF _Toc29190 \h </w:instrText>
      </w:r>
      <w:r>
        <w:rPr>
          <w:rFonts w:hint="eastAsia" w:ascii="宋体" w:hAnsi="宋体" w:cs="宋体"/>
          <w:b w:val="0"/>
          <w:bCs w:val="0"/>
          <w:sz w:val="21"/>
          <w:szCs w:val="21"/>
        </w:rPr>
        <w:fldChar w:fldCharType="separate"/>
      </w:r>
      <w:r>
        <w:rPr>
          <w:rFonts w:hint="eastAsia" w:ascii="宋体" w:hAnsi="宋体" w:cs="宋体"/>
          <w:b w:val="0"/>
          <w:bCs w:val="0"/>
          <w:sz w:val="21"/>
          <w:szCs w:val="21"/>
        </w:rPr>
        <w:t>15</w:t>
      </w:r>
      <w:r>
        <w:rPr>
          <w:rFonts w:hint="eastAsia" w:ascii="宋体" w:hAnsi="宋体" w:cs="宋体"/>
          <w:b w:val="0"/>
          <w:bCs w:val="0"/>
          <w:sz w:val="21"/>
          <w:szCs w:val="21"/>
        </w:rPr>
        <w:fldChar w:fldCharType="end"/>
      </w:r>
      <w:r>
        <w:rPr>
          <w:rFonts w:hint="eastAsia" w:ascii="宋体" w:hAnsi="宋体" w:cs="宋体"/>
          <w:b w:val="0"/>
          <w:bCs w:val="0"/>
          <w:caps/>
          <w:sz w:val="21"/>
          <w:szCs w:val="21"/>
        </w:rPr>
        <w:fldChar w:fldCharType="end"/>
      </w:r>
    </w:p>
    <w:p>
      <w:pPr>
        <w:pStyle w:val="31"/>
        <w:tabs>
          <w:tab w:val="right" w:leader="dot" w:pos="9411"/>
        </w:tabs>
        <w:rPr>
          <w:rFonts w:hint="eastAsia" w:ascii="宋体" w:hAnsi="宋体" w:cs="宋体"/>
          <w:b w:val="0"/>
          <w:bCs w:val="0"/>
          <w:sz w:val="21"/>
          <w:szCs w:val="21"/>
        </w:rPr>
      </w:pPr>
      <w:r>
        <w:rPr>
          <w:rFonts w:hint="eastAsia" w:ascii="宋体" w:hAnsi="宋体" w:cs="宋体"/>
          <w:b w:val="0"/>
          <w:bCs w:val="0"/>
          <w:caps/>
          <w:sz w:val="21"/>
          <w:szCs w:val="21"/>
        </w:rPr>
        <w:fldChar w:fldCharType="begin"/>
      </w:r>
      <w:r>
        <w:rPr>
          <w:rFonts w:hint="eastAsia" w:ascii="宋体" w:hAnsi="宋体" w:cs="宋体"/>
          <w:b w:val="0"/>
          <w:bCs w:val="0"/>
          <w:caps/>
          <w:sz w:val="21"/>
          <w:szCs w:val="21"/>
        </w:rPr>
        <w:instrText xml:space="preserve"> HYPERLINK \l _Toc897 </w:instrText>
      </w:r>
      <w:r>
        <w:rPr>
          <w:rFonts w:hint="eastAsia" w:ascii="宋体" w:hAnsi="宋体" w:cs="宋体"/>
          <w:b w:val="0"/>
          <w:bCs w:val="0"/>
          <w:caps/>
          <w:sz w:val="21"/>
          <w:szCs w:val="21"/>
        </w:rPr>
        <w:fldChar w:fldCharType="separate"/>
      </w:r>
      <w:r>
        <w:rPr>
          <w:rFonts w:hint="eastAsia" w:ascii="宋体" w:hAnsi="宋体" w:eastAsia="宋体" w:cs="宋体"/>
          <w:b w:val="0"/>
          <w:bCs w:val="0"/>
          <w:sz w:val="21"/>
          <w:szCs w:val="21"/>
        </w:rPr>
        <w:t>3. 评标程序</w:t>
      </w:r>
      <w:r>
        <w:rPr>
          <w:rFonts w:hint="eastAsia" w:ascii="宋体" w:hAnsi="宋体" w:cs="宋体"/>
          <w:b w:val="0"/>
          <w:bCs w:val="0"/>
          <w:sz w:val="21"/>
          <w:szCs w:val="21"/>
        </w:rPr>
        <w:tab/>
      </w:r>
      <w:r>
        <w:rPr>
          <w:rFonts w:hint="eastAsia" w:ascii="宋体" w:hAnsi="宋体" w:cs="宋体"/>
          <w:b w:val="0"/>
          <w:bCs w:val="0"/>
          <w:sz w:val="21"/>
          <w:szCs w:val="21"/>
        </w:rPr>
        <w:fldChar w:fldCharType="begin"/>
      </w:r>
      <w:r>
        <w:rPr>
          <w:rFonts w:hint="eastAsia" w:ascii="宋体" w:hAnsi="宋体" w:cs="宋体"/>
          <w:b w:val="0"/>
          <w:bCs w:val="0"/>
          <w:sz w:val="21"/>
          <w:szCs w:val="21"/>
        </w:rPr>
        <w:instrText xml:space="preserve"> PAGEREF _Toc897 \h </w:instrText>
      </w:r>
      <w:r>
        <w:rPr>
          <w:rFonts w:hint="eastAsia" w:ascii="宋体" w:hAnsi="宋体" w:cs="宋体"/>
          <w:b w:val="0"/>
          <w:bCs w:val="0"/>
          <w:sz w:val="21"/>
          <w:szCs w:val="21"/>
        </w:rPr>
        <w:fldChar w:fldCharType="separate"/>
      </w:r>
      <w:r>
        <w:rPr>
          <w:rFonts w:hint="eastAsia" w:ascii="宋体" w:hAnsi="宋体" w:cs="宋体"/>
          <w:b w:val="0"/>
          <w:bCs w:val="0"/>
          <w:sz w:val="21"/>
          <w:szCs w:val="21"/>
        </w:rPr>
        <w:t>15</w:t>
      </w:r>
      <w:r>
        <w:rPr>
          <w:rFonts w:hint="eastAsia" w:ascii="宋体" w:hAnsi="宋体" w:cs="宋体"/>
          <w:b w:val="0"/>
          <w:bCs w:val="0"/>
          <w:sz w:val="21"/>
          <w:szCs w:val="21"/>
        </w:rPr>
        <w:fldChar w:fldCharType="end"/>
      </w:r>
      <w:r>
        <w:rPr>
          <w:rFonts w:hint="eastAsia" w:ascii="宋体" w:hAnsi="宋体" w:cs="宋体"/>
          <w:b w:val="0"/>
          <w:bCs w:val="0"/>
          <w:caps/>
          <w:sz w:val="21"/>
          <w:szCs w:val="21"/>
        </w:rPr>
        <w:fldChar w:fldCharType="end"/>
      </w:r>
    </w:p>
    <w:p>
      <w:pPr>
        <w:pStyle w:val="31"/>
        <w:tabs>
          <w:tab w:val="right" w:leader="dot" w:pos="9411"/>
        </w:tabs>
        <w:rPr>
          <w:rFonts w:hint="eastAsia" w:ascii="宋体" w:hAnsi="宋体" w:cs="宋体"/>
          <w:b w:val="0"/>
          <w:bCs w:val="0"/>
          <w:sz w:val="21"/>
          <w:szCs w:val="21"/>
        </w:rPr>
      </w:pPr>
      <w:r>
        <w:rPr>
          <w:rFonts w:hint="eastAsia" w:ascii="宋体" w:hAnsi="宋体" w:cs="宋体"/>
          <w:b w:val="0"/>
          <w:bCs w:val="0"/>
          <w:caps/>
          <w:sz w:val="21"/>
          <w:szCs w:val="21"/>
        </w:rPr>
        <w:fldChar w:fldCharType="begin"/>
      </w:r>
      <w:r>
        <w:rPr>
          <w:rFonts w:hint="eastAsia" w:ascii="宋体" w:hAnsi="宋体" w:cs="宋体"/>
          <w:b w:val="0"/>
          <w:bCs w:val="0"/>
          <w:caps/>
          <w:sz w:val="21"/>
          <w:szCs w:val="21"/>
        </w:rPr>
        <w:instrText xml:space="preserve"> HYPERLINK \l _Toc25035 </w:instrText>
      </w:r>
      <w:r>
        <w:rPr>
          <w:rFonts w:hint="eastAsia" w:ascii="宋体" w:hAnsi="宋体" w:cs="宋体"/>
          <w:b w:val="0"/>
          <w:bCs w:val="0"/>
          <w:caps/>
          <w:sz w:val="21"/>
          <w:szCs w:val="21"/>
        </w:rPr>
        <w:fldChar w:fldCharType="separate"/>
      </w:r>
      <w:r>
        <w:rPr>
          <w:rFonts w:hint="eastAsia" w:ascii="宋体" w:hAnsi="宋体" w:eastAsia="宋体" w:cs="宋体"/>
          <w:b w:val="0"/>
          <w:bCs w:val="0"/>
          <w:sz w:val="21"/>
          <w:szCs w:val="21"/>
        </w:rPr>
        <w:t>4. 评标表格</w:t>
      </w:r>
      <w:r>
        <w:rPr>
          <w:rFonts w:hint="eastAsia" w:ascii="宋体" w:hAnsi="宋体" w:cs="宋体"/>
          <w:b w:val="0"/>
          <w:bCs w:val="0"/>
          <w:sz w:val="21"/>
          <w:szCs w:val="21"/>
        </w:rPr>
        <w:tab/>
      </w:r>
      <w:r>
        <w:rPr>
          <w:rFonts w:hint="eastAsia" w:ascii="宋体" w:hAnsi="宋体" w:cs="宋体"/>
          <w:b w:val="0"/>
          <w:bCs w:val="0"/>
          <w:sz w:val="21"/>
          <w:szCs w:val="21"/>
        </w:rPr>
        <w:fldChar w:fldCharType="begin"/>
      </w:r>
      <w:r>
        <w:rPr>
          <w:rFonts w:hint="eastAsia" w:ascii="宋体" w:hAnsi="宋体" w:cs="宋体"/>
          <w:b w:val="0"/>
          <w:bCs w:val="0"/>
          <w:sz w:val="21"/>
          <w:szCs w:val="21"/>
        </w:rPr>
        <w:instrText xml:space="preserve"> PAGEREF _Toc25035 \h </w:instrText>
      </w:r>
      <w:r>
        <w:rPr>
          <w:rFonts w:hint="eastAsia" w:ascii="宋体" w:hAnsi="宋体" w:cs="宋体"/>
          <w:b w:val="0"/>
          <w:bCs w:val="0"/>
          <w:sz w:val="21"/>
          <w:szCs w:val="21"/>
        </w:rPr>
        <w:fldChar w:fldCharType="separate"/>
      </w:r>
      <w:r>
        <w:rPr>
          <w:rFonts w:hint="eastAsia" w:ascii="宋体" w:hAnsi="宋体" w:cs="宋体"/>
          <w:b w:val="0"/>
          <w:bCs w:val="0"/>
          <w:sz w:val="21"/>
          <w:szCs w:val="21"/>
        </w:rPr>
        <w:t>17</w:t>
      </w:r>
      <w:r>
        <w:rPr>
          <w:rFonts w:hint="eastAsia" w:ascii="宋体" w:hAnsi="宋体" w:cs="宋体"/>
          <w:b w:val="0"/>
          <w:bCs w:val="0"/>
          <w:sz w:val="21"/>
          <w:szCs w:val="21"/>
        </w:rPr>
        <w:fldChar w:fldCharType="end"/>
      </w:r>
      <w:r>
        <w:rPr>
          <w:rFonts w:hint="eastAsia" w:ascii="宋体" w:hAnsi="宋体" w:cs="宋体"/>
          <w:b w:val="0"/>
          <w:bCs w:val="0"/>
          <w:caps/>
          <w:sz w:val="21"/>
          <w:szCs w:val="21"/>
        </w:rPr>
        <w:fldChar w:fldCharType="end"/>
      </w:r>
    </w:p>
    <w:p>
      <w:pPr>
        <w:pStyle w:val="27"/>
        <w:tabs>
          <w:tab w:val="right" w:leader="dot" w:pos="9411"/>
        </w:tabs>
        <w:rPr>
          <w:rFonts w:hint="eastAsia" w:ascii="宋体" w:hAnsi="宋体" w:cs="宋体"/>
          <w:b w:val="0"/>
          <w:bCs w:val="0"/>
          <w:sz w:val="21"/>
          <w:szCs w:val="21"/>
        </w:rPr>
      </w:pPr>
      <w:r>
        <w:rPr>
          <w:rFonts w:hint="eastAsia" w:ascii="宋体" w:hAnsi="宋体" w:cs="宋体"/>
          <w:b w:val="0"/>
          <w:bCs w:val="0"/>
          <w:caps/>
          <w:sz w:val="21"/>
          <w:szCs w:val="21"/>
        </w:rPr>
        <w:fldChar w:fldCharType="begin"/>
      </w:r>
      <w:r>
        <w:rPr>
          <w:rFonts w:hint="eastAsia" w:ascii="宋体" w:hAnsi="宋体" w:cs="宋体"/>
          <w:b w:val="0"/>
          <w:bCs w:val="0"/>
          <w:caps/>
          <w:sz w:val="21"/>
          <w:szCs w:val="21"/>
        </w:rPr>
        <w:instrText xml:space="preserve"> HYPERLINK \l _Toc4333 </w:instrText>
      </w:r>
      <w:r>
        <w:rPr>
          <w:rFonts w:hint="eastAsia" w:ascii="宋体" w:hAnsi="宋体" w:cs="宋体"/>
          <w:b w:val="0"/>
          <w:bCs w:val="0"/>
          <w:caps/>
          <w:sz w:val="21"/>
          <w:szCs w:val="21"/>
        </w:rPr>
        <w:fldChar w:fldCharType="separate"/>
      </w:r>
      <w:r>
        <w:rPr>
          <w:rFonts w:hint="eastAsia" w:ascii="宋体" w:hAnsi="宋体" w:cs="宋体"/>
          <w:b w:val="0"/>
          <w:bCs w:val="0"/>
          <w:sz w:val="21"/>
          <w:szCs w:val="21"/>
        </w:rPr>
        <w:t>第四章合同条款及格式</w:t>
      </w:r>
      <w:r>
        <w:rPr>
          <w:rFonts w:hint="eastAsia" w:ascii="宋体" w:hAnsi="宋体" w:cs="宋体"/>
          <w:b w:val="0"/>
          <w:bCs w:val="0"/>
          <w:sz w:val="21"/>
          <w:szCs w:val="21"/>
        </w:rPr>
        <w:tab/>
      </w:r>
      <w:r>
        <w:rPr>
          <w:rFonts w:hint="eastAsia" w:ascii="宋体" w:hAnsi="宋体" w:cs="宋体"/>
          <w:b w:val="0"/>
          <w:bCs w:val="0"/>
          <w:sz w:val="21"/>
          <w:szCs w:val="21"/>
        </w:rPr>
        <w:fldChar w:fldCharType="begin"/>
      </w:r>
      <w:r>
        <w:rPr>
          <w:rFonts w:hint="eastAsia" w:ascii="宋体" w:hAnsi="宋体" w:cs="宋体"/>
          <w:b w:val="0"/>
          <w:bCs w:val="0"/>
          <w:sz w:val="21"/>
          <w:szCs w:val="21"/>
        </w:rPr>
        <w:instrText xml:space="preserve"> PAGEREF _Toc4333 \h </w:instrText>
      </w:r>
      <w:r>
        <w:rPr>
          <w:rFonts w:hint="eastAsia" w:ascii="宋体" w:hAnsi="宋体" w:cs="宋体"/>
          <w:b w:val="0"/>
          <w:bCs w:val="0"/>
          <w:sz w:val="21"/>
          <w:szCs w:val="21"/>
        </w:rPr>
        <w:fldChar w:fldCharType="separate"/>
      </w:r>
      <w:r>
        <w:rPr>
          <w:rFonts w:hint="eastAsia" w:ascii="宋体" w:hAnsi="宋体" w:cs="宋体"/>
          <w:b w:val="0"/>
          <w:bCs w:val="0"/>
          <w:sz w:val="21"/>
          <w:szCs w:val="21"/>
        </w:rPr>
        <w:t>24</w:t>
      </w:r>
      <w:r>
        <w:rPr>
          <w:rFonts w:hint="eastAsia" w:ascii="宋体" w:hAnsi="宋体" w:cs="宋体"/>
          <w:b w:val="0"/>
          <w:bCs w:val="0"/>
          <w:sz w:val="21"/>
          <w:szCs w:val="21"/>
        </w:rPr>
        <w:fldChar w:fldCharType="end"/>
      </w:r>
      <w:r>
        <w:rPr>
          <w:rFonts w:hint="eastAsia" w:ascii="宋体" w:hAnsi="宋体" w:cs="宋体"/>
          <w:b w:val="0"/>
          <w:bCs w:val="0"/>
          <w:caps/>
          <w:sz w:val="21"/>
          <w:szCs w:val="21"/>
        </w:rPr>
        <w:fldChar w:fldCharType="end"/>
      </w:r>
    </w:p>
    <w:p>
      <w:pPr>
        <w:pStyle w:val="27"/>
        <w:tabs>
          <w:tab w:val="right" w:leader="dot" w:pos="9411"/>
        </w:tabs>
        <w:rPr>
          <w:rFonts w:hint="eastAsia" w:ascii="宋体" w:hAnsi="宋体" w:cs="宋体"/>
          <w:b w:val="0"/>
          <w:bCs w:val="0"/>
          <w:sz w:val="21"/>
          <w:szCs w:val="21"/>
        </w:rPr>
      </w:pPr>
      <w:r>
        <w:rPr>
          <w:rFonts w:hint="eastAsia" w:ascii="宋体" w:hAnsi="宋体" w:cs="宋体"/>
          <w:b w:val="0"/>
          <w:bCs w:val="0"/>
          <w:caps/>
          <w:sz w:val="21"/>
          <w:szCs w:val="21"/>
        </w:rPr>
        <w:fldChar w:fldCharType="begin"/>
      </w:r>
      <w:r>
        <w:rPr>
          <w:rFonts w:hint="eastAsia" w:ascii="宋体" w:hAnsi="宋体" w:cs="宋体"/>
          <w:b w:val="0"/>
          <w:bCs w:val="0"/>
          <w:caps/>
          <w:sz w:val="21"/>
          <w:szCs w:val="21"/>
        </w:rPr>
        <w:instrText xml:space="preserve"> HYPERLINK \l _Toc24312 </w:instrText>
      </w:r>
      <w:r>
        <w:rPr>
          <w:rFonts w:hint="eastAsia" w:ascii="宋体" w:hAnsi="宋体" w:cs="宋体"/>
          <w:b w:val="0"/>
          <w:bCs w:val="0"/>
          <w:caps/>
          <w:sz w:val="21"/>
          <w:szCs w:val="21"/>
        </w:rPr>
        <w:fldChar w:fldCharType="separate"/>
      </w:r>
      <w:r>
        <w:rPr>
          <w:rFonts w:hint="eastAsia" w:ascii="宋体" w:hAnsi="宋体" w:cs="宋体"/>
          <w:b w:val="0"/>
          <w:bCs w:val="0"/>
          <w:sz w:val="21"/>
          <w:szCs w:val="21"/>
        </w:rPr>
        <w:t>第二卷</w:t>
      </w:r>
      <w:r>
        <w:rPr>
          <w:rFonts w:hint="eastAsia" w:ascii="宋体" w:hAnsi="宋体" w:cs="宋体"/>
          <w:b w:val="0"/>
          <w:bCs w:val="0"/>
          <w:sz w:val="21"/>
          <w:szCs w:val="21"/>
        </w:rPr>
        <w:tab/>
      </w:r>
      <w:r>
        <w:rPr>
          <w:rFonts w:hint="eastAsia" w:ascii="宋体" w:hAnsi="宋体" w:cs="宋体"/>
          <w:b w:val="0"/>
          <w:bCs w:val="0"/>
          <w:sz w:val="21"/>
          <w:szCs w:val="21"/>
        </w:rPr>
        <w:fldChar w:fldCharType="begin"/>
      </w:r>
      <w:r>
        <w:rPr>
          <w:rFonts w:hint="eastAsia" w:ascii="宋体" w:hAnsi="宋体" w:cs="宋体"/>
          <w:b w:val="0"/>
          <w:bCs w:val="0"/>
          <w:sz w:val="21"/>
          <w:szCs w:val="21"/>
        </w:rPr>
        <w:instrText xml:space="preserve"> PAGEREF _Toc24312 \h </w:instrText>
      </w:r>
      <w:r>
        <w:rPr>
          <w:rFonts w:hint="eastAsia" w:ascii="宋体" w:hAnsi="宋体" w:cs="宋体"/>
          <w:b w:val="0"/>
          <w:bCs w:val="0"/>
          <w:sz w:val="21"/>
          <w:szCs w:val="21"/>
        </w:rPr>
        <w:fldChar w:fldCharType="separate"/>
      </w:r>
      <w:r>
        <w:rPr>
          <w:rFonts w:hint="eastAsia" w:ascii="宋体" w:hAnsi="宋体" w:cs="宋体"/>
          <w:b w:val="0"/>
          <w:bCs w:val="0"/>
          <w:sz w:val="21"/>
          <w:szCs w:val="21"/>
        </w:rPr>
        <w:t>38</w:t>
      </w:r>
      <w:r>
        <w:rPr>
          <w:rFonts w:hint="eastAsia" w:ascii="宋体" w:hAnsi="宋体" w:cs="宋体"/>
          <w:b w:val="0"/>
          <w:bCs w:val="0"/>
          <w:sz w:val="21"/>
          <w:szCs w:val="21"/>
        </w:rPr>
        <w:fldChar w:fldCharType="end"/>
      </w:r>
      <w:r>
        <w:rPr>
          <w:rFonts w:hint="eastAsia" w:ascii="宋体" w:hAnsi="宋体" w:cs="宋体"/>
          <w:b w:val="0"/>
          <w:bCs w:val="0"/>
          <w:caps/>
          <w:sz w:val="21"/>
          <w:szCs w:val="21"/>
        </w:rPr>
        <w:fldChar w:fldCharType="end"/>
      </w:r>
    </w:p>
    <w:p>
      <w:pPr>
        <w:pStyle w:val="27"/>
        <w:tabs>
          <w:tab w:val="right" w:leader="dot" w:pos="9411"/>
        </w:tabs>
        <w:rPr>
          <w:rFonts w:hint="default" w:ascii="宋体" w:hAnsi="宋体" w:eastAsia="宋体" w:cs="宋体"/>
          <w:b w:val="0"/>
          <w:bCs w:val="0"/>
          <w:sz w:val="21"/>
          <w:szCs w:val="21"/>
          <w:lang w:val="en-US" w:eastAsia="zh-CN"/>
        </w:rPr>
      </w:pPr>
      <w:r>
        <w:rPr>
          <w:rFonts w:hint="eastAsia" w:ascii="宋体" w:hAnsi="宋体" w:cs="宋体"/>
          <w:b w:val="0"/>
          <w:bCs w:val="0"/>
          <w:caps/>
          <w:sz w:val="21"/>
          <w:szCs w:val="21"/>
        </w:rPr>
        <w:fldChar w:fldCharType="begin"/>
      </w:r>
      <w:r>
        <w:rPr>
          <w:rFonts w:hint="eastAsia" w:ascii="宋体" w:hAnsi="宋体" w:cs="宋体"/>
          <w:b w:val="0"/>
          <w:bCs w:val="0"/>
          <w:caps/>
          <w:sz w:val="21"/>
          <w:szCs w:val="21"/>
        </w:rPr>
        <w:instrText xml:space="preserve"> HYPERLINK \l _Toc30259 </w:instrText>
      </w:r>
      <w:r>
        <w:rPr>
          <w:rFonts w:hint="eastAsia" w:ascii="宋体" w:hAnsi="宋体" w:cs="宋体"/>
          <w:b w:val="0"/>
          <w:bCs w:val="0"/>
          <w:caps/>
          <w:sz w:val="21"/>
          <w:szCs w:val="21"/>
        </w:rPr>
        <w:fldChar w:fldCharType="separate"/>
      </w:r>
      <w:r>
        <w:rPr>
          <w:rFonts w:hint="eastAsia" w:ascii="宋体" w:hAnsi="宋体" w:cs="宋体"/>
          <w:b w:val="0"/>
          <w:bCs w:val="0"/>
          <w:caps/>
          <w:sz w:val="21"/>
          <w:szCs w:val="21"/>
        </w:rPr>
        <w:t>第五章 投标文件格式</w:t>
      </w:r>
      <w:r>
        <w:rPr>
          <w:rFonts w:hint="eastAsia" w:ascii="宋体" w:hAnsi="宋体" w:cs="宋体"/>
          <w:b w:val="0"/>
          <w:bCs w:val="0"/>
          <w:caps/>
          <w:sz w:val="21"/>
          <w:szCs w:val="21"/>
        </w:rPr>
        <w:tab/>
      </w:r>
      <w:r>
        <w:rPr>
          <w:rFonts w:hint="eastAsia" w:ascii="宋体" w:hAnsi="宋体" w:cs="宋体"/>
          <w:b w:val="0"/>
          <w:bCs w:val="0"/>
          <w:caps/>
          <w:sz w:val="21"/>
          <w:szCs w:val="21"/>
        </w:rPr>
        <w:fldChar w:fldCharType="end"/>
      </w:r>
      <w:r>
        <w:rPr>
          <w:rFonts w:hint="eastAsia" w:ascii="宋体" w:hAnsi="宋体" w:cs="宋体"/>
          <w:b w:val="0"/>
          <w:bCs w:val="0"/>
          <w:caps/>
          <w:sz w:val="21"/>
          <w:szCs w:val="21"/>
          <w:lang w:val="en-US" w:eastAsia="zh-CN"/>
        </w:rPr>
        <w:t>34</w:t>
      </w:r>
    </w:p>
    <w:p>
      <w:pPr>
        <w:pStyle w:val="3"/>
        <w:sectPr>
          <w:headerReference r:id="rId4" w:type="default"/>
          <w:footerReference r:id="rId5" w:type="default"/>
          <w:pgSz w:w="11906" w:h="16838"/>
          <w:pgMar w:top="1247" w:right="1134" w:bottom="1247" w:left="1361" w:header="851" w:footer="992" w:gutter="0"/>
          <w:pgBorders>
            <w:top w:val="none" w:sz="0" w:space="0"/>
            <w:left w:val="none" w:sz="0" w:space="0"/>
            <w:bottom w:val="none" w:sz="0" w:space="0"/>
            <w:right w:val="none" w:sz="0" w:space="0"/>
          </w:pgBorders>
          <w:pgNumType w:fmt="upperRoman" w:start="1"/>
          <w:cols w:space="720" w:num="1"/>
          <w:docGrid w:type="lines" w:linePitch="312" w:charSpace="0"/>
        </w:sectPr>
      </w:pPr>
      <w:r>
        <w:rPr>
          <w:caps/>
          <w:szCs w:val="28"/>
        </w:rPr>
        <w:fldChar w:fldCharType="end"/>
      </w: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pStyle w:val="3"/>
        <w:jc w:val="center"/>
      </w:pPr>
      <w:bookmarkStart w:id="22" w:name="_Toc20772"/>
      <w:bookmarkStart w:id="23" w:name="_Toc494371511"/>
      <w:bookmarkStart w:id="24" w:name="_Toc300834927"/>
      <w:bookmarkStart w:id="25" w:name="_Toc24362"/>
      <w:bookmarkStart w:id="26" w:name="_Toc23631"/>
      <w:bookmarkStart w:id="27" w:name="_Toc24226"/>
      <w:bookmarkStart w:id="28" w:name="_Toc3317"/>
      <w:bookmarkStart w:id="29" w:name="_Toc5664"/>
      <w:bookmarkStart w:id="30" w:name="_Toc9829"/>
      <w:bookmarkStart w:id="31" w:name="_Toc11431"/>
      <w:bookmarkStart w:id="32" w:name="_Toc14632"/>
      <w:bookmarkStart w:id="33" w:name="_Toc1856"/>
      <w:bookmarkStart w:id="34" w:name="_Toc6648"/>
      <w:bookmarkStart w:id="35" w:name="_Toc11363"/>
      <w:r>
        <w:rPr>
          <w:rFonts w:hint="eastAsia"/>
        </w:rPr>
        <w:t>第一卷</w:t>
      </w:r>
      <w:bookmarkEnd w:id="17"/>
      <w:bookmarkEnd w:id="18"/>
      <w:bookmarkEnd w:id="22"/>
      <w:bookmarkEnd w:id="23"/>
      <w:bookmarkEnd w:id="24"/>
      <w:bookmarkEnd w:id="25"/>
      <w:bookmarkEnd w:id="26"/>
      <w:bookmarkEnd w:id="27"/>
      <w:bookmarkEnd w:id="28"/>
      <w:bookmarkEnd w:id="29"/>
      <w:bookmarkEnd w:id="30"/>
      <w:bookmarkEnd w:id="31"/>
      <w:bookmarkEnd w:id="32"/>
      <w:bookmarkEnd w:id="33"/>
      <w:bookmarkEnd w:id="34"/>
      <w:bookmarkEnd w:id="35"/>
    </w:p>
    <w:p>
      <w:pPr>
        <w:spacing w:line="360" w:lineRule="auto"/>
        <w:jc w:val="center"/>
        <w:rPr>
          <w:rFonts w:ascii="宋体" w:hAnsi="宋体" w:cs="宋体"/>
          <w:sz w:val="24"/>
        </w:rPr>
      </w:pPr>
      <w:bookmarkStart w:id="36" w:name="_Toc247527534"/>
      <w:bookmarkStart w:id="37" w:name="_Toc247513933"/>
      <w:bookmarkStart w:id="38" w:name="_Toc300834928"/>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jc w:val="center"/>
        <w:outlineLvl w:val="0"/>
        <w:rPr>
          <w:b/>
          <w:bCs/>
          <w:kern w:val="44"/>
          <w:sz w:val="44"/>
          <w:szCs w:val="44"/>
        </w:rPr>
      </w:pPr>
      <w:bookmarkStart w:id="39" w:name="_Toc7717"/>
      <w:bookmarkStart w:id="40" w:name="_Toc7403"/>
      <w:bookmarkStart w:id="41" w:name="_Toc16845"/>
      <w:bookmarkStart w:id="42" w:name="_Toc494371512"/>
      <w:bookmarkStart w:id="43" w:name="_Toc9002"/>
      <w:bookmarkStart w:id="44" w:name="_Toc28981"/>
      <w:bookmarkStart w:id="45" w:name="_Toc597"/>
      <w:bookmarkStart w:id="46" w:name="_Toc7616"/>
      <w:r>
        <w:rPr>
          <w:rFonts w:hint="eastAsia"/>
          <w:b/>
          <w:bCs/>
          <w:kern w:val="44"/>
          <w:sz w:val="44"/>
          <w:szCs w:val="44"/>
        </w:rPr>
        <w:t>第一章招标公告（另册）</w:t>
      </w:r>
      <w:bookmarkEnd w:id="39"/>
      <w:bookmarkEnd w:id="40"/>
      <w:bookmarkEnd w:id="41"/>
      <w:bookmarkEnd w:id="42"/>
      <w:bookmarkEnd w:id="43"/>
      <w:bookmarkEnd w:id="44"/>
      <w:bookmarkEnd w:id="45"/>
      <w:bookmarkEnd w:id="46"/>
    </w:p>
    <w:bookmarkEnd w:id="19"/>
    <w:bookmarkEnd w:id="20"/>
    <w:bookmarkEnd w:id="21"/>
    <w:bookmarkEnd w:id="36"/>
    <w:bookmarkEnd w:id="37"/>
    <w:bookmarkEnd w:id="38"/>
    <w:p>
      <w:pPr>
        <w:jc w:val="center"/>
        <w:outlineLvl w:val="0"/>
        <w:rPr>
          <w:b/>
          <w:bCs/>
          <w:kern w:val="44"/>
          <w:sz w:val="44"/>
          <w:szCs w:val="44"/>
        </w:rPr>
      </w:pPr>
      <w:bookmarkStart w:id="47" w:name="_Toc152045527"/>
      <w:bookmarkStart w:id="48" w:name="_Toc1178"/>
      <w:bookmarkStart w:id="49" w:name="_Toc144974495"/>
      <w:bookmarkStart w:id="50" w:name="_Toc20453"/>
      <w:bookmarkStart w:id="51" w:name="_Toc247527551"/>
      <w:bookmarkStart w:id="52" w:name="_Toc247513950"/>
      <w:bookmarkStart w:id="53" w:name="_Toc18861"/>
      <w:bookmarkStart w:id="54" w:name="_Toc300834947"/>
      <w:bookmarkStart w:id="55" w:name="_Toc152042303"/>
      <w:r>
        <w:rPr>
          <w:b/>
          <w:bCs/>
          <w:kern w:val="44"/>
          <w:sz w:val="44"/>
          <w:szCs w:val="44"/>
        </w:rPr>
        <w:br w:type="page"/>
      </w:r>
      <w:bookmarkStart w:id="56" w:name="_Toc25745"/>
      <w:bookmarkStart w:id="57" w:name="_Toc27217"/>
      <w:bookmarkStart w:id="58" w:name="_Toc494371513"/>
      <w:bookmarkStart w:id="59" w:name="_Toc29549"/>
      <w:bookmarkStart w:id="60" w:name="_Toc21868"/>
      <w:bookmarkStart w:id="61" w:name="_Toc3615"/>
      <w:bookmarkStart w:id="62" w:name="_Toc15284"/>
      <w:bookmarkStart w:id="63" w:name="_Toc26131"/>
      <w:bookmarkStart w:id="64" w:name="_Toc9024"/>
      <w:bookmarkStart w:id="65" w:name="_Toc8440"/>
      <w:r>
        <w:rPr>
          <w:rFonts w:hint="eastAsia"/>
          <w:b/>
          <w:bCs/>
          <w:kern w:val="44"/>
          <w:sz w:val="44"/>
          <w:szCs w:val="44"/>
        </w:rPr>
        <w:t>第二章投标人须知</w:t>
      </w:r>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p>
    <w:p>
      <w:pPr>
        <w:pStyle w:val="4"/>
        <w:spacing w:line="240" w:lineRule="auto"/>
        <w:jc w:val="center"/>
      </w:pPr>
      <w:bookmarkStart w:id="66" w:name="_Toc2677"/>
      <w:bookmarkStart w:id="67" w:name="_Toc247513951"/>
      <w:bookmarkStart w:id="68" w:name="_Toc1865"/>
      <w:bookmarkStart w:id="69" w:name="_Toc152045528"/>
      <w:bookmarkStart w:id="70" w:name="_Toc494371514"/>
      <w:bookmarkStart w:id="71" w:name="_Toc16066"/>
      <w:bookmarkStart w:id="72" w:name="_Toc300834948"/>
      <w:bookmarkStart w:id="73" w:name="_Toc25706"/>
      <w:bookmarkStart w:id="74" w:name="_Toc15181"/>
      <w:bookmarkStart w:id="75" w:name="_Toc12687"/>
      <w:bookmarkStart w:id="76" w:name="_Toc24688"/>
      <w:bookmarkStart w:id="77" w:name="_Toc24123"/>
      <w:bookmarkStart w:id="78" w:name="_Toc19769"/>
      <w:bookmarkStart w:id="79" w:name="_Toc20316"/>
      <w:bookmarkStart w:id="80" w:name="_Toc23094"/>
      <w:bookmarkStart w:id="81" w:name="_Toc247527552"/>
      <w:bookmarkStart w:id="82" w:name="_Toc152042304"/>
      <w:bookmarkStart w:id="83" w:name="_Toc3039"/>
      <w:bookmarkStart w:id="84" w:name="_Toc144974496"/>
      <w:bookmarkStart w:id="85" w:name="_Toc23877"/>
      <w:r>
        <w:rPr>
          <w:rFonts w:hint="eastAsia"/>
        </w:rPr>
        <w:t>投标人须知前附表</w:t>
      </w:r>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p>
    <w:tbl>
      <w:tblPr>
        <w:tblStyle w:val="40"/>
        <w:tblW w:w="9889"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5"/>
        <w:gridCol w:w="2816"/>
        <w:gridCol w:w="5908"/>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tblHeader/>
          <w:jc w:val="center"/>
        </w:trPr>
        <w:tc>
          <w:tcPr>
            <w:tcW w:w="1165" w:type="dxa"/>
            <w:tcBorders>
              <w:bottom w:val="double" w:color="auto" w:sz="4" w:space="0"/>
            </w:tcBorders>
            <w:vAlign w:val="center"/>
          </w:tcPr>
          <w:p>
            <w:pPr>
              <w:adjustRightInd w:val="0"/>
              <w:snapToGrid w:val="0"/>
              <w:spacing w:before="156" w:beforeLines="50" w:line="360" w:lineRule="auto"/>
              <w:jc w:val="center"/>
              <w:rPr>
                <w:rFonts w:ascii="宋体" w:hAnsi="宋体" w:cs="宋体"/>
                <w:b/>
                <w:szCs w:val="21"/>
              </w:rPr>
            </w:pPr>
            <w:r>
              <w:rPr>
                <w:rFonts w:hint="eastAsia" w:ascii="宋体" w:hAnsi="宋体" w:cs="宋体"/>
                <w:b/>
                <w:szCs w:val="21"/>
              </w:rPr>
              <w:t>条款号</w:t>
            </w:r>
          </w:p>
        </w:tc>
        <w:tc>
          <w:tcPr>
            <w:tcW w:w="2816" w:type="dxa"/>
            <w:tcBorders>
              <w:bottom w:val="double" w:color="auto" w:sz="4" w:space="0"/>
            </w:tcBorders>
            <w:vAlign w:val="center"/>
          </w:tcPr>
          <w:p>
            <w:pPr>
              <w:adjustRightInd w:val="0"/>
              <w:snapToGrid w:val="0"/>
              <w:spacing w:before="156" w:beforeLines="50" w:line="360" w:lineRule="auto"/>
              <w:jc w:val="center"/>
              <w:rPr>
                <w:rFonts w:ascii="宋体" w:hAnsi="宋体" w:cs="宋体"/>
                <w:b/>
                <w:szCs w:val="21"/>
              </w:rPr>
            </w:pPr>
            <w:r>
              <w:rPr>
                <w:rFonts w:hint="eastAsia" w:ascii="宋体" w:hAnsi="宋体" w:cs="宋体"/>
                <w:b/>
                <w:szCs w:val="21"/>
              </w:rPr>
              <w:t>条款名称</w:t>
            </w:r>
          </w:p>
        </w:tc>
        <w:tc>
          <w:tcPr>
            <w:tcW w:w="5908" w:type="dxa"/>
            <w:tcBorders>
              <w:bottom w:val="double" w:color="auto" w:sz="4" w:space="0"/>
            </w:tcBorders>
            <w:vAlign w:val="center"/>
          </w:tcPr>
          <w:p>
            <w:pPr>
              <w:adjustRightInd w:val="0"/>
              <w:snapToGrid w:val="0"/>
              <w:spacing w:before="156" w:beforeLines="50" w:line="360" w:lineRule="auto"/>
              <w:jc w:val="center"/>
              <w:rPr>
                <w:rFonts w:ascii="宋体" w:hAnsi="宋体" w:cs="宋体"/>
                <w:b/>
                <w:szCs w:val="21"/>
              </w:rPr>
            </w:pPr>
            <w:r>
              <w:rPr>
                <w:rFonts w:hint="eastAsia" w:ascii="宋体" w:hAnsi="宋体" w:cs="宋体"/>
                <w:b/>
                <w:szCs w:val="21"/>
              </w:rPr>
              <w:t>编列内容</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65" w:type="dxa"/>
            <w:tcBorders>
              <w:top w:val="double" w:color="auto" w:sz="4" w:space="0"/>
            </w:tcBorders>
            <w:vAlign w:val="center"/>
          </w:tcPr>
          <w:p>
            <w:pPr>
              <w:adjustRightInd w:val="0"/>
              <w:snapToGrid w:val="0"/>
              <w:spacing w:before="156" w:beforeLines="50" w:line="360" w:lineRule="auto"/>
              <w:jc w:val="center"/>
              <w:rPr>
                <w:rFonts w:ascii="宋体" w:hAnsi="宋体" w:cs="宋体"/>
                <w:szCs w:val="21"/>
              </w:rPr>
            </w:pPr>
            <w:r>
              <w:rPr>
                <w:rFonts w:hint="eastAsia" w:ascii="宋体" w:hAnsi="宋体" w:cs="宋体"/>
                <w:szCs w:val="21"/>
              </w:rPr>
              <w:t>1</w:t>
            </w:r>
          </w:p>
        </w:tc>
        <w:tc>
          <w:tcPr>
            <w:tcW w:w="2816" w:type="dxa"/>
            <w:tcBorders>
              <w:top w:val="double" w:color="auto" w:sz="4" w:space="0"/>
            </w:tcBorders>
            <w:vAlign w:val="center"/>
          </w:tcPr>
          <w:p>
            <w:pPr>
              <w:adjustRightInd w:val="0"/>
              <w:snapToGrid w:val="0"/>
              <w:spacing w:before="156" w:beforeLines="50" w:line="360" w:lineRule="auto"/>
              <w:jc w:val="center"/>
              <w:rPr>
                <w:rFonts w:ascii="宋体" w:hAnsi="宋体" w:cs="宋体"/>
                <w:szCs w:val="21"/>
              </w:rPr>
            </w:pPr>
            <w:r>
              <w:rPr>
                <w:rFonts w:hint="eastAsia"/>
              </w:rPr>
              <w:t>招标单位</w:t>
            </w:r>
          </w:p>
        </w:tc>
        <w:tc>
          <w:tcPr>
            <w:tcW w:w="5908" w:type="dxa"/>
            <w:tcBorders>
              <w:top w:val="double" w:color="auto" w:sz="4" w:space="0"/>
            </w:tcBorders>
            <w:vAlign w:val="center"/>
          </w:tcPr>
          <w:p>
            <w:pPr>
              <w:widowControl/>
              <w:snapToGrid w:val="0"/>
              <w:spacing w:before="156" w:beforeLines="50" w:line="360" w:lineRule="auto"/>
              <w:jc w:val="left"/>
            </w:pPr>
            <w:r>
              <w:rPr>
                <w:rFonts w:hint="eastAsia"/>
              </w:rPr>
              <w:t>招标单位：广州南沙旅游发展有限公司</w:t>
            </w:r>
            <w:r>
              <w:t xml:space="preserve"> </w:t>
            </w:r>
          </w:p>
          <w:p>
            <w:pPr>
              <w:widowControl/>
              <w:snapToGrid w:val="0"/>
              <w:spacing w:before="156" w:beforeLines="50" w:line="360" w:lineRule="auto"/>
              <w:jc w:val="left"/>
              <w:rPr>
                <w:rFonts w:hint="default" w:eastAsia="宋体"/>
                <w:lang w:val="en-US" w:eastAsia="zh-CN"/>
              </w:rPr>
            </w:pPr>
            <w:r>
              <w:rPr>
                <w:rFonts w:hint="eastAsia"/>
              </w:rPr>
              <w:t>联系人：</w:t>
            </w:r>
            <w:r>
              <w:rPr>
                <w:rFonts w:hint="eastAsia"/>
                <w:lang w:val="en-US" w:eastAsia="zh-CN"/>
              </w:rPr>
              <w:t>林小姐</w:t>
            </w:r>
            <w:r>
              <w:rPr>
                <w:rFonts w:hint="eastAsia"/>
              </w:rPr>
              <w:t xml:space="preserve">           联系电话：</w:t>
            </w:r>
            <w:r>
              <w:rPr>
                <w:rFonts w:hint="eastAsia"/>
                <w:lang w:val="en-US" w:eastAsia="zh-CN"/>
              </w:rPr>
              <w:t>15914506698</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65" w:type="dxa"/>
            <w:vAlign w:val="center"/>
          </w:tcPr>
          <w:p>
            <w:pPr>
              <w:adjustRightInd w:val="0"/>
              <w:snapToGrid w:val="0"/>
              <w:spacing w:before="156" w:beforeLines="50" w:line="360" w:lineRule="auto"/>
              <w:jc w:val="center"/>
              <w:rPr>
                <w:rFonts w:ascii="宋体" w:hAnsi="宋体" w:cs="宋体"/>
                <w:szCs w:val="21"/>
              </w:rPr>
            </w:pPr>
            <w:r>
              <w:rPr>
                <w:rFonts w:hint="eastAsia" w:ascii="宋体" w:hAnsi="宋体" w:cs="宋体"/>
                <w:szCs w:val="21"/>
              </w:rPr>
              <w:t>2</w:t>
            </w:r>
          </w:p>
        </w:tc>
        <w:tc>
          <w:tcPr>
            <w:tcW w:w="2816" w:type="dxa"/>
            <w:vAlign w:val="center"/>
          </w:tcPr>
          <w:p>
            <w:pPr>
              <w:adjustRightInd w:val="0"/>
              <w:snapToGrid w:val="0"/>
              <w:spacing w:before="156" w:beforeLines="50" w:line="360" w:lineRule="auto"/>
              <w:jc w:val="center"/>
              <w:rPr>
                <w:rFonts w:ascii="宋体" w:hAnsi="宋体" w:cs="宋体"/>
                <w:szCs w:val="21"/>
              </w:rPr>
            </w:pPr>
            <w:r>
              <w:rPr>
                <w:rFonts w:hint="eastAsia" w:ascii="宋体" w:hAnsi="宋体" w:cs="宋体"/>
                <w:szCs w:val="21"/>
              </w:rPr>
              <w:t>项目名称</w:t>
            </w:r>
          </w:p>
        </w:tc>
        <w:tc>
          <w:tcPr>
            <w:tcW w:w="5908" w:type="dxa"/>
            <w:vAlign w:val="center"/>
          </w:tcPr>
          <w:p>
            <w:pPr>
              <w:adjustRightInd w:val="0"/>
              <w:snapToGrid w:val="0"/>
              <w:spacing w:before="156" w:beforeLines="50" w:line="360" w:lineRule="auto"/>
              <w:rPr>
                <w:rFonts w:hint="eastAsia" w:ascii="宋体" w:hAnsi="宋体" w:eastAsia="宋体" w:cs="宋体"/>
                <w:szCs w:val="21"/>
                <w:lang w:eastAsia="zh-CN"/>
              </w:rPr>
            </w:pPr>
            <w:r>
              <w:rPr>
                <w:rFonts w:hint="eastAsia" w:ascii="宋体" w:hAnsi="宋体" w:cs="Calibri"/>
                <w:kern w:val="2"/>
                <w:sz w:val="21"/>
                <w:szCs w:val="21"/>
                <w:highlight w:val="none"/>
                <w:u w:val="none"/>
                <w:lang w:val="en-US" w:eastAsia="zh-CN"/>
              </w:rPr>
              <w:t>天后宫专用综合房增容工程</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65" w:type="dxa"/>
            <w:vAlign w:val="center"/>
          </w:tcPr>
          <w:p>
            <w:pPr>
              <w:adjustRightInd w:val="0"/>
              <w:snapToGrid w:val="0"/>
              <w:spacing w:before="156" w:beforeLines="50" w:line="360" w:lineRule="auto"/>
              <w:jc w:val="center"/>
              <w:rPr>
                <w:rFonts w:ascii="宋体" w:hAnsi="宋体" w:cs="宋体"/>
                <w:szCs w:val="21"/>
              </w:rPr>
            </w:pPr>
            <w:r>
              <w:rPr>
                <w:rFonts w:hint="eastAsia" w:ascii="宋体" w:hAnsi="宋体" w:cs="宋体"/>
                <w:szCs w:val="21"/>
              </w:rPr>
              <w:t>3</w:t>
            </w:r>
          </w:p>
        </w:tc>
        <w:tc>
          <w:tcPr>
            <w:tcW w:w="2816" w:type="dxa"/>
            <w:vAlign w:val="center"/>
          </w:tcPr>
          <w:p>
            <w:pPr>
              <w:adjustRightInd w:val="0"/>
              <w:snapToGrid w:val="0"/>
              <w:spacing w:before="156" w:beforeLines="50" w:line="360" w:lineRule="auto"/>
              <w:jc w:val="center"/>
              <w:rPr>
                <w:rFonts w:ascii="宋体" w:hAnsi="宋体" w:cs="宋体"/>
                <w:szCs w:val="21"/>
              </w:rPr>
            </w:pPr>
            <w:r>
              <w:rPr>
                <w:rFonts w:hint="eastAsia" w:ascii="宋体" w:hAnsi="宋体" w:cs="宋体"/>
                <w:szCs w:val="21"/>
              </w:rPr>
              <w:t>建设地点</w:t>
            </w:r>
          </w:p>
        </w:tc>
        <w:tc>
          <w:tcPr>
            <w:tcW w:w="5908" w:type="dxa"/>
            <w:vAlign w:val="center"/>
          </w:tcPr>
          <w:p>
            <w:pPr>
              <w:adjustRightInd w:val="0"/>
              <w:snapToGrid w:val="0"/>
              <w:spacing w:before="156" w:beforeLines="50" w:line="360" w:lineRule="auto"/>
              <w:rPr>
                <w:rFonts w:hint="eastAsia" w:ascii="宋体" w:hAnsi="宋体" w:cs="Calibri"/>
                <w:szCs w:val="21"/>
                <w:highlight w:val="none"/>
              </w:rPr>
            </w:pPr>
            <w:r>
              <w:rPr>
                <w:rFonts w:hint="eastAsia" w:ascii="宋体" w:hAnsi="宋体" w:cs="Calibri"/>
                <w:kern w:val="2"/>
                <w:sz w:val="21"/>
                <w:szCs w:val="21"/>
                <w:highlight w:val="none"/>
                <w:u w:val="none"/>
                <w:lang w:val="en-US" w:eastAsia="zh-CN"/>
              </w:rPr>
              <w:t>广州市南沙区天后宫景区内</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65" w:type="dxa"/>
            <w:vAlign w:val="center"/>
          </w:tcPr>
          <w:p>
            <w:pPr>
              <w:adjustRightInd w:val="0"/>
              <w:snapToGrid w:val="0"/>
              <w:spacing w:before="156" w:beforeLines="50" w:line="360" w:lineRule="auto"/>
              <w:jc w:val="center"/>
              <w:rPr>
                <w:rFonts w:ascii="宋体" w:hAnsi="宋体" w:cs="宋体"/>
                <w:szCs w:val="21"/>
              </w:rPr>
            </w:pPr>
            <w:r>
              <w:rPr>
                <w:rFonts w:hint="eastAsia" w:ascii="宋体" w:hAnsi="宋体" w:cs="宋体"/>
                <w:szCs w:val="21"/>
              </w:rPr>
              <w:t>4</w:t>
            </w:r>
          </w:p>
        </w:tc>
        <w:tc>
          <w:tcPr>
            <w:tcW w:w="2816" w:type="dxa"/>
            <w:vAlign w:val="center"/>
          </w:tcPr>
          <w:p>
            <w:pPr>
              <w:adjustRightInd w:val="0"/>
              <w:snapToGrid w:val="0"/>
              <w:spacing w:before="156" w:beforeLines="50" w:line="360" w:lineRule="auto"/>
              <w:jc w:val="center"/>
              <w:rPr>
                <w:rFonts w:ascii="宋体" w:hAnsi="宋体" w:cs="宋体"/>
                <w:color w:val="auto"/>
                <w:szCs w:val="21"/>
              </w:rPr>
            </w:pPr>
            <w:r>
              <w:rPr>
                <w:rFonts w:hint="eastAsia" w:ascii="宋体" w:hAnsi="宋体" w:cs="宋体"/>
                <w:color w:val="auto"/>
                <w:szCs w:val="21"/>
              </w:rPr>
              <w:t>建设规模</w:t>
            </w:r>
          </w:p>
        </w:tc>
        <w:tc>
          <w:tcPr>
            <w:tcW w:w="5908" w:type="dxa"/>
            <w:vAlign w:val="center"/>
          </w:tcPr>
          <w:p>
            <w:pPr>
              <w:adjustRightInd w:val="0"/>
              <w:snapToGrid w:val="0"/>
              <w:spacing w:before="156" w:beforeLines="50" w:line="360" w:lineRule="auto"/>
              <w:rPr>
                <w:rFonts w:ascii="宋体" w:hAnsi="宋体" w:cs="Calibri"/>
                <w:color w:val="auto"/>
                <w:szCs w:val="21"/>
              </w:rPr>
            </w:pPr>
            <w:r>
              <w:rPr>
                <w:rFonts w:hint="eastAsia" w:ascii="宋体" w:hAnsi="宋体" w:cs="Calibri"/>
                <w:color w:val="auto"/>
                <w:szCs w:val="21"/>
                <w:highlight w:val="none"/>
              </w:rPr>
              <w:t>约</w:t>
            </w:r>
            <w:r>
              <w:rPr>
                <w:rFonts w:hint="eastAsia" w:ascii="宋体" w:hAnsi="宋体" w:cs="Calibri"/>
                <w:color w:val="auto"/>
                <w:szCs w:val="21"/>
                <w:highlight w:val="none"/>
                <w:lang w:val="en-US" w:eastAsia="zh-CN"/>
              </w:rPr>
              <w:t>45</w:t>
            </w:r>
            <w:r>
              <w:rPr>
                <w:rFonts w:hint="eastAsia" w:ascii="宋体" w:hAnsi="宋体" w:cs="Calibri"/>
                <w:color w:val="auto"/>
                <w:szCs w:val="21"/>
                <w:highlight w:val="none"/>
              </w:rPr>
              <w:t>万元</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65" w:type="dxa"/>
            <w:vAlign w:val="center"/>
          </w:tcPr>
          <w:p>
            <w:pPr>
              <w:adjustRightInd w:val="0"/>
              <w:snapToGrid w:val="0"/>
              <w:spacing w:before="156" w:beforeLines="50" w:line="360" w:lineRule="auto"/>
              <w:jc w:val="center"/>
              <w:rPr>
                <w:rFonts w:ascii="宋体" w:hAnsi="宋体" w:cs="宋体"/>
                <w:szCs w:val="21"/>
              </w:rPr>
            </w:pPr>
            <w:r>
              <w:rPr>
                <w:rFonts w:hint="eastAsia" w:ascii="宋体" w:hAnsi="宋体" w:cs="宋体"/>
                <w:szCs w:val="21"/>
              </w:rPr>
              <w:t>5</w:t>
            </w:r>
          </w:p>
        </w:tc>
        <w:tc>
          <w:tcPr>
            <w:tcW w:w="2816" w:type="dxa"/>
            <w:vAlign w:val="center"/>
          </w:tcPr>
          <w:p>
            <w:pPr>
              <w:adjustRightInd w:val="0"/>
              <w:snapToGrid w:val="0"/>
              <w:spacing w:before="156" w:beforeLines="50" w:line="360" w:lineRule="auto"/>
              <w:jc w:val="center"/>
              <w:rPr>
                <w:rFonts w:ascii="宋体" w:hAnsi="宋体" w:cs="宋体"/>
                <w:szCs w:val="21"/>
              </w:rPr>
            </w:pPr>
            <w:r>
              <w:rPr>
                <w:rFonts w:hint="eastAsia" w:ascii="宋体" w:hAnsi="宋体" w:cs="宋体"/>
                <w:szCs w:val="21"/>
              </w:rPr>
              <w:t>资金来源及比例</w:t>
            </w:r>
          </w:p>
        </w:tc>
        <w:tc>
          <w:tcPr>
            <w:tcW w:w="5908" w:type="dxa"/>
            <w:vAlign w:val="center"/>
          </w:tcPr>
          <w:p>
            <w:pPr>
              <w:adjustRightInd w:val="0"/>
              <w:snapToGrid w:val="0"/>
              <w:spacing w:before="156" w:beforeLines="50" w:line="360" w:lineRule="auto"/>
              <w:rPr>
                <w:rFonts w:ascii="宋体" w:hAnsi="宋体" w:cs="宋体"/>
                <w:szCs w:val="21"/>
              </w:rPr>
            </w:pPr>
            <w:r>
              <w:rPr>
                <w:rFonts w:hint="eastAsia" w:ascii="宋体" w:hAnsi="宋体" w:cs="Calibri"/>
                <w:szCs w:val="21"/>
              </w:rPr>
              <w:t>企业自筹</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1165" w:type="dxa"/>
            <w:vAlign w:val="center"/>
          </w:tcPr>
          <w:p>
            <w:pPr>
              <w:adjustRightInd w:val="0"/>
              <w:snapToGrid w:val="0"/>
              <w:spacing w:before="156" w:beforeLines="50" w:line="360" w:lineRule="auto"/>
              <w:jc w:val="center"/>
              <w:rPr>
                <w:rFonts w:ascii="宋体" w:hAnsi="宋体" w:cs="宋体"/>
                <w:szCs w:val="21"/>
              </w:rPr>
            </w:pPr>
            <w:r>
              <w:rPr>
                <w:rFonts w:hint="eastAsia" w:ascii="宋体" w:hAnsi="宋体" w:cs="宋体"/>
                <w:szCs w:val="21"/>
              </w:rPr>
              <w:t>6</w:t>
            </w:r>
          </w:p>
        </w:tc>
        <w:tc>
          <w:tcPr>
            <w:tcW w:w="2816" w:type="dxa"/>
            <w:vAlign w:val="center"/>
          </w:tcPr>
          <w:p>
            <w:pPr>
              <w:adjustRightInd w:val="0"/>
              <w:snapToGrid w:val="0"/>
              <w:spacing w:before="156" w:beforeLines="50" w:line="360" w:lineRule="auto"/>
              <w:jc w:val="center"/>
              <w:rPr>
                <w:rFonts w:ascii="宋体" w:hAnsi="宋体" w:cs="宋体"/>
                <w:szCs w:val="21"/>
              </w:rPr>
            </w:pPr>
            <w:r>
              <w:rPr>
                <w:rFonts w:hint="eastAsia" w:ascii="宋体" w:hAnsi="宋体" w:cs="宋体"/>
                <w:szCs w:val="21"/>
              </w:rPr>
              <w:t>资金落实情况</w:t>
            </w:r>
          </w:p>
        </w:tc>
        <w:tc>
          <w:tcPr>
            <w:tcW w:w="5908" w:type="dxa"/>
            <w:vAlign w:val="center"/>
          </w:tcPr>
          <w:p>
            <w:pPr>
              <w:adjustRightInd w:val="0"/>
              <w:snapToGrid w:val="0"/>
              <w:spacing w:before="156" w:beforeLines="50" w:line="360" w:lineRule="auto"/>
              <w:rPr>
                <w:rFonts w:ascii="宋体" w:hAnsi="宋体" w:cs="宋体"/>
                <w:szCs w:val="21"/>
              </w:rPr>
            </w:pPr>
            <w:r>
              <w:rPr>
                <w:rFonts w:hint="eastAsia" w:ascii="宋体" w:hAnsi="宋体" w:cs="宋体"/>
                <w:szCs w:val="21"/>
              </w:rPr>
              <w:t>资金已落实</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457" w:hRule="atLeast"/>
          <w:jc w:val="center"/>
        </w:trPr>
        <w:tc>
          <w:tcPr>
            <w:tcW w:w="1165" w:type="dxa"/>
            <w:vAlign w:val="center"/>
          </w:tcPr>
          <w:p>
            <w:pPr>
              <w:adjustRightInd w:val="0"/>
              <w:snapToGrid w:val="0"/>
              <w:spacing w:before="156" w:beforeLines="50" w:line="360" w:lineRule="auto"/>
              <w:jc w:val="center"/>
              <w:rPr>
                <w:rFonts w:ascii="宋体" w:hAnsi="宋体" w:cs="宋体"/>
                <w:szCs w:val="21"/>
              </w:rPr>
            </w:pPr>
            <w:r>
              <w:rPr>
                <w:rFonts w:hint="eastAsia" w:ascii="宋体" w:hAnsi="宋体" w:cs="宋体"/>
                <w:szCs w:val="21"/>
              </w:rPr>
              <w:t>7</w:t>
            </w:r>
          </w:p>
        </w:tc>
        <w:tc>
          <w:tcPr>
            <w:tcW w:w="2816" w:type="dxa"/>
            <w:vAlign w:val="center"/>
          </w:tcPr>
          <w:p>
            <w:pPr>
              <w:adjustRightInd w:val="0"/>
              <w:snapToGrid w:val="0"/>
              <w:spacing w:before="156" w:beforeLines="50" w:line="360" w:lineRule="auto"/>
              <w:jc w:val="center"/>
              <w:rPr>
                <w:rFonts w:ascii="宋体" w:hAnsi="宋体" w:cs="宋体"/>
                <w:szCs w:val="21"/>
              </w:rPr>
            </w:pPr>
            <w:r>
              <w:rPr>
                <w:rFonts w:hint="eastAsia" w:ascii="宋体" w:hAnsi="宋体" w:cs="宋体"/>
                <w:szCs w:val="21"/>
              </w:rPr>
              <w:t>承包方式</w:t>
            </w:r>
          </w:p>
        </w:tc>
        <w:tc>
          <w:tcPr>
            <w:tcW w:w="5908" w:type="dxa"/>
            <w:vAlign w:val="center"/>
          </w:tcPr>
          <w:p>
            <w:pPr>
              <w:adjustRightInd w:val="0"/>
              <w:snapToGrid w:val="0"/>
              <w:spacing w:before="156" w:beforeLines="50" w:line="360" w:lineRule="auto"/>
              <w:ind w:firstLine="420" w:firstLineChars="200"/>
              <w:jc w:val="left"/>
            </w:pPr>
            <w:r>
              <w:rPr>
                <w:rFonts w:hint="eastAsia" w:ascii="宋体" w:hAnsi="宋体" w:eastAsia="宋体" w:cs="宋体"/>
                <w:szCs w:val="21"/>
                <w:highlight w:val="none"/>
              </w:rPr>
              <w:t>完成本工程项目设计范围内所有</w:t>
            </w:r>
            <w:r>
              <w:rPr>
                <w:rFonts w:hint="eastAsia" w:ascii="宋体" w:hAnsi="宋体" w:eastAsia="宋体" w:cs="宋体"/>
                <w:szCs w:val="21"/>
                <w:highlight w:val="none"/>
                <w:lang w:val="en-US" w:eastAsia="zh-CN"/>
              </w:rPr>
              <w:t>电力</w:t>
            </w:r>
            <w:r>
              <w:rPr>
                <w:rFonts w:hint="eastAsia" w:ascii="宋体" w:hAnsi="宋体" w:eastAsia="宋体" w:cs="宋体"/>
                <w:szCs w:val="21"/>
                <w:highlight w:val="none"/>
              </w:rPr>
              <w:t>工程</w:t>
            </w:r>
            <w:r>
              <w:rPr>
                <w:rFonts w:hint="eastAsia" w:ascii="宋体" w:hAnsi="宋体" w:eastAsia="宋体" w:cs="宋体"/>
                <w:szCs w:val="21"/>
                <w:highlight w:val="none"/>
                <w:lang w:val="en-US" w:eastAsia="zh-CN"/>
              </w:rPr>
              <w:t>及设备安装</w:t>
            </w:r>
            <w:r>
              <w:rPr>
                <w:rFonts w:hint="eastAsia" w:ascii="宋体" w:hAnsi="宋体" w:eastAsia="宋体" w:cs="宋体"/>
                <w:szCs w:val="21"/>
                <w:highlight w:val="none"/>
              </w:rPr>
              <w:t>工程</w:t>
            </w:r>
            <w:r>
              <w:rPr>
                <w:rFonts w:hint="eastAsia" w:ascii="宋体" w:hAnsi="宋体" w:eastAsia="宋体" w:cs="宋体"/>
                <w:szCs w:val="21"/>
                <w:highlight w:val="none"/>
                <w:lang w:val="en-US" w:eastAsia="zh-CN"/>
              </w:rPr>
              <w:t>等工程</w:t>
            </w:r>
            <w:r>
              <w:rPr>
                <w:rFonts w:hint="eastAsia" w:ascii="宋体" w:hAnsi="宋体" w:eastAsia="宋体" w:cs="宋体"/>
                <w:szCs w:val="21"/>
                <w:highlight w:val="none"/>
              </w:rPr>
              <w:t>，负</w:t>
            </w:r>
            <w:r>
              <w:rPr>
                <w:rFonts w:hint="eastAsia" w:ascii="宋体" w:hAnsi="宋体" w:cs="宋体"/>
                <w:szCs w:val="21"/>
                <w:highlight w:val="none"/>
              </w:rPr>
              <w:t>责项目实施阶段全过程建设管理，直至项目竣工验收合格并移交，包括但不限于包深化设计包工、包料、包设备、包质量、包安全生产、包文明施工、包工期、</w:t>
            </w:r>
            <w:r>
              <w:rPr>
                <w:rFonts w:hint="eastAsia" w:ascii="宋体" w:hAnsi="宋体" w:cs="宋体"/>
                <w:szCs w:val="21"/>
                <w:highlight w:val="none"/>
                <w:lang w:val="en-US" w:eastAsia="zh-CN"/>
              </w:rPr>
              <w:t>包整个项目高低压工程报验、包验收送、质保期内的维保服务、并按国家和相关部门颁发的有关质量验收标准一次验收合格、</w:t>
            </w:r>
            <w:r>
              <w:rPr>
                <w:rFonts w:hint="eastAsia" w:ascii="宋体" w:hAnsi="宋体" w:cs="宋体"/>
                <w:szCs w:val="21"/>
                <w:highlight w:val="none"/>
              </w:rPr>
              <w:t>包结算、包资料整理、包施工总承包管理和现场整体组织、包专业协调及配合等。</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65" w:type="dxa"/>
            <w:vAlign w:val="center"/>
          </w:tcPr>
          <w:p>
            <w:pPr>
              <w:adjustRightInd w:val="0"/>
              <w:snapToGrid w:val="0"/>
              <w:spacing w:before="156" w:beforeLines="50" w:line="360" w:lineRule="auto"/>
              <w:jc w:val="center"/>
              <w:rPr>
                <w:rFonts w:ascii="宋体" w:hAnsi="宋体" w:cs="宋体"/>
                <w:szCs w:val="21"/>
              </w:rPr>
            </w:pPr>
            <w:r>
              <w:rPr>
                <w:rFonts w:hint="eastAsia" w:ascii="宋体" w:hAnsi="宋体" w:cs="宋体"/>
                <w:szCs w:val="21"/>
              </w:rPr>
              <w:t>8</w:t>
            </w:r>
          </w:p>
        </w:tc>
        <w:tc>
          <w:tcPr>
            <w:tcW w:w="2816" w:type="dxa"/>
            <w:vAlign w:val="center"/>
          </w:tcPr>
          <w:p>
            <w:pPr>
              <w:adjustRightInd w:val="0"/>
              <w:snapToGrid w:val="0"/>
              <w:spacing w:before="156" w:beforeLines="50" w:line="360" w:lineRule="auto"/>
              <w:jc w:val="center"/>
              <w:rPr>
                <w:rFonts w:ascii="宋体" w:hAnsi="宋体" w:cs="宋体"/>
                <w:szCs w:val="21"/>
              </w:rPr>
            </w:pPr>
            <w:r>
              <w:rPr>
                <w:rFonts w:hint="eastAsia" w:ascii="宋体" w:hAnsi="宋体" w:cs="宋体"/>
                <w:szCs w:val="21"/>
              </w:rPr>
              <w:t>招标范围</w:t>
            </w:r>
          </w:p>
        </w:tc>
        <w:tc>
          <w:tcPr>
            <w:tcW w:w="5908" w:type="dxa"/>
            <w:vAlign w:val="center"/>
          </w:tcPr>
          <w:p>
            <w:pPr>
              <w:snapToGrid w:val="0"/>
              <w:spacing w:before="156" w:beforeLines="50" w:line="360" w:lineRule="auto"/>
              <w:rPr>
                <w:rFonts w:ascii="宋体" w:hAnsi="宋体" w:cs="宋体"/>
                <w:szCs w:val="21"/>
              </w:rPr>
            </w:pPr>
            <w:r>
              <w:rPr>
                <w:rFonts w:hint="eastAsia"/>
                <w:szCs w:val="21"/>
              </w:rPr>
              <w:t>详见公告</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65" w:type="dxa"/>
            <w:vAlign w:val="center"/>
          </w:tcPr>
          <w:p>
            <w:pPr>
              <w:adjustRightInd w:val="0"/>
              <w:snapToGrid w:val="0"/>
              <w:spacing w:before="156" w:beforeLines="50" w:line="360" w:lineRule="auto"/>
              <w:jc w:val="center"/>
              <w:rPr>
                <w:rFonts w:ascii="宋体" w:hAnsi="宋体" w:cs="宋体"/>
                <w:szCs w:val="21"/>
                <w:highlight w:val="none"/>
              </w:rPr>
            </w:pPr>
            <w:r>
              <w:rPr>
                <w:rFonts w:hint="eastAsia" w:ascii="宋体" w:hAnsi="宋体" w:cs="宋体"/>
                <w:szCs w:val="21"/>
                <w:highlight w:val="none"/>
              </w:rPr>
              <w:t>9</w:t>
            </w:r>
          </w:p>
        </w:tc>
        <w:tc>
          <w:tcPr>
            <w:tcW w:w="2816" w:type="dxa"/>
            <w:vAlign w:val="center"/>
          </w:tcPr>
          <w:p>
            <w:pPr>
              <w:adjustRightInd w:val="0"/>
              <w:snapToGrid w:val="0"/>
              <w:spacing w:before="156" w:beforeLines="50" w:line="360" w:lineRule="auto"/>
              <w:jc w:val="center"/>
              <w:rPr>
                <w:rFonts w:ascii="宋体" w:hAnsi="宋体" w:cs="宋体"/>
                <w:szCs w:val="21"/>
                <w:highlight w:val="none"/>
              </w:rPr>
            </w:pPr>
            <w:r>
              <w:rPr>
                <w:rFonts w:hint="eastAsia" w:ascii="宋体" w:hAnsi="宋体" w:cs="宋体"/>
                <w:szCs w:val="21"/>
                <w:highlight w:val="none"/>
              </w:rPr>
              <w:t>工期要求</w:t>
            </w:r>
          </w:p>
        </w:tc>
        <w:tc>
          <w:tcPr>
            <w:tcW w:w="5908" w:type="dxa"/>
            <w:vAlign w:val="center"/>
          </w:tcPr>
          <w:p>
            <w:pPr>
              <w:adjustRightInd w:val="0"/>
              <w:snapToGrid w:val="0"/>
              <w:spacing w:before="156" w:beforeLines="50" w:line="360" w:lineRule="auto"/>
              <w:rPr>
                <w:highlight w:val="none"/>
              </w:rPr>
            </w:pPr>
            <w:r>
              <w:rPr>
                <w:rFonts w:hint="eastAsia" w:ascii="宋体" w:hAnsi="宋体" w:cs="宋体"/>
                <w:szCs w:val="21"/>
                <w:highlight w:val="none"/>
              </w:rPr>
              <w:t>合同签订后的</w:t>
            </w:r>
            <w:r>
              <w:rPr>
                <w:rFonts w:hint="eastAsia" w:ascii="宋体" w:hAnsi="宋体" w:cs="宋体"/>
                <w:szCs w:val="21"/>
                <w:highlight w:val="none"/>
                <w:lang w:val="en-US" w:eastAsia="zh-CN"/>
              </w:rPr>
              <w:t>90</w:t>
            </w:r>
            <w:r>
              <w:rPr>
                <w:rFonts w:hint="eastAsia" w:ascii="宋体" w:hAnsi="宋体" w:cs="宋体"/>
                <w:szCs w:val="21"/>
                <w:highlight w:val="none"/>
              </w:rPr>
              <w:t>个日历天。</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65" w:type="dxa"/>
            <w:vAlign w:val="center"/>
          </w:tcPr>
          <w:p>
            <w:pPr>
              <w:adjustRightInd w:val="0"/>
              <w:snapToGrid w:val="0"/>
              <w:spacing w:before="156" w:beforeLines="50" w:line="360" w:lineRule="auto"/>
              <w:jc w:val="center"/>
              <w:rPr>
                <w:rFonts w:ascii="宋体" w:hAnsi="宋体" w:cs="宋体"/>
                <w:szCs w:val="21"/>
              </w:rPr>
            </w:pPr>
            <w:r>
              <w:rPr>
                <w:rFonts w:hint="eastAsia" w:ascii="宋体" w:hAnsi="宋体" w:cs="宋体"/>
                <w:szCs w:val="21"/>
              </w:rPr>
              <w:t>10</w:t>
            </w:r>
          </w:p>
        </w:tc>
        <w:tc>
          <w:tcPr>
            <w:tcW w:w="2816" w:type="dxa"/>
            <w:vAlign w:val="center"/>
          </w:tcPr>
          <w:p>
            <w:pPr>
              <w:adjustRightInd w:val="0"/>
              <w:snapToGrid w:val="0"/>
              <w:spacing w:before="156" w:beforeLines="50" w:line="360" w:lineRule="auto"/>
              <w:jc w:val="center"/>
              <w:rPr>
                <w:rFonts w:ascii="宋体" w:hAnsi="宋体" w:cs="宋体"/>
                <w:color w:val="auto"/>
                <w:szCs w:val="21"/>
              </w:rPr>
            </w:pPr>
            <w:r>
              <w:rPr>
                <w:rFonts w:hint="eastAsia" w:ascii="宋体" w:hAnsi="宋体" w:cs="宋体"/>
                <w:color w:val="auto"/>
                <w:szCs w:val="21"/>
              </w:rPr>
              <w:t>报价方式</w:t>
            </w:r>
          </w:p>
        </w:tc>
        <w:tc>
          <w:tcPr>
            <w:tcW w:w="5908" w:type="dxa"/>
            <w:vAlign w:val="center"/>
          </w:tcPr>
          <w:p>
            <w:pPr>
              <w:adjustRightInd w:val="0"/>
              <w:snapToGrid w:val="0"/>
              <w:spacing w:before="156" w:beforeLines="50" w:line="360" w:lineRule="auto"/>
              <w:jc w:val="left"/>
              <w:rPr>
                <w:rFonts w:hint="eastAsia" w:ascii="宋体" w:hAnsi="宋体" w:cs="宋体"/>
                <w:color w:val="auto"/>
                <w:szCs w:val="21"/>
              </w:rPr>
            </w:pPr>
            <w:r>
              <w:rPr>
                <w:rFonts w:hint="eastAsia" w:ascii="宋体" w:hAnsi="宋体" w:cs="宋体"/>
                <w:color w:val="auto"/>
                <w:szCs w:val="21"/>
                <w:highlight w:val="none"/>
              </w:rPr>
              <w:t>总价包干，本报价包含本项目的</w:t>
            </w:r>
            <w:r>
              <w:rPr>
                <w:rFonts w:hint="eastAsia" w:ascii="宋体" w:hAnsi="宋体" w:cs="宋体"/>
                <w:color w:val="auto"/>
                <w:szCs w:val="21"/>
                <w:highlight w:val="none"/>
                <w:lang w:val="en-US" w:eastAsia="zh-CN"/>
              </w:rPr>
              <w:t>深化</w:t>
            </w:r>
            <w:r>
              <w:rPr>
                <w:rFonts w:hint="eastAsia" w:ascii="宋体" w:hAnsi="宋体" w:cs="宋体"/>
                <w:color w:val="auto"/>
                <w:szCs w:val="21"/>
                <w:highlight w:val="none"/>
              </w:rPr>
              <w:t>设计费及施工费。</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65" w:type="dxa"/>
            <w:vAlign w:val="center"/>
          </w:tcPr>
          <w:p>
            <w:pPr>
              <w:adjustRightInd w:val="0"/>
              <w:snapToGrid w:val="0"/>
              <w:spacing w:before="156" w:beforeLines="50" w:line="360" w:lineRule="auto"/>
              <w:jc w:val="center"/>
              <w:rPr>
                <w:rFonts w:ascii="宋体" w:hAnsi="宋体" w:cs="宋体"/>
                <w:szCs w:val="21"/>
              </w:rPr>
            </w:pPr>
            <w:r>
              <w:rPr>
                <w:rFonts w:hint="eastAsia" w:ascii="宋体" w:hAnsi="宋体" w:cs="宋体"/>
                <w:szCs w:val="21"/>
              </w:rPr>
              <w:t>11</w:t>
            </w:r>
          </w:p>
        </w:tc>
        <w:tc>
          <w:tcPr>
            <w:tcW w:w="2816" w:type="dxa"/>
            <w:vAlign w:val="center"/>
          </w:tcPr>
          <w:p>
            <w:pPr>
              <w:adjustRightInd w:val="0"/>
              <w:snapToGrid w:val="0"/>
              <w:spacing w:before="156" w:beforeLines="50" w:line="360" w:lineRule="auto"/>
              <w:jc w:val="center"/>
              <w:rPr>
                <w:rFonts w:ascii="宋体" w:hAnsi="宋体" w:cs="宋体"/>
                <w:szCs w:val="21"/>
              </w:rPr>
            </w:pPr>
            <w:r>
              <w:rPr>
                <w:rFonts w:hint="eastAsia" w:ascii="宋体" w:hAnsi="宋体" w:cs="宋体"/>
                <w:szCs w:val="21"/>
              </w:rPr>
              <w:t>质量标准</w:t>
            </w:r>
          </w:p>
        </w:tc>
        <w:tc>
          <w:tcPr>
            <w:tcW w:w="5908" w:type="dxa"/>
            <w:vAlign w:val="center"/>
          </w:tcPr>
          <w:p>
            <w:pPr>
              <w:adjustRightInd w:val="0"/>
              <w:snapToGrid w:val="0"/>
              <w:spacing w:before="156" w:beforeLines="50" w:line="360" w:lineRule="auto"/>
              <w:jc w:val="left"/>
              <w:rPr>
                <w:rFonts w:hint="eastAsia" w:ascii="宋体" w:hAnsi="宋体" w:cs="宋体"/>
                <w:szCs w:val="21"/>
              </w:rPr>
            </w:pPr>
            <w:r>
              <w:rPr>
                <w:rFonts w:hint="eastAsia" w:ascii="宋体" w:hAnsi="宋体" w:cs="宋体"/>
                <w:szCs w:val="21"/>
              </w:rPr>
              <w:t>工程质量标准：合格。</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65" w:type="dxa"/>
            <w:vAlign w:val="center"/>
          </w:tcPr>
          <w:p>
            <w:pPr>
              <w:adjustRightInd w:val="0"/>
              <w:snapToGrid w:val="0"/>
              <w:spacing w:before="156" w:beforeLines="50" w:line="360" w:lineRule="auto"/>
              <w:jc w:val="center"/>
              <w:rPr>
                <w:rFonts w:ascii="宋体" w:hAnsi="宋体" w:cs="宋体"/>
                <w:szCs w:val="21"/>
              </w:rPr>
            </w:pPr>
            <w:r>
              <w:rPr>
                <w:rFonts w:hint="eastAsia" w:ascii="宋体" w:hAnsi="宋体" w:cs="宋体"/>
                <w:szCs w:val="21"/>
              </w:rPr>
              <w:t>12</w:t>
            </w:r>
          </w:p>
        </w:tc>
        <w:tc>
          <w:tcPr>
            <w:tcW w:w="2816" w:type="dxa"/>
            <w:vAlign w:val="center"/>
          </w:tcPr>
          <w:p>
            <w:pPr>
              <w:adjustRightInd w:val="0"/>
              <w:snapToGrid w:val="0"/>
              <w:spacing w:before="156" w:beforeLines="50" w:line="360" w:lineRule="auto"/>
              <w:jc w:val="center"/>
              <w:rPr>
                <w:rFonts w:ascii="宋体" w:hAnsi="宋体" w:cs="宋体"/>
                <w:szCs w:val="21"/>
              </w:rPr>
            </w:pPr>
            <w:r>
              <w:rPr>
                <w:rFonts w:hint="eastAsia" w:ascii="宋体" w:hAnsi="宋体" w:cs="宋体"/>
                <w:szCs w:val="21"/>
              </w:rPr>
              <w:t>踏勘现场</w:t>
            </w:r>
          </w:p>
        </w:tc>
        <w:tc>
          <w:tcPr>
            <w:tcW w:w="5908" w:type="dxa"/>
            <w:vAlign w:val="center"/>
          </w:tcPr>
          <w:p>
            <w:pPr>
              <w:adjustRightInd w:val="0"/>
              <w:snapToGrid w:val="0"/>
              <w:spacing w:before="156" w:beforeLines="50" w:line="360" w:lineRule="auto"/>
              <w:rPr>
                <w:rFonts w:ascii="宋体" w:hAnsi="宋体" w:cs="宋体"/>
                <w:szCs w:val="21"/>
              </w:rPr>
            </w:pPr>
            <w:r>
              <w:rPr>
                <w:rFonts w:hint="eastAsia" w:ascii="宋体" w:hAnsi="宋体" w:cs="宋体"/>
                <w:szCs w:val="21"/>
              </w:rPr>
              <w:t>由投标人自行踏勘</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65" w:type="dxa"/>
            <w:vAlign w:val="center"/>
          </w:tcPr>
          <w:p>
            <w:pPr>
              <w:adjustRightInd w:val="0"/>
              <w:snapToGrid w:val="0"/>
              <w:spacing w:before="156" w:beforeLines="50" w:line="360" w:lineRule="auto"/>
              <w:jc w:val="center"/>
              <w:rPr>
                <w:rFonts w:ascii="宋体" w:hAnsi="宋体"/>
                <w:szCs w:val="21"/>
              </w:rPr>
            </w:pPr>
            <w:r>
              <w:rPr>
                <w:rFonts w:hint="eastAsia" w:ascii="宋体" w:hAnsi="宋体"/>
                <w:szCs w:val="21"/>
              </w:rPr>
              <w:t>13</w:t>
            </w:r>
          </w:p>
        </w:tc>
        <w:tc>
          <w:tcPr>
            <w:tcW w:w="2816" w:type="dxa"/>
            <w:vAlign w:val="center"/>
          </w:tcPr>
          <w:p>
            <w:pPr>
              <w:adjustRightInd w:val="0"/>
              <w:snapToGrid w:val="0"/>
              <w:spacing w:before="156" w:beforeLines="50" w:line="360" w:lineRule="auto"/>
              <w:jc w:val="center"/>
              <w:rPr>
                <w:rFonts w:ascii="宋体" w:hAnsi="宋体" w:cs="宋体"/>
                <w:szCs w:val="21"/>
              </w:rPr>
            </w:pPr>
            <w:r>
              <w:rPr>
                <w:rFonts w:hint="eastAsia" w:ascii="宋体" w:hAnsi="宋体" w:cs="宋体"/>
                <w:szCs w:val="21"/>
              </w:rPr>
              <w:t>投标人合格条件</w:t>
            </w:r>
          </w:p>
        </w:tc>
        <w:tc>
          <w:tcPr>
            <w:tcW w:w="5908" w:type="dxa"/>
            <w:vAlign w:val="center"/>
          </w:tcPr>
          <w:p>
            <w:pPr>
              <w:adjustRightInd w:val="0"/>
              <w:snapToGrid w:val="0"/>
              <w:spacing w:before="156" w:beforeLines="50" w:line="360" w:lineRule="auto"/>
              <w:rPr>
                <w:rFonts w:ascii="宋体" w:hAnsi="宋体" w:cs="宋体"/>
                <w:strike/>
                <w:szCs w:val="21"/>
              </w:rPr>
            </w:pPr>
            <w:r>
              <w:rPr>
                <w:rFonts w:hint="eastAsia" w:ascii="宋体" w:hAnsi="宋体" w:cs="宋体"/>
                <w:szCs w:val="21"/>
              </w:rPr>
              <w:t>详见本项目招标公告。</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65" w:type="dxa"/>
            <w:vAlign w:val="center"/>
          </w:tcPr>
          <w:p>
            <w:pPr>
              <w:adjustRightInd w:val="0"/>
              <w:snapToGrid w:val="0"/>
              <w:spacing w:before="156" w:beforeLines="50" w:line="360" w:lineRule="auto"/>
              <w:jc w:val="center"/>
              <w:rPr>
                <w:rFonts w:ascii="宋体" w:hAnsi="宋体"/>
                <w:szCs w:val="21"/>
              </w:rPr>
            </w:pPr>
            <w:r>
              <w:rPr>
                <w:rFonts w:hint="eastAsia" w:ascii="宋体" w:hAnsi="宋体"/>
                <w:szCs w:val="21"/>
              </w:rPr>
              <w:t>14</w:t>
            </w:r>
          </w:p>
        </w:tc>
        <w:tc>
          <w:tcPr>
            <w:tcW w:w="2816" w:type="dxa"/>
            <w:vAlign w:val="center"/>
          </w:tcPr>
          <w:p>
            <w:pPr>
              <w:adjustRightInd w:val="0"/>
              <w:snapToGrid w:val="0"/>
              <w:spacing w:before="156" w:beforeLines="50" w:line="360" w:lineRule="auto"/>
              <w:jc w:val="center"/>
              <w:rPr>
                <w:rFonts w:ascii="宋体" w:hAnsi="宋体"/>
                <w:szCs w:val="21"/>
              </w:rPr>
            </w:pPr>
            <w:r>
              <w:rPr>
                <w:rFonts w:ascii="宋体" w:hAnsi="宋体"/>
                <w:szCs w:val="21"/>
              </w:rPr>
              <w:t>是否接受联合体投标</w:t>
            </w:r>
          </w:p>
        </w:tc>
        <w:tc>
          <w:tcPr>
            <w:tcW w:w="5908" w:type="dxa"/>
            <w:vAlign w:val="center"/>
          </w:tcPr>
          <w:p>
            <w:pPr>
              <w:pStyle w:val="16"/>
              <w:topLinePunct/>
              <w:adjustRightInd w:val="0"/>
              <w:snapToGrid w:val="0"/>
              <w:spacing w:before="156" w:beforeLines="50" w:line="360" w:lineRule="auto"/>
              <w:rPr>
                <w:rFonts w:hAnsi="宋体"/>
                <w:sz w:val="21"/>
                <w:szCs w:val="21"/>
              </w:rPr>
            </w:pPr>
            <w:r>
              <w:rPr>
                <w:rFonts w:hint="eastAsia" w:hAnsi="宋体"/>
                <w:kern w:val="0"/>
                <w:sz w:val="21"/>
                <w:szCs w:val="21"/>
              </w:rPr>
              <w:t>■</w:t>
            </w:r>
            <w:r>
              <w:rPr>
                <w:rFonts w:hint="eastAsia" w:hAnsi="宋体"/>
                <w:sz w:val="21"/>
                <w:szCs w:val="21"/>
              </w:rPr>
              <w:t>不接受</w:t>
            </w:r>
          </w:p>
          <w:p>
            <w:pPr>
              <w:pStyle w:val="16"/>
              <w:topLinePunct/>
              <w:adjustRightInd w:val="0"/>
              <w:snapToGrid w:val="0"/>
              <w:spacing w:before="156" w:beforeLines="50" w:line="360" w:lineRule="auto"/>
              <w:rPr>
                <w:rFonts w:hAnsi="宋体"/>
                <w:sz w:val="21"/>
                <w:szCs w:val="21"/>
              </w:rPr>
            </w:pPr>
            <w:r>
              <w:rPr>
                <w:rFonts w:hint="eastAsia" w:hAnsi="宋体" w:cs="宋体"/>
                <w:sz w:val="21"/>
                <w:szCs w:val="21"/>
              </w:rPr>
              <w:sym w:font="Wingdings 2" w:char="00A3"/>
            </w:r>
            <w:r>
              <w:rPr>
                <w:rFonts w:hint="eastAsia" w:hAnsi="宋体"/>
                <w:sz w:val="21"/>
                <w:szCs w:val="21"/>
              </w:rPr>
              <w:t>接受，应满足下列要求：</w:t>
            </w:r>
            <w:r>
              <w:rPr>
                <w:rFonts w:hint="eastAsia" w:hAnsi="宋体" w:cs="宋体"/>
                <w:sz w:val="21"/>
                <w:szCs w:val="21"/>
              </w:rPr>
              <w:t>详见本项目招标公告。</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65" w:type="dxa"/>
            <w:vAlign w:val="center"/>
          </w:tcPr>
          <w:p>
            <w:pPr>
              <w:adjustRightInd w:val="0"/>
              <w:snapToGrid w:val="0"/>
              <w:spacing w:before="156" w:beforeLines="50" w:line="360" w:lineRule="auto"/>
              <w:jc w:val="center"/>
              <w:rPr>
                <w:rFonts w:ascii="宋体" w:hAnsi="宋体"/>
                <w:szCs w:val="21"/>
              </w:rPr>
            </w:pPr>
            <w:r>
              <w:rPr>
                <w:rFonts w:hint="eastAsia" w:ascii="宋体" w:hAnsi="宋体"/>
                <w:szCs w:val="21"/>
              </w:rPr>
              <w:t>15</w:t>
            </w:r>
          </w:p>
        </w:tc>
        <w:tc>
          <w:tcPr>
            <w:tcW w:w="2816" w:type="dxa"/>
            <w:vAlign w:val="center"/>
          </w:tcPr>
          <w:p>
            <w:pPr>
              <w:adjustRightInd w:val="0"/>
              <w:snapToGrid w:val="0"/>
              <w:spacing w:before="156" w:beforeLines="50" w:line="360" w:lineRule="auto"/>
              <w:jc w:val="center"/>
              <w:rPr>
                <w:rFonts w:ascii="宋体" w:hAnsi="宋体"/>
                <w:szCs w:val="21"/>
              </w:rPr>
            </w:pPr>
            <w:r>
              <w:rPr>
                <w:rFonts w:hint="eastAsia" w:ascii="宋体" w:hAnsi="宋体"/>
                <w:szCs w:val="21"/>
              </w:rPr>
              <w:t>最高投标限价或其计算方法</w:t>
            </w:r>
          </w:p>
        </w:tc>
        <w:tc>
          <w:tcPr>
            <w:tcW w:w="5908" w:type="dxa"/>
            <w:vAlign w:val="center"/>
          </w:tcPr>
          <w:p>
            <w:pPr>
              <w:adjustRightInd w:val="0"/>
              <w:snapToGrid w:val="0"/>
              <w:spacing w:before="156" w:beforeLines="50" w:line="360" w:lineRule="auto"/>
              <w:jc w:val="left"/>
              <w:rPr>
                <w:rFonts w:ascii="宋体" w:hAnsi="宋体" w:cs="宋体"/>
                <w:szCs w:val="21"/>
              </w:rPr>
            </w:pPr>
            <w:r>
              <w:rPr>
                <w:rFonts w:hint="eastAsia" w:ascii="宋体" w:hAnsi="宋体" w:cs="宋体"/>
                <w:szCs w:val="21"/>
              </w:rPr>
              <w:t>本项目最高投标限价详见本项目招标公告。</w:t>
            </w:r>
          </w:p>
          <w:p>
            <w:pPr>
              <w:adjustRightInd w:val="0"/>
              <w:snapToGrid w:val="0"/>
              <w:spacing w:line="360" w:lineRule="auto"/>
              <w:jc w:val="left"/>
              <w:rPr>
                <w:rFonts w:ascii="宋体" w:hAnsi="宋体" w:cs="宋体"/>
                <w:szCs w:val="21"/>
                <w:u w:val="single"/>
              </w:rPr>
            </w:pPr>
            <w:r>
              <w:rPr>
                <w:rFonts w:hint="eastAsia" w:ascii="宋体" w:hAnsi="宋体" w:cs="宋体"/>
                <w:szCs w:val="21"/>
              </w:rPr>
              <w:t>投标人的投标总报价超过对应最高投标限价的为无效标。</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65" w:type="dxa"/>
            <w:vAlign w:val="center"/>
          </w:tcPr>
          <w:p>
            <w:pPr>
              <w:adjustRightInd w:val="0"/>
              <w:snapToGrid w:val="0"/>
              <w:spacing w:before="156" w:beforeLines="50" w:line="360" w:lineRule="auto"/>
              <w:jc w:val="center"/>
              <w:rPr>
                <w:rFonts w:ascii="宋体" w:hAnsi="宋体"/>
                <w:szCs w:val="21"/>
              </w:rPr>
            </w:pPr>
            <w:r>
              <w:rPr>
                <w:rFonts w:hint="eastAsia" w:ascii="宋体" w:hAnsi="宋体"/>
                <w:szCs w:val="21"/>
              </w:rPr>
              <w:t>16</w:t>
            </w:r>
          </w:p>
        </w:tc>
        <w:tc>
          <w:tcPr>
            <w:tcW w:w="2816" w:type="dxa"/>
            <w:vAlign w:val="center"/>
          </w:tcPr>
          <w:p>
            <w:pPr>
              <w:adjustRightInd w:val="0"/>
              <w:snapToGrid w:val="0"/>
              <w:spacing w:before="156" w:beforeLines="50" w:line="360" w:lineRule="auto"/>
              <w:jc w:val="center"/>
              <w:rPr>
                <w:rFonts w:ascii="宋体" w:hAnsi="宋体"/>
                <w:szCs w:val="21"/>
              </w:rPr>
            </w:pPr>
            <w:r>
              <w:rPr>
                <w:rFonts w:ascii="宋体" w:hAnsi="宋体"/>
                <w:szCs w:val="21"/>
              </w:rPr>
              <w:t>投标有效期</w:t>
            </w:r>
          </w:p>
        </w:tc>
        <w:tc>
          <w:tcPr>
            <w:tcW w:w="5908" w:type="dxa"/>
            <w:vAlign w:val="center"/>
          </w:tcPr>
          <w:p>
            <w:pPr>
              <w:adjustRightInd w:val="0"/>
              <w:snapToGrid w:val="0"/>
              <w:spacing w:before="156" w:beforeLines="50" w:line="360" w:lineRule="auto"/>
              <w:rPr>
                <w:rFonts w:ascii="宋体" w:hAnsi="宋体"/>
                <w:szCs w:val="21"/>
              </w:rPr>
            </w:pPr>
            <w:r>
              <w:rPr>
                <w:rFonts w:hint="eastAsia" w:ascii="宋体" w:hAnsi="宋体" w:eastAsia="宋体" w:cs="宋体"/>
                <w:color w:val="auto"/>
                <w:kern w:val="2"/>
                <w:sz w:val="21"/>
                <w:szCs w:val="21"/>
                <w:highlight w:val="none"/>
                <w:u w:val="none"/>
                <w:lang w:val="en-US" w:eastAsia="zh-CN" w:bidi="ar-SA"/>
              </w:rPr>
              <w:t>90日历天（从投标截止之日算起）。</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65" w:type="dxa"/>
            <w:vAlign w:val="center"/>
          </w:tcPr>
          <w:p>
            <w:pPr>
              <w:adjustRightInd w:val="0"/>
              <w:snapToGrid w:val="0"/>
              <w:spacing w:before="156" w:beforeLines="50" w:line="360" w:lineRule="auto"/>
              <w:jc w:val="center"/>
              <w:rPr>
                <w:rFonts w:ascii="宋体" w:hAnsi="宋体"/>
                <w:szCs w:val="21"/>
              </w:rPr>
            </w:pPr>
            <w:r>
              <w:rPr>
                <w:rFonts w:hint="eastAsia" w:ascii="宋体" w:hAnsi="宋体"/>
                <w:szCs w:val="21"/>
              </w:rPr>
              <w:t>17</w:t>
            </w:r>
          </w:p>
        </w:tc>
        <w:tc>
          <w:tcPr>
            <w:tcW w:w="2816" w:type="dxa"/>
            <w:vAlign w:val="center"/>
          </w:tcPr>
          <w:p>
            <w:pPr>
              <w:adjustRightInd w:val="0"/>
              <w:snapToGrid w:val="0"/>
              <w:spacing w:before="156" w:beforeLines="50" w:line="360" w:lineRule="auto"/>
              <w:jc w:val="center"/>
              <w:rPr>
                <w:rFonts w:ascii="宋体" w:hAnsi="宋体"/>
                <w:szCs w:val="21"/>
              </w:rPr>
            </w:pPr>
            <w:r>
              <w:rPr>
                <w:rFonts w:ascii="宋体" w:hAnsi="宋体"/>
                <w:szCs w:val="21"/>
              </w:rPr>
              <w:t>投标文件份数</w:t>
            </w:r>
          </w:p>
        </w:tc>
        <w:tc>
          <w:tcPr>
            <w:tcW w:w="5908" w:type="dxa"/>
            <w:vAlign w:val="center"/>
          </w:tcPr>
          <w:p>
            <w:pPr>
              <w:jc w:val="left"/>
              <w:rPr>
                <w:b/>
                <w:bCs/>
                <w:szCs w:val="21"/>
              </w:rPr>
            </w:pPr>
            <w:r>
              <w:rPr>
                <w:rFonts w:hint="eastAsia"/>
                <w:b/>
                <w:bCs/>
                <w:szCs w:val="21"/>
              </w:rPr>
              <w:t>资格审查文件：</w:t>
            </w:r>
            <w:r>
              <w:rPr>
                <w:rFonts w:hint="eastAsia"/>
                <w:szCs w:val="21"/>
                <w:u w:val="single"/>
              </w:rPr>
              <w:t>1份正本（含电子文件一套），</w:t>
            </w:r>
            <w:r>
              <w:rPr>
                <w:rFonts w:hint="eastAsia"/>
                <w:szCs w:val="21"/>
                <w:u w:val="single"/>
                <w:lang w:val="en-US" w:eastAsia="zh-CN"/>
              </w:rPr>
              <w:t>4</w:t>
            </w:r>
            <w:r>
              <w:rPr>
                <w:rFonts w:hint="eastAsia"/>
                <w:szCs w:val="21"/>
                <w:u w:val="single"/>
              </w:rPr>
              <w:t>份副本</w:t>
            </w:r>
            <w:r>
              <w:rPr>
                <w:rFonts w:hint="eastAsia"/>
                <w:szCs w:val="21"/>
                <w:u w:val="none"/>
              </w:rPr>
              <w:t>；</w:t>
            </w:r>
          </w:p>
          <w:p>
            <w:pPr>
              <w:jc w:val="left"/>
              <w:rPr>
                <w:szCs w:val="21"/>
                <w:u w:val="single"/>
              </w:rPr>
            </w:pPr>
            <w:r>
              <w:rPr>
                <w:rFonts w:hint="eastAsia"/>
                <w:b/>
                <w:bCs/>
                <w:szCs w:val="21"/>
              </w:rPr>
              <w:t>工程</w:t>
            </w:r>
            <w:r>
              <w:rPr>
                <w:b/>
                <w:bCs/>
                <w:szCs w:val="21"/>
              </w:rPr>
              <w:t>实施方案</w:t>
            </w:r>
            <w:r>
              <w:rPr>
                <w:rFonts w:hint="eastAsia"/>
                <w:b/>
                <w:bCs/>
                <w:szCs w:val="21"/>
              </w:rPr>
              <w:t>（含资信部分）文件</w:t>
            </w:r>
            <w:r>
              <w:rPr>
                <w:rFonts w:hint="eastAsia"/>
                <w:szCs w:val="21"/>
              </w:rPr>
              <w:t>：</w:t>
            </w:r>
            <w:r>
              <w:rPr>
                <w:rFonts w:hint="eastAsia"/>
                <w:szCs w:val="21"/>
                <w:u w:val="single"/>
              </w:rPr>
              <w:t>1份正本（含电子文件一套），</w:t>
            </w:r>
            <w:r>
              <w:rPr>
                <w:rFonts w:hint="eastAsia"/>
                <w:szCs w:val="21"/>
                <w:u w:val="single"/>
                <w:lang w:val="en-US" w:eastAsia="zh-CN"/>
              </w:rPr>
              <w:t>4</w:t>
            </w:r>
            <w:r>
              <w:rPr>
                <w:rFonts w:hint="eastAsia"/>
                <w:szCs w:val="21"/>
                <w:u w:val="single"/>
              </w:rPr>
              <w:t>份副本</w:t>
            </w:r>
            <w:r>
              <w:rPr>
                <w:rFonts w:hint="eastAsia"/>
                <w:szCs w:val="21"/>
                <w:u w:val="none"/>
              </w:rPr>
              <w:t>；</w:t>
            </w:r>
          </w:p>
          <w:p>
            <w:pPr>
              <w:jc w:val="left"/>
              <w:rPr>
                <w:szCs w:val="21"/>
                <w:u w:val="single"/>
              </w:rPr>
            </w:pPr>
            <w:r>
              <w:rPr>
                <w:rFonts w:hint="eastAsia"/>
                <w:b/>
                <w:bCs/>
                <w:szCs w:val="21"/>
              </w:rPr>
              <w:t>投标报价文件</w:t>
            </w:r>
            <w:r>
              <w:rPr>
                <w:rFonts w:hint="eastAsia"/>
                <w:szCs w:val="21"/>
              </w:rPr>
              <w:t>：</w:t>
            </w:r>
            <w:r>
              <w:rPr>
                <w:rFonts w:hint="eastAsia"/>
                <w:szCs w:val="21"/>
                <w:u w:val="single"/>
              </w:rPr>
              <w:t>1份正本（含电子文件一套），</w:t>
            </w:r>
            <w:r>
              <w:rPr>
                <w:rFonts w:hint="eastAsia"/>
                <w:szCs w:val="21"/>
                <w:u w:val="single"/>
                <w:lang w:val="en-US" w:eastAsia="zh-CN"/>
              </w:rPr>
              <w:t>4</w:t>
            </w:r>
            <w:r>
              <w:rPr>
                <w:rFonts w:hint="eastAsia"/>
                <w:szCs w:val="21"/>
                <w:u w:val="single"/>
              </w:rPr>
              <w:t>份副本</w:t>
            </w:r>
            <w:r>
              <w:rPr>
                <w:rFonts w:hint="eastAsia"/>
                <w:szCs w:val="21"/>
                <w:u w:val="none"/>
              </w:rPr>
              <w:t>。</w:t>
            </w:r>
          </w:p>
          <w:p>
            <w:pPr>
              <w:jc w:val="left"/>
              <w:rPr>
                <w:rFonts w:hint="eastAsia" w:cs="Times New Roman"/>
                <w:b/>
                <w:bCs/>
                <w:sz w:val="21"/>
                <w:szCs w:val="21"/>
                <w:highlight w:val="none"/>
                <w:u w:val="none"/>
                <w:lang w:eastAsia="zh-CN"/>
              </w:rPr>
            </w:pPr>
            <w:r>
              <w:rPr>
                <w:rFonts w:hint="eastAsia" w:ascii="宋体" w:hAnsi="宋体" w:eastAsia="宋体" w:cs="宋体"/>
                <w:b/>
                <w:bCs/>
                <w:szCs w:val="21"/>
                <w:highlight w:val="none"/>
              </w:rPr>
              <w:t>①</w:t>
            </w:r>
            <w:r>
              <w:rPr>
                <w:rFonts w:hint="eastAsia"/>
                <w:b/>
                <w:bCs/>
                <w:szCs w:val="21"/>
                <w:highlight w:val="none"/>
              </w:rPr>
              <w:t>投标文件资格审查文件</w:t>
            </w:r>
            <w:r>
              <w:rPr>
                <w:rFonts w:hint="eastAsia" w:hAnsi="Calibri" w:cs="Times New Roman"/>
                <w:b/>
                <w:bCs/>
                <w:sz w:val="21"/>
                <w:szCs w:val="21"/>
                <w:highlight w:val="none"/>
                <w:u w:val="none"/>
              </w:rPr>
              <w:t>的</w:t>
            </w:r>
            <w:r>
              <w:rPr>
                <w:rFonts w:hint="eastAsia" w:hAnsi="Calibri" w:cs="Times New Roman"/>
                <w:b w:val="0"/>
                <w:bCs w:val="0"/>
                <w:sz w:val="21"/>
                <w:szCs w:val="21"/>
                <w:highlight w:val="none"/>
                <w:u w:val="none"/>
              </w:rPr>
              <w:t>正本与副本应统一密封在一个</w:t>
            </w:r>
            <w:r>
              <w:rPr>
                <w:rFonts w:hint="eastAsia"/>
                <w:szCs w:val="21"/>
                <w:highlight w:val="none"/>
              </w:rPr>
              <w:t>密封袋内</w:t>
            </w:r>
            <w:r>
              <w:rPr>
                <w:rFonts w:hint="eastAsia" w:cs="Times New Roman"/>
                <w:b/>
                <w:bCs/>
                <w:sz w:val="21"/>
                <w:szCs w:val="21"/>
                <w:highlight w:val="none"/>
                <w:u w:val="none"/>
                <w:lang w:eastAsia="zh-CN"/>
              </w:rPr>
              <w:t>；</w:t>
            </w:r>
          </w:p>
          <w:p>
            <w:pPr>
              <w:jc w:val="left"/>
              <w:rPr>
                <w:rFonts w:hint="eastAsia" w:cs="Times New Roman"/>
                <w:b/>
                <w:bCs/>
                <w:sz w:val="21"/>
                <w:szCs w:val="21"/>
                <w:highlight w:val="none"/>
                <w:u w:val="none"/>
                <w:lang w:eastAsia="zh-CN"/>
              </w:rPr>
            </w:pPr>
            <w:r>
              <w:rPr>
                <w:rFonts w:hint="eastAsia" w:ascii="宋体" w:hAnsi="宋体" w:eastAsia="宋体" w:cs="宋体"/>
                <w:b/>
                <w:bCs/>
                <w:szCs w:val="21"/>
                <w:highlight w:val="none"/>
              </w:rPr>
              <w:t>②</w:t>
            </w:r>
            <w:r>
              <w:rPr>
                <w:rFonts w:hint="eastAsia"/>
                <w:b/>
                <w:bCs/>
                <w:szCs w:val="21"/>
                <w:highlight w:val="none"/>
              </w:rPr>
              <w:t>工程</w:t>
            </w:r>
            <w:r>
              <w:rPr>
                <w:b/>
                <w:bCs/>
                <w:szCs w:val="21"/>
                <w:highlight w:val="none"/>
              </w:rPr>
              <w:t>实施方案</w:t>
            </w:r>
            <w:r>
              <w:rPr>
                <w:rFonts w:hint="eastAsia"/>
                <w:b/>
                <w:bCs/>
                <w:szCs w:val="21"/>
                <w:highlight w:val="none"/>
              </w:rPr>
              <w:t>（含资信部分）文件</w:t>
            </w:r>
            <w:r>
              <w:rPr>
                <w:rFonts w:hint="eastAsia" w:hAnsi="Calibri" w:cs="Times New Roman"/>
                <w:b/>
                <w:bCs/>
                <w:sz w:val="21"/>
                <w:szCs w:val="21"/>
                <w:highlight w:val="none"/>
                <w:u w:val="none"/>
              </w:rPr>
              <w:t>的</w:t>
            </w:r>
            <w:r>
              <w:rPr>
                <w:rFonts w:hint="eastAsia" w:hAnsi="Calibri" w:cs="Times New Roman"/>
                <w:b w:val="0"/>
                <w:bCs w:val="0"/>
                <w:sz w:val="21"/>
                <w:szCs w:val="21"/>
                <w:highlight w:val="none"/>
                <w:u w:val="none"/>
              </w:rPr>
              <w:t>正本与副本应统一密封在一个</w:t>
            </w:r>
            <w:r>
              <w:rPr>
                <w:rFonts w:hint="eastAsia"/>
                <w:szCs w:val="21"/>
                <w:highlight w:val="none"/>
              </w:rPr>
              <w:t>密封袋内</w:t>
            </w:r>
            <w:r>
              <w:rPr>
                <w:rFonts w:hint="eastAsia" w:cs="Times New Roman"/>
                <w:b/>
                <w:bCs/>
                <w:sz w:val="21"/>
                <w:szCs w:val="21"/>
                <w:highlight w:val="none"/>
                <w:u w:val="none"/>
                <w:lang w:eastAsia="zh-CN"/>
              </w:rPr>
              <w:t>；</w:t>
            </w:r>
          </w:p>
          <w:p>
            <w:pPr>
              <w:jc w:val="left"/>
              <w:rPr>
                <w:rFonts w:hint="eastAsia" w:cs="Times New Roman"/>
                <w:b/>
                <w:bCs/>
                <w:sz w:val="21"/>
                <w:szCs w:val="21"/>
                <w:highlight w:val="none"/>
                <w:u w:val="none"/>
                <w:lang w:eastAsia="zh-CN"/>
              </w:rPr>
            </w:pPr>
            <w:r>
              <w:rPr>
                <w:rFonts w:hint="eastAsia" w:ascii="宋体" w:hAnsi="宋体" w:eastAsia="宋体" w:cs="宋体"/>
                <w:b/>
                <w:bCs/>
                <w:szCs w:val="21"/>
                <w:highlight w:val="none"/>
                <w:lang w:eastAsia="zh-CN"/>
              </w:rPr>
              <w:t>③</w:t>
            </w:r>
            <w:r>
              <w:rPr>
                <w:rFonts w:hint="eastAsia"/>
                <w:b/>
                <w:bCs/>
                <w:szCs w:val="21"/>
                <w:highlight w:val="none"/>
              </w:rPr>
              <w:t>投标报价文件</w:t>
            </w:r>
            <w:r>
              <w:rPr>
                <w:rFonts w:hint="eastAsia" w:hAnsi="Calibri" w:cs="Times New Roman"/>
                <w:b/>
                <w:bCs/>
                <w:sz w:val="21"/>
                <w:szCs w:val="21"/>
                <w:highlight w:val="none"/>
                <w:u w:val="none"/>
              </w:rPr>
              <w:t>的</w:t>
            </w:r>
            <w:r>
              <w:rPr>
                <w:rFonts w:hint="eastAsia" w:hAnsi="Calibri" w:cs="Times New Roman"/>
                <w:b w:val="0"/>
                <w:bCs w:val="0"/>
                <w:sz w:val="21"/>
                <w:szCs w:val="21"/>
                <w:highlight w:val="none"/>
                <w:u w:val="none"/>
              </w:rPr>
              <w:t>正本与副本应统一密封在一个</w:t>
            </w:r>
            <w:r>
              <w:rPr>
                <w:rFonts w:hint="eastAsia"/>
                <w:szCs w:val="21"/>
                <w:highlight w:val="none"/>
              </w:rPr>
              <w:t>密封袋内</w:t>
            </w:r>
            <w:r>
              <w:rPr>
                <w:rFonts w:hint="eastAsia" w:cs="Times New Roman"/>
                <w:b/>
                <w:bCs/>
                <w:sz w:val="21"/>
                <w:szCs w:val="21"/>
                <w:highlight w:val="none"/>
                <w:u w:val="none"/>
                <w:lang w:eastAsia="zh-CN"/>
              </w:rPr>
              <w:t>；</w:t>
            </w:r>
          </w:p>
          <w:p>
            <w:pPr>
              <w:adjustRightInd w:val="0"/>
              <w:snapToGrid w:val="0"/>
              <w:spacing w:line="360" w:lineRule="auto"/>
            </w:pPr>
            <w:r>
              <w:rPr>
                <w:rFonts w:hint="eastAsia"/>
                <w:szCs w:val="21"/>
                <w:u w:val="single"/>
              </w:rPr>
              <w:t>要求提供的电子文件光盘（或U盘）必须无病毒、无加密、可打开、可编辑。</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65" w:type="dxa"/>
            <w:vAlign w:val="center"/>
          </w:tcPr>
          <w:p>
            <w:pPr>
              <w:adjustRightInd w:val="0"/>
              <w:snapToGrid w:val="0"/>
              <w:spacing w:before="156" w:beforeLines="50" w:line="360" w:lineRule="auto"/>
              <w:jc w:val="center"/>
              <w:rPr>
                <w:rFonts w:hint="default" w:ascii="宋体" w:hAnsi="宋体" w:eastAsia="宋体"/>
                <w:szCs w:val="21"/>
                <w:lang w:val="en-US" w:eastAsia="zh-CN"/>
              </w:rPr>
            </w:pPr>
            <w:r>
              <w:rPr>
                <w:rFonts w:hint="eastAsia" w:ascii="宋体" w:hAnsi="宋体"/>
                <w:szCs w:val="21"/>
                <w:lang w:val="en-US" w:eastAsia="zh-CN"/>
              </w:rPr>
              <w:t>18</w:t>
            </w:r>
          </w:p>
        </w:tc>
        <w:tc>
          <w:tcPr>
            <w:tcW w:w="2816" w:type="dxa"/>
            <w:vAlign w:val="center"/>
          </w:tcPr>
          <w:p>
            <w:pPr>
              <w:adjustRightInd w:val="0"/>
              <w:snapToGrid w:val="0"/>
              <w:spacing w:before="156" w:beforeLines="50" w:line="360" w:lineRule="auto"/>
              <w:jc w:val="center"/>
              <w:rPr>
                <w:rFonts w:ascii="宋体" w:hAnsi="宋体"/>
                <w:szCs w:val="21"/>
              </w:rPr>
            </w:pPr>
            <w:r>
              <w:rPr>
                <w:rFonts w:ascii="宋体" w:hAnsi="宋体"/>
                <w:szCs w:val="21"/>
              </w:rPr>
              <w:t>封套上</w:t>
            </w:r>
            <w:r>
              <w:rPr>
                <w:rFonts w:hint="eastAsia" w:ascii="宋体" w:hAnsi="宋体"/>
                <w:szCs w:val="21"/>
              </w:rPr>
              <w:t>应载明的信息</w:t>
            </w:r>
          </w:p>
        </w:tc>
        <w:tc>
          <w:tcPr>
            <w:tcW w:w="5908" w:type="dxa"/>
            <w:vAlign w:val="center"/>
          </w:tcPr>
          <w:p>
            <w:pPr>
              <w:jc w:val="left"/>
              <w:rPr>
                <w:rFonts w:hint="eastAsia" w:ascii="宋体" w:hAnsi="宋体" w:eastAsia="宋体" w:cs="宋体"/>
                <w:b/>
                <w:bCs/>
                <w:color w:val="auto"/>
                <w:szCs w:val="21"/>
              </w:rPr>
            </w:pPr>
            <w:r>
              <w:rPr>
                <w:rFonts w:hint="eastAsia" w:ascii="宋体" w:hAnsi="宋体" w:eastAsia="宋体" w:cs="宋体"/>
                <w:b/>
                <w:bCs/>
                <w:color w:val="auto"/>
                <w:szCs w:val="21"/>
              </w:rPr>
              <w:t>1、资格审查文件/工程实施方案（含资信部分）文件/投标报价文件</w:t>
            </w:r>
          </w:p>
          <w:p>
            <w:pPr>
              <w:jc w:val="left"/>
              <w:rPr>
                <w:rFonts w:hint="eastAsia" w:ascii="宋体" w:hAnsi="宋体" w:eastAsia="宋体" w:cs="宋体"/>
                <w:color w:val="auto"/>
                <w:szCs w:val="21"/>
              </w:rPr>
            </w:pPr>
            <w:r>
              <w:rPr>
                <w:rFonts w:hint="eastAsia" w:ascii="宋体" w:hAnsi="宋体" w:eastAsia="宋体" w:cs="宋体"/>
                <w:color w:val="auto"/>
                <w:szCs w:val="21"/>
              </w:rPr>
              <w:t>招标人名称：</w:t>
            </w:r>
            <w:r>
              <w:rPr>
                <w:rFonts w:hint="eastAsia" w:ascii="宋体" w:hAnsi="宋体" w:eastAsia="宋体" w:cs="宋体"/>
                <w:color w:val="auto"/>
                <w:szCs w:val="21"/>
                <w:u w:val="single"/>
              </w:rPr>
              <w:t>广州南沙旅游发展有限公司</w:t>
            </w:r>
          </w:p>
          <w:p>
            <w:pPr>
              <w:jc w:val="left"/>
              <w:rPr>
                <w:rFonts w:hint="eastAsia" w:ascii="宋体" w:hAnsi="宋体" w:eastAsia="宋体" w:cs="宋体"/>
                <w:color w:val="auto"/>
                <w:szCs w:val="21"/>
              </w:rPr>
            </w:pPr>
            <w:r>
              <w:rPr>
                <w:rFonts w:hint="eastAsia" w:ascii="宋体" w:hAnsi="宋体" w:eastAsia="宋体" w:cs="宋体"/>
                <w:color w:val="auto"/>
                <w:szCs w:val="21"/>
                <w:u w:val="single"/>
                <w:lang w:val="en-US" w:eastAsia="zh-CN"/>
              </w:rPr>
              <w:t>天后宫专用综合房增容工程</w:t>
            </w:r>
            <w:r>
              <w:rPr>
                <w:rFonts w:hint="eastAsia" w:ascii="宋体" w:hAnsi="宋体" w:eastAsia="宋体" w:cs="宋体"/>
                <w:color w:val="auto"/>
                <w:szCs w:val="21"/>
                <w:u w:val="single"/>
              </w:rPr>
              <w:t>投标文件</w:t>
            </w:r>
            <w:r>
              <w:rPr>
                <w:rFonts w:hint="eastAsia" w:ascii="宋体" w:hAnsi="宋体" w:eastAsia="宋体" w:cs="宋体"/>
                <w:color w:val="auto"/>
                <w:szCs w:val="21"/>
              </w:rPr>
              <w:t>（</w:t>
            </w:r>
            <w:r>
              <w:rPr>
                <w:rFonts w:hint="eastAsia" w:ascii="宋体" w:hAnsi="宋体" w:eastAsia="宋体" w:cs="宋体"/>
                <w:b/>
                <w:bCs/>
                <w:color w:val="auto"/>
                <w:szCs w:val="21"/>
              </w:rPr>
              <w:t>资格审查文件/工程实施方案（含资信部分）文件/投标报价文件</w:t>
            </w:r>
            <w:r>
              <w:rPr>
                <w:rFonts w:hint="eastAsia" w:ascii="宋体" w:hAnsi="宋体" w:eastAsia="宋体" w:cs="宋体"/>
                <w:color w:val="auto"/>
                <w:szCs w:val="21"/>
              </w:rPr>
              <w:t>）</w:t>
            </w:r>
          </w:p>
          <w:p>
            <w:pPr>
              <w:jc w:val="left"/>
              <w:rPr>
                <w:rFonts w:hint="eastAsia" w:ascii="宋体" w:hAnsi="宋体" w:eastAsia="宋体" w:cs="宋体"/>
                <w:color w:val="auto"/>
                <w:szCs w:val="21"/>
              </w:rPr>
            </w:pPr>
            <w:r>
              <w:rPr>
                <w:rFonts w:hint="eastAsia" w:ascii="宋体" w:hAnsi="宋体" w:eastAsia="宋体" w:cs="宋体"/>
                <w:color w:val="auto"/>
                <w:szCs w:val="21"/>
              </w:rPr>
              <w:t>在</w:t>
            </w:r>
            <w:r>
              <w:rPr>
                <w:rFonts w:hint="eastAsia" w:ascii="宋体" w:hAnsi="宋体" w:eastAsia="宋体" w:cs="宋体"/>
                <w:color w:val="auto"/>
                <w:szCs w:val="21"/>
                <w:u w:val="single"/>
              </w:rPr>
              <w:t xml:space="preserve"> 202</w:t>
            </w:r>
            <w:r>
              <w:rPr>
                <w:rFonts w:hint="eastAsia" w:ascii="宋体" w:hAnsi="宋体" w:eastAsia="宋体" w:cs="宋体"/>
                <w:color w:val="auto"/>
                <w:szCs w:val="21"/>
                <w:u w:val="single"/>
                <w:lang w:val="en-US" w:eastAsia="zh-CN"/>
              </w:rPr>
              <w:t>2</w:t>
            </w:r>
            <w:r>
              <w:rPr>
                <w:rFonts w:hint="eastAsia" w:ascii="宋体" w:hAnsi="宋体" w:eastAsia="宋体" w:cs="宋体"/>
                <w:color w:val="auto"/>
                <w:szCs w:val="21"/>
                <w:u w:val="single"/>
              </w:rPr>
              <w:t>年</w:t>
            </w:r>
            <w:r>
              <w:rPr>
                <w:rFonts w:hint="eastAsia" w:ascii="宋体" w:hAnsi="宋体" w:eastAsia="宋体" w:cs="宋体"/>
                <w:color w:val="auto"/>
                <w:szCs w:val="21"/>
                <w:u w:val="single"/>
                <w:lang w:val="en-US" w:eastAsia="zh-CN"/>
              </w:rPr>
              <w:t>9</w:t>
            </w:r>
            <w:r>
              <w:rPr>
                <w:rFonts w:hint="eastAsia" w:ascii="宋体" w:hAnsi="宋体" w:eastAsia="宋体" w:cs="宋体"/>
                <w:color w:val="auto"/>
                <w:szCs w:val="21"/>
                <w:u w:val="single"/>
              </w:rPr>
              <w:t>月</w:t>
            </w:r>
            <w:r>
              <w:rPr>
                <w:rFonts w:hint="eastAsia" w:ascii="宋体" w:hAnsi="宋体" w:eastAsia="宋体" w:cs="宋体"/>
                <w:color w:val="auto"/>
                <w:szCs w:val="21"/>
                <w:u w:val="single"/>
                <w:lang w:val="en-US" w:eastAsia="zh-CN"/>
              </w:rPr>
              <w:t>2</w:t>
            </w:r>
            <w:r>
              <w:rPr>
                <w:rFonts w:hint="eastAsia" w:ascii="宋体" w:hAnsi="宋体" w:eastAsia="宋体" w:cs="宋体"/>
                <w:color w:val="auto"/>
                <w:szCs w:val="21"/>
                <w:u w:val="single"/>
              </w:rPr>
              <w:t>日</w:t>
            </w:r>
            <w:r>
              <w:rPr>
                <w:rFonts w:hint="eastAsia" w:ascii="宋体" w:hAnsi="宋体" w:eastAsia="宋体" w:cs="宋体"/>
                <w:color w:val="auto"/>
                <w:szCs w:val="21"/>
                <w:u w:val="single"/>
                <w:lang w:val="en-US" w:eastAsia="zh-CN"/>
              </w:rPr>
              <w:t>14</w:t>
            </w:r>
            <w:r>
              <w:rPr>
                <w:rFonts w:hint="eastAsia" w:ascii="宋体" w:hAnsi="宋体" w:eastAsia="宋体" w:cs="宋体"/>
                <w:color w:val="auto"/>
                <w:szCs w:val="21"/>
                <w:u w:val="single"/>
              </w:rPr>
              <w:t>时</w:t>
            </w:r>
            <w:r>
              <w:rPr>
                <w:rFonts w:hint="eastAsia" w:ascii="宋体" w:hAnsi="宋体" w:eastAsia="宋体" w:cs="宋体"/>
                <w:color w:val="auto"/>
                <w:szCs w:val="21"/>
                <w:u w:val="single"/>
                <w:lang w:val="en-US" w:eastAsia="zh-CN"/>
              </w:rPr>
              <w:t>30</w:t>
            </w:r>
            <w:r>
              <w:rPr>
                <w:rFonts w:hint="eastAsia" w:ascii="宋体" w:hAnsi="宋体" w:eastAsia="宋体" w:cs="宋体"/>
                <w:color w:val="auto"/>
                <w:szCs w:val="21"/>
                <w:u w:val="single"/>
              </w:rPr>
              <w:t>分</w:t>
            </w:r>
            <w:r>
              <w:rPr>
                <w:rFonts w:hint="eastAsia" w:ascii="宋体" w:hAnsi="宋体" w:eastAsia="宋体" w:cs="宋体"/>
                <w:color w:val="auto"/>
                <w:szCs w:val="21"/>
              </w:rPr>
              <w:t>前不得开启</w:t>
            </w:r>
          </w:p>
          <w:p>
            <w:pPr>
              <w:jc w:val="left"/>
              <w:rPr>
                <w:rFonts w:hint="eastAsia" w:ascii="宋体" w:hAnsi="宋体" w:eastAsia="宋体" w:cs="宋体"/>
                <w:color w:val="auto"/>
                <w:szCs w:val="21"/>
              </w:rPr>
            </w:pPr>
            <w:r>
              <w:rPr>
                <w:rFonts w:hint="eastAsia" w:ascii="宋体" w:hAnsi="宋体" w:eastAsia="宋体" w:cs="宋体"/>
                <w:color w:val="auto"/>
                <w:szCs w:val="21"/>
                <w:u w:val="single"/>
              </w:rPr>
              <w:t>投标人名称：</w:t>
            </w:r>
            <w:r>
              <w:rPr>
                <w:rFonts w:hint="eastAsia" w:ascii="宋体" w:hAnsi="宋体" w:eastAsia="宋体" w:cs="宋体"/>
                <w:color w:val="auto"/>
                <w:szCs w:val="21"/>
                <w:u w:val="single"/>
                <w:lang w:val="en-US" w:eastAsia="zh-CN"/>
              </w:rPr>
              <w:t xml:space="preserve">                   </w:t>
            </w:r>
            <w:r>
              <w:rPr>
                <w:rFonts w:hint="eastAsia" w:ascii="宋体" w:hAnsi="宋体" w:eastAsia="宋体" w:cs="宋体"/>
                <w:color w:val="auto"/>
                <w:szCs w:val="21"/>
                <w:u w:val="none"/>
              </w:rPr>
              <w:t>（并加盖公章）</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65" w:type="dxa"/>
            <w:vAlign w:val="center"/>
          </w:tcPr>
          <w:p>
            <w:pPr>
              <w:adjustRightInd w:val="0"/>
              <w:snapToGrid w:val="0"/>
              <w:spacing w:before="156" w:beforeLines="50" w:line="360" w:lineRule="auto"/>
              <w:jc w:val="center"/>
              <w:rPr>
                <w:rFonts w:ascii="宋体" w:hAnsi="宋体"/>
                <w:szCs w:val="21"/>
              </w:rPr>
            </w:pPr>
            <w:r>
              <w:rPr>
                <w:rFonts w:hint="eastAsia" w:ascii="宋体" w:hAnsi="宋体"/>
                <w:szCs w:val="21"/>
              </w:rPr>
              <w:t>19</w:t>
            </w:r>
          </w:p>
        </w:tc>
        <w:tc>
          <w:tcPr>
            <w:tcW w:w="2816" w:type="dxa"/>
            <w:vAlign w:val="center"/>
          </w:tcPr>
          <w:p>
            <w:pPr>
              <w:snapToGrid w:val="0"/>
              <w:spacing w:before="156" w:beforeLines="50" w:line="360" w:lineRule="auto"/>
              <w:jc w:val="center"/>
              <w:rPr>
                <w:rFonts w:ascii="宋体" w:hAnsi="宋体"/>
                <w:szCs w:val="21"/>
              </w:rPr>
            </w:pPr>
            <w:r>
              <w:rPr>
                <w:rFonts w:hint="eastAsia"/>
                <w:szCs w:val="21"/>
              </w:rPr>
              <w:t>报名</w:t>
            </w:r>
            <w:r>
              <w:rPr>
                <w:rFonts w:hint="eastAsia"/>
                <w:szCs w:val="21"/>
                <w:lang w:eastAsia="zh-CN"/>
              </w:rPr>
              <w:t>登记</w:t>
            </w:r>
            <w:r>
              <w:rPr>
                <w:rFonts w:hint="eastAsia"/>
                <w:szCs w:val="21"/>
              </w:rPr>
              <w:t>地点和时间</w:t>
            </w:r>
          </w:p>
        </w:tc>
        <w:tc>
          <w:tcPr>
            <w:tcW w:w="5908" w:type="dxa"/>
            <w:vAlign w:val="center"/>
          </w:tcPr>
          <w:p>
            <w:pPr>
              <w:snapToGrid w:val="0"/>
              <w:spacing w:before="0" w:beforeLines="0" w:line="336" w:lineRule="auto"/>
              <w:rPr>
                <w:rFonts w:hint="eastAsia" w:ascii="宋体" w:hAnsi="宋体" w:eastAsia="宋体" w:cs="宋体"/>
                <w:color w:val="auto"/>
                <w:szCs w:val="21"/>
                <w:u w:val="single"/>
              </w:rPr>
            </w:pPr>
            <w:r>
              <w:rPr>
                <w:rFonts w:hint="eastAsia" w:ascii="宋体" w:hAnsi="宋体" w:eastAsia="宋体" w:cs="宋体"/>
                <w:color w:val="auto"/>
                <w:szCs w:val="21"/>
              </w:rPr>
              <w:t>地点：</w:t>
            </w:r>
            <w:r>
              <w:rPr>
                <w:rFonts w:hint="eastAsia" w:ascii="宋体" w:hAnsi="宋体" w:eastAsia="宋体" w:cs="宋体"/>
                <w:color w:val="auto"/>
                <w:szCs w:val="21"/>
                <w:u w:val="single"/>
              </w:rPr>
              <w:t>广州南沙旅游发展有限公司工程建设部</w:t>
            </w:r>
          </w:p>
          <w:p>
            <w:pPr>
              <w:numPr>
                <w:ilvl w:val="255"/>
                <w:numId w:val="0"/>
              </w:numPr>
              <w:spacing w:line="360" w:lineRule="auto"/>
              <w:rPr>
                <w:rFonts w:hint="eastAsia" w:ascii="宋体" w:hAnsi="宋体" w:eastAsia="宋体" w:cs="宋体"/>
                <w:color w:val="auto"/>
                <w:szCs w:val="21"/>
              </w:rPr>
            </w:pPr>
            <w:r>
              <w:rPr>
                <w:rFonts w:hint="eastAsia" w:ascii="宋体" w:hAnsi="宋体" w:eastAsia="宋体" w:cs="宋体"/>
                <w:color w:val="auto"/>
                <w:szCs w:val="21"/>
                <w:u w:val="none"/>
                <w:lang w:val="en-US" w:eastAsia="zh-CN"/>
              </w:rPr>
              <w:t>时间：</w:t>
            </w:r>
            <w:r>
              <w:rPr>
                <w:rFonts w:hint="eastAsia" w:ascii="宋体" w:hAnsi="宋体" w:eastAsia="宋体" w:cs="宋体"/>
                <w:color w:val="auto"/>
                <w:sz w:val="21"/>
                <w:szCs w:val="21"/>
                <w:u w:val="single"/>
              </w:rPr>
              <w:t>202</w:t>
            </w:r>
            <w:r>
              <w:rPr>
                <w:rFonts w:hint="eastAsia" w:ascii="宋体" w:hAnsi="宋体" w:eastAsia="宋体" w:cs="宋体"/>
                <w:color w:val="auto"/>
                <w:sz w:val="21"/>
                <w:szCs w:val="21"/>
                <w:u w:val="single"/>
                <w:lang w:val="en-US" w:eastAsia="zh-CN"/>
              </w:rPr>
              <w:t>2</w:t>
            </w:r>
            <w:r>
              <w:rPr>
                <w:rFonts w:hint="eastAsia" w:ascii="宋体" w:hAnsi="宋体" w:eastAsia="宋体" w:cs="宋体"/>
                <w:color w:val="auto"/>
                <w:sz w:val="21"/>
                <w:szCs w:val="21"/>
                <w:u w:val="single"/>
              </w:rPr>
              <w:t>年</w:t>
            </w:r>
            <w:r>
              <w:rPr>
                <w:rFonts w:hint="eastAsia" w:ascii="宋体" w:hAnsi="宋体" w:eastAsia="宋体" w:cs="宋体"/>
                <w:color w:val="auto"/>
                <w:sz w:val="21"/>
                <w:szCs w:val="21"/>
                <w:u w:val="single"/>
                <w:lang w:val="en-US" w:eastAsia="zh-CN"/>
              </w:rPr>
              <w:t>8</w:t>
            </w:r>
            <w:r>
              <w:rPr>
                <w:rFonts w:hint="eastAsia" w:ascii="宋体" w:hAnsi="宋体" w:eastAsia="宋体" w:cs="宋体"/>
                <w:color w:val="auto"/>
                <w:sz w:val="21"/>
                <w:szCs w:val="21"/>
                <w:u w:val="single"/>
              </w:rPr>
              <w:t>月</w:t>
            </w:r>
            <w:r>
              <w:rPr>
                <w:rFonts w:hint="eastAsia" w:ascii="宋体" w:hAnsi="宋体" w:eastAsia="宋体" w:cs="宋体"/>
                <w:color w:val="auto"/>
                <w:sz w:val="21"/>
                <w:szCs w:val="21"/>
                <w:u w:val="single"/>
                <w:lang w:val="en-US" w:eastAsia="zh-CN"/>
              </w:rPr>
              <w:t>30</w:t>
            </w:r>
            <w:r>
              <w:rPr>
                <w:rFonts w:hint="eastAsia" w:ascii="宋体" w:hAnsi="宋体" w:eastAsia="宋体" w:cs="宋体"/>
                <w:color w:val="auto"/>
                <w:sz w:val="21"/>
                <w:szCs w:val="21"/>
                <w:u w:val="single"/>
              </w:rPr>
              <w:t>日</w:t>
            </w:r>
            <w:r>
              <w:rPr>
                <w:rFonts w:hint="eastAsia" w:ascii="宋体" w:hAnsi="宋体" w:eastAsia="宋体" w:cs="宋体"/>
                <w:color w:val="auto"/>
                <w:sz w:val="21"/>
                <w:szCs w:val="21"/>
                <w:u w:val="single"/>
                <w:lang w:val="en-US" w:eastAsia="zh-CN"/>
              </w:rPr>
              <w:t>14</w:t>
            </w:r>
            <w:r>
              <w:rPr>
                <w:rFonts w:hint="eastAsia" w:ascii="宋体" w:hAnsi="宋体" w:eastAsia="宋体" w:cs="宋体"/>
                <w:color w:val="auto"/>
                <w:sz w:val="21"/>
                <w:szCs w:val="21"/>
                <w:u w:val="single"/>
              </w:rPr>
              <w:t>时</w:t>
            </w:r>
            <w:r>
              <w:rPr>
                <w:rFonts w:hint="eastAsia" w:ascii="宋体" w:hAnsi="宋体" w:eastAsia="宋体" w:cs="宋体"/>
                <w:color w:val="auto"/>
                <w:sz w:val="21"/>
                <w:szCs w:val="21"/>
                <w:u w:val="single"/>
                <w:lang w:val="en-US" w:eastAsia="zh-CN"/>
              </w:rPr>
              <w:t>00</w:t>
            </w:r>
            <w:r>
              <w:rPr>
                <w:rFonts w:hint="eastAsia" w:ascii="宋体" w:hAnsi="宋体" w:eastAsia="宋体" w:cs="宋体"/>
                <w:color w:val="auto"/>
                <w:sz w:val="21"/>
                <w:szCs w:val="21"/>
                <w:u w:val="single"/>
              </w:rPr>
              <w:t>分至202</w:t>
            </w:r>
            <w:r>
              <w:rPr>
                <w:rFonts w:hint="eastAsia" w:ascii="宋体" w:hAnsi="宋体" w:eastAsia="宋体" w:cs="宋体"/>
                <w:color w:val="auto"/>
                <w:sz w:val="21"/>
                <w:szCs w:val="21"/>
                <w:u w:val="single"/>
                <w:lang w:val="en-US" w:eastAsia="zh-CN"/>
              </w:rPr>
              <w:t>2</w:t>
            </w:r>
            <w:r>
              <w:rPr>
                <w:rFonts w:hint="eastAsia" w:ascii="宋体" w:hAnsi="宋体" w:eastAsia="宋体" w:cs="宋体"/>
                <w:color w:val="auto"/>
                <w:sz w:val="21"/>
                <w:szCs w:val="21"/>
                <w:u w:val="single"/>
              </w:rPr>
              <w:t>年</w:t>
            </w:r>
            <w:r>
              <w:rPr>
                <w:rFonts w:hint="eastAsia" w:ascii="宋体" w:hAnsi="宋体" w:eastAsia="宋体" w:cs="宋体"/>
                <w:color w:val="auto"/>
                <w:sz w:val="21"/>
                <w:szCs w:val="21"/>
                <w:u w:val="single"/>
                <w:lang w:val="en-US" w:eastAsia="zh-CN"/>
              </w:rPr>
              <w:t>9</w:t>
            </w:r>
            <w:r>
              <w:rPr>
                <w:rFonts w:hint="eastAsia" w:ascii="宋体" w:hAnsi="宋体" w:eastAsia="宋体" w:cs="宋体"/>
                <w:color w:val="auto"/>
                <w:sz w:val="21"/>
                <w:szCs w:val="21"/>
                <w:u w:val="single"/>
              </w:rPr>
              <w:t>月</w:t>
            </w:r>
            <w:r>
              <w:rPr>
                <w:rFonts w:hint="eastAsia" w:ascii="宋体" w:hAnsi="宋体" w:eastAsia="宋体" w:cs="宋体"/>
                <w:color w:val="auto"/>
                <w:sz w:val="21"/>
                <w:szCs w:val="21"/>
                <w:u w:val="single"/>
                <w:lang w:val="en-US" w:eastAsia="zh-CN"/>
              </w:rPr>
              <w:t>1</w:t>
            </w:r>
            <w:r>
              <w:rPr>
                <w:rFonts w:hint="eastAsia" w:ascii="宋体" w:hAnsi="宋体" w:eastAsia="宋体" w:cs="宋体"/>
                <w:color w:val="auto"/>
                <w:sz w:val="21"/>
                <w:szCs w:val="21"/>
                <w:u w:val="single"/>
              </w:rPr>
              <w:t>日</w:t>
            </w:r>
            <w:r>
              <w:rPr>
                <w:rFonts w:hint="eastAsia" w:ascii="宋体" w:hAnsi="宋体" w:eastAsia="宋体" w:cs="宋体"/>
                <w:color w:val="auto"/>
                <w:sz w:val="21"/>
                <w:szCs w:val="21"/>
                <w:u w:val="single"/>
                <w:lang w:val="en-US" w:eastAsia="zh-CN"/>
              </w:rPr>
              <w:t>11</w:t>
            </w:r>
            <w:r>
              <w:rPr>
                <w:rFonts w:hint="eastAsia" w:ascii="宋体" w:hAnsi="宋体" w:eastAsia="宋体" w:cs="宋体"/>
                <w:color w:val="auto"/>
                <w:sz w:val="21"/>
                <w:szCs w:val="21"/>
                <w:u w:val="single"/>
              </w:rPr>
              <w:t>时</w:t>
            </w:r>
            <w:r>
              <w:rPr>
                <w:rFonts w:hint="eastAsia" w:ascii="宋体" w:hAnsi="宋体" w:eastAsia="宋体" w:cs="宋体"/>
                <w:color w:val="auto"/>
                <w:sz w:val="21"/>
                <w:szCs w:val="21"/>
                <w:u w:val="single"/>
                <w:lang w:val="en-US" w:eastAsia="zh-CN"/>
              </w:rPr>
              <w:t>30</w:t>
            </w:r>
            <w:r>
              <w:rPr>
                <w:rFonts w:hint="eastAsia" w:ascii="宋体" w:hAnsi="宋体" w:eastAsia="宋体" w:cs="宋体"/>
                <w:color w:val="auto"/>
                <w:sz w:val="21"/>
                <w:szCs w:val="21"/>
                <w:u w:val="single"/>
              </w:rPr>
              <w:t>分</w:t>
            </w:r>
            <w:r>
              <w:rPr>
                <w:rFonts w:hint="eastAsia" w:ascii="宋体" w:hAnsi="宋体" w:eastAsia="宋体" w:cs="宋体"/>
                <w:color w:val="auto"/>
                <w:szCs w:val="21"/>
                <w:u w:val="single"/>
                <w:lang w:val="en-US" w:eastAsia="zh-CN"/>
              </w:rPr>
              <w:t>。</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65" w:type="dxa"/>
            <w:vAlign w:val="center"/>
          </w:tcPr>
          <w:p>
            <w:pPr>
              <w:adjustRightInd w:val="0"/>
              <w:snapToGrid w:val="0"/>
              <w:spacing w:before="156" w:beforeLines="50" w:line="360" w:lineRule="auto"/>
              <w:jc w:val="center"/>
              <w:rPr>
                <w:rFonts w:ascii="宋体" w:hAnsi="宋体"/>
                <w:szCs w:val="21"/>
              </w:rPr>
            </w:pPr>
            <w:r>
              <w:rPr>
                <w:rFonts w:hint="eastAsia" w:ascii="宋体" w:hAnsi="宋体"/>
                <w:szCs w:val="21"/>
              </w:rPr>
              <w:t>20</w:t>
            </w:r>
          </w:p>
        </w:tc>
        <w:tc>
          <w:tcPr>
            <w:tcW w:w="2816" w:type="dxa"/>
            <w:vAlign w:val="center"/>
          </w:tcPr>
          <w:p>
            <w:pPr>
              <w:snapToGrid w:val="0"/>
              <w:spacing w:before="156" w:beforeLines="50" w:line="360" w:lineRule="auto"/>
              <w:jc w:val="center"/>
              <w:rPr>
                <w:szCs w:val="21"/>
              </w:rPr>
            </w:pPr>
            <w:r>
              <w:rPr>
                <w:rFonts w:hint="eastAsia"/>
                <w:szCs w:val="21"/>
              </w:rPr>
              <w:t>投标文件递交地点</w:t>
            </w:r>
          </w:p>
        </w:tc>
        <w:tc>
          <w:tcPr>
            <w:tcW w:w="5908" w:type="dxa"/>
            <w:vAlign w:val="center"/>
          </w:tcPr>
          <w:p>
            <w:pPr>
              <w:snapToGrid w:val="0"/>
              <w:spacing w:before="0" w:beforeLines="0" w:line="336" w:lineRule="auto"/>
              <w:rPr>
                <w:rFonts w:hint="eastAsia" w:ascii="宋体" w:hAnsi="宋体" w:eastAsia="宋体" w:cs="宋体"/>
                <w:color w:val="auto"/>
                <w:szCs w:val="21"/>
              </w:rPr>
            </w:pPr>
            <w:r>
              <w:rPr>
                <w:rFonts w:hint="eastAsia" w:ascii="宋体" w:hAnsi="宋体" w:eastAsia="宋体" w:cs="宋体"/>
                <w:color w:val="auto"/>
                <w:szCs w:val="21"/>
              </w:rPr>
              <w:t>收件人：林小姐 ，联系电话：</w:t>
            </w:r>
            <w:r>
              <w:rPr>
                <w:rFonts w:hint="eastAsia" w:ascii="宋体" w:hAnsi="宋体" w:eastAsia="宋体" w:cs="宋体"/>
                <w:color w:val="auto"/>
                <w:szCs w:val="21"/>
                <w:lang w:val="en-US" w:eastAsia="zh-CN"/>
              </w:rPr>
              <w:t>15914506698</w:t>
            </w:r>
            <w:r>
              <w:rPr>
                <w:rFonts w:hint="eastAsia" w:ascii="宋体" w:hAnsi="宋体" w:eastAsia="宋体" w:cs="宋体"/>
                <w:color w:val="auto"/>
                <w:szCs w:val="21"/>
              </w:rPr>
              <w:t xml:space="preserve">      </w:t>
            </w:r>
          </w:p>
          <w:p>
            <w:pPr>
              <w:snapToGrid w:val="0"/>
              <w:spacing w:before="0" w:beforeLines="0" w:line="336" w:lineRule="auto"/>
              <w:rPr>
                <w:rFonts w:hint="eastAsia" w:ascii="宋体" w:hAnsi="宋体" w:eastAsia="宋体" w:cs="宋体"/>
                <w:color w:val="auto"/>
                <w:szCs w:val="21"/>
              </w:rPr>
            </w:pPr>
            <w:r>
              <w:rPr>
                <w:rFonts w:hint="eastAsia" w:ascii="宋体" w:hAnsi="宋体" w:eastAsia="宋体" w:cs="宋体"/>
                <w:color w:val="auto"/>
                <w:szCs w:val="21"/>
              </w:rPr>
              <w:t>地  点：</w:t>
            </w:r>
            <w:r>
              <w:rPr>
                <w:rFonts w:hint="eastAsia" w:ascii="宋体" w:hAnsi="宋体" w:eastAsia="宋体" w:cs="宋体"/>
                <w:color w:val="auto"/>
                <w:szCs w:val="21"/>
                <w:lang w:eastAsia="zh-TW"/>
              </w:rPr>
              <w:t>广州南沙旅游发展有限公司206评标室</w:t>
            </w:r>
          </w:p>
          <w:p>
            <w:pPr>
              <w:numPr>
                <w:ilvl w:val="255"/>
                <w:numId w:val="0"/>
              </w:numPr>
              <w:spacing w:line="360" w:lineRule="auto"/>
              <w:rPr>
                <w:rFonts w:hint="eastAsia" w:ascii="宋体" w:hAnsi="宋体" w:eastAsia="宋体" w:cs="宋体"/>
                <w:color w:val="auto"/>
                <w:szCs w:val="21"/>
              </w:rPr>
            </w:pPr>
            <w:r>
              <w:rPr>
                <w:rFonts w:hint="eastAsia" w:ascii="宋体" w:hAnsi="宋体" w:eastAsia="宋体" w:cs="宋体"/>
                <w:color w:val="auto"/>
                <w:szCs w:val="21"/>
              </w:rPr>
              <w:t>时间：</w:t>
            </w:r>
            <w:r>
              <w:rPr>
                <w:rFonts w:hint="eastAsia" w:ascii="宋体" w:hAnsi="宋体" w:eastAsia="宋体" w:cs="宋体"/>
                <w:color w:val="auto"/>
                <w:sz w:val="21"/>
                <w:szCs w:val="21"/>
                <w:highlight w:val="none"/>
                <w:u w:val="single"/>
              </w:rPr>
              <w:t>202</w:t>
            </w:r>
            <w:r>
              <w:rPr>
                <w:rFonts w:hint="eastAsia" w:ascii="宋体" w:hAnsi="宋体" w:eastAsia="宋体" w:cs="宋体"/>
                <w:color w:val="auto"/>
                <w:sz w:val="21"/>
                <w:szCs w:val="21"/>
                <w:highlight w:val="none"/>
                <w:u w:val="single"/>
                <w:lang w:val="en-US" w:eastAsia="zh-CN"/>
              </w:rPr>
              <w:t>2</w:t>
            </w:r>
            <w:r>
              <w:rPr>
                <w:rFonts w:hint="eastAsia" w:ascii="宋体" w:hAnsi="宋体" w:eastAsia="宋体" w:cs="宋体"/>
                <w:color w:val="auto"/>
                <w:sz w:val="21"/>
                <w:szCs w:val="21"/>
                <w:highlight w:val="none"/>
                <w:u w:val="single"/>
              </w:rPr>
              <w:t>年</w:t>
            </w:r>
            <w:r>
              <w:rPr>
                <w:rFonts w:hint="eastAsia" w:ascii="宋体" w:hAnsi="宋体" w:eastAsia="宋体" w:cs="宋体"/>
                <w:color w:val="auto"/>
                <w:sz w:val="21"/>
                <w:szCs w:val="21"/>
                <w:highlight w:val="none"/>
                <w:u w:val="single"/>
                <w:lang w:val="en-US" w:eastAsia="zh-CN"/>
              </w:rPr>
              <w:t>9</w:t>
            </w:r>
            <w:r>
              <w:rPr>
                <w:rFonts w:hint="eastAsia" w:ascii="宋体" w:hAnsi="宋体" w:eastAsia="宋体" w:cs="宋体"/>
                <w:color w:val="auto"/>
                <w:sz w:val="21"/>
                <w:szCs w:val="21"/>
                <w:highlight w:val="none"/>
                <w:u w:val="single"/>
              </w:rPr>
              <w:t>月</w:t>
            </w:r>
            <w:r>
              <w:rPr>
                <w:rFonts w:hint="eastAsia" w:ascii="宋体" w:hAnsi="宋体" w:eastAsia="宋体" w:cs="宋体"/>
                <w:color w:val="auto"/>
                <w:sz w:val="21"/>
                <w:szCs w:val="21"/>
                <w:highlight w:val="none"/>
                <w:u w:val="single"/>
                <w:lang w:val="en-US" w:eastAsia="zh-CN"/>
              </w:rPr>
              <w:t>2</w:t>
            </w:r>
            <w:r>
              <w:rPr>
                <w:rFonts w:hint="eastAsia" w:ascii="宋体" w:hAnsi="宋体" w:eastAsia="宋体" w:cs="宋体"/>
                <w:color w:val="auto"/>
                <w:sz w:val="21"/>
                <w:szCs w:val="21"/>
                <w:highlight w:val="none"/>
                <w:u w:val="single"/>
              </w:rPr>
              <w:t>日</w:t>
            </w:r>
            <w:r>
              <w:rPr>
                <w:rFonts w:hint="eastAsia" w:ascii="宋体" w:hAnsi="宋体" w:eastAsia="宋体" w:cs="宋体"/>
                <w:color w:val="auto"/>
                <w:sz w:val="21"/>
                <w:szCs w:val="21"/>
                <w:highlight w:val="none"/>
                <w:u w:val="single"/>
                <w:lang w:val="en-US" w:eastAsia="zh-CN"/>
              </w:rPr>
              <w:t>14</w:t>
            </w:r>
            <w:r>
              <w:rPr>
                <w:rFonts w:hint="eastAsia" w:ascii="宋体" w:hAnsi="宋体" w:eastAsia="宋体" w:cs="宋体"/>
                <w:color w:val="auto"/>
                <w:sz w:val="21"/>
                <w:szCs w:val="21"/>
                <w:highlight w:val="none"/>
                <w:u w:val="single"/>
              </w:rPr>
              <w:t>时</w:t>
            </w:r>
            <w:r>
              <w:rPr>
                <w:rFonts w:hint="eastAsia" w:ascii="宋体" w:hAnsi="宋体" w:eastAsia="宋体" w:cs="宋体"/>
                <w:color w:val="auto"/>
                <w:sz w:val="21"/>
                <w:szCs w:val="21"/>
                <w:highlight w:val="none"/>
                <w:u w:val="single"/>
                <w:lang w:val="en-US" w:eastAsia="zh-CN"/>
              </w:rPr>
              <w:t>00</w:t>
            </w:r>
            <w:r>
              <w:rPr>
                <w:rFonts w:hint="eastAsia" w:ascii="宋体" w:hAnsi="宋体" w:eastAsia="宋体" w:cs="宋体"/>
                <w:color w:val="auto"/>
                <w:sz w:val="21"/>
                <w:szCs w:val="21"/>
                <w:highlight w:val="none"/>
                <w:u w:val="single"/>
              </w:rPr>
              <w:t>分</w:t>
            </w:r>
            <w:r>
              <w:rPr>
                <w:rFonts w:hint="eastAsia" w:ascii="宋体" w:hAnsi="宋体" w:eastAsia="宋体" w:cs="宋体"/>
                <w:color w:val="auto"/>
                <w:sz w:val="21"/>
                <w:szCs w:val="21"/>
                <w:highlight w:val="none"/>
                <w:u w:val="single"/>
                <w:lang w:val="en-US" w:eastAsia="zh-CN"/>
              </w:rPr>
              <w:t>至14</w:t>
            </w:r>
            <w:r>
              <w:rPr>
                <w:rFonts w:hint="eastAsia" w:ascii="宋体" w:hAnsi="宋体" w:eastAsia="宋体" w:cs="宋体"/>
                <w:color w:val="auto"/>
                <w:sz w:val="21"/>
                <w:szCs w:val="21"/>
                <w:highlight w:val="none"/>
                <w:u w:val="single"/>
              </w:rPr>
              <w:t>时</w:t>
            </w:r>
            <w:r>
              <w:rPr>
                <w:rFonts w:hint="eastAsia" w:ascii="宋体" w:hAnsi="宋体" w:eastAsia="宋体" w:cs="宋体"/>
                <w:color w:val="auto"/>
                <w:sz w:val="21"/>
                <w:szCs w:val="21"/>
                <w:highlight w:val="none"/>
                <w:u w:val="single"/>
                <w:lang w:val="en-US" w:eastAsia="zh-CN"/>
              </w:rPr>
              <w:t>30</w:t>
            </w:r>
            <w:r>
              <w:rPr>
                <w:rFonts w:hint="eastAsia" w:ascii="宋体" w:hAnsi="宋体" w:eastAsia="宋体" w:cs="宋体"/>
                <w:color w:val="auto"/>
                <w:sz w:val="21"/>
                <w:szCs w:val="21"/>
                <w:highlight w:val="none"/>
                <w:u w:val="single"/>
              </w:rPr>
              <w:t>分</w:t>
            </w:r>
            <w:r>
              <w:rPr>
                <w:rFonts w:hint="eastAsia" w:ascii="宋体" w:hAnsi="宋体" w:eastAsia="宋体" w:cs="宋体"/>
                <w:color w:val="auto"/>
                <w:sz w:val="21"/>
                <w:szCs w:val="21"/>
                <w:highlight w:val="none"/>
                <w:u w:val="single"/>
                <w:lang w:val="en-US" w:eastAsia="zh-CN"/>
              </w:rPr>
              <w:t>前</w:t>
            </w:r>
            <w:r>
              <w:rPr>
                <w:rFonts w:hint="eastAsia" w:ascii="宋体" w:hAnsi="宋体" w:eastAsia="宋体" w:cs="宋体"/>
                <w:color w:val="auto"/>
                <w:szCs w:val="21"/>
                <w:highlight w:val="none"/>
                <w:u w:val="single"/>
                <w:lang w:val="en-US" w:eastAsia="zh-CN"/>
              </w:rPr>
              <w:t>。</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1165" w:type="dxa"/>
            <w:vAlign w:val="center"/>
          </w:tcPr>
          <w:p>
            <w:pPr>
              <w:adjustRightInd w:val="0"/>
              <w:snapToGrid w:val="0"/>
              <w:spacing w:before="156" w:beforeLines="50" w:line="360" w:lineRule="auto"/>
              <w:jc w:val="center"/>
              <w:rPr>
                <w:rFonts w:ascii="宋体" w:hAnsi="宋体"/>
                <w:szCs w:val="21"/>
              </w:rPr>
            </w:pPr>
            <w:r>
              <w:rPr>
                <w:rFonts w:hint="eastAsia" w:ascii="宋体" w:hAnsi="宋体"/>
                <w:szCs w:val="21"/>
              </w:rPr>
              <w:t>21</w:t>
            </w:r>
          </w:p>
        </w:tc>
        <w:tc>
          <w:tcPr>
            <w:tcW w:w="2816" w:type="dxa"/>
            <w:vAlign w:val="center"/>
          </w:tcPr>
          <w:p>
            <w:pPr>
              <w:adjustRightInd w:val="0"/>
              <w:snapToGrid w:val="0"/>
              <w:spacing w:before="156" w:beforeLines="50" w:line="360" w:lineRule="auto"/>
              <w:jc w:val="center"/>
              <w:rPr>
                <w:rFonts w:ascii="宋体" w:hAnsi="宋体" w:cs="宋体"/>
                <w:szCs w:val="21"/>
              </w:rPr>
            </w:pPr>
            <w:r>
              <w:rPr>
                <w:rFonts w:hint="eastAsia" w:ascii="宋体" w:hAnsi="宋体" w:cs="宋体"/>
                <w:szCs w:val="21"/>
              </w:rPr>
              <w:t>投标截止时间</w:t>
            </w:r>
          </w:p>
        </w:tc>
        <w:tc>
          <w:tcPr>
            <w:tcW w:w="5908" w:type="dxa"/>
            <w:vAlign w:val="center"/>
          </w:tcPr>
          <w:p>
            <w:pPr>
              <w:adjustRightInd w:val="0"/>
              <w:snapToGrid w:val="0"/>
              <w:spacing w:before="156" w:beforeLines="50" w:line="360" w:lineRule="auto"/>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开始接收投标文件时间：</w:t>
            </w:r>
            <w:r>
              <w:rPr>
                <w:rFonts w:hint="eastAsia" w:ascii="宋体" w:hAnsi="宋体" w:eastAsia="宋体" w:cs="宋体"/>
                <w:color w:val="auto"/>
                <w:sz w:val="21"/>
                <w:szCs w:val="21"/>
                <w:highlight w:val="none"/>
                <w:u w:val="single"/>
              </w:rPr>
              <w:t>202</w:t>
            </w:r>
            <w:r>
              <w:rPr>
                <w:rFonts w:hint="eastAsia" w:ascii="宋体" w:hAnsi="宋体" w:eastAsia="宋体" w:cs="宋体"/>
                <w:color w:val="auto"/>
                <w:sz w:val="21"/>
                <w:szCs w:val="21"/>
                <w:highlight w:val="none"/>
                <w:u w:val="single"/>
                <w:lang w:val="en-US" w:eastAsia="zh-CN"/>
              </w:rPr>
              <w:t>2</w:t>
            </w:r>
            <w:r>
              <w:rPr>
                <w:rFonts w:hint="eastAsia" w:ascii="宋体" w:hAnsi="宋体" w:eastAsia="宋体" w:cs="宋体"/>
                <w:color w:val="auto"/>
                <w:sz w:val="21"/>
                <w:szCs w:val="21"/>
                <w:highlight w:val="none"/>
                <w:u w:val="single"/>
              </w:rPr>
              <w:t>年</w:t>
            </w:r>
            <w:r>
              <w:rPr>
                <w:rFonts w:hint="eastAsia" w:ascii="宋体" w:hAnsi="宋体" w:eastAsia="宋体" w:cs="宋体"/>
                <w:color w:val="auto"/>
                <w:sz w:val="21"/>
                <w:szCs w:val="21"/>
                <w:highlight w:val="none"/>
                <w:u w:val="single"/>
                <w:lang w:val="en-US" w:eastAsia="zh-CN"/>
              </w:rPr>
              <w:t>9</w:t>
            </w:r>
            <w:r>
              <w:rPr>
                <w:rFonts w:hint="eastAsia" w:ascii="宋体" w:hAnsi="宋体" w:eastAsia="宋体" w:cs="宋体"/>
                <w:color w:val="auto"/>
                <w:sz w:val="21"/>
                <w:szCs w:val="21"/>
                <w:highlight w:val="none"/>
                <w:u w:val="single"/>
              </w:rPr>
              <w:t>月</w:t>
            </w:r>
            <w:r>
              <w:rPr>
                <w:rFonts w:hint="eastAsia" w:ascii="宋体" w:hAnsi="宋体" w:eastAsia="宋体" w:cs="宋体"/>
                <w:color w:val="auto"/>
                <w:sz w:val="21"/>
                <w:szCs w:val="21"/>
                <w:highlight w:val="none"/>
                <w:u w:val="single"/>
                <w:lang w:val="en-US" w:eastAsia="zh-CN"/>
              </w:rPr>
              <w:t>2</w:t>
            </w:r>
            <w:r>
              <w:rPr>
                <w:rFonts w:hint="eastAsia" w:ascii="宋体" w:hAnsi="宋体" w:eastAsia="宋体" w:cs="宋体"/>
                <w:color w:val="auto"/>
                <w:sz w:val="21"/>
                <w:szCs w:val="21"/>
                <w:highlight w:val="none"/>
                <w:u w:val="single"/>
              </w:rPr>
              <w:t>日</w:t>
            </w:r>
            <w:r>
              <w:rPr>
                <w:rFonts w:hint="eastAsia" w:ascii="宋体" w:hAnsi="宋体" w:eastAsia="宋体" w:cs="宋体"/>
                <w:color w:val="auto"/>
                <w:sz w:val="21"/>
                <w:szCs w:val="21"/>
                <w:highlight w:val="none"/>
                <w:u w:val="single"/>
                <w:lang w:val="en-US" w:eastAsia="zh-CN"/>
              </w:rPr>
              <w:t>14</w:t>
            </w:r>
            <w:r>
              <w:rPr>
                <w:rFonts w:hint="eastAsia" w:ascii="宋体" w:hAnsi="宋体" w:eastAsia="宋体" w:cs="宋体"/>
                <w:color w:val="auto"/>
                <w:sz w:val="21"/>
                <w:szCs w:val="21"/>
                <w:highlight w:val="none"/>
                <w:u w:val="single"/>
              </w:rPr>
              <w:t>时</w:t>
            </w:r>
            <w:r>
              <w:rPr>
                <w:rFonts w:hint="eastAsia" w:ascii="宋体" w:hAnsi="宋体" w:eastAsia="宋体" w:cs="宋体"/>
                <w:color w:val="auto"/>
                <w:sz w:val="21"/>
                <w:szCs w:val="21"/>
                <w:highlight w:val="none"/>
                <w:u w:val="single"/>
                <w:lang w:val="en-US" w:eastAsia="zh-CN"/>
              </w:rPr>
              <w:t>00</w:t>
            </w:r>
            <w:r>
              <w:rPr>
                <w:rFonts w:hint="eastAsia" w:ascii="宋体" w:hAnsi="宋体" w:eastAsia="宋体" w:cs="宋体"/>
                <w:color w:val="auto"/>
                <w:sz w:val="21"/>
                <w:szCs w:val="21"/>
                <w:highlight w:val="none"/>
                <w:u w:val="single"/>
              </w:rPr>
              <w:t>分</w:t>
            </w:r>
            <w:r>
              <w:rPr>
                <w:rFonts w:hint="eastAsia" w:ascii="宋体" w:hAnsi="宋体" w:eastAsia="宋体" w:cs="宋体"/>
                <w:color w:val="auto"/>
                <w:kern w:val="0"/>
                <w:szCs w:val="21"/>
                <w:highlight w:val="none"/>
              </w:rPr>
              <w:t>。</w:t>
            </w:r>
          </w:p>
          <w:p>
            <w:pPr>
              <w:adjustRightInd w:val="0"/>
              <w:snapToGrid w:val="0"/>
              <w:spacing w:before="156" w:beforeLines="50" w:line="360" w:lineRule="auto"/>
              <w:rPr>
                <w:rFonts w:hint="eastAsia" w:ascii="宋体" w:hAnsi="宋体" w:eastAsia="宋体" w:cs="宋体"/>
                <w:color w:val="auto"/>
                <w:kern w:val="0"/>
                <w:szCs w:val="21"/>
              </w:rPr>
            </w:pPr>
            <w:r>
              <w:rPr>
                <w:rFonts w:hint="eastAsia" w:ascii="宋体" w:hAnsi="宋体" w:eastAsia="宋体" w:cs="宋体"/>
                <w:color w:val="auto"/>
                <w:kern w:val="0"/>
                <w:szCs w:val="21"/>
                <w:highlight w:val="none"/>
              </w:rPr>
              <w:t>投标截止时间：</w:t>
            </w:r>
            <w:r>
              <w:rPr>
                <w:rFonts w:hint="eastAsia" w:ascii="宋体" w:hAnsi="宋体" w:eastAsia="宋体" w:cs="宋体"/>
                <w:color w:val="auto"/>
                <w:sz w:val="21"/>
                <w:szCs w:val="21"/>
                <w:highlight w:val="none"/>
                <w:u w:val="single"/>
              </w:rPr>
              <w:t>202</w:t>
            </w:r>
            <w:r>
              <w:rPr>
                <w:rFonts w:hint="eastAsia" w:ascii="宋体" w:hAnsi="宋体" w:eastAsia="宋体" w:cs="宋体"/>
                <w:color w:val="auto"/>
                <w:sz w:val="21"/>
                <w:szCs w:val="21"/>
                <w:highlight w:val="none"/>
                <w:u w:val="single"/>
                <w:lang w:val="en-US" w:eastAsia="zh-CN"/>
              </w:rPr>
              <w:t>2</w:t>
            </w:r>
            <w:r>
              <w:rPr>
                <w:rFonts w:hint="eastAsia" w:ascii="宋体" w:hAnsi="宋体" w:eastAsia="宋体" w:cs="宋体"/>
                <w:color w:val="auto"/>
                <w:sz w:val="21"/>
                <w:szCs w:val="21"/>
                <w:highlight w:val="none"/>
                <w:u w:val="single"/>
              </w:rPr>
              <w:t>年</w:t>
            </w:r>
            <w:r>
              <w:rPr>
                <w:rFonts w:hint="eastAsia" w:ascii="宋体" w:hAnsi="宋体" w:eastAsia="宋体" w:cs="宋体"/>
                <w:color w:val="auto"/>
                <w:sz w:val="21"/>
                <w:szCs w:val="21"/>
                <w:highlight w:val="none"/>
                <w:u w:val="single"/>
                <w:lang w:val="en-US" w:eastAsia="zh-CN"/>
              </w:rPr>
              <w:t>9</w:t>
            </w:r>
            <w:r>
              <w:rPr>
                <w:rFonts w:hint="eastAsia" w:ascii="宋体" w:hAnsi="宋体" w:eastAsia="宋体" w:cs="宋体"/>
                <w:color w:val="auto"/>
                <w:sz w:val="21"/>
                <w:szCs w:val="21"/>
                <w:highlight w:val="none"/>
                <w:u w:val="single"/>
              </w:rPr>
              <w:t>月</w:t>
            </w:r>
            <w:r>
              <w:rPr>
                <w:rFonts w:hint="eastAsia" w:ascii="宋体" w:hAnsi="宋体" w:eastAsia="宋体" w:cs="宋体"/>
                <w:color w:val="auto"/>
                <w:sz w:val="21"/>
                <w:szCs w:val="21"/>
                <w:highlight w:val="none"/>
                <w:u w:val="single"/>
                <w:lang w:val="en-US" w:eastAsia="zh-CN"/>
              </w:rPr>
              <w:t>2</w:t>
            </w:r>
            <w:r>
              <w:rPr>
                <w:rFonts w:hint="eastAsia" w:ascii="宋体" w:hAnsi="宋体" w:eastAsia="宋体" w:cs="宋体"/>
                <w:color w:val="auto"/>
                <w:sz w:val="21"/>
                <w:szCs w:val="21"/>
                <w:highlight w:val="none"/>
                <w:u w:val="single"/>
              </w:rPr>
              <w:t>日</w:t>
            </w:r>
            <w:r>
              <w:rPr>
                <w:rFonts w:hint="eastAsia" w:ascii="宋体" w:hAnsi="宋体" w:eastAsia="宋体" w:cs="宋体"/>
                <w:color w:val="auto"/>
                <w:sz w:val="21"/>
                <w:szCs w:val="21"/>
                <w:highlight w:val="none"/>
                <w:u w:val="single"/>
                <w:lang w:val="en-US" w:eastAsia="zh-CN"/>
              </w:rPr>
              <w:t>14</w:t>
            </w:r>
            <w:r>
              <w:rPr>
                <w:rFonts w:hint="eastAsia" w:ascii="宋体" w:hAnsi="宋体" w:eastAsia="宋体" w:cs="宋体"/>
                <w:color w:val="auto"/>
                <w:sz w:val="21"/>
                <w:szCs w:val="21"/>
                <w:highlight w:val="none"/>
                <w:u w:val="single"/>
              </w:rPr>
              <w:t>时</w:t>
            </w:r>
            <w:r>
              <w:rPr>
                <w:rFonts w:hint="eastAsia" w:ascii="宋体" w:hAnsi="宋体" w:eastAsia="宋体" w:cs="宋体"/>
                <w:color w:val="auto"/>
                <w:sz w:val="21"/>
                <w:szCs w:val="21"/>
                <w:highlight w:val="none"/>
                <w:u w:val="single"/>
                <w:lang w:val="en-US" w:eastAsia="zh-CN"/>
              </w:rPr>
              <w:t>30</w:t>
            </w:r>
            <w:r>
              <w:rPr>
                <w:rFonts w:hint="eastAsia" w:ascii="宋体" w:hAnsi="宋体" w:eastAsia="宋体" w:cs="宋体"/>
                <w:color w:val="auto"/>
                <w:sz w:val="21"/>
                <w:szCs w:val="21"/>
                <w:highlight w:val="none"/>
                <w:u w:val="single"/>
              </w:rPr>
              <w:t>分</w:t>
            </w:r>
            <w:r>
              <w:rPr>
                <w:rFonts w:hint="eastAsia" w:ascii="宋体" w:hAnsi="宋体" w:eastAsia="宋体" w:cs="宋体"/>
                <w:color w:val="auto"/>
                <w:kern w:val="0"/>
                <w:szCs w:val="21"/>
                <w:highlight w:val="none"/>
              </w:rPr>
              <w:t>。</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1165" w:type="dxa"/>
            <w:vAlign w:val="center"/>
          </w:tcPr>
          <w:p>
            <w:pPr>
              <w:adjustRightInd w:val="0"/>
              <w:snapToGrid w:val="0"/>
              <w:spacing w:before="156" w:beforeLines="50" w:line="360" w:lineRule="auto"/>
              <w:jc w:val="center"/>
              <w:rPr>
                <w:rFonts w:ascii="宋体" w:hAnsi="宋体"/>
                <w:szCs w:val="21"/>
              </w:rPr>
            </w:pPr>
            <w:r>
              <w:rPr>
                <w:rFonts w:hint="eastAsia" w:ascii="宋体" w:hAnsi="宋体"/>
                <w:szCs w:val="21"/>
              </w:rPr>
              <w:t>22</w:t>
            </w:r>
          </w:p>
        </w:tc>
        <w:tc>
          <w:tcPr>
            <w:tcW w:w="2816" w:type="dxa"/>
            <w:vAlign w:val="center"/>
          </w:tcPr>
          <w:p>
            <w:pPr>
              <w:adjustRightInd w:val="0"/>
              <w:snapToGrid w:val="0"/>
              <w:spacing w:before="156" w:beforeLines="50" w:line="360" w:lineRule="auto"/>
              <w:jc w:val="center"/>
              <w:rPr>
                <w:rFonts w:ascii="宋体" w:hAnsi="宋体"/>
                <w:szCs w:val="21"/>
              </w:rPr>
            </w:pPr>
            <w:r>
              <w:rPr>
                <w:rFonts w:hint="eastAsia" w:ascii="宋体" w:hAnsi="宋体"/>
                <w:szCs w:val="21"/>
              </w:rPr>
              <w:t>开标时间和地点</w:t>
            </w:r>
          </w:p>
        </w:tc>
        <w:tc>
          <w:tcPr>
            <w:tcW w:w="5908" w:type="dxa"/>
            <w:vAlign w:val="center"/>
          </w:tcPr>
          <w:p>
            <w:pPr>
              <w:snapToGrid w:val="0"/>
              <w:spacing w:before="156" w:beforeLines="50" w:line="360" w:lineRule="auto"/>
              <w:rPr>
                <w:rFonts w:hint="eastAsia" w:ascii="宋体" w:hAnsi="宋体" w:eastAsia="宋体" w:cs="宋体"/>
                <w:color w:val="auto"/>
                <w:szCs w:val="21"/>
              </w:rPr>
            </w:pPr>
            <w:r>
              <w:rPr>
                <w:rFonts w:hint="eastAsia" w:ascii="宋体" w:hAnsi="宋体" w:eastAsia="宋体" w:cs="宋体"/>
                <w:color w:val="auto"/>
                <w:szCs w:val="21"/>
              </w:rPr>
              <w:t>本项目资格审查文件、工程实施方案（含资信部分）文件、投标报价文件同时开启。</w:t>
            </w:r>
          </w:p>
          <w:p>
            <w:pPr>
              <w:snapToGrid w:val="0"/>
              <w:spacing w:before="156" w:beforeLines="50" w:line="360" w:lineRule="auto"/>
              <w:rPr>
                <w:rFonts w:hint="eastAsia" w:ascii="宋体" w:hAnsi="宋体" w:eastAsia="宋体" w:cs="宋体"/>
                <w:color w:val="auto"/>
                <w:szCs w:val="21"/>
                <w:lang w:val="en-US"/>
              </w:rPr>
            </w:pPr>
            <w:r>
              <w:rPr>
                <w:rFonts w:hint="eastAsia" w:ascii="宋体" w:hAnsi="宋体" w:eastAsia="宋体" w:cs="宋体"/>
                <w:color w:val="auto"/>
                <w:szCs w:val="21"/>
              </w:rPr>
              <w:t>开标时间：</w:t>
            </w:r>
            <w:r>
              <w:rPr>
                <w:rFonts w:hint="eastAsia" w:ascii="宋体" w:hAnsi="宋体" w:eastAsia="宋体" w:cs="宋体"/>
                <w:color w:val="auto"/>
                <w:sz w:val="21"/>
                <w:szCs w:val="21"/>
                <w:highlight w:val="none"/>
                <w:u w:val="single"/>
              </w:rPr>
              <w:t>202</w:t>
            </w:r>
            <w:r>
              <w:rPr>
                <w:rFonts w:hint="eastAsia" w:ascii="宋体" w:hAnsi="宋体" w:eastAsia="宋体" w:cs="宋体"/>
                <w:color w:val="auto"/>
                <w:sz w:val="21"/>
                <w:szCs w:val="21"/>
                <w:highlight w:val="none"/>
                <w:u w:val="single"/>
                <w:lang w:val="en-US" w:eastAsia="zh-CN"/>
              </w:rPr>
              <w:t>2</w:t>
            </w:r>
            <w:r>
              <w:rPr>
                <w:rFonts w:hint="eastAsia" w:ascii="宋体" w:hAnsi="宋体" w:eastAsia="宋体" w:cs="宋体"/>
                <w:color w:val="auto"/>
                <w:sz w:val="21"/>
                <w:szCs w:val="21"/>
                <w:highlight w:val="none"/>
                <w:u w:val="single"/>
              </w:rPr>
              <w:t>年</w:t>
            </w:r>
            <w:r>
              <w:rPr>
                <w:rFonts w:hint="eastAsia" w:ascii="宋体" w:hAnsi="宋体" w:eastAsia="宋体" w:cs="宋体"/>
                <w:color w:val="auto"/>
                <w:sz w:val="21"/>
                <w:szCs w:val="21"/>
                <w:highlight w:val="none"/>
                <w:u w:val="single"/>
                <w:lang w:val="en-US" w:eastAsia="zh-CN"/>
              </w:rPr>
              <w:t>9</w:t>
            </w:r>
            <w:r>
              <w:rPr>
                <w:rFonts w:hint="eastAsia" w:ascii="宋体" w:hAnsi="宋体" w:eastAsia="宋体" w:cs="宋体"/>
                <w:color w:val="auto"/>
                <w:sz w:val="21"/>
                <w:szCs w:val="21"/>
                <w:highlight w:val="none"/>
                <w:u w:val="single"/>
              </w:rPr>
              <w:t>月</w:t>
            </w:r>
            <w:r>
              <w:rPr>
                <w:rFonts w:hint="eastAsia" w:ascii="宋体" w:hAnsi="宋体" w:eastAsia="宋体" w:cs="宋体"/>
                <w:color w:val="auto"/>
                <w:sz w:val="21"/>
                <w:szCs w:val="21"/>
                <w:highlight w:val="none"/>
                <w:u w:val="single"/>
                <w:lang w:val="en-US" w:eastAsia="zh-CN"/>
              </w:rPr>
              <w:t>2</w:t>
            </w:r>
            <w:r>
              <w:rPr>
                <w:rFonts w:hint="eastAsia" w:ascii="宋体" w:hAnsi="宋体" w:eastAsia="宋体" w:cs="宋体"/>
                <w:color w:val="auto"/>
                <w:sz w:val="21"/>
                <w:szCs w:val="21"/>
                <w:highlight w:val="none"/>
                <w:u w:val="single"/>
              </w:rPr>
              <w:t>日</w:t>
            </w:r>
            <w:r>
              <w:rPr>
                <w:rFonts w:hint="eastAsia" w:ascii="宋体" w:hAnsi="宋体" w:eastAsia="宋体" w:cs="宋体"/>
                <w:color w:val="auto"/>
                <w:sz w:val="21"/>
                <w:szCs w:val="21"/>
                <w:highlight w:val="none"/>
                <w:u w:val="single"/>
                <w:lang w:val="en-US" w:eastAsia="zh-CN"/>
              </w:rPr>
              <w:t>14</w:t>
            </w:r>
            <w:r>
              <w:rPr>
                <w:rFonts w:hint="eastAsia" w:ascii="宋体" w:hAnsi="宋体" w:eastAsia="宋体" w:cs="宋体"/>
                <w:color w:val="auto"/>
                <w:sz w:val="21"/>
                <w:szCs w:val="21"/>
                <w:highlight w:val="none"/>
                <w:u w:val="single"/>
              </w:rPr>
              <w:t>时</w:t>
            </w:r>
            <w:r>
              <w:rPr>
                <w:rFonts w:hint="eastAsia" w:ascii="宋体" w:hAnsi="宋体" w:eastAsia="宋体" w:cs="宋体"/>
                <w:color w:val="auto"/>
                <w:sz w:val="21"/>
                <w:szCs w:val="21"/>
                <w:highlight w:val="none"/>
                <w:u w:val="single"/>
                <w:lang w:val="en-US" w:eastAsia="zh-CN"/>
              </w:rPr>
              <w:t>30</w:t>
            </w:r>
            <w:r>
              <w:rPr>
                <w:rFonts w:hint="eastAsia" w:ascii="宋体" w:hAnsi="宋体" w:eastAsia="宋体" w:cs="宋体"/>
                <w:color w:val="auto"/>
                <w:sz w:val="21"/>
                <w:szCs w:val="21"/>
                <w:highlight w:val="none"/>
                <w:u w:val="single"/>
              </w:rPr>
              <w:t>分</w:t>
            </w:r>
          </w:p>
          <w:p>
            <w:pPr>
              <w:pStyle w:val="21"/>
              <w:snapToGrid w:val="0"/>
              <w:spacing w:before="156" w:beforeLines="5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开标地</w:t>
            </w:r>
            <w:r>
              <w:rPr>
                <w:rFonts w:hint="eastAsia" w:ascii="宋体" w:hAnsi="宋体" w:eastAsia="宋体" w:cs="宋体"/>
                <w:color w:val="auto"/>
                <w:sz w:val="21"/>
                <w:szCs w:val="21"/>
                <w:highlight w:val="none"/>
              </w:rPr>
              <w:t>点：</w:t>
            </w:r>
            <w:r>
              <w:rPr>
                <w:rFonts w:hint="eastAsia" w:ascii="宋体" w:hAnsi="宋体" w:eastAsia="宋体" w:cs="宋体"/>
                <w:color w:val="auto"/>
                <w:kern w:val="2"/>
                <w:sz w:val="21"/>
                <w:szCs w:val="21"/>
                <w:lang w:val="en-US" w:eastAsia="zh-TW" w:bidi="ar-SA"/>
              </w:rPr>
              <w:t>广州南沙旅游发展有限公司206评标室</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65" w:type="dxa"/>
            <w:vAlign w:val="center"/>
          </w:tcPr>
          <w:p>
            <w:pPr>
              <w:adjustRightInd w:val="0"/>
              <w:snapToGrid w:val="0"/>
              <w:spacing w:before="156" w:beforeLines="50" w:line="360" w:lineRule="auto"/>
              <w:jc w:val="center"/>
              <w:rPr>
                <w:rFonts w:ascii="宋体" w:hAnsi="宋体"/>
                <w:szCs w:val="21"/>
              </w:rPr>
            </w:pPr>
            <w:r>
              <w:rPr>
                <w:rFonts w:hint="eastAsia" w:ascii="宋体" w:hAnsi="宋体"/>
                <w:szCs w:val="21"/>
              </w:rPr>
              <w:t>23</w:t>
            </w:r>
          </w:p>
        </w:tc>
        <w:tc>
          <w:tcPr>
            <w:tcW w:w="2816" w:type="dxa"/>
            <w:vAlign w:val="center"/>
          </w:tcPr>
          <w:p>
            <w:pPr>
              <w:adjustRightInd w:val="0"/>
              <w:snapToGrid w:val="0"/>
              <w:spacing w:before="156" w:beforeLines="50" w:line="360" w:lineRule="auto"/>
              <w:jc w:val="center"/>
              <w:rPr>
                <w:rFonts w:ascii="宋体" w:hAnsi="宋体" w:cs="宋体"/>
                <w:szCs w:val="21"/>
              </w:rPr>
            </w:pPr>
            <w:r>
              <w:rPr>
                <w:rFonts w:hint="eastAsia" w:ascii="宋体" w:hAnsi="宋体" w:cs="宋体"/>
                <w:szCs w:val="21"/>
              </w:rPr>
              <w:t>开标评标办法</w:t>
            </w:r>
          </w:p>
        </w:tc>
        <w:tc>
          <w:tcPr>
            <w:tcW w:w="5908" w:type="dxa"/>
            <w:vAlign w:val="center"/>
          </w:tcPr>
          <w:p>
            <w:pPr>
              <w:snapToGrid w:val="0"/>
              <w:spacing w:before="156" w:beforeLines="50" w:line="360" w:lineRule="auto"/>
              <w:rPr>
                <w:szCs w:val="21"/>
              </w:rPr>
            </w:pPr>
            <w:r>
              <w:rPr>
                <w:rFonts w:hint="eastAsia" w:ascii="Times New Roman" w:hAnsi="Times New Roman"/>
                <w:szCs w:val="21"/>
              </w:rPr>
              <w:t>综合评</w:t>
            </w:r>
            <w:r>
              <w:rPr>
                <w:rFonts w:hint="eastAsia" w:ascii="Times New Roman" w:hAnsi="Times New Roman"/>
                <w:szCs w:val="21"/>
                <w:lang w:val="en-US" w:eastAsia="zh-CN"/>
              </w:rPr>
              <w:t>分</w:t>
            </w:r>
            <w:r>
              <w:rPr>
                <w:rFonts w:hint="eastAsia" w:ascii="Times New Roman" w:hAnsi="Times New Roman"/>
                <w:szCs w:val="21"/>
              </w:rPr>
              <w:t>法</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65" w:type="dxa"/>
            <w:vAlign w:val="center"/>
          </w:tcPr>
          <w:p>
            <w:pPr>
              <w:adjustRightInd w:val="0"/>
              <w:snapToGrid w:val="0"/>
              <w:spacing w:before="156" w:beforeLines="50" w:line="360" w:lineRule="auto"/>
              <w:jc w:val="center"/>
              <w:rPr>
                <w:rFonts w:ascii="宋体" w:hAnsi="宋体"/>
                <w:szCs w:val="21"/>
              </w:rPr>
            </w:pPr>
            <w:r>
              <w:rPr>
                <w:rFonts w:hint="eastAsia" w:ascii="宋体" w:hAnsi="宋体"/>
                <w:szCs w:val="21"/>
              </w:rPr>
              <w:t>24</w:t>
            </w:r>
          </w:p>
        </w:tc>
        <w:tc>
          <w:tcPr>
            <w:tcW w:w="2816" w:type="dxa"/>
            <w:vAlign w:val="center"/>
          </w:tcPr>
          <w:p>
            <w:pPr>
              <w:snapToGrid w:val="0"/>
              <w:spacing w:before="156" w:beforeLines="50" w:line="360" w:lineRule="auto"/>
              <w:jc w:val="center"/>
              <w:rPr>
                <w:szCs w:val="21"/>
              </w:rPr>
            </w:pPr>
            <w:r>
              <w:rPr>
                <w:rFonts w:hint="eastAsia"/>
                <w:szCs w:val="21"/>
              </w:rPr>
              <w:t>招标控制价</w:t>
            </w:r>
          </w:p>
        </w:tc>
        <w:tc>
          <w:tcPr>
            <w:tcW w:w="5908" w:type="dxa"/>
            <w:vAlign w:val="center"/>
          </w:tcPr>
          <w:p>
            <w:pPr>
              <w:snapToGrid w:val="0"/>
              <w:spacing w:before="156" w:beforeLines="50" w:line="360" w:lineRule="auto"/>
              <w:rPr>
                <w:rFonts w:ascii="宋体" w:hAnsi="宋体"/>
                <w:szCs w:val="21"/>
                <w:highlight w:val="none"/>
              </w:rPr>
            </w:pPr>
            <w:r>
              <w:rPr>
                <w:rFonts w:hint="eastAsia" w:ascii="宋体" w:hAnsi="宋体"/>
                <w:szCs w:val="21"/>
                <w:highlight w:val="none"/>
              </w:rPr>
              <w:t>项目最高招标限价为：人</w:t>
            </w:r>
            <w:r>
              <w:rPr>
                <w:rFonts w:hint="eastAsia" w:ascii="宋体" w:hAnsi="宋体"/>
                <w:sz w:val="21"/>
                <w:szCs w:val="21"/>
                <w:highlight w:val="none"/>
              </w:rPr>
              <w:t>民币</w:t>
            </w:r>
            <w:r>
              <w:rPr>
                <w:rFonts w:hint="eastAsia" w:ascii="宋体" w:hAnsi="宋体" w:eastAsia="宋体" w:cs="宋体"/>
                <w:sz w:val="21"/>
                <w:szCs w:val="21"/>
                <w:highlight w:val="none"/>
                <w:u w:val="single"/>
                <w:lang w:val="en-US" w:eastAsia="zh-CN"/>
              </w:rPr>
              <w:t>441251.77元</w:t>
            </w:r>
            <w:r>
              <w:rPr>
                <w:rFonts w:hint="eastAsia" w:ascii="宋体" w:hAnsi="宋体" w:cs="宋体"/>
                <w:sz w:val="21"/>
                <w:szCs w:val="21"/>
                <w:highlight w:val="none"/>
              </w:rPr>
              <w:t>（含</w:t>
            </w:r>
            <w:r>
              <w:rPr>
                <w:rFonts w:hint="eastAsia" w:ascii="宋体" w:hAnsi="宋体" w:cs="宋体"/>
                <w:sz w:val="21"/>
                <w:szCs w:val="21"/>
                <w:highlight w:val="none"/>
                <w:lang w:val="en-US" w:eastAsia="zh-CN"/>
              </w:rPr>
              <w:t>设计费</w:t>
            </w:r>
            <w:r>
              <w:rPr>
                <w:rFonts w:hint="eastAsia" w:ascii="宋体" w:hAnsi="宋体" w:eastAsia="宋体" w:cs="宋体"/>
                <w:sz w:val="21"/>
                <w:szCs w:val="21"/>
                <w:highlight w:val="none"/>
                <w:lang w:val="en-US" w:eastAsia="zh-CN"/>
              </w:rPr>
              <w:t>、绿色施工安全防护措施费）</w:t>
            </w:r>
          </w:p>
          <w:p>
            <w:pPr>
              <w:snapToGrid w:val="0"/>
              <w:spacing w:line="360" w:lineRule="auto"/>
              <w:rPr>
                <w:rFonts w:ascii="宋体" w:hAnsi="宋体"/>
                <w:szCs w:val="21"/>
              </w:rPr>
            </w:pPr>
            <w:r>
              <w:rPr>
                <w:rFonts w:hint="eastAsia" w:ascii="宋体" w:hAnsi="宋体"/>
                <w:szCs w:val="21"/>
              </w:rPr>
              <w:t>投标总报价超过招标控制价的投标文件均作废标处理。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65" w:type="dxa"/>
            <w:vAlign w:val="center"/>
          </w:tcPr>
          <w:p>
            <w:pPr>
              <w:adjustRightInd w:val="0"/>
              <w:snapToGrid w:val="0"/>
              <w:spacing w:before="156" w:beforeLines="50" w:line="360" w:lineRule="auto"/>
              <w:jc w:val="center"/>
              <w:rPr>
                <w:rFonts w:hint="eastAsia" w:ascii="宋体" w:hAnsi="宋体"/>
                <w:szCs w:val="21"/>
              </w:rPr>
            </w:pPr>
            <w:r>
              <w:rPr>
                <w:rFonts w:hint="eastAsia" w:ascii="宋体" w:hAnsi="宋体"/>
                <w:bCs/>
                <w:szCs w:val="21"/>
              </w:rPr>
              <w:t>25</w:t>
            </w:r>
          </w:p>
        </w:tc>
        <w:tc>
          <w:tcPr>
            <w:tcW w:w="2816" w:type="dxa"/>
            <w:vAlign w:val="center"/>
          </w:tcPr>
          <w:p>
            <w:pPr>
              <w:snapToGrid w:val="0"/>
              <w:spacing w:before="156" w:beforeLines="50" w:line="360" w:lineRule="auto"/>
              <w:jc w:val="center"/>
              <w:rPr>
                <w:rFonts w:hint="eastAsia"/>
                <w:color w:val="auto"/>
                <w:szCs w:val="21"/>
              </w:rPr>
            </w:pPr>
            <w:r>
              <w:rPr>
                <w:rFonts w:ascii="宋体" w:hAnsi="宋体"/>
                <w:color w:val="auto"/>
                <w:szCs w:val="21"/>
              </w:rPr>
              <w:t>投标保证金</w:t>
            </w:r>
          </w:p>
        </w:tc>
        <w:tc>
          <w:tcPr>
            <w:tcW w:w="5908" w:type="dxa"/>
            <w:vAlign w:val="center"/>
          </w:tcPr>
          <w:p>
            <w:pPr>
              <w:snapToGrid w:val="0"/>
              <w:spacing w:before="156" w:beforeLines="50" w:line="360" w:lineRule="auto"/>
              <w:rPr>
                <w:rFonts w:hint="eastAsia" w:ascii="宋体" w:hAnsi="宋体" w:eastAsia="宋体"/>
                <w:color w:val="auto"/>
                <w:szCs w:val="21"/>
                <w:lang w:val="en-US" w:eastAsia="zh-CN"/>
              </w:rPr>
            </w:pPr>
            <w:r>
              <w:rPr>
                <w:rFonts w:hint="eastAsia" w:ascii="宋体" w:hAnsi="宋体" w:cs="宋体"/>
                <w:color w:val="auto"/>
                <w:sz w:val="21"/>
                <w:szCs w:val="21"/>
                <w:lang w:val="en-US" w:eastAsia="zh-CN"/>
              </w:rPr>
              <w:t>本项目</w:t>
            </w:r>
            <w:r>
              <w:rPr>
                <w:rFonts w:hint="eastAsia" w:ascii="宋体" w:hAnsi="宋体" w:eastAsia="宋体" w:cs="宋体"/>
                <w:color w:val="auto"/>
                <w:sz w:val="21"/>
                <w:szCs w:val="21"/>
              </w:rPr>
              <w:t>无需缴纳</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65" w:type="dxa"/>
            <w:vAlign w:val="center"/>
          </w:tcPr>
          <w:p>
            <w:pPr>
              <w:adjustRightInd w:val="0"/>
              <w:snapToGrid w:val="0"/>
              <w:spacing w:before="156" w:beforeLines="50" w:line="360" w:lineRule="auto"/>
              <w:jc w:val="center"/>
              <w:rPr>
                <w:rFonts w:ascii="宋体" w:hAnsi="宋体"/>
                <w:bCs/>
                <w:szCs w:val="21"/>
              </w:rPr>
            </w:pPr>
            <w:r>
              <w:rPr>
                <w:rFonts w:hint="eastAsia" w:ascii="宋体" w:hAnsi="宋体"/>
                <w:bCs/>
                <w:szCs w:val="21"/>
              </w:rPr>
              <w:t>26</w:t>
            </w:r>
          </w:p>
        </w:tc>
        <w:tc>
          <w:tcPr>
            <w:tcW w:w="2816" w:type="dxa"/>
            <w:vAlign w:val="center"/>
          </w:tcPr>
          <w:p>
            <w:pPr>
              <w:pStyle w:val="39"/>
              <w:adjustRightInd w:val="0"/>
              <w:snapToGrid w:val="0"/>
              <w:spacing w:before="156" w:beforeLines="50" w:after="0" w:line="360" w:lineRule="auto"/>
              <w:ind w:firstLine="0"/>
              <w:jc w:val="center"/>
              <w:rPr>
                <w:rFonts w:ascii="宋体" w:hAnsi="宋体"/>
                <w:bCs/>
                <w:szCs w:val="21"/>
              </w:rPr>
            </w:pPr>
            <w:r>
              <w:rPr>
                <w:rFonts w:hint="eastAsia" w:ascii="宋体" w:hAnsi="宋体"/>
                <w:szCs w:val="21"/>
              </w:rPr>
              <w:t>保修期</w:t>
            </w:r>
          </w:p>
        </w:tc>
        <w:tc>
          <w:tcPr>
            <w:tcW w:w="5908" w:type="dxa"/>
            <w:vAlign w:val="center"/>
          </w:tcPr>
          <w:p>
            <w:pPr>
              <w:adjustRightInd w:val="0"/>
              <w:snapToGrid w:val="0"/>
              <w:spacing w:before="156" w:beforeLines="50" w:line="360" w:lineRule="auto"/>
              <w:rPr>
                <w:rFonts w:ascii="宋体" w:hAnsi="宋体"/>
                <w:bCs/>
                <w:szCs w:val="21"/>
              </w:rPr>
            </w:pPr>
            <w:r>
              <w:rPr>
                <w:rFonts w:hint="eastAsia" w:ascii="宋体" w:hAnsi="宋体"/>
                <w:szCs w:val="21"/>
              </w:rPr>
              <w:t>按照《建设工程质量管理条例》规定。</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1165" w:type="dxa"/>
            <w:vAlign w:val="center"/>
          </w:tcPr>
          <w:p>
            <w:pPr>
              <w:adjustRightInd w:val="0"/>
              <w:snapToGrid w:val="0"/>
              <w:spacing w:before="156" w:beforeLines="50" w:line="360" w:lineRule="auto"/>
              <w:jc w:val="center"/>
              <w:rPr>
                <w:rFonts w:ascii="宋体" w:hAnsi="宋体"/>
                <w:bCs/>
                <w:szCs w:val="21"/>
              </w:rPr>
            </w:pPr>
            <w:r>
              <w:rPr>
                <w:rFonts w:hint="eastAsia" w:ascii="宋体" w:hAnsi="宋体"/>
                <w:bCs/>
                <w:szCs w:val="21"/>
              </w:rPr>
              <w:t>27</w:t>
            </w:r>
          </w:p>
        </w:tc>
        <w:tc>
          <w:tcPr>
            <w:tcW w:w="2816" w:type="dxa"/>
            <w:vAlign w:val="center"/>
          </w:tcPr>
          <w:p>
            <w:pPr>
              <w:adjustRightInd w:val="0"/>
              <w:snapToGrid w:val="0"/>
              <w:spacing w:before="156" w:beforeLines="50" w:line="360" w:lineRule="auto"/>
              <w:jc w:val="center"/>
              <w:rPr>
                <w:rFonts w:ascii="宋体" w:hAnsi="宋体"/>
                <w:bCs/>
                <w:szCs w:val="21"/>
              </w:rPr>
            </w:pPr>
            <w:r>
              <w:rPr>
                <w:rFonts w:hint="eastAsia" w:ascii="宋体" w:hAnsi="宋体"/>
                <w:bCs/>
                <w:szCs w:val="21"/>
              </w:rPr>
              <w:t>其他</w:t>
            </w:r>
          </w:p>
        </w:tc>
        <w:tc>
          <w:tcPr>
            <w:tcW w:w="5908" w:type="dxa"/>
            <w:vAlign w:val="center"/>
          </w:tcPr>
          <w:p>
            <w:pPr>
              <w:autoSpaceDE w:val="0"/>
              <w:autoSpaceDN w:val="0"/>
              <w:adjustRightInd w:val="0"/>
              <w:snapToGrid w:val="0"/>
              <w:spacing w:before="156" w:beforeLines="50" w:line="360" w:lineRule="auto"/>
              <w:jc w:val="left"/>
              <w:rPr>
                <w:rFonts w:ascii="宋体" w:hAnsi="宋体"/>
                <w:bCs/>
                <w:szCs w:val="21"/>
              </w:rPr>
            </w:pPr>
            <w:r>
              <w:rPr>
                <w:rFonts w:hint="eastAsia" w:ascii="宋体" w:hAnsi="宋体"/>
                <w:szCs w:val="21"/>
              </w:rPr>
              <w:t>/</w:t>
            </w:r>
          </w:p>
        </w:tc>
      </w:tr>
    </w:tbl>
    <w:p>
      <w:pPr>
        <w:adjustRightInd w:val="0"/>
        <w:spacing w:line="440" w:lineRule="exact"/>
        <w:textAlignment w:val="baseline"/>
        <w:rPr>
          <w:rFonts w:ascii="宋体" w:hAnsi="宋体" w:cs="宋体"/>
          <w:bCs/>
          <w:kern w:val="0"/>
          <w:sz w:val="24"/>
        </w:rPr>
        <w:sectPr>
          <w:footerReference r:id="rId6" w:type="default"/>
          <w:pgSz w:w="11906" w:h="16838"/>
          <w:pgMar w:top="1247" w:right="1134" w:bottom="1247" w:left="1361" w:header="851" w:footer="992" w:gutter="0"/>
          <w:pgBorders>
            <w:top w:val="none" w:sz="0" w:space="0"/>
            <w:left w:val="none" w:sz="0" w:space="0"/>
            <w:bottom w:val="none" w:sz="0" w:space="0"/>
            <w:right w:val="none" w:sz="0" w:space="0"/>
          </w:pgBorders>
          <w:pgNumType w:start="1"/>
          <w:cols w:space="720" w:num="1"/>
          <w:docGrid w:type="lines" w:linePitch="312" w:charSpace="0"/>
        </w:sectPr>
      </w:pPr>
    </w:p>
    <w:p>
      <w:pPr>
        <w:pStyle w:val="4"/>
        <w:keepNext w:val="0"/>
        <w:keepLines w:val="0"/>
        <w:spacing w:before="0" w:after="0" w:line="360" w:lineRule="auto"/>
        <w:ind w:firstLine="643" w:firstLineChars="200"/>
        <w:jc w:val="left"/>
      </w:pPr>
      <w:bookmarkStart w:id="86" w:name="_Toc19435"/>
      <w:bookmarkStart w:id="87" w:name="_Toc300834949"/>
      <w:bookmarkStart w:id="88" w:name="_Toc23892"/>
      <w:bookmarkStart w:id="89" w:name="_Toc5310"/>
      <w:bookmarkStart w:id="90" w:name="_Toc376"/>
      <w:bookmarkStart w:id="91" w:name="_Toc2174"/>
      <w:bookmarkStart w:id="92" w:name="_Toc247513952"/>
      <w:bookmarkStart w:id="93" w:name="_Toc22983"/>
      <w:bookmarkStart w:id="94" w:name="_Toc144974497"/>
      <w:bookmarkStart w:id="95" w:name="_Toc493"/>
      <w:bookmarkStart w:id="96" w:name="_Toc152045529"/>
      <w:bookmarkStart w:id="97" w:name="_Toc25026"/>
      <w:bookmarkStart w:id="98" w:name="_Toc31351"/>
      <w:bookmarkStart w:id="99" w:name="_Toc8466"/>
      <w:bookmarkStart w:id="100" w:name="_Toc30938"/>
      <w:bookmarkStart w:id="101" w:name="_Toc494371515"/>
      <w:bookmarkStart w:id="102" w:name="_Toc152042305"/>
      <w:bookmarkStart w:id="103" w:name="_Toc247527553"/>
      <w:bookmarkStart w:id="104" w:name="_Toc14621"/>
      <w:bookmarkStart w:id="105" w:name="_Toc5556"/>
      <w:r>
        <w:t xml:space="preserve">1. </w:t>
      </w:r>
      <w:r>
        <w:rPr>
          <w:rFonts w:hint="eastAsia"/>
        </w:rPr>
        <w:t>总则</w:t>
      </w:r>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p>
    <w:p>
      <w:pPr>
        <w:pStyle w:val="5"/>
        <w:spacing w:before="0" w:after="0" w:line="360" w:lineRule="auto"/>
        <w:ind w:firstLine="560" w:firstLineChars="200"/>
      </w:pPr>
      <w:bookmarkStart w:id="106" w:name="_Toc494371516"/>
      <w:bookmarkStart w:id="107" w:name="_Toc27599"/>
      <w:bookmarkStart w:id="108" w:name="_Toc6146"/>
      <w:bookmarkStart w:id="109" w:name="_Toc152045530"/>
      <w:bookmarkStart w:id="110" w:name="_Toc152042306"/>
      <w:bookmarkStart w:id="111" w:name="_Toc144974498"/>
      <w:bookmarkStart w:id="112" w:name="_Toc16499"/>
      <w:bookmarkStart w:id="113" w:name="_Toc247527554"/>
      <w:bookmarkStart w:id="114" w:name="_Toc30762"/>
      <w:bookmarkStart w:id="115" w:name="_Toc247513953"/>
      <w:bookmarkStart w:id="116" w:name="_Toc3327"/>
      <w:bookmarkStart w:id="117" w:name="_Toc8430"/>
      <w:bookmarkStart w:id="118" w:name="_Toc300834950"/>
      <w:bookmarkStart w:id="119" w:name="_Toc23702"/>
      <w:bookmarkStart w:id="120" w:name="_Toc22928"/>
      <w:bookmarkStart w:id="121" w:name="_Toc12263"/>
      <w:bookmarkStart w:id="122" w:name="_Toc16159"/>
      <w:r>
        <w:rPr>
          <w:rFonts w:ascii="Times New Roman" w:hAnsi="Times New Roman"/>
        </w:rPr>
        <w:t>1.1</w:t>
      </w:r>
      <w:r>
        <w:t xml:space="preserve"> 项目概况</w:t>
      </w:r>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p>
    <w:p>
      <w:pPr>
        <w:spacing w:line="360" w:lineRule="auto"/>
        <w:ind w:firstLine="420" w:firstLineChars="200"/>
        <w:rPr>
          <w:rFonts w:hint="eastAsia" w:ascii="宋体" w:hAnsi="宋体" w:cs="宋体"/>
        </w:rPr>
      </w:pPr>
      <w:r>
        <w:rPr>
          <w:rFonts w:hint="eastAsia" w:ascii="宋体" w:hAnsi="宋体" w:cs="宋体"/>
        </w:rPr>
        <w:t>1.1.1根据《中华人民共和国招标投标法》等有关法律、法规和规章的规定，本招标项目已具备招标条件，现对该项目施工进行招标。</w:t>
      </w:r>
    </w:p>
    <w:p>
      <w:pPr>
        <w:spacing w:line="360" w:lineRule="auto"/>
        <w:ind w:firstLine="420" w:firstLineChars="200"/>
        <w:rPr>
          <w:rFonts w:hint="eastAsia" w:ascii="宋体" w:hAnsi="宋体" w:cs="宋体"/>
        </w:rPr>
      </w:pPr>
      <w:r>
        <w:rPr>
          <w:rFonts w:hint="eastAsia" w:ascii="宋体" w:hAnsi="宋体" w:cs="宋体"/>
        </w:rPr>
        <w:t>1.1.2 招标单位、建设管理单位、招标代理机构：见投标人须知前附表。</w:t>
      </w:r>
    </w:p>
    <w:p>
      <w:pPr>
        <w:spacing w:line="360" w:lineRule="auto"/>
        <w:ind w:firstLine="420" w:firstLineChars="200"/>
        <w:rPr>
          <w:rFonts w:hint="eastAsia" w:ascii="宋体" w:hAnsi="宋体" w:cs="宋体"/>
        </w:rPr>
      </w:pPr>
      <w:r>
        <w:rPr>
          <w:rFonts w:hint="eastAsia" w:ascii="宋体" w:hAnsi="宋体" w:cs="宋体"/>
        </w:rPr>
        <w:t>1.1.3 招标项目名称：见投标人须知前附表。</w:t>
      </w:r>
    </w:p>
    <w:p>
      <w:pPr>
        <w:spacing w:line="360" w:lineRule="auto"/>
        <w:ind w:firstLine="420" w:firstLineChars="200"/>
        <w:rPr>
          <w:rFonts w:hint="eastAsia" w:ascii="宋体" w:hAnsi="宋体" w:cs="宋体"/>
        </w:rPr>
      </w:pPr>
      <w:r>
        <w:rPr>
          <w:rFonts w:hint="eastAsia" w:ascii="宋体" w:hAnsi="宋体" w:cs="宋体"/>
        </w:rPr>
        <w:t>1.1.4 项目建设地点：见投标人须知前附表。</w:t>
      </w:r>
    </w:p>
    <w:p>
      <w:pPr>
        <w:pStyle w:val="5"/>
        <w:spacing w:before="0" w:after="0" w:line="360" w:lineRule="auto"/>
        <w:ind w:firstLine="560" w:firstLineChars="200"/>
        <w:rPr>
          <w:rFonts w:ascii="Times New Roman" w:hAnsi="Times New Roman"/>
        </w:rPr>
      </w:pPr>
      <w:bookmarkStart w:id="123" w:name="_Toc28164"/>
      <w:bookmarkStart w:id="124" w:name="_Toc152045531"/>
      <w:bookmarkStart w:id="125" w:name="_Toc5082"/>
      <w:bookmarkStart w:id="126" w:name="_Toc21962"/>
      <w:bookmarkStart w:id="127" w:name="_Toc494371517"/>
      <w:bookmarkStart w:id="128" w:name="_Toc17611"/>
      <w:bookmarkStart w:id="129" w:name="_Toc22426"/>
      <w:bookmarkStart w:id="130" w:name="_Toc23335"/>
      <w:bookmarkStart w:id="131" w:name="_Toc300834951"/>
      <w:bookmarkStart w:id="132" w:name="_Toc6619"/>
      <w:bookmarkStart w:id="133" w:name="_Toc247527555"/>
      <w:bookmarkStart w:id="134" w:name="_Toc247513954"/>
      <w:bookmarkStart w:id="135" w:name="_Toc24580"/>
      <w:bookmarkStart w:id="136" w:name="_Toc144974499"/>
      <w:bookmarkStart w:id="137" w:name="_Toc2014"/>
      <w:bookmarkStart w:id="138" w:name="_Toc10866"/>
      <w:bookmarkStart w:id="139" w:name="_Toc152042307"/>
      <w:r>
        <w:rPr>
          <w:rFonts w:ascii="Times New Roman" w:hAnsi="Times New Roman"/>
        </w:rPr>
        <w:t xml:space="preserve">1.2 </w:t>
      </w:r>
      <w:r>
        <w:rPr>
          <w:rFonts w:hint="default" w:ascii="Times New Roman" w:hAnsi="Times New Roman"/>
        </w:rPr>
        <w:t>项目的资金来源和落实情况</w:t>
      </w:r>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p>
    <w:p>
      <w:pPr>
        <w:spacing w:line="360" w:lineRule="auto"/>
        <w:ind w:firstLine="420" w:firstLineChars="200"/>
        <w:rPr>
          <w:rFonts w:hint="eastAsia" w:ascii="宋体" w:hAnsi="宋体" w:cs="宋体"/>
        </w:rPr>
      </w:pPr>
      <w:r>
        <w:rPr>
          <w:rFonts w:hint="eastAsia" w:ascii="宋体" w:hAnsi="宋体" w:cs="宋体"/>
        </w:rPr>
        <w:t>1.2.1 资金来源及比例：见投标人须知前附表。</w:t>
      </w:r>
    </w:p>
    <w:p>
      <w:pPr>
        <w:spacing w:line="360" w:lineRule="auto"/>
        <w:ind w:firstLine="420" w:firstLineChars="200"/>
        <w:rPr>
          <w:rFonts w:hint="eastAsia" w:ascii="宋体" w:hAnsi="宋体" w:cs="宋体"/>
        </w:rPr>
      </w:pPr>
      <w:r>
        <w:rPr>
          <w:rFonts w:hint="eastAsia" w:ascii="宋体" w:hAnsi="宋体" w:cs="宋体"/>
        </w:rPr>
        <w:t>1.2.2 资金落实情况：见投标人须知前附表。</w:t>
      </w:r>
    </w:p>
    <w:p>
      <w:pPr>
        <w:pStyle w:val="5"/>
        <w:spacing w:before="0" w:after="0" w:line="360" w:lineRule="auto"/>
        <w:ind w:firstLine="560" w:firstLineChars="200"/>
        <w:rPr>
          <w:rFonts w:ascii="Times New Roman" w:hAnsi="Times New Roman"/>
        </w:rPr>
      </w:pPr>
      <w:bookmarkStart w:id="140" w:name="_Toc247527556"/>
      <w:bookmarkStart w:id="141" w:name="_Toc144974500"/>
      <w:bookmarkStart w:id="142" w:name="_Toc152045532"/>
      <w:bookmarkStart w:id="143" w:name="_Toc247513955"/>
      <w:bookmarkStart w:id="144" w:name="_Toc152042308"/>
      <w:bookmarkStart w:id="145" w:name="_Toc21315"/>
      <w:bookmarkStart w:id="146" w:name="_Toc10055"/>
      <w:bookmarkStart w:id="147" w:name="_Toc12223"/>
      <w:bookmarkStart w:id="148" w:name="_Toc6852"/>
      <w:bookmarkStart w:id="149" w:name="_Toc24250"/>
      <w:bookmarkStart w:id="150" w:name="_Toc300834952"/>
      <w:bookmarkStart w:id="151" w:name="_Toc12593"/>
      <w:bookmarkStart w:id="152" w:name="_Toc494371518"/>
      <w:bookmarkStart w:id="153" w:name="_Toc30791"/>
      <w:bookmarkStart w:id="154" w:name="_Toc8046"/>
      <w:bookmarkStart w:id="155" w:name="_Toc5144"/>
      <w:bookmarkStart w:id="156" w:name="_Toc20564"/>
      <w:r>
        <w:rPr>
          <w:rFonts w:ascii="Times New Roman" w:hAnsi="Times New Roman"/>
        </w:rPr>
        <w:t>1.3 招标范围、</w:t>
      </w:r>
      <w:r>
        <w:rPr>
          <w:rFonts w:hint="default" w:ascii="Times New Roman" w:hAnsi="Times New Roman"/>
        </w:rPr>
        <w:t>工期要求</w:t>
      </w:r>
      <w:r>
        <w:rPr>
          <w:rFonts w:ascii="Times New Roman" w:hAnsi="Times New Roman"/>
        </w:rPr>
        <w:t>和</w:t>
      </w:r>
      <w:bookmarkEnd w:id="140"/>
      <w:bookmarkEnd w:id="141"/>
      <w:bookmarkEnd w:id="142"/>
      <w:bookmarkEnd w:id="143"/>
      <w:bookmarkEnd w:id="144"/>
      <w:r>
        <w:rPr>
          <w:rFonts w:hint="default" w:ascii="Times New Roman" w:hAnsi="Times New Roman"/>
        </w:rPr>
        <w:t>质量标准</w:t>
      </w:r>
      <w:bookmarkEnd w:id="145"/>
      <w:bookmarkEnd w:id="146"/>
      <w:bookmarkEnd w:id="147"/>
      <w:bookmarkEnd w:id="148"/>
      <w:bookmarkEnd w:id="149"/>
      <w:bookmarkEnd w:id="150"/>
      <w:bookmarkEnd w:id="151"/>
      <w:bookmarkEnd w:id="152"/>
      <w:bookmarkEnd w:id="153"/>
      <w:bookmarkEnd w:id="154"/>
      <w:bookmarkEnd w:id="155"/>
      <w:bookmarkEnd w:id="156"/>
    </w:p>
    <w:p>
      <w:pPr>
        <w:spacing w:line="360" w:lineRule="auto"/>
        <w:ind w:firstLine="420" w:firstLineChars="200"/>
        <w:rPr>
          <w:rFonts w:hint="eastAsia" w:ascii="宋体" w:hAnsi="宋体" w:cs="宋体"/>
        </w:rPr>
      </w:pPr>
      <w:r>
        <w:rPr>
          <w:rFonts w:hint="eastAsia" w:ascii="宋体" w:hAnsi="宋体" w:cs="宋体"/>
        </w:rPr>
        <w:t>1.3.1 招标范围：见投标人须知前附表。</w:t>
      </w:r>
    </w:p>
    <w:p>
      <w:pPr>
        <w:spacing w:line="360" w:lineRule="auto"/>
        <w:ind w:firstLine="420" w:firstLineChars="200"/>
        <w:rPr>
          <w:rFonts w:hint="eastAsia" w:ascii="宋体" w:hAnsi="宋体" w:cs="宋体"/>
        </w:rPr>
      </w:pPr>
      <w:r>
        <w:rPr>
          <w:rFonts w:hint="eastAsia" w:ascii="宋体" w:hAnsi="宋体" w:cs="宋体"/>
        </w:rPr>
        <w:t>1.3.2 计划工期：见投标人须知前附表。</w:t>
      </w:r>
    </w:p>
    <w:p>
      <w:pPr>
        <w:spacing w:line="360" w:lineRule="auto"/>
        <w:ind w:firstLine="420" w:firstLineChars="200"/>
        <w:rPr>
          <w:rFonts w:hint="eastAsia" w:ascii="宋体" w:hAnsi="宋体" w:cs="宋体"/>
        </w:rPr>
      </w:pPr>
      <w:r>
        <w:rPr>
          <w:rFonts w:hint="eastAsia" w:ascii="宋体" w:hAnsi="宋体" w:cs="宋体"/>
        </w:rPr>
        <w:t>1.3.3 质量标准：见投标人须知前附表。</w:t>
      </w:r>
    </w:p>
    <w:p>
      <w:pPr>
        <w:pStyle w:val="5"/>
        <w:spacing w:before="0" w:after="0" w:line="360" w:lineRule="auto"/>
        <w:ind w:firstLine="560" w:firstLineChars="200"/>
        <w:rPr>
          <w:rFonts w:ascii="Times New Roman" w:hAnsi="Times New Roman"/>
        </w:rPr>
      </w:pPr>
      <w:bookmarkStart w:id="157" w:name="_Toc25165"/>
      <w:bookmarkStart w:id="158" w:name="_Toc21278"/>
      <w:bookmarkStart w:id="159" w:name="_Toc247527557"/>
      <w:bookmarkStart w:id="160" w:name="_Toc494371519"/>
      <w:bookmarkStart w:id="161" w:name="_Toc29837"/>
      <w:bookmarkStart w:id="162" w:name="_Toc16204"/>
      <w:bookmarkStart w:id="163" w:name="_Toc247513956"/>
      <w:bookmarkStart w:id="164" w:name="_Toc10308"/>
      <w:bookmarkStart w:id="165" w:name="_Toc152042309"/>
      <w:bookmarkStart w:id="166" w:name="_Toc300834953"/>
      <w:bookmarkStart w:id="167" w:name="_Toc27548"/>
      <w:bookmarkStart w:id="168" w:name="_Toc152045533"/>
      <w:bookmarkStart w:id="169" w:name="_Toc15022"/>
      <w:bookmarkStart w:id="170" w:name="_Toc9786"/>
      <w:bookmarkStart w:id="171" w:name="_Toc27436"/>
      <w:bookmarkStart w:id="172" w:name="_Toc30070"/>
      <w:bookmarkStart w:id="173" w:name="_Toc144974501"/>
      <w:r>
        <w:rPr>
          <w:rFonts w:ascii="Times New Roman" w:hAnsi="Times New Roman"/>
        </w:rPr>
        <w:t>1.4 投标人</w:t>
      </w:r>
      <w:r>
        <w:rPr>
          <w:rFonts w:hint="default" w:ascii="Times New Roman" w:hAnsi="Times New Roman"/>
        </w:rPr>
        <w:t>合格条件</w:t>
      </w:r>
      <w:r>
        <w:rPr>
          <w:rFonts w:ascii="Times New Roman" w:hAnsi="Times New Roman"/>
        </w:rPr>
        <w:t>（详见招标公告要求）</w:t>
      </w:r>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p>
    <w:p>
      <w:pPr>
        <w:pStyle w:val="5"/>
        <w:spacing w:before="0" w:after="0" w:line="360" w:lineRule="auto"/>
        <w:ind w:firstLine="560" w:firstLineChars="200"/>
      </w:pPr>
      <w:bookmarkStart w:id="174" w:name="_Toc15250"/>
      <w:bookmarkStart w:id="175" w:name="_Toc29204"/>
      <w:bookmarkStart w:id="176" w:name="_Toc13053"/>
      <w:bookmarkStart w:id="177" w:name="_Toc144974504"/>
      <w:bookmarkStart w:id="178" w:name="_Toc17087"/>
      <w:bookmarkStart w:id="179" w:name="_Toc9983"/>
      <w:bookmarkStart w:id="180" w:name="_Toc20208"/>
      <w:bookmarkStart w:id="181" w:name="_Toc1809"/>
      <w:bookmarkStart w:id="182" w:name="_Toc25667"/>
      <w:bookmarkStart w:id="183" w:name="_Toc31463"/>
      <w:bookmarkStart w:id="184" w:name="_Toc247527560"/>
      <w:bookmarkStart w:id="185" w:name="_Toc300834956"/>
      <w:bookmarkStart w:id="186" w:name="_Toc494371521"/>
      <w:bookmarkStart w:id="187" w:name="_Toc152045536"/>
      <w:bookmarkStart w:id="188" w:name="_Toc152042312"/>
      <w:bookmarkStart w:id="189" w:name="_Toc29962"/>
      <w:bookmarkStart w:id="190" w:name="_Toc247513959"/>
      <w:r>
        <w:rPr>
          <w:rFonts w:ascii="Times New Roman" w:hAnsi="Times New Roman"/>
        </w:rPr>
        <w:t>1</w:t>
      </w:r>
      <w:r>
        <w:rPr>
          <w:rFonts w:hint="default" w:ascii="Times New Roman" w:hAnsi="Times New Roman"/>
        </w:rPr>
        <w:t>.5</w:t>
      </w:r>
      <w:r>
        <w:rPr>
          <w:rFonts w:ascii="Times New Roman" w:hAnsi="Times New Roman"/>
        </w:rPr>
        <w:t xml:space="preserve"> </w:t>
      </w:r>
      <w:r>
        <w:rPr>
          <w:rFonts w:hint="default" w:ascii="Times New Roman" w:hAnsi="Times New Roman"/>
        </w:rPr>
        <w:t>保密</w:t>
      </w:r>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r>
        <w:tab/>
      </w:r>
    </w:p>
    <w:p>
      <w:pPr>
        <w:spacing w:line="360" w:lineRule="auto"/>
        <w:ind w:firstLine="420" w:firstLineChars="200"/>
        <w:rPr>
          <w:rFonts w:hint="eastAsia" w:ascii="宋体" w:hAnsi="宋体" w:cs="宋体"/>
        </w:rPr>
      </w:pPr>
      <w:r>
        <w:rPr>
          <w:rFonts w:hint="eastAsia" w:ascii="宋体" w:hAnsi="宋体" w:cs="宋体"/>
        </w:rPr>
        <w:t>参与招标投标活动的各方应对招标文件和投标文件中的商业和技术等秘密保密，否则应承担相应的法律责任。</w:t>
      </w:r>
    </w:p>
    <w:p>
      <w:pPr>
        <w:pStyle w:val="5"/>
        <w:spacing w:before="0" w:after="0" w:line="360" w:lineRule="auto"/>
        <w:ind w:firstLine="560" w:firstLineChars="200"/>
        <w:rPr>
          <w:rFonts w:ascii="Times New Roman" w:hAnsi="Times New Roman"/>
        </w:rPr>
      </w:pPr>
      <w:bookmarkStart w:id="191" w:name="_Toc144974505"/>
      <w:bookmarkStart w:id="192" w:name="_Toc152045537"/>
      <w:bookmarkStart w:id="193" w:name="_Toc15403"/>
      <w:bookmarkStart w:id="194" w:name="_Toc29984"/>
      <w:bookmarkStart w:id="195" w:name="_Toc247527561"/>
      <w:bookmarkStart w:id="196" w:name="_Toc300834957"/>
      <w:bookmarkStart w:id="197" w:name="_Toc27206"/>
      <w:bookmarkStart w:id="198" w:name="_Toc494371522"/>
      <w:bookmarkStart w:id="199" w:name="_Toc31702"/>
      <w:bookmarkStart w:id="200" w:name="_Toc12677"/>
      <w:bookmarkStart w:id="201" w:name="_Toc152042313"/>
      <w:bookmarkStart w:id="202" w:name="_Toc11478"/>
      <w:bookmarkStart w:id="203" w:name="_Toc7984"/>
      <w:bookmarkStart w:id="204" w:name="_Toc21141"/>
      <w:bookmarkStart w:id="205" w:name="_Toc10710"/>
      <w:bookmarkStart w:id="206" w:name="_Toc247513960"/>
      <w:bookmarkStart w:id="207" w:name="_Toc15952"/>
      <w:r>
        <w:rPr>
          <w:rFonts w:ascii="Times New Roman" w:hAnsi="Times New Roman"/>
        </w:rPr>
        <w:t>1.</w:t>
      </w:r>
      <w:r>
        <w:rPr>
          <w:rFonts w:hint="default" w:ascii="Times New Roman" w:hAnsi="Times New Roman"/>
        </w:rPr>
        <w:t>6</w:t>
      </w:r>
      <w:r>
        <w:rPr>
          <w:rFonts w:ascii="Times New Roman" w:hAnsi="Times New Roman"/>
        </w:rPr>
        <w:t xml:space="preserve"> 语言</w:t>
      </w:r>
      <w:bookmarkEnd w:id="191"/>
      <w:r>
        <w:rPr>
          <w:rFonts w:hint="default" w:ascii="Times New Roman" w:hAnsi="Times New Roman"/>
        </w:rPr>
        <w:t>文字</w:t>
      </w:r>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p>
    <w:p>
      <w:pPr>
        <w:spacing w:line="360" w:lineRule="auto"/>
        <w:ind w:firstLine="420" w:firstLineChars="200"/>
        <w:rPr>
          <w:rFonts w:hint="eastAsia" w:ascii="宋体" w:hAnsi="宋体" w:cs="宋体"/>
        </w:rPr>
      </w:pPr>
      <w:r>
        <w:rPr>
          <w:rFonts w:hint="eastAsia" w:ascii="宋体" w:hAnsi="宋体" w:cs="宋体"/>
        </w:rPr>
        <w:t>招标投标文件使用的语言文字为中文。专用术语使用外文的，应附有中文注释。</w:t>
      </w:r>
    </w:p>
    <w:p>
      <w:pPr>
        <w:pStyle w:val="5"/>
        <w:spacing w:before="0" w:after="0" w:line="360" w:lineRule="auto"/>
        <w:ind w:firstLine="560" w:firstLineChars="200"/>
        <w:rPr>
          <w:rFonts w:ascii="Times New Roman" w:hAnsi="Times New Roman"/>
        </w:rPr>
      </w:pPr>
      <w:bookmarkStart w:id="208" w:name="_Toc152045538"/>
      <w:bookmarkStart w:id="209" w:name="_Toc144974506"/>
      <w:bookmarkStart w:id="210" w:name="_Toc247527562"/>
      <w:bookmarkStart w:id="211" w:name="_Toc18979"/>
      <w:bookmarkStart w:id="212" w:name="_Toc31715"/>
      <w:bookmarkStart w:id="213" w:name="_Toc24995"/>
      <w:bookmarkStart w:id="214" w:name="_Toc28646"/>
      <w:bookmarkStart w:id="215" w:name="_Toc27884"/>
      <w:bookmarkStart w:id="216" w:name="_Toc494371523"/>
      <w:bookmarkStart w:id="217" w:name="_Toc300834958"/>
      <w:bookmarkStart w:id="218" w:name="_Toc3503"/>
      <w:bookmarkStart w:id="219" w:name="_Toc32144"/>
      <w:bookmarkStart w:id="220" w:name="_Toc152042314"/>
      <w:bookmarkStart w:id="221" w:name="_Toc13627"/>
      <w:bookmarkStart w:id="222" w:name="_Toc247513961"/>
      <w:bookmarkStart w:id="223" w:name="_Toc6208"/>
      <w:bookmarkStart w:id="224" w:name="_Toc27006"/>
      <w:r>
        <w:rPr>
          <w:rFonts w:ascii="Times New Roman" w:hAnsi="Times New Roman"/>
        </w:rPr>
        <w:t>1.</w:t>
      </w:r>
      <w:r>
        <w:rPr>
          <w:rFonts w:hint="default" w:ascii="Times New Roman" w:hAnsi="Times New Roman"/>
        </w:rPr>
        <w:t>7</w:t>
      </w:r>
      <w:r>
        <w:rPr>
          <w:rFonts w:ascii="Times New Roman" w:hAnsi="Times New Roman"/>
        </w:rPr>
        <w:t xml:space="preserve"> </w:t>
      </w:r>
      <w:r>
        <w:rPr>
          <w:rFonts w:hint="default" w:ascii="Times New Roman" w:hAnsi="Times New Roman"/>
        </w:rPr>
        <w:t>计量单位</w:t>
      </w:r>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p>
    <w:p>
      <w:pPr>
        <w:spacing w:line="360" w:lineRule="auto"/>
        <w:ind w:firstLine="420" w:firstLineChars="200"/>
        <w:rPr>
          <w:rFonts w:hint="eastAsia" w:ascii="宋体" w:hAnsi="宋体" w:cs="宋体"/>
        </w:rPr>
      </w:pPr>
      <w:r>
        <w:rPr>
          <w:rFonts w:hint="eastAsia" w:ascii="宋体" w:hAnsi="宋体" w:cs="宋体"/>
        </w:rPr>
        <w:t>1.8.1所有计量均采用中华人民共和国法定计量单位。</w:t>
      </w:r>
    </w:p>
    <w:p>
      <w:pPr>
        <w:spacing w:line="360" w:lineRule="auto"/>
        <w:ind w:firstLine="420" w:firstLineChars="200"/>
        <w:rPr>
          <w:rFonts w:hint="eastAsia" w:ascii="宋体" w:hAnsi="宋体" w:cs="宋体"/>
        </w:rPr>
      </w:pPr>
      <w:r>
        <w:rPr>
          <w:rFonts w:hint="eastAsia" w:ascii="宋体" w:hAnsi="宋体" w:cs="宋体"/>
        </w:rPr>
        <w:t>1.8.2 本工程投标报价采用的的币种为人民币。</w:t>
      </w:r>
    </w:p>
    <w:p>
      <w:pPr>
        <w:pStyle w:val="5"/>
        <w:spacing w:before="0" w:after="0" w:line="360" w:lineRule="auto"/>
        <w:ind w:firstLine="560" w:firstLineChars="200"/>
        <w:rPr>
          <w:rFonts w:ascii="Times New Roman" w:hAnsi="Times New Roman"/>
        </w:rPr>
      </w:pPr>
      <w:bookmarkStart w:id="225" w:name="_Toc26270"/>
      <w:bookmarkStart w:id="226" w:name="_Toc23415"/>
      <w:bookmarkStart w:id="227" w:name="_Toc152042315"/>
      <w:bookmarkStart w:id="228" w:name="_Toc300834959"/>
      <w:bookmarkStart w:id="229" w:name="_Toc16330"/>
      <w:bookmarkStart w:id="230" w:name="_Toc24491"/>
      <w:bookmarkStart w:id="231" w:name="_Toc21709"/>
      <w:bookmarkStart w:id="232" w:name="_Toc32089"/>
      <w:bookmarkStart w:id="233" w:name="_Toc247527563"/>
      <w:bookmarkStart w:id="234" w:name="_Toc494371524"/>
      <w:bookmarkStart w:id="235" w:name="_Toc13153"/>
      <w:bookmarkStart w:id="236" w:name="_Toc14018"/>
      <w:bookmarkStart w:id="237" w:name="_Toc144974507"/>
      <w:bookmarkStart w:id="238" w:name="_Toc7578"/>
      <w:bookmarkStart w:id="239" w:name="_Toc247513962"/>
      <w:bookmarkStart w:id="240" w:name="_Toc21627"/>
      <w:bookmarkStart w:id="241" w:name="_Toc152045539"/>
      <w:r>
        <w:rPr>
          <w:rFonts w:ascii="Times New Roman" w:hAnsi="Times New Roman"/>
        </w:rPr>
        <w:t>1.</w:t>
      </w:r>
      <w:r>
        <w:rPr>
          <w:rFonts w:hint="default" w:ascii="Times New Roman" w:hAnsi="Times New Roman"/>
        </w:rPr>
        <w:t>8</w:t>
      </w:r>
      <w:r>
        <w:rPr>
          <w:rFonts w:ascii="Times New Roman" w:hAnsi="Times New Roman"/>
        </w:rPr>
        <w:t xml:space="preserve"> 踏勘现场</w:t>
      </w:r>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p>
    <w:p>
      <w:pPr>
        <w:spacing w:line="360" w:lineRule="auto"/>
        <w:ind w:firstLine="420" w:firstLineChars="200"/>
        <w:rPr>
          <w:rFonts w:hint="eastAsia" w:ascii="宋体" w:hAnsi="宋体" w:cs="宋体"/>
        </w:rPr>
      </w:pPr>
      <w:r>
        <w:rPr>
          <w:rFonts w:hint="eastAsia" w:ascii="宋体" w:hAnsi="宋体" w:cs="宋体"/>
        </w:rPr>
        <w:t>1.8.1 投标人须知前附表规定组织踏勘现场的，招标人按投标人须知前附表规定的时间、地点组织投标人踏勘项目现场。</w:t>
      </w:r>
    </w:p>
    <w:p>
      <w:pPr>
        <w:spacing w:line="360" w:lineRule="auto"/>
        <w:ind w:firstLine="420" w:firstLineChars="200"/>
        <w:rPr>
          <w:rFonts w:hint="eastAsia" w:ascii="宋体" w:hAnsi="宋体" w:cs="宋体"/>
        </w:rPr>
      </w:pPr>
      <w:r>
        <w:rPr>
          <w:rFonts w:hint="eastAsia" w:ascii="宋体" w:hAnsi="宋体" w:cs="宋体"/>
        </w:rPr>
        <w:t>1.8.2 投标人踏勘现场发生的费用自理。</w:t>
      </w:r>
    </w:p>
    <w:p>
      <w:pPr>
        <w:spacing w:line="360" w:lineRule="auto"/>
        <w:ind w:firstLine="420" w:firstLineChars="200"/>
        <w:rPr>
          <w:rFonts w:hint="eastAsia" w:ascii="宋体" w:hAnsi="宋体" w:cs="宋体"/>
        </w:rPr>
      </w:pPr>
      <w:r>
        <w:rPr>
          <w:rFonts w:hint="eastAsia" w:ascii="宋体" w:hAnsi="宋体" w:cs="宋体"/>
        </w:rPr>
        <w:t>1.8.3 除招标人的原因外，投标人自行负责在踏勘现场中所发生的人员伤亡和财产损失。</w:t>
      </w:r>
    </w:p>
    <w:p>
      <w:pPr>
        <w:spacing w:line="360" w:lineRule="auto"/>
        <w:ind w:firstLine="420" w:firstLineChars="200"/>
        <w:rPr>
          <w:rFonts w:hint="eastAsia" w:ascii="宋体" w:hAnsi="宋体" w:cs="宋体"/>
        </w:rPr>
      </w:pPr>
      <w:r>
        <w:rPr>
          <w:rFonts w:hint="eastAsia" w:ascii="宋体" w:hAnsi="宋体" w:cs="宋体"/>
        </w:rPr>
        <w:t>1.8.4 现场由投标人自行踏勘，投标人不进行踏勘的，视为已熟知现场条件，自行承担相关风险。招标人不对投标人自行踏勘现场作出的判断和决策负责。</w:t>
      </w:r>
    </w:p>
    <w:p>
      <w:pPr>
        <w:pStyle w:val="5"/>
        <w:spacing w:before="0" w:after="0" w:line="360" w:lineRule="auto"/>
        <w:ind w:firstLine="562" w:firstLineChars="200"/>
        <w:rPr>
          <w:rFonts w:ascii="Times New Roman" w:hAnsi="Times New Roman" w:cs="Times New Roman"/>
          <w:b/>
          <w:bCs w:val="0"/>
        </w:rPr>
      </w:pPr>
      <w:bookmarkStart w:id="242" w:name="_Toc152042318"/>
      <w:bookmarkStart w:id="243" w:name="_Toc9925"/>
      <w:bookmarkStart w:id="244" w:name="_Toc144974510"/>
      <w:bookmarkStart w:id="245" w:name="_Toc28224"/>
      <w:bookmarkStart w:id="246" w:name="_Toc22361"/>
      <w:bookmarkStart w:id="247" w:name="_Toc23852"/>
      <w:bookmarkStart w:id="248" w:name="_Toc247513966"/>
      <w:bookmarkStart w:id="249" w:name="_Toc14358"/>
      <w:bookmarkStart w:id="250" w:name="_Toc300834963"/>
      <w:bookmarkStart w:id="251" w:name="_Toc18406"/>
      <w:bookmarkStart w:id="252" w:name="_Toc494371528"/>
      <w:bookmarkStart w:id="253" w:name="_Toc25753"/>
      <w:bookmarkStart w:id="254" w:name="_Toc247527567"/>
      <w:bookmarkStart w:id="255" w:name="_Toc152045542"/>
      <w:bookmarkStart w:id="256" w:name="_Toc22778"/>
      <w:bookmarkStart w:id="257" w:name="_Toc13096"/>
      <w:bookmarkStart w:id="258" w:name="_Toc28780"/>
      <w:bookmarkStart w:id="259" w:name="_Toc20199"/>
      <w:bookmarkStart w:id="260" w:name="_Toc25933"/>
      <w:r>
        <w:rPr>
          <w:rFonts w:ascii="Times New Roman" w:hAnsi="Times New Roman" w:cs="Times New Roman"/>
          <w:b/>
          <w:bCs w:val="0"/>
        </w:rPr>
        <w:t xml:space="preserve">2. </w:t>
      </w:r>
      <w:r>
        <w:rPr>
          <w:rFonts w:hint="default" w:ascii="Times New Roman" w:hAnsi="Times New Roman" w:cs="Times New Roman"/>
          <w:b/>
          <w:bCs w:val="0"/>
        </w:rPr>
        <w:t>招标文件</w:t>
      </w:r>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p>
    <w:p>
      <w:pPr>
        <w:pStyle w:val="5"/>
        <w:spacing w:before="0" w:after="0" w:line="360" w:lineRule="auto"/>
        <w:ind w:firstLine="560" w:firstLineChars="200"/>
        <w:rPr>
          <w:rFonts w:ascii="Times New Roman" w:hAnsi="Times New Roman"/>
        </w:rPr>
      </w:pPr>
      <w:bookmarkStart w:id="261" w:name="_Toc12130"/>
      <w:bookmarkStart w:id="262" w:name="_Toc152042319"/>
      <w:bookmarkStart w:id="263" w:name="_Toc16384"/>
      <w:bookmarkStart w:id="264" w:name="_Toc14514"/>
      <w:bookmarkStart w:id="265" w:name="_Toc644"/>
      <w:bookmarkStart w:id="266" w:name="_Toc27602"/>
      <w:bookmarkStart w:id="267" w:name="_Toc152045543"/>
      <w:bookmarkStart w:id="268" w:name="_Toc144974511"/>
      <w:bookmarkStart w:id="269" w:name="_Toc11154"/>
      <w:bookmarkStart w:id="270" w:name="_Toc494371529"/>
      <w:bookmarkStart w:id="271" w:name="_Toc19518"/>
      <w:bookmarkStart w:id="272" w:name="_Toc247513967"/>
      <w:bookmarkStart w:id="273" w:name="_Toc22589"/>
      <w:bookmarkStart w:id="274" w:name="_Toc300834964"/>
      <w:bookmarkStart w:id="275" w:name="_Toc244"/>
      <w:bookmarkStart w:id="276" w:name="_Toc247527568"/>
      <w:bookmarkStart w:id="277" w:name="_Toc18571"/>
      <w:r>
        <w:rPr>
          <w:rFonts w:ascii="Times New Roman" w:hAnsi="Times New Roman"/>
        </w:rPr>
        <w:t>2.1 招标文件的组成</w:t>
      </w:r>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p>
    <w:p>
      <w:pPr>
        <w:spacing w:line="360" w:lineRule="auto"/>
        <w:ind w:firstLine="420" w:firstLineChars="200"/>
        <w:rPr>
          <w:rFonts w:hint="eastAsia" w:ascii="宋体" w:hAnsi="宋体" w:cs="宋体"/>
        </w:rPr>
      </w:pPr>
      <w:r>
        <w:rPr>
          <w:rFonts w:hint="eastAsia"/>
        </w:rPr>
        <w:t>　</w:t>
      </w:r>
      <w:r>
        <w:rPr>
          <w:rFonts w:hint="eastAsia" w:ascii="宋体" w:hAnsi="宋体" w:cs="宋体"/>
        </w:rPr>
        <w:t>　本招标文件包括：</w:t>
      </w:r>
    </w:p>
    <w:p>
      <w:pPr>
        <w:spacing w:line="360" w:lineRule="auto"/>
        <w:ind w:firstLine="420" w:firstLineChars="200"/>
        <w:rPr>
          <w:rFonts w:hint="eastAsia" w:ascii="宋体" w:hAnsi="宋体" w:cs="宋体"/>
        </w:rPr>
      </w:pPr>
      <w:r>
        <w:rPr>
          <w:rFonts w:hint="eastAsia" w:ascii="宋体" w:hAnsi="宋体" w:cs="宋体"/>
        </w:rPr>
        <w:t>（1）招标公告；</w:t>
      </w:r>
    </w:p>
    <w:p>
      <w:pPr>
        <w:spacing w:line="360" w:lineRule="auto"/>
        <w:ind w:firstLine="420" w:firstLineChars="200"/>
        <w:rPr>
          <w:rFonts w:hint="eastAsia" w:ascii="宋体" w:hAnsi="宋体" w:cs="宋体"/>
        </w:rPr>
      </w:pPr>
      <w:r>
        <w:rPr>
          <w:rFonts w:hint="eastAsia" w:ascii="宋体" w:hAnsi="宋体" w:cs="宋体"/>
        </w:rPr>
        <w:t>（2）投标人须知；</w:t>
      </w:r>
    </w:p>
    <w:p>
      <w:pPr>
        <w:spacing w:line="360" w:lineRule="auto"/>
        <w:ind w:firstLine="420" w:firstLineChars="200"/>
        <w:rPr>
          <w:rFonts w:hint="eastAsia" w:ascii="宋体" w:hAnsi="宋体" w:cs="宋体"/>
        </w:rPr>
      </w:pPr>
      <w:r>
        <w:rPr>
          <w:rFonts w:hint="eastAsia" w:ascii="宋体" w:hAnsi="宋体" w:cs="宋体"/>
        </w:rPr>
        <w:t>（3）评标办法；</w:t>
      </w:r>
    </w:p>
    <w:p>
      <w:pPr>
        <w:spacing w:line="360" w:lineRule="auto"/>
        <w:ind w:firstLine="420" w:firstLineChars="200"/>
        <w:rPr>
          <w:rFonts w:hint="eastAsia" w:ascii="宋体" w:hAnsi="宋体" w:cs="宋体"/>
        </w:rPr>
      </w:pPr>
      <w:r>
        <w:rPr>
          <w:rFonts w:hint="eastAsia" w:ascii="宋体" w:hAnsi="宋体" w:cs="宋体"/>
        </w:rPr>
        <w:t>（4）</w:t>
      </w:r>
      <w:r>
        <w:rPr>
          <w:rFonts w:hint="eastAsia" w:ascii="宋体" w:hAnsi="宋体" w:cs="宋体"/>
          <w:color w:val="auto"/>
        </w:rPr>
        <w:t>合同条款及格式；</w:t>
      </w:r>
    </w:p>
    <w:p>
      <w:pPr>
        <w:spacing w:line="360" w:lineRule="auto"/>
        <w:ind w:firstLine="420" w:firstLineChars="200"/>
        <w:rPr>
          <w:rFonts w:hint="eastAsia" w:ascii="宋体" w:hAnsi="宋体" w:cs="宋体"/>
        </w:rPr>
      </w:pPr>
      <w:r>
        <w:rPr>
          <w:rFonts w:hint="eastAsia" w:ascii="宋体" w:hAnsi="宋体" w:cs="宋体"/>
        </w:rPr>
        <w:t>（5）投标文件格式；</w:t>
      </w:r>
    </w:p>
    <w:p>
      <w:pPr>
        <w:spacing w:line="360" w:lineRule="auto"/>
        <w:ind w:firstLine="420" w:firstLineChars="200"/>
        <w:rPr>
          <w:rFonts w:hint="eastAsia" w:ascii="宋体" w:hAnsi="宋体" w:cs="宋体"/>
        </w:rPr>
      </w:pPr>
      <w:r>
        <w:rPr>
          <w:rFonts w:hint="eastAsia" w:ascii="宋体" w:hAnsi="宋体" w:cs="宋体"/>
        </w:rPr>
        <w:t>（6）投标人须知前附表规定的其他资料。</w:t>
      </w:r>
    </w:p>
    <w:p>
      <w:pPr>
        <w:pStyle w:val="5"/>
        <w:spacing w:before="0" w:after="0" w:line="360" w:lineRule="auto"/>
        <w:ind w:firstLine="560" w:firstLineChars="200"/>
        <w:rPr>
          <w:rFonts w:ascii="Times New Roman" w:hAnsi="Times New Roman"/>
        </w:rPr>
      </w:pPr>
      <w:bookmarkStart w:id="278" w:name="_Toc6072"/>
      <w:bookmarkStart w:id="279" w:name="_Toc152045544"/>
      <w:bookmarkStart w:id="280" w:name="_Toc494371530"/>
      <w:bookmarkStart w:id="281" w:name="_Toc152042320"/>
      <w:bookmarkStart w:id="282" w:name="_Toc10715"/>
      <w:bookmarkStart w:id="283" w:name="_Toc247527569"/>
      <w:bookmarkStart w:id="284" w:name="_Toc24642"/>
      <w:bookmarkStart w:id="285" w:name="_Toc3890"/>
      <w:bookmarkStart w:id="286" w:name="_Toc28197"/>
      <w:bookmarkStart w:id="287" w:name="_Toc144974512"/>
      <w:bookmarkStart w:id="288" w:name="_Toc28374"/>
      <w:bookmarkStart w:id="289" w:name="_Toc247513968"/>
      <w:bookmarkStart w:id="290" w:name="_Toc300834965"/>
      <w:bookmarkStart w:id="291" w:name="_Toc14693"/>
      <w:bookmarkStart w:id="292" w:name="_Toc24802"/>
      <w:bookmarkStart w:id="293" w:name="_Toc13489"/>
      <w:bookmarkStart w:id="294" w:name="_Toc2920"/>
      <w:r>
        <w:rPr>
          <w:rFonts w:ascii="Times New Roman" w:hAnsi="Times New Roman"/>
        </w:rPr>
        <w:t xml:space="preserve">2.2 </w:t>
      </w:r>
      <w:r>
        <w:rPr>
          <w:rFonts w:hint="default" w:ascii="Times New Roman" w:hAnsi="Times New Roman"/>
        </w:rPr>
        <w:t>招标文件的澄清</w:t>
      </w:r>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p>
    <w:p>
      <w:pPr>
        <w:spacing w:line="360" w:lineRule="auto"/>
        <w:ind w:firstLine="420" w:firstLineChars="200"/>
        <w:rPr>
          <w:rFonts w:hint="eastAsia" w:ascii="宋体" w:hAnsi="宋体" w:cs="宋体"/>
          <w:szCs w:val="24"/>
        </w:rPr>
      </w:pPr>
      <w:r>
        <w:rPr>
          <w:rFonts w:hint="eastAsia" w:ascii="宋体" w:hAnsi="宋体" w:cs="宋体"/>
        </w:rPr>
        <w:t>2.2.1 投标人应仔细阅读和检查招标文件的全部内容。</w:t>
      </w:r>
      <w:r>
        <w:rPr>
          <w:rFonts w:hint="eastAsia" w:ascii="宋体" w:hAnsi="宋体" w:cs="宋体"/>
          <w:szCs w:val="24"/>
        </w:rPr>
        <w:t>如发现缺页或附件不全，应及时向招标人提出，以便补齐。</w:t>
      </w:r>
    </w:p>
    <w:p>
      <w:pPr>
        <w:spacing w:line="360" w:lineRule="auto"/>
        <w:ind w:firstLine="420" w:firstLineChars="200"/>
        <w:rPr>
          <w:rFonts w:hint="eastAsia" w:ascii="宋体" w:hAnsi="宋体" w:cs="宋体"/>
          <w:szCs w:val="24"/>
        </w:rPr>
      </w:pPr>
      <w:r>
        <w:rPr>
          <w:rFonts w:hint="eastAsia" w:ascii="宋体" w:hAnsi="宋体" w:cs="宋体"/>
        </w:rPr>
        <w:t xml:space="preserve">2.2.2 </w:t>
      </w:r>
      <w:r>
        <w:rPr>
          <w:rFonts w:hint="eastAsia" w:ascii="宋体" w:hAnsi="宋体" w:cs="宋体"/>
          <w:szCs w:val="24"/>
        </w:rPr>
        <w:t>招标补充公告一经在广州南沙资产经营集团有限公司网站发布，视作已发放给所有投标人。</w:t>
      </w:r>
    </w:p>
    <w:p>
      <w:pPr>
        <w:pStyle w:val="5"/>
        <w:spacing w:before="0" w:after="0" w:line="360" w:lineRule="auto"/>
        <w:ind w:firstLine="560" w:firstLineChars="200"/>
        <w:rPr>
          <w:rFonts w:ascii="Times New Roman" w:hAnsi="Times New Roman"/>
        </w:rPr>
      </w:pPr>
      <w:bookmarkStart w:id="295" w:name="_Toc28122"/>
      <w:bookmarkStart w:id="296" w:name="_Toc144974513"/>
      <w:bookmarkStart w:id="297" w:name="_Toc29656"/>
      <w:bookmarkStart w:id="298" w:name="_Toc247513969"/>
      <w:bookmarkStart w:id="299" w:name="_Toc24839"/>
      <w:bookmarkStart w:id="300" w:name="_Toc152045545"/>
      <w:bookmarkStart w:id="301" w:name="_Toc5512"/>
      <w:bookmarkStart w:id="302" w:name="_Toc300834966"/>
      <w:bookmarkStart w:id="303" w:name="_Toc494371531"/>
      <w:bookmarkStart w:id="304" w:name="_Toc3897"/>
      <w:bookmarkStart w:id="305" w:name="_Toc2421"/>
      <w:bookmarkStart w:id="306" w:name="_Toc13973"/>
      <w:bookmarkStart w:id="307" w:name="_Toc247527570"/>
      <w:bookmarkStart w:id="308" w:name="_Toc18567"/>
      <w:bookmarkStart w:id="309" w:name="_Toc1392"/>
      <w:bookmarkStart w:id="310" w:name="_Toc152042321"/>
      <w:bookmarkStart w:id="311" w:name="_Toc21917"/>
      <w:r>
        <w:rPr>
          <w:rFonts w:ascii="Times New Roman" w:hAnsi="Times New Roman"/>
        </w:rPr>
        <w:t>2.3 招标文件的修改</w:t>
      </w:r>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p>
    <w:p>
      <w:pPr>
        <w:spacing w:line="360" w:lineRule="auto"/>
        <w:ind w:firstLine="420" w:firstLineChars="200"/>
        <w:rPr>
          <w:rFonts w:hint="eastAsia" w:ascii="宋体" w:hAnsi="宋体" w:cs="宋体"/>
          <w:szCs w:val="24"/>
        </w:rPr>
      </w:pPr>
      <w:r>
        <w:rPr>
          <w:rFonts w:hint="eastAsia" w:ascii="宋体" w:hAnsi="宋体" w:cs="宋体"/>
          <w:szCs w:val="24"/>
        </w:rPr>
        <w:t>2.3.1招标文件的澄清、修改均以在广州南沙资产经营集团有限公司网站进行发布。当招标文件的澄清、修改在同一内容的表述不一致时，以广州南沙资产经营集团有限公司网站最后发布的内容为准。</w:t>
      </w:r>
    </w:p>
    <w:p>
      <w:pPr>
        <w:spacing w:line="360" w:lineRule="auto"/>
        <w:ind w:firstLine="420" w:firstLineChars="200"/>
        <w:rPr>
          <w:rFonts w:hint="eastAsia" w:ascii="宋体" w:hAnsi="宋体" w:cs="宋体"/>
          <w:strike w:val="0"/>
        </w:rPr>
      </w:pPr>
      <w:r>
        <w:rPr>
          <w:rFonts w:hint="eastAsia" w:ascii="宋体" w:hAnsi="宋体" w:cs="宋体"/>
          <w:szCs w:val="24"/>
        </w:rPr>
        <w:t>2.3.2为使投标人在编制投标文件时有充分的时间对招标文件的澄清、修改、补充等内容考虑进去，招标人将酌情延长提交投标文件的截止时间，具体时间将在招标文件的修改、补充通知中予以明确。若通知中没有明确延长时间，即表示投标时间不延长。</w:t>
      </w:r>
    </w:p>
    <w:p>
      <w:pPr>
        <w:pStyle w:val="5"/>
        <w:spacing w:before="0" w:after="0" w:line="360" w:lineRule="auto"/>
        <w:ind w:firstLine="562" w:firstLineChars="200"/>
        <w:rPr>
          <w:rFonts w:ascii="Times New Roman" w:hAnsi="Times New Roman" w:cs="Times New Roman"/>
          <w:b/>
          <w:bCs w:val="0"/>
        </w:rPr>
      </w:pPr>
      <w:bookmarkStart w:id="312" w:name="_Toc31255"/>
      <w:bookmarkStart w:id="313" w:name="_Toc5391"/>
      <w:bookmarkStart w:id="314" w:name="_Toc152042322"/>
      <w:bookmarkStart w:id="315" w:name="_Toc2051"/>
      <w:bookmarkStart w:id="316" w:name="_Toc300834967"/>
      <w:bookmarkStart w:id="317" w:name="_Toc8312"/>
      <w:bookmarkStart w:id="318" w:name="_Toc29199"/>
      <w:bookmarkStart w:id="319" w:name="_Toc152045546"/>
      <w:bookmarkStart w:id="320" w:name="_Toc28135"/>
      <w:bookmarkStart w:id="321" w:name="_Toc26021"/>
      <w:bookmarkStart w:id="322" w:name="_Toc3337"/>
      <w:bookmarkStart w:id="323" w:name="_Toc494371532"/>
      <w:bookmarkStart w:id="324" w:name="_Toc27286"/>
      <w:bookmarkStart w:id="325" w:name="_Toc26603"/>
      <w:bookmarkStart w:id="326" w:name="_Toc25826"/>
      <w:bookmarkStart w:id="327" w:name="_Toc144974514"/>
      <w:bookmarkStart w:id="328" w:name="_Toc247513970"/>
      <w:bookmarkStart w:id="329" w:name="_Toc5036"/>
      <w:bookmarkStart w:id="330" w:name="_Toc247527571"/>
      <w:r>
        <w:rPr>
          <w:rFonts w:ascii="Times New Roman" w:hAnsi="Times New Roman" w:cs="Times New Roman"/>
          <w:b/>
          <w:bCs w:val="0"/>
        </w:rPr>
        <w:t xml:space="preserve">3. </w:t>
      </w:r>
      <w:r>
        <w:rPr>
          <w:rFonts w:hint="default" w:ascii="Times New Roman" w:hAnsi="Times New Roman" w:cs="Times New Roman"/>
          <w:b/>
          <w:bCs w:val="0"/>
        </w:rPr>
        <w:t>投标文件</w:t>
      </w:r>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p>
    <w:p>
      <w:pPr>
        <w:pStyle w:val="5"/>
        <w:spacing w:before="0" w:after="0" w:line="360" w:lineRule="auto"/>
        <w:ind w:firstLine="560" w:firstLineChars="200"/>
        <w:rPr>
          <w:rFonts w:ascii="Times New Roman" w:hAnsi="Times New Roman"/>
        </w:rPr>
      </w:pPr>
      <w:bookmarkStart w:id="331" w:name="_Toc24076"/>
      <w:bookmarkStart w:id="332" w:name="_Toc300834968"/>
      <w:bookmarkStart w:id="333" w:name="_Toc18809"/>
      <w:bookmarkStart w:id="334" w:name="_Toc16929"/>
      <w:bookmarkStart w:id="335" w:name="_Toc3199"/>
      <w:bookmarkStart w:id="336" w:name="_Toc152045547"/>
      <w:bookmarkStart w:id="337" w:name="_Toc26505"/>
      <w:bookmarkStart w:id="338" w:name="_Toc152042323"/>
      <w:bookmarkStart w:id="339" w:name="_Toc144974515"/>
      <w:bookmarkStart w:id="340" w:name="_Toc21128"/>
      <w:bookmarkStart w:id="341" w:name="_Toc2343"/>
      <w:bookmarkStart w:id="342" w:name="_Toc494371533"/>
      <w:bookmarkStart w:id="343" w:name="_Toc10837"/>
      <w:bookmarkStart w:id="344" w:name="_Toc4137"/>
      <w:bookmarkStart w:id="345" w:name="_Toc15668"/>
      <w:bookmarkStart w:id="346" w:name="_Toc247513971"/>
      <w:bookmarkStart w:id="347" w:name="_Toc247527572"/>
      <w:r>
        <w:rPr>
          <w:rFonts w:ascii="Times New Roman" w:hAnsi="Times New Roman"/>
        </w:rPr>
        <w:t>3.1 投标文件的组成</w:t>
      </w:r>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p>
    <w:p>
      <w:pPr>
        <w:spacing w:line="360" w:lineRule="auto"/>
        <w:ind w:firstLine="420" w:firstLineChars="200"/>
      </w:pPr>
      <w:r>
        <w:rPr>
          <w:rFonts w:hint="eastAsia"/>
        </w:rPr>
        <w:t>详见本招标文件第</w:t>
      </w:r>
      <w:r>
        <w:rPr>
          <w:rFonts w:hint="eastAsia"/>
          <w:lang w:val="en-US" w:eastAsia="zh-CN"/>
        </w:rPr>
        <w:t>五</w:t>
      </w:r>
      <w:r>
        <w:rPr>
          <w:rFonts w:hint="eastAsia"/>
        </w:rPr>
        <w:t>章“投标文件格式”。</w:t>
      </w:r>
    </w:p>
    <w:p>
      <w:pPr>
        <w:pStyle w:val="5"/>
        <w:spacing w:before="0" w:after="0" w:line="360" w:lineRule="auto"/>
        <w:ind w:firstLine="560" w:firstLineChars="200"/>
        <w:rPr>
          <w:rFonts w:ascii="Times New Roman" w:hAnsi="Times New Roman"/>
        </w:rPr>
      </w:pPr>
      <w:bookmarkStart w:id="348" w:name="_Toc300834969"/>
      <w:bookmarkStart w:id="349" w:name="_Toc247527573"/>
      <w:bookmarkStart w:id="350" w:name="_Toc152042324"/>
      <w:bookmarkStart w:id="351" w:name="_Toc32538"/>
      <w:bookmarkStart w:id="352" w:name="_Toc31604"/>
      <w:bookmarkStart w:id="353" w:name="_Toc23649"/>
      <w:bookmarkStart w:id="354" w:name="_Toc144974516"/>
      <w:bookmarkStart w:id="355" w:name="_Toc7389"/>
      <w:bookmarkStart w:id="356" w:name="_Toc18850"/>
      <w:bookmarkStart w:id="357" w:name="_Toc27324"/>
      <w:bookmarkStart w:id="358" w:name="_Toc152045548"/>
      <w:bookmarkStart w:id="359" w:name="_Toc494371534"/>
      <w:bookmarkStart w:id="360" w:name="_Toc16226"/>
      <w:bookmarkStart w:id="361" w:name="_Toc30945"/>
      <w:bookmarkStart w:id="362" w:name="_Toc247513972"/>
      <w:bookmarkStart w:id="363" w:name="_Toc1905"/>
      <w:bookmarkStart w:id="364" w:name="_Toc18309"/>
      <w:r>
        <w:rPr>
          <w:rFonts w:ascii="Times New Roman" w:hAnsi="Times New Roman"/>
        </w:rPr>
        <w:t>3.2 投标报价</w:t>
      </w:r>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p>
    <w:p>
      <w:pPr>
        <w:spacing w:line="360" w:lineRule="auto"/>
        <w:ind w:firstLine="420" w:firstLineChars="200"/>
        <w:rPr>
          <w:rFonts w:hint="eastAsia" w:ascii="宋体" w:hAnsi="宋体" w:cs="宋体"/>
        </w:rPr>
      </w:pPr>
      <w:r>
        <w:rPr>
          <w:rFonts w:hint="eastAsia" w:ascii="宋体" w:hAnsi="宋体" w:cs="宋体"/>
        </w:rPr>
        <w:t>3.2.1 本工程的投标报价采用投标须知前附表第10款所规定的方式。</w:t>
      </w:r>
    </w:p>
    <w:p>
      <w:pPr>
        <w:spacing w:line="360" w:lineRule="auto"/>
        <w:ind w:firstLine="420" w:firstLineChars="200"/>
        <w:rPr>
          <w:rFonts w:hint="eastAsia" w:ascii="宋体" w:hAnsi="宋体" w:cs="宋体"/>
          <w:szCs w:val="24"/>
        </w:rPr>
      </w:pPr>
      <w:r>
        <w:rPr>
          <w:rFonts w:hint="eastAsia" w:ascii="宋体" w:hAnsi="宋体" w:cs="宋体"/>
        </w:rPr>
        <w:t xml:space="preserve">3.2.2 </w:t>
      </w:r>
      <w:r>
        <w:rPr>
          <w:rFonts w:hint="eastAsia" w:ascii="宋体" w:hAnsi="宋体" w:cs="宋体"/>
          <w:szCs w:val="24"/>
        </w:rPr>
        <w:t>投标人应充分了解施工场地的位置、周边环境、道路、装卸、保管、安装限制以及影响投标报价的其他要素。投标人根据投标设计，结合市场情况进行投标报价。</w:t>
      </w:r>
    </w:p>
    <w:p>
      <w:pPr>
        <w:spacing w:line="360" w:lineRule="auto"/>
        <w:ind w:firstLine="420" w:firstLineChars="200"/>
        <w:rPr>
          <w:rFonts w:hint="eastAsia" w:ascii="宋体" w:hAnsi="宋体" w:cs="宋体"/>
        </w:rPr>
      </w:pPr>
      <w:r>
        <w:rPr>
          <w:rFonts w:hint="eastAsia" w:ascii="宋体" w:hAnsi="宋体" w:cs="宋体"/>
        </w:rPr>
        <w:t>3.2.3 招标人设有最高投标限价的，投标人的投标报价不得超过最高投标限价。</w:t>
      </w:r>
    </w:p>
    <w:p>
      <w:pPr>
        <w:spacing w:line="360" w:lineRule="auto"/>
        <w:ind w:firstLine="420" w:firstLineChars="200"/>
        <w:rPr>
          <w:rFonts w:hint="eastAsia" w:ascii="宋体" w:hAnsi="宋体" w:cs="宋体"/>
        </w:rPr>
      </w:pPr>
      <w:r>
        <w:rPr>
          <w:rFonts w:hint="eastAsia" w:ascii="宋体" w:hAnsi="宋体" w:cs="宋体"/>
        </w:rPr>
        <w:t>3.2.4 投标报价的其他要求见投标人须知前附表。</w:t>
      </w:r>
    </w:p>
    <w:p>
      <w:pPr>
        <w:pStyle w:val="5"/>
        <w:spacing w:before="0" w:after="0" w:line="360" w:lineRule="auto"/>
        <w:ind w:firstLine="560" w:firstLineChars="200"/>
        <w:rPr>
          <w:rFonts w:ascii="Times New Roman" w:hAnsi="Times New Roman"/>
        </w:rPr>
      </w:pPr>
      <w:bookmarkStart w:id="365" w:name="_Toc15196"/>
      <w:bookmarkStart w:id="366" w:name="_Toc494371535"/>
      <w:bookmarkStart w:id="367" w:name="_Toc32500"/>
      <w:bookmarkStart w:id="368" w:name="_Toc1581"/>
      <w:bookmarkStart w:id="369" w:name="_Toc144974517"/>
      <w:bookmarkStart w:id="370" w:name="_Toc25744"/>
      <w:bookmarkStart w:id="371" w:name="_Toc25305"/>
      <w:bookmarkStart w:id="372" w:name="_Toc3740"/>
      <w:bookmarkStart w:id="373" w:name="_Toc152042325"/>
      <w:bookmarkStart w:id="374" w:name="_Toc1280"/>
      <w:bookmarkStart w:id="375" w:name="_Toc300834970"/>
      <w:bookmarkStart w:id="376" w:name="_Toc29718"/>
      <w:bookmarkStart w:id="377" w:name="_Toc5732"/>
      <w:bookmarkStart w:id="378" w:name="_Toc247513973"/>
      <w:bookmarkStart w:id="379" w:name="_Toc247527574"/>
      <w:bookmarkStart w:id="380" w:name="_Toc22353"/>
      <w:bookmarkStart w:id="381" w:name="_Toc152045549"/>
      <w:r>
        <w:rPr>
          <w:rFonts w:ascii="Times New Roman" w:hAnsi="Times New Roman"/>
        </w:rPr>
        <w:t>3.3 投标有效期</w:t>
      </w:r>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p>
    <w:p>
      <w:pPr>
        <w:spacing w:line="360" w:lineRule="auto"/>
        <w:ind w:firstLine="420" w:firstLineChars="200"/>
        <w:rPr>
          <w:rFonts w:hint="eastAsia" w:ascii="宋体" w:hAnsi="宋体" w:cs="宋体"/>
        </w:rPr>
      </w:pPr>
      <w:r>
        <w:rPr>
          <w:rFonts w:hint="eastAsia" w:ascii="宋体" w:hAnsi="宋体" w:cs="宋体"/>
        </w:rPr>
        <w:t>3.3.1 投标有效期按须知前附表的规定。</w:t>
      </w:r>
    </w:p>
    <w:p>
      <w:pPr>
        <w:spacing w:line="360" w:lineRule="auto"/>
        <w:ind w:firstLine="420" w:firstLineChars="200"/>
        <w:rPr>
          <w:rFonts w:hint="eastAsia" w:ascii="宋体" w:hAnsi="宋体" w:cs="宋体"/>
        </w:rPr>
      </w:pPr>
      <w:r>
        <w:rPr>
          <w:rFonts w:hint="eastAsia" w:ascii="宋体" w:hAnsi="宋体" w:cs="宋体"/>
        </w:rPr>
        <w:t>3.3.2 在投标有效期内，投标人撤销或修改其投标文件的，应承担招标文件和法律规定的责任。</w:t>
      </w:r>
    </w:p>
    <w:p>
      <w:pPr>
        <w:spacing w:line="360" w:lineRule="auto"/>
        <w:ind w:firstLine="420" w:firstLineChars="200"/>
        <w:rPr>
          <w:rFonts w:hint="eastAsia" w:ascii="宋体" w:hAnsi="宋体" w:cs="宋体"/>
          <w:color w:val="auto"/>
        </w:rPr>
      </w:pPr>
      <w:r>
        <w:rPr>
          <w:rFonts w:hint="eastAsia" w:ascii="宋体" w:hAnsi="宋体" w:cs="宋体"/>
        </w:rPr>
        <w:t>3.3.3 出现特殊情况需要延长投标有效期的，招标人以书面形式通知所有投标人延长投标有效期。投标人同意延长的，</w:t>
      </w:r>
      <w:r>
        <w:rPr>
          <w:rFonts w:hint="eastAsia" w:ascii="宋体" w:hAnsi="宋体" w:cs="宋体"/>
          <w:color w:val="auto"/>
        </w:rPr>
        <w:t>应相应延长其投标保证金的有效期，但不得要求或被允许修改或撤销其投标文件；投标人拒绝延长的，其投标失效，但投标人有权收回其投标保证金。</w:t>
      </w:r>
    </w:p>
    <w:p>
      <w:pPr>
        <w:pStyle w:val="5"/>
        <w:spacing w:before="0" w:after="0" w:line="360" w:lineRule="auto"/>
        <w:ind w:firstLine="560" w:firstLineChars="200"/>
        <w:rPr>
          <w:rFonts w:ascii="Times New Roman" w:hAnsi="Times New Roman"/>
        </w:rPr>
      </w:pPr>
      <w:bookmarkStart w:id="382" w:name="_Toc494371537"/>
      <w:bookmarkStart w:id="383" w:name="_Toc29993"/>
      <w:bookmarkStart w:id="384" w:name="_Toc26931"/>
      <w:bookmarkStart w:id="385" w:name="_Toc247527577"/>
      <w:bookmarkStart w:id="386" w:name="_Toc24365"/>
      <w:bookmarkStart w:id="387" w:name="_Toc11498"/>
      <w:bookmarkStart w:id="388" w:name="_Toc152042328"/>
      <w:bookmarkStart w:id="389" w:name="_Toc8480"/>
      <w:bookmarkStart w:id="390" w:name="_Toc300834973"/>
      <w:bookmarkStart w:id="391" w:name="_Toc247513976"/>
      <w:bookmarkStart w:id="392" w:name="_Toc5908"/>
      <w:bookmarkStart w:id="393" w:name="_Toc144974520"/>
      <w:bookmarkStart w:id="394" w:name="_Toc955"/>
      <w:bookmarkStart w:id="395" w:name="_Toc28635"/>
      <w:bookmarkStart w:id="396" w:name="_Toc5946"/>
      <w:bookmarkStart w:id="397" w:name="_Toc152045552"/>
      <w:bookmarkStart w:id="398" w:name="_Toc30108"/>
      <w:r>
        <w:rPr>
          <w:rFonts w:ascii="Times New Roman" w:hAnsi="Times New Roman"/>
        </w:rPr>
        <w:t>3.</w:t>
      </w:r>
      <w:r>
        <w:rPr>
          <w:rFonts w:hint="eastAsia" w:ascii="Times New Roman" w:hAnsi="Times New Roman"/>
          <w:lang w:val="en-US" w:eastAsia="zh-CN"/>
        </w:rPr>
        <w:t>4</w:t>
      </w:r>
      <w:r>
        <w:rPr>
          <w:rFonts w:ascii="Times New Roman" w:hAnsi="Times New Roman"/>
        </w:rPr>
        <w:t xml:space="preserve"> 资格审查资料</w:t>
      </w:r>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p>
    <w:p>
      <w:pPr>
        <w:spacing w:line="360" w:lineRule="auto"/>
        <w:ind w:firstLine="420" w:firstLineChars="200"/>
        <w:rPr>
          <w:rFonts w:hint="eastAsia" w:ascii="宋体" w:hAnsi="宋体" w:cs="宋体"/>
          <w:szCs w:val="24"/>
        </w:rPr>
      </w:pPr>
      <w:r>
        <w:rPr>
          <w:rFonts w:hint="eastAsia" w:ascii="宋体" w:hAnsi="宋体" w:cs="宋体"/>
          <w:szCs w:val="24"/>
          <w:shd w:val="clear" w:color="auto" w:fill="auto"/>
        </w:rPr>
        <w:t>本项目采用非电子化资格后审，由施工标评标委员会负责对投标人的资格进行审查，</w:t>
      </w:r>
      <w:r>
        <w:rPr>
          <w:rFonts w:hint="eastAsia" w:ascii="宋体" w:hAnsi="宋体" w:cs="宋体"/>
          <w:szCs w:val="24"/>
        </w:rPr>
        <w:t>评标时只对通过资格审查的投标人进行下一阶段的评审。</w:t>
      </w:r>
    </w:p>
    <w:p>
      <w:pPr>
        <w:pStyle w:val="5"/>
        <w:spacing w:before="0" w:after="0" w:line="360" w:lineRule="auto"/>
        <w:ind w:firstLine="560" w:firstLineChars="200"/>
        <w:rPr>
          <w:rFonts w:ascii="Times New Roman" w:hAnsi="Times New Roman"/>
        </w:rPr>
      </w:pPr>
      <w:bookmarkStart w:id="399" w:name="_Toc300834974"/>
      <w:bookmarkStart w:id="400" w:name="_Toc144974521"/>
      <w:bookmarkStart w:id="401" w:name="_Toc152042329"/>
      <w:bookmarkStart w:id="402" w:name="_Toc247513977"/>
      <w:bookmarkStart w:id="403" w:name="_Toc247527578"/>
      <w:bookmarkStart w:id="404" w:name="_Toc152045553"/>
      <w:r>
        <w:rPr>
          <w:rFonts w:hint="default" w:ascii="Times New Roman" w:hAnsi="Times New Roman"/>
        </w:rPr>
        <w:t>3.</w:t>
      </w:r>
      <w:r>
        <w:rPr>
          <w:rFonts w:hint="eastAsia" w:ascii="Times New Roman" w:hAnsi="Times New Roman"/>
          <w:lang w:val="en-US" w:eastAsia="zh-CN"/>
        </w:rPr>
        <w:t>5</w:t>
      </w:r>
      <w:r>
        <w:rPr>
          <w:rFonts w:hint="default" w:ascii="Times New Roman" w:hAnsi="Times New Roman"/>
        </w:rPr>
        <w:t xml:space="preserve"> 备选投标方案</w:t>
      </w:r>
      <w:bookmarkEnd w:id="399"/>
      <w:bookmarkEnd w:id="400"/>
      <w:bookmarkEnd w:id="401"/>
      <w:bookmarkEnd w:id="402"/>
      <w:bookmarkEnd w:id="403"/>
      <w:bookmarkEnd w:id="404"/>
    </w:p>
    <w:p>
      <w:pPr>
        <w:spacing w:line="360" w:lineRule="auto"/>
        <w:ind w:firstLine="420" w:firstLineChars="200"/>
        <w:rPr>
          <w:rFonts w:hint="eastAsia" w:ascii="宋体" w:hAnsi="宋体" w:cs="宋体"/>
          <w:strike w:val="0"/>
        </w:rPr>
      </w:pPr>
      <w:r>
        <w:rPr>
          <w:rFonts w:hint="eastAsia" w:ascii="宋体" w:hAnsi="宋体" w:cs="宋体"/>
        </w:rPr>
        <w:t>除投标人须知前附表另有规定外，投标人不得递交备选投标方案。</w:t>
      </w:r>
    </w:p>
    <w:p>
      <w:pPr>
        <w:pStyle w:val="5"/>
        <w:spacing w:before="0" w:after="0" w:line="360" w:lineRule="auto"/>
        <w:ind w:firstLine="560" w:firstLineChars="200"/>
        <w:rPr>
          <w:rFonts w:ascii="Times New Roman" w:hAnsi="Times New Roman"/>
        </w:rPr>
      </w:pPr>
      <w:bookmarkStart w:id="405" w:name="_Toc32158"/>
      <w:bookmarkStart w:id="406" w:name="_Toc152045554"/>
      <w:bookmarkStart w:id="407" w:name="_Toc1992"/>
      <w:bookmarkStart w:id="408" w:name="_Toc144974522"/>
      <w:bookmarkStart w:id="409" w:name="_Toc12571"/>
      <w:bookmarkStart w:id="410" w:name="_Toc300834975"/>
      <w:bookmarkStart w:id="411" w:name="_Toc1368"/>
      <w:bookmarkStart w:id="412" w:name="_Toc247513978"/>
      <w:bookmarkStart w:id="413" w:name="_Toc4267"/>
      <w:bookmarkStart w:id="414" w:name="_Toc24511"/>
      <w:bookmarkStart w:id="415" w:name="_Toc494371539"/>
      <w:bookmarkStart w:id="416" w:name="_Toc8230"/>
      <w:bookmarkStart w:id="417" w:name="_Toc247527579"/>
      <w:bookmarkStart w:id="418" w:name="_Toc6939"/>
      <w:bookmarkStart w:id="419" w:name="_Toc152042330"/>
      <w:bookmarkStart w:id="420" w:name="_Toc2595"/>
      <w:bookmarkStart w:id="421" w:name="_Toc29948"/>
      <w:r>
        <w:rPr>
          <w:rFonts w:ascii="Times New Roman" w:hAnsi="Times New Roman"/>
        </w:rPr>
        <w:t>3.</w:t>
      </w:r>
      <w:r>
        <w:rPr>
          <w:rFonts w:hint="eastAsia" w:ascii="Times New Roman" w:hAnsi="Times New Roman"/>
          <w:lang w:val="en-US" w:eastAsia="zh-CN"/>
        </w:rPr>
        <w:t>6</w:t>
      </w:r>
      <w:r>
        <w:rPr>
          <w:rFonts w:ascii="Times New Roman" w:hAnsi="Times New Roman"/>
        </w:rPr>
        <w:t xml:space="preserve"> 投标文件的编制</w:t>
      </w:r>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p>
    <w:p>
      <w:pPr>
        <w:spacing w:line="360" w:lineRule="auto"/>
        <w:ind w:firstLine="420" w:firstLineChars="200"/>
        <w:rPr>
          <w:rFonts w:hint="eastAsia" w:ascii="宋体" w:hAnsi="宋体" w:cs="宋体"/>
        </w:rPr>
      </w:pPr>
      <w:r>
        <w:rPr>
          <w:rFonts w:hint="eastAsia" w:ascii="宋体" w:hAnsi="宋体" w:cs="宋体"/>
        </w:rPr>
        <w:t>3.7.1 投标文件应按“投标文件格式”进行编写，如有必要，可以增加附页，作为投标文件的组成部分。其中，投标函附录在满足招标文件实质性要求的基础上，可以提出比招标文件要求更有利于招标人的承诺。</w:t>
      </w:r>
    </w:p>
    <w:p>
      <w:pPr>
        <w:spacing w:line="360" w:lineRule="auto"/>
        <w:ind w:firstLine="420" w:firstLineChars="200"/>
        <w:rPr>
          <w:rFonts w:hint="eastAsia" w:ascii="宋体" w:hAnsi="宋体" w:cs="宋体"/>
          <w:szCs w:val="24"/>
        </w:rPr>
      </w:pPr>
      <w:r>
        <w:rPr>
          <w:rFonts w:hint="eastAsia" w:ascii="宋体" w:hAnsi="宋体" w:cs="宋体"/>
        </w:rPr>
        <w:t>3.7.2 投标文件应当对招标文件有关</w:t>
      </w:r>
      <w:r>
        <w:rPr>
          <w:rFonts w:hint="eastAsia" w:ascii="宋体" w:hAnsi="宋体" w:cs="宋体"/>
          <w:szCs w:val="24"/>
        </w:rPr>
        <w:t>招标范围、投标有效期、工期、质量标准、发包人要求等实质性内容作出响应。</w:t>
      </w:r>
    </w:p>
    <w:p>
      <w:pPr>
        <w:spacing w:line="360" w:lineRule="auto"/>
        <w:ind w:firstLine="420" w:firstLineChars="200"/>
        <w:rPr>
          <w:rFonts w:hint="eastAsia" w:ascii="宋体" w:hAnsi="宋体" w:cs="宋体"/>
        </w:rPr>
      </w:pPr>
      <w:r>
        <w:rPr>
          <w:rFonts w:hint="eastAsia" w:ascii="宋体" w:hAnsi="宋体" w:cs="宋体"/>
        </w:rPr>
        <w:t>3.7.3 投标文件编制要求：</w:t>
      </w:r>
    </w:p>
    <w:p>
      <w:pPr>
        <w:spacing w:line="360" w:lineRule="auto"/>
        <w:ind w:firstLine="420" w:firstLineChars="200"/>
        <w:rPr>
          <w:rFonts w:hint="eastAsia" w:ascii="宋体" w:hAnsi="宋体" w:cs="宋体"/>
        </w:rPr>
      </w:pPr>
      <w:r>
        <w:rPr>
          <w:rFonts w:hint="eastAsia" w:ascii="宋体" w:hAnsi="宋体" w:cs="宋体"/>
        </w:rPr>
        <w:t>（1）投标文件应用不褪色的材料书写或打印。投标人的法定代表人授权代理人签字</w:t>
      </w:r>
      <w:r>
        <w:rPr>
          <w:rFonts w:hint="eastAsia" w:ascii="宋体" w:hAnsi="宋体" w:cs="宋体"/>
          <w:szCs w:val="24"/>
        </w:rPr>
        <w:t>或盖章</w:t>
      </w:r>
      <w:r>
        <w:rPr>
          <w:rFonts w:hint="eastAsia" w:ascii="宋体" w:hAnsi="宋体" w:cs="宋体"/>
        </w:rPr>
        <w:t>的，投标文件应附由法定代表人签署的授权委托书。投标文件应尽量避免涂改、行间插字或删除。如果出现上述情况，改动之处应加盖单位章或由投标人的法定代表人或其授权的代理人签字</w:t>
      </w:r>
      <w:r>
        <w:rPr>
          <w:rFonts w:hint="eastAsia" w:ascii="宋体" w:hAnsi="宋体" w:cs="宋体"/>
          <w:szCs w:val="24"/>
        </w:rPr>
        <w:t>或盖章</w:t>
      </w:r>
      <w:r>
        <w:rPr>
          <w:rFonts w:hint="eastAsia" w:ascii="宋体" w:hAnsi="宋体" w:cs="宋体"/>
        </w:rPr>
        <w:t>确认。</w:t>
      </w:r>
    </w:p>
    <w:p>
      <w:pPr>
        <w:spacing w:line="360" w:lineRule="auto"/>
        <w:ind w:firstLine="420" w:firstLineChars="200"/>
        <w:rPr>
          <w:rFonts w:hint="eastAsia" w:ascii="宋体" w:hAnsi="宋体" w:cs="宋体"/>
        </w:rPr>
      </w:pPr>
      <w:r>
        <w:rPr>
          <w:rFonts w:hint="eastAsia" w:ascii="宋体" w:hAnsi="宋体" w:cs="宋体"/>
        </w:rPr>
        <w:t>（2）投标文件正本壹份，副本份数见投标人须知前附表。正本和副本的封面上应清楚地标记“正本”或“副本”的字样。当副本和正本不一致时，以正本为准。副本可为是正本签字盖章后的复印件。</w:t>
      </w:r>
    </w:p>
    <w:p>
      <w:pPr>
        <w:spacing w:line="360" w:lineRule="auto"/>
        <w:ind w:firstLine="420" w:firstLineChars="200"/>
        <w:rPr>
          <w:rFonts w:hint="eastAsia" w:ascii="宋体" w:hAnsi="宋体" w:cs="宋体"/>
        </w:rPr>
      </w:pPr>
      <w:r>
        <w:rPr>
          <w:rFonts w:hint="eastAsia" w:ascii="宋体" w:hAnsi="宋体" w:cs="宋体"/>
        </w:rPr>
        <w:t>（3）投标文件的正本与副本应分别装订成册，</w:t>
      </w:r>
      <w:r>
        <w:rPr>
          <w:rFonts w:hint="eastAsia" w:ascii="宋体" w:hAnsi="宋体" w:cs="宋体"/>
          <w:szCs w:val="24"/>
        </w:rPr>
        <w:t>各册独立装订的投标文件均采用不易松散的书式装订</w:t>
      </w:r>
      <w:r>
        <w:rPr>
          <w:rFonts w:hint="eastAsia" w:ascii="宋体" w:hAnsi="宋体" w:cs="宋体"/>
        </w:rPr>
        <w:t>。</w:t>
      </w:r>
    </w:p>
    <w:p>
      <w:pPr>
        <w:spacing w:line="360" w:lineRule="auto"/>
        <w:ind w:firstLine="420" w:firstLineChars="200"/>
        <w:rPr>
          <w:rFonts w:hint="eastAsia" w:ascii="宋体" w:hAnsi="宋体" w:cs="宋体"/>
        </w:rPr>
      </w:pPr>
      <w:r>
        <w:rPr>
          <w:rFonts w:hint="eastAsia" w:ascii="宋体" w:hAnsi="宋体" w:cs="宋体"/>
        </w:rPr>
        <w:t>（4）投标文件的规格：资格审查文件、工程实施方案（含资信部分）文件、投标报价文件统一A4印刷本，纸质封面，封面</w:t>
      </w:r>
      <w:r>
        <w:rPr>
          <w:rFonts w:hint="eastAsia" w:ascii="宋体" w:hAnsi="宋体" w:cs="宋体"/>
          <w:szCs w:val="24"/>
        </w:rPr>
        <w:t>格式见第</w:t>
      </w:r>
      <w:r>
        <w:rPr>
          <w:rFonts w:hint="eastAsia" w:ascii="宋体" w:hAnsi="宋体" w:cs="宋体"/>
          <w:szCs w:val="24"/>
          <w:lang w:val="en-US" w:eastAsia="zh-CN"/>
        </w:rPr>
        <w:t>五</w:t>
      </w:r>
      <w:r>
        <w:rPr>
          <w:rFonts w:hint="eastAsia" w:ascii="宋体" w:hAnsi="宋体" w:cs="宋体"/>
          <w:szCs w:val="24"/>
        </w:rPr>
        <w:t>章</w:t>
      </w:r>
      <w:r>
        <w:rPr>
          <w:rFonts w:hint="eastAsia" w:ascii="宋体" w:hAnsi="宋体" w:cs="宋体"/>
        </w:rPr>
        <w:t>,使用书式装订。</w:t>
      </w:r>
    </w:p>
    <w:p>
      <w:pPr>
        <w:spacing w:line="360" w:lineRule="auto"/>
        <w:ind w:firstLine="420" w:firstLineChars="200"/>
        <w:rPr>
          <w:rFonts w:hint="eastAsia" w:ascii="宋体" w:hAnsi="宋体" w:cs="宋体"/>
        </w:rPr>
      </w:pPr>
      <w:r>
        <w:rPr>
          <w:rFonts w:hint="eastAsia" w:ascii="宋体" w:hAnsi="宋体" w:cs="宋体"/>
        </w:rPr>
        <w:t>3.7.4 投标文件份数：按须知前附表的规定。</w:t>
      </w:r>
    </w:p>
    <w:p>
      <w:pPr>
        <w:pStyle w:val="5"/>
        <w:spacing w:before="0" w:after="0" w:line="360" w:lineRule="auto"/>
        <w:ind w:firstLine="562" w:firstLineChars="200"/>
        <w:rPr>
          <w:rFonts w:ascii="Times New Roman" w:hAnsi="Times New Roman" w:cs="Times New Roman"/>
          <w:b/>
          <w:bCs w:val="0"/>
        </w:rPr>
      </w:pPr>
      <w:bookmarkStart w:id="422" w:name="_Toc28992"/>
      <w:bookmarkStart w:id="423" w:name="_Toc11889"/>
      <w:bookmarkStart w:id="424" w:name="_Toc494371540"/>
      <w:bookmarkStart w:id="425" w:name="_Toc9443"/>
      <w:bookmarkStart w:id="426" w:name="_Toc2578"/>
      <w:bookmarkStart w:id="427" w:name="_Toc28527"/>
      <w:bookmarkStart w:id="428" w:name="_Toc16206"/>
      <w:bookmarkStart w:id="429" w:name="_Toc152045555"/>
      <w:bookmarkStart w:id="430" w:name="_Toc152042331"/>
      <w:bookmarkStart w:id="431" w:name="_Toc24077"/>
      <w:bookmarkStart w:id="432" w:name="_Toc26855"/>
      <w:bookmarkStart w:id="433" w:name="_Toc247513979"/>
      <w:bookmarkStart w:id="434" w:name="_Toc24913"/>
      <w:bookmarkStart w:id="435" w:name="_Toc300834976"/>
      <w:bookmarkStart w:id="436" w:name="_Toc24355"/>
      <w:bookmarkStart w:id="437" w:name="_Toc10739"/>
      <w:bookmarkStart w:id="438" w:name="_Toc21390"/>
      <w:bookmarkStart w:id="439" w:name="_Toc247527580"/>
      <w:bookmarkStart w:id="440" w:name="_Toc144974523"/>
      <w:r>
        <w:rPr>
          <w:rFonts w:ascii="Times New Roman" w:hAnsi="Times New Roman" w:cs="Times New Roman"/>
          <w:b/>
          <w:bCs w:val="0"/>
        </w:rPr>
        <w:t xml:space="preserve">4. </w:t>
      </w:r>
      <w:r>
        <w:rPr>
          <w:rFonts w:hint="default" w:ascii="Times New Roman" w:hAnsi="Times New Roman" w:cs="Times New Roman"/>
          <w:b/>
          <w:bCs w:val="0"/>
        </w:rPr>
        <w:t>投标</w:t>
      </w:r>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p>
    <w:p>
      <w:pPr>
        <w:pStyle w:val="5"/>
        <w:spacing w:before="0" w:after="0" w:line="360" w:lineRule="auto"/>
        <w:ind w:firstLine="560" w:firstLineChars="200"/>
        <w:rPr>
          <w:rFonts w:ascii="Times New Roman" w:hAnsi="Times New Roman"/>
        </w:rPr>
      </w:pPr>
      <w:bookmarkStart w:id="441" w:name="_Toc247527581"/>
      <w:bookmarkStart w:id="442" w:name="_Toc247513980"/>
      <w:bookmarkStart w:id="443" w:name="_Toc152045556"/>
      <w:bookmarkStart w:id="444" w:name="_Toc152042332"/>
      <w:bookmarkStart w:id="445" w:name="_Toc144974524"/>
      <w:bookmarkStart w:id="446" w:name="_Toc300834977"/>
      <w:bookmarkStart w:id="447" w:name="_Toc152045557"/>
      <w:bookmarkStart w:id="448" w:name="_Toc247527582"/>
      <w:bookmarkStart w:id="449" w:name="_Toc144974525"/>
      <w:bookmarkStart w:id="450" w:name="_Toc152042333"/>
      <w:bookmarkStart w:id="451" w:name="_Toc247513981"/>
      <w:bookmarkStart w:id="452" w:name="_Toc17033"/>
      <w:bookmarkStart w:id="453" w:name="_Toc7700"/>
      <w:bookmarkStart w:id="454" w:name="_Toc20865"/>
      <w:bookmarkStart w:id="455" w:name="_Toc17435"/>
      <w:bookmarkStart w:id="456" w:name="_Toc16217"/>
      <w:bookmarkStart w:id="457" w:name="_Toc300834978"/>
      <w:bookmarkStart w:id="458" w:name="_Toc2556"/>
      <w:r>
        <w:rPr>
          <w:rFonts w:hint="default" w:ascii="Times New Roman" w:hAnsi="Times New Roman" w:cs="Times New Roman"/>
        </w:rPr>
        <w:t>4.1 投标文件的密封和标记</w:t>
      </w:r>
      <w:bookmarkEnd w:id="441"/>
      <w:bookmarkEnd w:id="442"/>
      <w:bookmarkEnd w:id="443"/>
      <w:bookmarkEnd w:id="444"/>
      <w:bookmarkEnd w:id="445"/>
      <w:bookmarkEnd w:id="446"/>
    </w:p>
    <w:p>
      <w:pPr>
        <w:spacing w:line="360" w:lineRule="auto"/>
        <w:ind w:firstLine="420" w:firstLineChars="200"/>
        <w:rPr>
          <w:rFonts w:hint="eastAsia" w:ascii="宋体" w:hAnsi="宋体" w:cs="宋体"/>
        </w:rPr>
      </w:pPr>
      <w:r>
        <w:rPr>
          <w:rFonts w:hint="eastAsia" w:ascii="宋体" w:hAnsi="宋体" w:cs="宋体"/>
        </w:rPr>
        <w:t>4.1.1 投标文件应进行包装、加贴封条，并在封套的封口处加盖投标人单位章。</w:t>
      </w:r>
    </w:p>
    <w:p>
      <w:pPr>
        <w:spacing w:line="360" w:lineRule="auto"/>
        <w:ind w:firstLine="420" w:firstLineChars="200"/>
        <w:rPr>
          <w:rFonts w:hint="eastAsia" w:ascii="宋体" w:hAnsi="宋体" w:cs="宋体"/>
        </w:rPr>
      </w:pPr>
      <w:r>
        <w:rPr>
          <w:rFonts w:hint="eastAsia" w:ascii="宋体" w:hAnsi="宋体" w:cs="宋体"/>
        </w:rPr>
        <w:t>4.1.2 投标文件封套上应写明的内容见投标人须知前附表。</w:t>
      </w:r>
    </w:p>
    <w:p>
      <w:pPr>
        <w:spacing w:line="360" w:lineRule="auto"/>
        <w:ind w:firstLine="420" w:firstLineChars="200"/>
        <w:rPr>
          <w:rFonts w:ascii="宋体" w:hAnsi="宋体"/>
        </w:rPr>
      </w:pPr>
      <w:r>
        <w:rPr>
          <w:rFonts w:hint="eastAsia" w:ascii="宋体" w:hAnsi="宋体" w:cs="宋体"/>
        </w:rPr>
        <w:t>4.1.3 未按本章第4.1.1项或第4.1.2项要求密封和加写标记的投标文件，招标人不予受理。</w:t>
      </w:r>
    </w:p>
    <w:p>
      <w:pPr>
        <w:pStyle w:val="5"/>
        <w:spacing w:before="0" w:after="0" w:line="360" w:lineRule="auto"/>
        <w:ind w:firstLine="560" w:firstLineChars="200"/>
        <w:rPr>
          <w:rFonts w:ascii="Times New Roman" w:hAnsi="Times New Roman"/>
        </w:rPr>
      </w:pPr>
      <w:r>
        <w:rPr>
          <w:rFonts w:ascii="Times New Roman" w:hAnsi="Times New Roman"/>
        </w:rPr>
        <w:t xml:space="preserve">4.2 </w:t>
      </w:r>
      <w:r>
        <w:rPr>
          <w:rFonts w:hint="default" w:ascii="Times New Roman" w:hAnsi="Times New Roman"/>
        </w:rPr>
        <w:t>投标文件的递交</w:t>
      </w:r>
      <w:bookmarkEnd w:id="447"/>
      <w:bookmarkEnd w:id="448"/>
      <w:bookmarkEnd w:id="449"/>
      <w:bookmarkEnd w:id="450"/>
      <w:bookmarkEnd w:id="451"/>
      <w:bookmarkEnd w:id="452"/>
      <w:bookmarkEnd w:id="453"/>
      <w:bookmarkEnd w:id="454"/>
      <w:bookmarkEnd w:id="455"/>
      <w:bookmarkEnd w:id="456"/>
      <w:bookmarkEnd w:id="457"/>
      <w:bookmarkEnd w:id="458"/>
    </w:p>
    <w:p>
      <w:pPr>
        <w:spacing w:line="360" w:lineRule="auto"/>
        <w:ind w:firstLine="420" w:firstLineChars="200"/>
        <w:rPr>
          <w:rFonts w:hint="eastAsia" w:ascii="宋体" w:hAnsi="宋体" w:cs="宋体"/>
        </w:rPr>
      </w:pPr>
      <w:r>
        <w:rPr>
          <w:rFonts w:hint="eastAsia" w:ascii="宋体" w:hAnsi="宋体" w:cs="宋体"/>
        </w:rPr>
        <w:t>4.2.1 投标人代表应按投标须知前附表所规定的时间和地点向招标人提交投标文件。</w:t>
      </w:r>
    </w:p>
    <w:p>
      <w:pPr>
        <w:spacing w:line="360" w:lineRule="auto"/>
        <w:ind w:firstLine="420" w:firstLineChars="200"/>
        <w:rPr>
          <w:rFonts w:hint="eastAsia" w:ascii="宋体" w:hAnsi="宋体" w:cs="宋体"/>
        </w:rPr>
      </w:pPr>
      <w:r>
        <w:rPr>
          <w:rFonts w:hint="eastAsia" w:ascii="宋体" w:hAnsi="宋体" w:cs="宋体"/>
        </w:rPr>
        <w:t>投标人代表应由投标人法定代表人或法定代表人书面授权的委托代理人担任。法定代表人应凭本人身份证和法定代表人证明书原件</w:t>
      </w:r>
      <w:r>
        <w:rPr>
          <w:rFonts w:hint="eastAsia" w:ascii="宋体" w:hAnsi="宋体" w:cs="宋体"/>
          <w:bCs w:val="0"/>
        </w:rPr>
        <w:t>提交</w:t>
      </w:r>
      <w:r>
        <w:rPr>
          <w:rFonts w:hint="eastAsia" w:ascii="宋体" w:hAnsi="宋体" w:cs="宋体"/>
        </w:rPr>
        <w:t>投标文件。委托代理人应凭本人身份证、法定代表人证明书原件和法定代表人授权委托证明书原件</w:t>
      </w:r>
      <w:r>
        <w:rPr>
          <w:rFonts w:hint="eastAsia" w:ascii="宋体" w:hAnsi="宋体" w:cs="宋体"/>
          <w:bCs w:val="0"/>
        </w:rPr>
        <w:t>提交</w:t>
      </w:r>
      <w:r>
        <w:rPr>
          <w:rFonts w:hint="eastAsia" w:ascii="宋体" w:hAnsi="宋体" w:cs="宋体"/>
        </w:rPr>
        <w:t>投标文件。</w:t>
      </w:r>
    </w:p>
    <w:p>
      <w:pPr>
        <w:spacing w:line="360" w:lineRule="auto"/>
        <w:ind w:firstLine="420" w:firstLineChars="200"/>
        <w:rPr>
          <w:rFonts w:hint="eastAsia" w:ascii="宋体" w:hAnsi="宋体" w:cs="宋体"/>
        </w:rPr>
      </w:pPr>
      <w:r>
        <w:rPr>
          <w:rFonts w:hint="eastAsia" w:ascii="宋体" w:hAnsi="宋体" w:cs="宋体"/>
        </w:rPr>
        <w:t>4.2.2 投标人递交投标文件的地点：见投标人须知前附表。</w:t>
      </w:r>
    </w:p>
    <w:p>
      <w:pPr>
        <w:spacing w:line="360" w:lineRule="auto"/>
        <w:ind w:firstLine="420" w:firstLineChars="200"/>
        <w:rPr>
          <w:rFonts w:hint="eastAsia" w:ascii="宋体" w:hAnsi="宋体" w:cs="宋体"/>
        </w:rPr>
      </w:pPr>
      <w:r>
        <w:rPr>
          <w:rFonts w:hint="eastAsia" w:ascii="宋体" w:hAnsi="宋体" w:cs="宋体"/>
        </w:rPr>
        <w:t>4.2.3 除投标人须知前附表另有规定外，投标人所递交的投标文件不予退还。</w:t>
      </w:r>
    </w:p>
    <w:p>
      <w:pPr>
        <w:spacing w:line="360" w:lineRule="auto"/>
        <w:ind w:firstLine="420" w:firstLineChars="200"/>
        <w:rPr>
          <w:rFonts w:hint="eastAsia" w:ascii="宋体" w:hAnsi="宋体" w:cs="宋体"/>
        </w:rPr>
      </w:pPr>
      <w:r>
        <w:rPr>
          <w:rFonts w:hint="eastAsia" w:ascii="宋体" w:hAnsi="宋体" w:cs="宋体"/>
        </w:rPr>
        <w:t>4.2.4 逾期送达的或者未送达指定地点的投标文件，招标人不予受理。</w:t>
      </w:r>
    </w:p>
    <w:p>
      <w:pPr>
        <w:spacing w:line="360" w:lineRule="auto"/>
        <w:ind w:firstLine="420" w:firstLineChars="200"/>
        <w:rPr>
          <w:rFonts w:hint="eastAsia" w:ascii="宋体" w:hAnsi="宋体" w:cs="宋体"/>
        </w:rPr>
      </w:pPr>
      <w:r>
        <w:rPr>
          <w:rFonts w:hint="eastAsia" w:ascii="宋体" w:hAnsi="宋体" w:cs="宋体"/>
        </w:rPr>
        <w:t>4.2.5 若出现以下情况，招标人将拒绝接收投标文件：</w:t>
      </w:r>
    </w:p>
    <w:p>
      <w:pPr>
        <w:spacing w:line="360" w:lineRule="auto"/>
        <w:ind w:firstLine="420" w:firstLineChars="200"/>
        <w:rPr>
          <w:rFonts w:hint="eastAsia" w:ascii="宋体" w:hAnsi="宋体" w:cs="宋体"/>
        </w:rPr>
      </w:pPr>
      <w:r>
        <w:rPr>
          <w:rFonts w:hint="eastAsia" w:ascii="宋体" w:hAnsi="宋体" w:cs="宋体"/>
        </w:rPr>
        <w:t>（1）在投标截止期后逾期或未在指定地点递交投标文件的；</w:t>
      </w:r>
    </w:p>
    <w:p>
      <w:pPr>
        <w:spacing w:line="360" w:lineRule="auto"/>
        <w:ind w:firstLine="420" w:firstLineChars="200"/>
        <w:rPr>
          <w:rFonts w:hint="eastAsia" w:ascii="宋体" w:hAnsi="宋体" w:cs="宋体"/>
        </w:rPr>
      </w:pPr>
      <w:r>
        <w:rPr>
          <w:rFonts w:hint="eastAsia" w:ascii="宋体" w:hAnsi="宋体" w:cs="宋体"/>
        </w:rPr>
        <w:t>（2）投标文件未按招标文件要求密封的；</w:t>
      </w:r>
    </w:p>
    <w:p>
      <w:pPr>
        <w:spacing w:line="360" w:lineRule="auto"/>
        <w:ind w:firstLine="420" w:firstLineChars="200"/>
        <w:rPr>
          <w:rFonts w:hint="eastAsia" w:ascii="宋体" w:hAnsi="宋体" w:cs="宋体"/>
        </w:rPr>
      </w:pPr>
      <w:r>
        <w:rPr>
          <w:rFonts w:hint="eastAsia" w:ascii="宋体" w:hAnsi="宋体" w:cs="宋体"/>
        </w:rPr>
        <w:t>（3）投标人代表未按要求签到的；</w:t>
      </w:r>
    </w:p>
    <w:p>
      <w:pPr>
        <w:spacing w:line="360" w:lineRule="auto"/>
        <w:ind w:firstLine="420" w:firstLineChars="200"/>
        <w:rPr>
          <w:rFonts w:hint="eastAsia" w:ascii="宋体" w:hAnsi="宋体" w:cs="宋体"/>
        </w:rPr>
      </w:pPr>
      <w:r>
        <w:rPr>
          <w:rFonts w:hint="eastAsia" w:ascii="宋体" w:hAnsi="宋体" w:cs="宋体"/>
        </w:rPr>
        <w:t>（4）在投标截止期前，法定代表人提交投标文件，未同时提交本人身份证和法定代表人证明书原件，或委托代理人提交投标文件，未同时提交本人身份证、法定代表人证明书原件和法定代表人授权委托证明书原件的；</w:t>
      </w:r>
    </w:p>
    <w:p>
      <w:pPr>
        <w:spacing w:line="360" w:lineRule="auto"/>
        <w:ind w:firstLine="420" w:firstLineChars="200"/>
        <w:rPr>
          <w:rFonts w:hint="eastAsia" w:ascii="宋体" w:hAnsi="宋体" w:cs="宋体"/>
          <w:u w:val="none"/>
        </w:rPr>
      </w:pPr>
      <w:r>
        <w:rPr>
          <w:rFonts w:hint="eastAsia" w:ascii="宋体" w:hAnsi="宋体" w:cs="宋体"/>
        </w:rPr>
        <w:t>（5）投标人未成功办理投标登记手续的。</w:t>
      </w:r>
    </w:p>
    <w:p>
      <w:pPr>
        <w:spacing w:line="360" w:lineRule="auto"/>
        <w:ind w:firstLine="420" w:firstLineChars="200"/>
        <w:rPr>
          <w:rFonts w:hint="eastAsia" w:ascii="宋体" w:hAnsi="宋体" w:cs="宋体"/>
        </w:rPr>
      </w:pPr>
      <w:r>
        <w:rPr>
          <w:rFonts w:hint="eastAsia" w:ascii="宋体" w:hAnsi="宋体" w:cs="宋体"/>
        </w:rPr>
        <w:t>4.2.6投标截止前，招标人拒绝接收符合条件的投标文件，投标人可向招标监督机构投诉。</w:t>
      </w:r>
    </w:p>
    <w:p>
      <w:pPr>
        <w:spacing w:line="360" w:lineRule="auto"/>
        <w:ind w:firstLine="420" w:firstLineChars="200"/>
        <w:rPr>
          <w:rFonts w:hint="eastAsia" w:ascii="宋体" w:hAnsi="宋体" w:cs="宋体"/>
          <w:u w:val="none"/>
        </w:rPr>
      </w:pPr>
      <w:r>
        <w:rPr>
          <w:rFonts w:hint="eastAsia" w:ascii="宋体" w:hAnsi="宋体" w:cs="宋体"/>
        </w:rPr>
        <w:t>4.2.7到投标截止时间止，若收到的投标文件少于3家的，本项目招标失败，将依法重新招标。</w:t>
      </w:r>
    </w:p>
    <w:p>
      <w:pPr>
        <w:pStyle w:val="5"/>
        <w:spacing w:before="0" w:after="0" w:line="360" w:lineRule="auto"/>
        <w:ind w:firstLine="560" w:firstLineChars="200"/>
        <w:rPr>
          <w:rFonts w:ascii="Times New Roman" w:hAnsi="Times New Roman"/>
        </w:rPr>
      </w:pPr>
      <w:bookmarkStart w:id="459" w:name="_Toc28821"/>
      <w:bookmarkStart w:id="460" w:name="_Toc24863"/>
      <w:bookmarkStart w:id="461" w:name="_Toc25096"/>
      <w:bookmarkStart w:id="462" w:name="_Toc29774"/>
      <w:bookmarkStart w:id="463" w:name="_Toc300834979"/>
      <w:bookmarkStart w:id="464" w:name="_Toc144974526"/>
      <w:bookmarkStart w:id="465" w:name="_Toc247527583"/>
      <w:bookmarkStart w:id="466" w:name="_Toc13098"/>
      <w:bookmarkStart w:id="467" w:name="_Toc27188"/>
      <w:bookmarkStart w:id="468" w:name="_Toc247513982"/>
      <w:bookmarkStart w:id="469" w:name="_Toc494371542"/>
      <w:bookmarkStart w:id="470" w:name="_Toc1732"/>
      <w:bookmarkStart w:id="471" w:name="_Toc152045558"/>
      <w:bookmarkStart w:id="472" w:name="_Toc152042334"/>
      <w:bookmarkStart w:id="473" w:name="_Toc29846"/>
      <w:bookmarkStart w:id="474" w:name="_Toc23867"/>
      <w:bookmarkStart w:id="475" w:name="_Toc3022"/>
      <w:r>
        <w:rPr>
          <w:rFonts w:ascii="Times New Roman" w:hAnsi="Times New Roman"/>
        </w:rPr>
        <w:t>4.3 投标文件的修改与撤回</w:t>
      </w:r>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p>
    <w:p>
      <w:pPr>
        <w:spacing w:line="360" w:lineRule="auto"/>
        <w:ind w:firstLine="420" w:firstLineChars="200"/>
        <w:rPr>
          <w:rFonts w:hint="eastAsia" w:ascii="宋体" w:hAnsi="宋体" w:cs="宋体"/>
        </w:rPr>
      </w:pPr>
      <w:r>
        <w:rPr>
          <w:rFonts w:hint="eastAsia" w:ascii="宋体" w:hAnsi="宋体" w:cs="宋体"/>
        </w:rPr>
        <w:t>4.3.1 在规定的投标截止时间前，投标人可以修改或撤回已递交的投标文件，但应以书面形式通知招标人。</w:t>
      </w:r>
    </w:p>
    <w:p>
      <w:pPr>
        <w:spacing w:line="360" w:lineRule="auto"/>
        <w:ind w:firstLine="420" w:firstLineChars="200"/>
        <w:rPr>
          <w:rFonts w:hint="eastAsia" w:ascii="宋体" w:hAnsi="宋体" w:cs="宋体"/>
        </w:rPr>
      </w:pPr>
      <w:r>
        <w:rPr>
          <w:rFonts w:hint="eastAsia" w:ascii="宋体" w:hAnsi="宋体" w:cs="宋体"/>
        </w:rPr>
        <w:t>4.3.2 投标人修改或撤回已递交投标文件的书面通知应按照本章</w:t>
      </w:r>
      <w:r>
        <w:rPr>
          <w:rFonts w:hint="eastAsia" w:ascii="宋体" w:hAnsi="宋体" w:cs="宋体"/>
          <w:color w:val="auto"/>
        </w:rPr>
        <w:t>第3.7.3项</w:t>
      </w:r>
      <w:r>
        <w:rPr>
          <w:rFonts w:hint="eastAsia" w:ascii="宋体" w:hAnsi="宋体" w:cs="宋体"/>
        </w:rPr>
        <w:t>的要求签字或盖章。招标人收到书面通知后，向投标人出具签收凭证。</w:t>
      </w:r>
    </w:p>
    <w:p>
      <w:pPr>
        <w:spacing w:line="360" w:lineRule="auto"/>
        <w:ind w:firstLine="420" w:firstLineChars="200"/>
        <w:rPr>
          <w:rFonts w:hint="eastAsia" w:ascii="宋体" w:hAnsi="宋体" w:cs="宋体"/>
          <w:color w:val="auto"/>
        </w:rPr>
      </w:pPr>
      <w:r>
        <w:rPr>
          <w:rFonts w:hint="eastAsia" w:ascii="宋体" w:hAnsi="宋体" w:cs="宋体"/>
        </w:rPr>
        <w:t xml:space="preserve">4.3.3 </w:t>
      </w:r>
      <w:r>
        <w:rPr>
          <w:rFonts w:hint="eastAsia" w:ascii="宋体" w:hAnsi="宋体" w:cs="宋体"/>
          <w:color w:val="auto"/>
        </w:rPr>
        <w:t>投标人撤回投标文件的，招标人自收到投标人书面撤回通知之日起5日内退还已收取的投标保证金。</w:t>
      </w:r>
    </w:p>
    <w:p>
      <w:pPr>
        <w:spacing w:line="360" w:lineRule="auto"/>
        <w:ind w:firstLine="420" w:firstLineChars="200"/>
        <w:rPr>
          <w:rFonts w:hint="eastAsia" w:ascii="宋体" w:hAnsi="宋体" w:cs="宋体"/>
        </w:rPr>
      </w:pPr>
      <w:r>
        <w:rPr>
          <w:rFonts w:hint="eastAsia" w:ascii="宋体" w:hAnsi="宋体" w:cs="宋体"/>
        </w:rPr>
        <w:t>4.3.4 修改的内容为投标文件的组成部分。修改的投标文件应按照本</w:t>
      </w:r>
      <w:r>
        <w:rPr>
          <w:rFonts w:hint="eastAsia" w:ascii="宋体" w:hAnsi="宋体" w:cs="宋体"/>
          <w:color w:val="auto"/>
        </w:rPr>
        <w:t>章第3条、第4条规定进</w:t>
      </w:r>
      <w:r>
        <w:rPr>
          <w:rFonts w:hint="eastAsia" w:ascii="宋体" w:hAnsi="宋体" w:cs="宋体"/>
        </w:rPr>
        <w:t>行编制、密封、标记和递交，并标明“修改”字样。</w:t>
      </w:r>
    </w:p>
    <w:p>
      <w:pPr>
        <w:spacing w:line="360" w:lineRule="auto"/>
        <w:ind w:firstLine="420" w:firstLineChars="200"/>
        <w:rPr>
          <w:rFonts w:hint="eastAsia" w:ascii="宋体" w:hAnsi="宋体" w:cs="宋体"/>
        </w:rPr>
      </w:pPr>
      <w:r>
        <w:rPr>
          <w:rFonts w:hint="eastAsia" w:ascii="宋体" w:hAnsi="宋体" w:cs="宋体"/>
        </w:rPr>
        <w:t>4.3.5 在投标截止时间之后，投标人不得补充、修改和更换投标文件。</w:t>
      </w:r>
    </w:p>
    <w:p>
      <w:pPr>
        <w:spacing w:line="360" w:lineRule="auto"/>
        <w:ind w:firstLine="420" w:firstLineChars="200"/>
      </w:pPr>
      <w:r>
        <w:rPr>
          <w:rFonts w:hint="eastAsia" w:ascii="宋体" w:hAnsi="宋体" w:cs="宋体"/>
        </w:rPr>
        <w:t>4.3.6 在投标截止后，投标人在投标文件格式中规定的有效期终止日前，投标人不能撤回投标文件，</w:t>
      </w:r>
      <w:r>
        <w:rPr>
          <w:rFonts w:hint="eastAsia" w:ascii="宋体" w:hAnsi="宋体" w:cs="宋体"/>
          <w:color w:val="auto"/>
        </w:rPr>
        <w:t>否则其投标担保将被没收，且招标人</w:t>
      </w:r>
      <w:r>
        <w:rPr>
          <w:rFonts w:hint="eastAsia" w:ascii="宋体" w:hAnsi="宋体" w:cs="宋体"/>
        </w:rPr>
        <w:t>有权就其撤回行为报告政府主管部门载入不良信用记录。</w:t>
      </w:r>
    </w:p>
    <w:p>
      <w:pPr>
        <w:pStyle w:val="5"/>
        <w:spacing w:before="0" w:after="0" w:line="360" w:lineRule="auto"/>
        <w:ind w:firstLine="562" w:firstLineChars="200"/>
        <w:rPr>
          <w:rFonts w:ascii="Times New Roman" w:hAnsi="Times New Roman" w:cs="Times New Roman"/>
          <w:b/>
          <w:bCs w:val="0"/>
        </w:rPr>
      </w:pPr>
      <w:bookmarkStart w:id="476" w:name="_Toc29122"/>
      <w:bookmarkStart w:id="477" w:name="_Toc494371543"/>
      <w:bookmarkStart w:id="478" w:name="_Toc9659"/>
      <w:bookmarkStart w:id="479" w:name="_Toc152045559"/>
      <w:bookmarkStart w:id="480" w:name="_Toc300834980"/>
      <w:bookmarkStart w:id="481" w:name="_Toc17327"/>
      <w:bookmarkStart w:id="482" w:name="_Toc247527584"/>
      <w:bookmarkStart w:id="483" w:name="_Toc4859"/>
      <w:bookmarkStart w:id="484" w:name="_Toc21324"/>
      <w:bookmarkStart w:id="485" w:name="_Toc144974527"/>
      <w:bookmarkStart w:id="486" w:name="_Toc19988"/>
      <w:bookmarkStart w:id="487" w:name="_Toc20912"/>
      <w:bookmarkStart w:id="488" w:name="_Toc21626"/>
      <w:bookmarkStart w:id="489" w:name="_Toc152042335"/>
      <w:bookmarkStart w:id="490" w:name="_Toc19353"/>
      <w:bookmarkStart w:id="491" w:name="_Toc12021"/>
      <w:bookmarkStart w:id="492" w:name="_Toc247513983"/>
      <w:bookmarkStart w:id="493" w:name="_Toc4190"/>
      <w:bookmarkStart w:id="494" w:name="_Toc7044"/>
      <w:r>
        <w:rPr>
          <w:rFonts w:ascii="Times New Roman" w:hAnsi="Times New Roman" w:cs="Times New Roman"/>
          <w:b/>
          <w:bCs w:val="0"/>
        </w:rPr>
        <w:t xml:space="preserve">5. </w:t>
      </w:r>
      <w:r>
        <w:rPr>
          <w:rFonts w:hint="default" w:ascii="Times New Roman" w:hAnsi="Times New Roman" w:cs="Times New Roman"/>
          <w:b/>
          <w:bCs w:val="0"/>
        </w:rPr>
        <w:t>开标</w:t>
      </w:r>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p>
    <w:p>
      <w:pPr>
        <w:pStyle w:val="5"/>
        <w:spacing w:before="0" w:after="0" w:line="360" w:lineRule="auto"/>
        <w:ind w:firstLine="560" w:firstLineChars="200"/>
        <w:rPr>
          <w:rFonts w:ascii="Times New Roman" w:hAnsi="Times New Roman"/>
        </w:rPr>
      </w:pPr>
      <w:bookmarkStart w:id="495" w:name="_Toc247513984"/>
      <w:bookmarkStart w:id="496" w:name="_Toc247527585"/>
      <w:bookmarkStart w:id="497" w:name="_Toc144974528"/>
      <w:bookmarkStart w:id="498" w:name="_Toc23891"/>
      <w:bookmarkStart w:id="499" w:name="_Toc300834981"/>
      <w:bookmarkStart w:id="500" w:name="_Toc11445"/>
      <w:bookmarkStart w:id="501" w:name="_Toc11407"/>
      <w:bookmarkStart w:id="502" w:name="_Toc25302"/>
      <w:bookmarkStart w:id="503" w:name="_Toc152045560"/>
      <w:bookmarkStart w:id="504" w:name="_Toc494371544"/>
      <w:bookmarkStart w:id="505" w:name="_Toc27776"/>
      <w:bookmarkStart w:id="506" w:name="_Toc25808"/>
      <w:bookmarkStart w:id="507" w:name="_Toc795"/>
      <w:bookmarkStart w:id="508" w:name="_Toc152042336"/>
      <w:bookmarkStart w:id="509" w:name="_Toc22910"/>
      <w:bookmarkStart w:id="510" w:name="_Toc25002"/>
      <w:bookmarkStart w:id="511" w:name="_Toc21178"/>
      <w:r>
        <w:rPr>
          <w:rFonts w:ascii="Times New Roman" w:hAnsi="Times New Roman"/>
        </w:rPr>
        <w:t>5.1 开标时间和地点</w:t>
      </w:r>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p>
    <w:p>
      <w:pPr>
        <w:spacing w:line="360" w:lineRule="auto"/>
        <w:ind w:firstLine="420" w:firstLineChars="200"/>
        <w:rPr>
          <w:rFonts w:hint="eastAsia" w:ascii="宋体" w:hAnsi="宋体" w:cs="宋体"/>
        </w:rPr>
      </w:pPr>
      <w:r>
        <w:rPr>
          <w:rFonts w:hint="eastAsia" w:ascii="宋体" w:hAnsi="宋体" w:cs="宋体"/>
        </w:rPr>
        <w:t>招标人在规定的投标截止时间（开标时间）和投标人须知前附表规定的地点公开开标，并邀请所有投标人的法定代表人或其委托代理人准时参加。</w:t>
      </w:r>
    </w:p>
    <w:p>
      <w:pPr>
        <w:pStyle w:val="5"/>
        <w:spacing w:before="0" w:after="0" w:line="360" w:lineRule="auto"/>
        <w:ind w:firstLine="560" w:firstLineChars="200"/>
        <w:rPr>
          <w:rFonts w:ascii="Times New Roman" w:hAnsi="Times New Roman"/>
        </w:rPr>
      </w:pPr>
      <w:bookmarkStart w:id="512" w:name="_Toc25280"/>
      <w:bookmarkStart w:id="513" w:name="_Toc247527586"/>
      <w:bookmarkStart w:id="514" w:name="_Toc152045561"/>
      <w:bookmarkStart w:id="515" w:name="_Toc25227"/>
      <w:bookmarkStart w:id="516" w:name="_Toc22493"/>
      <w:bookmarkStart w:id="517" w:name="_Toc494371545"/>
      <w:bookmarkStart w:id="518" w:name="_Toc22461"/>
      <w:bookmarkStart w:id="519" w:name="_Toc19222"/>
      <w:bookmarkStart w:id="520" w:name="_Toc300834982"/>
      <w:bookmarkStart w:id="521" w:name="_Toc22540"/>
      <w:bookmarkStart w:id="522" w:name="_Toc152042337"/>
      <w:bookmarkStart w:id="523" w:name="_Toc15353"/>
      <w:bookmarkStart w:id="524" w:name="_Toc3230"/>
      <w:bookmarkStart w:id="525" w:name="_Toc144974529"/>
      <w:bookmarkStart w:id="526" w:name="_Toc247513985"/>
      <w:bookmarkStart w:id="527" w:name="_Toc3986"/>
      <w:bookmarkStart w:id="528" w:name="_Toc2530"/>
      <w:r>
        <w:rPr>
          <w:rFonts w:ascii="Times New Roman" w:hAnsi="Times New Roman"/>
        </w:rPr>
        <w:t>5.2 开标程序</w:t>
      </w:r>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p>
    <w:p>
      <w:pPr>
        <w:spacing w:line="360" w:lineRule="auto"/>
        <w:ind w:firstLine="420" w:firstLineChars="200"/>
        <w:rPr>
          <w:rFonts w:hint="eastAsia" w:ascii="宋体" w:hAnsi="宋体" w:cs="宋体"/>
          <w:szCs w:val="24"/>
        </w:rPr>
      </w:pPr>
      <w:r>
        <w:rPr>
          <w:rFonts w:hint="eastAsia" w:ascii="宋体" w:hAnsi="宋体" w:cs="宋体"/>
          <w:szCs w:val="24"/>
        </w:rPr>
        <w:t>5.2.1 招标人按投标须知前附表所规定的时间和地点公开开标，并邀请所有投标人参加。截标后，开标开始时间因故推迟的，以实际开标时间为准。</w:t>
      </w:r>
    </w:p>
    <w:p>
      <w:pPr>
        <w:spacing w:line="360" w:lineRule="auto"/>
        <w:ind w:firstLine="420" w:firstLineChars="200"/>
        <w:rPr>
          <w:rFonts w:hint="eastAsia" w:ascii="宋体" w:hAnsi="宋体" w:cs="宋体"/>
          <w:szCs w:val="24"/>
        </w:rPr>
      </w:pPr>
      <w:r>
        <w:rPr>
          <w:rFonts w:hint="eastAsia" w:ascii="宋体" w:hAnsi="宋体" w:cs="宋体"/>
          <w:szCs w:val="24"/>
        </w:rPr>
        <w:t>5.2.2 开标时，出现下列情形之一的，不参与开标及后续评审工作：</w:t>
      </w:r>
    </w:p>
    <w:p>
      <w:pPr>
        <w:spacing w:line="360" w:lineRule="auto"/>
        <w:ind w:firstLine="420" w:firstLineChars="200"/>
        <w:rPr>
          <w:rFonts w:hint="eastAsia" w:ascii="宋体" w:hAnsi="宋体" w:cs="宋体"/>
          <w:szCs w:val="24"/>
        </w:rPr>
      </w:pPr>
      <w:r>
        <w:rPr>
          <w:rFonts w:hint="eastAsia" w:ascii="宋体" w:hAnsi="宋体" w:cs="宋体"/>
          <w:szCs w:val="24"/>
        </w:rPr>
        <w:t>5.2.2.1 未按招标文件要求提供投标担保的；</w:t>
      </w:r>
    </w:p>
    <w:p>
      <w:pPr>
        <w:spacing w:line="360" w:lineRule="auto"/>
        <w:ind w:firstLine="420" w:firstLineChars="200"/>
        <w:rPr>
          <w:rFonts w:hint="eastAsia" w:ascii="宋体" w:hAnsi="宋体" w:cs="宋体"/>
          <w:szCs w:val="24"/>
        </w:rPr>
      </w:pPr>
      <w:r>
        <w:rPr>
          <w:rFonts w:hint="eastAsia" w:ascii="宋体" w:hAnsi="宋体" w:cs="宋体"/>
          <w:szCs w:val="24"/>
        </w:rPr>
        <w:t>5.2.3 开标由招标人主持。</w:t>
      </w:r>
    </w:p>
    <w:p>
      <w:pPr>
        <w:spacing w:line="360" w:lineRule="auto"/>
        <w:ind w:firstLine="420" w:firstLineChars="200"/>
        <w:rPr>
          <w:rFonts w:hint="eastAsia" w:ascii="宋体" w:hAnsi="宋体" w:cs="宋体"/>
          <w:szCs w:val="24"/>
        </w:rPr>
      </w:pPr>
      <w:r>
        <w:rPr>
          <w:rFonts w:hint="eastAsia" w:ascii="宋体" w:hAnsi="宋体" w:cs="宋体"/>
          <w:szCs w:val="24"/>
        </w:rPr>
        <w:t>5.2.4由投标人或其推选的代表检查投标文件的包封、标记和密封情况。</w:t>
      </w:r>
    </w:p>
    <w:p>
      <w:pPr>
        <w:spacing w:line="360" w:lineRule="auto"/>
        <w:ind w:firstLine="420" w:firstLineChars="200"/>
        <w:rPr>
          <w:rFonts w:hint="eastAsia" w:ascii="宋体" w:hAnsi="宋体" w:cs="宋体"/>
          <w:szCs w:val="24"/>
        </w:rPr>
      </w:pPr>
      <w:r>
        <w:rPr>
          <w:rFonts w:hint="eastAsia" w:ascii="宋体" w:hAnsi="宋体" w:cs="宋体"/>
          <w:szCs w:val="24"/>
        </w:rPr>
        <w:t>5.2.5开标细则</w:t>
      </w:r>
    </w:p>
    <w:p>
      <w:pPr>
        <w:spacing w:line="360" w:lineRule="auto"/>
        <w:ind w:firstLine="420" w:firstLineChars="200"/>
        <w:rPr>
          <w:rFonts w:hint="eastAsia" w:ascii="宋体" w:hAnsi="宋体" w:cs="宋体"/>
          <w:szCs w:val="24"/>
        </w:rPr>
      </w:pPr>
      <w:r>
        <w:rPr>
          <w:rFonts w:hint="eastAsia" w:ascii="宋体" w:hAnsi="宋体" w:cs="宋体"/>
          <w:szCs w:val="24"/>
        </w:rPr>
        <w:t>（1）资格审查文件、工程实施方案（含资信部分）文件评审、投标报价文件同时公开开标；</w:t>
      </w:r>
    </w:p>
    <w:p>
      <w:pPr>
        <w:spacing w:line="360" w:lineRule="auto"/>
        <w:ind w:firstLine="420" w:firstLineChars="200"/>
        <w:rPr>
          <w:rFonts w:hint="eastAsia" w:ascii="宋体" w:hAnsi="宋体" w:cs="宋体"/>
          <w:szCs w:val="24"/>
        </w:rPr>
      </w:pPr>
      <w:r>
        <w:rPr>
          <w:rFonts w:hint="eastAsia" w:ascii="宋体" w:hAnsi="宋体" w:cs="宋体"/>
          <w:szCs w:val="24"/>
        </w:rPr>
        <w:t>（2）经确认无误后，由招标人当众拆封各投标人递交的资格审查文件、工程实施方案（含资信部分）文件评审、投标报价文件。开标时宣读下列内容，并予以记录，开标记录提交评标委员会评审：</w:t>
      </w:r>
    </w:p>
    <w:p>
      <w:pPr>
        <w:spacing w:line="360" w:lineRule="auto"/>
        <w:ind w:firstLine="420" w:firstLineChars="200"/>
        <w:rPr>
          <w:rFonts w:hint="eastAsia" w:ascii="宋体" w:hAnsi="宋体" w:cs="宋体"/>
          <w:szCs w:val="24"/>
        </w:rPr>
      </w:pPr>
      <w:r>
        <w:rPr>
          <w:rFonts w:hint="eastAsia" w:ascii="宋体" w:hAnsi="宋体" w:cs="宋体"/>
          <w:szCs w:val="24"/>
        </w:rPr>
        <w:t>开标时，宣读a、投标人名称；b、标书密封情况；c、有无法定代表人证明书及授权委托证明书；d、投标总报价等主要内容以及开标记录表中的其他必要内容。招标人对开标过程进行记录，并存档备查。</w:t>
      </w:r>
    </w:p>
    <w:p>
      <w:pPr>
        <w:spacing w:line="360" w:lineRule="auto"/>
        <w:ind w:firstLine="420" w:firstLineChars="200"/>
        <w:rPr>
          <w:rFonts w:hint="eastAsia" w:ascii="宋体" w:hAnsi="宋体" w:cs="宋体"/>
          <w:szCs w:val="24"/>
        </w:rPr>
      </w:pPr>
      <w:r>
        <w:rPr>
          <w:rFonts w:hint="eastAsia" w:ascii="宋体" w:hAnsi="宋体" w:cs="宋体"/>
          <w:szCs w:val="24"/>
        </w:rPr>
        <w:t>（3）资格审查文件评审；编制资格审查报告。</w:t>
      </w:r>
    </w:p>
    <w:p>
      <w:pPr>
        <w:spacing w:line="360" w:lineRule="auto"/>
        <w:ind w:firstLine="420" w:firstLineChars="200"/>
        <w:rPr>
          <w:rFonts w:hint="eastAsia" w:ascii="宋体" w:hAnsi="宋体" w:cs="宋体"/>
          <w:szCs w:val="24"/>
        </w:rPr>
      </w:pPr>
      <w:r>
        <w:rPr>
          <w:rFonts w:hint="eastAsia" w:ascii="宋体" w:hAnsi="宋体" w:cs="宋体"/>
          <w:szCs w:val="24"/>
        </w:rPr>
        <w:t>（4）工程总承包实施方案（含资信部分）文件评审；</w:t>
      </w:r>
    </w:p>
    <w:p>
      <w:pPr>
        <w:spacing w:line="360" w:lineRule="auto"/>
        <w:ind w:firstLine="420" w:firstLineChars="200"/>
        <w:rPr>
          <w:rFonts w:hint="eastAsia" w:ascii="宋体" w:hAnsi="宋体" w:cs="宋体"/>
          <w:szCs w:val="24"/>
        </w:rPr>
      </w:pPr>
      <w:r>
        <w:rPr>
          <w:rFonts w:hint="eastAsia" w:ascii="宋体" w:hAnsi="宋体" w:cs="宋体"/>
          <w:szCs w:val="24"/>
        </w:rPr>
        <w:t>（5）投标报价文件评审；</w:t>
      </w:r>
    </w:p>
    <w:p>
      <w:pPr>
        <w:spacing w:line="360" w:lineRule="auto"/>
        <w:ind w:firstLine="420" w:firstLineChars="200"/>
        <w:rPr>
          <w:rFonts w:hint="eastAsia" w:ascii="宋体" w:hAnsi="宋体" w:cs="宋体"/>
          <w:szCs w:val="24"/>
        </w:rPr>
      </w:pPr>
      <w:r>
        <w:rPr>
          <w:rFonts w:hint="eastAsia" w:ascii="宋体" w:hAnsi="宋体" w:cs="宋体"/>
          <w:szCs w:val="24"/>
        </w:rPr>
        <w:t>（6）</w:t>
      </w:r>
      <w:r>
        <w:rPr>
          <w:rFonts w:hint="eastAsia" w:ascii="宋体" w:hAnsi="宋体" w:cs="宋体"/>
        </w:rPr>
        <w:t>评委</w:t>
      </w:r>
      <w:r>
        <w:rPr>
          <w:rFonts w:hint="eastAsia" w:ascii="宋体" w:hAnsi="宋体" w:cs="宋体"/>
          <w:szCs w:val="24"/>
        </w:rPr>
        <w:t>汇总工程实施方案（含资信部分）文件与投标报价文件文件得分，并按照总分从高到低排序；</w:t>
      </w:r>
    </w:p>
    <w:p>
      <w:pPr>
        <w:spacing w:line="360" w:lineRule="auto"/>
        <w:ind w:firstLine="420" w:firstLineChars="200"/>
        <w:rPr>
          <w:rFonts w:hint="eastAsia" w:ascii="宋体" w:hAnsi="宋体" w:cs="宋体"/>
        </w:rPr>
      </w:pPr>
      <w:r>
        <w:rPr>
          <w:rFonts w:hint="eastAsia" w:ascii="宋体" w:hAnsi="宋体" w:cs="宋体"/>
          <w:szCs w:val="24"/>
        </w:rPr>
        <w:t>（8）评标委员会向业主推荐中标候选人，编写评标报告。</w:t>
      </w:r>
    </w:p>
    <w:p>
      <w:pPr>
        <w:pStyle w:val="5"/>
        <w:spacing w:before="0" w:after="0" w:line="360" w:lineRule="auto"/>
        <w:ind w:firstLine="560" w:firstLineChars="200"/>
        <w:rPr>
          <w:rFonts w:ascii="Times New Roman" w:hAnsi="Times New Roman"/>
        </w:rPr>
      </w:pPr>
      <w:bookmarkStart w:id="529" w:name="_Toc24887"/>
      <w:bookmarkStart w:id="530" w:name="_Toc25032"/>
      <w:bookmarkStart w:id="531" w:name="_Toc20975"/>
      <w:bookmarkStart w:id="532" w:name="_Toc494371546"/>
      <w:bookmarkStart w:id="533" w:name="_Toc10688"/>
      <w:bookmarkStart w:id="534" w:name="_Toc7458"/>
      <w:bookmarkStart w:id="535" w:name="_Toc300834983"/>
      <w:bookmarkStart w:id="536" w:name="_Toc12520"/>
      <w:bookmarkStart w:id="537" w:name="_Toc16449"/>
      <w:bookmarkStart w:id="538" w:name="_Toc3531"/>
      <w:bookmarkStart w:id="539" w:name="_Toc5505"/>
      <w:bookmarkStart w:id="540" w:name="_Toc29859"/>
      <w:r>
        <w:rPr>
          <w:rFonts w:ascii="Times New Roman" w:hAnsi="Times New Roman"/>
        </w:rPr>
        <w:t>5.3 开标异议</w:t>
      </w:r>
      <w:bookmarkEnd w:id="529"/>
      <w:bookmarkEnd w:id="530"/>
      <w:bookmarkEnd w:id="531"/>
      <w:bookmarkEnd w:id="532"/>
      <w:bookmarkEnd w:id="533"/>
      <w:bookmarkEnd w:id="534"/>
      <w:bookmarkEnd w:id="535"/>
      <w:bookmarkEnd w:id="536"/>
      <w:bookmarkEnd w:id="537"/>
      <w:bookmarkEnd w:id="538"/>
      <w:bookmarkEnd w:id="539"/>
      <w:bookmarkEnd w:id="540"/>
    </w:p>
    <w:p>
      <w:pPr>
        <w:spacing w:line="360" w:lineRule="auto"/>
        <w:ind w:firstLine="420" w:firstLineChars="200"/>
        <w:rPr>
          <w:rFonts w:hint="eastAsia" w:ascii="宋体" w:hAnsi="宋体" w:cs="宋体"/>
        </w:rPr>
      </w:pPr>
      <w:r>
        <w:rPr>
          <w:rFonts w:hint="eastAsia" w:ascii="宋体" w:hAnsi="宋体" w:cs="宋体"/>
        </w:rPr>
        <w:t>投标人对开标有异议的，应当在开标现场提出，招标人当场作出答复，并制作记录。</w:t>
      </w:r>
    </w:p>
    <w:p>
      <w:pPr>
        <w:pStyle w:val="5"/>
        <w:spacing w:before="0" w:after="0" w:line="360" w:lineRule="auto"/>
        <w:ind w:firstLine="562" w:firstLineChars="200"/>
        <w:rPr>
          <w:rFonts w:ascii="Times New Roman" w:hAnsi="Times New Roman" w:cs="Times New Roman"/>
          <w:b/>
          <w:bCs w:val="0"/>
        </w:rPr>
      </w:pPr>
      <w:bookmarkStart w:id="541" w:name="_Toc3149"/>
      <w:bookmarkStart w:id="542" w:name="_Toc109"/>
      <w:bookmarkStart w:id="543" w:name="_Toc28414"/>
      <w:bookmarkStart w:id="544" w:name="_Toc15084"/>
      <w:bookmarkStart w:id="545" w:name="_Toc27705"/>
      <w:bookmarkStart w:id="546" w:name="_Toc247513986"/>
      <w:bookmarkStart w:id="547" w:name="_Toc152045562"/>
      <w:bookmarkStart w:id="548" w:name="_Toc144974530"/>
      <w:bookmarkStart w:id="549" w:name="_Toc494371547"/>
      <w:bookmarkStart w:id="550" w:name="_Toc30683"/>
      <w:bookmarkStart w:id="551" w:name="_Toc12313"/>
      <w:bookmarkStart w:id="552" w:name="_Toc26333"/>
      <w:bookmarkStart w:id="553" w:name="_Toc32048"/>
      <w:bookmarkStart w:id="554" w:name="_Toc15719"/>
      <w:bookmarkStart w:id="555" w:name="_Toc152042338"/>
      <w:bookmarkStart w:id="556" w:name="_Toc198"/>
      <w:bookmarkStart w:id="557" w:name="_Toc837"/>
      <w:bookmarkStart w:id="558" w:name="_Toc300834984"/>
      <w:bookmarkStart w:id="559" w:name="_Toc247527587"/>
      <w:r>
        <w:rPr>
          <w:rFonts w:ascii="Times New Roman" w:hAnsi="Times New Roman" w:cs="Times New Roman"/>
          <w:b/>
          <w:bCs w:val="0"/>
        </w:rPr>
        <w:t xml:space="preserve">6. </w:t>
      </w:r>
      <w:r>
        <w:rPr>
          <w:rFonts w:hint="default" w:ascii="Times New Roman" w:hAnsi="Times New Roman" w:cs="Times New Roman"/>
          <w:b/>
          <w:bCs w:val="0"/>
        </w:rPr>
        <w:t>评标</w:t>
      </w:r>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p>
    <w:p>
      <w:pPr>
        <w:pStyle w:val="5"/>
        <w:spacing w:before="0" w:after="0" w:line="360" w:lineRule="auto"/>
        <w:ind w:firstLine="560" w:firstLineChars="200"/>
        <w:rPr>
          <w:rFonts w:ascii="Times New Roman" w:hAnsi="Times New Roman"/>
        </w:rPr>
      </w:pPr>
      <w:bookmarkStart w:id="560" w:name="_Toc15741"/>
      <w:bookmarkStart w:id="561" w:name="_Toc300834985"/>
      <w:bookmarkStart w:id="562" w:name="_Toc247527588"/>
      <w:bookmarkStart w:id="563" w:name="_Toc29481"/>
      <w:bookmarkStart w:id="564" w:name="_Toc247513987"/>
      <w:bookmarkStart w:id="565" w:name="_Toc18724"/>
      <w:bookmarkStart w:id="566" w:name="_Toc494371548"/>
      <w:bookmarkStart w:id="567" w:name="_Toc32379"/>
      <w:bookmarkStart w:id="568" w:name="_Toc7043"/>
      <w:bookmarkStart w:id="569" w:name="_Toc144974531"/>
      <w:bookmarkStart w:id="570" w:name="_Toc8891"/>
      <w:bookmarkStart w:id="571" w:name="_Toc16291"/>
      <w:bookmarkStart w:id="572" w:name="_Toc152045563"/>
      <w:bookmarkStart w:id="573" w:name="_Toc13286"/>
      <w:bookmarkStart w:id="574" w:name="_Toc3086"/>
      <w:bookmarkStart w:id="575" w:name="_Toc152042339"/>
      <w:bookmarkStart w:id="576" w:name="_Toc2807"/>
      <w:r>
        <w:rPr>
          <w:rFonts w:ascii="Times New Roman" w:hAnsi="Times New Roman"/>
        </w:rPr>
        <w:t>6.1 评标委员会</w:t>
      </w:r>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p>
    <w:p>
      <w:pPr>
        <w:spacing w:line="360" w:lineRule="auto"/>
        <w:ind w:firstLine="420" w:firstLineChars="200"/>
      </w:pPr>
      <w:r>
        <w:t xml:space="preserve">6.1.1 </w:t>
      </w:r>
      <w:r>
        <w:rPr>
          <w:rFonts w:hint="eastAsia"/>
        </w:rPr>
        <w:t>评标由招标人依法组建的评标委员会负责，</w:t>
      </w:r>
      <w:r>
        <w:rPr>
          <w:rFonts w:hint="eastAsia"/>
          <w:color w:val="auto"/>
          <w:highlight w:val="none"/>
        </w:rPr>
        <w:t>成员人数为五人</w:t>
      </w:r>
      <w:r>
        <w:rPr>
          <w:rFonts w:hint="eastAsia"/>
          <w:color w:val="auto"/>
          <w:highlight w:val="none"/>
          <w:lang w:val="en-US" w:eastAsia="zh-CN"/>
        </w:rPr>
        <w:t>及</w:t>
      </w:r>
      <w:r>
        <w:rPr>
          <w:rFonts w:hint="eastAsia"/>
          <w:color w:val="auto"/>
          <w:highlight w:val="none"/>
        </w:rPr>
        <w:t>以上单数</w:t>
      </w:r>
      <w:r>
        <w:rPr>
          <w:rFonts w:hint="eastAsia"/>
        </w:rPr>
        <w:t>。招标人参加或派代表</w:t>
      </w:r>
      <w:r>
        <w:rPr>
          <w:rFonts w:hint="eastAsia" w:ascii="宋体" w:hAnsi="宋体" w:cs="宋体"/>
        </w:rPr>
        <w:t>参加评标委员会的，人数原则上以一人为限，评标过程中不得以任何方式影响其他评标专家独立评标。</w:t>
      </w:r>
    </w:p>
    <w:p>
      <w:pPr>
        <w:pStyle w:val="5"/>
        <w:spacing w:before="0" w:after="0" w:line="360" w:lineRule="auto"/>
        <w:ind w:firstLine="560" w:firstLineChars="200"/>
        <w:rPr>
          <w:rFonts w:ascii="Times New Roman" w:hAnsi="Times New Roman"/>
        </w:rPr>
      </w:pPr>
      <w:bookmarkStart w:id="577" w:name="_Toc6335"/>
      <w:bookmarkStart w:id="578" w:name="_Toc26316"/>
      <w:bookmarkStart w:id="579" w:name="_Toc144974532"/>
      <w:bookmarkStart w:id="580" w:name="_Toc247513988"/>
      <w:bookmarkStart w:id="581" w:name="_Toc1462"/>
      <w:bookmarkStart w:id="582" w:name="_Toc19365"/>
      <w:bookmarkStart w:id="583" w:name="_Toc18883"/>
      <w:bookmarkStart w:id="584" w:name="_Toc152042340"/>
      <w:bookmarkStart w:id="585" w:name="_Toc152045564"/>
      <w:bookmarkStart w:id="586" w:name="_Toc300834986"/>
      <w:bookmarkStart w:id="587" w:name="_Toc14458"/>
      <w:bookmarkStart w:id="588" w:name="_Toc247527589"/>
      <w:bookmarkStart w:id="589" w:name="_Toc6886"/>
      <w:bookmarkStart w:id="590" w:name="_Toc494371549"/>
      <w:bookmarkStart w:id="591" w:name="_Toc19377"/>
      <w:bookmarkStart w:id="592" w:name="_Toc12970"/>
      <w:bookmarkStart w:id="593" w:name="_Toc30692"/>
      <w:r>
        <w:rPr>
          <w:rFonts w:ascii="Times New Roman" w:hAnsi="Times New Roman"/>
        </w:rPr>
        <w:t>6.2 评标原则</w:t>
      </w:r>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p>
    <w:p>
      <w:pPr>
        <w:spacing w:line="360" w:lineRule="auto"/>
        <w:ind w:firstLine="420" w:firstLineChars="200"/>
        <w:rPr>
          <w:rFonts w:hint="eastAsia" w:ascii="宋体" w:hAnsi="宋体" w:cs="宋体"/>
        </w:rPr>
      </w:pPr>
      <w:r>
        <w:rPr>
          <w:rFonts w:hint="eastAsia" w:ascii="宋体" w:hAnsi="宋体" w:cs="宋体"/>
        </w:rPr>
        <w:t>评标活动遵循公平、公正、科学和择优的原则。</w:t>
      </w:r>
    </w:p>
    <w:p>
      <w:pPr>
        <w:pStyle w:val="5"/>
        <w:spacing w:before="0" w:after="0" w:line="360" w:lineRule="auto"/>
        <w:ind w:firstLine="560" w:firstLineChars="200"/>
        <w:rPr>
          <w:rFonts w:ascii="Times New Roman" w:hAnsi="Times New Roman"/>
        </w:rPr>
      </w:pPr>
      <w:bookmarkStart w:id="594" w:name="_Toc30595"/>
      <w:bookmarkStart w:id="595" w:name="_Toc25099"/>
      <w:bookmarkStart w:id="596" w:name="_Toc247527590"/>
      <w:bookmarkStart w:id="597" w:name="_Toc247513989"/>
      <w:bookmarkStart w:id="598" w:name="_Toc8724"/>
      <w:bookmarkStart w:id="599" w:name="_Toc152045565"/>
      <w:bookmarkStart w:id="600" w:name="_Toc152042341"/>
      <w:bookmarkStart w:id="601" w:name="_Toc10168"/>
      <w:bookmarkStart w:id="602" w:name="_Toc144974533"/>
      <w:bookmarkStart w:id="603" w:name="_Toc494371550"/>
      <w:bookmarkStart w:id="604" w:name="_Toc11669"/>
      <w:bookmarkStart w:id="605" w:name="_Toc28220"/>
      <w:bookmarkStart w:id="606" w:name="_Toc16889"/>
      <w:bookmarkStart w:id="607" w:name="_Toc18237"/>
      <w:bookmarkStart w:id="608" w:name="_Toc300834987"/>
      <w:bookmarkStart w:id="609" w:name="_Toc17295"/>
      <w:bookmarkStart w:id="610" w:name="_Toc25394"/>
      <w:r>
        <w:rPr>
          <w:rFonts w:ascii="Times New Roman" w:hAnsi="Times New Roman"/>
        </w:rPr>
        <w:t>6.3 评标</w:t>
      </w:r>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p>
    <w:p>
      <w:pPr>
        <w:spacing w:line="360" w:lineRule="auto"/>
        <w:ind w:firstLine="420" w:firstLineChars="200"/>
        <w:rPr>
          <w:rFonts w:hint="eastAsia" w:ascii="宋体" w:hAnsi="宋体" w:cs="宋体"/>
        </w:rPr>
      </w:pPr>
      <w:r>
        <w:rPr>
          <w:rFonts w:hint="eastAsia" w:ascii="宋体" w:hAnsi="宋体" w:cs="宋体"/>
        </w:rPr>
        <w:t>评标委员会按照第三章“评标办法”规定的方法、评审因素、标准和程序对投标文件进行评审。第三章“评标办法”没有规定的方法、评审因素和标准，不作为评标依据。</w:t>
      </w:r>
    </w:p>
    <w:p>
      <w:pPr>
        <w:pStyle w:val="5"/>
        <w:spacing w:before="0" w:after="0" w:line="360" w:lineRule="auto"/>
        <w:ind w:firstLine="562" w:firstLineChars="200"/>
        <w:rPr>
          <w:rFonts w:ascii="Times New Roman" w:hAnsi="Times New Roman" w:cs="Times New Roman"/>
          <w:b/>
          <w:bCs w:val="0"/>
        </w:rPr>
      </w:pPr>
      <w:bookmarkStart w:id="611" w:name="_Toc152042342"/>
      <w:bookmarkStart w:id="612" w:name="_Toc23086"/>
      <w:bookmarkStart w:id="613" w:name="_Toc5422"/>
      <w:bookmarkStart w:id="614" w:name="_Toc12877"/>
      <w:bookmarkStart w:id="615" w:name="_Toc6130"/>
      <w:bookmarkStart w:id="616" w:name="_Toc22306"/>
      <w:bookmarkStart w:id="617" w:name="_Toc30273"/>
      <w:bookmarkStart w:id="618" w:name="_Toc22878"/>
      <w:bookmarkStart w:id="619" w:name="_Toc300834988"/>
      <w:bookmarkStart w:id="620" w:name="_Toc5557"/>
      <w:bookmarkStart w:id="621" w:name="_Toc247527591"/>
      <w:bookmarkStart w:id="622" w:name="_Toc26245"/>
      <w:bookmarkStart w:id="623" w:name="_Toc494371551"/>
      <w:bookmarkStart w:id="624" w:name="_Toc17020"/>
      <w:bookmarkStart w:id="625" w:name="_Toc144974534"/>
      <w:bookmarkStart w:id="626" w:name="_Toc152045566"/>
      <w:bookmarkStart w:id="627" w:name="_Toc24255"/>
      <w:bookmarkStart w:id="628" w:name="_Toc24084"/>
      <w:bookmarkStart w:id="629" w:name="_Toc247513990"/>
      <w:r>
        <w:rPr>
          <w:rFonts w:ascii="Times New Roman" w:hAnsi="Times New Roman" w:cs="Times New Roman"/>
          <w:b/>
          <w:bCs w:val="0"/>
        </w:rPr>
        <w:t xml:space="preserve">7. </w:t>
      </w:r>
      <w:r>
        <w:rPr>
          <w:rFonts w:hint="default" w:ascii="Times New Roman" w:hAnsi="Times New Roman" w:cs="Times New Roman"/>
          <w:b/>
          <w:bCs w:val="0"/>
        </w:rPr>
        <w:t>合同授予</w:t>
      </w:r>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p>
    <w:p>
      <w:pPr>
        <w:pStyle w:val="5"/>
        <w:spacing w:before="0" w:after="0" w:line="360" w:lineRule="auto"/>
        <w:ind w:firstLine="560" w:firstLineChars="200"/>
        <w:rPr>
          <w:rFonts w:ascii="Times New Roman" w:hAnsi="Times New Roman"/>
        </w:rPr>
      </w:pPr>
      <w:bookmarkStart w:id="630" w:name="_Toc28811"/>
      <w:bookmarkStart w:id="631" w:name="_Toc28912"/>
      <w:bookmarkStart w:id="632" w:name="_Toc28741"/>
      <w:bookmarkStart w:id="633" w:name="_Toc247527592"/>
      <w:bookmarkStart w:id="634" w:name="_Toc494371552"/>
      <w:bookmarkStart w:id="635" w:name="_Toc25537"/>
      <w:bookmarkStart w:id="636" w:name="_Toc10016"/>
      <w:bookmarkStart w:id="637" w:name="_Toc6661"/>
      <w:bookmarkStart w:id="638" w:name="_Toc29318"/>
      <w:bookmarkStart w:id="639" w:name="_Toc144974535"/>
      <w:bookmarkStart w:id="640" w:name="_Toc152045567"/>
      <w:bookmarkStart w:id="641" w:name="_Toc620"/>
      <w:bookmarkStart w:id="642" w:name="_Toc152042343"/>
      <w:bookmarkStart w:id="643" w:name="_Toc247513991"/>
      <w:bookmarkStart w:id="644" w:name="_Toc300834989"/>
      <w:bookmarkStart w:id="645" w:name="_Toc2434"/>
      <w:bookmarkStart w:id="646" w:name="_Toc7596"/>
      <w:r>
        <w:rPr>
          <w:rFonts w:ascii="Times New Roman" w:hAnsi="Times New Roman"/>
        </w:rPr>
        <w:t>7.1 定标方式</w:t>
      </w:r>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p>
    <w:p>
      <w:pPr>
        <w:spacing w:line="360" w:lineRule="auto"/>
        <w:ind w:firstLine="420" w:firstLineChars="200"/>
        <w:rPr>
          <w:rFonts w:hint="eastAsia" w:ascii="宋体" w:hAnsi="宋体" w:cs="宋体"/>
        </w:rPr>
      </w:pPr>
      <w:r>
        <w:rPr>
          <w:rFonts w:hint="eastAsia" w:ascii="宋体" w:hAnsi="宋体" w:cs="宋体"/>
        </w:rPr>
        <w:t>7.1.1按照投标人须知前附表的规定，招标人或招标人授权的评标委员会依法确定中标人。</w:t>
      </w:r>
    </w:p>
    <w:p>
      <w:pPr>
        <w:spacing w:line="360" w:lineRule="auto"/>
        <w:ind w:firstLine="420" w:firstLineChars="200"/>
        <w:rPr>
          <w:rFonts w:hint="eastAsia" w:ascii="宋体" w:hAnsi="宋体" w:cs="宋体"/>
        </w:rPr>
      </w:pPr>
      <w:r>
        <w:rPr>
          <w:rFonts w:hint="eastAsia" w:ascii="宋体" w:hAnsi="宋体" w:cs="宋体"/>
        </w:rPr>
        <w:t>7.1.2 排名第一的中标候选人放弃中标、因不可抗力不能履行合同、不按照招标文件要求提交履约保证金，或者被查实存在影响中标结果的违法行为等情形，不符合中标条件的，招标人可以按照评标委员会提出的中标候选人名单排序依次确定其他中标候选人为中标人，也可以重新招标。</w:t>
      </w:r>
    </w:p>
    <w:p>
      <w:pPr>
        <w:pStyle w:val="5"/>
        <w:spacing w:before="0" w:after="0" w:line="360" w:lineRule="auto"/>
        <w:ind w:firstLine="560" w:firstLineChars="200"/>
        <w:rPr>
          <w:rFonts w:ascii="Times New Roman" w:hAnsi="Times New Roman"/>
        </w:rPr>
      </w:pPr>
      <w:bookmarkStart w:id="647" w:name="_Toc8069"/>
      <w:bookmarkStart w:id="648" w:name="_Toc21974"/>
      <w:bookmarkStart w:id="649" w:name="_Toc300834990"/>
      <w:bookmarkStart w:id="650" w:name="_Toc10691"/>
      <w:bookmarkStart w:id="651" w:name="_Toc31309"/>
      <w:bookmarkStart w:id="652" w:name="_Toc16401"/>
      <w:bookmarkStart w:id="653" w:name="_Toc25164"/>
      <w:bookmarkStart w:id="654" w:name="_Toc9281"/>
      <w:bookmarkStart w:id="655" w:name="_Toc3190"/>
      <w:bookmarkStart w:id="656" w:name="_Toc32142"/>
      <w:bookmarkStart w:id="657" w:name="_Toc30311"/>
      <w:bookmarkStart w:id="658" w:name="_Toc494371553"/>
      <w:r>
        <w:rPr>
          <w:rFonts w:ascii="Times New Roman" w:hAnsi="Times New Roman"/>
        </w:rPr>
        <w:t>7.2 中标候选人公示</w:t>
      </w:r>
      <w:bookmarkEnd w:id="647"/>
      <w:bookmarkEnd w:id="648"/>
      <w:bookmarkEnd w:id="649"/>
      <w:bookmarkEnd w:id="650"/>
      <w:bookmarkEnd w:id="651"/>
      <w:bookmarkEnd w:id="652"/>
      <w:bookmarkEnd w:id="653"/>
      <w:bookmarkEnd w:id="654"/>
      <w:bookmarkEnd w:id="655"/>
      <w:bookmarkEnd w:id="656"/>
      <w:bookmarkEnd w:id="657"/>
      <w:bookmarkEnd w:id="658"/>
    </w:p>
    <w:p>
      <w:pPr>
        <w:spacing w:line="360" w:lineRule="auto"/>
        <w:ind w:firstLine="420" w:firstLineChars="200"/>
        <w:rPr>
          <w:rFonts w:hint="eastAsia" w:ascii="宋体" w:hAnsi="宋体" w:cs="宋体"/>
        </w:rPr>
      </w:pPr>
      <w:r>
        <w:rPr>
          <w:rFonts w:hint="eastAsia" w:ascii="宋体" w:hAnsi="宋体" w:cs="宋体"/>
        </w:rPr>
        <w:t>在广州南沙资产经营有限公司网站公示中标候选人。</w:t>
      </w:r>
    </w:p>
    <w:p>
      <w:pPr>
        <w:pStyle w:val="5"/>
        <w:spacing w:before="0" w:after="0" w:line="360" w:lineRule="auto"/>
        <w:ind w:firstLine="560" w:firstLineChars="200"/>
        <w:rPr>
          <w:rFonts w:ascii="Times New Roman" w:hAnsi="Times New Roman"/>
        </w:rPr>
      </w:pPr>
      <w:bookmarkStart w:id="659" w:name="_Toc14116"/>
      <w:bookmarkStart w:id="660" w:name="_Toc247527593"/>
      <w:bookmarkStart w:id="661" w:name="_Toc9148"/>
      <w:bookmarkStart w:id="662" w:name="_Toc15630"/>
      <w:bookmarkStart w:id="663" w:name="_Toc144974536"/>
      <w:bookmarkStart w:id="664" w:name="_Toc300834991"/>
      <w:bookmarkStart w:id="665" w:name="_Toc8897"/>
      <w:bookmarkStart w:id="666" w:name="_Toc152045568"/>
      <w:bookmarkStart w:id="667" w:name="_Toc32373"/>
      <w:bookmarkStart w:id="668" w:name="_Toc152042344"/>
      <w:bookmarkStart w:id="669" w:name="_Toc247513992"/>
      <w:bookmarkStart w:id="670" w:name="_Toc775"/>
      <w:bookmarkStart w:id="671" w:name="_Toc14168"/>
      <w:bookmarkStart w:id="672" w:name="_Toc6019"/>
      <w:bookmarkStart w:id="673" w:name="_Toc494371554"/>
      <w:bookmarkStart w:id="674" w:name="_Toc16751"/>
      <w:bookmarkStart w:id="675" w:name="_Toc3421"/>
      <w:r>
        <w:rPr>
          <w:rFonts w:ascii="Times New Roman" w:hAnsi="Times New Roman"/>
        </w:rPr>
        <w:t>7.3 中标通知</w:t>
      </w:r>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p>
    <w:p>
      <w:pPr>
        <w:spacing w:line="360" w:lineRule="auto"/>
        <w:ind w:firstLine="420" w:firstLineChars="200"/>
        <w:rPr>
          <w:rFonts w:hint="eastAsia" w:ascii="宋体" w:hAnsi="宋体" w:cs="宋体"/>
        </w:rPr>
      </w:pPr>
      <w:r>
        <w:rPr>
          <w:rFonts w:hint="eastAsia" w:ascii="宋体" w:hAnsi="宋体" w:cs="宋体"/>
        </w:rPr>
        <w:t>评标公示后，在本章第3.3 款规定的投标有效期内，招标人以书面形式向中标人发出中标通知书。</w:t>
      </w:r>
    </w:p>
    <w:p>
      <w:pPr>
        <w:pStyle w:val="5"/>
        <w:spacing w:before="0" w:after="0" w:line="360" w:lineRule="auto"/>
        <w:ind w:firstLine="560" w:firstLineChars="200"/>
        <w:rPr>
          <w:rFonts w:ascii="Times New Roman" w:hAnsi="Times New Roman"/>
        </w:rPr>
      </w:pPr>
      <w:bookmarkStart w:id="676" w:name="_Toc1202"/>
      <w:bookmarkStart w:id="677" w:name="_Toc144974538"/>
      <w:bookmarkStart w:id="678" w:name="_Toc17963"/>
      <w:bookmarkStart w:id="679" w:name="_Toc300834993"/>
      <w:bookmarkStart w:id="680" w:name="_Toc5220"/>
      <w:bookmarkStart w:id="681" w:name="_Toc20159"/>
      <w:bookmarkStart w:id="682" w:name="_Toc494371556"/>
      <w:bookmarkStart w:id="683" w:name="_Toc20796"/>
      <w:bookmarkStart w:id="684" w:name="_Toc247513994"/>
      <w:bookmarkStart w:id="685" w:name="_Toc21116"/>
      <w:bookmarkStart w:id="686" w:name="_Toc152042346"/>
      <w:bookmarkStart w:id="687" w:name="_Toc152045570"/>
      <w:bookmarkStart w:id="688" w:name="_Toc21568"/>
      <w:bookmarkStart w:id="689" w:name="_Toc14095"/>
      <w:bookmarkStart w:id="690" w:name="_Toc247527595"/>
      <w:bookmarkStart w:id="691" w:name="_Toc8137"/>
      <w:bookmarkStart w:id="692" w:name="_Toc12825"/>
      <w:r>
        <w:rPr>
          <w:rFonts w:ascii="Times New Roman" w:hAnsi="Times New Roman"/>
        </w:rPr>
        <w:t>7.</w:t>
      </w:r>
      <w:r>
        <w:rPr>
          <w:rFonts w:hint="default" w:ascii="Times New Roman" w:hAnsi="Times New Roman"/>
        </w:rPr>
        <w:t>4</w:t>
      </w:r>
      <w:r>
        <w:rPr>
          <w:rFonts w:ascii="Times New Roman" w:hAnsi="Times New Roman"/>
        </w:rPr>
        <w:t xml:space="preserve"> 签订合同</w:t>
      </w:r>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p>
    <w:p>
      <w:pPr>
        <w:spacing w:line="360" w:lineRule="auto"/>
        <w:ind w:firstLine="420" w:firstLineChars="200"/>
        <w:rPr>
          <w:rFonts w:hint="eastAsia" w:ascii="宋体" w:hAnsi="宋体" w:cs="宋体"/>
        </w:rPr>
      </w:pPr>
      <w:r>
        <w:rPr>
          <w:rFonts w:hint="eastAsia" w:ascii="宋体" w:hAnsi="宋体" w:cs="宋体"/>
        </w:rPr>
        <w:t>7.5.1 招标人和中标人应当自中标通知书发出之日起7天内，根据招标文件和中标人的投标文件订立书面合同。中标人无正当理由拒签合同的，招标人取消其中标资格，其投标保证金不予退还；给招标人造成的损失超过投标保证金数额的，中标人还应当对超过部分予以赔偿。</w:t>
      </w:r>
    </w:p>
    <w:p>
      <w:pPr>
        <w:spacing w:line="360" w:lineRule="auto"/>
        <w:ind w:firstLine="420" w:firstLineChars="200"/>
        <w:rPr>
          <w:rFonts w:hint="eastAsia" w:ascii="宋体" w:hAnsi="宋体" w:cs="宋体"/>
        </w:rPr>
      </w:pPr>
      <w:r>
        <w:rPr>
          <w:rFonts w:hint="eastAsia" w:ascii="宋体" w:hAnsi="宋体" w:cs="宋体"/>
        </w:rPr>
        <w:t>7.5.2 发出中标通知书后，招标人无正当理由拒签合同的，招标人向中标人退还投标保证金；给中标人造成损失的，还应当赔偿损失。</w:t>
      </w:r>
    </w:p>
    <w:p>
      <w:pPr>
        <w:pStyle w:val="5"/>
        <w:spacing w:before="0" w:after="0" w:line="360" w:lineRule="auto"/>
        <w:ind w:firstLine="562" w:firstLineChars="200"/>
        <w:rPr>
          <w:rFonts w:ascii="Times New Roman" w:hAnsi="Times New Roman" w:cs="Times New Roman"/>
          <w:b/>
          <w:bCs w:val="0"/>
        </w:rPr>
      </w:pPr>
      <w:bookmarkStart w:id="693" w:name="_Toc152045571"/>
      <w:bookmarkStart w:id="694" w:name="_Toc152042347"/>
      <w:bookmarkStart w:id="695" w:name="_Toc247513995"/>
      <w:bookmarkStart w:id="696" w:name="_Toc144974539"/>
      <w:bookmarkStart w:id="697" w:name="_Toc247527596"/>
      <w:bookmarkStart w:id="698" w:name="_Toc494371557"/>
      <w:bookmarkStart w:id="699" w:name="_Toc25920"/>
      <w:bookmarkStart w:id="700" w:name="_Toc12071"/>
      <w:bookmarkStart w:id="701" w:name="_Toc300834994"/>
      <w:bookmarkStart w:id="702" w:name="_Toc7104"/>
      <w:bookmarkStart w:id="703" w:name="_Toc25097"/>
      <w:bookmarkStart w:id="704" w:name="_Toc3080"/>
      <w:bookmarkStart w:id="705" w:name="_Toc27652"/>
      <w:bookmarkStart w:id="706" w:name="_Toc22337"/>
      <w:bookmarkStart w:id="707" w:name="_Toc24208"/>
      <w:bookmarkStart w:id="708" w:name="_Toc1819"/>
      <w:bookmarkStart w:id="709" w:name="_Toc5006"/>
      <w:bookmarkStart w:id="710" w:name="_Toc4387"/>
      <w:bookmarkStart w:id="711" w:name="_Toc26309"/>
      <w:r>
        <w:rPr>
          <w:rFonts w:ascii="Times New Roman" w:hAnsi="Times New Roman" w:cs="Times New Roman"/>
          <w:b/>
          <w:bCs w:val="0"/>
        </w:rPr>
        <w:t>8</w:t>
      </w:r>
      <w:bookmarkEnd w:id="693"/>
      <w:bookmarkEnd w:id="694"/>
      <w:bookmarkEnd w:id="695"/>
      <w:bookmarkEnd w:id="696"/>
      <w:bookmarkEnd w:id="697"/>
      <w:bookmarkStart w:id="712" w:name="_Toc152042350"/>
      <w:bookmarkStart w:id="713" w:name="_Toc144974542"/>
      <w:bookmarkStart w:id="714" w:name="_Toc247513998"/>
      <w:bookmarkStart w:id="715" w:name="_Toc247527599"/>
      <w:bookmarkStart w:id="716" w:name="_Toc152045574"/>
      <w:r>
        <w:rPr>
          <w:rFonts w:hint="default" w:ascii="Times New Roman" w:hAnsi="Times New Roman" w:cs="Times New Roman"/>
          <w:b/>
          <w:bCs w:val="0"/>
        </w:rPr>
        <w:t>. 纪律和监督</w:t>
      </w:r>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p>
    <w:p>
      <w:pPr>
        <w:pStyle w:val="5"/>
        <w:spacing w:before="0" w:after="0" w:line="360" w:lineRule="auto"/>
        <w:ind w:firstLine="560" w:firstLineChars="200"/>
        <w:rPr>
          <w:rFonts w:ascii="Times New Roman" w:hAnsi="Times New Roman"/>
        </w:rPr>
      </w:pPr>
      <w:bookmarkStart w:id="717" w:name="_Toc152045575"/>
      <w:bookmarkStart w:id="718" w:name="_Toc247513999"/>
      <w:bookmarkStart w:id="719" w:name="_Toc144974543"/>
      <w:bookmarkStart w:id="720" w:name="_Toc26340"/>
      <w:bookmarkStart w:id="721" w:name="_Toc247527600"/>
      <w:bookmarkStart w:id="722" w:name="_Toc300834995"/>
      <w:bookmarkStart w:id="723" w:name="_Toc27460"/>
      <w:bookmarkStart w:id="724" w:name="_Toc12304"/>
      <w:bookmarkStart w:id="725" w:name="_Toc23906"/>
      <w:bookmarkStart w:id="726" w:name="_Toc7513"/>
      <w:bookmarkStart w:id="727" w:name="_Toc32569"/>
      <w:bookmarkStart w:id="728" w:name="_Toc15792"/>
      <w:bookmarkStart w:id="729" w:name="_Toc13879"/>
      <w:bookmarkStart w:id="730" w:name="_Toc22388"/>
      <w:bookmarkStart w:id="731" w:name="_Toc152042351"/>
      <w:bookmarkStart w:id="732" w:name="_Toc27050"/>
      <w:bookmarkStart w:id="733" w:name="_Toc494371558"/>
      <w:r>
        <w:rPr>
          <w:rFonts w:ascii="Times New Roman" w:hAnsi="Times New Roman"/>
        </w:rPr>
        <w:t>8.1 对招标人的纪律要求</w:t>
      </w:r>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p>
    <w:p>
      <w:pPr>
        <w:spacing w:line="360" w:lineRule="auto"/>
        <w:ind w:firstLine="420" w:firstLineChars="200"/>
        <w:rPr>
          <w:rFonts w:hint="eastAsia" w:ascii="宋体" w:hAnsi="宋体" w:cs="宋体"/>
        </w:rPr>
      </w:pPr>
      <w:r>
        <w:rPr>
          <w:rFonts w:hint="eastAsia" w:ascii="宋体" w:hAnsi="宋体" w:cs="宋体"/>
        </w:rPr>
        <w:t>招标人不得泄漏招标投标活动中应当保密的情况和资料，不得与投标人串通损害国家利益、社会公共利益或者他人合法权益。</w:t>
      </w:r>
    </w:p>
    <w:p>
      <w:pPr>
        <w:pStyle w:val="5"/>
        <w:spacing w:before="0" w:after="0" w:line="360" w:lineRule="auto"/>
        <w:ind w:firstLine="560" w:firstLineChars="200"/>
        <w:rPr>
          <w:rFonts w:ascii="Times New Roman" w:hAnsi="Times New Roman"/>
        </w:rPr>
      </w:pPr>
      <w:bookmarkStart w:id="734" w:name="_Toc152042352"/>
      <w:bookmarkStart w:id="735" w:name="_Toc300834996"/>
      <w:bookmarkStart w:id="736" w:name="_Toc31828"/>
      <w:bookmarkStart w:id="737" w:name="_Toc8212"/>
      <w:bookmarkStart w:id="738" w:name="_Toc25080"/>
      <w:bookmarkStart w:id="739" w:name="_Toc15845"/>
      <w:bookmarkStart w:id="740" w:name="_Toc19057"/>
      <w:bookmarkStart w:id="741" w:name="_Toc144974544"/>
      <w:bookmarkStart w:id="742" w:name="_Toc4332"/>
      <w:bookmarkStart w:id="743" w:name="_Toc26587"/>
      <w:bookmarkStart w:id="744" w:name="_Toc494371559"/>
      <w:bookmarkStart w:id="745" w:name="_Toc152045576"/>
      <w:bookmarkStart w:id="746" w:name="_Toc247527601"/>
      <w:bookmarkStart w:id="747" w:name="_Toc31880"/>
      <w:bookmarkStart w:id="748" w:name="_Toc2646"/>
      <w:bookmarkStart w:id="749" w:name="_Toc14942"/>
      <w:bookmarkStart w:id="750" w:name="_Toc247514000"/>
      <w:r>
        <w:rPr>
          <w:rFonts w:ascii="Times New Roman" w:hAnsi="Times New Roman"/>
        </w:rPr>
        <w:t>8.2 对投标人的纪律要求</w:t>
      </w:r>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p>
    <w:p>
      <w:pPr>
        <w:spacing w:line="360" w:lineRule="auto"/>
        <w:ind w:firstLine="420" w:firstLineChars="200"/>
        <w:rPr>
          <w:rFonts w:hint="eastAsia" w:ascii="宋体" w:hAnsi="宋体" w:cs="宋体"/>
        </w:rPr>
      </w:pPr>
      <w:r>
        <w:rPr>
          <w:rFonts w:hint="eastAsia" w:ascii="宋体" w:hAnsi="宋体" w:cs="宋体"/>
        </w:rPr>
        <w:t>投标人不得相互串通投标或者与招标人串通投标，不得向招标人或者评标委员会成员行贿谋取中标，不得以他人名义投标或者以其他方式弄虚作假骗取中标；投标人不得以任何方式干扰、影响评标工作。</w:t>
      </w:r>
    </w:p>
    <w:p>
      <w:pPr>
        <w:pStyle w:val="5"/>
        <w:spacing w:before="0" w:after="0" w:line="360" w:lineRule="auto"/>
        <w:ind w:firstLine="560" w:firstLineChars="200"/>
        <w:rPr>
          <w:rFonts w:ascii="Times New Roman" w:hAnsi="Times New Roman"/>
        </w:rPr>
      </w:pPr>
      <w:bookmarkStart w:id="751" w:name="_Toc494371560"/>
      <w:bookmarkStart w:id="752" w:name="_Toc402"/>
      <w:bookmarkStart w:id="753" w:name="_Toc23820"/>
      <w:bookmarkStart w:id="754" w:name="_Toc300834997"/>
      <w:bookmarkStart w:id="755" w:name="_Toc152045577"/>
      <w:bookmarkStart w:id="756" w:name="_Toc11809"/>
      <w:bookmarkStart w:id="757" w:name="_Toc21624"/>
      <w:bookmarkStart w:id="758" w:name="_Toc152042353"/>
      <w:bookmarkStart w:id="759" w:name="_Toc15857"/>
      <w:bookmarkStart w:id="760" w:name="_Toc17727"/>
      <w:bookmarkStart w:id="761" w:name="_Toc17070"/>
      <w:bookmarkStart w:id="762" w:name="_Toc28024"/>
      <w:bookmarkStart w:id="763" w:name="_Toc9766"/>
      <w:bookmarkStart w:id="764" w:name="_Toc247514001"/>
      <w:bookmarkStart w:id="765" w:name="_Toc247527602"/>
      <w:bookmarkStart w:id="766" w:name="_Toc15492"/>
      <w:bookmarkStart w:id="767" w:name="_Toc144974545"/>
      <w:r>
        <w:rPr>
          <w:rFonts w:ascii="Times New Roman" w:hAnsi="Times New Roman"/>
        </w:rPr>
        <w:t>8.3 对评标委员会成员的纪律要求</w:t>
      </w:r>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p>
    <w:p>
      <w:pPr>
        <w:spacing w:line="360" w:lineRule="auto"/>
        <w:ind w:firstLine="420" w:firstLineChars="200"/>
        <w:rPr>
          <w:rFonts w:hint="eastAsia" w:ascii="宋体" w:hAnsi="宋体" w:cs="宋体"/>
        </w:rPr>
      </w:pPr>
      <w:r>
        <w:rPr>
          <w:rFonts w:hint="eastAsia" w:ascii="宋体" w:hAnsi="宋体" w:cs="宋体"/>
        </w:rPr>
        <w:t>评标委员会成员不得收受他人的财物或者其他好处，不得向他人透漏对投标文件的评审和比较、中标候选人的推荐情况以及评标有关的其他情况。在评标活动中，评标委员会成员应当客观、公正地履行职责，遵守职业道德，不得擅离职守，影响评标程序正常进行，不得使用第三章“评标办法”没有规定的评审因素和标准进行评标。</w:t>
      </w:r>
    </w:p>
    <w:p>
      <w:pPr>
        <w:pStyle w:val="5"/>
        <w:spacing w:before="0" w:after="0" w:line="360" w:lineRule="auto"/>
        <w:ind w:firstLine="560" w:firstLineChars="200"/>
        <w:rPr>
          <w:rFonts w:ascii="Times New Roman" w:hAnsi="Times New Roman"/>
        </w:rPr>
      </w:pPr>
      <w:bookmarkStart w:id="768" w:name="_Toc21492"/>
      <w:bookmarkStart w:id="769" w:name="_Toc247514002"/>
      <w:bookmarkStart w:id="770" w:name="_Toc300834998"/>
      <w:bookmarkStart w:id="771" w:name="_Toc11718"/>
      <w:bookmarkStart w:id="772" w:name="_Toc152042354"/>
      <w:bookmarkStart w:id="773" w:name="_Toc7845"/>
      <w:bookmarkStart w:id="774" w:name="_Toc4059"/>
      <w:bookmarkStart w:id="775" w:name="_Toc494371561"/>
      <w:bookmarkStart w:id="776" w:name="_Toc23511"/>
      <w:bookmarkStart w:id="777" w:name="_Toc15170"/>
      <w:bookmarkStart w:id="778" w:name="_Toc30457"/>
      <w:bookmarkStart w:id="779" w:name="_Toc247527603"/>
      <w:bookmarkStart w:id="780" w:name="_Toc29753"/>
      <w:bookmarkStart w:id="781" w:name="_Toc10968"/>
      <w:bookmarkStart w:id="782" w:name="_Toc152045578"/>
      <w:bookmarkStart w:id="783" w:name="_Toc27915"/>
      <w:bookmarkStart w:id="784" w:name="_Toc144974546"/>
      <w:r>
        <w:rPr>
          <w:rFonts w:ascii="Times New Roman" w:hAnsi="Times New Roman"/>
        </w:rPr>
        <w:t>8.4 对与评标活动有关的工作人员的纪律要求</w:t>
      </w:r>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p>
    <w:p>
      <w:pPr>
        <w:spacing w:line="360" w:lineRule="auto"/>
        <w:ind w:firstLine="420" w:firstLineChars="200"/>
        <w:rPr>
          <w:rFonts w:hint="eastAsia" w:ascii="宋体" w:hAnsi="宋体" w:cs="宋体"/>
        </w:rPr>
      </w:pPr>
      <w:bookmarkStart w:id="785" w:name="_Toc152042355"/>
      <w:r>
        <w:rPr>
          <w:rFonts w:hint="eastAsia" w:ascii="宋体" w:hAnsi="宋体" w:cs="宋体"/>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bookmarkEnd w:id="785"/>
    </w:p>
    <w:p>
      <w:pPr>
        <w:pStyle w:val="5"/>
        <w:spacing w:before="0" w:after="0" w:line="360" w:lineRule="auto"/>
        <w:ind w:firstLine="560" w:firstLineChars="200"/>
        <w:rPr>
          <w:rFonts w:ascii="Times New Roman" w:hAnsi="Times New Roman"/>
        </w:rPr>
      </w:pPr>
      <w:bookmarkStart w:id="786" w:name="_Toc247527604"/>
      <w:bookmarkStart w:id="787" w:name="_Toc29127"/>
      <w:bookmarkStart w:id="788" w:name="_Toc26570"/>
      <w:bookmarkStart w:id="789" w:name="_Toc32045"/>
      <w:bookmarkStart w:id="790" w:name="_Toc18798"/>
      <w:bookmarkStart w:id="791" w:name="_Toc19195"/>
      <w:bookmarkStart w:id="792" w:name="_Toc24198"/>
      <w:bookmarkStart w:id="793" w:name="_Toc9764"/>
      <w:bookmarkStart w:id="794" w:name="_Toc13039"/>
      <w:bookmarkStart w:id="795" w:name="_Toc152042356"/>
      <w:bookmarkStart w:id="796" w:name="_Toc152045579"/>
      <w:bookmarkStart w:id="797" w:name="_Toc247514003"/>
      <w:bookmarkStart w:id="798" w:name="_Toc21044"/>
      <w:bookmarkStart w:id="799" w:name="_Toc1588"/>
      <w:bookmarkStart w:id="800" w:name="_Toc300834999"/>
      <w:bookmarkStart w:id="801" w:name="_Toc494371562"/>
      <w:r>
        <w:rPr>
          <w:rFonts w:ascii="Times New Roman" w:hAnsi="Times New Roman"/>
        </w:rPr>
        <w:t>8.5 投诉</w:t>
      </w:r>
      <w:bookmarkEnd w:id="784"/>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p>
    <w:p>
      <w:pPr>
        <w:spacing w:line="360" w:lineRule="auto"/>
        <w:ind w:firstLine="420" w:firstLineChars="200"/>
        <w:rPr>
          <w:rFonts w:hint="eastAsia" w:ascii="宋体" w:hAnsi="宋体" w:cs="宋体"/>
        </w:rPr>
      </w:pPr>
      <w:r>
        <w:rPr>
          <w:rFonts w:hint="eastAsia" w:ascii="宋体" w:hAnsi="宋体" w:cs="宋体"/>
        </w:rPr>
        <w:t>投标人和其他利害关系人认为本次招标活动违反法律、法规和规章规定的，有权向有关行政监督部门投诉。</w:t>
      </w:r>
    </w:p>
    <w:p>
      <w:pPr>
        <w:pStyle w:val="5"/>
        <w:spacing w:before="0" w:after="0" w:line="360" w:lineRule="auto"/>
        <w:ind w:firstLine="562" w:firstLineChars="200"/>
        <w:rPr>
          <w:rFonts w:ascii="Times New Roman" w:hAnsi="Times New Roman" w:cs="Times New Roman"/>
          <w:b/>
          <w:bCs w:val="0"/>
        </w:rPr>
      </w:pPr>
      <w:bookmarkStart w:id="802" w:name="_Toc494371563"/>
      <w:bookmarkStart w:id="803" w:name="_Toc11552"/>
      <w:bookmarkStart w:id="804" w:name="_Toc24403"/>
      <w:bookmarkStart w:id="805" w:name="_Toc32584"/>
      <w:bookmarkStart w:id="806" w:name="_Toc22887"/>
      <w:bookmarkStart w:id="807" w:name="_Toc25605"/>
      <w:bookmarkStart w:id="808" w:name="_Toc8751"/>
      <w:bookmarkStart w:id="809" w:name="_Toc247514004"/>
      <w:bookmarkStart w:id="810" w:name="_Toc152042357"/>
      <w:bookmarkStart w:id="811" w:name="_Toc247527605"/>
      <w:bookmarkStart w:id="812" w:name="_Toc10294"/>
      <w:bookmarkStart w:id="813" w:name="_Toc2189"/>
      <w:bookmarkStart w:id="814" w:name="_Toc144974547"/>
      <w:bookmarkStart w:id="815" w:name="_Toc15576"/>
      <w:bookmarkStart w:id="816" w:name="_Toc152045580"/>
      <w:bookmarkStart w:id="817" w:name="_Toc300835000"/>
      <w:bookmarkStart w:id="818" w:name="_Toc9682"/>
      <w:bookmarkStart w:id="819" w:name="_Toc28094"/>
      <w:bookmarkStart w:id="820" w:name="_Toc797"/>
      <w:r>
        <w:rPr>
          <w:rFonts w:ascii="Times New Roman" w:hAnsi="Times New Roman" w:cs="Times New Roman"/>
          <w:b/>
          <w:bCs w:val="0"/>
        </w:rPr>
        <w:t xml:space="preserve">9. </w:t>
      </w:r>
      <w:r>
        <w:rPr>
          <w:rFonts w:hint="default" w:ascii="Times New Roman" w:hAnsi="Times New Roman" w:cs="Times New Roman"/>
          <w:b/>
          <w:bCs w:val="0"/>
        </w:rPr>
        <w:t>需要补充的其他内容</w:t>
      </w:r>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p>
    <w:p>
      <w:pPr>
        <w:spacing w:line="360" w:lineRule="auto"/>
        <w:ind w:firstLine="420" w:firstLineChars="200"/>
        <w:rPr>
          <w:rFonts w:hint="eastAsia" w:ascii="宋体" w:hAnsi="宋体" w:cs="宋体"/>
        </w:rPr>
      </w:pPr>
      <w:r>
        <w:rPr>
          <w:rFonts w:hint="eastAsia" w:ascii="宋体" w:hAnsi="宋体" w:cs="宋体"/>
        </w:rPr>
        <w:t>需要补充的其他内容：见投标人须知前附表。</w:t>
      </w:r>
    </w:p>
    <w:p>
      <w:pPr>
        <w:spacing w:line="360" w:lineRule="auto"/>
        <w:ind w:firstLine="420" w:firstLineChars="200"/>
        <w:rPr>
          <w:rFonts w:hint="eastAsia" w:ascii="宋体" w:hAnsi="宋体" w:cs="宋体"/>
        </w:rPr>
        <w:sectPr>
          <w:pgSz w:w="11906" w:h="16838"/>
          <w:pgMar w:top="1247" w:right="1134" w:bottom="1247" w:left="1361" w:header="851" w:footer="992" w:gutter="0"/>
          <w:pgBorders>
            <w:top w:val="none" w:sz="0" w:space="0"/>
            <w:left w:val="none" w:sz="0" w:space="0"/>
            <w:bottom w:val="none" w:sz="0" w:space="0"/>
            <w:right w:val="none" w:sz="0" w:space="0"/>
          </w:pgBorders>
          <w:cols w:space="720" w:num="1"/>
          <w:docGrid w:type="lines" w:linePitch="312" w:charSpace="0"/>
        </w:sectPr>
      </w:pPr>
    </w:p>
    <w:p>
      <w:pPr>
        <w:pStyle w:val="5"/>
      </w:pPr>
      <w:bookmarkStart w:id="821" w:name="_Toc2797"/>
      <w:bookmarkStart w:id="822" w:name="_Toc494371565"/>
      <w:bookmarkStart w:id="823" w:name="_Toc15442"/>
      <w:bookmarkStart w:id="824" w:name="_Toc300835002"/>
      <w:bookmarkStart w:id="825" w:name="_Toc152042358"/>
      <w:bookmarkStart w:id="826" w:name="_Toc247514005"/>
      <w:bookmarkStart w:id="827" w:name="_Toc144974548"/>
      <w:bookmarkStart w:id="828" w:name="_Toc6420"/>
      <w:bookmarkStart w:id="829" w:name="_Toc30853"/>
      <w:bookmarkStart w:id="830" w:name="_Toc19905"/>
      <w:bookmarkStart w:id="831" w:name="_Toc247527606"/>
      <w:bookmarkStart w:id="832" w:name="_Toc16200"/>
      <w:bookmarkStart w:id="833" w:name="_Toc9735"/>
      <w:bookmarkStart w:id="834" w:name="_Toc18813"/>
      <w:bookmarkStart w:id="835" w:name="_Toc152045581"/>
      <w:bookmarkStart w:id="836" w:name="_Toc32753"/>
      <w:bookmarkStart w:id="837" w:name="_Toc32210"/>
      <w:r>
        <w:rPr>
          <w:rFonts w:hint="eastAsia"/>
        </w:rPr>
        <w:t>附表：开标记录表</w:t>
      </w:r>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p>
    <w:p>
      <w:pPr>
        <w:spacing w:line="400" w:lineRule="exact"/>
        <w:jc w:val="center"/>
        <w:rPr>
          <w:rFonts w:ascii="黑体" w:eastAsia="黑体"/>
          <w:sz w:val="28"/>
          <w:szCs w:val="28"/>
        </w:rPr>
      </w:pPr>
      <w:r>
        <w:rPr>
          <w:rFonts w:hint="eastAsia" w:ascii="黑体" w:eastAsia="黑体"/>
          <w:sz w:val="28"/>
          <w:szCs w:val="28"/>
        </w:rPr>
        <w:t>开标记录表</w:t>
      </w:r>
    </w:p>
    <w:p>
      <w:pPr>
        <w:spacing w:line="620" w:lineRule="exact"/>
        <w:rPr>
          <w:szCs w:val="21"/>
          <w:u w:val="single"/>
        </w:rPr>
      </w:pPr>
    </w:p>
    <w:p>
      <w:pPr>
        <w:spacing w:line="400" w:lineRule="exact"/>
        <w:ind w:right="420"/>
        <w:jc w:val="left"/>
        <w:rPr>
          <w:rFonts w:hint="eastAsia"/>
          <w:szCs w:val="21"/>
        </w:rPr>
      </w:pPr>
      <w:r>
        <w:rPr>
          <w:rFonts w:hint="eastAsia"/>
          <w:szCs w:val="21"/>
        </w:rPr>
        <w:t>项目名称：</w:t>
      </w:r>
    </w:p>
    <w:tbl>
      <w:tblPr>
        <w:tblStyle w:val="40"/>
        <w:tblpPr w:leftFromText="180" w:rightFromText="180" w:vertAnchor="text" w:horzAnchor="page" w:tblpX="1933" w:tblpY="375"/>
        <w:tblOverlap w:val="never"/>
        <w:tblW w:w="118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5"/>
        <w:gridCol w:w="2857"/>
        <w:gridCol w:w="1812"/>
        <w:gridCol w:w="2101"/>
        <w:gridCol w:w="2687"/>
        <w:gridCol w:w="16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trPr>
        <w:tc>
          <w:tcPr>
            <w:tcW w:w="805" w:type="dxa"/>
            <w:vAlign w:val="center"/>
          </w:tcPr>
          <w:p>
            <w:pPr>
              <w:jc w:val="center"/>
              <w:rPr>
                <w:sz w:val="18"/>
                <w:szCs w:val="18"/>
              </w:rPr>
            </w:pPr>
            <w:r>
              <w:rPr>
                <w:rFonts w:hint="eastAsia"/>
                <w:sz w:val="18"/>
                <w:szCs w:val="18"/>
              </w:rPr>
              <w:t>序号</w:t>
            </w:r>
          </w:p>
        </w:tc>
        <w:tc>
          <w:tcPr>
            <w:tcW w:w="2857" w:type="dxa"/>
            <w:vAlign w:val="center"/>
          </w:tcPr>
          <w:p>
            <w:pPr>
              <w:jc w:val="center"/>
              <w:rPr>
                <w:sz w:val="18"/>
                <w:szCs w:val="18"/>
              </w:rPr>
            </w:pPr>
            <w:r>
              <w:rPr>
                <w:rFonts w:hint="eastAsia"/>
                <w:sz w:val="18"/>
                <w:szCs w:val="18"/>
              </w:rPr>
              <w:t>投标人名称</w:t>
            </w:r>
          </w:p>
        </w:tc>
        <w:tc>
          <w:tcPr>
            <w:tcW w:w="1812" w:type="dxa"/>
            <w:vAlign w:val="center"/>
          </w:tcPr>
          <w:p>
            <w:pPr>
              <w:jc w:val="center"/>
              <w:rPr>
                <w:rFonts w:hint="eastAsia" w:eastAsia="宋体"/>
                <w:sz w:val="18"/>
                <w:szCs w:val="18"/>
                <w:lang w:eastAsia="zh-CN"/>
              </w:rPr>
            </w:pPr>
            <w:r>
              <w:rPr>
                <w:rFonts w:hint="eastAsia"/>
                <w:sz w:val="18"/>
                <w:szCs w:val="18"/>
              </w:rPr>
              <w:t>密封</w:t>
            </w:r>
            <w:r>
              <w:rPr>
                <w:rFonts w:hint="eastAsia"/>
                <w:sz w:val="18"/>
                <w:szCs w:val="18"/>
                <w:lang w:val="en-US" w:eastAsia="zh-CN"/>
              </w:rPr>
              <w:t>情况</w:t>
            </w:r>
          </w:p>
        </w:tc>
        <w:tc>
          <w:tcPr>
            <w:tcW w:w="2101" w:type="dxa"/>
            <w:vAlign w:val="center"/>
          </w:tcPr>
          <w:p>
            <w:pPr>
              <w:jc w:val="center"/>
              <w:rPr>
                <w:sz w:val="18"/>
                <w:szCs w:val="18"/>
              </w:rPr>
            </w:pPr>
            <w:r>
              <w:rPr>
                <w:rFonts w:hint="eastAsia"/>
                <w:sz w:val="18"/>
                <w:szCs w:val="18"/>
              </w:rPr>
              <w:t>投标总报价</w:t>
            </w:r>
          </w:p>
          <w:p>
            <w:pPr>
              <w:jc w:val="center"/>
              <w:rPr>
                <w:sz w:val="18"/>
                <w:szCs w:val="18"/>
              </w:rPr>
            </w:pPr>
            <w:r>
              <w:rPr>
                <w:rFonts w:hint="eastAsia"/>
                <w:sz w:val="18"/>
                <w:szCs w:val="18"/>
              </w:rPr>
              <w:t>（元）</w:t>
            </w:r>
          </w:p>
        </w:tc>
        <w:tc>
          <w:tcPr>
            <w:tcW w:w="2687" w:type="dxa"/>
            <w:vAlign w:val="center"/>
          </w:tcPr>
          <w:p>
            <w:pPr>
              <w:jc w:val="center"/>
              <w:rPr>
                <w:sz w:val="18"/>
                <w:szCs w:val="18"/>
              </w:rPr>
            </w:pPr>
            <w:r>
              <w:rPr>
                <w:rFonts w:hint="eastAsia"/>
                <w:sz w:val="18"/>
                <w:szCs w:val="18"/>
              </w:rPr>
              <w:t>投标人代表</w:t>
            </w:r>
          </w:p>
          <w:p>
            <w:pPr>
              <w:jc w:val="center"/>
              <w:rPr>
                <w:rFonts w:hint="eastAsia" w:eastAsia="宋体"/>
                <w:sz w:val="18"/>
                <w:szCs w:val="18"/>
                <w:lang w:val="en-US" w:eastAsia="zh-CN"/>
              </w:rPr>
            </w:pPr>
            <w:r>
              <w:rPr>
                <w:rFonts w:hint="eastAsia"/>
                <w:sz w:val="18"/>
                <w:szCs w:val="18"/>
              </w:rPr>
              <w:t>签名</w:t>
            </w:r>
            <w:r>
              <w:rPr>
                <w:rFonts w:hint="eastAsia"/>
                <w:sz w:val="18"/>
                <w:szCs w:val="18"/>
                <w:lang w:val="en-US" w:eastAsia="zh-CN"/>
              </w:rPr>
              <w:t>确认</w:t>
            </w:r>
          </w:p>
        </w:tc>
        <w:tc>
          <w:tcPr>
            <w:tcW w:w="1622" w:type="dxa"/>
            <w:vAlign w:val="center"/>
          </w:tcPr>
          <w:p>
            <w:pPr>
              <w:jc w:val="center"/>
              <w:rPr>
                <w:rFonts w:hint="eastAsia" w:eastAsia="宋体"/>
                <w:sz w:val="18"/>
                <w:szCs w:val="18"/>
                <w:lang w:val="en-US" w:eastAsia="zh-CN"/>
              </w:rPr>
            </w:pPr>
            <w:r>
              <w:rPr>
                <w:rFonts w:hint="eastAsia"/>
                <w:sz w:val="18"/>
                <w:szCs w:val="18"/>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805" w:type="dxa"/>
            <w:vAlign w:val="center"/>
          </w:tcPr>
          <w:p>
            <w:pPr>
              <w:spacing w:line="620" w:lineRule="exact"/>
              <w:jc w:val="center"/>
              <w:rPr>
                <w:szCs w:val="21"/>
              </w:rPr>
            </w:pPr>
          </w:p>
        </w:tc>
        <w:tc>
          <w:tcPr>
            <w:tcW w:w="2857" w:type="dxa"/>
            <w:vAlign w:val="center"/>
          </w:tcPr>
          <w:p>
            <w:pPr>
              <w:spacing w:line="620" w:lineRule="exact"/>
              <w:jc w:val="center"/>
              <w:rPr>
                <w:szCs w:val="21"/>
              </w:rPr>
            </w:pPr>
          </w:p>
        </w:tc>
        <w:tc>
          <w:tcPr>
            <w:tcW w:w="1812" w:type="dxa"/>
            <w:vAlign w:val="center"/>
          </w:tcPr>
          <w:p>
            <w:pPr>
              <w:spacing w:line="620" w:lineRule="exact"/>
              <w:jc w:val="center"/>
              <w:rPr>
                <w:szCs w:val="21"/>
              </w:rPr>
            </w:pPr>
          </w:p>
        </w:tc>
        <w:tc>
          <w:tcPr>
            <w:tcW w:w="2101" w:type="dxa"/>
            <w:vAlign w:val="center"/>
          </w:tcPr>
          <w:p>
            <w:pPr>
              <w:spacing w:line="620" w:lineRule="exact"/>
              <w:jc w:val="center"/>
              <w:rPr>
                <w:szCs w:val="21"/>
              </w:rPr>
            </w:pPr>
          </w:p>
        </w:tc>
        <w:tc>
          <w:tcPr>
            <w:tcW w:w="2687" w:type="dxa"/>
            <w:vAlign w:val="center"/>
          </w:tcPr>
          <w:p>
            <w:pPr>
              <w:spacing w:line="620" w:lineRule="exact"/>
              <w:jc w:val="center"/>
              <w:rPr>
                <w:szCs w:val="21"/>
              </w:rPr>
            </w:pPr>
          </w:p>
        </w:tc>
        <w:tc>
          <w:tcPr>
            <w:tcW w:w="1622" w:type="dxa"/>
            <w:vAlign w:val="center"/>
          </w:tcPr>
          <w:p>
            <w:pPr>
              <w:spacing w:line="62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805" w:type="dxa"/>
            <w:vAlign w:val="center"/>
          </w:tcPr>
          <w:p>
            <w:pPr>
              <w:spacing w:line="620" w:lineRule="exact"/>
              <w:jc w:val="center"/>
              <w:rPr>
                <w:szCs w:val="21"/>
              </w:rPr>
            </w:pPr>
          </w:p>
        </w:tc>
        <w:tc>
          <w:tcPr>
            <w:tcW w:w="2857" w:type="dxa"/>
            <w:vAlign w:val="center"/>
          </w:tcPr>
          <w:p>
            <w:pPr>
              <w:spacing w:line="620" w:lineRule="exact"/>
              <w:jc w:val="center"/>
              <w:rPr>
                <w:szCs w:val="21"/>
              </w:rPr>
            </w:pPr>
          </w:p>
        </w:tc>
        <w:tc>
          <w:tcPr>
            <w:tcW w:w="1812" w:type="dxa"/>
            <w:vAlign w:val="center"/>
          </w:tcPr>
          <w:p>
            <w:pPr>
              <w:spacing w:line="620" w:lineRule="exact"/>
              <w:jc w:val="center"/>
              <w:rPr>
                <w:szCs w:val="21"/>
              </w:rPr>
            </w:pPr>
          </w:p>
        </w:tc>
        <w:tc>
          <w:tcPr>
            <w:tcW w:w="2101" w:type="dxa"/>
            <w:vAlign w:val="center"/>
          </w:tcPr>
          <w:p>
            <w:pPr>
              <w:spacing w:line="620" w:lineRule="exact"/>
              <w:jc w:val="center"/>
              <w:rPr>
                <w:szCs w:val="21"/>
              </w:rPr>
            </w:pPr>
          </w:p>
        </w:tc>
        <w:tc>
          <w:tcPr>
            <w:tcW w:w="2687" w:type="dxa"/>
            <w:vAlign w:val="center"/>
          </w:tcPr>
          <w:p>
            <w:pPr>
              <w:spacing w:line="620" w:lineRule="exact"/>
              <w:jc w:val="center"/>
              <w:rPr>
                <w:szCs w:val="21"/>
              </w:rPr>
            </w:pPr>
          </w:p>
        </w:tc>
        <w:tc>
          <w:tcPr>
            <w:tcW w:w="1622" w:type="dxa"/>
            <w:vAlign w:val="center"/>
          </w:tcPr>
          <w:p>
            <w:pPr>
              <w:spacing w:line="62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805" w:type="dxa"/>
            <w:vAlign w:val="center"/>
          </w:tcPr>
          <w:p>
            <w:pPr>
              <w:spacing w:line="620" w:lineRule="exact"/>
              <w:jc w:val="center"/>
              <w:rPr>
                <w:szCs w:val="21"/>
              </w:rPr>
            </w:pPr>
          </w:p>
        </w:tc>
        <w:tc>
          <w:tcPr>
            <w:tcW w:w="2857" w:type="dxa"/>
            <w:vAlign w:val="center"/>
          </w:tcPr>
          <w:p>
            <w:pPr>
              <w:spacing w:line="620" w:lineRule="exact"/>
              <w:jc w:val="center"/>
              <w:rPr>
                <w:szCs w:val="21"/>
              </w:rPr>
            </w:pPr>
          </w:p>
        </w:tc>
        <w:tc>
          <w:tcPr>
            <w:tcW w:w="1812" w:type="dxa"/>
            <w:vAlign w:val="center"/>
          </w:tcPr>
          <w:p>
            <w:pPr>
              <w:spacing w:line="620" w:lineRule="exact"/>
              <w:jc w:val="center"/>
              <w:rPr>
                <w:szCs w:val="21"/>
              </w:rPr>
            </w:pPr>
          </w:p>
        </w:tc>
        <w:tc>
          <w:tcPr>
            <w:tcW w:w="2101" w:type="dxa"/>
            <w:vAlign w:val="center"/>
          </w:tcPr>
          <w:p>
            <w:pPr>
              <w:spacing w:line="620" w:lineRule="exact"/>
              <w:jc w:val="center"/>
              <w:rPr>
                <w:szCs w:val="21"/>
              </w:rPr>
            </w:pPr>
          </w:p>
        </w:tc>
        <w:tc>
          <w:tcPr>
            <w:tcW w:w="2687" w:type="dxa"/>
            <w:vAlign w:val="center"/>
          </w:tcPr>
          <w:p>
            <w:pPr>
              <w:spacing w:line="620" w:lineRule="exact"/>
              <w:jc w:val="center"/>
              <w:rPr>
                <w:szCs w:val="21"/>
              </w:rPr>
            </w:pPr>
          </w:p>
        </w:tc>
        <w:tc>
          <w:tcPr>
            <w:tcW w:w="1622" w:type="dxa"/>
            <w:vAlign w:val="center"/>
          </w:tcPr>
          <w:p>
            <w:pPr>
              <w:spacing w:line="62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805" w:type="dxa"/>
            <w:vAlign w:val="center"/>
          </w:tcPr>
          <w:p>
            <w:pPr>
              <w:spacing w:line="620" w:lineRule="exact"/>
              <w:jc w:val="center"/>
              <w:rPr>
                <w:szCs w:val="21"/>
              </w:rPr>
            </w:pPr>
          </w:p>
        </w:tc>
        <w:tc>
          <w:tcPr>
            <w:tcW w:w="2857" w:type="dxa"/>
            <w:vAlign w:val="center"/>
          </w:tcPr>
          <w:p>
            <w:pPr>
              <w:spacing w:line="620" w:lineRule="exact"/>
              <w:jc w:val="center"/>
              <w:rPr>
                <w:szCs w:val="21"/>
              </w:rPr>
            </w:pPr>
          </w:p>
        </w:tc>
        <w:tc>
          <w:tcPr>
            <w:tcW w:w="1812" w:type="dxa"/>
            <w:vAlign w:val="center"/>
          </w:tcPr>
          <w:p>
            <w:pPr>
              <w:spacing w:line="620" w:lineRule="exact"/>
              <w:jc w:val="center"/>
              <w:rPr>
                <w:szCs w:val="21"/>
              </w:rPr>
            </w:pPr>
          </w:p>
        </w:tc>
        <w:tc>
          <w:tcPr>
            <w:tcW w:w="2101" w:type="dxa"/>
            <w:vAlign w:val="center"/>
          </w:tcPr>
          <w:p>
            <w:pPr>
              <w:spacing w:line="620" w:lineRule="exact"/>
              <w:jc w:val="center"/>
              <w:rPr>
                <w:szCs w:val="21"/>
              </w:rPr>
            </w:pPr>
          </w:p>
        </w:tc>
        <w:tc>
          <w:tcPr>
            <w:tcW w:w="2687" w:type="dxa"/>
            <w:vAlign w:val="center"/>
          </w:tcPr>
          <w:p>
            <w:pPr>
              <w:spacing w:line="620" w:lineRule="exact"/>
              <w:jc w:val="center"/>
              <w:rPr>
                <w:szCs w:val="21"/>
              </w:rPr>
            </w:pPr>
          </w:p>
        </w:tc>
        <w:tc>
          <w:tcPr>
            <w:tcW w:w="1622" w:type="dxa"/>
            <w:vAlign w:val="center"/>
          </w:tcPr>
          <w:p>
            <w:pPr>
              <w:spacing w:line="62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805" w:type="dxa"/>
            <w:vAlign w:val="center"/>
          </w:tcPr>
          <w:p>
            <w:pPr>
              <w:spacing w:line="620" w:lineRule="exact"/>
              <w:jc w:val="center"/>
              <w:rPr>
                <w:szCs w:val="21"/>
              </w:rPr>
            </w:pPr>
          </w:p>
        </w:tc>
        <w:tc>
          <w:tcPr>
            <w:tcW w:w="2857" w:type="dxa"/>
            <w:vAlign w:val="center"/>
          </w:tcPr>
          <w:p>
            <w:pPr>
              <w:spacing w:line="620" w:lineRule="exact"/>
              <w:jc w:val="center"/>
              <w:rPr>
                <w:szCs w:val="21"/>
              </w:rPr>
            </w:pPr>
          </w:p>
        </w:tc>
        <w:tc>
          <w:tcPr>
            <w:tcW w:w="1812" w:type="dxa"/>
            <w:vAlign w:val="center"/>
          </w:tcPr>
          <w:p>
            <w:pPr>
              <w:spacing w:line="620" w:lineRule="exact"/>
              <w:jc w:val="center"/>
              <w:rPr>
                <w:szCs w:val="21"/>
              </w:rPr>
            </w:pPr>
          </w:p>
        </w:tc>
        <w:tc>
          <w:tcPr>
            <w:tcW w:w="2101" w:type="dxa"/>
            <w:vAlign w:val="center"/>
          </w:tcPr>
          <w:p>
            <w:pPr>
              <w:spacing w:line="620" w:lineRule="exact"/>
              <w:jc w:val="center"/>
              <w:rPr>
                <w:szCs w:val="21"/>
              </w:rPr>
            </w:pPr>
          </w:p>
        </w:tc>
        <w:tc>
          <w:tcPr>
            <w:tcW w:w="2687" w:type="dxa"/>
            <w:vAlign w:val="center"/>
          </w:tcPr>
          <w:p>
            <w:pPr>
              <w:spacing w:line="620" w:lineRule="exact"/>
              <w:jc w:val="center"/>
              <w:rPr>
                <w:szCs w:val="21"/>
              </w:rPr>
            </w:pPr>
          </w:p>
        </w:tc>
        <w:tc>
          <w:tcPr>
            <w:tcW w:w="1622" w:type="dxa"/>
            <w:vAlign w:val="center"/>
          </w:tcPr>
          <w:p>
            <w:pPr>
              <w:spacing w:line="620" w:lineRule="exact"/>
              <w:jc w:val="center"/>
              <w:rPr>
                <w:szCs w:val="21"/>
              </w:rPr>
            </w:pPr>
          </w:p>
        </w:tc>
      </w:tr>
    </w:tbl>
    <w:p>
      <w:pPr>
        <w:spacing w:line="620" w:lineRule="exact"/>
        <w:jc w:val="left"/>
        <w:rPr>
          <w:rFonts w:hint="eastAsia"/>
          <w:szCs w:val="21"/>
          <w:lang w:val="en-US" w:eastAsia="zh-CN"/>
        </w:rPr>
      </w:pPr>
    </w:p>
    <w:p>
      <w:pPr>
        <w:spacing w:line="620" w:lineRule="exact"/>
        <w:jc w:val="left"/>
        <w:rPr>
          <w:rFonts w:hint="eastAsia"/>
          <w:szCs w:val="21"/>
          <w:lang w:val="en-US" w:eastAsia="zh-CN"/>
        </w:rPr>
      </w:pPr>
    </w:p>
    <w:p>
      <w:pPr>
        <w:spacing w:line="620" w:lineRule="exact"/>
        <w:jc w:val="left"/>
        <w:rPr>
          <w:rFonts w:hint="eastAsia"/>
          <w:szCs w:val="21"/>
          <w:lang w:val="en-US" w:eastAsia="zh-CN"/>
        </w:rPr>
      </w:pPr>
    </w:p>
    <w:p>
      <w:pPr>
        <w:spacing w:line="620" w:lineRule="exact"/>
        <w:jc w:val="left"/>
        <w:rPr>
          <w:rFonts w:hint="eastAsia"/>
          <w:szCs w:val="21"/>
          <w:lang w:val="en-US" w:eastAsia="zh-CN"/>
        </w:rPr>
      </w:pPr>
    </w:p>
    <w:p>
      <w:pPr>
        <w:spacing w:line="620" w:lineRule="exact"/>
        <w:jc w:val="left"/>
        <w:rPr>
          <w:rFonts w:hint="eastAsia"/>
          <w:szCs w:val="21"/>
          <w:lang w:val="en-US" w:eastAsia="zh-CN"/>
        </w:rPr>
      </w:pPr>
    </w:p>
    <w:p>
      <w:pPr>
        <w:spacing w:line="620" w:lineRule="exact"/>
        <w:jc w:val="left"/>
        <w:rPr>
          <w:rFonts w:hint="eastAsia"/>
          <w:szCs w:val="21"/>
          <w:lang w:val="en-US" w:eastAsia="zh-CN"/>
        </w:rPr>
      </w:pPr>
    </w:p>
    <w:p>
      <w:pPr>
        <w:spacing w:line="620" w:lineRule="exact"/>
        <w:jc w:val="left"/>
        <w:rPr>
          <w:rFonts w:hint="eastAsia"/>
          <w:szCs w:val="21"/>
          <w:lang w:val="en-US" w:eastAsia="zh-CN"/>
        </w:rPr>
      </w:pPr>
    </w:p>
    <w:p>
      <w:pPr>
        <w:spacing w:line="620" w:lineRule="exact"/>
        <w:jc w:val="left"/>
        <w:rPr>
          <w:rFonts w:hint="eastAsia"/>
          <w:szCs w:val="21"/>
          <w:lang w:val="en-US" w:eastAsia="zh-CN"/>
        </w:rPr>
      </w:pPr>
    </w:p>
    <w:p>
      <w:pPr>
        <w:spacing w:line="620" w:lineRule="exact"/>
        <w:jc w:val="left"/>
        <w:rPr>
          <w:rFonts w:hint="eastAsia"/>
          <w:szCs w:val="21"/>
          <w:lang w:val="en-US" w:eastAsia="zh-CN"/>
        </w:rPr>
      </w:pPr>
      <w:r>
        <w:rPr>
          <w:rFonts w:hint="eastAsia"/>
          <w:szCs w:val="21"/>
          <w:lang w:val="en-US" w:eastAsia="zh-CN"/>
        </w:rPr>
        <w:t>唱标人</w:t>
      </w:r>
      <w:r>
        <w:rPr>
          <w:rFonts w:hint="eastAsia"/>
          <w:szCs w:val="21"/>
        </w:rPr>
        <w:t xml:space="preserve">：                                            </w:t>
      </w:r>
      <w:r>
        <w:rPr>
          <w:rFonts w:hint="eastAsia"/>
          <w:szCs w:val="21"/>
          <w:lang w:val="en-US" w:eastAsia="zh-CN"/>
        </w:rPr>
        <w:t>监督</w:t>
      </w:r>
      <w:r>
        <w:rPr>
          <w:rFonts w:hint="eastAsia"/>
          <w:szCs w:val="21"/>
        </w:rPr>
        <w:t>人：</w:t>
      </w:r>
      <w:r>
        <w:rPr>
          <w:rFonts w:hint="eastAsia"/>
          <w:szCs w:val="21"/>
          <w:lang w:val="en-US" w:eastAsia="zh-CN"/>
        </w:rPr>
        <w:t xml:space="preserve">                                记录人：</w:t>
      </w:r>
    </w:p>
    <w:p>
      <w:pPr>
        <w:pStyle w:val="17"/>
        <w:jc w:val="left"/>
        <w:rPr>
          <w:rFonts w:hint="eastAsia"/>
          <w:szCs w:val="21"/>
          <w:lang w:val="en-US" w:eastAsia="zh-CN"/>
        </w:rPr>
      </w:pPr>
    </w:p>
    <w:p>
      <w:pPr>
        <w:pStyle w:val="17"/>
        <w:jc w:val="left"/>
        <w:rPr>
          <w:rFonts w:hint="default"/>
          <w:szCs w:val="21"/>
          <w:lang w:val="en-US" w:eastAsia="zh-CN"/>
        </w:rPr>
      </w:pPr>
      <w:r>
        <w:rPr>
          <w:rFonts w:hint="eastAsia"/>
          <w:szCs w:val="21"/>
          <w:lang w:val="en-US" w:eastAsia="zh-CN"/>
        </w:rPr>
        <w:t>日期：</w:t>
      </w:r>
    </w:p>
    <w:p>
      <w:pPr>
        <w:pStyle w:val="17"/>
        <w:jc w:val="left"/>
        <w:rPr>
          <w:szCs w:val="21"/>
        </w:rPr>
        <w:sectPr>
          <w:pgSz w:w="16838" w:h="11906" w:orient="landscape"/>
          <w:pgMar w:top="1247" w:right="1134" w:bottom="1247" w:left="1361" w:header="851" w:footer="992" w:gutter="0"/>
          <w:pgBorders>
            <w:top w:val="none" w:sz="0" w:space="0"/>
            <w:left w:val="none" w:sz="0" w:space="0"/>
            <w:bottom w:val="none" w:sz="0" w:space="0"/>
            <w:right w:val="none" w:sz="0" w:space="0"/>
          </w:pgBorders>
          <w:cols w:space="720" w:num="1"/>
          <w:docGrid w:linePitch="312" w:charSpace="0"/>
        </w:sectPr>
      </w:pPr>
      <w:r>
        <w:rPr>
          <w:rFonts w:hint="eastAsia"/>
          <w:szCs w:val="21"/>
        </w:rPr>
        <w:t>本表仅供参考，具体以开标时的开标记录表为准。</w:t>
      </w:r>
    </w:p>
    <w:p>
      <w:pPr>
        <w:pStyle w:val="3"/>
        <w:jc w:val="center"/>
        <w:rPr>
          <w:rFonts w:ascii="宋体" w:hAnsi="宋体"/>
        </w:rPr>
      </w:pPr>
      <w:bookmarkStart w:id="838" w:name="_Toc29364"/>
      <w:bookmarkStart w:id="839" w:name="_Toc494371566"/>
      <w:bookmarkStart w:id="840" w:name="_Toc144974565"/>
      <w:bookmarkStart w:id="841" w:name="_Toc12479"/>
      <w:bookmarkStart w:id="842" w:name="_Toc4886"/>
      <w:bookmarkStart w:id="843" w:name="_Toc152045598"/>
      <w:bookmarkStart w:id="844" w:name="_Toc436834776"/>
      <w:bookmarkStart w:id="845" w:name="_Toc3567"/>
      <w:bookmarkStart w:id="846" w:name="_Toc247527623"/>
      <w:bookmarkStart w:id="847" w:name="_Toc21214"/>
      <w:bookmarkStart w:id="848" w:name="_Toc152042375"/>
      <w:bookmarkStart w:id="849" w:name="_Toc247514022"/>
      <w:bookmarkStart w:id="850" w:name="_Toc26793"/>
      <w:bookmarkStart w:id="851" w:name="_Toc28090"/>
      <w:r>
        <w:rPr>
          <w:rFonts w:hint="eastAsia" w:ascii="宋体" w:hAnsi="宋体"/>
        </w:rPr>
        <w:t>第三章评标办法（综合评</w:t>
      </w:r>
      <w:r>
        <w:rPr>
          <w:rFonts w:hint="eastAsia" w:ascii="宋体" w:hAnsi="宋体"/>
          <w:lang w:val="en-US" w:eastAsia="zh-CN"/>
        </w:rPr>
        <w:t>分</w:t>
      </w:r>
      <w:r>
        <w:rPr>
          <w:rFonts w:hint="eastAsia" w:ascii="宋体" w:hAnsi="宋体"/>
        </w:rPr>
        <w:t>法）</w:t>
      </w:r>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p>
    <w:p>
      <w:pPr>
        <w:pStyle w:val="4"/>
        <w:spacing w:before="120" w:after="120"/>
        <w:jc w:val="center"/>
        <w:rPr>
          <w:rFonts w:ascii="宋体" w:hAnsi="宋体" w:eastAsia="宋体"/>
        </w:rPr>
      </w:pPr>
      <w:bookmarkStart w:id="852" w:name="_Toc152042376"/>
      <w:bookmarkStart w:id="853" w:name="_Toc144974566"/>
      <w:bookmarkStart w:id="854" w:name="_Toc247527624"/>
      <w:bookmarkStart w:id="855" w:name="_Toc399165430"/>
      <w:bookmarkStart w:id="856" w:name="_Toc14287"/>
      <w:bookmarkStart w:id="857" w:name="_Toc300835009"/>
      <w:bookmarkStart w:id="858" w:name="_Toc436834184"/>
      <w:bookmarkStart w:id="859" w:name="_Toc16563"/>
      <w:bookmarkStart w:id="860" w:name="_Toc5317"/>
      <w:bookmarkStart w:id="861" w:name="_Toc16897"/>
      <w:bookmarkStart w:id="862" w:name="_Toc494371567"/>
      <w:bookmarkStart w:id="863" w:name="_Toc13978"/>
      <w:bookmarkStart w:id="864" w:name="_Toc247514023"/>
      <w:bookmarkStart w:id="865" w:name="_Toc27045"/>
      <w:bookmarkStart w:id="866" w:name="_Toc436834777"/>
      <w:bookmarkStart w:id="867" w:name="_Toc152045599"/>
      <w:bookmarkStart w:id="868" w:name="_Toc25647"/>
      <w:r>
        <w:rPr>
          <w:rFonts w:hint="eastAsia" w:ascii="宋体" w:hAnsi="宋体" w:eastAsia="宋体"/>
        </w:rPr>
        <w:t>评标办法前附表</w:t>
      </w:r>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p>
    <w:tbl>
      <w:tblPr>
        <w:tblStyle w:val="40"/>
        <w:tblW w:w="949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77"/>
        <w:gridCol w:w="1538"/>
        <w:gridCol w:w="1575"/>
        <w:gridCol w:w="5508"/>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2" w:hRule="atLeast"/>
          <w:tblHeader/>
          <w:jc w:val="center"/>
        </w:trPr>
        <w:tc>
          <w:tcPr>
            <w:tcW w:w="2415" w:type="dxa"/>
            <w:gridSpan w:val="2"/>
            <w:tcBorders>
              <w:top w:val="single" w:color="auto" w:sz="4" w:space="0"/>
              <w:left w:val="single" w:color="auto" w:sz="4" w:space="0"/>
              <w:bottom w:val="single" w:color="auto" w:sz="6" w:space="0"/>
              <w:right w:val="single" w:color="auto" w:sz="6" w:space="0"/>
            </w:tcBorders>
            <w:vAlign w:val="center"/>
          </w:tcPr>
          <w:p>
            <w:pPr>
              <w:spacing w:line="300" w:lineRule="exact"/>
              <w:jc w:val="center"/>
              <w:rPr>
                <w:rFonts w:ascii="宋体" w:hAnsi="宋体"/>
                <w:b/>
                <w:szCs w:val="21"/>
              </w:rPr>
            </w:pPr>
            <w:r>
              <w:rPr>
                <w:rFonts w:hint="eastAsia" w:ascii="宋体" w:hAnsi="宋体"/>
                <w:b/>
                <w:szCs w:val="21"/>
              </w:rPr>
              <w:t>条款号</w:t>
            </w:r>
          </w:p>
        </w:tc>
        <w:tc>
          <w:tcPr>
            <w:tcW w:w="1575" w:type="dxa"/>
            <w:tcBorders>
              <w:top w:val="single" w:color="auto" w:sz="4" w:space="0"/>
              <w:left w:val="single" w:color="auto" w:sz="6" w:space="0"/>
              <w:bottom w:val="single" w:color="auto" w:sz="6" w:space="0"/>
              <w:right w:val="single" w:color="auto" w:sz="6" w:space="0"/>
            </w:tcBorders>
            <w:vAlign w:val="center"/>
          </w:tcPr>
          <w:p>
            <w:pPr>
              <w:spacing w:line="300" w:lineRule="exact"/>
              <w:jc w:val="center"/>
              <w:rPr>
                <w:rFonts w:ascii="宋体" w:hAnsi="宋体"/>
                <w:b/>
                <w:szCs w:val="21"/>
              </w:rPr>
            </w:pPr>
            <w:r>
              <w:rPr>
                <w:rFonts w:hint="eastAsia" w:ascii="宋体" w:hAnsi="宋体"/>
                <w:b/>
                <w:szCs w:val="21"/>
              </w:rPr>
              <w:t>评审因素</w:t>
            </w:r>
          </w:p>
        </w:tc>
        <w:tc>
          <w:tcPr>
            <w:tcW w:w="5508" w:type="dxa"/>
            <w:tcBorders>
              <w:top w:val="single" w:color="auto" w:sz="4" w:space="0"/>
              <w:left w:val="single" w:color="auto" w:sz="6" w:space="0"/>
              <w:bottom w:val="single" w:color="auto" w:sz="6" w:space="0"/>
              <w:right w:val="single" w:color="auto" w:sz="4" w:space="0"/>
            </w:tcBorders>
            <w:vAlign w:val="center"/>
          </w:tcPr>
          <w:p>
            <w:pPr>
              <w:spacing w:line="300" w:lineRule="exact"/>
              <w:jc w:val="center"/>
              <w:rPr>
                <w:rFonts w:ascii="宋体" w:hAnsi="宋体"/>
                <w:b/>
                <w:szCs w:val="21"/>
              </w:rPr>
            </w:pPr>
            <w:r>
              <w:rPr>
                <w:rFonts w:hint="eastAsia" w:ascii="宋体" w:hAnsi="宋体"/>
                <w:b/>
                <w:szCs w:val="21"/>
              </w:rPr>
              <w:t>评审标准</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2" w:hRule="atLeast"/>
          <w:tblHeader/>
          <w:jc w:val="center"/>
        </w:trPr>
        <w:tc>
          <w:tcPr>
            <w:tcW w:w="2415" w:type="dxa"/>
            <w:gridSpan w:val="2"/>
            <w:tcBorders>
              <w:top w:val="single" w:color="auto" w:sz="4" w:space="0"/>
              <w:left w:val="single" w:color="auto" w:sz="4" w:space="0"/>
              <w:bottom w:val="single" w:color="auto" w:sz="6" w:space="0"/>
              <w:right w:val="single" w:color="auto" w:sz="6" w:space="0"/>
            </w:tcBorders>
            <w:vAlign w:val="center"/>
          </w:tcPr>
          <w:p>
            <w:pPr>
              <w:spacing w:line="300" w:lineRule="exact"/>
              <w:jc w:val="center"/>
              <w:rPr>
                <w:rFonts w:ascii="宋体" w:hAnsi="宋体"/>
                <w:szCs w:val="21"/>
              </w:rPr>
            </w:pPr>
            <w:r>
              <w:rPr>
                <w:rFonts w:ascii="宋体" w:hAnsi="宋体"/>
                <w:szCs w:val="21"/>
              </w:rPr>
              <w:t>2.1.1</w:t>
            </w:r>
          </w:p>
        </w:tc>
        <w:tc>
          <w:tcPr>
            <w:tcW w:w="1575" w:type="dxa"/>
            <w:tcBorders>
              <w:top w:val="single" w:color="auto" w:sz="4" w:space="0"/>
              <w:left w:val="single" w:color="auto" w:sz="6" w:space="0"/>
              <w:bottom w:val="single" w:color="auto" w:sz="6" w:space="0"/>
              <w:right w:val="single" w:color="auto" w:sz="4" w:space="0"/>
            </w:tcBorders>
            <w:vAlign w:val="center"/>
          </w:tcPr>
          <w:p>
            <w:pPr>
              <w:spacing w:line="300" w:lineRule="exact"/>
              <w:jc w:val="center"/>
              <w:rPr>
                <w:rFonts w:ascii="宋体" w:hAnsi="宋体"/>
                <w:szCs w:val="21"/>
              </w:rPr>
            </w:pPr>
            <w:r>
              <w:rPr>
                <w:rFonts w:hint="eastAsia" w:ascii="宋体" w:hAnsi="宋体"/>
                <w:szCs w:val="21"/>
              </w:rPr>
              <w:t>资格审查</w:t>
            </w:r>
          </w:p>
        </w:tc>
        <w:tc>
          <w:tcPr>
            <w:tcW w:w="5508" w:type="dxa"/>
            <w:tcBorders>
              <w:top w:val="single" w:color="auto" w:sz="4" w:space="0"/>
              <w:left w:val="single" w:color="auto" w:sz="6" w:space="0"/>
              <w:bottom w:val="single" w:color="auto" w:sz="6" w:space="0"/>
              <w:right w:val="single" w:color="auto" w:sz="4" w:space="0"/>
            </w:tcBorders>
            <w:vAlign w:val="center"/>
          </w:tcPr>
          <w:p>
            <w:pPr>
              <w:spacing w:line="300" w:lineRule="exact"/>
              <w:jc w:val="left"/>
              <w:rPr>
                <w:rFonts w:ascii="宋体" w:hAnsi="宋体"/>
                <w:szCs w:val="21"/>
              </w:rPr>
            </w:pPr>
            <w:r>
              <w:rPr>
                <w:rFonts w:hint="eastAsia" w:ascii="宋体" w:hAnsi="宋体"/>
                <w:szCs w:val="21"/>
              </w:rPr>
              <w:t>见附表</w:t>
            </w:r>
            <w:r>
              <w:rPr>
                <w:rFonts w:ascii="宋体" w:hAnsi="宋体"/>
                <w:szCs w:val="21"/>
              </w:rPr>
              <w:t>1《资格审查表》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2" w:hRule="atLeast"/>
          <w:jc w:val="center"/>
        </w:trPr>
        <w:tc>
          <w:tcPr>
            <w:tcW w:w="2415" w:type="dxa"/>
            <w:gridSpan w:val="2"/>
            <w:tcBorders>
              <w:top w:val="single" w:color="auto" w:sz="6" w:space="0"/>
              <w:left w:val="single" w:color="auto" w:sz="4" w:space="0"/>
              <w:right w:val="single" w:color="auto" w:sz="6" w:space="0"/>
            </w:tcBorders>
            <w:vAlign w:val="center"/>
          </w:tcPr>
          <w:p>
            <w:pPr>
              <w:spacing w:line="300" w:lineRule="exact"/>
              <w:jc w:val="center"/>
              <w:rPr>
                <w:rFonts w:ascii="宋体" w:hAnsi="宋体"/>
                <w:szCs w:val="21"/>
              </w:rPr>
            </w:pPr>
            <w:r>
              <w:rPr>
                <w:rFonts w:ascii="宋体" w:hAnsi="宋体"/>
                <w:szCs w:val="21"/>
              </w:rPr>
              <w:t>2.1.2</w:t>
            </w:r>
          </w:p>
        </w:tc>
        <w:tc>
          <w:tcPr>
            <w:tcW w:w="1575" w:type="dxa"/>
            <w:tcBorders>
              <w:top w:val="single" w:color="auto" w:sz="6" w:space="0"/>
              <w:left w:val="single" w:color="auto" w:sz="6" w:space="0"/>
              <w:bottom w:val="single" w:color="auto" w:sz="6" w:space="0"/>
              <w:right w:val="single" w:color="auto" w:sz="4" w:space="0"/>
            </w:tcBorders>
            <w:vAlign w:val="center"/>
          </w:tcPr>
          <w:p>
            <w:pPr>
              <w:spacing w:line="300" w:lineRule="exact"/>
              <w:jc w:val="center"/>
              <w:rPr>
                <w:rFonts w:ascii="宋体" w:hAnsi="宋体"/>
                <w:szCs w:val="21"/>
              </w:rPr>
            </w:pPr>
            <w:r>
              <w:rPr>
                <w:rFonts w:hint="eastAsia"/>
                <w:szCs w:val="21"/>
              </w:rPr>
              <w:t>投标文件有效性审查表</w:t>
            </w:r>
          </w:p>
        </w:tc>
        <w:tc>
          <w:tcPr>
            <w:tcW w:w="5508" w:type="dxa"/>
            <w:tcBorders>
              <w:top w:val="single" w:color="auto" w:sz="6" w:space="0"/>
              <w:left w:val="single" w:color="auto" w:sz="6" w:space="0"/>
              <w:bottom w:val="single" w:color="auto" w:sz="6" w:space="0"/>
              <w:right w:val="single" w:color="auto" w:sz="4" w:space="0"/>
            </w:tcBorders>
            <w:vAlign w:val="center"/>
          </w:tcPr>
          <w:p>
            <w:pPr>
              <w:spacing w:line="300" w:lineRule="exact"/>
              <w:jc w:val="left"/>
              <w:rPr>
                <w:rFonts w:ascii="宋体" w:hAnsi="宋体"/>
                <w:szCs w:val="21"/>
              </w:rPr>
            </w:pPr>
            <w:r>
              <w:rPr>
                <w:rFonts w:hint="eastAsia" w:ascii="宋体" w:hAnsi="宋体" w:eastAsia="宋体" w:cs="宋体"/>
                <w:szCs w:val="21"/>
              </w:rPr>
              <w:t>附表2《工程实施方案（含资信部分）文件有效性审查表》、附表4《投</w:t>
            </w:r>
            <w:r>
              <w:rPr>
                <w:rFonts w:hint="eastAsia"/>
                <w:szCs w:val="21"/>
              </w:rPr>
              <w:t>标报价文件有效性审查表》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2" w:hRule="atLeast"/>
          <w:jc w:val="center"/>
        </w:trPr>
        <w:tc>
          <w:tcPr>
            <w:tcW w:w="2415" w:type="dxa"/>
            <w:gridSpan w:val="2"/>
            <w:tcBorders>
              <w:top w:val="single" w:color="auto" w:sz="6" w:space="0"/>
              <w:left w:val="single" w:color="auto" w:sz="4" w:space="0"/>
              <w:bottom w:val="single" w:color="auto" w:sz="6" w:space="0"/>
              <w:right w:val="single" w:color="auto" w:sz="6" w:space="0"/>
            </w:tcBorders>
            <w:vAlign w:val="center"/>
          </w:tcPr>
          <w:p>
            <w:pPr>
              <w:spacing w:line="300" w:lineRule="exact"/>
              <w:jc w:val="center"/>
              <w:rPr>
                <w:rFonts w:ascii="宋体" w:hAnsi="宋体"/>
                <w:b/>
                <w:szCs w:val="21"/>
              </w:rPr>
            </w:pPr>
            <w:r>
              <w:rPr>
                <w:rFonts w:hint="eastAsia" w:ascii="宋体" w:hAnsi="宋体"/>
                <w:b/>
                <w:szCs w:val="21"/>
              </w:rPr>
              <w:t>条款号</w:t>
            </w:r>
          </w:p>
        </w:tc>
        <w:tc>
          <w:tcPr>
            <w:tcW w:w="1575" w:type="dxa"/>
            <w:tcBorders>
              <w:top w:val="single" w:color="auto" w:sz="6" w:space="0"/>
              <w:left w:val="single" w:color="auto" w:sz="6" w:space="0"/>
              <w:bottom w:val="single" w:color="auto" w:sz="6" w:space="0"/>
              <w:right w:val="single" w:color="auto" w:sz="6" w:space="0"/>
            </w:tcBorders>
            <w:vAlign w:val="center"/>
          </w:tcPr>
          <w:p>
            <w:pPr>
              <w:spacing w:line="300" w:lineRule="exact"/>
              <w:jc w:val="center"/>
              <w:rPr>
                <w:rFonts w:ascii="宋体" w:hAnsi="宋体"/>
                <w:b/>
                <w:szCs w:val="21"/>
              </w:rPr>
            </w:pPr>
            <w:r>
              <w:rPr>
                <w:rFonts w:hint="eastAsia" w:ascii="宋体" w:hAnsi="宋体"/>
                <w:b/>
                <w:szCs w:val="21"/>
              </w:rPr>
              <w:t>条款内容</w:t>
            </w:r>
          </w:p>
        </w:tc>
        <w:tc>
          <w:tcPr>
            <w:tcW w:w="5508" w:type="dxa"/>
            <w:tcBorders>
              <w:top w:val="single" w:color="auto" w:sz="6" w:space="0"/>
              <w:left w:val="single" w:color="auto" w:sz="6" w:space="0"/>
              <w:bottom w:val="single" w:color="auto" w:sz="6" w:space="0"/>
              <w:right w:val="single" w:color="auto" w:sz="4" w:space="0"/>
            </w:tcBorders>
            <w:vAlign w:val="center"/>
          </w:tcPr>
          <w:p>
            <w:pPr>
              <w:spacing w:line="300" w:lineRule="exact"/>
              <w:jc w:val="center"/>
              <w:rPr>
                <w:rFonts w:ascii="宋体" w:hAnsi="宋体"/>
                <w:b/>
                <w:szCs w:val="21"/>
              </w:rPr>
            </w:pPr>
            <w:r>
              <w:rPr>
                <w:rFonts w:hint="eastAsia" w:ascii="宋体" w:hAnsi="宋体"/>
                <w:b/>
                <w:szCs w:val="21"/>
              </w:rPr>
              <w:t>编列内容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2415" w:type="dxa"/>
            <w:gridSpan w:val="2"/>
            <w:tcBorders>
              <w:top w:val="single" w:color="auto" w:sz="6" w:space="0"/>
              <w:left w:val="single" w:color="auto" w:sz="4" w:space="0"/>
              <w:bottom w:val="single" w:color="auto" w:sz="6" w:space="0"/>
              <w:right w:val="single" w:color="auto" w:sz="6" w:space="0"/>
            </w:tcBorders>
            <w:vAlign w:val="center"/>
          </w:tcPr>
          <w:p>
            <w:pPr>
              <w:spacing w:line="300" w:lineRule="exact"/>
              <w:jc w:val="center"/>
              <w:rPr>
                <w:rFonts w:ascii="宋体" w:hAnsi="宋体"/>
                <w:szCs w:val="21"/>
              </w:rPr>
            </w:pPr>
            <w:r>
              <w:rPr>
                <w:rFonts w:ascii="宋体" w:hAnsi="宋体"/>
                <w:szCs w:val="21"/>
              </w:rPr>
              <w:t>2.2.1</w:t>
            </w:r>
          </w:p>
        </w:tc>
        <w:tc>
          <w:tcPr>
            <w:tcW w:w="1575" w:type="dxa"/>
            <w:tcBorders>
              <w:top w:val="single" w:color="auto" w:sz="6" w:space="0"/>
              <w:left w:val="single" w:color="auto" w:sz="6" w:space="0"/>
              <w:bottom w:val="single" w:color="auto" w:sz="6" w:space="0"/>
              <w:right w:val="single" w:color="auto" w:sz="6" w:space="0"/>
            </w:tcBorders>
            <w:vAlign w:val="center"/>
          </w:tcPr>
          <w:p>
            <w:pPr>
              <w:spacing w:line="300" w:lineRule="exact"/>
              <w:jc w:val="center"/>
              <w:rPr>
                <w:rFonts w:ascii="宋体" w:hAnsi="宋体"/>
                <w:szCs w:val="21"/>
              </w:rPr>
            </w:pPr>
            <w:r>
              <w:rPr>
                <w:rFonts w:hint="eastAsia" w:ascii="宋体" w:hAnsi="宋体"/>
                <w:szCs w:val="21"/>
              </w:rPr>
              <w:t>分值构成及权重</w:t>
            </w:r>
          </w:p>
        </w:tc>
        <w:tc>
          <w:tcPr>
            <w:tcW w:w="5508" w:type="dxa"/>
            <w:tcBorders>
              <w:top w:val="single" w:color="auto" w:sz="6" w:space="0"/>
              <w:left w:val="single" w:color="auto" w:sz="6" w:space="0"/>
              <w:bottom w:val="single" w:color="auto" w:sz="6" w:space="0"/>
              <w:right w:val="single" w:color="auto" w:sz="4" w:space="0"/>
            </w:tcBorders>
            <w:vAlign w:val="center"/>
          </w:tcPr>
          <w:p>
            <w:pPr>
              <w:spacing w:line="300" w:lineRule="exact"/>
              <w:rPr>
                <w:rFonts w:hint="eastAsia"/>
              </w:rPr>
            </w:pPr>
            <w:r>
              <w:rPr>
                <w:rFonts w:hint="eastAsia"/>
              </w:rPr>
              <w:t>投标人总得分满分为100分，总分=工程实施方案（含资信部分）得分</w:t>
            </w:r>
            <w:r>
              <w:rPr>
                <w:rFonts w:hint="eastAsia"/>
                <w:lang w:eastAsia="zh-CN"/>
              </w:rPr>
              <w:t>（</w:t>
            </w:r>
            <w:r>
              <w:rPr>
                <w:rFonts w:hint="eastAsia"/>
                <w:lang w:val="en-US" w:eastAsia="zh-CN"/>
              </w:rPr>
              <w:t>60</w:t>
            </w:r>
            <w:r>
              <w:rPr>
                <w:rFonts w:hint="eastAsia"/>
              </w:rPr>
              <w:t>%</w:t>
            </w:r>
            <w:r>
              <w:rPr>
                <w:rFonts w:hint="eastAsia"/>
                <w:lang w:eastAsia="zh-CN"/>
              </w:rPr>
              <w:t>）</w:t>
            </w:r>
            <w:r>
              <w:rPr>
                <w:rFonts w:hint="eastAsia"/>
              </w:rPr>
              <w:t>+投标报价得分</w:t>
            </w:r>
            <w:r>
              <w:rPr>
                <w:rFonts w:hint="eastAsia"/>
                <w:lang w:eastAsia="zh-CN"/>
              </w:rPr>
              <w:t>（</w:t>
            </w:r>
            <w:r>
              <w:rPr>
                <w:rFonts w:hint="eastAsia"/>
                <w:lang w:val="en-US" w:eastAsia="zh-CN"/>
              </w:rPr>
              <w:t>40</w:t>
            </w:r>
            <w:r>
              <w:rPr>
                <w:rFonts w:hint="eastAsia"/>
              </w:rPr>
              <w:t>%</w:t>
            </w:r>
            <w:r>
              <w:rPr>
                <w:rFonts w:hint="eastAsia"/>
                <w:lang w:eastAsia="zh-CN"/>
              </w:rPr>
              <w:t>）</w:t>
            </w:r>
            <w:r>
              <w:rPr>
                <w:rFonts w:hint="eastAsia"/>
              </w:rPr>
              <w:t>。</w:t>
            </w:r>
          </w:p>
          <w:p>
            <w:pPr>
              <w:spacing w:line="300" w:lineRule="exact"/>
            </w:pPr>
            <w:r>
              <w:rPr>
                <w:rFonts w:hint="eastAsia" w:ascii="Calibri" w:hAnsi="Calibri" w:eastAsia="宋体" w:cs="Times New Roman"/>
                <w:b w:val="0"/>
                <w:color w:val="auto"/>
                <w:kern w:val="2"/>
                <w:sz w:val="21"/>
                <w:szCs w:val="24"/>
                <w:lang w:val="en-US" w:eastAsia="zh-CN" w:bidi="ar-SA"/>
              </w:rPr>
              <w:t>注：精确到小数点后两位，第三位四舍五入。</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2" w:hRule="atLeast"/>
          <w:jc w:val="center"/>
        </w:trPr>
        <w:tc>
          <w:tcPr>
            <w:tcW w:w="2415" w:type="dxa"/>
            <w:gridSpan w:val="2"/>
            <w:tcBorders>
              <w:top w:val="single" w:color="auto" w:sz="6" w:space="0"/>
              <w:left w:val="single" w:color="auto" w:sz="4" w:space="0"/>
              <w:bottom w:val="single" w:color="auto" w:sz="6" w:space="0"/>
              <w:right w:val="single" w:color="auto" w:sz="6" w:space="0"/>
            </w:tcBorders>
            <w:vAlign w:val="center"/>
          </w:tcPr>
          <w:p>
            <w:pPr>
              <w:spacing w:line="300" w:lineRule="exact"/>
              <w:jc w:val="center"/>
              <w:rPr>
                <w:rFonts w:ascii="宋体" w:hAnsi="宋体"/>
                <w:szCs w:val="21"/>
              </w:rPr>
            </w:pPr>
            <w:r>
              <w:rPr>
                <w:rFonts w:hint="eastAsia" w:ascii="宋体" w:hAnsi="宋体"/>
                <w:b/>
                <w:szCs w:val="21"/>
              </w:rPr>
              <w:t>条款号</w:t>
            </w:r>
          </w:p>
        </w:tc>
        <w:tc>
          <w:tcPr>
            <w:tcW w:w="1575" w:type="dxa"/>
            <w:tcBorders>
              <w:top w:val="single" w:color="auto" w:sz="6" w:space="0"/>
              <w:left w:val="single" w:color="auto" w:sz="6" w:space="0"/>
              <w:bottom w:val="single" w:color="auto" w:sz="6" w:space="0"/>
              <w:right w:val="single" w:color="auto" w:sz="4" w:space="0"/>
            </w:tcBorders>
            <w:vAlign w:val="center"/>
          </w:tcPr>
          <w:p>
            <w:pPr>
              <w:spacing w:line="300" w:lineRule="exact"/>
              <w:jc w:val="center"/>
              <w:rPr>
                <w:rFonts w:ascii="宋体" w:hAnsi="宋体"/>
                <w:b/>
                <w:szCs w:val="21"/>
              </w:rPr>
            </w:pPr>
            <w:r>
              <w:rPr>
                <w:rFonts w:hint="eastAsia" w:ascii="宋体" w:hAnsi="宋体"/>
                <w:b/>
                <w:szCs w:val="21"/>
              </w:rPr>
              <w:t>评分因素</w:t>
            </w:r>
          </w:p>
        </w:tc>
        <w:tc>
          <w:tcPr>
            <w:tcW w:w="5508" w:type="dxa"/>
            <w:tcBorders>
              <w:top w:val="single" w:color="auto" w:sz="6" w:space="0"/>
              <w:left w:val="single" w:color="auto" w:sz="4" w:space="0"/>
              <w:bottom w:val="single" w:color="auto" w:sz="6" w:space="0"/>
              <w:right w:val="single" w:color="auto" w:sz="4" w:space="0"/>
            </w:tcBorders>
            <w:vAlign w:val="center"/>
          </w:tcPr>
          <w:p>
            <w:pPr>
              <w:spacing w:line="300" w:lineRule="exact"/>
              <w:jc w:val="center"/>
              <w:rPr>
                <w:rFonts w:ascii="宋体" w:hAnsi="宋体"/>
                <w:szCs w:val="21"/>
              </w:rPr>
            </w:pPr>
            <w:r>
              <w:rPr>
                <w:rFonts w:hint="eastAsia" w:ascii="宋体" w:hAnsi="宋体"/>
                <w:b/>
                <w:szCs w:val="21"/>
              </w:rPr>
              <w:t>评分标准</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2" w:hRule="atLeast"/>
          <w:jc w:val="center"/>
        </w:trPr>
        <w:tc>
          <w:tcPr>
            <w:tcW w:w="877" w:type="dxa"/>
            <w:tcBorders>
              <w:top w:val="single" w:color="auto" w:sz="6" w:space="0"/>
              <w:left w:val="single" w:color="auto" w:sz="4" w:space="0"/>
              <w:right w:val="single" w:color="auto" w:sz="6" w:space="0"/>
            </w:tcBorders>
            <w:vAlign w:val="center"/>
          </w:tcPr>
          <w:p>
            <w:pPr>
              <w:spacing w:line="300" w:lineRule="exact"/>
              <w:jc w:val="center"/>
              <w:rPr>
                <w:rFonts w:ascii="宋体" w:hAnsi="宋体"/>
                <w:szCs w:val="21"/>
              </w:rPr>
            </w:pPr>
            <w:r>
              <w:rPr>
                <w:rFonts w:ascii="宋体" w:hAnsi="宋体"/>
                <w:szCs w:val="21"/>
              </w:rPr>
              <w:t>2.2.2</w:t>
            </w:r>
            <w:r>
              <w:rPr>
                <w:rFonts w:hint="eastAsia" w:ascii="宋体" w:hAnsi="宋体"/>
                <w:szCs w:val="21"/>
              </w:rPr>
              <w:t>（</w:t>
            </w:r>
            <w:r>
              <w:rPr>
                <w:rFonts w:ascii="宋体" w:hAnsi="宋体"/>
                <w:szCs w:val="21"/>
              </w:rPr>
              <w:t>1</w:t>
            </w:r>
            <w:r>
              <w:rPr>
                <w:rFonts w:hint="eastAsia" w:ascii="宋体" w:hAnsi="宋体"/>
                <w:szCs w:val="21"/>
              </w:rPr>
              <w:t>）</w:t>
            </w:r>
          </w:p>
        </w:tc>
        <w:tc>
          <w:tcPr>
            <w:tcW w:w="1538" w:type="dxa"/>
            <w:tcBorders>
              <w:top w:val="single" w:color="auto" w:sz="6" w:space="0"/>
              <w:left w:val="single" w:color="auto" w:sz="6" w:space="0"/>
              <w:right w:val="single" w:color="auto" w:sz="6" w:space="0"/>
            </w:tcBorders>
            <w:vAlign w:val="center"/>
          </w:tcPr>
          <w:p>
            <w:pPr>
              <w:spacing w:line="300" w:lineRule="exact"/>
              <w:jc w:val="center"/>
              <w:rPr>
                <w:rFonts w:ascii="宋体" w:hAnsi="宋体"/>
                <w:szCs w:val="21"/>
              </w:rPr>
            </w:pPr>
            <w:r>
              <w:rPr>
                <w:rFonts w:hint="eastAsia"/>
                <w:szCs w:val="21"/>
              </w:rPr>
              <w:t>工程实施方案（含资信部分）文件详细审查评分标准</w:t>
            </w:r>
          </w:p>
        </w:tc>
        <w:tc>
          <w:tcPr>
            <w:tcW w:w="1575" w:type="dxa"/>
            <w:tcBorders>
              <w:top w:val="single" w:color="auto" w:sz="6" w:space="0"/>
              <w:left w:val="single" w:color="auto" w:sz="6" w:space="0"/>
              <w:bottom w:val="single" w:color="auto" w:sz="6" w:space="0"/>
              <w:right w:val="single" w:color="auto" w:sz="4" w:space="0"/>
            </w:tcBorders>
            <w:vAlign w:val="center"/>
          </w:tcPr>
          <w:p>
            <w:pPr>
              <w:spacing w:line="300" w:lineRule="exact"/>
              <w:jc w:val="center"/>
              <w:rPr>
                <w:rFonts w:ascii="宋体" w:hAnsi="宋体"/>
                <w:szCs w:val="21"/>
              </w:rPr>
            </w:pPr>
            <w:r>
              <w:rPr>
                <w:rFonts w:hint="eastAsia"/>
                <w:szCs w:val="21"/>
              </w:rPr>
              <w:t>工程实施方案（含资信部分）文件</w:t>
            </w:r>
          </w:p>
        </w:tc>
        <w:tc>
          <w:tcPr>
            <w:tcW w:w="5508" w:type="dxa"/>
            <w:tcBorders>
              <w:top w:val="single" w:color="auto" w:sz="6" w:space="0"/>
              <w:left w:val="single" w:color="auto" w:sz="4" w:space="0"/>
              <w:bottom w:val="single" w:color="auto" w:sz="4" w:space="0"/>
              <w:right w:val="single" w:color="auto" w:sz="4" w:space="0"/>
            </w:tcBorders>
            <w:vAlign w:val="center"/>
          </w:tcPr>
          <w:p>
            <w:pPr>
              <w:spacing w:line="300" w:lineRule="exact"/>
              <w:jc w:val="left"/>
              <w:rPr>
                <w:rFonts w:ascii="宋体" w:hAnsi="宋体"/>
                <w:szCs w:val="21"/>
              </w:rPr>
            </w:pPr>
            <w:r>
              <w:rPr>
                <w:rFonts w:hint="eastAsia"/>
                <w:szCs w:val="21"/>
              </w:rPr>
              <w:t>见附表3《工程实施方案（含资信部分）文件评分表》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2" w:hRule="atLeast"/>
          <w:jc w:val="center"/>
        </w:trPr>
        <w:tc>
          <w:tcPr>
            <w:tcW w:w="877" w:type="dxa"/>
            <w:tcBorders>
              <w:top w:val="single" w:color="auto" w:sz="6" w:space="0"/>
              <w:left w:val="single" w:color="auto" w:sz="4" w:space="0"/>
              <w:right w:val="single" w:color="auto" w:sz="6" w:space="0"/>
            </w:tcBorders>
            <w:vAlign w:val="center"/>
          </w:tcPr>
          <w:p>
            <w:pPr>
              <w:spacing w:line="300" w:lineRule="exact"/>
              <w:jc w:val="center"/>
              <w:rPr>
                <w:rFonts w:ascii="宋体" w:hAnsi="宋体"/>
                <w:szCs w:val="21"/>
              </w:rPr>
            </w:pPr>
            <w:r>
              <w:rPr>
                <w:rFonts w:ascii="宋体" w:hAnsi="宋体"/>
                <w:szCs w:val="21"/>
              </w:rPr>
              <w:t>2.2.2</w:t>
            </w:r>
            <w:r>
              <w:rPr>
                <w:rFonts w:hint="eastAsia" w:ascii="宋体" w:hAnsi="宋体"/>
                <w:szCs w:val="21"/>
              </w:rPr>
              <w:t>（</w:t>
            </w:r>
            <w:r>
              <w:rPr>
                <w:rFonts w:ascii="宋体" w:hAnsi="宋体"/>
                <w:szCs w:val="21"/>
              </w:rPr>
              <w:t>2</w:t>
            </w:r>
            <w:r>
              <w:rPr>
                <w:rFonts w:hint="eastAsia" w:ascii="宋体" w:hAnsi="宋体"/>
                <w:szCs w:val="21"/>
              </w:rPr>
              <w:t>）</w:t>
            </w:r>
          </w:p>
        </w:tc>
        <w:tc>
          <w:tcPr>
            <w:tcW w:w="1538" w:type="dxa"/>
            <w:tcBorders>
              <w:top w:val="single" w:color="auto" w:sz="6" w:space="0"/>
              <w:left w:val="single" w:color="auto" w:sz="6" w:space="0"/>
              <w:right w:val="single" w:color="auto" w:sz="6" w:space="0"/>
            </w:tcBorders>
            <w:vAlign w:val="center"/>
          </w:tcPr>
          <w:p>
            <w:pPr>
              <w:spacing w:line="300" w:lineRule="exact"/>
              <w:jc w:val="center"/>
              <w:rPr>
                <w:rFonts w:ascii="宋体" w:hAnsi="宋体"/>
                <w:szCs w:val="21"/>
              </w:rPr>
            </w:pPr>
            <w:r>
              <w:rPr>
                <w:rFonts w:hint="eastAsia"/>
                <w:szCs w:val="21"/>
              </w:rPr>
              <w:t>投标报价文件详细审查评分标准</w:t>
            </w:r>
          </w:p>
        </w:tc>
        <w:tc>
          <w:tcPr>
            <w:tcW w:w="1575" w:type="dxa"/>
            <w:tcBorders>
              <w:top w:val="single" w:color="auto" w:sz="6" w:space="0"/>
              <w:left w:val="single" w:color="auto" w:sz="6" w:space="0"/>
              <w:bottom w:val="single" w:color="auto" w:sz="6" w:space="0"/>
              <w:right w:val="single" w:color="auto" w:sz="4" w:space="0"/>
            </w:tcBorders>
            <w:vAlign w:val="center"/>
          </w:tcPr>
          <w:p>
            <w:pPr>
              <w:jc w:val="center"/>
              <w:rPr>
                <w:szCs w:val="21"/>
              </w:rPr>
            </w:pPr>
            <w:r>
              <w:rPr>
                <w:rFonts w:hint="eastAsia"/>
                <w:szCs w:val="21"/>
              </w:rPr>
              <w:t>投标报价文件</w:t>
            </w:r>
          </w:p>
        </w:tc>
        <w:tc>
          <w:tcPr>
            <w:tcW w:w="5508" w:type="dxa"/>
            <w:tcBorders>
              <w:top w:val="single" w:color="auto" w:sz="6" w:space="0"/>
              <w:left w:val="single" w:color="auto" w:sz="4" w:space="0"/>
              <w:bottom w:val="single" w:color="auto" w:sz="4" w:space="0"/>
              <w:right w:val="single" w:color="auto" w:sz="4" w:space="0"/>
            </w:tcBorders>
            <w:vAlign w:val="center"/>
          </w:tcPr>
          <w:p>
            <w:pPr>
              <w:spacing w:line="300" w:lineRule="exact"/>
              <w:jc w:val="left"/>
              <w:rPr>
                <w:rFonts w:ascii="宋体" w:hAnsi="宋体"/>
                <w:szCs w:val="21"/>
              </w:rPr>
            </w:pPr>
            <w:r>
              <w:rPr>
                <w:rFonts w:hint="eastAsia"/>
                <w:szCs w:val="21"/>
              </w:rPr>
              <w:t>见附表</w:t>
            </w:r>
            <w:r>
              <w:rPr>
                <w:rFonts w:hint="eastAsia"/>
                <w:szCs w:val="21"/>
                <w:lang w:val="en-US" w:eastAsia="zh-CN"/>
              </w:rPr>
              <w:t>5</w:t>
            </w:r>
            <w:r>
              <w:rPr>
                <w:rFonts w:hint="eastAsia"/>
                <w:szCs w:val="21"/>
              </w:rPr>
              <w:t>《投标报价</w:t>
            </w:r>
            <w:r>
              <w:rPr>
                <w:rFonts w:hint="eastAsia"/>
                <w:szCs w:val="21"/>
                <w:lang w:val="en-US" w:eastAsia="zh-CN"/>
              </w:rPr>
              <w:t>评分</w:t>
            </w:r>
            <w:r>
              <w:rPr>
                <w:rFonts w:hint="eastAsia"/>
                <w:szCs w:val="21"/>
              </w:rPr>
              <w:t>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5" w:hRule="atLeast"/>
          <w:jc w:val="center"/>
        </w:trPr>
        <w:tc>
          <w:tcPr>
            <w:tcW w:w="9498" w:type="dxa"/>
            <w:gridSpan w:val="4"/>
            <w:tcBorders>
              <w:top w:val="single" w:color="auto" w:sz="6" w:space="0"/>
              <w:left w:val="single" w:color="auto" w:sz="4" w:space="0"/>
              <w:bottom w:val="single" w:color="auto" w:sz="6" w:space="0"/>
              <w:right w:val="single" w:color="auto" w:sz="4" w:space="0"/>
            </w:tcBorders>
            <w:vAlign w:val="center"/>
          </w:tcPr>
          <w:p>
            <w:pPr>
              <w:spacing w:line="300" w:lineRule="exact"/>
              <w:jc w:val="center"/>
              <w:rPr>
                <w:rFonts w:ascii="宋体" w:hAnsi="宋体"/>
                <w:b/>
                <w:szCs w:val="21"/>
              </w:rPr>
            </w:pPr>
            <w:r>
              <w:rPr>
                <w:rFonts w:hint="eastAsia" w:ascii="宋体" w:hAnsi="宋体"/>
                <w:b/>
                <w:szCs w:val="21"/>
              </w:rPr>
              <w:t>需要补充的其他内容</w:t>
            </w:r>
          </w:p>
        </w:tc>
      </w:tr>
    </w:tbl>
    <w:p>
      <w:pPr>
        <w:pStyle w:val="4"/>
        <w:spacing w:before="0" w:after="0" w:line="360" w:lineRule="auto"/>
        <w:ind w:firstLine="643" w:firstLineChars="200"/>
        <w:rPr>
          <w:rFonts w:ascii="宋体" w:hAnsi="宋体" w:eastAsia="宋体"/>
        </w:rPr>
      </w:pPr>
      <w:r>
        <w:br w:type="page"/>
      </w:r>
      <w:bookmarkStart w:id="869" w:name="_Toc152045600"/>
      <w:bookmarkStart w:id="870" w:name="_Toc436834185"/>
      <w:bookmarkStart w:id="871" w:name="_Toc25246"/>
      <w:bookmarkStart w:id="872" w:name="_Toc23786"/>
      <w:bookmarkStart w:id="873" w:name="_Toc300835010"/>
      <w:bookmarkStart w:id="874" w:name="_Toc399165431"/>
      <w:bookmarkStart w:id="875" w:name="_Toc10123"/>
      <w:bookmarkStart w:id="876" w:name="_Toc436834778"/>
      <w:bookmarkStart w:id="877" w:name="_Toc247514024"/>
      <w:bookmarkStart w:id="878" w:name="_Toc25710"/>
      <w:bookmarkStart w:id="879" w:name="_Toc16222"/>
      <w:bookmarkStart w:id="880" w:name="_Toc152042377"/>
      <w:bookmarkStart w:id="881" w:name="_Toc494371568"/>
      <w:bookmarkStart w:id="882" w:name="_Toc20806"/>
      <w:bookmarkStart w:id="883" w:name="_Toc6356"/>
      <w:bookmarkStart w:id="884" w:name="_Toc247527625"/>
      <w:bookmarkStart w:id="885" w:name="_Toc144974567"/>
      <w:r>
        <w:rPr>
          <w:rFonts w:ascii="宋体" w:hAnsi="宋体" w:eastAsia="宋体"/>
        </w:rPr>
        <w:t xml:space="preserve">1. </w:t>
      </w:r>
      <w:r>
        <w:rPr>
          <w:rFonts w:hint="eastAsia" w:ascii="宋体" w:hAnsi="宋体" w:eastAsia="宋体"/>
        </w:rPr>
        <w:t>评标方法</w:t>
      </w:r>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p>
    <w:p>
      <w:pPr>
        <w:spacing w:line="360" w:lineRule="auto"/>
        <w:ind w:firstLine="420" w:firstLineChars="200"/>
        <w:rPr>
          <w:rFonts w:hint="eastAsia" w:ascii="宋体" w:hAnsi="宋体" w:cs="宋体"/>
        </w:rPr>
      </w:pPr>
      <w:r>
        <w:rPr>
          <w:rFonts w:hint="eastAsia" w:ascii="宋体" w:hAnsi="宋体" w:cs="宋体"/>
        </w:rPr>
        <w:t>本次评标采用综合评</w:t>
      </w:r>
      <w:r>
        <w:rPr>
          <w:rFonts w:hint="eastAsia" w:ascii="宋体" w:hAnsi="宋体" w:cs="宋体"/>
          <w:lang w:val="en-US" w:eastAsia="zh-CN"/>
        </w:rPr>
        <w:t>分</w:t>
      </w:r>
      <w:r>
        <w:rPr>
          <w:rFonts w:hint="eastAsia" w:ascii="宋体" w:hAnsi="宋体" w:cs="宋体"/>
        </w:rPr>
        <w:t>法。评标委员会对满足招标文件实质性要求的投标文件，按照本章第2.2款规定的评分标准进行打分，并按得分由高到低顺序推荐中标候选人，或根据招标人授权直接确定中标人，但投标报价低于其成本的除外。</w:t>
      </w:r>
    </w:p>
    <w:p>
      <w:pPr>
        <w:pStyle w:val="4"/>
        <w:spacing w:before="0" w:after="0" w:line="360" w:lineRule="auto"/>
        <w:ind w:firstLine="643" w:firstLineChars="200"/>
        <w:rPr>
          <w:rFonts w:ascii="宋体" w:hAnsi="宋体" w:eastAsia="宋体"/>
        </w:rPr>
      </w:pPr>
      <w:bookmarkStart w:id="886" w:name="_Toc494371569"/>
      <w:bookmarkStart w:id="887" w:name="_Toc16219"/>
      <w:bookmarkStart w:id="888" w:name="_Toc152045601"/>
      <w:bookmarkStart w:id="889" w:name="_Toc436834186"/>
      <w:bookmarkStart w:id="890" w:name="_Toc144974568"/>
      <w:bookmarkStart w:id="891" w:name="_Toc30197"/>
      <w:bookmarkStart w:id="892" w:name="_Toc29190"/>
      <w:bookmarkStart w:id="893" w:name="_Toc247527626"/>
      <w:bookmarkStart w:id="894" w:name="_Toc436834779"/>
      <w:bookmarkStart w:id="895" w:name="_Toc152042378"/>
      <w:bookmarkStart w:id="896" w:name="_Toc399165432"/>
      <w:bookmarkStart w:id="897" w:name="_Toc247514025"/>
      <w:bookmarkStart w:id="898" w:name="_Toc17632"/>
      <w:bookmarkStart w:id="899" w:name="_Toc14150"/>
      <w:bookmarkStart w:id="900" w:name="_Toc9484"/>
      <w:bookmarkStart w:id="901" w:name="_Toc65"/>
      <w:bookmarkStart w:id="902" w:name="_Toc300835011"/>
      <w:r>
        <w:rPr>
          <w:rFonts w:ascii="宋体" w:hAnsi="宋体" w:eastAsia="宋体"/>
        </w:rPr>
        <w:t xml:space="preserve">2. </w:t>
      </w:r>
      <w:r>
        <w:rPr>
          <w:rFonts w:hint="default" w:ascii="宋体" w:hAnsi="宋体" w:eastAsia="宋体"/>
        </w:rPr>
        <w:t>评审标准</w:t>
      </w:r>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p>
    <w:p>
      <w:pPr>
        <w:pStyle w:val="5"/>
        <w:keepNext w:val="0"/>
        <w:keepLines w:val="0"/>
        <w:spacing w:before="0" w:after="0" w:line="360" w:lineRule="auto"/>
        <w:ind w:firstLine="560" w:firstLineChars="200"/>
        <w:rPr>
          <w:rFonts w:ascii="宋体" w:eastAsia="宋体"/>
        </w:rPr>
      </w:pPr>
      <w:bookmarkStart w:id="903" w:name="_Toc2867"/>
      <w:bookmarkStart w:id="904" w:name="_Toc494371570"/>
      <w:bookmarkStart w:id="905" w:name="_Toc144974569"/>
      <w:bookmarkStart w:id="906" w:name="_Toc436834780"/>
      <w:bookmarkStart w:id="907" w:name="_Toc247514026"/>
      <w:bookmarkStart w:id="908" w:name="_Toc152045602"/>
      <w:bookmarkStart w:id="909" w:name="_Toc399165433"/>
      <w:bookmarkStart w:id="910" w:name="_Toc300835012"/>
      <w:bookmarkStart w:id="911" w:name="_Toc152042379"/>
      <w:bookmarkStart w:id="912" w:name="_Toc13888"/>
      <w:bookmarkStart w:id="913" w:name="_Toc32127"/>
      <w:bookmarkStart w:id="914" w:name="_Toc17113"/>
      <w:bookmarkStart w:id="915" w:name="_Toc436834187"/>
      <w:bookmarkStart w:id="916" w:name="_Toc247527627"/>
      <w:r>
        <w:rPr>
          <w:rFonts w:ascii="宋体" w:eastAsia="宋体"/>
        </w:rPr>
        <w:t>2.1 初步评审标准</w:t>
      </w:r>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p>
    <w:p>
      <w:pPr>
        <w:spacing w:line="360" w:lineRule="auto"/>
        <w:ind w:firstLine="420" w:firstLineChars="200"/>
        <w:rPr>
          <w:rFonts w:hint="eastAsia" w:ascii="宋体" w:hAnsi="宋体" w:cs="宋体"/>
        </w:rPr>
      </w:pPr>
      <w:r>
        <w:rPr>
          <w:rFonts w:hint="eastAsia" w:ascii="宋体" w:hAnsi="宋体" w:cs="宋体"/>
        </w:rPr>
        <w:t>2.1.1 资格审查标准：见评标办法前附表。</w:t>
      </w:r>
    </w:p>
    <w:p>
      <w:pPr>
        <w:spacing w:line="360" w:lineRule="auto"/>
        <w:ind w:firstLine="420" w:firstLineChars="200"/>
        <w:rPr>
          <w:rFonts w:hint="eastAsia" w:ascii="宋体" w:hAnsi="宋体" w:cs="宋体"/>
        </w:rPr>
      </w:pPr>
      <w:bookmarkStart w:id="917" w:name="_Toc247527628"/>
      <w:bookmarkStart w:id="918" w:name="_Toc144974570"/>
      <w:bookmarkStart w:id="919" w:name="_Toc152045603"/>
      <w:bookmarkStart w:id="920" w:name="_Toc399165434"/>
      <w:bookmarkStart w:id="921" w:name="_Toc300835013"/>
      <w:bookmarkStart w:id="922" w:name="_Toc247514027"/>
      <w:bookmarkStart w:id="923" w:name="_Toc152042380"/>
      <w:r>
        <w:rPr>
          <w:rFonts w:hint="eastAsia" w:ascii="宋体" w:hAnsi="宋体" w:cs="宋体"/>
        </w:rPr>
        <w:t>2.1.2投标文件有效性审查标准：见评标办法前附表。</w:t>
      </w:r>
    </w:p>
    <w:p>
      <w:pPr>
        <w:pStyle w:val="5"/>
        <w:keepNext w:val="0"/>
        <w:keepLines w:val="0"/>
        <w:spacing w:before="0" w:after="0" w:line="360" w:lineRule="auto"/>
        <w:ind w:firstLine="560" w:firstLineChars="200"/>
        <w:rPr>
          <w:rFonts w:ascii="宋体" w:eastAsia="宋体"/>
        </w:rPr>
      </w:pPr>
      <w:bookmarkStart w:id="924" w:name="_Toc32259"/>
      <w:bookmarkStart w:id="925" w:name="_Toc14736"/>
      <w:bookmarkStart w:id="926" w:name="_Toc16804"/>
      <w:bookmarkStart w:id="927" w:name="_Toc494371571"/>
      <w:bookmarkStart w:id="928" w:name="_Toc25188"/>
      <w:bookmarkStart w:id="929" w:name="_Toc436834781"/>
      <w:bookmarkStart w:id="930" w:name="_Toc436834188"/>
      <w:r>
        <w:rPr>
          <w:rFonts w:ascii="宋体" w:eastAsia="宋体"/>
        </w:rPr>
        <w:t xml:space="preserve">2.2 </w:t>
      </w:r>
      <w:r>
        <w:rPr>
          <w:rFonts w:hint="default" w:ascii="宋体" w:eastAsia="宋体"/>
        </w:rPr>
        <w:t>分值构成与评分标准</w:t>
      </w:r>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p>
    <w:p>
      <w:pPr>
        <w:spacing w:line="360" w:lineRule="auto"/>
        <w:ind w:firstLine="420" w:firstLineChars="200"/>
        <w:rPr>
          <w:rFonts w:hint="eastAsia" w:ascii="宋体" w:hAnsi="宋体" w:cs="宋体"/>
        </w:rPr>
      </w:pPr>
      <w:bookmarkStart w:id="931" w:name="_Toc300835014"/>
      <w:bookmarkStart w:id="932" w:name="_Toc247514028"/>
      <w:bookmarkStart w:id="933" w:name="_Toc152042381"/>
      <w:bookmarkStart w:id="934" w:name="_Toc144974571"/>
      <w:bookmarkStart w:id="935" w:name="_Toc152045604"/>
      <w:bookmarkStart w:id="936" w:name="_Toc247527629"/>
      <w:bookmarkStart w:id="937" w:name="_Toc399165435"/>
      <w:r>
        <w:rPr>
          <w:rFonts w:hint="eastAsia" w:ascii="宋体" w:hAnsi="宋体" w:cs="宋体"/>
        </w:rPr>
        <w:t>2.2.1</w:t>
      </w:r>
      <w:r>
        <w:rPr>
          <w:rFonts w:hint="eastAsia" w:ascii="宋体" w:hAnsi="宋体" w:cs="宋体"/>
          <w:szCs w:val="24"/>
        </w:rPr>
        <w:t>分值构成及权重</w:t>
      </w:r>
      <w:r>
        <w:rPr>
          <w:rFonts w:hint="eastAsia" w:ascii="宋体" w:hAnsi="宋体" w:cs="宋体"/>
        </w:rPr>
        <w:t>：见评标办法前附表。</w:t>
      </w:r>
    </w:p>
    <w:p>
      <w:pPr>
        <w:spacing w:line="360" w:lineRule="auto"/>
        <w:ind w:firstLine="420" w:firstLineChars="200"/>
        <w:rPr>
          <w:rFonts w:hint="eastAsia" w:ascii="宋体" w:hAnsi="宋体" w:cs="宋体"/>
        </w:rPr>
      </w:pPr>
      <w:r>
        <w:rPr>
          <w:rFonts w:hint="eastAsia" w:ascii="宋体" w:hAnsi="宋体" w:cs="宋体"/>
        </w:rPr>
        <w:t>2.2.2 评分标准</w:t>
      </w:r>
    </w:p>
    <w:p>
      <w:pPr>
        <w:spacing w:line="360" w:lineRule="auto"/>
        <w:ind w:firstLine="420" w:firstLineChars="200"/>
        <w:rPr>
          <w:rFonts w:hint="eastAsia" w:ascii="宋体" w:hAnsi="宋体" w:cs="宋体"/>
        </w:rPr>
      </w:pPr>
      <w:bookmarkStart w:id="938" w:name="_Toc29432"/>
      <w:bookmarkStart w:id="939" w:name="_Toc494371572"/>
      <w:bookmarkStart w:id="940" w:name="_Toc436834782"/>
      <w:bookmarkStart w:id="941" w:name="_Toc436834189"/>
      <w:bookmarkStart w:id="942" w:name="_Toc13060"/>
      <w:bookmarkStart w:id="943" w:name="_Toc210"/>
      <w:bookmarkStart w:id="944" w:name="_Toc11029"/>
      <w:bookmarkStart w:id="945" w:name="_Toc24656"/>
      <w:r>
        <w:rPr>
          <w:rFonts w:hint="eastAsia" w:ascii="宋体" w:hAnsi="宋体" w:cs="宋体"/>
        </w:rPr>
        <w:t>（1）工程实施方案（含资信部分）文件详细审查评分标准：见评标办法前附表。</w:t>
      </w:r>
    </w:p>
    <w:p>
      <w:pPr>
        <w:spacing w:line="360" w:lineRule="auto"/>
        <w:ind w:firstLine="420" w:firstLineChars="200"/>
        <w:rPr>
          <w:rFonts w:hint="eastAsia" w:ascii="宋体" w:hAnsi="宋体" w:cs="宋体"/>
        </w:rPr>
      </w:pPr>
      <w:r>
        <w:rPr>
          <w:rFonts w:hint="eastAsia" w:ascii="宋体" w:hAnsi="宋体" w:cs="宋体"/>
        </w:rPr>
        <w:t>（2）投标报价文件详细审查评分标准：见评标办法前附表。</w:t>
      </w:r>
    </w:p>
    <w:p>
      <w:pPr>
        <w:pStyle w:val="4"/>
        <w:spacing w:before="0" w:after="0" w:line="360" w:lineRule="auto"/>
        <w:ind w:firstLine="643" w:firstLineChars="200"/>
        <w:rPr>
          <w:rFonts w:ascii="宋体" w:hAnsi="宋体" w:eastAsia="宋体"/>
        </w:rPr>
      </w:pPr>
      <w:bookmarkStart w:id="946" w:name="_Toc23123"/>
      <w:bookmarkStart w:id="947" w:name="_Toc897"/>
      <w:r>
        <w:rPr>
          <w:rFonts w:ascii="宋体" w:hAnsi="宋体" w:eastAsia="宋体"/>
        </w:rPr>
        <w:t xml:space="preserve">3. </w:t>
      </w:r>
      <w:r>
        <w:rPr>
          <w:rFonts w:hint="default" w:ascii="宋体" w:hAnsi="宋体" w:eastAsia="宋体"/>
        </w:rPr>
        <w:t>评标程序</w:t>
      </w:r>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p>
    <w:p>
      <w:pPr>
        <w:pStyle w:val="5"/>
        <w:keepNext w:val="0"/>
        <w:keepLines w:val="0"/>
        <w:spacing w:before="0" w:after="0" w:line="360" w:lineRule="auto"/>
        <w:ind w:firstLine="560" w:firstLineChars="200"/>
        <w:rPr>
          <w:rFonts w:ascii="宋体" w:eastAsia="宋体"/>
        </w:rPr>
      </w:pPr>
      <w:bookmarkStart w:id="948" w:name="_Toc1082"/>
      <w:bookmarkStart w:id="949" w:name="_Toc24446"/>
      <w:bookmarkStart w:id="950" w:name="_Toc494371574"/>
      <w:bookmarkStart w:id="951" w:name="_Toc263"/>
      <w:bookmarkStart w:id="952" w:name="_Toc5646"/>
      <w:r>
        <w:rPr>
          <w:rFonts w:ascii="宋体" w:eastAsia="宋体"/>
        </w:rPr>
        <w:t>3.1资格审查文件评审</w:t>
      </w:r>
      <w:bookmarkEnd w:id="948"/>
      <w:bookmarkEnd w:id="949"/>
      <w:bookmarkEnd w:id="950"/>
      <w:bookmarkEnd w:id="951"/>
      <w:bookmarkEnd w:id="952"/>
    </w:p>
    <w:p>
      <w:pPr>
        <w:spacing w:line="360" w:lineRule="auto"/>
        <w:ind w:firstLine="420" w:firstLineChars="200"/>
        <w:rPr>
          <w:rFonts w:hint="eastAsia" w:ascii="宋体" w:hAnsi="宋体" w:cs="宋体"/>
          <w:kern w:val="2"/>
          <w:szCs w:val="24"/>
        </w:rPr>
      </w:pPr>
      <w:r>
        <w:rPr>
          <w:rFonts w:hint="eastAsia" w:ascii="宋体" w:hAnsi="宋体" w:cs="宋体"/>
          <w:kern w:val="2"/>
          <w:szCs w:val="24"/>
        </w:rPr>
        <w:t>3.1.1</w:t>
      </w:r>
      <w:r>
        <w:rPr>
          <w:rFonts w:hint="eastAsia" w:ascii="宋体" w:hAnsi="宋体" w:cs="宋体"/>
        </w:rPr>
        <w:t>资格审查采用非电子化审查方式进行，评标委员会对投标人递交的资格审查文件</w:t>
      </w:r>
      <w:r>
        <w:rPr>
          <w:rFonts w:hint="eastAsia" w:ascii="宋体" w:hAnsi="宋体" w:cs="宋体"/>
          <w:szCs w:val="24"/>
        </w:rPr>
        <w:t>进行评审。</w:t>
      </w:r>
    </w:p>
    <w:p>
      <w:pPr>
        <w:spacing w:line="360" w:lineRule="auto"/>
        <w:ind w:firstLine="420" w:firstLineChars="200"/>
        <w:rPr>
          <w:rFonts w:hint="eastAsia" w:ascii="宋体" w:hAnsi="宋体" w:cs="宋体"/>
          <w:kern w:val="2"/>
          <w:szCs w:val="24"/>
        </w:rPr>
      </w:pPr>
      <w:r>
        <w:rPr>
          <w:rFonts w:hint="eastAsia" w:ascii="宋体" w:hAnsi="宋体" w:cs="宋体"/>
          <w:kern w:val="2"/>
          <w:szCs w:val="24"/>
        </w:rPr>
        <w:t>3.1.2资格审查文件中全部符合附表1《资格审查表》中情形的，为资格审查合格。否则为资格审查不合格，经评标委员会认定后，其资格审查文件将被拒绝。如评标委员会成员的评审意见不一致时，应先公开要求投标人进行澄清，并记录及由评标委员会、作出澄清的投标人签字确认，以评标委员会过半数成员的意见作为评标委员会对该情形的认定结论。只有通过资格审查的投标人方可进入下一阶段的评审。</w:t>
      </w:r>
    </w:p>
    <w:p>
      <w:pPr>
        <w:spacing w:line="360" w:lineRule="auto"/>
        <w:ind w:firstLine="420" w:firstLineChars="200"/>
        <w:rPr>
          <w:rFonts w:hint="eastAsia" w:ascii="宋体" w:hAnsi="宋体" w:cs="宋体"/>
          <w:kern w:val="2"/>
          <w:szCs w:val="24"/>
        </w:rPr>
      </w:pPr>
      <w:r>
        <w:rPr>
          <w:rFonts w:hint="eastAsia" w:ascii="宋体" w:hAnsi="宋体" w:cs="宋体"/>
          <w:kern w:val="2"/>
          <w:szCs w:val="24"/>
        </w:rPr>
        <w:t>3.1.3汇总资格审查情况，编写资格审查报告。</w:t>
      </w:r>
    </w:p>
    <w:p>
      <w:pPr>
        <w:spacing w:line="360" w:lineRule="auto"/>
        <w:ind w:firstLine="420" w:firstLineChars="200"/>
        <w:rPr>
          <w:rFonts w:hint="eastAsia" w:ascii="宋体" w:hAnsi="宋体" w:cs="宋体"/>
          <w:kern w:val="2"/>
          <w:szCs w:val="24"/>
        </w:rPr>
      </w:pPr>
      <w:r>
        <w:rPr>
          <w:rFonts w:hint="eastAsia" w:ascii="宋体" w:hAnsi="宋体" w:cs="宋体"/>
          <w:kern w:val="2"/>
          <w:szCs w:val="24"/>
        </w:rPr>
        <w:t>3.1.4资格审查时，投标企业名称已经工商变更的，但企业及个人的资质证书未完成企业名称变更，仍然承认其有效；投标企业未及时办理变更手续的，招标人或招标代理机构应通报发证部门。资质证书、安全生产许可证之间登记的信息不一致，应当允许投标人澄清，不得直接否决其投标。</w:t>
      </w:r>
    </w:p>
    <w:p>
      <w:pPr>
        <w:spacing w:line="360" w:lineRule="auto"/>
        <w:ind w:firstLine="420" w:firstLineChars="200"/>
        <w:rPr>
          <w:rFonts w:hint="eastAsia" w:ascii="宋体" w:hAnsi="宋体" w:cs="宋体"/>
          <w:kern w:val="2"/>
          <w:szCs w:val="24"/>
        </w:rPr>
      </w:pPr>
      <w:r>
        <w:rPr>
          <w:rFonts w:hint="eastAsia" w:ascii="宋体" w:hAnsi="宋体" w:cs="宋体"/>
          <w:kern w:val="2"/>
          <w:szCs w:val="24"/>
        </w:rPr>
        <w:t>特别声明：资审合格后，投标人的资格发生变化而不满足投标人合格条件，在发出中标通知书前，资格问题仍未解决的，招标人将取消其中标资格。</w:t>
      </w:r>
    </w:p>
    <w:p>
      <w:pPr>
        <w:pStyle w:val="5"/>
        <w:keepNext w:val="0"/>
        <w:keepLines w:val="0"/>
        <w:spacing w:before="0" w:after="0" w:line="360" w:lineRule="auto"/>
        <w:ind w:firstLine="560" w:firstLineChars="200"/>
        <w:rPr>
          <w:rFonts w:ascii="宋体" w:eastAsia="宋体" w:cs="Times New Roman"/>
          <w:szCs w:val="28"/>
        </w:rPr>
      </w:pPr>
      <w:bookmarkStart w:id="953" w:name="_Toc15835"/>
      <w:bookmarkStart w:id="954" w:name="_Toc22209"/>
      <w:bookmarkStart w:id="955" w:name="_Toc26253"/>
      <w:bookmarkStart w:id="956" w:name="_Toc30033"/>
      <w:bookmarkStart w:id="957" w:name="_Toc494371575"/>
      <w:bookmarkStart w:id="958" w:name="_Toc436834190"/>
      <w:bookmarkStart w:id="959" w:name="_Toc436834783"/>
      <w:bookmarkStart w:id="960" w:name="_Toc300835017"/>
      <w:bookmarkStart w:id="961" w:name="_Toc152042385"/>
      <w:bookmarkStart w:id="962" w:name="_Toc399165439"/>
      <w:bookmarkStart w:id="963" w:name="_Toc144974575"/>
      <w:bookmarkStart w:id="964" w:name="_Toc152045607"/>
      <w:bookmarkStart w:id="965" w:name="_Toc247514031"/>
      <w:bookmarkStart w:id="966" w:name="_Toc247527632"/>
      <w:r>
        <w:rPr>
          <w:rFonts w:hint="default" w:ascii="宋体" w:eastAsia="宋体" w:cs="Times New Roman"/>
        </w:rPr>
        <w:t>3.2工程实施方案（含资信部分）文件评审</w:t>
      </w:r>
      <w:bookmarkEnd w:id="953"/>
      <w:bookmarkEnd w:id="954"/>
      <w:bookmarkEnd w:id="955"/>
      <w:bookmarkEnd w:id="956"/>
      <w:bookmarkEnd w:id="957"/>
      <w:bookmarkEnd w:id="958"/>
      <w:bookmarkEnd w:id="959"/>
    </w:p>
    <w:p>
      <w:pPr>
        <w:spacing w:line="360" w:lineRule="auto"/>
        <w:ind w:firstLine="420" w:firstLineChars="200"/>
        <w:rPr>
          <w:rFonts w:hint="eastAsia" w:ascii="宋体" w:hAnsi="宋体" w:cs="宋体"/>
          <w:szCs w:val="24"/>
        </w:rPr>
      </w:pPr>
      <w:bookmarkStart w:id="967" w:name="_Toc436834191"/>
      <w:bookmarkStart w:id="968" w:name="_Toc436834784"/>
      <w:r>
        <w:rPr>
          <w:rFonts w:hint="eastAsia" w:ascii="宋体" w:hAnsi="宋体" w:cs="宋体"/>
          <w:szCs w:val="24"/>
        </w:rPr>
        <w:t>3.2.1评标委员会按本办法附表2《工程实施方案（含资信部分）文件有效性审查表》对各投标文件进行评审，只有通过有效性审查的投标文件方可进入下一阶段的评审。如果有废标提议，则评标委员会成员共同表决，按照少数服从多数的原则决定是否废标。</w:t>
      </w:r>
    </w:p>
    <w:p>
      <w:pPr>
        <w:spacing w:line="360" w:lineRule="auto"/>
        <w:ind w:firstLine="420" w:firstLineChars="200"/>
        <w:rPr>
          <w:rFonts w:hint="eastAsia" w:ascii="宋体" w:hAnsi="宋体" w:cs="宋体"/>
          <w:szCs w:val="24"/>
        </w:rPr>
      </w:pPr>
      <w:r>
        <w:rPr>
          <w:rFonts w:hint="eastAsia" w:ascii="宋体" w:hAnsi="宋体" w:cs="宋体"/>
          <w:szCs w:val="24"/>
        </w:rPr>
        <w:t>3.2.2评标委员会按本办法附表3《工程实施方案（含资信部分）文件评分表》对各投标人的进行综合评分，投标人得分为评标委员会各成员对其评分合计的算术平均值。分数出现小数点，保留小数点后二位小数，第三位小数四舍五入。</w:t>
      </w:r>
    </w:p>
    <w:p>
      <w:pPr>
        <w:pStyle w:val="5"/>
        <w:keepNext w:val="0"/>
        <w:keepLines w:val="0"/>
        <w:spacing w:before="0" w:after="0" w:line="360" w:lineRule="auto"/>
        <w:ind w:firstLine="560" w:firstLineChars="200"/>
        <w:rPr>
          <w:rFonts w:ascii="宋体" w:eastAsia="宋体"/>
        </w:rPr>
      </w:pPr>
      <w:bookmarkStart w:id="969" w:name="_Toc494371576"/>
      <w:bookmarkStart w:id="970" w:name="_Toc23184"/>
      <w:bookmarkStart w:id="971" w:name="_Toc29017"/>
      <w:bookmarkStart w:id="972" w:name="_Toc23957"/>
      <w:bookmarkStart w:id="973" w:name="_Toc10463"/>
      <w:r>
        <w:rPr>
          <w:rFonts w:ascii="宋体" w:eastAsia="宋体"/>
        </w:rPr>
        <w:t>3.3</w:t>
      </w:r>
      <w:bookmarkEnd w:id="967"/>
      <w:bookmarkEnd w:id="968"/>
      <w:bookmarkEnd w:id="969"/>
      <w:bookmarkEnd w:id="970"/>
      <w:bookmarkEnd w:id="971"/>
      <w:bookmarkEnd w:id="972"/>
      <w:bookmarkEnd w:id="973"/>
      <w:r>
        <w:rPr>
          <w:rFonts w:hint="default" w:ascii="宋体" w:eastAsia="宋体"/>
        </w:rPr>
        <w:t>投标报价文件评审</w:t>
      </w:r>
    </w:p>
    <w:p>
      <w:pPr>
        <w:spacing w:line="360" w:lineRule="auto"/>
        <w:ind w:firstLine="420" w:firstLineChars="200"/>
        <w:rPr>
          <w:rFonts w:hint="eastAsia" w:ascii="宋体" w:hAnsi="宋体" w:cs="宋体"/>
          <w:szCs w:val="24"/>
        </w:rPr>
      </w:pPr>
      <w:r>
        <w:rPr>
          <w:rFonts w:hint="eastAsia" w:ascii="宋体" w:hAnsi="宋体" w:cs="宋体"/>
          <w:szCs w:val="24"/>
        </w:rPr>
        <w:t>3.3.1投标报价文件有效性审查：评标委员会对通过工程实施方案（含资信部分）文件有效性审查的投标文件按本办法附表4《投标报价文件有效性审查表》的评审内容进行</w:t>
      </w:r>
      <w:r>
        <w:rPr>
          <w:rFonts w:hint="eastAsia" w:ascii="宋体" w:hAnsi="宋体" w:cs="宋体"/>
        </w:rPr>
        <w:t>投标报价文件</w:t>
      </w:r>
      <w:r>
        <w:rPr>
          <w:rFonts w:hint="eastAsia" w:ascii="宋体" w:hAnsi="宋体" w:cs="宋体"/>
          <w:szCs w:val="24"/>
        </w:rPr>
        <w:t>有效性审查，经评标委员会认定为无效标书的，其投标文件将被拒绝。如评标委员会成员的评审意见不一致时，以评标委员会过半数成员的意见作为评标委员会对该情形的认定结论。未通过有效性审查的，不得进入下一阶段评审。</w:t>
      </w:r>
    </w:p>
    <w:p>
      <w:pPr>
        <w:spacing w:line="360" w:lineRule="auto"/>
        <w:ind w:firstLine="420" w:firstLineChars="200"/>
        <w:rPr>
          <w:rFonts w:hint="eastAsia" w:ascii="宋体" w:hAnsi="宋体" w:cs="宋体"/>
        </w:rPr>
      </w:pPr>
      <w:r>
        <w:rPr>
          <w:rFonts w:hint="eastAsia" w:ascii="宋体" w:hAnsi="宋体" w:cs="宋体"/>
          <w:szCs w:val="24"/>
        </w:rPr>
        <w:t>3.3.</w:t>
      </w:r>
      <w:r>
        <w:rPr>
          <w:rFonts w:hint="eastAsia" w:ascii="宋体" w:hAnsi="宋体" w:cs="宋体"/>
          <w:szCs w:val="24"/>
          <w:lang w:val="en-US" w:eastAsia="zh-CN"/>
        </w:rPr>
        <w:t>2</w:t>
      </w:r>
      <w:r>
        <w:rPr>
          <w:rFonts w:hint="eastAsia" w:ascii="宋体" w:hAnsi="宋体" w:cs="宋体"/>
          <w:szCs w:val="24"/>
        </w:rPr>
        <w:t>投标报价评分：</w:t>
      </w:r>
      <w:r>
        <w:rPr>
          <w:rFonts w:hint="eastAsia" w:ascii="宋体" w:hAnsi="宋体" w:cs="宋体"/>
        </w:rPr>
        <w:t>①以通过投标文件有效性审查（包括资格审查文件、工程实施方案（含资信部分）文件和</w:t>
      </w:r>
      <w:r>
        <w:rPr>
          <w:rFonts w:hint="eastAsia" w:ascii="宋体" w:hAnsi="宋体" w:cs="宋体"/>
          <w:szCs w:val="24"/>
        </w:rPr>
        <w:t>投标报价</w:t>
      </w:r>
      <w:r>
        <w:rPr>
          <w:rFonts w:hint="eastAsia" w:ascii="宋体" w:hAnsi="宋体" w:cs="宋体"/>
        </w:rPr>
        <w:t>文件）的投标文件报价中，在位于[最高投标限价×90%，最高投标限价]区间的投标价大于三个时，去掉一个最高价和一个最低价后，剩余报价的算术平均值为评标参考价。若位于[最高投标限价×90%，最高投标限价]区间的投标价少于或等于三个，直接取区间中的投标价的算术平均值为评标参考价。若没有投标价位于[最高投标限价×90%，最高投标限价]区间，则由招标人依法重新招标；</w:t>
      </w:r>
    </w:p>
    <w:p>
      <w:pPr>
        <w:spacing w:line="360" w:lineRule="auto"/>
        <w:ind w:firstLine="420" w:firstLineChars="200"/>
        <w:rPr>
          <w:rFonts w:hint="eastAsia" w:ascii="宋体" w:hAnsi="宋体" w:cs="宋体"/>
        </w:rPr>
      </w:pPr>
      <w:r>
        <w:rPr>
          <w:rFonts w:hint="eastAsia" w:ascii="宋体" w:hAnsi="宋体" w:cs="宋体"/>
        </w:rPr>
        <w:t>②投标报价等于评标参考价时得100分，投标价每高于评标参考价1%，扣</w:t>
      </w:r>
      <w:r>
        <w:rPr>
          <w:rFonts w:hint="eastAsia" w:ascii="宋体" w:hAnsi="宋体" w:cs="宋体"/>
          <w:lang w:val="en-US" w:eastAsia="zh-CN"/>
        </w:rPr>
        <w:t>3</w:t>
      </w:r>
      <w:r>
        <w:rPr>
          <w:rFonts w:hint="eastAsia" w:ascii="宋体" w:hAnsi="宋体" w:cs="宋体"/>
        </w:rPr>
        <w:t>分，每低于评标参考价1%，扣</w:t>
      </w:r>
      <w:r>
        <w:rPr>
          <w:rFonts w:hint="eastAsia" w:ascii="宋体" w:hAnsi="宋体" w:cs="宋体"/>
          <w:lang w:val="en-US" w:eastAsia="zh-CN"/>
        </w:rPr>
        <w:t>1.5</w:t>
      </w:r>
      <w:r>
        <w:rPr>
          <w:rFonts w:hint="eastAsia" w:ascii="宋体" w:hAnsi="宋体" w:cs="宋体"/>
        </w:rPr>
        <w:t>分，扣至0分为止，得出的投标报价得分乘以</w:t>
      </w:r>
      <w:r>
        <w:rPr>
          <w:rFonts w:hint="eastAsia" w:ascii="宋体" w:hAnsi="宋体" w:cs="宋体"/>
          <w:lang w:val="en-US" w:eastAsia="zh-CN"/>
        </w:rPr>
        <w:t>40</w:t>
      </w:r>
      <w:r>
        <w:rPr>
          <w:rFonts w:hint="eastAsia" w:ascii="宋体" w:hAnsi="宋体" w:cs="宋体"/>
        </w:rPr>
        <w:t>%作为最终</w:t>
      </w:r>
      <w:r>
        <w:rPr>
          <w:rFonts w:hint="eastAsia" w:ascii="宋体" w:hAnsi="宋体" w:cs="宋体"/>
          <w:szCs w:val="24"/>
        </w:rPr>
        <w:t>投标报价</w:t>
      </w:r>
      <w:r>
        <w:rPr>
          <w:rFonts w:hint="eastAsia" w:ascii="宋体" w:hAnsi="宋体" w:cs="宋体"/>
        </w:rPr>
        <w:t>文件得分，精确到小数点后两位，第三位小数四舍五入。</w:t>
      </w:r>
    </w:p>
    <w:p>
      <w:pPr>
        <w:pStyle w:val="5"/>
        <w:keepNext w:val="0"/>
        <w:keepLines w:val="0"/>
        <w:spacing w:before="0" w:after="0" w:line="360" w:lineRule="auto"/>
        <w:ind w:firstLine="560" w:firstLineChars="200"/>
        <w:rPr>
          <w:rFonts w:ascii="宋体" w:eastAsia="宋体"/>
        </w:rPr>
      </w:pPr>
      <w:bookmarkStart w:id="974" w:name="_Toc436834193"/>
      <w:bookmarkStart w:id="975" w:name="_Toc23723"/>
      <w:bookmarkStart w:id="976" w:name="_Toc10879"/>
      <w:bookmarkStart w:id="977" w:name="_Toc10214"/>
      <w:bookmarkStart w:id="978" w:name="_Toc436834786"/>
      <w:bookmarkStart w:id="979" w:name="_Toc494371578"/>
      <w:bookmarkStart w:id="980" w:name="_Toc27882"/>
      <w:r>
        <w:rPr>
          <w:rFonts w:hint="default" w:ascii="宋体" w:eastAsia="宋体"/>
        </w:rPr>
        <w:t>3.</w:t>
      </w:r>
      <w:r>
        <w:rPr>
          <w:rFonts w:hint="eastAsia" w:ascii="宋体" w:eastAsia="宋体"/>
          <w:lang w:val="en-US" w:eastAsia="zh-CN"/>
        </w:rPr>
        <w:t>4</w:t>
      </w:r>
      <w:r>
        <w:rPr>
          <w:rFonts w:hint="default" w:ascii="宋体" w:eastAsia="宋体"/>
        </w:rPr>
        <w:t>评审汇总</w:t>
      </w:r>
      <w:bookmarkEnd w:id="974"/>
      <w:bookmarkEnd w:id="975"/>
      <w:bookmarkEnd w:id="976"/>
      <w:bookmarkEnd w:id="977"/>
      <w:bookmarkEnd w:id="978"/>
      <w:bookmarkEnd w:id="979"/>
      <w:bookmarkEnd w:id="980"/>
    </w:p>
    <w:p>
      <w:pPr>
        <w:spacing w:line="360" w:lineRule="auto"/>
        <w:ind w:firstLine="420" w:firstLineChars="200"/>
        <w:rPr>
          <w:rFonts w:hint="eastAsia" w:ascii="宋体" w:hAnsi="宋体" w:cs="宋体"/>
          <w:szCs w:val="24"/>
        </w:rPr>
      </w:pPr>
      <w:r>
        <w:rPr>
          <w:rFonts w:hint="eastAsia" w:ascii="宋体" w:hAnsi="宋体" w:cs="宋体"/>
          <w:szCs w:val="24"/>
        </w:rPr>
        <w:t>3.5.1投标人总得分满分为100分，总分权重分配见:评标办法前附表。</w:t>
      </w:r>
    </w:p>
    <w:p>
      <w:pPr>
        <w:spacing w:line="360" w:lineRule="auto"/>
        <w:ind w:firstLine="420" w:firstLineChars="200"/>
        <w:rPr>
          <w:rFonts w:hint="eastAsia" w:ascii="宋体" w:hAnsi="宋体" w:cs="宋体"/>
        </w:rPr>
      </w:pPr>
      <w:r>
        <w:rPr>
          <w:rFonts w:hint="eastAsia" w:ascii="宋体" w:hAnsi="宋体" w:cs="宋体"/>
          <w:szCs w:val="24"/>
        </w:rPr>
        <w:t>3.5.</w:t>
      </w:r>
      <w:r>
        <w:rPr>
          <w:rFonts w:hint="eastAsia" w:ascii="宋体" w:hAnsi="宋体" w:cs="宋体"/>
        </w:rPr>
        <w:t>2评评标委员会按照“评标办法前附表”所述公式，计算各有效投标文件的总分，并按照总分从高到低排列先后次序。如存在相同情况，则对具有相同情况的投标人，按中标候选人数量规定，由评标委员会采用记名投票方式，确定中标候选人的排序。评标委员会应按排序先后，在招标文件有效的投标人中，向招标人推荐前3名投标人依次为第一中标候选人至第三中标候选人，并编写评标报告。</w:t>
      </w:r>
    </w:p>
    <w:bookmarkEnd w:id="960"/>
    <w:bookmarkEnd w:id="961"/>
    <w:bookmarkEnd w:id="962"/>
    <w:bookmarkEnd w:id="963"/>
    <w:bookmarkEnd w:id="964"/>
    <w:bookmarkEnd w:id="965"/>
    <w:bookmarkEnd w:id="966"/>
    <w:p>
      <w:pPr>
        <w:pStyle w:val="5"/>
        <w:keepNext w:val="0"/>
        <w:keepLines w:val="0"/>
        <w:spacing w:before="0" w:after="0" w:line="360" w:lineRule="auto"/>
        <w:ind w:firstLine="560" w:firstLineChars="200"/>
        <w:rPr>
          <w:rFonts w:ascii="宋体" w:eastAsia="宋体"/>
        </w:rPr>
      </w:pPr>
      <w:bookmarkStart w:id="981" w:name="_Toc11454"/>
      <w:bookmarkStart w:id="982" w:name="_Toc436834787"/>
      <w:bookmarkStart w:id="983" w:name="_Toc436834194"/>
      <w:bookmarkStart w:id="984" w:name="_Toc28563"/>
      <w:bookmarkStart w:id="985" w:name="_Toc4315"/>
      <w:bookmarkStart w:id="986" w:name="_Toc5720"/>
      <w:bookmarkStart w:id="987" w:name="_Toc494371579"/>
      <w:bookmarkStart w:id="988" w:name="_Toc399165441"/>
      <w:r>
        <w:rPr>
          <w:rFonts w:ascii="宋体" w:eastAsia="宋体"/>
        </w:rPr>
        <w:t>3.</w:t>
      </w:r>
      <w:r>
        <w:rPr>
          <w:rFonts w:hint="eastAsia" w:ascii="宋体" w:eastAsia="宋体"/>
          <w:lang w:val="en-US" w:eastAsia="zh-CN"/>
        </w:rPr>
        <w:t>5</w:t>
      </w:r>
      <w:r>
        <w:rPr>
          <w:rFonts w:ascii="宋体" w:eastAsia="宋体"/>
        </w:rPr>
        <w:t>投标文件的澄清和补正</w:t>
      </w:r>
      <w:bookmarkEnd w:id="981"/>
      <w:bookmarkEnd w:id="982"/>
      <w:bookmarkEnd w:id="983"/>
      <w:bookmarkEnd w:id="984"/>
      <w:bookmarkEnd w:id="985"/>
      <w:bookmarkEnd w:id="986"/>
      <w:bookmarkEnd w:id="987"/>
    </w:p>
    <w:p>
      <w:pPr>
        <w:spacing w:line="360" w:lineRule="auto"/>
        <w:ind w:firstLine="420" w:firstLineChars="200"/>
        <w:rPr>
          <w:rFonts w:hint="eastAsia" w:ascii="宋体" w:hAnsi="宋体" w:cs="宋体"/>
        </w:rPr>
      </w:pPr>
      <w:r>
        <w:rPr>
          <w:rFonts w:hint="eastAsia" w:ascii="宋体" w:hAnsi="宋体" w:cs="宋体"/>
        </w:rPr>
        <w:t>3.6.1为有助于投标文件的审查、评价和比较，评标期间，经评标委员会中两人以上（含两人）的成员以书面形式提出动议，评标委员会应当书面发出澄清通知，要求投标人对投标文件含义不明确的内容作出澄清。</w:t>
      </w:r>
    </w:p>
    <w:p>
      <w:pPr>
        <w:spacing w:line="360" w:lineRule="auto"/>
        <w:ind w:firstLine="420" w:firstLineChars="200"/>
        <w:rPr>
          <w:rFonts w:hint="eastAsia" w:ascii="宋体" w:hAnsi="宋体" w:cs="宋体"/>
        </w:rPr>
      </w:pPr>
      <w:r>
        <w:rPr>
          <w:rFonts w:hint="eastAsia" w:ascii="宋体" w:hAnsi="宋体" w:cs="宋体"/>
        </w:rPr>
        <w:t>3.6.2 投标人应以书面形式进行澄清，澄清中的承诺性意思表示在投标文件有效期内均对投标人有约束力。澄清不得超出投标文件的范围或改变投标文件的实质性内容，超出部分不作为评标委员会相应评审的依据。</w:t>
      </w:r>
    </w:p>
    <w:p>
      <w:pPr>
        <w:spacing w:line="360" w:lineRule="auto"/>
        <w:ind w:firstLine="420" w:firstLineChars="200"/>
        <w:rPr>
          <w:rFonts w:hint="eastAsia" w:ascii="宋体" w:hAnsi="宋体" w:cs="宋体"/>
        </w:rPr>
      </w:pPr>
      <w:r>
        <w:rPr>
          <w:rFonts w:hint="eastAsia" w:ascii="宋体" w:hAnsi="宋体" w:cs="宋体"/>
        </w:rPr>
        <w:t>3.6.3 评标委员会成员均应当阅读投标人的澄清，但应独立参考澄清对投标文件进行评审。</w:t>
      </w:r>
    </w:p>
    <w:p>
      <w:pPr>
        <w:spacing w:line="360" w:lineRule="auto"/>
        <w:ind w:firstLine="420" w:firstLineChars="200"/>
        <w:rPr>
          <w:rFonts w:hint="eastAsia" w:ascii="宋体" w:hAnsi="宋体" w:cs="宋体"/>
        </w:rPr>
      </w:pPr>
      <w:r>
        <w:rPr>
          <w:rFonts w:hint="eastAsia" w:ascii="宋体" w:hAnsi="宋体" w:cs="宋体"/>
        </w:rPr>
        <w:t>3.6.4如果投标文件实质上不响应招标文件的各项要求，评标委员会相应评审将按照有效性审查标准予以拒绝，不接受投标人通过修改或撤销其不符合要求的差异或保留，使之成为具有响应性的投标。</w:t>
      </w:r>
    </w:p>
    <w:p>
      <w:pPr>
        <w:pStyle w:val="5"/>
        <w:keepNext w:val="0"/>
        <w:keepLines w:val="0"/>
        <w:spacing w:before="0" w:after="0" w:line="360" w:lineRule="auto"/>
        <w:ind w:firstLine="560" w:firstLineChars="200"/>
        <w:rPr>
          <w:rFonts w:ascii="宋体" w:eastAsia="宋体"/>
        </w:rPr>
      </w:pPr>
      <w:bookmarkStart w:id="989" w:name="_Toc494371580"/>
      <w:bookmarkStart w:id="990" w:name="_Toc15072"/>
      <w:bookmarkStart w:id="991" w:name="_Toc30749"/>
      <w:bookmarkStart w:id="992" w:name="_Toc436834788"/>
      <w:bookmarkStart w:id="993" w:name="_Toc17293"/>
      <w:bookmarkStart w:id="994" w:name="_Toc4464"/>
      <w:bookmarkStart w:id="995" w:name="_Toc436834195"/>
      <w:r>
        <w:rPr>
          <w:rFonts w:ascii="宋体" w:eastAsia="宋体"/>
        </w:rPr>
        <w:t>3.</w:t>
      </w:r>
      <w:r>
        <w:rPr>
          <w:rFonts w:hint="eastAsia" w:ascii="宋体" w:eastAsia="宋体"/>
          <w:lang w:val="en-US" w:eastAsia="zh-CN"/>
        </w:rPr>
        <w:t>6</w:t>
      </w:r>
      <w:r>
        <w:rPr>
          <w:rFonts w:ascii="宋体" w:eastAsia="宋体"/>
        </w:rPr>
        <w:t>评标结果</w:t>
      </w:r>
      <w:bookmarkEnd w:id="989"/>
      <w:bookmarkEnd w:id="990"/>
      <w:bookmarkEnd w:id="991"/>
      <w:bookmarkEnd w:id="992"/>
      <w:bookmarkEnd w:id="993"/>
      <w:bookmarkEnd w:id="994"/>
      <w:bookmarkEnd w:id="995"/>
    </w:p>
    <w:p>
      <w:pPr>
        <w:spacing w:line="360" w:lineRule="auto"/>
        <w:ind w:firstLine="420" w:firstLineChars="200"/>
        <w:rPr>
          <w:rFonts w:hint="eastAsia" w:ascii="宋体" w:hAnsi="宋体" w:cs="宋体"/>
        </w:rPr>
      </w:pPr>
      <w:bookmarkStart w:id="996" w:name="_Toc436834789"/>
      <w:bookmarkStart w:id="997" w:name="_Toc436834196"/>
      <w:r>
        <w:rPr>
          <w:rFonts w:hint="eastAsia" w:ascii="宋体" w:hAnsi="宋体" w:cs="宋体"/>
          <w:szCs w:val="24"/>
        </w:rPr>
        <w:t>评标委员会应按排序先后，在招标文件有效的投标人中，向招标人推荐投标人总得分前3名投标人依次为第一中标候选人至第三中标候选人。</w:t>
      </w:r>
    </w:p>
    <w:p>
      <w:pPr>
        <w:pStyle w:val="4"/>
        <w:spacing w:before="0" w:after="0" w:line="360" w:lineRule="auto"/>
        <w:ind w:firstLine="643" w:firstLineChars="200"/>
        <w:rPr>
          <w:rFonts w:ascii="宋体" w:hAnsi="宋体" w:eastAsia="宋体"/>
        </w:rPr>
      </w:pPr>
      <w:bookmarkStart w:id="998" w:name="_Toc494371581"/>
      <w:bookmarkStart w:id="999" w:name="_Toc23502"/>
      <w:bookmarkStart w:id="1000" w:name="_Toc25035"/>
      <w:bookmarkStart w:id="1001" w:name="_Toc19275"/>
      <w:bookmarkStart w:id="1002" w:name="_Toc28901"/>
      <w:bookmarkStart w:id="1003" w:name="_Toc5262"/>
      <w:bookmarkStart w:id="1004" w:name="_Toc28257"/>
      <w:bookmarkStart w:id="1005" w:name="_Toc18452"/>
      <w:r>
        <w:rPr>
          <w:rFonts w:ascii="宋体" w:hAnsi="宋体" w:eastAsia="宋体"/>
        </w:rPr>
        <w:t xml:space="preserve">4. </w:t>
      </w:r>
      <w:r>
        <w:rPr>
          <w:rFonts w:hint="default" w:ascii="宋体" w:hAnsi="宋体" w:eastAsia="宋体"/>
        </w:rPr>
        <w:t>评标表格</w:t>
      </w:r>
      <w:bookmarkEnd w:id="988"/>
      <w:bookmarkEnd w:id="996"/>
      <w:bookmarkEnd w:id="997"/>
      <w:bookmarkEnd w:id="998"/>
      <w:bookmarkEnd w:id="999"/>
      <w:bookmarkEnd w:id="1000"/>
      <w:bookmarkEnd w:id="1001"/>
      <w:bookmarkEnd w:id="1002"/>
      <w:bookmarkEnd w:id="1003"/>
      <w:bookmarkEnd w:id="1004"/>
      <w:bookmarkEnd w:id="1005"/>
    </w:p>
    <w:p>
      <w:pPr>
        <w:spacing w:line="400" w:lineRule="exact"/>
        <w:ind w:firstLine="420" w:firstLineChars="200"/>
        <w:rPr>
          <w:rFonts w:ascii="宋体" w:hAnsi="宋体"/>
        </w:rPr>
      </w:pPr>
      <w:r>
        <w:rPr>
          <w:rFonts w:hint="eastAsia" w:ascii="宋体" w:hAnsi="宋体"/>
        </w:rPr>
        <w:t>见后附。</w:t>
      </w:r>
    </w:p>
    <w:p>
      <w:pPr>
        <w:spacing w:line="400" w:lineRule="exact"/>
        <w:rPr>
          <w:rFonts w:ascii="宋体" w:hAnsi="宋体"/>
          <w:b/>
          <w:sz w:val="28"/>
          <w:szCs w:val="28"/>
        </w:rPr>
      </w:pPr>
      <w:r>
        <w:rPr>
          <w:rFonts w:ascii="宋体" w:hAnsi="宋体"/>
        </w:rPr>
        <w:br w:type="page"/>
      </w:r>
      <w:r>
        <w:rPr>
          <w:rFonts w:hint="eastAsia" w:ascii="宋体" w:hAnsi="宋体"/>
          <w:b/>
          <w:sz w:val="28"/>
          <w:szCs w:val="28"/>
        </w:rPr>
        <w:t>附表</w:t>
      </w:r>
      <w:r>
        <w:rPr>
          <w:rFonts w:ascii="宋体" w:hAnsi="宋体"/>
          <w:b/>
          <w:sz w:val="28"/>
          <w:szCs w:val="28"/>
        </w:rPr>
        <w:t xml:space="preserve">1： </w:t>
      </w:r>
    </w:p>
    <w:p>
      <w:pPr>
        <w:jc w:val="center"/>
        <w:rPr>
          <w:rFonts w:ascii="宋体" w:hAnsi="宋体"/>
          <w:b/>
          <w:sz w:val="32"/>
          <w:szCs w:val="32"/>
        </w:rPr>
      </w:pPr>
      <w:r>
        <w:rPr>
          <w:rFonts w:hint="eastAsia" w:ascii="宋体" w:hAnsi="宋体"/>
          <w:b/>
          <w:sz w:val="32"/>
          <w:szCs w:val="32"/>
        </w:rPr>
        <w:t>资格审查表</w:t>
      </w:r>
    </w:p>
    <w:p>
      <w:pPr>
        <w:rPr>
          <w:rFonts w:ascii="宋体" w:hAnsi="宋体"/>
        </w:rPr>
      </w:pPr>
      <w:r>
        <w:rPr>
          <w:rFonts w:hint="eastAsia" w:ascii="宋体" w:hAnsi="宋体"/>
        </w:rPr>
        <w:t>工程名称：</w:t>
      </w:r>
    </w:p>
    <w:p>
      <w:pPr>
        <w:rPr>
          <w:rFonts w:ascii="宋体" w:hAnsi="宋体"/>
        </w:rPr>
      </w:pPr>
    </w:p>
    <w:tbl>
      <w:tblPr>
        <w:tblStyle w:val="40"/>
        <w:tblW w:w="94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7"/>
        <w:gridCol w:w="5146"/>
        <w:gridCol w:w="1261"/>
        <w:gridCol w:w="1262"/>
        <w:gridCol w:w="12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widowControl/>
              <w:snapToGrid w:val="0"/>
              <w:ind w:right="102"/>
              <w:jc w:val="center"/>
              <w:rPr>
                <w:rFonts w:ascii="宋体" w:hAnsi="宋体"/>
              </w:rPr>
            </w:pPr>
            <w:r>
              <w:rPr>
                <w:rFonts w:hint="eastAsia" w:ascii="宋体" w:hAnsi="宋体"/>
              </w:rPr>
              <w:t>序号</w:t>
            </w:r>
          </w:p>
        </w:tc>
        <w:tc>
          <w:tcPr>
            <w:tcW w:w="5146" w:type="dxa"/>
            <w:tcBorders>
              <w:top w:val="single" w:color="auto" w:sz="4" w:space="0"/>
              <w:left w:val="single" w:color="auto" w:sz="4" w:space="0"/>
              <w:bottom w:val="single" w:color="auto" w:sz="4" w:space="0"/>
              <w:right w:val="single" w:color="auto" w:sz="4" w:space="0"/>
              <w:tl2br w:val="single" w:color="auto" w:sz="4" w:space="0"/>
            </w:tcBorders>
            <w:vAlign w:val="center"/>
          </w:tcPr>
          <w:p>
            <w:pPr>
              <w:widowControl/>
              <w:snapToGrid w:val="0"/>
              <w:ind w:right="102"/>
              <w:jc w:val="right"/>
              <w:rPr>
                <w:rFonts w:ascii="宋体" w:hAnsi="宋体"/>
              </w:rPr>
            </w:pPr>
            <w:r>
              <w:rPr>
                <w:rFonts w:hint="eastAsia" w:ascii="宋体" w:hAnsi="宋体"/>
              </w:rPr>
              <w:t>投标人</w:t>
            </w:r>
          </w:p>
          <w:p>
            <w:pPr>
              <w:widowControl/>
              <w:snapToGrid w:val="0"/>
              <w:ind w:right="102"/>
              <w:jc w:val="left"/>
              <w:rPr>
                <w:rFonts w:ascii="宋体" w:hAnsi="宋体"/>
              </w:rPr>
            </w:pPr>
            <w:r>
              <w:rPr>
                <w:rFonts w:hint="eastAsia" w:ascii="宋体" w:hAnsi="宋体"/>
              </w:rPr>
              <w:t>审查项目</w:t>
            </w:r>
          </w:p>
        </w:tc>
        <w:tc>
          <w:tcPr>
            <w:tcW w:w="1261" w:type="dxa"/>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rPr>
            </w:pPr>
          </w:p>
        </w:tc>
        <w:tc>
          <w:tcPr>
            <w:tcW w:w="1262" w:type="dxa"/>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rPr>
            </w:pPr>
          </w:p>
        </w:tc>
        <w:tc>
          <w:tcPr>
            <w:tcW w:w="1262" w:type="dxa"/>
            <w:tcBorders>
              <w:top w:val="single" w:color="auto" w:sz="4" w:space="0"/>
              <w:left w:val="single" w:color="auto" w:sz="4" w:space="0"/>
              <w:bottom w:val="single" w:color="auto" w:sz="4" w:space="0"/>
              <w:right w:val="single" w:color="auto" w:sz="4" w:space="0"/>
            </w:tcBorders>
            <w:vAlign w:val="center"/>
          </w:tcPr>
          <w:p>
            <w:pPr>
              <w:widowControl/>
              <w:snapToGrid w:val="0"/>
              <w:ind w:right="-85"/>
              <w:jc w:val="left"/>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widowControl/>
              <w:snapToGrid w:val="0"/>
              <w:ind w:right="102"/>
              <w:jc w:val="center"/>
              <w:rPr>
                <w:rFonts w:ascii="宋体" w:hAnsi="宋体"/>
              </w:rPr>
            </w:pPr>
            <w:r>
              <w:rPr>
                <w:rFonts w:ascii="宋体" w:hAnsi="宋体"/>
              </w:rPr>
              <w:t>1</w:t>
            </w:r>
          </w:p>
        </w:tc>
        <w:tc>
          <w:tcPr>
            <w:tcW w:w="5146" w:type="dxa"/>
            <w:tcBorders>
              <w:top w:val="single" w:color="auto" w:sz="4" w:space="0"/>
              <w:left w:val="single" w:color="auto" w:sz="4" w:space="0"/>
              <w:bottom w:val="single" w:color="auto" w:sz="4" w:space="0"/>
              <w:right w:val="single" w:color="auto" w:sz="4" w:space="0"/>
            </w:tcBorders>
            <w:vAlign w:val="center"/>
          </w:tcPr>
          <w:p>
            <w:pPr>
              <w:widowControl/>
              <w:snapToGrid w:val="0"/>
              <w:ind w:right="-3"/>
              <w:jc w:val="left"/>
              <w:rPr>
                <w:rFonts w:ascii="宋体" w:hAnsi="宋体"/>
              </w:rPr>
            </w:pPr>
            <w:r>
              <w:rPr>
                <w:rFonts w:hint="eastAsia" w:ascii="宋体" w:hAnsi="宋体"/>
              </w:rPr>
              <w:t>投标人参加投标的意思表达清楚，投标人代表被授权有效；</w:t>
            </w:r>
          </w:p>
        </w:tc>
        <w:tc>
          <w:tcPr>
            <w:tcW w:w="1261" w:type="dxa"/>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rPr>
            </w:pPr>
          </w:p>
        </w:tc>
        <w:tc>
          <w:tcPr>
            <w:tcW w:w="1262" w:type="dxa"/>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rPr>
            </w:pPr>
          </w:p>
        </w:tc>
        <w:tc>
          <w:tcPr>
            <w:tcW w:w="1262" w:type="dxa"/>
            <w:tcBorders>
              <w:top w:val="single" w:color="auto" w:sz="4" w:space="0"/>
              <w:left w:val="single" w:color="auto" w:sz="4" w:space="0"/>
              <w:bottom w:val="single" w:color="auto" w:sz="4" w:space="0"/>
              <w:right w:val="single" w:color="auto" w:sz="4" w:space="0"/>
            </w:tcBorders>
            <w:vAlign w:val="center"/>
          </w:tcPr>
          <w:p>
            <w:pPr>
              <w:widowControl/>
              <w:snapToGrid w:val="0"/>
              <w:ind w:right="102"/>
              <w:jc w:val="left"/>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widowControl/>
              <w:snapToGrid w:val="0"/>
              <w:ind w:right="102"/>
              <w:jc w:val="center"/>
              <w:rPr>
                <w:rFonts w:ascii="宋体" w:hAnsi="宋体"/>
              </w:rPr>
            </w:pPr>
            <w:r>
              <w:rPr>
                <w:rFonts w:ascii="宋体" w:hAnsi="宋体"/>
              </w:rPr>
              <w:t>2</w:t>
            </w:r>
          </w:p>
        </w:tc>
        <w:tc>
          <w:tcPr>
            <w:tcW w:w="5146" w:type="dxa"/>
            <w:tcBorders>
              <w:top w:val="single" w:color="auto" w:sz="4" w:space="0"/>
              <w:left w:val="single" w:color="auto" w:sz="4" w:space="0"/>
              <w:bottom w:val="single" w:color="auto" w:sz="4" w:space="0"/>
              <w:right w:val="single" w:color="auto" w:sz="4" w:space="0"/>
            </w:tcBorders>
            <w:vAlign w:val="center"/>
          </w:tcPr>
          <w:p>
            <w:pPr>
              <w:widowControl/>
              <w:snapToGrid w:val="0"/>
              <w:ind w:right="-3"/>
              <w:jc w:val="left"/>
              <w:rPr>
                <w:rFonts w:ascii="宋体" w:hAnsi="宋体"/>
              </w:rPr>
            </w:pPr>
            <w:r>
              <w:rPr>
                <w:rFonts w:hint="eastAsia" w:ascii="宋体" w:hAnsi="宋体" w:cs="宋体"/>
                <w:kern w:val="0"/>
                <w:szCs w:val="21"/>
              </w:rPr>
              <w:t>投标人均具有独立法人资格，按国家法律经营。</w:t>
            </w:r>
          </w:p>
        </w:tc>
        <w:tc>
          <w:tcPr>
            <w:tcW w:w="1261" w:type="dxa"/>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rPr>
            </w:pPr>
          </w:p>
        </w:tc>
        <w:tc>
          <w:tcPr>
            <w:tcW w:w="1262" w:type="dxa"/>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rPr>
            </w:pPr>
          </w:p>
        </w:tc>
        <w:tc>
          <w:tcPr>
            <w:tcW w:w="1262" w:type="dxa"/>
            <w:tcBorders>
              <w:top w:val="single" w:color="auto" w:sz="4" w:space="0"/>
              <w:left w:val="single" w:color="auto" w:sz="4" w:space="0"/>
              <w:bottom w:val="single" w:color="auto" w:sz="4" w:space="0"/>
              <w:right w:val="single" w:color="auto" w:sz="4" w:space="0"/>
            </w:tcBorders>
            <w:vAlign w:val="center"/>
          </w:tcPr>
          <w:p>
            <w:pPr>
              <w:widowControl/>
              <w:snapToGrid w:val="0"/>
              <w:ind w:right="102"/>
              <w:jc w:val="left"/>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widowControl/>
              <w:snapToGrid w:val="0"/>
              <w:ind w:right="102"/>
              <w:jc w:val="center"/>
              <w:rPr>
                <w:rFonts w:ascii="宋体" w:hAnsi="宋体"/>
              </w:rPr>
            </w:pPr>
            <w:r>
              <w:rPr>
                <w:rFonts w:ascii="宋体" w:hAnsi="宋体"/>
              </w:rPr>
              <w:t>3</w:t>
            </w:r>
          </w:p>
        </w:tc>
        <w:tc>
          <w:tcPr>
            <w:tcW w:w="5146" w:type="dxa"/>
            <w:tcBorders>
              <w:top w:val="single" w:color="auto" w:sz="4" w:space="0"/>
              <w:left w:val="single" w:color="auto" w:sz="4" w:space="0"/>
              <w:bottom w:val="single" w:color="auto" w:sz="4" w:space="0"/>
              <w:right w:val="single" w:color="auto" w:sz="4" w:space="0"/>
            </w:tcBorders>
            <w:vAlign w:val="center"/>
          </w:tcPr>
          <w:p>
            <w:pPr>
              <w:widowControl/>
              <w:snapToGrid w:val="0"/>
              <w:ind w:right="-3"/>
              <w:jc w:val="left"/>
              <w:rPr>
                <w:rFonts w:ascii="宋体" w:hAnsi="宋体"/>
              </w:rPr>
            </w:pPr>
            <w:r>
              <w:rPr>
                <w:rFonts w:hint="eastAsia" w:ascii="宋体" w:hAnsi="宋体" w:cs="宋体"/>
                <w:kern w:val="0"/>
                <w:szCs w:val="21"/>
              </w:rPr>
              <w:t>投标人持有有效的建设行政主管部门颁发的安全生产许可证。</w:t>
            </w:r>
          </w:p>
        </w:tc>
        <w:tc>
          <w:tcPr>
            <w:tcW w:w="1261" w:type="dxa"/>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rPr>
            </w:pPr>
          </w:p>
        </w:tc>
        <w:tc>
          <w:tcPr>
            <w:tcW w:w="1262" w:type="dxa"/>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rPr>
            </w:pPr>
          </w:p>
        </w:tc>
        <w:tc>
          <w:tcPr>
            <w:tcW w:w="1262" w:type="dxa"/>
            <w:tcBorders>
              <w:top w:val="single" w:color="auto" w:sz="4" w:space="0"/>
              <w:left w:val="single" w:color="auto" w:sz="4" w:space="0"/>
              <w:bottom w:val="single" w:color="auto" w:sz="4" w:space="0"/>
              <w:right w:val="single" w:color="auto" w:sz="4" w:space="0"/>
            </w:tcBorders>
            <w:vAlign w:val="center"/>
          </w:tcPr>
          <w:p>
            <w:pPr>
              <w:widowControl/>
              <w:snapToGrid w:val="0"/>
              <w:ind w:right="102"/>
              <w:jc w:val="left"/>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widowControl/>
              <w:snapToGrid w:val="0"/>
              <w:ind w:right="102"/>
              <w:jc w:val="center"/>
              <w:rPr>
                <w:rFonts w:ascii="宋体" w:hAnsi="宋体"/>
              </w:rPr>
            </w:pPr>
            <w:r>
              <w:rPr>
                <w:rFonts w:ascii="宋体" w:hAnsi="宋体"/>
              </w:rPr>
              <w:t>4</w:t>
            </w:r>
          </w:p>
        </w:tc>
        <w:tc>
          <w:tcPr>
            <w:tcW w:w="5146" w:type="dxa"/>
            <w:tcBorders>
              <w:top w:val="single" w:color="auto" w:sz="4" w:space="0"/>
              <w:left w:val="single" w:color="auto" w:sz="4" w:space="0"/>
              <w:bottom w:val="single" w:color="auto" w:sz="4" w:space="0"/>
              <w:right w:val="single" w:color="auto" w:sz="4" w:space="0"/>
            </w:tcBorders>
            <w:vAlign w:val="center"/>
          </w:tcPr>
          <w:p>
            <w:pPr>
              <w:widowControl/>
              <w:snapToGrid w:val="0"/>
              <w:ind w:right="-3"/>
              <w:jc w:val="left"/>
              <w:rPr>
                <w:rFonts w:ascii="宋体" w:hAnsi="宋体"/>
              </w:rPr>
            </w:pPr>
            <w:r>
              <w:rPr>
                <w:rFonts w:hint="eastAsia" w:ascii="宋体" w:hAnsi="宋体" w:cs="宋体"/>
                <w:kern w:val="0"/>
                <w:szCs w:val="21"/>
              </w:rPr>
              <w:t>投标人资质符合本项目招标公告要求。</w:t>
            </w:r>
          </w:p>
        </w:tc>
        <w:tc>
          <w:tcPr>
            <w:tcW w:w="1261" w:type="dxa"/>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rPr>
            </w:pPr>
          </w:p>
        </w:tc>
        <w:tc>
          <w:tcPr>
            <w:tcW w:w="1262" w:type="dxa"/>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rPr>
            </w:pPr>
          </w:p>
        </w:tc>
        <w:tc>
          <w:tcPr>
            <w:tcW w:w="1262" w:type="dxa"/>
            <w:tcBorders>
              <w:top w:val="single" w:color="auto" w:sz="4" w:space="0"/>
              <w:left w:val="single" w:color="auto" w:sz="4" w:space="0"/>
              <w:bottom w:val="single" w:color="auto" w:sz="4" w:space="0"/>
              <w:right w:val="single" w:color="auto" w:sz="4" w:space="0"/>
            </w:tcBorders>
            <w:vAlign w:val="center"/>
          </w:tcPr>
          <w:p>
            <w:pPr>
              <w:widowControl/>
              <w:snapToGrid w:val="0"/>
              <w:ind w:right="102"/>
              <w:jc w:val="left"/>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567" w:type="dxa"/>
            <w:tcBorders>
              <w:top w:val="single" w:color="auto" w:sz="4" w:space="0"/>
              <w:left w:val="single" w:color="auto" w:sz="4" w:space="0"/>
              <w:bottom w:val="single" w:color="auto" w:sz="4" w:space="0"/>
              <w:right w:val="single" w:color="auto" w:sz="4" w:space="0"/>
            </w:tcBorders>
            <w:vAlign w:val="center"/>
          </w:tcPr>
          <w:p>
            <w:pPr>
              <w:widowControl/>
              <w:snapToGrid w:val="0"/>
              <w:ind w:right="-3"/>
              <w:jc w:val="center"/>
              <w:rPr>
                <w:rFonts w:ascii="宋体" w:hAnsi="宋体"/>
              </w:rPr>
            </w:pPr>
            <w:r>
              <w:rPr>
                <w:rFonts w:ascii="宋体" w:hAnsi="宋体"/>
              </w:rPr>
              <w:t>5</w:t>
            </w:r>
          </w:p>
        </w:tc>
        <w:tc>
          <w:tcPr>
            <w:tcW w:w="5146" w:type="dxa"/>
            <w:tcBorders>
              <w:top w:val="single" w:color="auto" w:sz="4" w:space="0"/>
              <w:left w:val="single" w:color="auto" w:sz="4" w:space="0"/>
              <w:bottom w:val="single" w:color="auto" w:sz="4" w:space="0"/>
              <w:right w:val="single" w:color="auto" w:sz="4" w:space="0"/>
            </w:tcBorders>
            <w:vAlign w:val="center"/>
          </w:tcPr>
          <w:p>
            <w:pPr>
              <w:widowControl/>
              <w:snapToGrid w:val="0"/>
              <w:ind w:right="-3"/>
              <w:jc w:val="left"/>
              <w:rPr>
                <w:rFonts w:ascii="宋体" w:hAnsi="宋体"/>
                <w:u w:val="single"/>
              </w:rPr>
            </w:pPr>
            <w:r>
              <w:rPr>
                <w:rFonts w:hint="eastAsia" w:ascii="宋体" w:hAnsi="宋体" w:cs="宋体"/>
                <w:kern w:val="0"/>
                <w:szCs w:val="21"/>
              </w:rPr>
              <w:t>施工负责人（兼任项目负责人）符合本项目招标公告要求。</w:t>
            </w:r>
          </w:p>
        </w:tc>
        <w:tc>
          <w:tcPr>
            <w:tcW w:w="1261" w:type="dxa"/>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rPr>
            </w:pPr>
          </w:p>
        </w:tc>
        <w:tc>
          <w:tcPr>
            <w:tcW w:w="1262" w:type="dxa"/>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rPr>
            </w:pPr>
          </w:p>
        </w:tc>
        <w:tc>
          <w:tcPr>
            <w:tcW w:w="1262" w:type="dxa"/>
            <w:tcBorders>
              <w:top w:val="single" w:color="auto" w:sz="4" w:space="0"/>
              <w:left w:val="single" w:color="auto" w:sz="4" w:space="0"/>
              <w:bottom w:val="single" w:color="auto" w:sz="4" w:space="0"/>
              <w:right w:val="single" w:color="auto" w:sz="4" w:space="0"/>
            </w:tcBorders>
            <w:vAlign w:val="center"/>
          </w:tcPr>
          <w:p>
            <w:pPr>
              <w:widowControl/>
              <w:snapToGrid w:val="0"/>
              <w:ind w:right="102"/>
              <w:jc w:val="left"/>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widowControl/>
              <w:snapToGrid w:val="0"/>
              <w:ind w:right="102"/>
              <w:jc w:val="center"/>
              <w:rPr>
                <w:rFonts w:ascii="宋体" w:hAnsi="宋体"/>
              </w:rPr>
            </w:pPr>
            <w:r>
              <w:rPr>
                <w:rFonts w:ascii="宋体" w:hAnsi="宋体"/>
              </w:rPr>
              <w:t>6</w:t>
            </w:r>
          </w:p>
        </w:tc>
        <w:tc>
          <w:tcPr>
            <w:tcW w:w="5146" w:type="dxa"/>
            <w:tcBorders>
              <w:top w:val="single" w:color="auto" w:sz="4" w:space="0"/>
              <w:left w:val="single" w:color="auto" w:sz="4" w:space="0"/>
              <w:bottom w:val="single" w:color="auto" w:sz="4" w:space="0"/>
              <w:right w:val="single" w:color="auto" w:sz="4" w:space="0"/>
            </w:tcBorders>
            <w:vAlign w:val="center"/>
          </w:tcPr>
          <w:p>
            <w:pPr>
              <w:widowControl/>
              <w:snapToGrid w:val="0"/>
              <w:ind w:right="-3"/>
              <w:jc w:val="left"/>
              <w:rPr>
                <w:rFonts w:ascii="宋体" w:hAnsi="宋体"/>
              </w:rPr>
            </w:pPr>
            <w:r>
              <w:rPr>
                <w:rFonts w:hint="eastAsia" w:ascii="宋体" w:hAnsi="宋体" w:cs="宋体"/>
                <w:kern w:val="0"/>
                <w:szCs w:val="21"/>
              </w:rPr>
              <w:t>项目负责人（施工负责人）安全培训考核合格证（B类）或广东省建筑施工企业管理人员安全生产考核信息系统安全生产管理人员证书信息的打印页。</w:t>
            </w:r>
          </w:p>
        </w:tc>
        <w:tc>
          <w:tcPr>
            <w:tcW w:w="1261" w:type="dxa"/>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rPr>
            </w:pPr>
          </w:p>
        </w:tc>
        <w:tc>
          <w:tcPr>
            <w:tcW w:w="1262" w:type="dxa"/>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rPr>
            </w:pPr>
          </w:p>
        </w:tc>
        <w:tc>
          <w:tcPr>
            <w:tcW w:w="1262" w:type="dxa"/>
            <w:tcBorders>
              <w:top w:val="single" w:color="auto" w:sz="4" w:space="0"/>
              <w:left w:val="single" w:color="auto" w:sz="4" w:space="0"/>
              <w:bottom w:val="single" w:color="auto" w:sz="4" w:space="0"/>
              <w:right w:val="single" w:color="auto" w:sz="4" w:space="0"/>
            </w:tcBorders>
            <w:vAlign w:val="center"/>
          </w:tcPr>
          <w:p>
            <w:pPr>
              <w:widowControl/>
              <w:snapToGrid w:val="0"/>
              <w:ind w:right="102"/>
              <w:jc w:val="left"/>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widowControl/>
              <w:snapToGrid w:val="0"/>
              <w:ind w:right="102"/>
              <w:jc w:val="center"/>
              <w:rPr>
                <w:rFonts w:ascii="宋体" w:hAnsi="宋体"/>
              </w:rPr>
            </w:pPr>
            <w:r>
              <w:rPr>
                <w:rFonts w:ascii="宋体" w:hAnsi="宋体"/>
              </w:rPr>
              <w:t>7</w:t>
            </w:r>
          </w:p>
        </w:tc>
        <w:tc>
          <w:tcPr>
            <w:tcW w:w="5146" w:type="dxa"/>
            <w:tcBorders>
              <w:top w:val="single" w:color="auto" w:sz="4" w:space="0"/>
              <w:left w:val="single" w:color="auto" w:sz="4" w:space="0"/>
              <w:bottom w:val="single" w:color="auto" w:sz="4" w:space="0"/>
              <w:right w:val="single" w:color="auto" w:sz="4" w:space="0"/>
            </w:tcBorders>
            <w:vAlign w:val="center"/>
          </w:tcPr>
          <w:p>
            <w:pPr>
              <w:widowControl/>
              <w:snapToGrid w:val="0"/>
              <w:ind w:right="-3"/>
              <w:jc w:val="left"/>
              <w:rPr>
                <w:rFonts w:ascii="宋体" w:hAnsi="宋体"/>
              </w:rPr>
            </w:pPr>
            <w:r>
              <w:rPr>
                <w:rFonts w:hint="eastAsia" w:ascii="宋体" w:hAnsi="宋体" w:cs="宋体"/>
                <w:kern w:val="0"/>
                <w:szCs w:val="21"/>
              </w:rPr>
              <w:t>投标人已按照招标公告附件一的内容签署盖章的《投标申请人声明》。</w:t>
            </w:r>
          </w:p>
        </w:tc>
        <w:tc>
          <w:tcPr>
            <w:tcW w:w="1261" w:type="dxa"/>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szCs w:val="21"/>
              </w:rPr>
            </w:pPr>
          </w:p>
        </w:tc>
        <w:tc>
          <w:tcPr>
            <w:tcW w:w="1262" w:type="dxa"/>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szCs w:val="21"/>
              </w:rPr>
            </w:pPr>
          </w:p>
        </w:tc>
        <w:tc>
          <w:tcPr>
            <w:tcW w:w="1262" w:type="dxa"/>
            <w:tcBorders>
              <w:top w:val="single" w:color="auto" w:sz="4" w:space="0"/>
              <w:left w:val="single" w:color="auto" w:sz="4" w:space="0"/>
              <w:bottom w:val="single" w:color="auto" w:sz="4" w:space="0"/>
              <w:right w:val="single" w:color="auto" w:sz="4" w:space="0"/>
            </w:tcBorders>
            <w:vAlign w:val="center"/>
          </w:tcPr>
          <w:p>
            <w:pPr>
              <w:widowControl/>
              <w:snapToGrid w:val="0"/>
              <w:ind w:right="102"/>
              <w:jc w:val="left"/>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7" w:type="dxa"/>
            <w:tcBorders>
              <w:top w:val="single" w:color="auto" w:sz="4" w:space="0"/>
              <w:left w:val="single" w:color="auto" w:sz="4" w:space="0"/>
              <w:bottom w:val="single" w:color="auto" w:sz="4" w:space="0"/>
              <w:right w:val="single" w:color="auto" w:sz="4" w:space="0"/>
            </w:tcBorders>
            <w:vAlign w:val="center"/>
          </w:tcPr>
          <w:p>
            <w:pPr>
              <w:widowControl/>
              <w:snapToGrid w:val="0"/>
              <w:ind w:right="102"/>
              <w:jc w:val="center"/>
              <w:rPr>
                <w:rFonts w:ascii="宋体" w:hAnsi="宋体"/>
              </w:rPr>
            </w:pPr>
            <w:r>
              <w:rPr>
                <w:rFonts w:ascii="宋体" w:hAnsi="宋体"/>
              </w:rPr>
              <w:t>8</w:t>
            </w:r>
          </w:p>
        </w:tc>
        <w:tc>
          <w:tcPr>
            <w:tcW w:w="5146" w:type="dxa"/>
            <w:tcBorders>
              <w:top w:val="single" w:color="auto" w:sz="4" w:space="0"/>
              <w:left w:val="single" w:color="auto" w:sz="4" w:space="0"/>
              <w:bottom w:val="single" w:color="auto" w:sz="4" w:space="0"/>
              <w:right w:val="single" w:color="auto" w:sz="4" w:space="0"/>
            </w:tcBorders>
            <w:vAlign w:val="center"/>
          </w:tcPr>
          <w:p>
            <w:pPr>
              <w:widowControl/>
              <w:snapToGrid w:val="0"/>
              <w:ind w:right="-3"/>
              <w:jc w:val="left"/>
              <w:rPr>
                <w:rFonts w:ascii="宋体" w:hAnsi="宋体"/>
                <w:szCs w:val="21"/>
              </w:rPr>
            </w:pPr>
            <w:r>
              <w:rPr>
                <w:rFonts w:hint="eastAsia" w:ascii="宋体" w:hAnsi="宋体"/>
              </w:rPr>
              <w:t>投标人未出现以下情形：与其它投标人的单位负责人为同一人或者存在控股、管理关系的（按投标人提供的《投标申请人声明》的内容进行评审）。</w:t>
            </w:r>
          </w:p>
        </w:tc>
        <w:tc>
          <w:tcPr>
            <w:tcW w:w="1261" w:type="dxa"/>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szCs w:val="21"/>
              </w:rPr>
            </w:pPr>
          </w:p>
        </w:tc>
        <w:tc>
          <w:tcPr>
            <w:tcW w:w="1262" w:type="dxa"/>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szCs w:val="21"/>
              </w:rPr>
            </w:pPr>
          </w:p>
        </w:tc>
        <w:tc>
          <w:tcPr>
            <w:tcW w:w="1262" w:type="dxa"/>
            <w:tcBorders>
              <w:top w:val="single" w:color="auto" w:sz="4" w:space="0"/>
              <w:left w:val="single" w:color="auto" w:sz="4" w:space="0"/>
              <w:bottom w:val="single" w:color="auto" w:sz="4" w:space="0"/>
              <w:right w:val="single" w:color="auto" w:sz="4" w:space="0"/>
            </w:tcBorders>
            <w:vAlign w:val="center"/>
          </w:tcPr>
          <w:p>
            <w:pPr>
              <w:widowControl/>
              <w:snapToGrid w:val="0"/>
              <w:ind w:right="102"/>
              <w:jc w:val="left"/>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13" w:type="dxa"/>
            <w:gridSpan w:val="2"/>
            <w:tcBorders>
              <w:top w:val="single" w:color="auto" w:sz="4" w:space="0"/>
              <w:left w:val="single" w:color="auto" w:sz="4" w:space="0"/>
              <w:bottom w:val="single" w:color="auto" w:sz="4" w:space="0"/>
              <w:right w:val="single" w:color="auto" w:sz="4" w:space="0"/>
            </w:tcBorders>
            <w:vAlign w:val="center"/>
          </w:tcPr>
          <w:p>
            <w:pPr>
              <w:widowControl/>
              <w:snapToGrid w:val="0"/>
              <w:ind w:right="-3" w:firstLine="2310" w:firstLineChars="1100"/>
              <w:jc w:val="left"/>
              <w:rPr>
                <w:rFonts w:ascii="宋体" w:hAnsi="宋体"/>
                <w:szCs w:val="21"/>
              </w:rPr>
            </w:pPr>
            <w:r>
              <w:rPr>
                <w:rFonts w:hint="eastAsia" w:ascii="宋体" w:hAnsi="宋体"/>
              </w:rPr>
              <w:t>结论</w:t>
            </w:r>
          </w:p>
        </w:tc>
        <w:tc>
          <w:tcPr>
            <w:tcW w:w="1261" w:type="dxa"/>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szCs w:val="21"/>
              </w:rPr>
            </w:pPr>
          </w:p>
        </w:tc>
        <w:tc>
          <w:tcPr>
            <w:tcW w:w="1262" w:type="dxa"/>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szCs w:val="21"/>
              </w:rPr>
            </w:pPr>
          </w:p>
        </w:tc>
        <w:tc>
          <w:tcPr>
            <w:tcW w:w="1262" w:type="dxa"/>
            <w:tcBorders>
              <w:top w:val="single" w:color="auto" w:sz="4" w:space="0"/>
              <w:left w:val="single" w:color="auto" w:sz="4" w:space="0"/>
              <w:bottom w:val="single" w:color="auto" w:sz="4" w:space="0"/>
              <w:right w:val="single" w:color="auto" w:sz="4" w:space="0"/>
            </w:tcBorders>
            <w:vAlign w:val="center"/>
          </w:tcPr>
          <w:p>
            <w:pPr>
              <w:widowControl/>
              <w:snapToGrid w:val="0"/>
              <w:ind w:right="102"/>
              <w:jc w:val="left"/>
              <w:rPr>
                <w:rFonts w:ascii="宋体" w:hAnsi="宋体"/>
              </w:rPr>
            </w:pPr>
          </w:p>
        </w:tc>
      </w:tr>
    </w:tbl>
    <w:p>
      <w:pPr>
        <w:rPr>
          <w:rFonts w:ascii="宋体" w:hAnsi="宋体" w:cs="宋体"/>
          <w:szCs w:val="21"/>
        </w:rPr>
      </w:pPr>
      <w:r>
        <w:rPr>
          <w:rFonts w:hint="eastAsia" w:ascii="宋体" w:hAnsi="宋体"/>
        </w:rPr>
        <w:t>备注：</w:t>
      </w:r>
      <w:r>
        <w:rPr>
          <w:rFonts w:hint="eastAsia" w:ascii="宋体" w:hAnsi="宋体" w:cs="宋体"/>
          <w:szCs w:val="21"/>
        </w:rPr>
        <w:t>1.根据本表审查项目，符合的填“○”，不符合的填“×”，评审结论填“通过“或“不通过”。</w:t>
      </w:r>
    </w:p>
    <w:p>
      <w:pPr>
        <w:ind w:firstLine="630" w:firstLineChars="300"/>
        <w:rPr>
          <w:rFonts w:ascii="宋体" w:hAnsi="宋体" w:cs="宋体"/>
          <w:szCs w:val="21"/>
        </w:rPr>
      </w:pPr>
      <w:r>
        <w:rPr>
          <w:rFonts w:hint="eastAsia" w:ascii="宋体" w:hAnsi="宋体" w:cs="宋体"/>
          <w:szCs w:val="21"/>
        </w:rPr>
        <w:t>2.本表中出现一个（或以上）“×”，投标人的评审结论为“不通过”，即该投标人不进入下一阶段评审。</w:t>
      </w:r>
    </w:p>
    <w:p>
      <w:pPr>
        <w:ind w:firstLine="630" w:firstLineChars="300"/>
        <w:rPr>
          <w:rFonts w:ascii="宋体" w:hAnsi="宋体" w:cs="宋体"/>
          <w:szCs w:val="21"/>
        </w:rPr>
      </w:pPr>
      <w:r>
        <w:rPr>
          <w:rFonts w:hint="eastAsia" w:ascii="宋体" w:hAnsi="宋体" w:cs="宋体"/>
          <w:szCs w:val="21"/>
        </w:rPr>
        <w:t>3.本表中评审项目全部为“○”，投标人的评审结论为“通过”，即该投标人进入下一阶段评审</w:t>
      </w:r>
    </w:p>
    <w:p>
      <w:pPr>
        <w:ind w:firstLine="630" w:firstLineChars="300"/>
        <w:rPr>
          <w:rFonts w:ascii="宋体" w:hAnsi="宋体"/>
        </w:rPr>
      </w:pPr>
      <w:r>
        <w:rPr>
          <w:rFonts w:hint="eastAsia" w:ascii="宋体" w:hAnsi="宋体" w:cs="宋体"/>
          <w:szCs w:val="21"/>
        </w:rPr>
        <w:t>4.如对本表中某种情形的评审意见不一致时，以评审组过半数成员的意见作为评审组对该情形的认定结论。</w:t>
      </w:r>
    </w:p>
    <w:p>
      <w:pPr>
        <w:widowControl/>
        <w:snapToGrid w:val="0"/>
        <w:ind w:right="102"/>
        <w:jc w:val="left"/>
        <w:rPr>
          <w:rFonts w:ascii="宋体" w:hAnsi="宋体"/>
        </w:rPr>
      </w:pPr>
    </w:p>
    <w:p>
      <w:pPr>
        <w:widowControl/>
        <w:snapToGrid w:val="0"/>
        <w:ind w:right="102"/>
        <w:jc w:val="left"/>
        <w:rPr>
          <w:rFonts w:ascii="宋体" w:hAnsi="宋体"/>
        </w:rPr>
      </w:pPr>
      <w:r>
        <w:rPr>
          <w:rFonts w:hint="eastAsia" w:ascii="宋体" w:hAnsi="宋体"/>
        </w:rPr>
        <w:t>评委</w:t>
      </w:r>
      <w:r>
        <w:rPr>
          <w:rFonts w:hint="eastAsia" w:ascii="宋体" w:hAnsi="宋体"/>
          <w:lang w:val="en-US" w:eastAsia="zh-CN"/>
        </w:rPr>
        <w:t>专家</w:t>
      </w:r>
      <w:r>
        <w:rPr>
          <w:rFonts w:hint="eastAsia" w:ascii="宋体" w:hAnsi="宋体"/>
        </w:rPr>
        <w:t>签名：</w:t>
      </w:r>
      <w:r>
        <w:rPr>
          <w:rFonts w:ascii="宋体" w:hAnsi="宋体"/>
          <w:szCs w:val="21"/>
        </w:rPr>
        <w:t xml:space="preserve">                     日期：</w:t>
      </w:r>
    </w:p>
    <w:p>
      <w:pPr>
        <w:spacing w:line="400" w:lineRule="exact"/>
        <w:rPr>
          <w:rFonts w:ascii="宋体" w:hAnsi="宋体"/>
          <w:b/>
          <w:sz w:val="28"/>
          <w:szCs w:val="28"/>
        </w:rPr>
        <w:sectPr>
          <w:pgSz w:w="11906" w:h="16838"/>
          <w:pgMar w:top="1418" w:right="1247" w:bottom="1418" w:left="1247" w:header="851" w:footer="992" w:gutter="0"/>
          <w:pgBorders>
            <w:top w:val="none" w:sz="0" w:space="0"/>
            <w:left w:val="none" w:sz="0" w:space="0"/>
            <w:bottom w:val="none" w:sz="0" w:space="0"/>
            <w:right w:val="none" w:sz="0" w:space="0"/>
          </w:pgBorders>
          <w:cols w:space="720" w:num="1"/>
          <w:docGrid w:type="lines" w:linePitch="312" w:charSpace="0"/>
        </w:sectPr>
      </w:pPr>
    </w:p>
    <w:p>
      <w:pPr>
        <w:spacing w:line="400" w:lineRule="exact"/>
        <w:rPr>
          <w:rFonts w:ascii="宋体" w:hAnsi="宋体"/>
          <w:b/>
          <w:sz w:val="28"/>
          <w:szCs w:val="28"/>
        </w:rPr>
      </w:pPr>
      <w:r>
        <w:rPr>
          <w:rFonts w:hint="eastAsia" w:ascii="宋体" w:hAnsi="宋体"/>
          <w:b/>
          <w:sz w:val="28"/>
          <w:szCs w:val="28"/>
        </w:rPr>
        <w:t>附表2</w:t>
      </w:r>
      <w:r>
        <w:rPr>
          <w:rFonts w:ascii="宋体" w:hAnsi="宋体"/>
          <w:b/>
          <w:sz w:val="28"/>
          <w:szCs w:val="28"/>
        </w:rPr>
        <w:t xml:space="preserve">： </w:t>
      </w:r>
    </w:p>
    <w:p>
      <w:pPr>
        <w:widowControl/>
        <w:jc w:val="left"/>
        <w:rPr>
          <w:rFonts w:ascii="宋体" w:hAnsi="宋体"/>
        </w:rPr>
      </w:pPr>
    </w:p>
    <w:p>
      <w:pPr>
        <w:spacing w:line="360" w:lineRule="auto"/>
        <w:jc w:val="center"/>
        <w:rPr>
          <w:rFonts w:ascii="黑体" w:hAnsi="黑体" w:eastAsia="黑体" w:cs="黑体"/>
          <w:b/>
          <w:sz w:val="32"/>
          <w:szCs w:val="32"/>
        </w:rPr>
      </w:pPr>
      <w:r>
        <w:rPr>
          <w:rFonts w:hint="eastAsia" w:ascii="黑体" w:hAnsi="黑体" w:eastAsia="黑体" w:cs="黑体"/>
          <w:b/>
          <w:sz w:val="32"/>
          <w:szCs w:val="32"/>
        </w:rPr>
        <w:t>工程实施方案（含资信部分）文件有效性审查表</w:t>
      </w:r>
    </w:p>
    <w:p>
      <w:pPr>
        <w:tabs>
          <w:tab w:val="left" w:pos="720"/>
        </w:tabs>
        <w:snapToGrid w:val="0"/>
        <w:spacing w:line="360" w:lineRule="auto"/>
        <w:rPr>
          <w:rFonts w:ascii="宋体" w:hAnsi="宋体"/>
          <w:bCs/>
          <w:szCs w:val="21"/>
        </w:rPr>
      </w:pPr>
      <w:r>
        <w:rPr>
          <w:rFonts w:hint="eastAsia" w:ascii="宋体" w:hAnsi="宋体"/>
          <w:bCs/>
          <w:szCs w:val="21"/>
        </w:rPr>
        <w:t>工程名称：</w:t>
      </w:r>
    </w:p>
    <w:tbl>
      <w:tblPr>
        <w:tblStyle w:val="40"/>
        <w:tblW w:w="9582" w:type="dxa"/>
        <w:jc w:val="center"/>
        <w:tblLayout w:type="fixed"/>
        <w:tblCellMar>
          <w:top w:w="0" w:type="dxa"/>
          <w:left w:w="108" w:type="dxa"/>
          <w:bottom w:w="0" w:type="dxa"/>
          <w:right w:w="108" w:type="dxa"/>
        </w:tblCellMar>
      </w:tblPr>
      <w:tblGrid>
        <w:gridCol w:w="672"/>
        <w:gridCol w:w="5733"/>
        <w:gridCol w:w="1059"/>
        <w:gridCol w:w="1059"/>
        <w:gridCol w:w="1059"/>
      </w:tblGrid>
      <w:tr>
        <w:tblPrEx>
          <w:tblCellMar>
            <w:top w:w="0" w:type="dxa"/>
            <w:left w:w="108" w:type="dxa"/>
            <w:bottom w:w="0" w:type="dxa"/>
            <w:right w:w="108" w:type="dxa"/>
          </w:tblCellMar>
        </w:tblPrEx>
        <w:trPr>
          <w:trHeight w:val="717" w:hRule="atLeast"/>
          <w:jc w:val="center"/>
        </w:trPr>
        <w:tc>
          <w:tcPr>
            <w:tcW w:w="672"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szCs w:val="21"/>
              </w:rPr>
            </w:pPr>
            <w:r>
              <w:rPr>
                <w:rFonts w:hint="eastAsia" w:ascii="宋体" w:hAnsi="宋体"/>
                <w:szCs w:val="21"/>
              </w:rPr>
              <w:t>序号</w:t>
            </w:r>
          </w:p>
        </w:tc>
        <w:tc>
          <w:tcPr>
            <w:tcW w:w="5733" w:type="dxa"/>
            <w:tcBorders>
              <w:top w:val="single" w:color="auto" w:sz="4" w:space="0"/>
              <w:left w:val="single" w:color="auto" w:sz="4" w:space="0"/>
              <w:bottom w:val="single" w:color="auto" w:sz="4" w:space="0"/>
              <w:right w:val="single" w:color="auto" w:sz="4" w:space="0"/>
              <w:tl2br w:val="single" w:color="auto" w:sz="4" w:space="0"/>
            </w:tcBorders>
          </w:tcPr>
          <w:p>
            <w:pPr>
              <w:ind w:firstLine="4578" w:firstLineChars="2180"/>
              <w:rPr>
                <w:rFonts w:ascii="宋体" w:hAnsi="宋体"/>
                <w:szCs w:val="21"/>
              </w:rPr>
            </w:pPr>
            <w:r>
              <w:rPr>
                <w:rFonts w:hint="eastAsia" w:ascii="宋体" w:hAnsi="宋体"/>
                <w:szCs w:val="21"/>
              </w:rPr>
              <w:t>投标单位</w:t>
            </w:r>
          </w:p>
          <w:p>
            <w:pPr>
              <w:rPr>
                <w:rFonts w:ascii="宋体" w:hAnsi="宋体"/>
                <w:szCs w:val="21"/>
              </w:rPr>
            </w:pPr>
            <w:r>
              <w:rPr>
                <w:rFonts w:hint="eastAsia" w:ascii="宋体" w:hAnsi="宋体"/>
                <w:szCs w:val="21"/>
              </w:rPr>
              <w:t>审查项目</w:t>
            </w:r>
          </w:p>
        </w:tc>
        <w:tc>
          <w:tcPr>
            <w:tcW w:w="1059" w:type="dxa"/>
            <w:tcBorders>
              <w:top w:val="single" w:color="auto" w:sz="4" w:space="0"/>
              <w:left w:val="single" w:color="auto" w:sz="4" w:space="0"/>
              <w:bottom w:val="single" w:color="auto" w:sz="4" w:space="0"/>
              <w:right w:val="single" w:color="auto" w:sz="4" w:space="0"/>
            </w:tcBorders>
          </w:tcPr>
          <w:p>
            <w:pPr>
              <w:rPr>
                <w:rFonts w:ascii="宋体" w:hAnsi="宋体"/>
                <w:szCs w:val="21"/>
              </w:rPr>
            </w:pPr>
          </w:p>
        </w:tc>
        <w:tc>
          <w:tcPr>
            <w:tcW w:w="1059" w:type="dxa"/>
            <w:tcBorders>
              <w:top w:val="single" w:color="auto" w:sz="4" w:space="0"/>
              <w:left w:val="single" w:color="auto" w:sz="4" w:space="0"/>
              <w:bottom w:val="single" w:color="auto" w:sz="4" w:space="0"/>
              <w:right w:val="single" w:color="auto" w:sz="4" w:space="0"/>
            </w:tcBorders>
          </w:tcPr>
          <w:p>
            <w:pPr>
              <w:rPr>
                <w:rFonts w:ascii="宋体" w:hAnsi="宋体"/>
                <w:szCs w:val="21"/>
              </w:rPr>
            </w:pPr>
          </w:p>
        </w:tc>
        <w:tc>
          <w:tcPr>
            <w:tcW w:w="1059" w:type="dxa"/>
            <w:tcBorders>
              <w:top w:val="single" w:color="auto" w:sz="4" w:space="0"/>
              <w:left w:val="single" w:color="auto" w:sz="4" w:space="0"/>
              <w:bottom w:val="single" w:color="auto" w:sz="4" w:space="0"/>
              <w:right w:val="single" w:color="auto" w:sz="4" w:space="0"/>
            </w:tcBorders>
          </w:tcPr>
          <w:p>
            <w:pPr>
              <w:rPr>
                <w:rFonts w:ascii="宋体" w:hAnsi="宋体"/>
                <w:szCs w:val="21"/>
              </w:rPr>
            </w:pPr>
          </w:p>
        </w:tc>
      </w:tr>
      <w:tr>
        <w:tblPrEx>
          <w:tblCellMar>
            <w:top w:w="0" w:type="dxa"/>
            <w:left w:w="108" w:type="dxa"/>
            <w:bottom w:w="0" w:type="dxa"/>
            <w:right w:w="108" w:type="dxa"/>
          </w:tblCellMar>
        </w:tblPrEx>
        <w:trPr>
          <w:trHeight w:val="526" w:hRule="atLeast"/>
          <w:jc w:val="center"/>
        </w:trPr>
        <w:tc>
          <w:tcPr>
            <w:tcW w:w="672"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ascii="宋体" w:hAnsi="宋体"/>
                <w:szCs w:val="21"/>
                <w:highlight w:val="none"/>
              </w:rPr>
              <w:t>1</w:t>
            </w:r>
          </w:p>
        </w:tc>
        <w:tc>
          <w:tcPr>
            <w:tcW w:w="5733"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rPr>
                <w:rFonts w:ascii="宋体" w:hAnsi="宋体"/>
                <w:szCs w:val="21"/>
              </w:rPr>
            </w:pPr>
            <w:r>
              <w:rPr>
                <w:rFonts w:hint="eastAsia"/>
                <w:szCs w:val="21"/>
                <w:highlight w:val="none"/>
              </w:rPr>
              <w:t>投标文件所列投标人名称与投标登记一致。</w:t>
            </w:r>
          </w:p>
        </w:tc>
        <w:tc>
          <w:tcPr>
            <w:tcW w:w="1059"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1059" w:type="dxa"/>
            <w:tcBorders>
              <w:top w:val="single" w:color="auto" w:sz="4" w:space="0"/>
              <w:left w:val="single" w:color="auto" w:sz="4" w:space="0"/>
              <w:bottom w:val="single" w:color="auto" w:sz="4" w:space="0"/>
              <w:right w:val="single" w:color="auto" w:sz="4" w:space="0"/>
            </w:tcBorders>
            <w:vAlign w:val="top"/>
          </w:tcPr>
          <w:p>
            <w:pPr>
              <w:rPr>
                <w:rFonts w:ascii="宋体" w:hAnsi="宋体"/>
                <w:szCs w:val="21"/>
              </w:rPr>
            </w:pPr>
          </w:p>
        </w:tc>
        <w:tc>
          <w:tcPr>
            <w:tcW w:w="1059" w:type="dxa"/>
            <w:tcBorders>
              <w:top w:val="single" w:color="auto" w:sz="4" w:space="0"/>
              <w:left w:val="single" w:color="auto" w:sz="4" w:space="0"/>
              <w:bottom w:val="single" w:color="auto" w:sz="4" w:space="0"/>
              <w:right w:val="single" w:color="auto" w:sz="4" w:space="0"/>
            </w:tcBorders>
            <w:vAlign w:val="top"/>
          </w:tcPr>
          <w:p>
            <w:pPr>
              <w:rPr>
                <w:rFonts w:ascii="宋体" w:hAnsi="宋体"/>
                <w:szCs w:val="21"/>
              </w:rPr>
            </w:pPr>
          </w:p>
        </w:tc>
      </w:tr>
      <w:tr>
        <w:tblPrEx>
          <w:tblCellMar>
            <w:top w:w="0" w:type="dxa"/>
            <w:left w:w="108" w:type="dxa"/>
            <w:bottom w:w="0" w:type="dxa"/>
            <w:right w:w="108" w:type="dxa"/>
          </w:tblCellMar>
        </w:tblPrEx>
        <w:trPr>
          <w:trHeight w:val="407" w:hRule="atLeast"/>
          <w:jc w:val="center"/>
        </w:trPr>
        <w:tc>
          <w:tcPr>
            <w:tcW w:w="672"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ascii="宋体" w:hAnsi="宋体"/>
                <w:szCs w:val="21"/>
                <w:highlight w:val="none"/>
              </w:rPr>
              <w:t>2</w:t>
            </w:r>
          </w:p>
        </w:tc>
        <w:tc>
          <w:tcPr>
            <w:tcW w:w="5733"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rPr>
                <w:rFonts w:ascii="宋体" w:hAnsi="宋体"/>
                <w:szCs w:val="21"/>
              </w:rPr>
            </w:pPr>
            <w:r>
              <w:rPr>
                <w:rFonts w:hint="eastAsia"/>
                <w:szCs w:val="21"/>
                <w:highlight w:val="none"/>
              </w:rPr>
              <w:t>能满足完成投标项目工期的。</w:t>
            </w:r>
          </w:p>
        </w:tc>
        <w:tc>
          <w:tcPr>
            <w:tcW w:w="1059"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1059" w:type="dxa"/>
            <w:tcBorders>
              <w:top w:val="single" w:color="auto" w:sz="4" w:space="0"/>
              <w:left w:val="single" w:color="auto" w:sz="4" w:space="0"/>
              <w:bottom w:val="single" w:color="auto" w:sz="4" w:space="0"/>
              <w:right w:val="single" w:color="auto" w:sz="4" w:space="0"/>
            </w:tcBorders>
            <w:vAlign w:val="top"/>
          </w:tcPr>
          <w:p>
            <w:pPr>
              <w:rPr>
                <w:rFonts w:ascii="宋体" w:hAnsi="宋体"/>
                <w:szCs w:val="21"/>
              </w:rPr>
            </w:pPr>
          </w:p>
        </w:tc>
        <w:tc>
          <w:tcPr>
            <w:tcW w:w="1059" w:type="dxa"/>
            <w:tcBorders>
              <w:top w:val="single" w:color="auto" w:sz="4" w:space="0"/>
              <w:left w:val="single" w:color="auto" w:sz="4" w:space="0"/>
              <w:bottom w:val="single" w:color="auto" w:sz="4" w:space="0"/>
              <w:right w:val="single" w:color="auto" w:sz="4" w:space="0"/>
            </w:tcBorders>
            <w:vAlign w:val="top"/>
          </w:tcPr>
          <w:p>
            <w:pPr>
              <w:rPr>
                <w:rFonts w:ascii="宋体" w:hAnsi="宋体"/>
                <w:szCs w:val="21"/>
              </w:rPr>
            </w:pPr>
          </w:p>
        </w:tc>
      </w:tr>
      <w:tr>
        <w:tblPrEx>
          <w:tblCellMar>
            <w:top w:w="0" w:type="dxa"/>
            <w:left w:w="108" w:type="dxa"/>
            <w:bottom w:w="0" w:type="dxa"/>
            <w:right w:w="108" w:type="dxa"/>
          </w:tblCellMar>
        </w:tblPrEx>
        <w:trPr>
          <w:trHeight w:val="441" w:hRule="atLeast"/>
          <w:jc w:val="center"/>
        </w:trPr>
        <w:tc>
          <w:tcPr>
            <w:tcW w:w="672"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ascii="宋体" w:hAnsi="宋体"/>
                <w:szCs w:val="21"/>
                <w:highlight w:val="none"/>
              </w:rPr>
              <w:t>3</w:t>
            </w:r>
          </w:p>
        </w:tc>
        <w:tc>
          <w:tcPr>
            <w:tcW w:w="5733"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rPr>
                <w:rFonts w:ascii="宋体" w:hAnsi="宋体"/>
              </w:rPr>
            </w:pPr>
            <w:r>
              <w:rPr>
                <w:rFonts w:hint="eastAsia"/>
                <w:szCs w:val="21"/>
                <w:highlight w:val="none"/>
              </w:rPr>
              <w:t>符合招标文件质量要求的。</w:t>
            </w:r>
          </w:p>
        </w:tc>
        <w:tc>
          <w:tcPr>
            <w:tcW w:w="1059"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1059" w:type="dxa"/>
            <w:tcBorders>
              <w:top w:val="single" w:color="auto" w:sz="4" w:space="0"/>
              <w:left w:val="single" w:color="auto" w:sz="4" w:space="0"/>
              <w:bottom w:val="single" w:color="auto" w:sz="4" w:space="0"/>
              <w:right w:val="single" w:color="auto" w:sz="4" w:space="0"/>
            </w:tcBorders>
            <w:vAlign w:val="top"/>
          </w:tcPr>
          <w:p>
            <w:pPr>
              <w:rPr>
                <w:rFonts w:ascii="宋体" w:hAnsi="宋体"/>
                <w:szCs w:val="21"/>
              </w:rPr>
            </w:pPr>
          </w:p>
        </w:tc>
        <w:tc>
          <w:tcPr>
            <w:tcW w:w="1059" w:type="dxa"/>
            <w:tcBorders>
              <w:top w:val="single" w:color="auto" w:sz="4" w:space="0"/>
              <w:left w:val="single" w:color="auto" w:sz="4" w:space="0"/>
              <w:bottom w:val="single" w:color="auto" w:sz="4" w:space="0"/>
              <w:right w:val="single" w:color="auto" w:sz="4" w:space="0"/>
            </w:tcBorders>
            <w:vAlign w:val="top"/>
          </w:tcPr>
          <w:p>
            <w:pPr>
              <w:rPr>
                <w:rFonts w:ascii="宋体" w:hAnsi="宋体"/>
                <w:szCs w:val="21"/>
              </w:rPr>
            </w:pPr>
          </w:p>
        </w:tc>
      </w:tr>
      <w:tr>
        <w:tblPrEx>
          <w:tblCellMar>
            <w:top w:w="0" w:type="dxa"/>
            <w:left w:w="108" w:type="dxa"/>
            <w:bottom w:w="0" w:type="dxa"/>
            <w:right w:w="108" w:type="dxa"/>
          </w:tblCellMar>
        </w:tblPrEx>
        <w:trPr>
          <w:trHeight w:val="552" w:hRule="atLeast"/>
          <w:jc w:val="center"/>
        </w:trPr>
        <w:tc>
          <w:tcPr>
            <w:tcW w:w="672"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ascii="宋体" w:hAnsi="宋体"/>
                <w:szCs w:val="21"/>
                <w:highlight w:val="none"/>
              </w:rPr>
              <w:t>4</w:t>
            </w:r>
          </w:p>
        </w:tc>
        <w:tc>
          <w:tcPr>
            <w:tcW w:w="5733"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rPr>
                <w:rFonts w:ascii="宋体" w:hAnsi="宋体"/>
                <w:szCs w:val="21"/>
              </w:rPr>
            </w:pPr>
            <w:r>
              <w:rPr>
                <w:rFonts w:hint="eastAsia"/>
                <w:szCs w:val="21"/>
                <w:highlight w:val="none"/>
              </w:rPr>
              <w:t>投标文件的封面有加盖投标单位的法定印章的。</w:t>
            </w:r>
          </w:p>
        </w:tc>
        <w:tc>
          <w:tcPr>
            <w:tcW w:w="1059"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1059" w:type="dxa"/>
            <w:tcBorders>
              <w:top w:val="single" w:color="auto" w:sz="4" w:space="0"/>
              <w:left w:val="single" w:color="auto" w:sz="4" w:space="0"/>
              <w:bottom w:val="single" w:color="auto" w:sz="4" w:space="0"/>
              <w:right w:val="single" w:color="auto" w:sz="4" w:space="0"/>
            </w:tcBorders>
            <w:vAlign w:val="top"/>
          </w:tcPr>
          <w:p>
            <w:pPr>
              <w:rPr>
                <w:rFonts w:ascii="宋体" w:hAnsi="宋体"/>
                <w:szCs w:val="21"/>
              </w:rPr>
            </w:pPr>
          </w:p>
        </w:tc>
        <w:tc>
          <w:tcPr>
            <w:tcW w:w="1059" w:type="dxa"/>
            <w:tcBorders>
              <w:top w:val="single" w:color="auto" w:sz="4" w:space="0"/>
              <w:left w:val="single" w:color="auto" w:sz="4" w:space="0"/>
              <w:bottom w:val="single" w:color="auto" w:sz="4" w:space="0"/>
              <w:right w:val="single" w:color="auto" w:sz="4" w:space="0"/>
            </w:tcBorders>
            <w:vAlign w:val="top"/>
          </w:tcPr>
          <w:p>
            <w:pPr>
              <w:rPr>
                <w:rFonts w:ascii="宋体" w:hAnsi="宋体"/>
                <w:szCs w:val="21"/>
              </w:rPr>
            </w:pPr>
          </w:p>
        </w:tc>
      </w:tr>
      <w:tr>
        <w:tblPrEx>
          <w:tblCellMar>
            <w:top w:w="0" w:type="dxa"/>
            <w:left w:w="108" w:type="dxa"/>
            <w:bottom w:w="0" w:type="dxa"/>
            <w:right w:w="108" w:type="dxa"/>
          </w:tblCellMar>
        </w:tblPrEx>
        <w:trPr>
          <w:trHeight w:val="552" w:hRule="atLeast"/>
          <w:jc w:val="center"/>
        </w:trPr>
        <w:tc>
          <w:tcPr>
            <w:tcW w:w="672"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highlight w:val="none"/>
              </w:rPr>
              <w:t>5</w:t>
            </w:r>
          </w:p>
        </w:tc>
        <w:tc>
          <w:tcPr>
            <w:tcW w:w="5733"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rPr>
                <w:rFonts w:ascii="宋体" w:hAnsi="宋体"/>
                <w:szCs w:val="21"/>
              </w:rPr>
            </w:pPr>
            <w:r>
              <w:rPr>
                <w:rFonts w:hint="eastAsia"/>
                <w:szCs w:val="21"/>
                <w:highlight w:val="none"/>
              </w:rPr>
              <w:t>投标文件按规定的格式填写，主要内容</w:t>
            </w:r>
            <w:r>
              <w:rPr>
                <w:rFonts w:hint="eastAsia"/>
                <w:szCs w:val="21"/>
                <w:highlight w:val="none"/>
                <w:lang w:val="en-US" w:eastAsia="zh-CN"/>
              </w:rPr>
              <w:t>齐</w:t>
            </w:r>
            <w:r>
              <w:rPr>
                <w:rFonts w:hint="eastAsia"/>
                <w:szCs w:val="21"/>
                <w:highlight w:val="none"/>
              </w:rPr>
              <w:t>全。</w:t>
            </w:r>
          </w:p>
        </w:tc>
        <w:tc>
          <w:tcPr>
            <w:tcW w:w="1059"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1059" w:type="dxa"/>
            <w:tcBorders>
              <w:top w:val="single" w:color="auto" w:sz="4" w:space="0"/>
              <w:left w:val="single" w:color="auto" w:sz="4" w:space="0"/>
              <w:bottom w:val="single" w:color="auto" w:sz="4" w:space="0"/>
              <w:right w:val="single" w:color="auto" w:sz="4" w:space="0"/>
            </w:tcBorders>
            <w:vAlign w:val="top"/>
          </w:tcPr>
          <w:p>
            <w:pPr>
              <w:rPr>
                <w:rFonts w:ascii="宋体" w:hAnsi="宋体"/>
                <w:szCs w:val="21"/>
              </w:rPr>
            </w:pPr>
          </w:p>
        </w:tc>
        <w:tc>
          <w:tcPr>
            <w:tcW w:w="1059" w:type="dxa"/>
            <w:tcBorders>
              <w:top w:val="single" w:color="auto" w:sz="4" w:space="0"/>
              <w:left w:val="single" w:color="auto" w:sz="4" w:space="0"/>
              <w:bottom w:val="single" w:color="auto" w:sz="4" w:space="0"/>
              <w:right w:val="single" w:color="auto" w:sz="4" w:space="0"/>
            </w:tcBorders>
            <w:vAlign w:val="top"/>
          </w:tcPr>
          <w:p>
            <w:pPr>
              <w:rPr>
                <w:rFonts w:ascii="宋体" w:hAnsi="宋体"/>
                <w:szCs w:val="21"/>
              </w:rPr>
            </w:pPr>
          </w:p>
        </w:tc>
      </w:tr>
      <w:tr>
        <w:tblPrEx>
          <w:tblCellMar>
            <w:top w:w="0" w:type="dxa"/>
            <w:left w:w="108" w:type="dxa"/>
            <w:bottom w:w="0" w:type="dxa"/>
            <w:right w:w="108" w:type="dxa"/>
          </w:tblCellMar>
        </w:tblPrEx>
        <w:trPr>
          <w:trHeight w:val="417" w:hRule="atLeast"/>
          <w:jc w:val="center"/>
        </w:trPr>
        <w:tc>
          <w:tcPr>
            <w:tcW w:w="6405" w:type="dxa"/>
            <w:gridSpan w:val="2"/>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szCs w:val="21"/>
              </w:rPr>
            </w:pPr>
            <w:r>
              <w:rPr>
                <w:rFonts w:hint="eastAsia" w:ascii="宋体" w:hAnsi="宋体"/>
                <w:szCs w:val="21"/>
                <w:highlight w:val="none"/>
              </w:rPr>
              <w:t>结论</w:t>
            </w:r>
          </w:p>
        </w:tc>
        <w:tc>
          <w:tcPr>
            <w:tcW w:w="1059"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shd w:val="pct10" w:color="auto" w:fill="FFFFFF"/>
              </w:rPr>
            </w:pPr>
          </w:p>
        </w:tc>
        <w:tc>
          <w:tcPr>
            <w:tcW w:w="1059" w:type="dxa"/>
            <w:tcBorders>
              <w:top w:val="single" w:color="auto" w:sz="4" w:space="0"/>
              <w:left w:val="single" w:color="auto" w:sz="4" w:space="0"/>
              <w:bottom w:val="single" w:color="auto" w:sz="4" w:space="0"/>
              <w:right w:val="single" w:color="auto" w:sz="4" w:space="0"/>
            </w:tcBorders>
            <w:vAlign w:val="top"/>
          </w:tcPr>
          <w:p>
            <w:pPr>
              <w:rPr>
                <w:rFonts w:ascii="宋体" w:hAnsi="宋体"/>
                <w:szCs w:val="21"/>
                <w:shd w:val="pct10" w:color="auto" w:fill="FFFFFF"/>
              </w:rPr>
            </w:pPr>
          </w:p>
        </w:tc>
        <w:tc>
          <w:tcPr>
            <w:tcW w:w="1059" w:type="dxa"/>
            <w:tcBorders>
              <w:top w:val="single" w:color="auto" w:sz="4" w:space="0"/>
              <w:left w:val="single" w:color="auto" w:sz="4" w:space="0"/>
              <w:bottom w:val="single" w:color="auto" w:sz="4" w:space="0"/>
              <w:right w:val="single" w:color="auto" w:sz="4" w:space="0"/>
            </w:tcBorders>
            <w:vAlign w:val="top"/>
          </w:tcPr>
          <w:p>
            <w:pPr>
              <w:rPr>
                <w:rFonts w:ascii="宋体" w:hAnsi="宋体"/>
                <w:szCs w:val="21"/>
                <w:shd w:val="pct10" w:color="auto" w:fill="FFFFFF"/>
              </w:rPr>
            </w:pPr>
          </w:p>
        </w:tc>
      </w:tr>
    </w:tbl>
    <w:p>
      <w:pPr>
        <w:tabs>
          <w:tab w:val="left" w:pos="720"/>
        </w:tabs>
        <w:snapToGrid w:val="0"/>
        <w:rPr>
          <w:rFonts w:ascii="宋体" w:hAnsi="宋体" w:cs="宋体"/>
          <w:bCs/>
          <w:szCs w:val="21"/>
        </w:rPr>
      </w:pPr>
      <w:r>
        <w:rPr>
          <w:rFonts w:hint="eastAsia" w:ascii="宋体" w:hAnsi="宋体"/>
          <w:szCs w:val="21"/>
        </w:rPr>
        <w:t>注：</w:t>
      </w:r>
      <w:r>
        <w:rPr>
          <w:rFonts w:hint="eastAsia" w:ascii="宋体" w:hAnsi="宋体" w:cs="宋体"/>
          <w:bCs/>
          <w:szCs w:val="21"/>
        </w:rPr>
        <w:t>1、根据本表的审查项目，符合的填“○”，不符合的填“×”，评审结论填“通过“或“不通过”。</w:t>
      </w:r>
    </w:p>
    <w:p>
      <w:pPr>
        <w:tabs>
          <w:tab w:val="left" w:pos="720"/>
        </w:tabs>
        <w:snapToGrid w:val="0"/>
        <w:ind w:firstLine="420" w:firstLineChars="200"/>
        <w:rPr>
          <w:rFonts w:ascii="宋体" w:hAnsi="宋体" w:cs="宋体"/>
          <w:bCs/>
          <w:szCs w:val="21"/>
        </w:rPr>
      </w:pPr>
      <w:r>
        <w:rPr>
          <w:rFonts w:hint="eastAsia" w:ascii="宋体" w:hAnsi="宋体" w:cs="宋体"/>
          <w:bCs/>
          <w:szCs w:val="21"/>
        </w:rPr>
        <w:t>2、</w:t>
      </w:r>
      <w:r>
        <w:rPr>
          <w:rFonts w:hint="eastAsia" w:ascii="宋体" w:hAnsi="宋体" w:cs="宋体"/>
          <w:bCs/>
          <w:szCs w:val="21"/>
          <w:lang w:val="en-US" w:eastAsia="zh-CN"/>
        </w:rPr>
        <w:t>本</w:t>
      </w:r>
      <w:r>
        <w:rPr>
          <w:rFonts w:hint="eastAsia" w:ascii="宋体" w:hAnsi="宋体" w:cs="宋体"/>
          <w:bCs/>
          <w:szCs w:val="21"/>
        </w:rPr>
        <w:t>表中出现一个或以上“×”，即该投标人的评审“结论”为“不通过”，即该投标人不进入下一阶段评审。</w:t>
      </w:r>
    </w:p>
    <w:p>
      <w:pPr>
        <w:tabs>
          <w:tab w:val="left" w:pos="720"/>
        </w:tabs>
        <w:snapToGrid w:val="0"/>
        <w:ind w:firstLine="420" w:firstLineChars="200"/>
        <w:rPr>
          <w:rFonts w:ascii="宋体" w:hAnsi="宋体" w:cs="宋体"/>
          <w:bCs/>
          <w:szCs w:val="21"/>
        </w:rPr>
      </w:pPr>
      <w:r>
        <w:rPr>
          <w:rFonts w:hint="eastAsia" w:ascii="宋体" w:hAnsi="宋体" w:cs="宋体"/>
          <w:bCs/>
          <w:szCs w:val="21"/>
        </w:rPr>
        <w:t>3、本表中评审项目全部为“○”，投标人的评审结论为“通过”，即该投标人进入下一阶段评审。</w:t>
      </w:r>
    </w:p>
    <w:p>
      <w:pPr>
        <w:ind w:firstLine="420" w:firstLineChars="200"/>
        <w:rPr>
          <w:rFonts w:hint="eastAsia" w:ascii="宋体" w:hAnsi="宋体" w:cs="宋体"/>
          <w:bCs/>
          <w:szCs w:val="21"/>
        </w:rPr>
      </w:pPr>
      <w:r>
        <w:rPr>
          <w:rFonts w:hint="eastAsia" w:ascii="宋体" w:hAnsi="宋体" w:cs="宋体"/>
          <w:bCs/>
          <w:szCs w:val="21"/>
        </w:rPr>
        <w:t>4、如对本表中某种情形的评审意见不一致时，以评审组过半数成员的意见作为评审组对该情形的认定结论。</w:t>
      </w:r>
    </w:p>
    <w:p>
      <w:pPr>
        <w:ind w:firstLine="420" w:firstLineChars="200"/>
      </w:pPr>
    </w:p>
    <w:p>
      <w:pPr>
        <w:pStyle w:val="21"/>
        <w:rPr>
          <w:rFonts w:hAnsi="宋体"/>
          <w:szCs w:val="21"/>
        </w:rPr>
      </w:pPr>
    </w:p>
    <w:p>
      <w:pPr>
        <w:pStyle w:val="21"/>
        <w:rPr>
          <w:rFonts w:hAnsi="宋体"/>
          <w:b/>
          <w:sz w:val="21"/>
          <w:szCs w:val="21"/>
        </w:rPr>
      </w:pPr>
      <w:r>
        <w:rPr>
          <w:rFonts w:hint="eastAsia" w:hAnsi="宋体"/>
          <w:sz w:val="21"/>
          <w:szCs w:val="21"/>
        </w:rPr>
        <w:t>评委</w:t>
      </w:r>
      <w:r>
        <w:rPr>
          <w:rFonts w:hint="eastAsia" w:hAnsi="宋体"/>
          <w:sz w:val="21"/>
          <w:szCs w:val="21"/>
          <w:lang w:val="en-US" w:eastAsia="zh-CN"/>
        </w:rPr>
        <w:t>专家</w:t>
      </w:r>
      <w:r>
        <w:rPr>
          <w:rFonts w:hint="eastAsia" w:hAnsi="宋体"/>
          <w:sz w:val="21"/>
          <w:szCs w:val="21"/>
        </w:rPr>
        <w:t>签名：</w:t>
      </w:r>
      <w:r>
        <w:rPr>
          <w:rFonts w:hint="eastAsia" w:hAnsi="宋体"/>
          <w:sz w:val="21"/>
          <w:szCs w:val="21"/>
          <w:lang w:val="en-US" w:eastAsia="zh-CN"/>
        </w:rPr>
        <w:t xml:space="preserve">                                      </w:t>
      </w:r>
      <w:r>
        <w:rPr>
          <w:rFonts w:hint="eastAsia" w:hAnsi="宋体"/>
          <w:sz w:val="21"/>
          <w:szCs w:val="21"/>
        </w:rPr>
        <w:t>日期：</w:t>
      </w:r>
    </w:p>
    <w:p>
      <w:pPr>
        <w:spacing w:line="400" w:lineRule="exact"/>
        <w:rPr>
          <w:rFonts w:ascii="宋体" w:hAnsi="宋体"/>
          <w:b/>
          <w:sz w:val="28"/>
          <w:szCs w:val="28"/>
        </w:rPr>
        <w:sectPr>
          <w:pgSz w:w="11906" w:h="16838"/>
          <w:pgMar w:top="1440" w:right="1134" w:bottom="1440" w:left="1134" w:header="851" w:footer="992" w:gutter="0"/>
          <w:pgBorders>
            <w:top w:val="none" w:sz="0" w:space="0"/>
            <w:left w:val="none" w:sz="0" w:space="0"/>
            <w:bottom w:val="none" w:sz="0" w:space="0"/>
            <w:right w:val="none" w:sz="0" w:space="0"/>
          </w:pgBorders>
          <w:cols w:space="720" w:num="1"/>
          <w:docGrid w:type="lines" w:linePitch="312" w:charSpace="0"/>
        </w:sectPr>
      </w:pPr>
    </w:p>
    <w:p>
      <w:pPr>
        <w:rPr>
          <w:rFonts w:ascii="宋体" w:hAnsi="宋体"/>
          <w:szCs w:val="21"/>
        </w:rPr>
      </w:pPr>
      <w:r>
        <w:rPr>
          <w:rFonts w:hint="eastAsia" w:ascii="宋体" w:hAnsi="宋体"/>
          <w:b/>
          <w:sz w:val="28"/>
          <w:szCs w:val="28"/>
        </w:rPr>
        <w:t>附表3</w:t>
      </w:r>
      <w:r>
        <w:rPr>
          <w:rFonts w:ascii="宋体" w:hAnsi="宋体"/>
          <w:b/>
          <w:sz w:val="28"/>
          <w:szCs w:val="28"/>
        </w:rPr>
        <w:t>：</w:t>
      </w:r>
    </w:p>
    <w:p>
      <w:pPr>
        <w:spacing w:line="360" w:lineRule="auto"/>
        <w:jc w:val="center"/>
        <w:rPr>
          <w:rFonts w:ascii="黑体" w:hAnsi="黑体" w:eastAsia="黑体" w:cs="黑体"/>
          <w:b/>
          <w:sz w:val="32"/>
          <w:szCs w:val="32"/>
        </w:rPr>
      </w:pPr>
      <w:r>
        <w:rPr>
          <w:rFonts w:hint="eastAsia" w:ascii="黑体" w:hAnsi="黑体" w:eastAsia="黑体" w:cs="黑体"/>
          <w:b/>
          <w:sz w:val="32"/>
          <w:szCs w:val="32"/>
        </w:rPr>
        <w:t>工程实施方案（含资信部分）文件评分表</w:t>
      </w:r>
    </w:p>
    <w:p>
      <w:pPr>
        <w:jc w:val="left"/>
        <w:rPr>
          <w:szCs w:val="21"/>
        </w:rPr>
      </w:pPr>
      <w:r>
        <w:rPr>
          <w:rFonts w:hint="eastAsia"/>
          <w:szCs w:val="21"/>
        </w:rPr>
        <w:t>项目名称：</w:t>
      </w:r>
    </w:p>
    <w:tbl>
      <w:tblPr>
        <w:tblStyle w:val="41"/>
        <w:tblW w:w="13938" w:type="dxa"/>
        <w:tblInd w:w="1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1"/>
        <w:gridCol w:w="1604"/>
        <w:gridCol w:w="703"/>
        <w:gridCol w:w="105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1" w:type="dxa"/>
            <w:vAlign w:val="center"/>
          </w:tcPr>
          <w:p>
            <w:pPr>
              <w:spacing w:line="360" w:lineRule="exact"/>
              <w:jc w:val="center"/>
              <w:rPr>
                <w:rFonts w:ascii="宋体" w:hAnsi="宋体"/>
                <w:b/>
                <w:sz w:val="28"/>
                <w:szCs w:val="28"/>
                <w:vertAlign w:val="baseline"/>
              </w:rPr>
            </w:pPr>
            <w:r>
              <w:rPr>
                <w:rFonts w:hint="eastAsia"/>
                <w:szCs w:val="21"/>
              </w:rPr>
              <w:t>评分项目</w:t>
            </w:r>
          </w:p>
        </w:tc>
        <w:tc>
          <w:tcPr>
            <w:tcW w:w="1604" w:type="dxa"/>
            <w:vAlign w:val="center"/>
          </w:tcPr>
          <w:p>
            <w:pPr>
              <w:spacing w:line="360" w:lineRule="exact"/>
              <w:jc w:val="center"/>
              <w:rPr>
                <w:rFonts w:ascii="宋体" w:hAnsi="宋体"/>
                <w:b/>
                <w:sz w:val="28"/>
                <w:szCs w:val="28"/>
                <w:vertAlign w:val="baseline"/>
              </w:rPr>
            </w:pPr>
            <w:r>
              <w:rPr>
                <w:rFonts w:hint="eastAsia"/>
                <w:szCs w:val="21"/>
              </w:rPr>
              <w:t>评分内容</w:t>
            </w:r>
          </w:p>
        </w:tc>
        <w:tc>
          <w:tcPr>
            <w:tcW w:w="703" w:type="dxa"/>
            <w:vAlign w:val="center"/>
          </w:tcPr>
          <w:p>
            <w:pPr>
              <w:spacing w:line="360" w:lineRule="exact"/>
              <w:jc w:val="center"/>
              <w:rPr>
                <w:rFonts w:ascii="宋体" w:hAnsi="宋体"/>
                <w:b/>
                <w:sz w:val="28"/>
                <w:szCs w:val="28"/>
                <w:vertAlign w:val="baseline"/>
              </w:rPr>
            </w:pPr>
            <w:r>
              <w:rPr>
                <w:rFonts w:hint="eastAsia"/>
                <w:szCs w:val="21"/>
              </w:rPr>
              <w:t>分值</w:t>
            </w:r>
          </w:p>
        </w:tc>
        <w:tc>
          <w:tcPr>
            <w:tcW w:w="10500" w:type="dxa"/>
            <w:vAlign w:val="center"/>
          </w:tcPr>
          <w:p>
            <w:pPr>
              <w:spacing w:line="360" w:lineRule="exact"/>
              <w:jc w:val="center"/>
              <w:rPr>
                <w:rFonts w:ascii="宋体" w:hAnsi="宋体"/>
                <w:b/>
                <w:sz w:val="28"/>
                <w:szCs w:val="28"/>
                <w:vertAlign w:val="baseline"/>
              </w:rPr>
            </w:pPr>
            <w:r>
              <w:rPr>
                <w:rFonts w:hint="eastAsia"/>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1" w:type="dxa"/>
            <w:vMerge w:val="restart"/>
            <w:vAlign w:val="center"/>
          </w:tcPr>
          <w:p>
            <w:pPr>
              <w:spacing w:line="360" w:lineRule="exact"/>
              <w:jc w:val="center"/>
              <w:rPr>
                <w:rFonts w:hint="eastAsia" w:ascii="Calibri" w:hAnsi="Calibri"/>
                <w:b w:val="0"/>
                <w:sz w:val="21"/>
                <w:szCs w:val="21"/>
                <w:vertAlign w:val="baseline"/>
              </w:rPr>
            </w:pPr>
            <w:r>
              <w:rPr>
                <w:rFonts w:hint="eastAsia" w:ascii="宋体" w:hAnsi="宋体" w:cs="宋体"/>
                <w:b w:val="0"/>
                <w:sz w:val="21"/>
                <w:szCs w:val="21"/>
                <w:vertAlign w:val="baseline"/>
              </w:rPr>
              <w:t>一、企业资信及团队实力（</w:t>
            </w:r>
            <w:r>
              <w:rPr>
                <w:rFonts w:hint="eastAsia" w:ascii="宋体" w:hAnsi="宋体" w:cs="宋体"/>
                <w:b w:val="0"/>
                <w:sz w:val="21"/>
                <w:szCs w:val="21"/>
                <w:vertAlign w:val="baseline"/>
                <w:lang w:val="en-US" w:eastAsia="zh-CN"/>
              </w:rPr>
              <w:t>3</w:t>
            </w:r>
            <w:r>
              <w:rPr>
                <w:rFonts w:hint="eastAsia" w:ascii="宋体" w:hAnsi="宋体" w:eastAsia="宋体" w:cs="宋体"/>
                <w:b w:val="0"/>
                <w:sz w:val="21"/>
                <w:szCs w:val="21"/>
                <w:vertAlign w:val="baseline"/>
                <w:lang w:val="en-US" w:eastAsia="zh-CN"/>
              </w:rPr>
              <w:t>0</w:t>
            </w:r>
            <w:r>
              <w:rPr>
                <w:rFonts w:hint="eastAsia" w:ascii="宋体" w:hAnsi="宋体" w:cs="宋体"/>
                <w:b w:val="0"/>
                <w:sz w:val="21"/>
                <w:szCs w:val="21"/>
                <w:vertAlign w:val="baseline"/>
              </w:rPr>
              <w:t>分）</w:t>
            </w:r>
          </w:p>
        </w:tc>
        <w:tc>
          <w:tcPr>
            <w:tcW w:w="1604" w:type="dxa"/>
            <w:vAlign w:val="center"/>
          </w:tcPr>
          <w:p>
            <w:pPr>
              <w:spacing w:line="360" w:lineRule="exact"/>
              <w:jc w:val="center"/>
              <w:rPr>
                <w:rFonts w:hint="eastAsia" w:ascii="Calibri" w:hAnsi="Calibri"/>
                <w:b w:val="0"/>
                <w:sz w:val="21"/>
                <w:szCs w:val="21"/>
                <w:vertAlign w:val="baseline"/>
              </w:rPr>
            </w:pPr>
            <w:r>
              <w:rPr>
                <w:rFonts w:hint="eastAsia" w:ascii="Calibri" w:hAnsi="Calibri"/>
                <w:b w:val="0"/>
                <w:sz w:val="21"/>
                <w:szCs w:val="21"/>
                <w:vertAlign w:val="baseline"/>
              </w:rPr>
              <w:t>企业信誉</w:t>
            </w:r>
          </w:p>
        </w:tc>
        <w:tc>
          <w:tcPr>
            <w:tcW w:w="703" w:type="dxa"/>
            <w:vAlign w:val="center"/>
          </w:tcPr>
          <w:p>
            <w:pPr>
              <w:spacing w:line="360" w:lineRule="exact"/>
              <w:jc w:val="center"/>
              <w:rPr>
                <w:rFonts w:hint="eastAsia" w:ascii="宋体" w:hAnsi="宋体" w:cs="宋体"/>
                <w:b w:val="0"/>
                <w:sz w:val="21"/>
                <w:szCs w:val="21"/>
                <w:vertAlign w:val="baseline"/>
              </w:rPr>
            </w:pPr>
            <w:r>
              <w:rPr>
                <w:rFonts w:hint="eastAsia" w:ascii="宋体" w:hAnsi="宋体" w:eastAsia="宋体" w:cs="宋体"/>
                <w:b w:val="0"/>
                <w:sz w:val="21"/>
                <w:szCs w:val="21"/>
                <w:vertAlign w:val="baseline"/>
                <w:lang w:eastAsia="zh-CN"/>
              </w:rPr>
              <w:t>3</w:t>
            </w:r>
          </w:p>
        </w:tc>
        <w:tc>
          <w:tcPr>
            <w:tcW w:w="10500" w:type="dxa"/>
            <w:vAlign w:val="center"/>
          </w:tcPr>
          <w:p>
            <w:pPr>
              <w:jc w:val="left"/>
              <w:rPr>
                <w:rFonts w:ascii="宋体" w:hAnsi="宋体" w:cs="宋体"/>
                <w:color w:val="000000" w:themeColor="text1"/>
                <w14:textFill>
                  <w14:solidFill>
                    <w14:schemeClr w14:val="tx1"/>
                  </w14:solidFill>
                </w14:textFill>
              </w:rPr>
            </w:pPr>
            <w:r>
              <w:rPr>
                <w:rFonts w:hint="eastAsia" w:ascii="宋体" w:hAnsi="宋体" w:cs="宋体"/>
                <w:kern w:val="0"/>
                <w:szCs w:val="21"/>
              </w:rPr>
              <w:t>投标人</w:t>
            </w:r>
            <w:r>
              <w:rPr>
                <w:rFonts w:hint="eastAsia" w:ascii="宋体" w:hAnsi="宋体" w:cs="宋体"/>
                <w:color w:val="000000" w:themeColor="text1"/>
                <w14:textFill>
                  <w14:solidFill>
                    <w14:schemeClr w14:val="tx1"/>
                  </w14:solidFill>
                </w14:textFill>
              </w:rPr>
              <w:t>具备ISO9001质量管理体系认证证书（有效期内）的，得</w:t>
            </w:r>
            <w:r>
              <w:rPr>
                <w:rFonts w:hint="eastAsia" w:ascii="宋体" w:hAnsi="宋体" w:cs="宋体"/>
                <w:color w:val="000000" w:themeColor="text1"/>
                <w:lang w:val="en-US" w:eastAsia="zh-CN"/>
                <w14:textFill>
                  <w14:solidFill>
                    <w14:schemeClr w14:val="tx1"/>
                  </w14:solidFill>
                </w14:textFill>
              </w:rPr>
              <w:t>3分</w:t>
            </w:r>
            <w:r>
              <w:rPr>
                <w:rFonts w:hint="eastAsia" w:ascii="宋体" w:hAnsi="宋体" w:cs="宋体"/>
                <w:color w:val="000000" w:themeColor="text1"/>
                <w14:textFill>
                  <w14:solidFill>
                    <w14:schemeClr w14:val="tx1"/>
                  </w14:solidFill>
                </w14:textFill>
              </w:rPr>
              <w:t>，其余情况得0分，本项最高得</w:t>
            </w:r>
            <w:r>
              <w:rPr>
                <w:rFonts w:hint="eastAsia" w:ascii="宋体" w:hAnsi="宋体" w:cs="宋体"/>
                <w:color w:val="000000" w:themeColor="text1"/>
                <w:lang w:val="en-US" w:eastAsia="zh-CN"/>
                <w14:textFill>
                  <w14:solidFill>
                    <w14:schemeClr w14:val="tx1"/>
                  </w14:solidFill>
                </w14:textFill>
              </w:rPr>
              <w:t>3</w:t>
            </w:r>
            <w:r>
              <w:rPr>
                <w:rFonts w:hint="eastAsia" w:ascii="宋体" w:hAnsi="宋体" w:cs="宋体"/>
                <w:color w:val="000000" w:themeColor="text1"/>
                <w14:textFill>
                  <w14:solidFill>
                    <w14:schemeClr w14:val="tx1"/>
                  </w14:solidFill>
                </w14:textFill>
              </w:rPr>
              <w:t>分。</w:t>
            </w:r>
          </w:p>
          <w:p>
            <w:pPr>
              <w:spacing w:line="360" w:lineRule="exact"/>
              <w:jc w:val="left"/>
              <w:rPr>
                <w:rFonts w:hint="eastAsia" w:ascii="Calibri" w:hAnsi="Calibri"/>
                <w:b w:val="0"/>
                <w:sz w:val="21"/>
                <w:szCs w:val="21"/>
                <w:vertAlign w:val="baseline"/>
              </w:rPr>
            </w:pPr>
            <w:r>
              <w:rPr>
                <w:rFonts w:hint="eastAsia" w:ascii="宋体" w:hAnsi="宋体" w:cs="宋体"/>
                <w:color w:val="000000" w:themeColor="text1"/>
                <w14:textFill>
                  <w14:solidFill>
                    <w14:schemeClr w14:val="tx1"/>
                  </w14:solidFill>
                </w14:textFill>
              </w:rPr>
              <w:t>（需提供相关有效管理体系认证证书复印件作为评审依据，否则不得分）</w:t>
            </w:r>
            <w:r>
              <w:rPr>
                <w:rFonts w:hint="eastAsia" w:ascii="宋体" w:hAnsi="宋体" w:cs="宋体"/>
                <w:color w:val="000000" w:themeColor="text1"/>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1" w:type="dxa"/>
            <w:vMerge w:val="continue"/>
            <w:vAlign w:val="center"/>
          </w:tcPr>
          <w:p>
            <w:pPr>
              <w:spacing w:line="360" w:lineRule="exact"/>
              <w:jc w:val="center"/>
              <w:rPr>
                <w:rFonts w:hint="eastAsia" w:ascii="Calibri" w:hAnsi="Calibri"/>
                <w:b w:val="0"/>
                <w:sz w:val="21"/>
                <w:szCs w:val="21"/>
                <w:vertAlign w:val="baseline"/>
              </w:rPr>
            </w:pPr>
          </w:p>
        </w:tc>
        <w:tc>
          <w:tcPr>
            <w:tcW w:w="1604" w:type="dxa"/>
            <w:vAlign w:val="center"/>
          </w:tcPr>
          <w:p>
            <w:pPr>
              <w:spacing w:line="360" w:lineRule="exact"/>
              <w:jc w:val="center"/>
              <w:rPr>
                <w:rFonts w:hint="eastAsia" w:ascii="Calibri" w:hAnsi="Calibri"/>
                <w:b w:val="0"/>
                <w:sz w:val="21"/>
                <w:szCs w:val="21"/>
                <w:vertAlign w:val="baseline"/>
              </w:rPr>
            </w:pPr>
            <w:r>
              <w:rPr>
                <w:rFonts w:hint="eastAsia" w:ascii="Calibri" w:hAnsi="Calibri"/>
                <w:b w:val="0"/>
                <w:sz w:val="21"/>
                <w:szCs w:val="21"/>
                <w:vertAlign w:val="baseline"/>
              </w:rPr>
              <w:t>企业类似业绩</w:t>
            </w:r>
          </w:p>
        </w:tc>
        <w:tc>
          <w:tcPr>
            <w:tcW w:w="703" w:type="dxa"/>
            <w:vAlign w:val="center"/>
          </w:tcPr>
          <w:p>
            <w:pPr>
              <w:spacing w:line="360" w:lineRule="exact"/>
              <w:jc w:val="center"/>
              <w:rPr>
                <w:rFonts w:hint="default" w:ascii="宋体" w:hAnsi="宋体" w:cs="宋体"/>
                <w:b w:val="0"/>
                <w:sz w:val="21"/>
                <w:szCs w:val="21"/>
                <w:vertAlign w:val="baseline"/>
                <w:lang w:val="en-US"/>
              </w:rPr>
            </w:pPr>
            <w:r>
              <w:rPr>
                <w:rFonts w:hint="eastAsia" w:ascii="宋体" w:hAnsi="宋体" w:cs="宋体"/>
                <w:sz w:val="21"/>
                <w:szCs w:val="21"/>
                <w:lang w:val="en-US" w:eastAsia="zh-CN"/>
              </w:rPr>
              <w:t>20</w:t>
            </w:r>
          </w:p>
        </w:tc>
        <w:tc>
          <w:tcPr>
            <w:tcW w:w="10500" w:type="dxa"/>
            <w:vAlign w:val="center"/>
          </w:tcPr>
          <w:p>
            <w:pPr>
              <w:pStyle w:val="69"/>
              <w:wordWrap w:val="0"/>
              <w:topLinePunct/>
              <w:autoSpaceDE w:val="0"/>
              <w:autoSpaceDN w:val="0"/>
              <w:adjustRightInd w:val="0"/>
              <w:spacing w:line="360" w:lineRule="exact"/>
              <w:jc w:val="left"/>
              <w:rPr>
                <w:rFonts w:hint="eastAsia" w:ascii="Calibri" w:hAnsi="Calibri" w:cs="Times New Roman"/>
                <w:b w:val="0"/>
                <w:sz w:val="21"/>
                <w:szCs w:val="21"/>
                <w:vertAlign w:val="baseline"/>
              </w:rPr>
            </w:pPr>
            <w:r>
              <w:rPr>
                <w:rFonts w:hint="eastAsia" w:ascii="宋体" w:hAnsi="宋体" w:cs="宋体"/>
                <w:kern w:val="0"/>
                <w:szCs w:val="21"/>
              </w:rPr>
              <w:t>投标人201</w:t>
            </w:r>
            <w:r>
              <w:rPr>
                <w:rFonts w:hint="eastAsia" w:ascii="宋体" w:hAnsi="宋体" w:cs="宋体"/>
                <w:kern w:val="0"/>
                <w:szCs w:val="21"/>
                <w:lang w:val="en-US" w:eastAsia="zh-CN"/>
              </w:rPr>
              <w:t>9</w:t>
            </w:r>
            <w:r>
              <w:rPr>
                <w:rFonts w:hint="eastAsia" w:ascii="宋体" w:hAnsi="宋体" w:cs="宋体"/>
                <w:kern w:val="0"/>
                <w:szCs w:val="21"/>
              </w:rPr>
              <w:t>年1月1日以来承接的具有</w:t>
            </w:r>
            <w:r>
              <w:rPr>
                <w:rFonts w:hint="eastAsia" w:ascii="宋体" w:hAnsi="宋体" w:cs="宋体"/>
                <w:kern w:val="0"/>
                <w:szCs w:val="21"/>
                <w:lang w:val="en-US" w:eastAsia="zh-CN"/>
              </w:rPr>
              <w:t>电力建筑</w:t>
            </w:r>
            <w:r>
              <w:rPr>
                <w:rFonts w:hint="eastAsia" w:ascii="宋体" w:hAnsi="宋体" w:cs="宋体"/>
                <w:kern w:val="0"/>
                <w:szCs w:val="21"/>
              </w:rPr>
              <w:t>工程</w:t>
            </w:r>
            <w:r>
              <w:rPr>
                <w:rFonts w:hint="eastAsia" w:ascii="宋体" w:hAnsi="宋体" w:cs="宋体"/>
                <w:kern w:val="0"/>
                <w:szCs w:val="21"/>
                <w:lang w:eastAsia="zh-CN"/>
              </w:rPr>
              <w:t>（</w:t>
            </w:r>
            <w:r>
              <w:rPr>
                <w:rFonts w:hint="eastAsia" w:ascii="宋体" w:hAnsi="宋体" w:cs="宋体"/>
                <w:kern w:val="0"/>
                <w:szCs w:val="21"/>
                <w:lang w:val="en-US" w:eastAsia="zh-CN"/>
              </w:rPr>
              <w:t>或电气工程专业</w:t>
            </w:r>
            <w:r>
              <w:rPr>
                <w:rFonts w:hint="eastAsia" w:ascii="宋体" w:hAnsi="宋体" w:cs="宋体"/>
                <w:kern w:val="0"/>
                <w:szCs w:val="21"/>
                <w:lang w:eastAsia="zh-CN"/>
              </w:rPr>
              <w:t>）</w:t>
            </w:r>
            <w:r>
              <w:rPr>
                <w:rFonts w:hint="eastAsia" w:ascii="宋体" w:hAnsi="宋体" w:cs="宋体"/>
                <w:kern w:val="0"/>
                <w:szCs w:val="21"/>
              </w:rPr>
              <w:t>类项目业绩，每提供一项得</w:t>
            </w:r>
            <w:r>
              <w:rPr>
                <w:rFonts w:hint="eastAsia" w:ascii="宋体" w:hAnsi="宋体" w:cs="宋体"/>
                <w:kern w:val="0"/>
                <w:szCs w:val="21"/>
                <w:lang w:val="en-US" w:eastAsia="zh-CN"/>
              </w:rPr>
              <w:t>5</w:t>
            </w:r>
            <w:r>
              <w:rPr>
                <w:rFonts w:hint="eastAsia" w:ascii="宋体" w:hAnsi="宋体" w:cs="宋体"/>
                <w:kern w:val="0"/>
                <w:szCs w:val="21"/>
              </w:rPr>
              <w:t>分，最高得</w:t>
            </w:r>
            <w:r>
              <w:rPr>
                <w:rFonts w:hint="eastAsia" w:ascii="宋体" w:hAnsi="宋体" w:cs="宋体"/>
                <w:kern w:val="0"/>
                <w:szCs w:val="21"/>
                <w:lang w:val="en-US" w:eastAsia="zh-CN"/>
              </w:rPr>
              <w:t>20</w:t>
            </w:r>
            <w:r>
              <w:rPr>
                <w:rFonts w:hint="eastAsia" w:ascii="宋体" w:hAnsi="宋体" w:cs="宋体"/>
                <w:kern w:val="0"/>
                <w:szCs w:val="21"/>
              </w:rPr>
              <w:t>分。（以合同签订时间为准，须提供合同复印件加盖投标人公章</w:t>
            </w:r>
            <w:r>
              <w:rPr>
                <w:rFonts w:hint="eastAsia" w:ascii="宋体" w:hAnsi="宋体" w:cs="宋体"/>
                <w:kern w:val="0"/>
                <w:szCs w:val="21"/>
                <w:lang w:eastAsia="zh-CN"/>
              </w:rPr>
              <w:t>，</w:t>
            </w:r>
            <w:r>
              <w:rPr>
                <w:rFonts w:hint="eastAsia" w:ascii="宋体" w:hAnsi="宋体" w:eastAsia="宋体" w:cs="宋体"/>
                <w:kern w:val="0"/>
                <w:szCs w:val="21"/>
              </w:rPr>
              <w:t>不提供、提供不全的不得分</w:t>
            </w:r>
            <w:r>
              <w:rPr>
                <w:rFonts w:hint="eastAsia" w:ascii="宋体" w:hAnsi="宋体" w:cs="宋体"/>
                <w:kern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1" w:type="dxa"/>
            <w:vMerge w:val="continue"/>
            <w:vAlign w:val="center"/>
          </w:tcPr>
          <w:p>
            <w:pPr>
              <w:spacing w:line="360" w:lineRule="exact"/>
              <w:jc w:val="center"/>
              <w:rPr>
                <w:rFonts w:hint="eastAsia" w:ascii="Calibri" w:hAnsi="Calibri"/>
                <w:b w:val="0"/>
                <w:sz w:val="21"/>
                <w:szCs w:val="21"/>
                <w:vertAlign w:val="baseline"/>
              </w:rPr>
            </w:pPr>
          </w:p>
        </w:tc>
        <w:tc>
          <w:tcPr>
            <w:tcW w:w="1604" w:type="dxa"/>
            <w:vAlign w:val="center"/>
          </w:tcPr>
          <w:p>
            <w:pPr>
              <w:spacing w:line="360" w:lineRule="exact"/>
              <w:jc w:val="center"/>
              <w:rPr>
                <w:rFonts w:hint="eastAsia" w:ascii="Calibri" w:hAnsi="Calibri"/>
                <w:b w:val="0"/>
                <w:sz w:val="21"/>
                <w:szCs w:val="21"/>
                <w:vertAlign w:val="baseline"/>
              </w:rPr>
            </w:pPr>
            <w:r>
              <w:rPr>
                <w:rFonts w:hint="eastAsia" w:ascii="Calibri" w:hAnsi="Calibri" w:cs="Times New Roman"/>
                <w:b w:val="0"/>
                <w:sz w:val="21"/>
                <w:szCs w:val="21"/>
                <w:vertAlign w:val="baseline"/>
              </w:rPr>
              <w:t>财务情况</w:t>
            </w:r>
          </w:p>
        </w:tc>
        <w:tc>
          <w:tcPr>
            <w:tcW w:w="703" w:type="dxa"/>
            <w:vAlign w:val="center"/>
          </w:tcPr>
          <w:p>
            <w:pPr>
              <w:spacing w:line="360" w:lineRule="exact"/>
              <w:jc w:val="center"/>
              <w:rPr>
                <w:rFonts w:hint="eastAsia" w:ascii="宋体" w:hAnsi="宋体" w:cs="宋体"/>
                <w:b w:val="0"/>
                <w:sz w:val="21"/>
                <w:szCs w:val="21"/>
                <w:vertAlign w:val="baseline"/>
              </w:rPr>
            </w:pPr>
            <w:r>
              <w:rPr>
                <w:rFonts w:hint="eastAsia" w:ascii="宋体" w:hAnsi="宋体" w:cs="宋体"/>
                <w:szCs w:val="21"/>
                <w:lang w:val="en-US" w:eastAsia="zh-CN"/>
              </w:rPr>
              <w:t>3</w:t>
            </w:r>
          </w:p>
        </w:tc>
        <w:tc>
          <w:tcPr>
            <w:tcW w:w="10500" w:type="dxa"/>
            <w:vAlign w:val="center"/>
          </w:tcPr>
          <w:p>
            <w:pPr>
              <w:spacing w:line="360" w:lineRule="exact"/>
              <w:jc w:val="left"/>
              <w:rPr>
                <w:rFonts w:hint="eastAsia" w:ascii="Calibri" w:hAnsi="Calibri"/>
                <w:b w:val="0"/>
                <w:sz w:val="21"/>
                <w:szCs w:val="21"/>
                <w:vertAlign w:val="baseline"/>
              </w:rPr>
            </w:pPr>
            <w:r>
              <w:rPr>
                <w:rFonts w:ascii="宋体" w:hAnsi="宋体" w:cs="宋体"/>
                <w:color w:val="000000" w:themeColor="text1"/>
                <w14:textFill>
                  <w14:solidFill>
                    <w14:schemeClr w14:val="tx1"/>
                  </w14:solidFill>
                </w14:textFill>
              </w:rPr>
              <w:t>投标人近三年（201</w:t>
            </w:r>
            <w:r>
              <w:rPr>
                <w:rFonts w:hint="eastAsia" w:ascii="宋体" w:hAnsi="宋体" w:cs="宋体"/>
                <w:color w:val="000000" w:themeColor="text1"/>
                <w:lang w:val="en-US" w:eastAsia="zh-CN"/>
                <w14:textFill>
                  <w14:solidFill>
                    <w14:schemeClr w14:val="tx1"/>
                  </w14:solidFill>
                </w14:textFill>
              </w:rPr>
              <w:t>9</w:t>
            </w:r>
            <w:r>
              <w:rPr>
                <w:rFonts w:ascii="宋体" w:hAnsi="宋体" w:cs="宋体"/>
                <w:color w:val="000000" w:themeColor="text1"/>
                <w14:textFill>
                  <w14:solidFill>
                    <w14:schemeClr w14:val="tx1"/>
                  </w14:solidFill>
                </w14:textFill>
              </w:rPr>
              <w:t>、20</w:t>
            </w:r>
            <w:r>
              <w:rPr>
                <w:rFonts w:hint="eastAsia" w:ascii="宋体" w:hAnsi="宋体" w:cs="宋体"/>
                <w:color w:val="000000" w:themeColor="text1"/>
                <w:lang w:val="en-US" w:eastAsia="zh-CN"/>
                <w14:textFill>
                  <w14:solidFill>
                    <w14:schemeClr w14:val="tx1"/>
                  </w14:solidFill>
                </w14:textFill>
              </w:rPr>
              <w:t>20</w:t>
            </w:r>
            <w:r>
              <w:rPr>
                <w:rFonts w:ascii="宋体" w:hAnsi="宋体" w:cs="宋体"/>
                <w:color w:val="000000" w:themeColor="text1"/>
                <w14:textFill>
                  <w14:solidFill>
                    <w14:schemeClr w14:val="tx1"/>
                  </w14:solidFill>
                </w14:textFill>
              </w:rPr>
              <w:t>、</w:t>
            </w:r>
            <w:r>
              <w:rPr>
                <w:rFonts w:hint="eastAsia" w:ascii="宋体" w:hAnsi="宋体" w:cs="宋体"/>
                <w:color w:val="000000" w:themeColor="text1"/>
                <w:lang w:val="en-US" w:eastAsia="zh-CN"/>
                <w14:textFill>
                  <w14:solidFill>
                    <w14:schemeClr w14:val="tx1"/>
                  </w14:solidFill>
                </w14:textFill>
              </w:rPr>
              <w:t>2021</w:t>
            </w:r>
            <w:r>
              <w:rPr>
                <w:rFonts w:ascii="宋体" w:hAnsi="宋体" w:cs="宋体"/>
                <w:color w:val="000000" w:themeColor="text1"/>
                <w14:textFill>
                  <w14:solidFill>
                    <w14:schemeClr w14:val="tx1"/>
                  </w14:solidFill>
                </w14:textFill>
              </w:rPr>
              <w:t>年）的财务情况，①其中3年均盈利的，得</w:t>
            </w:r>
            <w:r>
              <w:rPr>
                <w:rFonts w:hint="eastAsia" w:ascii="宋体" w:hAnsi="宋体" w:cs="宋体"/>
                <w:color w:val="000000" w:themeColor="text1"/>
                <w:lang w:val="en-US" w:eastAsia="zh-CN"/>
                <w14:textFill>
                  <w14:solidFill>
                    <w14:schemeClr w14:val="tx1"/>
                  </w14:solidFill>
                </w14:textFill>
              </w:rPr>
              <w:t>3</w:t>
            </w:r>
            <w:r>
              <w:rPr>
                <w:rFonts w:ascii="宋体" w:hAnsi="宋体" w:cs="宋体"/>
                <w:color w:val="000000" w:themeColor="text1"/>
                <w14:textFill>
                  <w14:solidFill>
                    <w14:schemeClr w14:val="tx1"/>
                  </w14:solidFill>
                </w14:textFill>
              </w:rPr>
              <w:t>分；②其他情况不得分。本项最高得</w:t>
            </w:r>
            <w:r>
              <w:rPr>
                <w:rFonts w:hint="eastAsia" w:ascii="宋体" w:hAnsi="宋体" w:cs="宋体"/>
                <w:color w:val="000000" w:themeColor="text1"/>
                <w:lang w:val="en-US" w:eastAsia="zh-CN"/>
                <w14:textFill>
                  <w14:solidFill>
                    <w14:schemeClr w14:val="tx1"/>
                  </w14:solidFill>
                </w14:textFill>
              </w:rPr>
              <w:t>3</w:t>
            </w:r>
            <w:r>
              <w:rPr>
                <w:rFonts w:ascii="宋体" w:hAnsi="宋体" w:cs="宋体"/>
                <w:color w:val="000000" w:themeColor="text1"/>
                <w14:textFill>
                  <w14:solidFill>
                    <w14:schemeClr w14:val="tx1"/>
                  </w14:solidFill>
                </w14:textFill>
              </w:rPr>
              <w:t>分。（以投标人提供以会计师事务所审计的财务报表复印件统计的数据作为评审依据。）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31" w:type="dxa"/>
            <w:vMerge w:val="continue"/>
            <w:vAlign w:val="center"/>
          </w:tcPr>
          <w:p>
            <w:pPr>
              <w:spacing w:line="360" w:lineRule="exact"/>
              <w:jc w:val="center"/>
              <w:rPr>
                <w:rFonts w:hint="eastAsia" w:ascii="Calibri" w:hAnsi="Calibri"/>
                <w:b w:val="0"/>
                <w:sz w:val="21"/>
                <w:szCs w:val="21"/>
                <w:vertAlign w:val="baseline"/>
              </w:rPr>
            </w:pPr>
          </w:p>
        </w:tc>
        <w:tc>
          <w:tcPr>
            <w:tcW w:w="1604" w:type="dxa"/>
            <w:vAlign w:val="center"/>
          </w:tcPr>
          <w:p>
            <w:pPr>
              <w:spacing w:line="360" w:lineRule="exact"/>
              <w:jc w:val="center"/>
              <w:rPr>
                <w:rFonts w:hint="eastAsia" w:ascii="Calibri" w:hAnsi="Calibri"/>
                <w:b w:val="0"/>
                <w:sz w:val="21"/>
                <w:szCs w:val="21"/>
                <w:vertAlign w:val="baseline"/>
              </w:rPr>
            </w:pPr>
            <w:r>
              <w:rPr>
                <w:rFonts w:hint="eastAsia" w:ascii="Calibri" w:hAnsi="Calibri" w:cs="Times New Roman"/>
                <w:b w:val="0"/>
                <w:sz w:val="21"/>
                <w:szCs w:val="21"/>
                <w:vertAlign w:val="baseline"/>
              </w:rPr>
              <w:t>拟投入项目管理机构及人员情况</w:t>
            </w:r>
          </w:p>
        </w:tc>
        <w:tc>
          <w:tcPr>
            <w:tcW w:w="703" w:type="dxa"/>
            <w:vAlign w:val="center"/>
          </w:tcPr>
          <w:p>
            <w:pPr>
              <w:spacing w:line="360" w:lineRule="exact"/>
              <w:jc w:val="center"/>
              <w:rPr>
                <w:rFonts w:hint="eastAsia" w:ascii="宋体" w:hAnsi="宋体" w:cs="宋体"/>
                <w:b w:val="0"/>
                <w:sz w:val="21"/>
                <w:szCs w:val="21"/>
                <w:vertAlign w:val="baseline"/>
              </w:rPr>
            </w:pPr>
            <w:r>
              <w:rPr>
                <w:rFonts w:hint="eastAsia" w:ascii="宋体" w:hAnsi="宋体" w:eastAsia="宋体" w:cs="宋体"/>
                <w:sz w:val="21"/>
                <w:szCs w:val="21"/>
                <w:lang w:val="en-US" w:eastAsia="zh-CN"/>
              </w:rPr>
              <w:t>4</w:t>
            </w:r>
          </w:p>
        </w:tc>
        <w:tc>
          <w:tcPr>
            <w:tcW w:w="10500" w:type="dxa"/>
            <w:vAlign w:val="center"/>
          </w:tcPr>
          <w:p>
            <w:pPr>
              <w:jc w:val="left"/>
              <w:rPr>
                <w:rFonts w:hint="eastAsia" w:ascii="宋体" w:hAnsi="宋体" w:cs="宋体"/>
                <w:szCs w:val="21"/>
              </w:rPr>
            </w:pPr>
            <w:r>
              <w:rPr>
                <w:rFonts w:hint="eastAsia" w:ascii="宋体" w:hAnsi="宋体" w:cs="宋体"/>
                <w:szCs w:val="21"/>
                <w:lang w:eastAsia="zh-CN"/>
              </w:rPr>
              <w:t>（</w:t>
            </w:r>
            <w:r>
              <w:rPr>
                <w:rFonts w:hint="eastAsia" w:ascii="宋体" w:hAnsi="宋体" w:cs="宋体"/>
                <w:szCs w:val="21"/>
                <w:lang w:val="en-US" w:eastAsia="zh-CN"/>
              </w:rPr>
              <w:t>1</w:t>
            </w:r>
            <w:r>
              <w:rPr>
                <w:rFonts w:hint="eastAsia" w:ascii="宋体" w:hAnsi="宋体" w:cs="宋体"/>
                <w:szCs w:val="21"/>
                <w:lang w:eastAsia="zh-CN"/>
              </w:rPr>
              <w:t>）</w:t>
            </w:r>
            <w:r>
              <w:rPr>
                <w:rFonts w:hint="eastAsia" w:ascii="宋体" w:hAnsi="宋体" w:cs="宋体"/>
                <w:szCs w:val="21"/>
              </w:rPr>
              <w:t>技术负责人：具有</w:t>
            </w:r>
            <w:r>
              <w:rPr>
                <w:rFonts w:hint="eastAsia" w:ascii="宋体" w:hAnsi="宋体" w:cs="宋体"/>
                <w:szCs w:val="21"/>
                <w:lang w:val="en-US" w:eastAsia="zh-CN"/>
              </w:rPr>
              <w:t>建筑</w:t>
            </w:r>
            <w:r>
              <w:rPr>
                <w:rFonts w:hint="eastAsia" w:ascii="宋体" w:hAnsi="宋体" w:cs="宋体"/>
                <w:szCs w:val="21"/>
              </w:rPr>
              <w:t>工程类中级或以上工程师职称证书的，得</w:t>
            </w:r>
            <w:r>
              <w:rPr>
                <w:rFonts w:hint="eastAsia" w:ascii="宋体" w:hAnsi="宋体" w:cs="宋体"/>
                <w:szCs w:val="21"/>
                <w:lang w:val="en-US" w:eastAsia="zh-CN"/>
              </w:rPr>
              <w:t>2</w:t>
            </w:r>
            <w:r>
              <w:rPr>
                <w:rFonts w:hint="eastAsia" w:ascii="宋体" w:hAnsi="宋体" w:cs="宋体"/>
                <w:szCs w:val="21"/>
              </w:rPr>
              <w:t>分；</w:t>
            </w:r>
          </w:p>
          <w:p>
            <w:pPr>
              <w:spacing w:line="240" w:lineRule="auto"/>
              <w:jc w:val="left"/>
              <w:rPr>
                <w:rFonts w:hint="eastAsia" w:ascii="Calibri" w:hAnsi="Calibri"/>
                <w:b w:val="0"/>
                <w:sz w:val="21"/>
                <w:szCs w:val="21"/>
                <w:vertAlign w:val="baseline"/>
              </w:rPr>
            </w:pPr>
            <w:r>
              <w:rPr>
                <w:rFonts w:hint="eastAsia" w:ascii="宋体" w:hAnsi="宋体" w:cs="宋体"/>
                <w:szCs w:val="21"/>
                <w:lang w:eastAsia="zh-CN"/>
              </w:rPr>
              <w:t>（</w:t>
            </w:r>
            <w:r>
              <w:rPr>
                <w:rFonts w:hint="eastAsia" w:ascii="宋体" w:hAnsi="宋体" w:cs="宋体"/>
                <w:szCs w:val="21"/>
                <w:lang w:val="en-US" w:eastAsia="zh-CN"/>
              </w:rPr>
              <w:t>2</w:t>
            </w:r>
            <w:r>
              <w:rPr>
                <w:rFonts w:hint="eastAsia" w:ascii="宋体" w:hAnsi="宋体" w:cs="宋体"/>
                <w:szCs w:val="21"/>
                <w:lang w:eastAsia="zh-CN"/>
              </w:rPr>
              <w:t>）</w:t>
            </w:r>
            <w:r>
              <w:rPr>
                <w:rFonts w:hint="eastAsia" w:ascii="宋体" w:hAnsi="宋体" w:cs="宋体"/>
                <w:szCs w:val="21"/>
              </w:rPr>
              <w:t>工程造价负责人：</w:t>
            </w:r>
            <w:r>
              <w:rPr>
                <w:rFonts w:hint="eastAsia" w:ascii="宋体" w:hAnsi="宋体" w:cs="宋体"/>
                <w:color w:val="000000" w:themeColor="text1"/>
                <w14:textFill>
                  <w14:solidFill>
                    <w14:schemeClr w14:val="tx1"/>
                  </w14:solidFill>
                </w14:textFill>
              </w:rPr>
              <w:t>同时具备二级（或以上）的注册造价工程师及二级（或以上）等级的注册建造师的，得2分。注：①需提供相关有效证书复印件作为评审依据，否则不得分</w:t>
            </w:r>
            <w:r>
              <w:rPr>
                <w:rFonts w:hint="eastAsia" w:ascii="宋体" w:hAnsi="宋体" w:cs="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1" w:type="dxa"/>
            <w:vMerge w:val="restart"/>
            <w:vAlign w:val="center"/>
          </w:tcPr>
          <w:p>
            <w:pPr>
              <w:spacing w:line="360" w:lineRule="exact"/>
              <w:jc w:val="center"/>
              <w:rPr>
                <w:rFonts w:hint="eastAsia" w:ascii="宋体" w:hAnsi="宋体" w:cs="宋体"/>
                <w:b w:val="0"/>
                <w:sz w:val="21"/>
                <w:szCs w:val="21"/>
                <w:vertAlign w:val="baseline"/>
              </w:rPr>
            </w:pPr>
            <w:r>
              <w:rPr>
                <w:rFonts w:hint="eastAsia" w:ascii="宋体" w:hAnsi="宋体" w:cs="宋体"/>
                <w:szCs w:val="21"/>
              </w:rPr>
              <w:t>二、施工实施方案（</w:t>
            </w:r>
            <w:r>
              <w:rPr>
                <w:rFonts w:hint="eastAsia" w:ascii="宋体" w:hAnsi="宋体" w:cs="宋体"/>
                <w:szCs w:val="21"/>
                <w:lang w:val="en-US" w:eastAsia="zh-CN"/>
              </w:rPr>
              <w:t>30</w:t>
            </w:r>
            <w:r>
              <w:rPr>
                <w:rFonts w:hint="eastAsia" w:ascii="宋体" w:hAnsi="宋体" w:cs="宋体"/>
                <w:szCs w:val="21"/>
              </w:rPr>
              <w:t>分）</w:t>
            </w:r>
          </w:p>
        </w:tc>
        <w:tc>
          <w:tcPr>
            <w:tcW w:w="1604" w:type="dxa"/>
            <w:vAlign w:val="center"/>
          </w:tcPr>
          <w:p>
            <w:pPr>
              <w:spacing w:line="360" w:lineRule="exact"/>
              <w:jc w:val="center"/>
              <w:rPr>
                <w:rFonts w:hint="eastAsia" w:ascii="Calibri" w:hAnsi="Calibri" w:cs="Times New Roman"/>
                <w:b w:val="0"/>
                <w:sz w:val="21"/>
                <w:szCs w:val="21"/>
                <w:vertAlign w:val="baseline"/>
              </w:rPr>
            </w:pPr>
            <w:r>
              <w:rPr>
                <w:rFonts w:hint="eastAsia" w:ascii="Calibri" w:hAnsi="Calibri" w:cs="Times New Roman"/>
                <w:b w:val="0"/>
                <w:sz w:val="21"/>
                <w:szCs w:val="21"/>
                <w:vertAlign w:val="baseline"/>
              </w:rPr>
              <w:t>施工组织方案</w:t>
            </w:r>
          </w:p>
        </w:tc>
        <w:tc>
          <w:tcPr>
            <w:tcW w:w="703" w:type="dxa"/>
            <w:vAlign w:val="center"/>
          </w:tcPr>
          <w:p>
            <w:pPr>
              <w:spacing w:line="360" w:lineRule="exact"/>
              <w:jc w:val="center"/>
              <w:rPr>
                <w:rFonts w:hint="default" w:ascii="宋体" w:hAnsi="宋体" w:eastAsia="宋体" w:cs="宋体"/>
                <w:sz w:val="21"/>
                <w:szCs w:val="21"/>
                <w:lang w:val="en-US" w:eastAsia="zh-CN"/>
              </w:rPr>
            </w:pPr>
            <w:r>
              <w:rPr>
                <w:rFonts w:hint="eastAsia" w:ascii="宋体" w:hAnsi="宋体" w:cs="宋体"/>
                <w:sz w:val="21"/>
                <w:szCs w:val="21"/>
                <w:lang w:val="en-US" w:eastAsia="zh-CN"/>
              </w:rPr>
              <w:t>10</w:t>
            </w:r>
          </w:p>
        </w:tc>
        <w:tc>
          <w:tcPr>
            <w:tcW w:w="10500" w:type="dxa"/>
            <w:vAlign w:val="center"/>
          </w:tcPr>
          <w:p>
            <w:pPr>
              <w:spacing w:line="360" w:lineRule="exact"/>
              <w:jc w:val="left"/>
              <w:rPr>
                <w:rFonts w:hint="eastAsia" w:ascii="宋体" w:hAnsi="宋体" w:eastAsia="宋体" w:cs="宋体"/>
                <w:color w:val="000000" w:themeColor="text1"/>
                <w:lang w:eastAsia="zh-CN"/>
                <w14:textFill>
                  <w14:solidFill>
                    <w14:schemeClr w14:val="tx1"/>
                  </w14:solidFill>
                </w14:textFill>
              </w:rPr>
            </w:pPr>
            <w:r>
              <w:rPr>
                <w:rFonts w:hint="eastAsia" w:ascii="宋体" w:hAnsi="宋体" w:cs="宋体"/>
                <w:color w:val="000000" w:themeColor="text1"/>
                <w14:textFill>
                  <w14:solidFill>
                    <w14:schemeClr w14:val="tx1"/>
                  </w14:solidFill>
                </w14:textFill>
              </w:rPr>
              <w:t>项目前期和总体施工组织方案内容的完整性，施工流程的条理清晰度，方案组织的科学性，项目目标是否满足招标文件要求</w:t>
            </w:r>
            <w:r>
              <w:rPr>
                <w:rFonts w:hint="eastAsia" w:ascii="宋体" w:hAnsi="宋体" w:cs="宋体"/>
                <w:color w:val="000000" w:themeColor="text1"/>
                <w:lang w:eastAsia="zh-CN"/>
                <w14:textFill>
                  <w14:solidFill>
                    <w14:schemeClr w14:val="tx1"/>
                  </w14:solidFill>
                </w14:textFill>
              </w:rPr>
              <w:t>。</w:t>
            </w:r>
            <w:r>
              <w:rPr>
                <w:rFonts w:hint="default" w:ascii="宋体" w:hAnsi="宋体" w:cs="宋体"/>
                <w:szCs w:val="21"/>
              </w:rPr>
              <w:t>优：</w:t>
            </w:r>
            <w:r>
              <w:rPr>
                <w:rFonts w:hint="eastAsia" w:ascii="宋体" w:hAnsi="宋体" w:cs="宋体"/>
                <w:szCs w:val="21"/>
              </w:rPr>
              <w:t>[</w:t>
            </w:r>
            <w:r>
              <w:rPr>
                <w:rFonts w:hint="eastAsia" w:ascii="宋体" w:hAnsi="宋体" w:cs="宋体"/>
                <w:szCs w:val="21"/>
                <w:lang w:val="en-US" w:eastAsia="zh-CN"/>
              </w:rPr>
              <w:t>10</w:t>
            </w:r>
            <w:r>
              <w:rPr>
                <w:rFonts w:hint="eastAsia" w:ascii="宋体" w:hAnsi="宋体" w:cs="宋体"/>
                <w:szCs w:val="21"/>
              </w:rPr>
              <w:t xml:space="preserve">- </w:t>
            </w:r>
            <w:r>
              <w:rPr>
                <w:rFonts w:hint="eastAsia" w:ascii="宋体" w:hAnsi="宋体" w:cs="宋体"/>
                <w:szCs w:val="21"/>
                <w:lang w:val="en-US" w:eastAsia="zh-CN"/>
              </w:rPr>
              <w:t>7</w:t>
            </w:r>
            <w:r>
              <w:rPr>
                <w:rFonts w:hint="eastAsia" w:ascii="宋体" w:hAnsi="宋体" w:cs="宋体"/>
                <w:szCs w:val="21"/>
              </w:rPr>
              <w:t>)分；良：[</w:t>
            </w:r>
            <w:r>
              <w:rPr>
                <w:rFonts w:hint="eastAsia" w:ascii="宋体" w:hAnsi="宋体" w:cs="宋体"/>
                <w:szCs w:val="21"/>
                <w:lang w:val="en-US" w:eastAsia="zh-CN"/>
              </w:rPr>
              <w:t>7</w:t>
            </w:r>
            <w:r>
              <w:rPr>
                <w:rFonts w:hint="eastAsia" w:ascii="宋体" w:hAnsi="宋体" w:cs="宋体"/>
                <w:szCs w:val="21"/>
              </w:rPr>
              <w:t xml:space="preserve">- </w:t>
            </w:r>
            <w:r>
              <w:rPr>
                <w:rFonts w:hint="eastAsia" w:ascii="宋体" w:hAnsi="宋体" w:cs="宋体"/>
                <w:szCs w:val="21"/>
                <w:lang w:val="en-US" w:eastAsia="zh-CN"/>
              </w:rPr>
              <w:t>4</w:t>
            </w:r>
            <w:r>
              <w:rPr>
                <w:rFonts w:hint="eastAsia" w:ascii="宋体" w:hAnsi="宋体" w:cs="宋体"/>
                <w:szCs w:val="21"/>
              </w:rPr>
              <w:t>)分；中：[</w:t>
            </w:r>
            <w:r>
              <w:rPr>
                <w:rFonts w:hint="eastAsia" w:ascii="宋体" w:hAnsi="宋体" w:cs="宋体"/>
                <w:szCs w:val="21"/>
                <w:lang w:val="en-US" w:eastAsia="zh-CN"/>
              </w:rPr>
              <w:t>4</w:t>
            </w:r>
            <w:r>
              <w:rPr>
                <w:rFonts w:hint="eastAsia" w:ascii="宋体" w:hAnsi="宋体" w:cs="宋体"/>
                <w:szCs w:val="21"/>
              </w:rPr>
              <w:t xml:space="preserve">- </w:t>
            </w:r>
            <w:r>
              <w:rPr>
                <w:rFonts w:hint="eastAsia" w:ascii="宋体" w:hAnsi="宋体" w:cs="宋体"/>
                <w:szCs w:val="21"/>
                <w:lang w:val="en-US" w:eastAsia="zh-CN"/>
              </w:rPr>
              <w:t>1</w:t>
            </w:r>
            <w:r>
              <w:rPr>
                <w:rFonts w:hint="eastAsia" w:ascii="宋体" w:hAnsi="宋体" w:cs="宋体"/>
                <w:szCs w:val="21"/>
              </w:rPr>
              <w:t>)分。</w:t>
            </w:r>
            <w:r>
              <w:rPr>
                <w:rFonts w:hint="eastAsia" w:ascii="宋体" w:hAnsi="宋体" w:eastAsia="宋体" w:cs="宋体"/>
                <w:szCs w:val="21"/>
                <w:lang w:val="en-US" w:eastAsia="zh-CN"/>
              </w:rPr>
              <w:t>不提供方案不得分</w:t>
            </w:r>
            <w:r>
              <w:rPr>
                <w:rFonts w:hint="eastAsia" w:ascii="宋体" w:hAnsi="宋体" w:cs="宋体"/>
                <w:sz w:val="18"/>
                <w:szCs w:val="18"/>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1" w:type="dxa"/>
            <w:vMerge w:val="continue"/>
            <w:vAlign w:val="center"/>
          </w:tcPr>
          <w:p>
            <w:pPr>
              <w:spacing w:line="360" w:lineRule="exact"/>
              <w:jc w:val="left"/>
              <w:rPr>
                <w:rFonts w:hint="eastAsia" w:ascii="宋体" w:hAnsi="宋体" w:cs="宋体"/>
                <w:b w:val="0"/>
                <w:sz w:val="21"/>
                <w:szCs w:val="21"/>
                <w:vertAlign w:val="baseline"/>
              </w:rPr>
            </w:pPr>
          </w:p>
        </w:tc>
        <w:tc>
          <w:tcPr>
            <w:tcW w:w="1604" w:type="dxa"/>
            <w:vAlign w:val="center"/>
          </w:tcPr>
          <w:p>
            <w:pPr>
              <w:spacing w:line="240" w:lineRule="auto"/>
              <w:jc w:val="center"/>
              <w:rPr>
                <w:rFonts w:hint="eastAsia" w:ascii="宋体" w:hAnsi="宋体" w:cs="宋体"/>
                <w:b w:val="0"/>
                <w:sz w:val="21"/>
                <w:szCs w:val="21"/>
                <w:vertAlign w:val="baseline"/>
              </w:rPr>
            </w:pPr>
            <w:r>
              <w:rPr>
                <w:rFonts w:hint="eastAsia" w:ascii="宋体" w:hAnsi="宋体" w:cs="宋体"/>
                <w:b w:val="0"/>
                <w:color w:val="auto"/>
                <w:sz w:val="21"/>
                <w:szCs w:val="21"/>
                <w:vertAlign w:val="baseline"/>
              </w:rPr>
              <w:t>安全防护、文明施工措施</w:t>
            </w:r>
          </w:p>
        </w:tc>
        <w:tc>
          <w:tcPr>
            <w:tcW w:w="703" w:type="dxa"/>
            <w:vAlign w:val="center"/>
          </w:tcPr>
          <w:p>
            <w:pPr>
              <w:spacing w:line="360" w:lineRule="exact"/>
              <w:jc w:val="center"/>
              <w:rPr>
                <w:rFonts w:hint="default" w:ascii="宋体" w:hAnsi="宋体" w:cs="宋体"/>
                <w:b w:val="0"/>
                <w:sz w:val="21"/>
                <w:szCs w:val="21"/>
                <w:vertAlign w:val="baseline"/>
              </w:rPr>
            </w:pPr>
            <w:r>
              <w:rPr>
                <w:rFonts w:hint="eastAsia" w:ascii="宋体" w:hAnsi="宋体" w:cs="宋体"/>
                <w:b w:val="0"/>
                <w:sz w:val="21"/>
                <w:szCs w:val="21"/>
                <w:vertAlign w:val="baseline"/>
                <w:lang w:val="en-US" w:eastAsia="zh-CN"/>
              </w:rPr>
              <w:t>5</w:t>
            </w:r>
          </w:p>
        </w:tc>
        <w:tc>
          <w:tcPr>
            <w:tcW w:w="10500" w:type="dxa"/>
            <w:vAlign w:val="center"/>
          </w:tcPr>
          <w:p>
            <w:pPr>
              <w:jc w:val="left"/>
              <w:rPr>
                <w:rFonts w:hint="eastAsia" w:ascii="宋体" w:hAnsi="宋体" w:cs="宋体"/>
                <w:szCs w:val="21"/>
              </w:rPr>
            </w:pPr>
            <w:r>
              <w:rPr>
                <w:rFonts w:hint="default" w:ascii="宋体" w:hAnsi="宋体" w:cs="宋体"/>
                <w:szCs w:val="21"/>
              </w:rPr>
              <w:t>加强制度化、标准化和精细化管理，尽量降低施工作业对周边的影响，提供安全控制措施。</w:t>
            </w:r>
          </w:p>
          <w:p>
            <w:pPr>
              <w:spacing w:line="240" w:lineRule="auto"/>
              <w:jc w:val="left"/>
              <w:rPr>
                <w:rFonts w:hint="eastAsia" w:ascii="宋体" w:hAnsi="宋体" w:cs="宋体"/>
                <w:b w:val="0"/>
                <w:sz w:val="21"/>
                <w:szCs w:val="21"/>
                <w:vertAlign w:val="baseline"/>
              </w:rPr>
            </w:pPr>
            <w:r>
              <w:rPr>
                <w:rFonts w:hint="default" w:ascii="宋体" w:hAnsi="宋体" w:cs="宋体"/>
                <w:szCs w:val="21"/>
              </w:rPr>
              <w:t>优：</w:t>
            </w:r>
            <w:r>
              <w:rPr>
                <w:rFonts w:hint="eastAsia" w:ascii="宋体" w:hAnsi="宋体" w:cs="宋体"/>
                <w:szCs w:val="21"/>
              </w:rPr>
              <w:t>[</w:t>
            </w:r>
            <w:r>
              <w:rPr>
                <w:rFonts w:hint="eastAsia" w:ascii="宋体" w:hAnsi="宋体" w:cs="宋体"/>
                <w:szCs w:val="21"/>
                <w:lang w:val="en-US" w:eastAsia="zh-CN"/>
              </w:rPr>
              <w:t>5</w:t>
            </w:r>
            <w:r>
              <w:rPr>
                <w:rFonts w:hint="eastAsia" w:ascii="宋体" w:hAnsi="宋体" w:cs="宋体"/>
                <w:szCs w:val="21"/>
              </w:rPr>
              <w:t xml:space="preserve">- </w:t>
            </w:r>
            <w:r>
              <w:rPr>
                <w:rFonts w:hint="eastAsia" w:ascii="宋体" w:hAnsi="宋体" w:cs="宋体"/>
                <w:szCs w:val="21"/>
                <w:lang w:val="en-US" w:eastAsia="zh-CN"/>
              </w:rPr>
              <w:t>4</w:t>
            </w:r>
            <w:r>
              <w:rPr>
                <w:rFonts w:hint="eastAsia" w:ascii="宋体" w:hAnsi="宋体" w:cs="宋体"/>
                <w:szCs w:val="21"/>
              </w:rPr>
              <w:t>)分；良：[</w:t>
            </w:r>
            <w:r>
              <w:rPr>
                <w:rFonts w:hint="eastAsia" w:ascii="宋体" w:hAnsi="宋体" w:cs="宋体"/>
                <w:szCs w:val="21"/>
                <w:lang w:val="en-US" w:eastAsia="zh-CN"/>
              </w:rPr>
              <w:t>4</w:t>
            </w:r>
            <w:r>
              <w:rPr>
                <w:rFonts w:hint="eastAsia" w:ascii="宋体" w:hAnsi="宋体" w:cs="宋体"/>
                <w:szCs w:val="21"/>
              </w:rPr>
              <w:t xml:space="preserve">- </w:t>
            </w:r>
            <w:r>
              <w:rPr>
                <w:rFonts w:hint="eastAsia" w:ascii="宋体" w:hAnsi="宋体" w:cs="宋体"/>
                <w:szCs w:val="21"/>
                <w:lang w:val="en-US" w:eastAsia="zh-CN"/>
              </w:rPr>
              <w:t>3</w:t>
            </w:r>
            <w:r>
              <w:rPr>
                <w:rFonts w:hint="eastAsia" w:ascii="宋体" w:hAnsi="宋体" w:cs="宋体"/>
                <w:szCs w:val="21"/>
              </w:rPr>
              <w:t>)分；中：[</w:t>
            </w:r>
            <w:r>
              <w:rPr>
                <w:rFonts w:hint="eastAsia" w:ascii="宋体" w:hAnsi="宋体" w:cs="宋体"/>
                <w:szCs w:val="21"/>
                <w:lang w:val="en-US" w:eastAsia="zh-CN"/>
              </w:rPr>
              <w:t>3</w:t>
            </w:r>
            <w:r>
              <w:rPr>
                <w:rFonts w:hint="eastAsia" w:ascii="宋体" w:hAnsi="宋体" w:cs="宋体"/>
                <w:szCs w:val="21"/>
              </w:rPr>
              <w:t xml:space="preserve">- </w:t>
            </w:r>
            <w:r>
              <w:rPr>
                <w:rFonts w:hint="eastAsia" w:ascii="宋体" w:hAnsi="宋体" w:cs="宋体"/>
                <w:szCs w:val="21"/>
                <w:lang w:val="en-US" w:eastAsia="zh-CN"/>
              </w:rPr>
              <w:t>1</w:t>
            </w:r>
            <w:r>
              <w:rPr>
                <w:rFonts w:hint="eastAsia" w:ascii="宋体" w:hAnsi="宋体" w:cs="宋体"/>
                <w:szCs w:val="21"/>
              </w:rPr>
              <w:t>)分</w:t>
            </w:r>
            <w:r>
              <w:rPr>
                <w:rFonts w:hint="default" w:ascii="宋体" w:hAnsi="宋体" w:cs="宋体"/>
                <w:szCs w:val="21"/>
              </w:rPr>
              <w:t>。</w:t>
            </w:r>
            <w:r>
              <w:rPr>
                <w:rFonts w:hint="eastAsia" w:ascii="宋体" w:hAnsi="宋体" w:eastAsia="宋体" w:cs="宋体"/>
                <w:szCs w:val="21"/>
                <w:lang w:val="en-US" w:eastAsia="zh-CN"/>
              </w:rPr>
              <w:t>不提供方案不得分</w:t>
            </w:r>
            <w:r>
              <w:rPr>
                <w:rFonts w:hint="eastAsia" w:ascii="宋体" w:hAnsi="宋体" w:cs="宋体"/>
                <w:sz w:val="18"/>
                <w:szCs w:val="18"/>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1" w:type="dxa"/>
            <w:vMerge w:val="continue"/>
            <w:vAlign w:val="center"/>
          </w:tcPr>
          <w:p>
            <w:pPr>
              <w:spacing w:line="240" w:lineRule="auto"/>
              <w:jc w:val="left"/>
              <w:rPr>
                <w:rFonts w:hint="eastAsia" w:ascii="宋体" w:hAnsi="宋体" w:cs="宋体"/>
                <w:b w:val="0"/>
                <w:sz w:val="21"/>
                <w:szCs w:val="21"/>
                <w:vertAlign w:val="baseline"/>
              </w:rPr>
            </w:pPr>
          </w:p>
        </w:tc>
        <w:tc>
          <w:tcPr>
            <w:tcW w:w="1604" w:type="dxa"/>
            <w:vAlign w:val="center"/>
          </w:tcPr>
          <w:p>
            <w:pPr>
              <w:spacing w:line="240" w:lineRule="auto"/>
              <w:jc w:val="center"/>
              <w:rPr>
                <w:rFonts w:hint="eastAsia" w:ascii="宋体" w:hAnsi="宋体" w:cs="宋体"/>
                <w:b w:val="0"/>
                <w:sz w:val="21"/>
                <w:szCs w:val="21"/>
                <w:vertAlign w:val="baseline"/>
              </w:rPr>
            </w:pPr>
            <w:r>
              <w:rPr>
                <w:rFonts w:hint="eastAsia" w:ascii="宋体" w:hAnsi="宋体" w:cs="宋体"/>
                <w:szCs w:val="21"/>
              </w:rPr>
              <w:t>质量控制措施</w:t>
            </w:r>
          </w:p>
        </w:tc>
        <w:tc>
          <w:tcPr>
            <w:tcW w:w="703" w:type="dxa"/>
            <w:vAlign w:val="center"/>
          </w:tcPr>
          <w:p>
            <w:pPr>
              <w:spacing w:line="360" w:lineRule="exact"/>
              <w:jc w:val="center"/>
              <w:rPr>
                <w:rFonts w:hint="default" w:ascii="宋体" w:hAnsi="宋体" w:cs="宋体"/>
                <w:b w:val="0"/>
                <w:sz w:val="21"/>
                <w:szCs w:val="21"/>
                <w:vertAlign w:val="baseline"/>
              </w:rPr>
            </w:pPr>
            <w:r>
              <w:rPr>
                <w:rFonts w:hint="eastAsia" w:ascii="宋体" w:hAnsi="宋体" w:cs="宋体"/>
                <w:b w:val="0"/>
                <w:sz w:val="21"/>
                <w:szCs w:val="21"/>
                <w:vertAlign w:val="baseline"/>
                <w:lang w:val="en-US" w:eastAsia="zh-CN"/>
              </w:rPr>
              <w:t>5</w:t>
            </w:r>
          </w:p>
        </w:tc>
        <w:tc>
          <w:tcPr>
            <w:tcW w:w="10500" w:type="dxa"/>
            <w:vAlign w:val="center"/>
          </w:tcPr>
          <w:p>
            <w:pPr>
              <w:spacing w:line="240" w:lineRule="auto"/>
              <w:jc w:val="left"/>
              <w:rPr>
                <w:rFonts w:hint="eastAsia" w:ascii="宋体" w:hAnsi="宋体" w:cs="宋体"/>
                <w:b w:val="0"/>
                <w:sz w:val="21"/>
                <w:szCs w:val="21"/>
                <w:vertAlign w:val="baseline"/>
              </w:rPr>
            </w:pPr>
            <w:r>
              <w:rPr>
                <w:rFonts w:hint="eastAsia" w:ascii="宋体" w:hAnsi="宋体" w:cs="宋体"/>
                <w:szCs w:val="21"/>
              </w:rPr>
              <w:t>确保项目质量达到工程建设标准和国家相关部门验收规范。提供工程实施设计施工的全过程质量控制及保证措施。</w:t>
            </w:r>
            <w:r>
              <w:rPr>
                <w:rFonts w:hint="default" w:ascii="宋体" w:hAnsi="宋体" w:cs="宋体"/>
                <w:szCs w:val="21"/>
              </w:rPr>
              <w:t>优：</w:t>
            </w:r>
            <w:r>
              <w:rPr>
                <w:rFonts w:hint="eastAsia" w:ascii="宋体" w:hAnsi="宋体" w:cs="宋体"/>
                <w:szCs w:val="21"/>
              </w:rPr>
              <w:t>[</w:t>
            </w:r>
            <w:r>
              <w:rPr>
                <w:rFonts w:hint="eastAsia" w:ascii="宋体" w:hAnsi="宋体" w:cs="宋体"/>
                <w:szCs w:val="21"/>
                <w:lang w:val="en-US" w:eastAsia="zh-CN"/>
              </w:rPr>
              <w:t>5</w:t>
            </w:r>
            <w:r>
              <w:rPr>
                <w:rFonts w:hint="eastAsia" w:ascii="宋体" w:hAnsi="宋体" w:cs="宋体"/>
                <w:szCs w:val="21"/>
              </w:rPr>
              <w:t xml:space="preserve">- </w:t>
            </w:r>
            <w:r>
              <w:rPr>
                <w:rFonts w:hint="eastAsia" w:ascii="宋体" w:hAnsi="宋体" w:cs="宋体"/>
                <w:szCs w:val="21"/>
                <w:lang w:val="en-US" w:eastAsia="zh-CN"/>
              </w:rPr>
              <w:t>4</w:t>
            </w:r>
            <w:r>
              <w:rPr>
                <w:rFonts w:hint="eastAsia" w:ascii="宋体" w:hAnsi="宋体" w:cs="宋体"/>
                <w:szCs w:val="21"/>
              </w:rPr>
              <w:t>)分；良：[</w:t>
            </w:r>
            <w:r>
              <w:rPr>
                <w:rFonts w:hint="eastAsia" w:ascii="宋体" w:hAnsi="宋体" w:cs="宋体"/>
                <w:szCs w:val="21"/>
                <w:lang w:val="en-US" w:eastAsia="zh-CN"/>
              </w:rPr>
              <w:t>4</w:t>
            </w:r>
            <w:r>
              <w:rPr>
                <w:rFonts w:hint="eastAsia" w:ascii="宋体" w:hAnsi="宋体" w:cs="宋体"/>
                <w:szCs w:val="21"/>
              </w:rPr>
              <w:t xml:space="preserve">- </w:t>
            </w:r>
            <w:r>
              <w:rPr>
                <w:rFonts w:hint="eastAsia" w:ascii="宋体" w:hAnsi="宋体" w:cs="宋体"/>
                <w:szCs w:val="21"/>
                <w:lang w:val="en-US" w:eastAsia="zh-CN"/>
              </w:rPr>
              <w:t>3</w:t>
            </w:r>
            <w:r>
              <w:rPr>
                <w:rFonts w:hint="eastAsia" w:ascii="宋体" w:hAnsi="宋体" w:cs="宋体"/>
                <w:szCs w:val="21"/>
              </w:rPr>
              <w:t>)分；中：[</w:t>
            </w:r>
            <w:r>
              <w:rPr>
                <w:rFonts w:hint="eastAsia" w:ascii="宋体" w:hAnsi="宋体" w:cs="宋体"/>
                <w:szCs w:val="21"/>
                <w:lang w:val="en-US" w:eastAsia="zh-CN"/>
              </w:rPr>
              <w:t>3</w:t>
            </w:r>
            <w:r>
              <w:rPr>
                <w:rFonts w:hint="eastAsia" w:ascii="宋体" w:hAnsi="宋体" w:cs="宋体"/>
                <w:szCs w:val="21"/>
              </w:rPr>
              <w:t xml:space="preserve">- </w:t>
            </w:r>
            <w:r>
              <w:rPr>
                <w:rFonts w:hint="eastAsia" w:ascii="宋体" w:hAnsi="宋体" w:cs="宋体"/>
                <w:szCs w:val="21"/>
                <w:lang w:val="en-US" w:eastAsia="zh-CN"/>
              </w:rPr>
              <w:t>1</w:t>
            </w:r>
            <w:r>
              <w:rPr>
                <w:rFonts w:hint="eastAsia" w:ascii="宋体" w:hAnsi="宋体" w:cs="宋体"/>
                <w:szCs w:val="21"/>
              </w:rPr>
              <w:t>)分</w:t>
            </w:r>
            <w:r>
              <w:rPr>
                <w:rFonts w:hint="default" w:ascii="宋体" w:hAnsi="宋体" w:cs="宋体"/>
                <w:szCs w:val="21"/>
              </w:rPr>
              <w:t>。</w:t>
            </w:r>
            <w:r>
              <w:rPr>
                <w:rFonts w:hint="eastAsia" w:ascii="宋体" w:hAnsi="宋体" w:eastAsia="宋体" w:cs="宋体"/>
                <w:szCs w:val="21"/>
                <w:lang w:val="en-US" w:eastAsia="zh-CN"/>
              </w:rPr>
              <w:t>不提供方案不得分</w:t>
            </w:r>
            <w:r>
              <w:rPr>
                <w:rFonts w:hint="eastAsia" w:ascii="宋体" w:hAnsi="宋体" w:cs="宋体"/>
                <w:sz w:val="18"/>
                <w:szCs w:val="18"/>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1" w:type="dxa"/>
            <w:vMerge w:val="continue"/>
            <w:vAlign w:val="center"/>
          </w:tcPr>
          <w:p>
            <w:pPr>
              <w:spacing w:line="240" w:lineRule="auto"/>
              <w:jc w:val="left"/>
              <w:rPr>
                <w:rFonts w:hint="eastAsia" w:ascii="宋体" w:hAnsi="宋体" w:cs="宋体"/>
                <w:b w:val="0"/>
                <w:sz w:val="21"/>
                <w:szCs w:val="21"/>
                <w:vertAlign w:val="baseline"/>
              </w:rPr>
            </w:pPr>
          </w:p>
        </w:tc>
        <w:tc>
          <w:tcPr>
            <w:tcW w:w="1604" w:type="dxa"/>
            <w:vAlign w:val="center"/>
          </w:tcPr>
          <w:p>
            <w:pPr>
              <w:spacing w:line="240" w:lineRule="auto"/>
              <w:jc w:val="center"/>
              <w:rPr>
                <w:rFonts w:hint="eastAsia" w:ascii="宋体" w:hAnsi="宋体" w:cs="宋体"/>
                <w:b w:val="0"/>
                <w:sz w:val="21"/>
                <w:szCs w:val="21"/>
                <w:vertAlign w:val="baseline"/>
              </w:rPr>
            </w:pPr>
            <w:r>
              <w:rPr>
                <w:rFonts w:hint="eastAsia" w:ascii="宋体" w:hAnsi="宋体" w:cs="宋体"/>
                <w:szCs w:val="21"/>
                <w:lang w:val="en-US" w:eastAsia="zh-CN"/>
              </w:rPr>
              <w:t>施工</w:t>
            </w:r>
            <w:r>
              <w:rPr>
                <w:rFonts w:hint="eastAsia" w:ascii="宋体" w:hAnsi="宋体" w:cs="宋体"/>
                <w:szCs w:val="21"/>
              </w:rPr>
              <w:t>进度控制措施</w:t>
            </w:r>
          </w:p>
        </w:tc>
        <w:tc>
          <w:tcPr>
            <w:tcW w:w="703" w:type="dxa"/>
            <w:vAlign w:val="center"/>
          </w:tcPr>
          <w:p>
            <w:pPr>
              <w:spacing w:line="360" w:lineRule="exact"/>
              <w:jc w:val="center"/>
              <w:rPr>
                <w:rFonts w:hint="eastAsia" w:ascii="宋体" w:hAnsi="宋体" w:cs="宋体"/>
                <w:b w:val="0"/>
                <w:sz w:val="21"/>
                <w:szCs w:val="21"/>
                <w:vertAlign w:val="baseline"/>
              </w:rPr>
            </w:pPr>
            <w:r>
              <w:rPr>
                <w:rFonts w:hint="eastAsia" w:ascii="宋体" w:hAnsi="宋体" w:cs="宋体"/>
                <w:b w:val="0"/>
                <w:sz w:val="21"/>
                <w:szCs w:val="21"/>
                <w:vertAlign w:val="baseline"/>
                <w:lang w:val="en-US" w:eastAsia="zh-CN"/>
              </w:rPr>
              <w:t>5</w:t>
            </w:r>
          </w:p>
        </w:tc>
        <w:tc>
          <w:tcPr>
            <w:tcW w:w="10500" w:type="dxa"/>
            <w:vAlign w:val="center"/>
          </w:tcPr>
          <w:p>
            <w:pPr>
              <w:jc w:val="left"/>
              <w:rPr>
                <w:rFonts w:hint="eastAsia" w:ascii="宋体" w:hAnsi="宋体" w:cs="宋体"/>
                <w:szCs w:val="21"/>
              </w:rPr>
            </w:pPr>
            <w:r>
              <w:rPr>
                <w:rFonts w:hint="eastAsia" w:ascii="宋体" w:hAnsi="宋体" w:cs="宋体"/>
                <w:szCs w:val="21"/>
              </w:rPr>
              <w:t>在保证质量、安全、文明施工的前提下，切实保障项目实施进度。提供保障项目实施进度的措施。</w:t>
            </w:r>
          </w:p>
          <w:p>
            <w:pPr>
              <w:spacing w:line="240" w:lineRule="auto"/>
              <w:jc w:val="left"/>
              <w:rPr>
                <w:rFonts w:hint="eastAsia" w:ascii="宋体" w:hAnsi="宋体" w:cs="宋体"/>
                <w:b w:val="0"/>
                <w:sz w:val="21"/>
                <w:szCs w:val="21"/>
                <w:vertAlign w:val="baseline"/>
              </w:rPr>
            </w:pPr>
            <w:r>
              <w:rPr>
                <w:rFonts w:hint="default" w:ascii="宋体" w:hAnsi="宋体" w:cs="宋体"/>
                <w:szCs w:val="21"/>
              </w:rPr>
              <w:t>优：</w:t>
            </w:r>
            <w:r>
              <w:rPr>
                <w:rFonts w:hint="eastAsia" w:ascii="宋体" w:hAnsi="宋体" w:cs="宋体"/>
                <w:szCs w:val="21"/>
              </w:rPr>
              <w:t>[</w:t>
            </w:r>
            <w:r>
              <w:rPr>
                <w:rFonts w:hint="eastAsia" w:ascii="宋体" w:hAnsi="宋体" w:cs="宋体"/>
                <w:szCs w:val="21"/>
                <w:lang w:val="en-US" w:eastAsia="zh-CN"/>
              </w:rPr>
              <w:t>5</w:t>
            </w:r>
            <w:r>
              <w:rPr>
                <w:rFonts w:hint="eastAsia" w:ascii="宋体" w:hAnsi="宋体" w:cs="宋体"/>
                <w:szCs w:val="21"/>
              </w:rPr>
              <w:t xml:space="preserve">- </w:t>
            </w:r>
            <w:r>
              <w:rPr>
                <w:rFonts w:hint="eastAsia" w:ascii="宋体" w:hAnsi="宋体" w:cs="宋体"/>
                <w:szCs w:val="21"/>
                <w:lang w:val="en-US" w:eastAsia="zh-CN"/>
              </w:rPr>
              <w:t>4</w:t>
            </w:r>
            <w:r>
              <w:rPr>
                <w:rFonts w:hint="eastAsia" w:ascii="宋体" w:hAnsi="宋体" w:cs="宋体"/>
                <w:szCs w:val="21"/>
              </w:rPr>
              <w:t>)分；良：[</w:t>
            </w:r>
            <w:r>
              <w:rPr>
                <w:rFonts w:hint="eastAsia" w:ascii="宋体" w:hAnsi="宋体" w:cs="宋体"/>
                <w:szCs w:val="21"/>
                <w:lang w:val="en-US" w:eastAsia="zh-CN"/>
              </w:rPr>
              <w:t>4</w:t>
            </w:r>
            <w:r>
              <w:rPr>
                <w:rFonts w:hint="eastAsia" w:ascii="宋体" w:hAnsi="宋体" w:cs="宋体"/>
                <w:szCs w:val="21"/>
              </w:rPr>
              <w:t xml:space="preserve">- </w:t>
            </w:r>
            <w:r>
              <w:rPr>
                <w:rFonts w:hint="eastAsia" w:ascii="宋体" w:hAnsi="宋体" w:cs="宋体"/>
                <w:szCs w:val="21"/>
                <w:lang w:val="en-US" w:eastAsia="zh-CN"/>
              </w:rPr>
              <w:t>3</w:t>
            </w:r>
            <w:r>
              <w:rPr>
                <w:rFonts w:hint="eastAsia" w:ascii="宋体" w:hAnsi="宋体" w:cs="宋体"/>
                <w:szCs w:val="21"/>
              </w:rPr>
              <w:t>)分；中：[</w:t>
            </w:r>
            <w:r>
              <w:rPr>
                <w:rFonts w:hint="eastAsia" w:ascii="宋体" w:hAnsi="宋体" w:cs="宋体"/>
                <w:szCs w:val="21"/>
                <w:lang w:val="en-US" w:eastAsia="zh-CN"/>
              </w:rPr>
              <w:t>3</w:t>
            </w:r>
            <w:r>
              <w:rPr>
                <w:rFonts w:hint="eastAsia" w:ascii="宋体" w:hAnsi="宋体" w:cs="宋体"/>
                <w:szCs w:val="21"/>
              </w:rPr>
              <w:t xml:space="preserve">- </w:t>
            </w:r>
            <w:r>
              <w:rPr>
                <w:rFonts w:hint="eastAsia" w:ascii="宋体" w:hAnsi="宋体" w:cs="宋体"/>
                <w:szCs w:val="21"/>
                <w:lang w:val="en-US" w:eastAsia="zh-CN"/>
              </w:rPr>
              <w:t>1</w:t>
            </w:r>
            <w:r>
              <w:rPr>
                <w:rFonts w:hint="eastAsia" w:ascii="宋体" w:hAnsi="宋体" w:cs="宋体"/>
                <w:szCs w:val="21"/>
              </w:rPr>
              <w:t>)分</w:t>
            </w:r>
            <w:r>
              <w:rPr>
                <w:rFonts w:hint="default" w:ascii="宋体" w:hAnsi="宋体" w:cs="宋体"/>
                <w:szCs w:val="21"/>
              </w:rPr>
              <w:t>。</w:t>
            </w:r>
            <w:r>
              <w:rPr>
                <w:rFonts w:hint="eastAsia" w:ascii="宋体" w:hAnsi="宋体" w:eastAsia="宋体" w:cs="宋体"/>
                <w:szCs w:val="21"/>
                <w:lang w:val="en-US" w:eastAsia="zh-CN"/>
              </w:rPr>
              <w:t>不提供方案不得分</w:t>
            </w:r>
            <w:r>
              <w:rPr>
                <w:rFonts w:hint="eastAsia" w:ascii="宋体" w:hAnsi="宋体" w:cs="宋体"/>
                <w:sz w:val="18"/>
                <w:szCs w:val="18"/>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trPr>
        <w:tc>
          <w:tcPr>
            <w:tcW w:w="1131" w:type="dxa"/>
            <w:vMerge w:val="continue"/>
            <w:vAlign w:val="center"/>
          </w:tcPr>
          <w:p>
            <w:pPr>
              <w:spacing w:line="240" w:lineRule="auto"/>
              <w:jc w:val="left"/>
              <w:rPr>
                <w:rFonts w:hint="eastAsia" w:ascii="宋体" w:hAnsi="宋体" w:cs="宋体"/>
                <w:b w:val="0"/>
                <w:sz w:val="21"/>
                <w:szCs w:val="21"/>
                <w:vertAlign w:val="baseline"/>
              </w:rPr>
            </w:pPr>
          </w:p>
        </w:tc>
        <w:tc>
          <w:tcPr>
            <w:tcW w:w="1604" w:type="dxa"/>
            <w:vAlign w:val="center"/>
          </w:tcPr>
          <w:p>
            <w:pPr>
              <w:spacing w:line="240" w:lineRule="auto"/>
              <w:jc w:val="center"/>
              <w:rPr>
                <w:rFonts w:hint="eastAsia" w:ascii="宋体" w:hAnsi="宋体" w:cs="宋体"/>
                <w:szCs w:val="21"/>
              </w:rPr>
            </w:pPr>
            <w:r>
              <w:rPr>
                <w:rFonts w:hint="eastAsia" w:ascii="宋体" w:hAnsi="宋体" w:cs="宋体"/>
                <w:szCs w:val="21"/>
              </w:rPr>
              <w:t>应急处理措施、预案以及抵抗风险的措施</w:t>
            </w:r>
          </w:p>
        </w:tc>
        <w:tc>
          <w:tcPr>
            <w:tcW w:w="703" w:type="dxa"/>
            <w:vAlign w:val="center"/>
          </w:tcPr>
          <w:p>
            <w:pPr>
              <w:spacing w:line="360" w:lineRule="exact"/>
              <w:jc w:val="center"/>
              <w:rPr>
                <w:rFonts w:hint="default" w:ascii="宋体" w:hAnsi="宋体" w:eastAsia="宋体" w:cs="宋体"/>
                <w:b w:val="0"/>
                <w:sz w:val="21"/>
                <w:szCs w:val="21"/>
                <w:vertAlign w:val="baseline"/>
                <w:lang w:val="en-US" w:eastAsia="zh-CN"/>
              </w:rPr>
            </w:pPr>
            <w:r>
              <w:rPr>
                <w:rFonts w:hint="eastAsia" w:ascii="宋体" w:hAnsi="宋体" w:cs="宋体"/>
                <w:b w:val="0"/>
                <w:sz w:val="21"/>
                <w:szCs w:val="21"/>
                <w:vertAlign w:val="baseline"/>
                <w:lang w:val="en-US" w:eastAsia="zh-CN"/>
              </w:rPr>
              <w:t>5</w:t>
            </w:r>
          </w:p>
        </w:tc>
        <w:tc>
          <w:tcPr>
            <w:tcW w:w="10500" w:type="dxa"/>
            <w:vAlign w:val="center"/>
          </w:tcPr>
          <w:p>
            <w:pPr>
              <w:spacing w:line="240" w:lineRule="auto"/>
              <w:jc w:val="left"/>
              <w:rPr>
                <w:rFonts w:hint="eastAsia" w:ascii="宋体" w:hAnsi="宋体" w:eastAsia="宋体" w:cs="宋体"/>
                <w:kern w:val="2"/>
                <w:sz w:val="21"/>
                <w:szCs w:val="21"/>
                <w:lang w:val="en-US" w:eastAsia="zh-CN" w:bidi="ar-SA"/>
              </w:rPr>
            </w:pPr>
            <w:r>
              <w:rPr>
                <w:rFonts w:hint="eastAsia" w:ascii="宋体" w:hAnsi="宋体" w:eastAsia="宋体" w:cs="宋体"/>
                <w:color w:val="auto"/>
                <w:kern w:val="2"/>
                <w:szCs w:val="21"/>
              </w:rPr>
              <w:t>投标人对本项目制定的特性、台风、暴雨等天气影响等特殊情况制定的应急处置方案，包括传达机制、人员和设备调配、责任分工等进行评审：</w:t>
            </w:r>
            <w:r>
              <w:rPr>
                <w:rFonts w:hint="default" w:ascii="宋体" w:hAnsi="宋体" w:cs="宋体"/>
                <w:szCs w:val="21"/>
              </w:rPr>
              <w:t>优：</w:t>
            </w:r>
            <w:r>
              <w:rPr>
                <w:rFonts w:hint="eastAsia" w:ascii="宋体" w:hAnsi="宋体" w:cs="宋体"/>
                <w:szCs w:val="21"/>
              </w:rPr>
              <w:t>[</w:t>
            </w:r>
            <w:r>
              <w:rPr>
                <w:rFonts w:hint="eastAsia" w:ascii="宋体" w:hAnsi="宋体" w:cs="宋体"/>
                <w:szCs w:val="21"/>
                <w:lang w:val="en-US" w:eastAsia="zh-CN"/>
              </w:rPr>
              <w:t>5</w:t>
            </w:r>
            <w:r>
              <w:rPr>
                <w:rFonts w:hint="eastAsia" w:ascii="宋体" w:hAnsi="宋体" w:cs="宋体"/>
                <w:szCs w:val="21"/>
              </w:rPr>
              <w:t xml:space="preserve">- </w:t>
            </w:r>
            <w:r>
              <w:rPr>
                <w:rFonts w:hint="eastAsia" w:ascii="宋体" w:hAnsi="宋体" w:cs="宋体"/>
                <w:szCs w:val="21"/>
                <w:lang w:val="en-US" w:eastAsia="zh-CN"/>
              </w:rPr>
              <w:t>4</w:t>
            </w:r>
            <w:r>
              <w:rPr>
                <w:rFonts w:hint="eastAsia" w:ascii="宋体" w:hAnsi="宋体" w:cs="宋体"/>
                <w:szCs w:val="21"/>
              </w:rPr>
              <w:t>)分；良：[</w:t>
            </w:r>
            <w:r>
              <w:rPr>
                <w:rFonts w:hint="eastAsia" w:ascii="宋体" w:hAnsi="宋体" w:cs="宋体"/>
                <w:szCs w:val="21"/>
                <w:lang w:val="en-US" w:eastAsia="zh-CN"/>
              </w:rPr>
              <w:t>4</w:t>
            </w:r>
            <w:r>
              <w:rPr>
                <w:rFonts w:hint="eastAsia" w:ascii="宋体" w:hAnsi="宋体" w:cs="宋体"/>
                <w:szCs w:val="21"/>
              </w:rPr>
              <w:t xml:space="preserve">- </w:t>
            </w:r>
            <w:r>
              <w:rPr>
                <w:rFonts w:hint="eastAsia" w:ascii="宋体" w:hAnsi="宋体" w:cs="宋体"/>
                <w:szCs w:val="21"/>
                <w:lang w:val="en-US" w:eastAsia="zh-CN"/>
              </w:rPr>
              <w:t>3</w:t>
            </w:r>
            <w:r>
              <w:rPr>
                <w:rFonts w:hint="eastAsia" w:ascii="宋体" w:hAnsi="宋体" w:cs="宋体"/>
                <w:szCs w:val="21"/>
              </w:rPr>
              <w:t>)分；中：[</w:t>
            </w:r>
            <w:r>
              <w:rPr>
                <w:rFonts w:hint="eastAsia" w:ascii="宋体" w:hAnsi="宋体" w:cs="宋体"/>
                <w:szCs w:val="21"/>
                <w:lang w:val="en-US" w:eastAsia="zh-CN"/>
              </w:rPr>
              <w:t>3</w:t>
            </w:r>
            <w:r>
              <w:rPr>
                <w:rFonts w:hint="eastAsia" w:ascii="宋体" w:hAnsi="宋体" w:cs="宋体"/>
                <w:szCs w:val="21"/>
              </w:rPr>
              <w:t xml:space="preserve">- </w:t>
            </w:r>
            <w:r>
              <w:rPr>
                <w:rFonts w:hint="eastAsia" w:ascii="宋体" w:hAnsi="宋体" w:cs="宋体"/>
                <w:szCs w:val="21"/>
                <w:lang w:val="en-US" w:eastAsia="zh-CN"/>
              </w:rPr>
              <w:t>1</w:t>
            </w:r>
            <w:r>
              <w:rPr>
                <w:rFonts w:hint="eastAsia" w:ascii="宋体" w:hAnsi="宋体" w:cs="宋体"/>
                <w:szCs w:val="21"/>
              </w:rPr>
              <w:t>)分</w:t>
            </w:r>
            <w:r>
              <w:rPr>
                <w:rFonts w:hint="default" w:ascii="宋体" w:hAnsi="宋体" w:cs="宋体"/>
                <w:szCs w:val="21"/>
              </w:rPr>
              <w:t>。</w:t>
            </w:r>
            <w:r>
              <w:rPr>
                <w:rFonts w:hint="eastAsia" w:ascii="宋体" w:hAnsi="宋体" w:eastAsia="宋体" w:cs="宋体"/>
                <w:szCs w:val="21"/>
                <w:lang w:val="en-US" w:eastAsia="zh-CN"/>
              </w:rPr>
              <w:t>不提供方案不得分</w:t>
            </w:r>
            <w:r>
              <w:rPr>
                <w:rFonts w:hint="eastAsia" w:ascii="宋体" w:hAnsi="宋体" w:cs="宋体"/>
                <w:sz w:val="18"/>
                <w:szCs w:val="18"/>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31" w:type="dxa"/>
            <w:vMerge w:val="continue"/>
            <w:vAlign w:val="center"/>
          </w:tcPr>
          <w:p>
            <w:pPr>
              <w:spacing w:line="240" w:lineRule="auto"/>
              <w:jc w:val="left"/>
              <w:rPr>
                <w:rFonts w:hint="eastAsia" w:ascii="宋体" w:hAnsi="宋体" w:cs="宋体"/>
                <w:b w:val="0"/>
                <w:sz w:val="21"/>
                <w:szCs w:val="21"/>
                <w:vertAlign w:val="baseline"/>
              </w:rPr>
            </w:pPr>
          </w:p>
        </w:tc>
        <w:tc>
          <w:tcPr>
            <w:tcW w:w="1604" w:type="dxa"/>
            <w:vAlign w:val="center"/>
          </w:tcPr>
          <w:p>
            <w:pPr>
              <w:spacing w:line="240" w:lineRule="auto"/>
              <w:jc w:val="center"/>
              <w:rPr>
                <w:rFonts w:hint="eastAsia" w:ascii="宋体" w:hAnsi="宋体" w:cs="宋体"/>
                <w:szCs w:val="21"/>
              </w:rPr>
            </w:pPr>
            <w:r>
              <w:rPr>
                <w:rFonts w:hint="eastAsia"/>
                <w:szCs w:val="21"/>
              </w:rPr>
              <w:t>合计（一</w:t>
            </w:r>
            <w:r>
              <w:rPr>
                <w:szCs w:val="21"/>
              </w:rPr>
              <w:t>+</w:t>
            </w:r>
            <w:r>
              <w:rPr>
                <w:rFonts w:hint="eastAsia"/>
                <w:szCs w:val="21"/>
              </w:rPr>
              <w:t>二）</w:t>
            </w:r>
          </w:p>
        </w:tc>
        <w:tc>
          <w:tcPr>
            <w:tcW w:w="703" w:type="dxa"/>
            <w:vAlign w:val="center"/>
          </w:tcPr>
          <w:p>
            <w:pPr>
              <w:spacing w:line="360" w:lineRule="exact"/>
              <w:jc w:val="center"/>
              <w:rPr>
                <w:rFonts w:hint="default" w:ascii="宋体" w:hAnsi="宋体" w:eastAsia="宋体" w:cs="宋体"/>
                <w:b w:val="0"/>
                <w:sz w:val="21"/>
                <w:szCs w:val="21"/>
                <w:vertAlign w:val="baseline"/>
                <w:lang w:val="en-US" w:eastAsia="zh-CN"/>
              </w:rPr>
            </w:pPr>
            <w:r>
              <w:rPr>
                <w:rFonts w:hint="eastAsia"/>
                <w:szCs w:val="21"/>
                <w:lang w:val="en-US" w:eastAsia="zh-CN"/>
              </w:rPr>
              <w:t>60</w:t>
            </w:r>
          </w:p>
        </w:tc>
        <w:tc>
          <w:tcPr>
            <w:tcW w:w="10500" w:type="dxa"/>
            <w:vAlign w:val="center"/>
          </w:tcPr>
          <w:p>
            <w:pPr>
              <w:spacing w:line="240" w:lineRule="auto"/>
              <w:jc w:val="left"/>
              <w:rPr>
                <w:rFonts w:hint="eastAsia" w:ascii="宋体" w:hAnsi="宋体" w:eastAsia="宋体" w:cs="宋体"/>
                <w:kern w:val="2"/>
                <w:szCs w:val="21"/>
              </w:rPr>
            </w:pPr>
          </w:p>
        </w:tc>
      </w:tr>
    </w:tbl>
    <w:p>
      <w:pPr>
        <w:ind w:firstLine="420" w:firstLineChars="200"/>
        <w:rPr>
          <w:rFonts w:hAnsi="宋体"/>
          <w:b/>
          <w:szCs w:val="21"/>
        </w:rPr>
      </w:pPr>
      <w:r>
        <w:rPr>
          <w:rFonts w:hint="eastAsia" w:hAnsi="宋体"/>
          <w:szCs w:val="21"/>
        </w:rPr>
        <w:t xml:space="preserve">评委签名：                                           </w:t>
      </w:r>
      <w:r>
        <w:rPr>
          <w:rFonts w:hint="eastAsia" w:hAnsi="宋体"/>
          <w:szCs w:val="21"/>
          <w:lang w:val="en-US" w:eastAsia="zh-CN"/>
        </w:rPr>
        <w:t xml:space="preserve">                                        </w:t>
      </w:r>
      <w:r>
        <w:rPr>
          <w:rFonts w:hint="eastAsia" w:hAnsi="宋体"/>
          <w:szCs w:val="21"/>
        </w:rPr>
        <w:t>日期：</w:t>
      </w:r>
    </w:p>
    <w:p>
      <w:pPr>
        <w:spacing w:line="360" w:lineRule="exact"/>
        <w:jc w:val="left"/>
        <w:rPr>
          <w:rFonts w:hint="eastAsia" w:ascii="宋体" w:hAnsi="宋体"/>
          <w:b/>
          <w:sz w:val="28"/>
          <w:szCs w:val="28"/>
        </w:rPr>
      </w:pPr>
    </w:p>
    <w:p>
      <w:pPr>
        <w:spacing w:line="360" w:lineRule="exact"/>
        <w:jc w:val="left"/>
        <w:rPr>
          <w:rFonts w:ascii="宋体" w:hAnsi="宋体"/>
          <w:b/>
          <w:sz w:val="36"/>
          <w:szCs w:val="36"/>
        </w:rPr>
      </w:pPr>
      <w:r>
        <w:rPr>
          <w:rFonts w:hint="eastAsia" w:ascii="宋体" w:hAnsi="宋体"/>
          <w:b/>
          <w:sz w:val="28"/>
          <w:szCs w:val="28"/>
        </w:rPr>
        <w:t>附表4</w:t>
      </w:r>
      <w:r>
        <w:rPr>
          <w:rFonts w:ascii="宋体" w:hAnsi="宋体"/>
          <w:b/>
          <w:sz w:val="28"/>
          <w:szCs w:val="28"/>
        </w:rPr>
        <w:t>：</w:t>
      </w:r>
    </w:p>
    <w:p>
      <w:pPr>
        <w:spacing w:line="360" w:lineRule="auto"/>
        <w:jc w:val="center"/>
        <w:rPr>
          <w:rFonts w:ascii="黑体" w:hAnsi="黑体" w:eastAsia="黑体" w:cs="黑体"/>
          <w:b/>
          <w:sz w:val="32"/>
          <w:szCs w:val="32"/>
        </w:rPr>
      </w:pPr>
      <w:r>
        <w:rPr>
          <w:rFonts w:hint="eastAsia" w:ascii="黑体" w:hAnsi="黑体" w:eastAsia="黑体" w:cs="黑体"/>
          <w:b/>
          <w:sz w:val="32"/>
          <w:szCs w:val="32"/>
        </w:rPr>
        <w:t>投标报价文件有效性审查表</w:t>
      </w:r>
    </w:p>
    <w:p>
      <w:pPr>
        <w:rPr>
          <w:szCs w:val="21"/>
        </w:rPr>
      </w:pPr>
      <w:r>
        <w:rPr>
          <w:rFonts w:hint="eastAsia" w:ascii="宋体" w:hAnsi="宋体"/>
        </w:rPr>
        <w:t>工程名称：</w:t>
      </w:r>
    </w:p>
    <w:p>
      <w:pPr>
        <w:spacing w:line="300" w:lineRule="exact"/>
        <w:rPr>
          <w:rFonts w:ascii="宋体" w:hAnsi="宋体"/>
          <w:szCs w:val="21"/>
        </w:rPr>
      </w:pPr>
    </w:p>
    <w:tbl>
      <w:tblPr>
        <w:tblStyle w:val="40"/>
        <w:tblW w:w="14070"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17"/>
        <w:gridCol w:w="9315"/>
        <w:gridCol w:w="838"/>
        <w:gridCol w:w="776"/>
        <w:gridCol w:w="776"/>
        <w:gridCol w:w="774"/>
        <w:gridCol w:w="774"/>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35" w:hRule="atLeast"/>
        </w:trPr>
        <w:tc>
          <w:tcPr>
            <w:tcW w:w="817" w:type="dxa"/>
            <w:tcBorders>
              <w:top w:val="single" w:color="auto" w:sz="4" w:space="0"/>
              <w:left w:val="single" w:color="auto" w:sz="4" w:space="0"/>
              <w:bottom w:val="single" w:color="auto" w:sz="6" w:space="0"/>
              <w:right w:val="single" w:color="auto" w:sz="4" w:space="0"/>
            </w:tcBorders>
            <w:vAlign w:val="center"/>
          </w:tcPr>
          <w:p>
            <w:pPr>
              <w:tabs>
                <w:tab w:val="left" w:pos="0"/>
              </w:tabs>
              <w:spacing w:line="360" w:lineRule="auto"/>
              <w:rPr>
                <w:szCs w:val="21"/>
              </w:rPr>
            </w:pPr>
            <w:r>
              <w:rPr>
                <w:rFonts w:hint="eastAsia"/>
                <w:szCs w:val="21"/>
              </w:rPr>
              <w:t>序号</w:t>
            </w:r>
          </w:p>
        </w:tc>
        <w:tc>
          <w:tcPr>
            <w:tcW w:w="9315" w:type="dxa"/>
            <w:tcBorders>
              <w:top w:val="single" w:color="auto" w:sz="4" w:space="0"/>
              <w:left w:val="single" w:color="auto" w:sz="4" w:space="0"/>
              <w:bottom w:val="single" w:color="auto" w:sz="4" w:space="0"/>
              <w:right w:val="single" w:color="auto" w:sz="4" w:space="0"/>
              <w:tl2br w:val="single" w:color="auto" w:sz="4" w:space="0"/>
            </w:tcBorders>
            <w:vAlign w:val="center"/>
          </w:tcPr>
          <w:p>
            <w:pPr>
              <w:tabs>
                <w:tab w:val="left" w:pos="0"/>
              </w:tabs>
              <w:wordWrap w:val="0"/>
              <w:snapToGrid w:val="0"/>
              <w:ind w:left="3700" w:leftChars="227" w:hanging="3223" w:hangingChars="1535"/>
              <w:jc w:val="right"/>
              <w:rPr>
                <w:szCs w:val="21"/>
              </w:rPr>
            </w:pPr>
            <w:r>
              <w:rPr>
                <w:rFonts w:hint="eastAsia"/>
                <w:szCs w:val="21"/>
                <w:lang w:bidi="ar"/>
              </w:rPr>
              <w:t xml:space="preserve">投标单位  </w:t>
            </w:r>
          </w:p>
          <w:p>
            <w:pPr>
              <w:tabs>
                <w:tab w:val="left" w:pos="0"/>
              </w:tabs>
              <w:snapToGrid w:val="0"/>
              <w:ind w:firstLine="210" w:firstLineChars="100"/>
              <w:rPr>
                <w:szCs w:val="21"/>
              </w:rPr>
            </w:pPr>
            <w:r>
              <w:rPr>
                <w:rFonts w:hint="eastAsia"/>
                <w:szCs w:val="21"/>
              </w:rPr>
              <w:t>评审内容</w:t>
            </w:r>
          </w:p>
        </w:tc>
        <w:tc>
          <w:tcPr>
            <w:tcW w:w="838" w:type="dxa"/>
            <w:tcBorders>
              <w:top w:val="single" w:color="auto" w:sz="4" w:space="0"/>
              <w:left w:val="single" w:color="auto" w:sz="4" w:space="0"/>
              <w:bottom w:val="single" w:color="auto" w:sz="6" w:space="0"/>
              <w:right w:val="single" w:color="auto" w:sz="6" w:space="0"/>
            </w:tcBorders>
          </w:tcPr>
          <w:p>
            <w:pPr>
              <w:tabs>
                <w:tab w:val="left" w:pos="0"/>
              </w:tabs>
              <w:spacing w:line="360" w:lineRule="auto"/>
              <w:ind w:left="550" w:leftChars="227" w:hanging="73" w:hangingChars="35"/>
              <w:rPr>
                <w:szCs w:val="21"/>
              </w:rPr>
            </w:pPr>
          </w:p>
        </w:tc>
        <w:tc>
          <w:tcPr>
            <w:tcW w:w="776" w:type="dxa"/>
            <w:tcBorders>
              <w:top w:val="single" w:color="auto" w:sz="4" w:space="0"/>
              <w:left w:val="single" w:color="auto" w:sz="6" w:space="0"/>
              <w:bottom w:val="single" w:color="auto" w:sz="6" w:space="0"/>
              <w:right w:val="single" w:color="auto" w:sz="6" w:space="0"/>
            </w:tcBorders>
          </w:tcPr>
          <w:p>
            <w:pPr>
              <w:tabs>
                <w:tab w:val="left" w:pos="0"/>
              </w:tabs>
              <w:spacing w:line="360" w:lineRule="auto"/>
              <w:ind w:left="550" w:leftChars="227" w:hanging="73" w:hangingChars="35"/>
              <w:rPr>
                <w:szCs w:val="21"/>
              </w:rPr>
            </w:pPr>
          </w:p>
        </w:tc>
        <w:tc>
          <w:tcPr>
            <w:tcW w:w="776" w:type="dxa"/>
            <w:tcBorders>
              <w:top w:val="single" w:color="auto" w:sz="4" w:space="0"/>
              <w:left w:val="single" w:color="auto" w:sz="6" w:space="0"/>
              <w:bottom w:val="single" w:color="auto" w:sz="6" w:space="0"/>
              <w:right w:val="single" w:color="auto" w:sz="6" w:space="0"/>
            </w:tcBorders>
          </w:tcPr>
          <w:p>
            <w:pPr>
              <w:tabs>
                <w:tab w:val="left" w:pos="0"/>
              </w:tabs>
              <w:spacing w:line="360" w:lineRule="auto"/>
              <w:ind w:left="550" w:leftChars="227" w:hanging="73" w:hangingChars="35"/>
              <w:rPr>
                <w:szCs w:val="21"/>
              </w:rPr>
            </w:pPr>
          </w:p>
        </w:tc>
        <w:tc>
          <w:tcPr>
            <w:tcW w:w="774" w:type="dxa"/>
            <w:tcBorders>
              <w:top w:val="single" w:color="auto" w:sz="4" w:space="0"/>
              <w:left w:val="single" w:color="auto" w:sz="6" w:space="0"/>
              <w:bottom w:val="single" w:color="auto" w:sz="6" w:space="0"/>
              <w:right w:val="single" w:color="auto" w:sz="6" w:space="0"/>
            </w:tcBorders>
          </w:tcPr>
          <w:p>
            <w:pPr>
              <w:tabs>
                <w:tab w:val="left" w:pos="0"/>
              </w:tabs>
              <w:spacing w:line="360" w:lineRule="auto"/>
              <w:ind w:left="550" w:leftChars="227" w:hanging="73" w:hangingChars="35"/>
              <w:rPr>
                <w:szCs w:val="21"/>
              </w:rPr>
            </w:pPr>
          </w:p>
        </w:tc>
        <w:tc>
          <w:tcPr>
            <w:tcW w:w="774" w:type="dxa"/>
            <w:tcBorders>
              <w:top w:val="single" w:color="auto" w:sz="4" w:space="0"/>
              <w:left w:val="single" w:color="auto" w:sz="6" w:space="0"/>
              <w:bottom w:val="single" w:color="auto" w:sz="6" w:space="0"/>
              <w:right w:val="single" w:color="auto" w:sz="6" w:space="0"/>
            </w:tcBorders>
          </w:tcPr>
          <w:p>
            <w:pPr>
              <w:tabs>
                <w:tab w:val="left" w:pos="0"/>
              </w:tabs>
              <w:spacing w:line="360" w:lineRule="auto"/>
              <w:ind w:left="550" w:leftChars="227" w:hanging="73" w:hangingChars="35"/>
              <w:rPr>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67" w:hRule="atLeast"/>
        </w:trPr>
        <w:tc>
          <w:tcPr>
            <w:tcW w:w="817" w:type="dxa"/>
            <w:tcBorders>
              <w:top w:val="single" w:color="auto" w:sz="6" w:space="0"/>
              <w:left w:val="single" w:color="auto" w:sz="4" w:space="0"/>
              <w:bottom w:val="single" w:color="auto" w:sz="6" w:space="0"/>
              <w:right w:val="single" w:color="auto" w:sz="6" w:space="0"/>
            </w:tcBorders>
            <w:vAlign w:val="center"/>
          </w:tcPr>
          <w:p>
            <w:pPr>
              <w:tabs>
                <w:tab w:val="left" w:pos="0"/>
              </w:tabs>
              <w:spacing w:line="240" w:lineRule="atLeast"/>
              <w:jc w:val="center"/>
              <w:rPr>
                <w:szCs w:val="21"/>
              </w:rPr>
            </w:pPr>
            <w:r>
              <w:rPr>
                <w:rFonts w:hint="eastAsia"/>
                <w:szCs w:val="21"/>
              </w:rPr>
              <w:t>1</w:t>
            </w:r>
          </w:p>
        </w:tc>
        <w:tc>
          <w:tcPr>
            <w:tcW w:w="9315" w:type="dxa"/>
            <w:tcBorders>
              <w:top w:val="single" w:color="auto" w:sz="4" w:space="0"/>
              <w:left w:val="single" w:color="auto" w:sz="6" w:space="0"/>
              <w:bottom w:val="single" w:color="auto" w:sz="6" w:space="0"/>
              <w:right w:val="single" w:color="auto" w:sz="6" w:space="0"/>
            </w:tcBorders>
            <w:vAlign w:val="center"/>
          </w:tcPr>
          <w:p>
            <w:pPr>
              <w:tabs>
                <w:tab w:val="left" w:pos="0"/>
              </w:tabs>
              <w:spacing w:line="240" w:lineRule="atLeast"/>
              <w:rPr>
                <w:szCs w:val="21"/>
              </w:rPr>
            </w:pPr>
            <w:r>
              <w:rPr>
                <w:rFonts w:hint="eastAsia"/>
                <w:szCs w:val="21"/>
              </w:rPr>
              <w:t>投标文件的封面有加盖投标单位的法定印章并经投标人代表签署或盖章的。</w:t>
            </w:r>
          </w:p>
        </w:tc>
        <w:tc>
          <w:tcPr>
            <w:tcW w:w="838" w:type="dxa"/>
            <w:tcBorders>
              <w:top w:val="single" w:color="auto" w:sz="6" w:space="0"/>
              <w:left w:val="single" w:color="auto" w:sz="6" w:space="0"/>
              <w:bottom w:val="single" w:color="auto" w:sz="6" w:space="0"/>
              <w:right w:val="single" w:color="auto" w:sz="6" w:space="0"/>
            </w:tcBorders>
          </w:tcPr>
          <w:p>
            <w:pPr>
              <w:tabs>
                <w:tab w:val="left" w:pos="0"/>
              </w:tabs>
              <w:spacing w:line="240" w:lineRule="atLeast"/>
              <w:ind w:left="550" w:leftChars="227" w:hanging="73" w:hangingChars="35"/>
              <w:rPr>
                <w:szCs w:val="21"/>
              </w:rPr>
            </w:pPr>
          </w:p>
        </w:tc>
        <w:tc>
          <w:tcPr>
            <w:tcW w:w="776" w:type="dxa"/>
            <w:tcBorders>
              <w:top w:val="single" w:color="auto" w:sz="6" w:space="0"/>
              <w:left w:val="single" w:color="auto" w:sz="6" w:space="0"/>
              <w:bottom w:val="single" w:color="auto" w:sz="6" w:space="0"/>
              <w:right w:val="single" w:color="auto" w:sz="6" w:space="0"/>
            </w:tcBorders>
          </w:tcPr>
          <w:p>
            <w:pPr>
              <w:tabs>
                <w:tab w:val="left" w:pos="0"/>
              </w:tabs>
              <w:spacing w:line="240" w:lineRule="atLeast"/>
              <w:ind w:left="550" w:leftChars="227" w:hanging="73" w:hangingChars="35"/>
              <w:rPr>
                <w:szCs w:val="21"/>
              </w:rPr>
            </w:pPr>
          </w:p>
        </w:tc>
        <w:tc>
          <w:tcPr>
            <w:tcW w:w="776" w:type="dxa"/>
            <w:tcBorders>
              <w:top w:val="single" w:color="auto" w:sz="6" w:space="0"/>
              <w:left w:val="single" w:color="auto" w:sz="6" w:space="0"/>
              <w:bottom w:val="single" w:color="auto" w:sz="6" w:space="0"/>
              <w:right w:val="single" w:color="auto" w:sz="6" w:space="0"/>
            </w:tcBorders>
          </w:tcPr>
          <w:p>
            <w:pPr>
              <w:tabs>
                <w:tab w:val="left" w:pos="0"/>
              </w:tabs>
              <w:spacing w:line="240" w:lineRule="atLeast"/>
              <w:ind w:left="550" w:leftChars="227" w:hanging="73" w:hangingChars="35"/>
              <w:rPr>
                <w:szCs w:val="21"/>
              </w:rPr>
            </w:pPr>
          </w:p>
        </w:tc>
        <w:tc>
          <w:tcPr>
            <w:tcW w:w="774" w:type="dxa"/>
            <w:tcBorders>
              <w:top w:val="single" w:color="auto" w:sz="6" w:space="0"/>
              <w:left w:val="single" w:color="auto" w:sz="6" w:space="0"/>
              <w:bottom w:val="single" w:color="auto" w:sz="6" w:space="0"/>
              <w:right w:val="single" w:color="auto" w:sz="6" w:space="0"/>
            </w:tcBorders>
          </w:tcPr>
          <w:p>
            <w:pPr>
              <w:tabs>
                <w:tab w:val="left" w:pos="0"/>
              </w:tabs>
              <w:spacing w:line="240" w:lineRule="atLeast"/>
              <w:ind w:left="550" w:leftChars="227" w:hanging="73" w:hangingChars="35"/>
              <w:rPr>
                <w:szCs w:val="21"/>
              </w:rPr>
            </w:pPr>
          </w:p>
        </w:tc>
        <w:tc>
          <w:tcPr>
            <w:tcW w:w="774" w:type="dxa"/>
            <w:tcBorders>
              <w:top w:val="single" w:color="auto" w:sz="6" w:space="0"/>
              <w:left w:val="single" w:color="auto" w:sz="6" w:space="0"/>
              <w:bottom w:val="single" w:color="auto" w:sz="6" w:space="0"/>
              <w:right w:val="single" w:color="auto" w:sz="6" w:space="0"/>
            </w:tcBorders>
          </w:tcPr>
          <w:p>
            <w:pPr>
              <w:tabs>
                <w:tab w:val="left" w:pos="0"/>
              </w:tabs>
              <w:spacing w:line="240" w:lineRule="atLeast"/>
              <w:ind w:left="550" w:leftChars="227" w:hanging="73" w:hangingChars="35"/>
              <w:rPr>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67" w:hRule="atLeast"/>
        </w:trPr>
        <w:tc>
          <w:tcPr>
            <w:tcW w:w="817" w:type="dxa"/>
            <w:tcBorders>
              <w:top w:val="single" w:color="auto" w:sz="6" w:space="0"/>
              <w:left w:val="single" w:color="auto" w:sz="4" w:space="0"/>
              <w:bottom w:val="single" w:color="auto" w:sz="6" w:space="0"/>
              <w:right w:val="single" w:color="auto" w:sz="6" w:space="0"/>
            </w:tcBorders>
            <w:vAlign w:val="center"/>
          </w:tcPr>
          <w:p>
            <w:pPr>
              <w:tabs>
                <w:tab w:val="left" w:pos="0"/>
              </w:tabs>
              <w:spacing w:line="240" w:lineRule="atLeast"/>
              <w:jc w:val="center"/>
              <w:rPr>
                <w:szCs w:val="21"/>
              </w:rPr>
            </w:pPr>
            <w:r>
              <w:rPr>
                <w:rFonts w:hint="eastAsia"/>
                <w:szCs w:val="21"/>
              </w:rPr>
              <w:t>2</w:t>
            </w:r>
          </w:p>
        </w:tc>
        <w:tc>
          <w:tcPr>
            <w:tcW w:w="9315" w:type="dxa"/>
            <w:tcBorders>
              <w:top w:val="single" w:color="auto" w:sz="6" w:space="0"/>
              <w:left w:val="single" w:color="auto" w:sz="6" w:space="0"/>
              <w:bottom w:val="single" w:color="auto" w:sz="6" w:space="0"/>
              <w:right w:val="single" w:color="auto" w:sz="6" w:space="0"/>
            </w:tcBorders>
            <w:vAlign w:val="center"/>
          </w:tcPr>
          <w:p>
            <w:pPr>
              <w:tabs>
                <w:tab w:val="left" w:pos="0"/>
              </w:tabs>
              <w:spacing w:line="240" w:lineRule="atLeast"/>
              <w:rPr>
                <w:rFonts w:hint="eastAsia" w:eastAsia="宋体"/>
                <w:szCs w:val="21"/>
                <w:lang w:eastAsia="zh-CN"/>
              </w:rPr>
            </w:pPr>
            <w:r>
              <w:rPr>
                <w:rFonts w:hint="eastAsia"/>
                <w:szCs w:val="21"/>
              </w:rPr>
              <w:t>对同一招标项目</w:t>
            </w:r>
            <w:r>
              <w:rPr>
                <w:rFonts w:hint="eastAsia"/>
                <w:szCs w:val="21"/>
                <w:lang w:val="en-US" w:eastAsia="zh-CN"/>
              </w:rPr>
              <w:t>没有</w:t>
            </w:r>
            <w:r>
              <w:rPr>
                <w:rFonts w:hint="eastAsia"/>
                <w:szCs w:val="21"/>
              </w:rPr>
              <w:t>出现两个或以上的投标报价</w:t>
            </w:r>
            <w:r>
              <w:rPr>
                <w:rFonts w:hint="eastAsia"/>
                <w:szCs w:val="21"/>
                <w:lang w:eastAsia="zh-CN"/>
              </w:rPr>
              <w:t>。</w:t>
            </w:r>
          </w:p>
        </w:tc>
        <w:tc>
          <w:tcPr>
            <w:tcW w:w="838" w:type="dxa"/>
            <w:tcBorders>
              <w:top w:val="single" w:color="auto" w:sz="6" w:space="0"/>
              <w:left w:val="single" w:color="auto" w:sz="6" w:space="0"/>
              <w:bottom w:val="single" w:color="auto" w:sz="6" w:space="0"/>
              <w:right w:val="single" w:color="auto" w:sz="6" w:space="0"/>
            </w:tcBorders>
          </w:tcPr>
          <w:p>
            <w:pPr>
              <w:tabs>
                <w:tab w:val="left" w:pos="0"/>
              </w:tabs>
              <w:spacing w:line="240" w:lineRule="atLeast"/>
              <w:ind w:left="550" w:leftChars="227" w:hanging="73" w:hangingChars="35"/>
              <w:rPr>
                <w:szCs w:val="21"/>
              </w:rPr>
            </w:pPr>
          </w:p>
        </w:tc>
        <w:tc>
          <w:tcPr>
            <w:tcW w:w="776" w:type="dxa"/>
            <w:tcBorders>
              <w:top w:val="single" w:color="auto" w:sz="6" w:space="0"/>
              <w:left w:val="single" w:color="auto" w:sz="6" w:space="0"/>
              <w:bottom w:val="single" w:color="auto" w:sz="6" w:space="0"/>
              <w:right w:val="single" w:color="auto" w:sz="6" w:space="0"/>
            </w:tcBorders>
          </w:tcPr>
          <w:p>
            <w:pPr>
              <w:tabs>
                <w:tab w:val="left" w:pos="0"/>
              </w:tabs>
              <w:spacing w:line="240" w:lineRule="atLeast"/>
              <w:ind w:left="550" w:leftChars="227" w:hanging="73" w:hangingChars="35"/>
              <w:rPr>
                <w:szCs w:val="21"/>
              </w:rPr>
            </w:pPr>
          </w:p>
        </w:tc>
        <w:tc>
          <w:tcPr>
            <w:tcW w:w="776" w:type="dxa"/>
            <w:tcBorders>
              <w:top w:val="single" w:color="auto" w:sz="6" w:space="0"/>
              <w:left w:val="single" w:color="auto" w:sz="6" w:space="0"/>
              <w:bottom w:val="single" w:color="auto" w:sz="6" w:space="0"/>
              <w:right w:val="single" w:color="auto" w:sz="6" w:space="0"/>
            </w:tcBorders>
          </w:tcPr>
          <w:p>
            <w:pPr>
              <w:tabs>
                <w:tab w:val="left" w:pos="0"/>
              </w:tabs>
              <w:spacing w:line="240" w:lineRule="atLeast"/>
              <w:ind w:left="550" w:leftChars="227" w:hanging="73" w:hangingChars="35"/>
              <w:rPr>
                <w:szCs w:val="21"/>
              </w:rPr>
            </w:pPr>
          </w:p>
        </w:tc>
        <w:tc>
          <w:tcPr>
            <w:tcW w:w="774" w:type="dxa"/>
            <w:tcBorders>
              <w:top w:val="single" w:color="auto" w:sz="6" w:space="0"/>
              <w:left w:val="single" w:color="auto" w:sz="6" w:space="0"/>
              <w:bottom w:val="single" w:color="auto" w:sz="6" w:space="0"/>
              <w:right w:val="single" w:color="auto" w:sz="6" w:space="0"/>
            </w:tcBorders>
          </w:tcPr>
          <w:p>
            <w:pPr>
              <w:tabs>
                <w:tab w:val="left" w:pos="0"/>
              </w:tabs>
              <w:spacing w:line="240" w:lineRule="atLeast"/>
              <w:ind w:left="550" w:leftChars="227" w:hanging="73" w:hangingChars="35"/>
              <w:rPr>
                <w:szCs w:val="21"/>
              </w:rPr>
            </w:pPr>
          </w:p>
        </w:tc>
        <w:tc>
          <w:tcPr>
            <w:tcW w:w="774" w:type="dxa"/>
            <w:tcBorders>
              <w:top w:val="single" w:color="auto" w:sz="6" w:space="0"/>
              <w:left w:val="single" w:color="auto" w:sz="6" w:space="0"/>
              <w:bottom w:val="single" w:color="auto" w:sz="6" w:space="0"/>
              <w:right w:val="single" w:color="auto" w:sz="6" w:space="0"/>
            </w:tcBorders>
          </w:tcPr>
          <w:p>
            <w:pPr>
              <w:tabs>
                <w:tab w:val="left" w:pos="0"/>
              </w:tabs>
              <w:spacing w:line="240" w:lineRule="atLeast"/>
              <w:ind w:left="550" w:leftChars="227" w:hanging="73" w:hangingChars="35"/>
              <w:rPr>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67" w:hRule="atLeast"/>
        </w:trPr>
        <w:tc>
          <w:tcPr>
            <w:tcW w:w="817" w:type="dxa"/>
            <w:tcBorders>
              <w:top w:val="single" w:color="auto" w:sz="6" w:space="0"/>
              <w:left w:val="single" w:color="auto" w:sz="4" w:space="0"/>
              <w:bottom w:val="single" w:color="auto" w:sz="6" w:space="0"/>
              <w:right w:val="single" w:color="auto" w:sz="6" w:space="0"/>
            </w:tcBorders>
            <w:vAlign w:val="center"/>
          </w:tcPr>
          <w:p>
            <w:pPr>
              <w:tabs>
                <w:tab w:val="left" w:pos="0"/>
              </w:tabs>
              <w:spacing w:line="240" w:lineRule="atLeast"/>
              <w:jc w:val="center"/>
              <w:rPr>
                <w:color w:val="auto"/>
                <w:szCs w:val="21"/>
              </w:rPr>
            </w:pPr>
            <w:r>
              <w:rPr>
                <w:rFonts w:hint="eastAsia"/>
                <w:color w:val="auto"/>
                <w:szCs w:val="21"/>
              </w:rPr>
              <w:t>3</w:t>
            </w:r>
          </w:p>
        </w:tc>
        <w:tc>
          <w:tcPr>
            <w:tcW w:w="9315" w:type="dxa"/>
            <w:tcBorders>
              <w:top w:val="single" w:color="auto" w:sz="6" w:space="0"/>
              <w:left w:val="single" w:color="auto" w:sz="6" w:space="0"/>
              <w:bottom w:val="single" w:color="auto" w:sz="6" w:space="0"/>
              <w:right w:val="single" w:color="auto" w:sz="6" w:space="0"/>
            </w:tcBorders>
            <w:vAlign w:val="center"/>
          </w:tcPr>
          <w:p>
            <w:pPr>
              <w:jc w:val="left"/>
              <w:rPr>
                <w:b/>
                <w:szCs w:val="21"/>
              </w:rPr>
            </w:pPr>
            <w:r>
              <w:rPr>
                <w:rFonts w:hint="eastAsia"/>
                <w:szCs w:val="21"/>
              </w:rPr>
              <w:t>投标报价总价</w:t>
            </w:r>
            <w:r>
              <w:rPr>
                <w:rFonts w:hint="eastAsia"/>
                <w:szCs w:val="21"/>
                <w:lang w:val="en-US" w:eastAsia="zh-CN"/>
              </w:rPr>
              <w:t>不</w:t>
            </w:r>
            <w:r>
              <w:rPr>
                <w:rFonts w:hint="eastAsia"/>
                <w:szCs w:val="21"/>
              </w:rPr>
              <w:t>高于最高投标限价总价的。</w:t>
            </w:r>
          </w:p>
        </w:tc>
        <w:tc>
          <w:tcPr>
            <w:tcW w:w="838" w:type="dxa"/>
            <w:tcBorders>
              <w:top w:val="single" w:color="auto" w:sz="6" w:space="0"/>
              <w:left w:val="single" w:color="auto" w:sz="6" w:space="0"/>
              <w:bottom w:val="single" w:color="auto" w:sz="6" w:space="0"/>
              <w:right w:val="single" w:color="auto" w:sz="6" w:space="0"/>
            </w:tcBorders>
          </w:tcPr>
          <w:p>
            <w:pPr>
              <w:tabs>
                <w:tab w:val="left" w:pos="0"/>
              </w:tabs>
              <w:spacing w:line="240" w:lineRule="atLeast"/>
              <w:ind w:left="550" w:leftChars="227" w:hanging="73" w:hangingChars="35"/>
              <w:rPr>
                <w:szCs w:val="21"/>
              </w:rPr>
            </w:pPr>
          </w:p>
        </w:tc>
        <w:tc>
          <w:tcPr>
            <w:tcW w:w="776" w:type="dxa"/>
            <w:tcBorders>
              <w:top w:val="single" w:color="auto" w:sz="6" w:space="0"/>
              <w:left w:val="single" w:color="auto" w:sz="6" w:space="0"/>
              <w:bottom w:val="single" w:color="auto" w:sz="6" w:space="0"/>
              <w:right w:val="single" w:color="auto" w:sz="6" w:space="0"/>
            </w:tcBorders>
          </w:tcPr>
          <w:p>
            <w:pPr>
              <w:tabs>
                <w:tab w:val="left" w:pos="0"/>
              </w:tabs>
              <w:spacing w:line="240" w:lineRule="atLeast"/>
              <w:ind w:left="550" w:leftChars="227" w:hanging="73" w:hangingChars="35"/>
              <w:rPr>
                <w:szCs w:val="21"/>
              </w:rPr>
            </w:pPr>
          </w:p>
        </w:tc>
        <w:tc>
          <w:tcPr>
            <w:tcW w:w="776" w:type="dxa"/>
            <w:tcBorders>
              <w:top w:val="single" w:color="auto" w:sz="6" w:space="0"/>
              <w:left w:val="single" w:color="auto" w:sz="6" w:space="0"/>
              <w:bottom w:val="single" w:color="auto" w:sz="6" w:space="0"/>
              <w:right w:val="single" w:color="auto" w:sz="6" w:space="0"/>
            </w:tcBorders>
          </w:tcPr>
          <w:p>
            <w:pPr>
              <w:tabs>
                <w:tab w:val="left" w:pos="0"/>
              </w:tabs>
              <w:spacing w:line="240" w:lineRule="atLeast"/>
              <w:ind w:left="550" w:leftChars="227" w:hanging="73" w:hangingChars="35"/>
              <w:rPr>
                <w:szCs w:val="21"/>
              </w:rPr>
            </w:pPr>
          </w:p>
        </w:tc>
        <w:tc>
          <w:tcPr>
            <w:tcW w:w="774" w:type="dxa"/>
            <w:tcBorders>
              <w:top w:val="single" w:color="auto" w:sz="6" w:space="0"/>
              <w:left w:val="single" w:color="auto" w:sz="6" w:space="0"/>
              <w:bottom w:val="single" w:color="auto" w:sz="6" w:space="0"/>
              <w:right w:val="single" w:color="auto" w:sz="6" w:space="0"/>
            </w:tcBorders>
          </w:tcPr>
          <w:p>
            <w:pPr>
              <w:tabs>
                <w:tab w:val="left" w:pos="0"/>
              </w:tabs>
              <w:spacing w:line="240" w:lineRule="atLeast"/>
              <w:ind w:left="550" w:leftChars="227" w:hanging="73" w:hangingChars="35"/>
              <w:rPr>
                <w:szCs w:val="21"/>
              </w:rPr>
            </w:pPr>
          </w:p>
        </w:tc>
        <w:tc>
          <w:tcPr>
            <w:tcW w:w="774" w:type="dxa"/>
            <w:tcBorders>
              <w:top w:val="single" w:color="auto" w:sz="6" w:space="0"/>
              <w:left w:val="single" w:color="auto" w:sz="6" w:space="0"/>
              <w:bottom w:val="single" w:color="auto" w:sz="6" w:space="0"/>
              <w:right w:val="single" w:color="auto" w:sz="6" w:space="0"/>
            </w:tcBorders>
          </w:tcPr>
          <w:p>
            <w:pPr>
              <w:tabs>
                <w:tab w:val="left" w:pos="0"/>
              </w:tabs>
              <w:spacing w:line="240" w:lineRule="atLeast"/>
              <w:ind w:left="550" w:leftChars="227" w:hanging="73" w:hangingChars="35"/>
              <w:rPr>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67" w:hRule="atLeast"/>
        </w:trPr>
        <w:tc>
          <w:tcPr>
            <w:tcW w:w="817" w:type="dxa"/>
            <w:tcBorders>
              <w:top w:val="single" w:color="auto" w:sz="6" w:space="0"/>
              <w:left w:val="single" w:color="auto" w:sz="4" w:space="0"/>
              <w:bottom w:val="single" w:color="auto" w:sz="6" w:space="0"/>
              <w:right w:val="single" w:color="auto" w:sz="6" w:space="0"/>
            </w:tcBorders>
            <w:vAlign w:val="center"/>
          </w:tcPr>
          <w:p>
            <w:pPr>
              <w:tabs>
                <w:tab w:val="left" w:pos="0"/>
              </w:tabs>
              <w:spacing w:line="240" w:lineRule="atLeast"/>
              <w:jc w:val="center"/>
              <w:rPr>
                <w:rFonts w:hint="eastAsia" w:eastAsia="宋体"/>
                <w:color w:val="auto"/>
                <w:szCs w:val="21"/>
                <w:lang w:eastAsia="zh-CN"/>
              </w:rPr>
            </w:pPr>
            <w:r>
              <w:rPr>
                <w:rFonts w:hint="eastAsia"/>
                <w:color w:val="auto"/>
                <w:szCs w:val="21"/>
                <w:lang w:val="en-US" w:eastAsia="zh-CN"/>
              </w:rPr>
              <w:t>4</w:t>
            </w:r>
          </w:p>
        </w:tc>
        <w:tc>
          <w:tcPr>
            <w:tcW w:w="9315" w:type="dxa"/>
            <w:tcBorders>
              <w:top w:val="single" w:color="auto" w:sz="6" w:space="0"/>
              <w:left w:val="single" w:color="auto" w:sz="6" w:space="0"/>
              <w:bottom w:val="single" w:color="auto" w:sz="6" w:space="0"/>
              <w:right w:val="single" w:color="auto" w:sz="6" w:space="0"/>
            </w:tcBorders>
            <w:vAlign w:val="center"/>
          </w:tcPr>
          <w:p>
            <w:pPr>
              <w:tabs>
                <w:tab w:val="left" w:pos="0"/>
              </w:tabs>
              <w:spacing w:line="240" w:lineRule="atLeast"/>
              <w:rPr>
                <w:szCs w:val="21"/>
              </w:rPr>
            </w:pPr>
            <w:r>
              <w:rPr>
                <w:rFonts w:hint="eastAsia"/>
                <w:szCs w:val="21"/>
              </w:rPr>
              <w:t>投标文件按规定的格式填写，主要内容</w:t>
            </w:r>
            <w:r>
              <w:rPr>
                <w:rFonts w:hint="eastAsia"/>
                <w:szCs w:val="21"/>
                <w:lang w:val="en-US" w:eastAsia="zh-CN"/>
              </w:rPr>
              <w:t>齐</w:t>
            </w:r>
            <w:r>
              <w:rPr>
                <w:rFonts w:hint="eastAsia"/>
                <w:szCs w:val="21"/>
              </w:rPr>
              <w:t>全。</w:t>
            </w:r>
          </w:p>
        </w:tc>
        <w:tc>
          <w:tcPr>
            <w:tcW w:w="838" w:type="dxa"/>
            <w:tcBorders>
              <w:top w:val="single" w:color="auto" w:sz="6" w:space="0"/>
              <w:left w:val="single" w:color="auto" w:sz="6" w:space="0"/>
              <w:bottom w:val="single" w:color="auto" w:sz="6" w:space="0"/>
              <w:right w:val="single" w:color="auto" w:sz="6" w:space="0"/>
            </w:tcBorders>
          </w:tcPr>
          <w:p>
            <w:pPr>
              <w:tabs>
                <w:tab w:val="left" w:pos="0"/>
              </w:tabs>
              <w:spacing w:line="240" w:lineRule="atLeast"/>
              <w:ind w:left="550" w:leftChars="227" w:hanging="73" w:hangingChars="35"/>
              <w:rPr>
                <w:szCs w:val="21"/>
              </w:rPr>
            </w:pPr>
          </w:p>
        </w:tc>
        <w:tc>
          <w:tcPr>
            <w:tcW w:w="776" w:type="dxa"/>
            <w:tcBorders>
              <w:top w:val="single" w:color="auto" w:sz="6" w:space="0"/>
              <w:left w:val="single" w:color="auto" w:sz="6" w:space="0"/>
              <w:bottom w:val="single" w:color="auto" w:sz="6" w:space="0"/>
              <w:right w:val="single" w:color="auto" w:sz="6" w:space="0"/>
            </w:tcBorders>
          </w:tcPr>
          <w:p>
            <w:pPr>
              <w:tabs>
                <w:tab w:val="left" w:pos="0"/>
              </w:tabs>
              <w:spacing w:line="240" w:lineRule="atLeast"/>
              <w:ind w:left="550" w:leftChars="227" w:hanging="73" w:hangingChars="35"/>
              <w:rPr>
                <w:szCs w:val="21"/>
              </w:rPr>
            </w:pPr>
          </w:p>
        </w:tc>
        <w:tc>
          <w:tcPr>
            <w:tcW w:w="776" w:type="dxa"/>
            <w:tcBorders>
              <w:top w:val="single" w:color="auto" w:sz="6" w:space="0"/>
              <w:left w:val="single" w:color="auto" w:sz="6" w:space="0"/>
              <w:bottom w:val="single" w:color="auto" w:sz="6" w:space="0"/>
              <w:right w:val="single" w:color="auto" w:sz="6" w:space="0"/>
            </w:tcBorders>
          </w:tcPr>
          <w:p>
            <w:pPr>
              <w:tabs>
                <w:tab w:val="left" w:pos="0"/>
              </w:tabs>
              <w:spacing w:line="240" w:lineRule="atLeast"/>
              <w:ind w:left="550" w:leftChars="227" w:hanging="73" w:hangingChars="35"/>
              <w:rPr>
                <w:szCs w:val="21"/>
              </w:rPr>
            </w:pPr>
          </w:p>
        </w:tc>
        <w:tc>
          <w:tcPr>
            <w:tcW w:w="774" w:type="dxa"/>
            <w:tcBorders>
              <w:top w:val="single" w:color="auto" w:sz="6" w:space="0"/>
              <w:left w:val="single" w:color="auto" w:sz="6" w:space="0"/>
              <w:bottom w:val="single" w:color="auto" w:sz="6" w:space="0"/>
              <w:right w:val="single" w:color="auto" w:sz="6" w:space="0"/>
            </w:tcBorders>
          </w:tcPr>
          <w:p>
            <w:pPr>
              <w:tabs>
                <w:tab w:val="left" w:pos="0"/>
              </w:tabs>
              <w:spacing w:line="240" w:lineRule="atLeast"/>
              <w:ind w:left="550" w:leftChars="227" w:hanging="73" w:hangingChars="35"/>
              <w:rPr>
                <w:szCs w:val="21"/>
              </w:rPr>
            </w:pPr>
          </w:p>
        </w:tc>
        <w:tc>
          <w:tcPr>
            <w:tcW w:w="774" w:type="dxa"/>
            <w:tcBorders>
              <w:top w:val="single" w:color="auto" w:sz="6" w:space="0"/>
              <w:left w:val="single" w:color="auto" w:sz="6" w:space="0"/>
              <w:bottom w:val="single" w:color="auto" w:sz="6" w:space="0"/>
              <w:right w:val="single" w:color="auto" w:sz="6" w:space="0"/>
            </w:tcBorders>
          </w:tcPr>
          <w:p>
            <w:pPr>
              <w:tabs>
                <w:tab w:val="left" w:pos="0"/>
              </w:tabs>
              <w:spacing w:line="240" w:lineRule="atLeast"/>
              <w:ind w:left="550" w:leftChars="227" w:hanging="73" w:hangingChars="35"/>
              <w:rPr>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67" w:hRule="atLeast"/>
        </w:trPr>
        <w:tc>
          <w:tcPr>
            <w:tcW w:w="10132" w:type="dxa"/>
            <w:gridSpan w:val="2"/>
            <w:tcBorders>
              <w:top w:val="single" w:color="auto" w:sz="6" w:space="0"/>
              <w:left w:val="single" w:color="auto" w:sz="4" w:space="0"/>
              <w:bottom w:val="single" w:color="auto" w:sz="4" w:space="0"/>
              <w:right w:val="single" w:color="auto" w:sz="6" w:space="0"/>
            </w:tcBorders>
            <w:vAlign w:val="center"/>
          </w:tcPr>
          <w:p>
            <w:pPr>
              <w:spacing w:line="360" w:lineRule="auto"/>
              <w:jc w:val="center"/>
              <w:rPr>
                <w:szCs w:val="21"/>
              </w:rPr>
            </w:pPr>
            <w:r>
              <w:rPr>
                <w:rFonts w:hint="eastAsia"/>
                <w:bCs/>
                <w:szCs w:val="21"/>
              </w:rPr>
              <w:t>结论</w:t>
            </w:r>
          </w:p>
        </w:tc>
        <w:tc>
          <w:tcPr>
            <w:tcW w:w="838" w:type="dxa"/>
            <w:tcBorders>
              <w:top w:val="single" w:color="auto" w:sz="6" w:space="0"/>
              <w:left w:val="single" w:color="auto" w:sz="6" w:space="0"/>
              <w:bottom w:val="single" w:color="auto" w:sz="4" w:space="0"/>
              <w:right w:val="single" w:color="auto" w:sz="6" w:space="0"/>
            </w:tcBorders>
          </w:tcPr>
          <w:p>
            <w:pPr>
              <w:tabs>
                <w:tab w:val="left" w:pos="0"/>
              </w:tabs>
              <w:spacing w:line="240" w:lineRule="atLeast"/>
              <w:ind w:left="550" w:leftChars="227" w:hanging="73" w:hangingChars="35"/>
              <w:rPr>
                <w:szCs w:val="21"/>
              </w:rPr>
            </w:pPr>
          </w:p>
        </w:tc>
        <w:tc>
          <w:tcPr>
            <w:tcW w:w="776" w:type="dxa"/>
            <w:tcBorders>
              <w:top w:val="single" w:color="auto" w:sz="6" w:space="0"/>
              <w:left w:val="single" w:color="auto" w:sz="6" w:space="0"/>
              <w:bottom w:val="single" w:color="auto" w:sz="4" w:space="0"/>
              <w:right w:val="single" w:color="auto" w:sz="6" w:space="0"/>
            </w:tcBorders>
          </w:tcPr>
          <w:p>
            <w:pPr>
              <w:tabs>
                <w:tab w:val="left" w:pos="0"/>
              </w:tabs>
              <w:spacing w:line="240" w:lineRule="atLeast"/>
              <w:ind w:left="550" w:leftChars="227" w:hanging="73" w:hangingChars="35"/>
              <w:rPr>
                <w:szCs w:val="21"/>
              </w:rPr>
            </w:pPr>
          </w:p>
        </w:tc>
        <w:tc>
          <w:tcPr>
            <w:tcW w:w="776" w:type="dxa"/>
            <w:tcBorders>
              <w:top w:val="single" w:color="auto" w:sz="6" w:space="0"/>
              <w:left w:val="single" w:color="auto" w:sz="6" w:space="0"/>
              <w:bottom w:val="single" w:color="auto" w:sz="4" w:space="0"/>
              <w:right w:val="single" w:color="auto" w:sz="6" w:space="0"/>
            </w:tcBorders>
          </w:tcPr>
          <w:p>
            <w:pPr>
              <w:tabs>
                <w:tab w:val="left" w:pos="0"/>
              </w:tabs>
              <w:spacing w:line="240" w:lineRule="atLeast"/>
              <w:ind w:left="550" w:leftChars="227" w:hanging="73" w:hangingChars="35"/>
              <w:rPr>
                <w:szCs w:val="21"/>
              </w:rPr>
            </w:pPr>
          </w:p>
        </w:tc>
        <w:tc>
          <w:tcPr>
            <w:tcW w:w="774" w:type="dxa"/>
            <w:tcBorders>
              <w:top w:val="single" w:color="auto" w:sz="6" w:space="0"/>
              <w:left w:val="single" w:color="auto" w:sz="6" w:space="0"/>
              <w:bottom w:val="single" w:color="auto" w:sz="4" w:space="0"/>
              <w:right w:val="single" w:color="auto" w:sz="6" w:space="0"/>
            </w:tcBorders>
          </w:tcPr>
          <w:p>
            <w:pPr>
              <w:tabs>
                <w:tab w:val="left" w:pos="0"/>
              </w:tabs>
              <w:spacing w:line="240" w:lineRule="atLeast"/>
              <w:ind w:left="550" w:leftChars="227" w:hanging="73" w:hangingChars="35"/>
              <w:rPr>
                <w:szCs w:val="21"/>
              </w:rPr>
            </w:pPr>
          </w:p>
        </w:tc>
        <w:tc>
          <w:tcPr>
            <w:tcW w:w="774" w:type="dxa"/>
            <w:tcBorders>
              <w:top w:val="single" w:color="auto" w:sz="6" w:space="0"/>
              <w:left w:val="single" w:color="auto" w:sz="6" w:space="0"/>
              <w:bottom w:val="single" w:color="auto" w:sz="4" w:space="0"/>
              <w:right w:val="single" w:color="auto" w:sz="6" w:space="0"/>
            </w:tcBorders>
          </w:tcPr>
          <w:p>
            <w:pPr>
              <w:tabs>
                <w:tab w:val="left" w:pos="0"/>
              </w:tabs>
              <w:spacing w:line="240" w:lineRule="atLeast"/>
              <w:ind w:left="550" w:leftChars="227" w:hanging="73" w:hangingChars="35"/>
              <w:rPr>
                <w:szCs w:val="21"/>
              </w:rPr>
            </w:pPr>
          </w:p>
        </w:tc>
      </w:tr>
    </w:tbl>
    <w:p>
      <w:pPr>
        <w:spacing w:line="300" w:lineRule="exact"/>
        <w:rPr>
          <w:rFonts w:ascii="宋体" w:hAnsi="宋体"/>
          <w:szCs w:val="21"/>
        </w:rPr>
      </w:pPr>
    </w:p>
    <w:p>
      <w:pPr>
        <w:spacing w:line="300" w:lineRule="exact"/>
        <w:rPr>
          <w:rFonts w:ascii="宋体" w:hAnsi="宋体"/>
          <w:szCs w:val="21"/>
        </w:rPr>
      </w:pPr>
      <w:r>
        <w:rPr>
          <w:rFonts w:hint="eastAsia" w:ascii="宋体" w:hAnsi="宋体"/>
          <w:szCs w:val="21"/>
        </w:rPr>
        <w:t>注：</w:t>
      </w:r>
      <w:r>
        <w:rPr>
          <w:rFonts w:ascii="宋体" w:hAnsi="宋体"/>
          <w:szCs w:val="21"/>
        </w:rPr>
        <w:t>1.</w:t>
      </w:r>
      <w:r>
        <w:rPr>
          <w:rFonts w:hint="eastAsia" w:ascii="宋体" w:hAnsi="宋体"/>
          <w:szCs w:val="21"/>
        </w:rPr>
        <w:t>根据本表审查项目，不符合的填“○”，符合的填“×”，评审结论填“通过“或“不通过”。。</w:t>
      </w:r>
    </w:p>
    <w:p>
      <w:pPr>
        <w:spacing w:line="300" w:lineRule="exact"/>
        <w:ind w:firstLine="420" w:firstLineChars="200"/>
        <w:rPr>
          <w:rFonts w:ascii="宋体" w:hAnsi="宋体"/>
          <w:szCs w:val="21"/>
        </w:rPr>
      </w:pPr>
      <w:r>
        <w:rPr>
          <w:rFonts w:ascii="宋体" w:hAnsi="宋体"/>
          <w:szCs w:val="21"/>
        </w:rPr>
        <w:t>2.</w:t>
      </w:r>
      <w:r>
        <w:rPr>
          <w:rFonts w:hint="eastAsia" w:ascii="宋体" w:hAnsi="宋体"/>
          <w:szCs w:val="21"/>
        </w:rPr>
        <w:t>本表中出现一个（或以上）“×”，投标人的评审结论为“不通过”，即该投标人不进入下一阶段评审。</w:t>
      </w:r>
    </w:p>
    <w:p>
      <w:pPr>
        <w:spacing w:line="300" w:lineRule="exact"/>
        <w:ind w:firstLine="420" w:firstLineChars="200"/>
        <w:rPr>
          <w:rFonts w:ascii="宋体" w:hAnsi="宋体"/>
          <w:szCs w:val="21"/>
        </w:rPr>
      </w:pPr>
      <w:r>
        <w:rPr>
          <w:rFonts w:ascii="宋体" w:hAnsi="宋体"/>
          <w:szCs w:val="21"/>
        </w:rPr>
        <w:t>3.</w:t>
      </w:r>
      <w:r>
        <w:rPr>
          <w:rFonts w:hint="eastAsia" w:ascii="宋体" w:hAnsi="宋体"/>
          <w:szCs w:val="21"/>
        </w:rPr>
        <w:t>本表中评审项目全部为“○”，投标人的评审结论为“通过”，即该投标人进入下一阶段评审。</w:t>
      </w:r>
    </w:p>
    <w:p>
      <w:pPr>
        <w:ind w:firstLine="420" w:firstLineChars="200"/>
      </w:pPr>
      <w:r>
        <w:rPr>
          <w:rFonts w:ascii="宋体" w:hAnsi="宋体"/>
          <w:szCs w:val="21"/>
        </w:rPr>
        <w:t>4.</w:t>
      </w:r>
      <w:r>
        <w:rPr>
          <w:rFonts w:hint="eastAsia" w:ascii="宋体" w:hAnsi="宋体"/>
          <w:szCs w:val="21"/>
        </w:rPr>
        <w:t>如对本表中某种情形的评审意见不一致时，以评审组过半数成员的意见作为评审组对该情形的认定结论。</w:t>
      </w:r>
    </w:p>
    <w:p>
      <w:pPr>
        <w:rPr>
          <w:rFonts w:hAnsi="宋体"/>
          <w:szCs w:val="21"/>
        </w:rPr>
      </w:pPr>
    </w:p>
    <w:p>
      <w:pPr>
        <w:spacing w:line="240" w:lineRule="auto"/>
        <w:rPr>
          <w:rFonts w:ascii="宋体" w:hAnsi="宋体"/>
          <w:szCs w:val="21"/>
        </w:rPr>
        <w:sectPr>
          <w:pgSz w:w="16838" w:h="11906" w:orient="landscape"/>
          <w:pgMar w:top="907" w:right="1440" w:bottom="1020" w:left="1440" w:header="851" w:footer="992" w:gutter="0"/>
          <w:pgBorders>
            <w:top w:val="none" w:sz="0" w:space="0"/>
            <w:left w:val="none" w:sz="0" w:space="0"/>
            <w:bottom w:val="none" w:sz="0" w:space="0"/>
            <w:right w:val="none" w:sz="0" w:space="0"/>
          </w:pgBorders>
          <w:cols w:space="720" w:num="1"/>
          <w:docGrid w:type="lines" w:linePitch="312" w:charSpace="0"/>
        </w:sectPr>
      </w:pPr>
      <w:r>
        <w:rPr>
          <w:rFonts w:hint="eastAsia" w:hAnsi="宋体"/>
          <w:szCs w:val="21"/>
        </w:rPr>
        <w:t>评委</w:t>
      </w:r>
      <w:r>
        <w:rPr>
          <w:rFonts w:hint="eastAsia" w:hAnsi="宋体"/>
          <w:szCs w:val="21"/>
          <w:lang w:val="en-US" w:eastAsia="zh-CN"/>
        </w:rPr>
        <w:t>专家</w:t>
      </w:r>
      <w:r>
        <w:rPr>
          <w:rFonts w:hint="eastAsia" w:hAnsi="宋体"/>
          <w:szCs w:val="21"/>
        </w:rPr>
        <w:t>签名：                                           日期：</w:t>
      </w:r>
    </w:p>
    <w:p>
      <w:pPr>
        <w:snapToGrid w:val="0"/>
        <w:rPr>
          <w:rFonts w:hint="eastAsia" w:ascii="宋体" w:hAnsi="宋体"/>
          <w:b/>
          <w:sz w:val="28"/>
          <w:szCs w:val="28"/>
        </w:rPr>
      </w:pPr>
      <w:r>
        <w:rPr>
          <w:rFonts w:hint="eastAsia" w:ascii="宋体" w:hAnsi="宋体"/>
          <w:b/>
          <w:sz w:val="28"/>
          <w:szCs w:val="28"/>
        </w:rPr>
        <w:t>附表</w:t>
      </w:r>
      <w:r>
        <w:rPr>
          <w:rFonts w:hint="eastAsia" w:ascii="宋体" w:hAnsi="宋体"/>
          <w:b/>
          <w:sz w:val="28"/>
          <w:szCs w:val="28"/>
          <w:lang w:val="en-US" w:eastAsia="zh-CN"/>
        </w:rPr>
        <w:t>5</w:t>
      </w:r>
      <w:r>
        <w:rPr>
          <w:rFonts w:hint="eastAsia" w:ascii="宋体" w:hAnsi="宋体"/>
          <w:b/>
          <w:sz w:val="28"/>
          <w:szCs w:val="28"/>
        </w:rPr>
        <w:t>：</w:t>
      </w:r>
    </w:p>
    <w:p>
      <w:pPr>
        <w:snapToGrid w:val="0"/>
        <w:rPr>
          <w:rFonts w:ascii="黑体" w:hAnsi="黑体" w:eastAsia="黑体"/>
          <w:b/>
          <w:sz w:val="24"/>
        </w:rPr>
      </w:pPr>
      <w:r>
        <w:rPr>
          <w:rFonts w:hint="eastAsia" w:ascii="黑体" w:hAnsi="黑体" w:eastAsia="黑体"/>
          <w:b/>
          <w:sz w:val="24"/>
        </w:rPr>
        <w:t xml:space="preserve">             </w:t>
      </w:r>
    </w:p>
    <w:p>
      <w:pPr>
        <w:spacing w:line="360" w:lineRule="auto"/>
        <w:jc w:val="center"/>
        <w:rPr>
          <w:rFonts w:ascii="宋体" w:hAnsi="宋体"/>
          <w:b/>
          <w:bCs/>
          <w:sz w:val="32"/>
          <w:szCs w:val="32"/>
        </w:rPr>
      </w:pPr>
      <w:r>
        <w:rPr>
          <w:rFonts w:hint="eastAsia" w:ascii="宋体" w:hAnsi="宋体"/>
          <w:b/>
          <w:bCs/>
          <w:sz w:val="32"/>
          <w:szCs w:val="32"/>
        </w:rPr>
        <w:t>投标报价评分表</w:t>
      </w:r>
    </w:p>
    <w:p>
      <w:pPr>
        <w:spacing w:line="360" w:lineRule="auto"/>
        <w:rPr>
          <w:rFonts w:ascii="宋体" w:hAnsi="宋体"/>
          <w:sz w:val="24"/>
        </w:rPr>
      </w:pPr>
      <w:r>
        <w:rPr>
          <w:rFonts w:hint="eastAsia" w:ascii="宋体" w:hAnsi="宋体"/>
          <w:sz w:val="24"/>
        </w:rPr>
        <w:t>工程名称：</w:t>
      </w:r>
    </w:p>
    <w:tbl>
      <w:tblPr>
        <w:tblStyle w:val="40"/>
        <w:tblW w:w="13982" w:type="dxa"/>
        <w:jc w:val="center"/>
        <w:tblLayout w:type="fixed"/>
        <w:tblCellMar>
          <w:top w:w="0" w:type="dxa"/>
          <w:left w:w="108" w:type="dxa"/>
          <w:bottom w:w="0" w:type="dxa"/>
          <w:right w:w="108" w:type="dxa"/>
        </w:tblCellMar>
      </w:tblPr>
      <w:tblGrid>
        <w:gridCol w:w="5718"/>
        <w:gridCol w:w="1294"/>
        <w:gridCol w:w="1296"/>
        <w:gridCol w:w="1295"/>
        <w:gridCol w:w="1296"/>
        <w:gridCol w:w="3083"/>
      </w:tblGrid>
      <w:tr>
        <w:tblPrEx>
          <w:tblCellMar>
            <w:top w:w="0" w:type="dxa"/>
            <w:left w:w="108" w:type="dxa"/>
            <w:bottom w:w="0" w:type="dxa"/>
            <w:right w:w="108" w:type="dxa"/>
          </w:tblCellMar>
        </w:tblPrEx>
        <w:trPr>
          <w:trHeight w:val="1158" w:hRule="atLeast"/>
          <w:jc w:val="center"/>
        </w:trPr>
        <w:tc>
          <w:tcPr>
            <w:tcW w:w="5718" w:type="dxa"/>
            <w:tcBorders>
              <w:top w:val="single" w:color="auto" w:sz="4" w:space="0"/>
              <w:left w:val="single" w:color="auto" w:sz="4" w:space="0"/>
              <w:bottom w:val="single" w:color="auto" w:sz="4" w:space="0"/>
              <w:right w:val="single" w:color="auto" w:sz="4" w:space="0"/>
            </w:tcBorders>
            <w:vAlign w:val="center"/>
          </w:tcPr>
          <w:p>
            <w:pPr>
              <w:rPr>
                <w:rFonts w:ascii="宋体" w:hAnsi="宋体"/>
                <w:sz w:val="24"/>
              </w:rPr>
            </w:pPr>
            <w:r>
              <w:rPr>
                <w:rFonts w:hint="eastAsia" w:ascii="宋体" w:hAnsi="宋体"/>
                <w:sz w:val="24"/>
              </w:rPr>
              <w:t>投标人名称</w:t>
            </w:r>
          </w:p>
        </w:tc>
        <w:tc>
          <w:tcPr>
            <w:tcW w:w="1294"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c>
          <w:tcPr>
            <w:tcW w:w="1296"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c>
          <w:tcPr>
            <w:tcW w:w="1295"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c>
          <w:tcPr>
            <w:tcW w:w="1296"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c>
          <w:tcPr>
            <w:tcW w:w="3083"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r>
      <w:tr>
        <w:tblPrEx>
          <w:tblCellMar>
            <w:top w:w="0" w:type="dxa"/>
            <w:left w:w="108" w:type="dxa"/>
            <w:bottom w:w="0" w:type="dxa"/>
            <w:right w:w="108" w:type="dxa"/>
          </w:tblCellMar>
        </w:tblPrEx>
        <w:trPr>
          <w:trHeight w:val="749" w:hRule="atLeast"/>
          <w:jc w:val="center"/>
        </w:trPr>
        <w:tc>
          <w:tcPr>
            <w:tcW w:w="5718" w:type="dxa"/>
            <w:tcBorders>
              <w:top w:val="single" w:color="auto" w:sz="4" w:space="0"/>
              <w:left w:val="single" w:color="auto" w:sz="4" w:space="0"/>
              <w:bottom w:val="single" w:color="auto" w:sz="4" w:space="0"/>
              <w:right w:val="single" w:color="auto" w:sz="4" w:space="0"/>
            </w:tcBorders>
            <w:vAlign w:val="center"/>
          </w:tcPr>
          <w:p>
            <w:pPr>
              <w:rPr>
                <w:rFonts w:ascii="宋体" w:hAnsi="宋体"/>
                <w:sz w:val="24"/>
              </w:rPr>
            </w:pPr>
            <w:r>
              <w:rPr>
                <w:rFonts w:hint="eastAsia" w:ascii="宋体" w:hAnsi="宋体"/>
                <w:sz w:val="24"/>
              </w:rPr>
              <w:t>投标报价</w:t>
            </w:r>
            <w:r>
              <w:rPr>
                <w:rFonts w:ascii="宋体" w:hAnsi="宋体"/>
                <w:sz w:val="24"/>
              </w:rPr>
              <w:t>PT（元）</w:t>
            </w:r>
          </w:p>
        </w:tc>
        <w:tc>
          <w:tcPr>
            <w:tcW w:w="1294"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c>
          <w:tcPr>
            <w:tcW w:w="1296"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c>
          <w:tcPr>
            <w:tcW w:w="1295"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c>
          <w:tcPr>
            <w:tcW w:w="1296"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c>
          <w:tcPr>
            <w:tcW w:w="3083"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r>
      <w:tr>
        <w:tblPrEx>
          <w:tblCellMar>
            <w:top w:w="0" w:type="dxa"/>
            <w:left w:w="108" w:type="dxa"/>
            <w:bottom w:w="0" w:type="dxa"/>
            <w:right w:w="108" w:type="dxa"/>
          </w:tblCellMar>
        </w:tblPrEx>
        <w:trPr>
          <w:trHeight w:val="750" w:hRule="atLeast"/>
          <w:jc w:val="center"/>
        </w:trPr>
        <w:tc>
          <w:tcPr>
            <w:tcW w:w="5718" w:type="dxa"/>
            <w:tcBorders>
              <w:top w:val="single" w:color="auto" w:sz="4" w:space="0"/>
              <w:left w:val="single" w:color="auto" w:sz="4" w:space="0"/>
              <w:bottom w:val="single" w:color="auto" w:sz="4" w:space="0"/>
              <w:right w:val="single" w:color="auto" w:sz="4" w:space="0"/>
            </w:tcBorders>
            <w:vAlign w:val="center"/>
          </w:tcPr>
          <w:p>
            <w:pPr>
              <w:rPr>
                <w:rFonts w:ascii="宋体" w:hAnsi="宋体"/>
                <w:sz w:val="24"/>
              </w:rPr>
            </w:pPr>
            <w:r>
              <w:rPr>
                <w:rFonts w:hint="eastAsia" w:ascii="宋体" w:hAnsi="宋体"/>
                <w:sz w:val="24"/>
              </w:rPr>
              <w:t>计算参考数据</w:t>
            </w:r>
          </w:p>
        </w:tc>
        <w:tc>
          <w:tcPr>
            <w:tcW w:w="8264" w:type="dxa"/>
            <w:gridSpan w:val="5"/>
            <w:tcBorders>
              <w:top w:val="single" w:color="auto" w:sz="4" w:space="0"/>
              <w:left w:val="nil"/>
              <w:bottom w:val="single" w:color="auto" w:sz="4" w:space="0"/>
              <w:right w:val="single" w:color="auto" w:sz="4" w:space="0"/>
            </w:tcBorders>
            <w:vAlign w:val="center"/>
          </w:tcPr>
          <w:p>
            <w:pPr>
              <w:rPr>
                <w:rFonts w:ascii="宋体" w:hAnsi="宋体"/>
                <w:sz w:val="24"/>
              </w:rPr>
            </w:pPr>
            <w:r>
              <w:rPr>
                <w:rFonts w:hint="eastAsia" w:ascii="宋体" w:hAnsi="宋体"/>
              </w:rPr>
              <w:t>评标参考价（</w:t>
            </w:r>
            <w:r>
              <w:rPr>
                <w:rFonts w:ascii="宋体" w:hAnsi="宋体"/>
              </w:rPr>
              <w:t>PC）：</w:t>
            </w:r>
          </w:p>
        </w:tc>
      </w:tr>
      <w:tr>
        <w:tblPrEx>
          <w:tblCellMar>
            <w:top w:w="0" w:type="dxa"/>
            <w:left w:w="108" w:type="dxa"/>
            <w:bottom w:w="0" w:type="dxa"/>
            <w:right w:w="108" w:type="dxa"/>
          </w:tblCellMar>
        </w:tblPrEx>
        <w:trPr>
          <w:trHeight w:val="750" w:hRule="atLeast"/>
          <w:jc w:val="center"/>
        </w:trPr>
        <w:tc>
          <w:tcPr>
            <w:tcW w:w="5718" w:type="dxa"/>
            <w:tcBorders>
              <w:top w:val="single" w:color="auto" w:sz="4" w:space="0"/>
              <w:left w:val="single" w:color="auto" w:sz="4" w:space="0"/>
              <w:bottom w:val="single" w:color="auto" w:sz="4" w:space="0"/>
              <w:right w:val="single" w:color="auto" w:sz="4" w:space="0"/>
            </w:tcBorders>
            <w:vAlign w:val="center"/>
          </w:tcPr>
          <w:p>
            <w:pPr>
              <w:rPr>
                <w:rFonts w:ascii="宋体" w:hAnsi="宋体"/>
                <w:spacing w:val="-10"/>
                <w:sz w:val="24"/>
              </w:rPr>
            </w:pPr>
            <w:r>
              <w:rPr>
                <w:rFonts w:hint="eastAsia" w:ascii="宋体" w:hAnsi="宋体"/>
                <w:spacing w:val="-10"/>
                <w:sz w:val="24"/>
              </w:rPr>
              <w:t>偏差（（</w:t>
            </w:r>
            <w:r>
              <w:rPr>
                <w:rFonts w:ascii="宋体" w:hAnsi="宋体"/>
                <w:spacing w:val="-10"/>
                <w:sz w:val="24"/>
              </w:rPr>
              <w:t>PT-PC）/PC）（%）</w:t>
            </w:r>
          </w:p>
        </w:tc>
        <w:tc>
          <w:tcPr>
            <w:tcW w:w="1294"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c>
          <w:tcPr>
            <w:tcW w:w="1296"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c>
          <w:tcPr>
            <w:tcW w:w="1295"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c>
          <w:tcPr>
            <w:tcW w:w="1296"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c>
          <w:tcPr>
            <w:tcW w:w="3083"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r>
      <w:tr>
        <w:tblPrEx>
          <w:tblCellMar>
            <w:top w:w="0" w:type="dxa"/>
            <w:left w:w="108" w:type="dxa"/>
            <w:bottom w:w="0" w:type="dxa"/>
            <w:right w:w="108" w:type="dxa"/>
          </w:tblCellMar>
        </w:tblPrEx>
        <w:trPr>
          <w:trHeight w:val="749" w:hRule="atLeast"/>
          <w:jc w:val="center"/>
        </w:trPr>
        <w:tc>
          <w:tcPr>
            <w:tcW w:w="5718" w:type="dxa"/>
            <w:tcBorders>
              <w:top w:val="single" w:color="auto" w:sz="4" w:space="0"/>
              <w:left w:val="single" w:color="auto" w:sz="4" w:space="0"/>
              <w:bottom w:val="single" w:color="auto" w:sz="4" w:space="0"/>
              <w:right w:val="single" w:color="auto" w:sz="4" w:space="0"/>
            </w:tcBorders>
            <w:vAlign w:val="center"/>
          </w:tcPr>
          <w:p>
            <w:pPr>
              <w:rPr>
                <w:rFonts w:ascii="宋体" w:hAnsi="宋体"/>
                <w:sz w:val="24"/>
              </w:rPr>
            </w:pPr>
            <w:r>
              <w:rPr>
                <w:rFonts w:hint="eastAsia" w:ascii="宋体" w:hAnsi="宋体"/>
                <w:sz w:val="24"/>
              </w:rPr>
              <w:t>减分（</w:t>
            </w:r>
            <w:r>
              <w:rPr>
                <w:rFonts w:ascii="宋体" w:hAnsi="宋体"/>
                <w:sz w:val="24"/>
              </w:rPr>
              <w:t>A）</w:t>
            </w:r>
          </w:p>
        </w:tc>
        <w:tc>
          <w:tcPr>
            <w:tcW w:w="1294"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c>
          <w:tcPr>
            <w:tcW w:w="1296"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c>
          <w:tcPr>
            <w:tcW w:w="1295"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c>
          <w:tcPr>
            <w:tcW w:w="1296"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c>
          <w:tcPr>
            <w:tcW w:w="3083"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r>
      <w:tr>
        <w:tblPrEx>
          <w:tblCellMar>
            <w:top w:w="0" w:type="dxa"/>
            <w:left w:w="108" w:type="dxa"/>
            <w:bottom w:w="0" w:type="dxa"/>
            <w:right w:w="108" w:type="dxa"/>
          </w:tblCellMar>
        </w:tblPrEx>
        <w:trPr>
          <w:trHeight w:val="750" w:hRule="atLeast"/>
          <w:jc w:val="center"/>
        </w:trPr>
        <w:tc>
          <w:tcPr>
            <w:tcW w:w="5718" w:type="dxa"/>
            <w:tcBorders>
              <w:top w:val="single" w:color="auto" w:sz="4" w:space="0"/>
              <w:left w:val="single" w:color="auto" w:sz="4" w:space="0"/>
              <w:bottom w:val="single" w:color="auto" w:sz="4" w:space="0"/>
              <w:right w:val="single" w:color="auto" w:sz="4" w:space="0"/>
            </w:tcBorders>
            <w:vAlign w:val="center"/>
          </w:tcPr>
          <w:p>
            <w:pPr>
              <w:rPr>
                <w:rFonts w:ascii="宋体" w:hAnsi="宋体"/>
                <w:sz w:val="24"/>
              </w:rPr>
            </w:pPr>
            <w:r>
              <w:rPr>
                <w:rFonts w:hint="eastAsia" w:ascii="宋体" w:hAnsi="宋体"/>
                <w:sz w:val="24"/>
              </w:rPr>
              <w:t>经济标得分</w:t>
            </w:r>
            <w:r>
              <w:rPr>
                <w:rFonts w:ascii="宋体" w:hAnsi="宋体"/>
                <w:sz w:val="24"/>
              </w:rPr>
              <w:t>(I=100-A)</w:t>
            </w:r>
          </w:p>
        </w:tc>
        <w:tc>
          <w:tcPr>
            <w:tcW w:w="1294"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c>
          <w:tcPr>
            <w:tcW w:w="1296"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c>
          <w:tcPr>
            <w:tcW w:w="1295"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c>
          <w:tcPr>
            <w:tcW w:w="1296"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c>
          <w:tcPr>
            <w:tcW w:w="3083" w:type="dxa"/>
            <w:tcBorders>
              <w:top w:val="single" w:color="auto" w:sz="4" w:space="0"/>
              <w:left w:val="nil"/>
              <w:bottom w:val="single" w:color="auto" w:sz="4" w:space="0"/>
              <w:right w:val="single" w:color="auto" w:sz="4" w:space="0"/>
            </w:tcBorders>
            <w:vAlign w:val="center"/>
          </w:tcPr>
          <w:p>
            <w:pPr>
              <w:ind w:left="563" w:leftChars="228" w:hanging="84" w:hangingChars="35"/>
              <w:rPr>
                <w:rFonts w:ascii="宋体" w:hAnsi="宋体"/>
                <w:sz w:val="24"/>
              </w:rPr>
            </w:pPr>
          </w:p>
        </w:tc>
      </w:tr>
    </w:tbl>
    <w:p>
      <w:pPr>
        <w:spacing w:line="360" w:lineRule="auto"/>
        <w:rPr>
          <w:rFonts w:ascii="宋体" w:hAnsi="宋体"/>
          <w:sz w:val="24"/>
        </w:rPr>
      </w:pPr>
    </w:p>
    <w:p>
      <w:pPr>
        <w:spacing w:line="360" w:lineRule="auto"/>
        <w:rPr>
          <w:rFonts w:ascii="宋体" w:hAnsi="宋体"/>
          <w:sz w:val="24"/>
        </w:rPr>
      </w:pPr>
      <w:r>
        <w:rPr>
          <w:rFonts w:hint="eastAsia" w:ascii="宋体" w:hAnsi="宋体"/>
          <w:sz w:val="24"/>
        </w:rPr>
        <w:t>评委签名：                   日期：</w:t>
      </w:r>
    </w:p>
    <w:p>
      <w:pPr>
        <w:spacing w:line="400" w:lineRule="exact"/>
        <w:rPr>
          <w:rFonts w:ascii="宋体" w:hAnsi="宋体"/>
          <w:b/>
          <w:sz w:val="28"/>
          <w:szCs w:val="28"/>
        </w:rPr>
      </w:pPr>
      <w:r>
        <w:rPr>
          <w:rFonts w:hint="eastAsia" w:ascii="宋体" w:hAnsi="宋体"/>
          <w:b/>
          <w:sz w:val="28"/>
          <w:szCs w:val="28"/>
        </w:rPr>
        <w:br w:type="page"/>
      </w:r>
    </w:p>
    <w:p>
      <w:pPr>
        <w:spacing w:line="400" w:lineRule="exact"/>
        <w:rPr>
          <w:rFonts w:ascii="宋体" w:hAnsi="宋体"/>
          <w:b/>
          <w:sz w:val="28"/>
          <w:szCs w:val="28"/>
        </w:rPr>
      </w:pPr>
      <w:r>
        <w:rPr>
          <w:rFonts w:hint="eastAsia" w:ascii="宋体" w:hAnsi="宋体"/>
          <w:b/>
          <w:sz w:val="28"/>
          <w:szCs w:val="28"/>
        </w:rPr>
        <w:t>附表</w:t>
      </w:r>
      <w:r>
        <w:rPr>
          <w:rFonts w:hint="eastAsia" w:ascii="宋体" w:hAnsi="宋体"/>
          <w:b/>
          <w:sz w:val="28"/>
          <w:szCs w:val="28"/>
          <w:lang w:val="en-US" w:eastAsia="zh-CN"/>
        </w:rPr>
        <w:t>6</w:t>
      </w:r>
      <w:r>
        <w:rPr>
          <w:rFonts w:hint="eastAsia" w:ascii="宋体" w:hAnsi="宋体"/>
          <w:b/>
          <w:sz w:val="28"/>
          <w:szCs w:val="28"/>
        </w:rPr>
        <w:t>：</w:t>
      </w:r>
    </w:p>
    <w:p>
      <w:pPr>
        <w:spacing w:line="360" w:lineRule="auto"/>
        <w:jc w:val="center"/>
        <w:rPr>
          <w:rFonts w:ascii="黑体" w:hAnsi="黑体" w:eastAsia="黑体" w:cs="黑体"/>
          <w:b/>
          <w:sz w:val="32"/>
          <w:szCs w:val="32"/>
        </w:rPr>
      </w:pPr>
      <w:r>
        <w:rPr>
          <w:rFonts w:hint="eastAsia" w:ascii="黑体" w:hAnsi="黑体" w:eastAsia="黑体" w:cs="黑体"/>
          <w:b/>
          <w:sz w:val="32"/>
          <w:szCs w:val="32"/>
        </w:rPr>
        <w:t>总得分汇总表</w:t>
      </w:r>
    </w:p>
    <w:p>
      <w:pPr>
        <w:spacing w:line="360" w:lineRule="auto"/>
        <w:jc w:val="left"/>
        <w:rPr>
          <w:szCs w:val="21"/>
        </w:rPr>
      </w:pPr>
      <w:r>
        <w:rPr>
          <w:rFonts w:hint="eastAsia"/>
          <w:szCs w:val="21"/>
        </w:rPr>
        <w:t xml:space="preserve">项目名称：                                                                                           </w:t>
      </w:r>
    </w:p>
    <w:tbl>
      <w:tblPr>
        <w:tblStyle w:val="40"/>
        <w:tblW w:w="141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
        <w:gridCol w:w="4292"/>
        <w:gridCol w:w="2760"/>
        <w:gridCol w:w="1984"/>
        <w:gridCol w:w="1701"/>
        <w:gridCol w:w="1589"/>
        <w:gridCol w:w="8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980" w:type="dxa"/>
            <w:vAlign w:val="center"/>
          </w:tcPr>
          <w:p>
            <w:pPr>
              <w:spacing w:line="360" w:lineRule="auto"/>
              <w:jc w:val="center"/>
              <w:rPr>
                <w:szCs w:val="21"/>
              </w:rPr>
            </w:pPr>
            <w:r>
              <w:rPr>
                <w:rFonts w:hint="eastAsia"/>
                <w:szCs w:val="21"/>
              </w:rPr>
              <w:t>序号</w:t>
            </w:r>
          </w:p>
        </w:tc>
        <w:tc>
          <w:tcPr>
            <w:tcW w:w="4292" w:type="dxa"/>
            <w:vAlign w:val="center"/>
          </w:tcPr>
          <w:p>
            <w:pPr>
              <w:spacing w:line="360" w:lineRule="auto"/>
              <w:jc w:val="center"/>
              <w:rPr>
                <w:szCs w:val="21"/>
              </w:rPr>
            </w:pPr>
            <w:r>
              <w:rPr>
                <w:rFonts w:hint="eastAsia"/>
                <w:szCs w:val="21"/>
              </w:rPr>
              <w:t>权重</w:t>
            </w:r>
          </w:p>
        </w:tc>
        <w:tc>
          <w:tcPr>
            <w:tcW w:w="2760" w:type="dxa"/>
            <w:vAlign w:val="center"/>
          </w:tcPr>
          <w:p>
            <w:pPr>
              <w:spacing w:line="360" w:lineRule="auto"/>
              <w:jc w:val="center"/>
              <w:rPr>
                <w:szCs w:val="21"/>
              </w:rPr>
            </w:pPr>
            <w:r>
              <w:rPr>
                <w:rFonts w:hint="eastAsia"/>
                <w:szCs w:val="21"/>
              </w:rPr>
              <w:t>项目</w:t>
            </w:r>
          </w:p>
        </w:tc>
        <w:tc>
          <w:tcPr>
            <w:tcW w:w="1984" w:type="dxa"/>
            <w:vAlign w:val="center"/>
          </w:tcPr>
          <w:p>
            <w:pPr>
              <w:spacing w:line="360" w:lineRule="auto"/>
              <w:jc w:val="center"/>
              <w:rPr>
                <w:szCs w:val="21"/>
              </w:rPr>
            </w:pPr>
            <w:r>
              <w:rPr>
                <w:rFonts w:hint="eastAsia"/>
                <w:szCs w:val="21"/>
              </w:rPr>
              <w:t>投标人1</w:t>
            </w:r>
          </w:p>
        </w:tc>
        <w:tc>
          <w:tcPr>
            <w:tcW w:w="1701" w:type="dxa"/>
            <w:vAlign w:val="center"/>
          </w:tcPr>
          <w:p>
            <w:pPr>
              <w:spacing w:line="360" w:lineRule="auto"/>
              <w:jc w:val="center"/>
              <w:rPr>
                <w:szCs w:val="21"/>
              </w:rPr>
            </w:pPr>
            <w:r>
              <w:rPr>
                <w:rFonts w:hint="eastAsia"/>
                <w:szCs w:val="21"/>
              </w:rPr>
              <w:t>投标人2</w:t>
            </w:r>
          </w:p>
        </w:tc>
        <w:tc>
          <w:tcPr>
            <w:tcW w:w="1589" w:type="dxa"/>
            <w:vAlign w:val="center"/>
          </w:tcPr>
          <w:p>
            <w:pPr>
              <w:spacing w:line="360" w:lineRule="auto"/>
              <w:jc w:val="center"/>
              <w:rPr>
                <w:szCs w:val="21"/>
              </w:rPr>
            </w:pPr>
            <w:r>
              <w:rPr>
                <w:rFonts w:hint="eastAsia"/>
                <w:szCs w:val="21"/>
              </w:rPr>
              <w:t>……</w:t>
            </w:r>
          </w:p>
        </w:tc>
        <w:tc>
          <w:tcPr>
            <w:tcW w:w="876" w:type="dxa"/>
            <w:vAlign w:val="center"/>
          </w:tcPr>
          <w:p>
            <w:pPr>
              <w:spacing w:line="360" w:lineRule="auto"/>
              <w:jc w:val="center"/>
              <w:rPr>
                <w:szCs w:val="21"/>
              </w:rPr>
            </w:pPr>
            <w:r>
              <w:rPr>
                <w:rFonts w:hint="eastAsia"/>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980" w:type="dxa"/>
            <w:vAlign w:val="center"/>
          </w:tcPr>
          <w:p>
            <w:pPr>
              <w:spacing w:line="360" w:lineRule="auto"/>
              <w:jc w:val="center"/>
              <w:rPr>
                <w:szCs w:val="21"/>
              </w:rPr>
            </w:pPr>
            <w:r>
              <w:rPr>
                <w:rFonts w:hint="eastAsia"/>
                <w:szCs w:val="21"/>
              </w:rPr>
              <w:t>1</w:t>
            </w:r>
          </w:p>
        </w:tc>
        <w:tc>
          <w:tcPr>
            <w:tcW w:w="4292" w:type="dxa"/>
            <w:vAlign w:val="center"/>
          </w:tcPr>
          <w:p>
            <w:pPr>
              <w:spacing w:line="360" w:lineRule="auto"/>
              <w:jc w:val="center"/>
              <w:rPr>
                <w:szCs w:val="21"/>
              </w:rPr>
            </w:pPr>
            <w:r>
              <w:rPr>
                <w:rFonts w:hint="eastAsia"/>
                <w:szCs w:val="21"/>
              </w:rPr>
              <w:t>工程实施方案（含资信部分）得分</w:t>
            </w:r>
            <w:r>
              <w:rPr>
                <w:rFonts w:hint="eastAsia"/>
                <w:szCs w:val="21"/>
                <w:lang w:eastAsia="zh-CN"/>
              </w:rPr>
              <w:t>（</w:t>
            </w:r>
            <w:r>
              <w:rPr>
                <w:rFonts w:hint="eastAsia"/>
                <w:szCs w:val="21"/>
                <w:lang w:val="en-US" w:eastAsia="zh-CN"/>
              </w:rPr>
              <w:t>60</w:t>
            </w:r>
            <w:r>
              <w:rPr>
                <w:rFonts w:hint="eastAsia"/>
                <w:szCs w:val="21"/>
              </w:rPr>
              <w:t>%</w:t>
            </w:r>
            <w:r>
              <w:rPr>
                <w:rFonts w:hint="eastAsia"/>
                <w:szCs w:val="21"/>
                <w:lang w:eastAsia="zh-CN"/>
              </w:rPr>
              <w:t>）</w:t>
            </w:r>
          </w:p>
        </w:tc>
        <w:tc>
          <w:tcPr>
            <w:tcW w:w="2760" w:type="dxa"/>
            <w:vAlign w:val="center"/>
          </w:tcPr>
          <w:p>
            <w:pPr>
              <w:spacing w:line="360" w:lineRule="auto"/>
              <w:jc w:val="center"/>
              <w:rPr>
                <w:szCs w:val="21"/>
              </w:rPr>
            </w:pPr>
            <w:r>
              <w:rPr>
                <w:rFonts w:hint="eastAsia"/>
                <w:szCs w:val="21"/>
              </w:rPr>
              <w:t>工程实施方案（含资信部分）得分</w:t>
            </w:r>
          </w:p>
        </w:tc>
        <w:tc>
          <w:tcPr>
            <w:tcW w:w="1984" w:type="dxa"/>
            <w:vAlign w:val="center"/>
          </w:tcPr>
          <w:p>
            <w:pPr>
              <w:spacing w:line="360" w:lineRule="auto"/>
              <w:jc w:val="center"/>
              <w:rPr>
                <w:szCs w:val="21"/>
              </w:rPr>
            </w:pPr>
          </w:p>
        </w:tc>
        <w:tc>
          <w:tcPr>
            <w:tcW w:w="1701" w:type="dxa"/>
            <w:vAlign w:val="center"/>
          </w:tcPr>
          <w:p>
            <w:pPr>
              <w:spacing w:line="360" w:lineRule="auto"/>
              <w:jc w:val="center"/>
              <w:rPr>
                <w:szCs w:val="21"/>
              </w:rPr>
            </w:pPr>
          </w:p>
        </w:tc>
        <w:tc>
          <w:tcPr>
            <w:tcW w:w="1589" w:type="dxa"/>
            <w:vAlign w:val="center"/>
          </w:tcPr>
          <w:p>
            <w:pPr>
              <w:spacing w:line="360" w:lineRule="auto"/>
              <w:jc w:val="center"/>
              <w:rPr>
                <w:szCs w:val="21"/>
              </w:rPr>
            </w:pPr>
          </w:p>
        </w:tc>
        <w:tc>
          <w:tcPr>
            <w:tcW w:w="876" w:type="dxa"/>
            <w:vAlign w:val="center"/>
          </w:tcPr>
          <w:p>
            <w:pPr>
              <w:spacing w:line="360" w:lineRule="auto"/>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980" w:type="dxa"/>
            <w:vAlign w:val="center"/>
          </w:tcPr>
          <w:p>
            <w:pPr>
              <w:spacing w:line="360" w:lineRule="auto"/>
              <w:jc w:val="center"/>
              <w:rPr>
                <w:szCs w:val="21"/>
              </w:rPr>
            </w:pPr>
            <w:r>
              <w:rPr>
                <w:rFonts w:hint="eastAsia"/>
                <w:szCs w:val="21"/>
              </w:rPr>
              <w:t>2</w:t>
            </w:r>
          </w:p>
        </w:tc>
        <w:tc>
          <w:tcPr>
            <w:tcW w:w="4292" w:type="dxa"/>
            <w:vAlign w:val="center"/>
          </w:tcPr>
          <w:p>
            <w:pPr>
              <w:spacing w:line="360" w:lineRule="auto"/>
              <w:jc w:val="center"/>
              <w:rPr>
                <w:szCs w:val="21"/>
              </w:rPr>
            </w:pPr>
            <w:r>
              <w:rPr>
                <w:rFonts w:hint="eastAsia"/>
                <w:szCs w:val="21"/>
              </w:rPr>
              <w:t>投标报价得分</w:t>
            </w:r>
            <w:r>
              <w:rPr>
                <w:rFonts w:hint="eastAsia"/>
                <w:szCs w:val="21"/>
                <w:lang w:eastAsia="zh-CN"/>
              </w:rPr>
              <w:t>（</w:t>
            </w:r>
            <w:r>
              <w:rPr>
                <w:rFonts w:hint="eastAsia"/>
                <w:szCs w:val="21"/>
                <w:lang w:val="en-US" w:eastAsia="zh-CN"/>
              </w:rPr>
              <w:t>40</w:t>
            </w:r>
            <w:r>
              <w:rPr>
                <w:rFonts w:hint="eastAsia"/>
                <w:szCs w:val="21"/>
              </w:rPr>
              <w:t>%</w:t>
            </w:r>
            <w:r>
              <w:rPr>
                <w:rFonts w:hint="eastAsia"/>
                <w:szCs w:val="21"/>
                <w:lang w:eastAsia="zh-CN"/>
              </w:rPr>
              <w:t>）</w:t>
            </w:r>
          </w:p>
        </w:tc>
        <w:tc>
          <w:tcPr>
            <w:tcW w:w="2760" w:type="dxa"/>
            <w:vAlign w:val="center"/>
          </w:tcPr>
          <w:p>
            <w:pPr>
              <w:spacing w:line="360" w:lineRule="auto"/>
              <w:jc w:val="center"/>
              <w:rPr>
                <w:szCs w:val="21"/>
              </w:rPr>
            </w:pPr>
            <w:r>
              <w:rPr>
                <w:rFonts w:hint="eastAsia"/>
                <w:szCs w:val="21"/>
              </w:rPr>
              <w:t>投标报价得分</w:t>
            </w:r>
          </w:p>
        </w:tc>
        <w:tc>
          <w:tcPr>
            <w:tcW w:w="1984" w:type="dxa"/>
            <w:vAlign w:val="center"/>
          </w:tcPr>
          <w:p>
            <w:pPr>
              <w:spacing w:line="360" w:lineRule="auto"/>
              <w:jc w:val="center"/>
              <w:rPr>
                <w:szCs w:val="21"/>
              </w:rPr>
            </w:pPr>
          </w:p>
        </w:tc>
        <w:tc>
          <w:tcPr>
            <w:tcW w:w="1701" w:type="dxa"/>
            <w:vAlign w:val="center"/>
          </w:tcPr>
          <w:p>
            <w:pPr>
              <w:spacing w:line="360" w:lineRule="auto"/>
              <w:jc w:val="center"/>
              <w:rPr>
                <w:szCs w:val="21"/>
              </w:rPr>
            </w:pPr>
          </w:p>
        </w:tc>
        <w:tc>
          <w:tcPr>
            <w:tcW w:w="1589" w:type="dxa"/>
            <w:vAlign w:val="center"/>
          </w:tcPr>
          <w:p>
            <w:pPr>
              <w:spacing w:line="360" w:lineRule="auto"/>
              <w:jc w:val="center"/>
              <w:rPr>
                <w:szCs w:val="21"/>
              </w:rPr>
            </w:pPr>
          </w:p>
        </w:tc>
        <w:tc>
          <w:tcPr>
            <w:tcW w:w="876" w:type="dxa"/>
            <w:vAlign w:val="center"/>
          </w:tcPr>
          <w:p>
            <w:pPr>
              <w:spacing w:line="360" w:lineRule="auto"/>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8032" w:type="dxa"/>
            <w:gridSpan w:val="3"/>
            <w:vAlign w:val="center"/>
          </w:tcPr>
          <w:p>
            <w:pPr>
              <w:spacing w:line="360" w:lineRule="auto"/>
              <w:jc w:val="center"/>
              <w:rPr>
                <w:szCs w:val="21"/>
              </w:rPr>
            </w:pPr>
            <w:r>
              <w:rPr>
                <w:rFonts w:hint="eastAsia"/>
                <w:szCs w:val="21"/>
              </w:rPr>
              <w:t>总得分=工程实施方案（含资信部分）得分+投标报价得分</w:t>
            </w:r>
          </w:p>
        </w:tc>
        <w:tc>
          <w:tcPr>
            <w:tcW w:w="1984" w:type="dxa"/>
            <w:vAlign w:val="center"/>
          </w:tcPr>
          <w:p>
            <w:pPr>
              <w:spacing w:line="360" w:lineRule="auto"/>
              <w:jc w:val="center"/>
              <w:rPr>
                <w:szCs w:val="21"/>
              </w:rPr>
            </w:pPr>
          </w:p>
        </w:tc>
        <w:tc>
          <w:tcPr>
            <w:tcW w:w="1701" w:type="dxa"/>
            <w:vAlign w:val="center"/>
          </w:tcPr>
          <w:p>
            <w:pPr>
              <w:spacing w:line="360" w:lineRule="auto"/>
              <w:jc w:val="center"/>
              <w:rPr>
                <w:szCs w:val="21"/>
              </w:rPr>
            </w:pPr>
          </w:p>
        </w:tc>
        <w:tc>
          <w:tcPr>
            <w:tcW w:w="1589" w:type="dxa"/>
            <w:vAlign w:val="center"/>
          </w:tcPr>
          <w:p>
            <w:pPr>
              <w:spacing w:line="360" w:lineRule="auto"/>
              <w:jc w:val="center"/>
              <w:rPr>
                <w:szCs w:val="21"/>
              </w:rPr>
            </w:pPr>
          </w:p>
        </w:tc>
        <w:tc>
          <w:tcPr>
            <w:tcW w:w="876" w:type="dxa"/>
            <w:vAlign w:val="center"/>
          </w:tcPr>
          <w:p>
            <w:pPr>
              <w:spacing w:line="360" w:lineRule="auto"/>
              <w:jc w:val="center"/>
              <w:rPr>
                <w:szCs w:val="21"/>
              </w:rPr>
            </w:pPr>
          </w:p>
        </w:tc>
      </w:tr>
    </w:tbl>
    <w:p>
      <w:pPr>
        <w:spacing w:line="360" w:lineRule="auto"/>
        <w:rPr>
          <w:rFonts w:hint="eastAsia"/>
          <w:szCs w:val="21"/>
        </w:rPr>
      </w:pPr>
      <w:r>
        <w:rPr>
          <w:rFonts w:hint="eastAsia"/>
          <w:szCs w:val="21"/>
        </w:rPr>
        <w:t>注：1、精确到小数点后两位，第三位四舍五入</w:t>
      </w:r>
    </w:p>
    <w:p>
      <w:pPr>
        <w:spacing w:line="360" w:lineRule="auto"/>
        <w:ind w:firstLine="420" w:firstLineChars="200"/>
        <w:rPr>
          <w:rFonts w:hint="eastAsia"/>
          <w:szCs w:val="21"/>
        </w:rPr>
      </w:pPr>
      <w:r>
        <w:rPr>
          <w:rFonts w:hint="eastAsia"/>
          <w:szCs w:val="21"/>
          <w:lang w:val="en-US" w:eastAsia="zh-CN"/>
        </w:rPr>
        <w:t>2、</w:t>
      </w:r>
      <w:r>
        <w:rPr>
          <w:rFonts w:hint="eastAsia"/>
          <w:szCs w:val="21"/>
        </w:rPr>
        <w:t>总得分=工程实施方案（含资信部分）得分+投标报价得分</w:t>
      </w:r>
    </w:p>
    <w:p>
      <w:pPr>
        <w:spacing w:line="360" w:lineRule="auto"/>
        <w:ind w:firstLine="405"/>
        <w:rPr>
          <w:szCs w:val="21"/>
        </w:rPr>
      </w:pPr>
    </w:p>
    <w:p>
      <w:pPr>
        <w:rPr>
          <w:rFonts w:ascii="宋体" w:hAnsi="宋体"/>
          <w:szCs w:val="21"/>
        </w:rPr>
        <w:sectPr>
          <w:pgSz w:w="16838" w:h="11906" w:orient="landscape"/>
          <w:pgMar w:top="1134" w:right="1440" w:bottom="1134" w:left="1440" w:header="851" w:footer="992" w:gutter="0"/>
          <w:pgBorders>
            <w:top w:val="none" w:sz="0" w:space="0"/>
            <w:left w:val="none" w:sz="0" w:space="0"/>
            <w:bottom w:val="none" w:sz="0" w:space="0"/>
            <w:right w:val="none" w:sz="0" w:space="0"/>
          </w:pgBorders>
          <w:cols w:space="720" w:num="1"/>
          <w:docGrid w:type="lines" w:linePitch="312" w:charSpace="0"/>
        </w:sectPr>
      </w:pPr>
      <w:r>
        <w:rPr>
          <w:rFonts w:hint="eastAsia" w:hAnsi="宋体"/>
          <w:szCs w:val="21"/>
        </w:rPr>
        <w:t>评委签名：                                           日期：</w:t>
      </w:r>
    </w:p>
    <w:p/>
    <w:p>
      <w:pPr>
        <w:pStyle w:val="3"/>
        <w:jc w:val="center"/>
      </w:pPr>
      <w:bookmarkStart w:id="1006" w:name="_Toc17385"/>
      <w:bookmarkStart w:id="1007" w:name="_Toc13990"/>
      <w:bookmarkStart w:id="1008" w:name="_Toc300835030"/>
      <w:bookmarkStart w:id="1009" w:name="_Toc247527634"/>
      <w:bookmarkStart w:id="1010" w:name="_Toc152045609"/>
      <w:bookmarkStart w:id="1011" w:name="_Toc2984"/>
      <w:bookmarkStart w:id="1012" w:name="_Toc144974577"/>
      <w:bookmarkStart w:id="1013" w:name="_Toc29492"/>
      <w:bookmarkStart w:id="1014" w:name="_Toc31763"/>
      <w:bookmarkStart w:id="1015" w:name="_Toc22634"/>
      <w:bookmarkStart w:id="1016" w:name="_Toc16000"/>
      <w:bookmarkStart w:id="1017" w:name="_Toc152042387"/>
      <w:bookmarkStart w:id="1018" w:name="_Toc247514033"/>
      <w:bookmarkStart w:id="1019" w:name="_Toc2492"/>
      <w:bookmarkStart w:id="1020" w:name="_Toc29140"/>
      <w:bookmarkStart w:id="1021" w:name="_Toc494371582"/>
      <w:bookmarkStart w:id="1022" w:name="_Toc4736"/>
      <w:bookmarkStart w:id="1023" w:name="_Toc13994"/>
      <w:bookmarkStart w:id="1024" w:name="_Toc4333"/>
      <w:r>
        <w:rPr>
          <w:rFonts w:hint="eastAsia"/>
        </w:rPr>
        <w:t>第四章合同条款及格式</w:t>
      </w:r>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Start w:id="1025" w:name="_Toc247514034"/>
      <w:bookmarkStart w:id="1026" w:name="_Toc152045610"/>
      <w:bookmarkStart w:id="1027" w:name="_Toc184635097"/>
      <w:bookmarkStart w:id="1028" w:name="_Toc152042388"/>
      <w:bookmarkStart w:id="1029" w:name="_Toc144974578"/>
      <w:bookmarkStart w:id="1030" w:name="_Toc247527635"/>
    </w:p>
    <w:p>
      <w:r>
        <w:br w:type="page"/>
      </w:r>
    </w:p>
    <w:p>
      <w:pPr>
        <w:sectPr>
          <w:footerReference r:id="rId7" w:type="default"/>
          <w:pgSz w:w="11906" w:h="16838"/>
          <w:pgMar w:top="1247" w:right="1134" w:bottom="1247" w:left="1361" w:header="851" w:footer="992" w:gutter="0"/>
          <w:pgBorders>
            <w:top w:val="none" w:sz="0" w:space="0"/>
            <w:left w:val="none" w:sz="0" w:space="0"/>
            <w:bottom w:val="none" w:sz="0" w:space="0"/>
            <w:right w:val="none" w:sz="0" w:space="0"/>
          </w:pgBorders>
          <w:cols w:space="720" w:num="1"/>
          <w:docGrid w:type="lines" w:linePitch="319" w:charSpace="0"/>
        </w:sectPr>
      </w:pPr>
    </w:p>
    <w:p>
      <w:pPr>
        <w:jc w:val="center"/>
        <w:rPr>
          <w:rFonts w:hint="default" w:ascii="黑体" w:hAnsi="黑体" w:eastAsia="黑体" w:cs="黑体"/>
          <w:b w:val="0"/>
          <w:bCs w:val="0"/>
          <w:spacing w:val="20"/>
          <w:sz w:val="28"/>
          <w:szCs w:val="28"/>
          <w:lang w:val="en-US" w:eastAsia="zh-CN"/>
        </w:rPr>
      </w:pPr>
      <w:r>
        <w:rPr>
          <w:rFonts w:ascii="黑体" w:hAnsi="黑体" w:eastAsia="黑体" w:cs="黑体"/>
          <w:b/>
          <w:bCs/>
          <w:spacing w:val="20"/>
          <w:sz w:val="36"/>
          <w:szCs w:val="36"/>
        </w:rPr>
        <w:t xml:space="preserve"> </w:t>
      </w:r>
      <w:r>
        <w:rPr>
          <w:rFonts w:hint="eastAsia" w:ascii="黑体" w:hAnsi="黑体" w:eastAsia="黑体" w:cs="黑体"/>
          <w:b/>
          <w:bCs/>
          <w:spacing w:val="20"/>
          <w:sz w:val="36"/>
          <w:szCs w:val="36"/>
          <w:lang w:val="en-US" w:eastAsia="zh-CN"/>
        </w:rPr>
        <w:t xml:space="preserve">                         </w:t>
      </w:r>
      <w:r>
        <w:rPr>
          <w:rFonts w:hint="eastAsia" w:ascii="黑体" w:hAnsi="黑体" w:eastAsia="黑体" w:cs="黑体"/>
          <w:b w:val="0"/>
          <w:bCs w:val="0"/>
          <w:spacing w:val="20"/>
          <w:sz w:val="28"/>
          <w:szCs w:val="28"/>
          <w:lang w:val="en-US" w:eastAsia="zh-CN"/>
        </w:rPr>
        <w:t>合同编号：</w:t>
      </w:r>
    </w:p>
    <w:p>
      <w:pPr>
        <w:jc w:val="center"/>
        <w:rPr>
          <w:rFonts w:ascii="黑体" w:hAnsi="黑体" w:eastAsia="黑体" w:cs="黑体"/>
          <w:b/>
          <w:bCs/>
          <w:spacing w:val="20"/>
          <w:sz w:val="36"/>
          <w:szCs w:val="36"/>
        </w:rPr>
      </w:pPr>
    </w:p>
    <w:p>
      <w:pPr>
        <w:jc w:val="center"/>
        <w:rPr>
          <w:rFonts w:hint="eastAsia" w:ascii="宋体" w:hAnsi="宋体" w:eastAsia="黑体" w:cstheme="minorBidi"/>
          <w:sz w:val="48"/>
          <w:szCs w:val="48"/>
          <w:lang w:eastAsia="zh-CN"/>
        </w:rPr>
      </w:pPr>
    </w:p>
    <w:p>
      <w:pPr>
        <w:jc w:val="center"/>
        <w:rPr>
          <w:rFonts w:hint="eastAsia" w:ascii="宋体" w:hAnsi="宋体" w:eastAsia="黑体" w:cstheme="minorBidi"/>
          <w:sz w:val="48"/>
          <w:szCs w:val="48"/>
          <w:lang w:eastAsia="zh-CN"/>
        </w:rPr>
      </w:pPr>
    </w:p>
    <w:p>
      <w:pPr>
        <w:spacing w:line="360" w:lineRule="auto"/>
        <w:jc w:val="center"/>
        <w:rPr>
          <w:rFonts w:hint="eastAsia" w:ascii="宋体" w:hAnsi="宋体" w:eastAsia="黑体" w:cstheme="minorBidi"/>
          <w:b/>
          <w:bCs/>
          <w:sz w:val="40"/>
          <w:szCs w:val="40"/>
          <w:lang w:eastAsia="zh-CN"/>
        </w:rPr>
      </w:pPr>
      <w:r>
        <w:rPr>
          <w:rFonts w:hint="eastAsia" w:ascii="宋体" w:hAnsi="宋体" w:eastAsia="黑体" w:cstheme="minorBidi"/>
          <w:b/>
          <w:bCs/>
          <w:sz w:val="40"/>
          <w:szCs w:val="40"/>
          <w:lang w:eastAsia="zh-CN"/>
        </w:rPr>
        <w:t>天后宫专用综合房增容工程</w:t>
      </w:r>
    </w:p>
    <w:p>
      <w:pPr>
        <w:spacing w:line="360" w:lineRule="auto"/>
        <w:jc w:val="center"/>
        <w:rPr>
          <w:rFonts w:hint="eastAsia" w:ascii="宋体" w:hAnsi="宋体" w:eastAsia="黑体" w:cstheme="minorBidi"/>
          <w:b/>
          <w:bCs/>
          <w:sz w:val="40"/>
          <w:szCs w:val="40"/>
          <w:lang w:val="en-US" w:eastAsia="zh-CN"/>
        </w:rPr>
      </w:pPr>
      <w:r>
        <w:rPr>
          <w:rFonts w:hint="eastAsia" w:ascii="宋体" w:hAnsi="宋体" w:eastAsia="黑体" w:cstheme="minorBidi"/>
          <w:b/>
          <w:bCs/>
          <w:sz w:val="40"/>
          <w:szCs w:val="40"/>
          <w:lang w:val="en-US" w:eastAsia="zh-CN"/>
        </w:rPr>
        <w:t>施工总承包合同</w:t>
      </w:r>
    </w:p>
    <w:p>
      <w:pPr>
        <w:pStyle w:val="12"/>
        <w:spacing w:line="360" w:lineRule="auto"/>
        <w:ind w:firstLine="3614" w:firstLineChars="900"/>
        <w:rPr>
          <w:rFonts w:hint="default"/>
          <w:lang w:val="en-US" w:eastAsia="zh-CN"/>
        </w:rPr>
      </w:pPr>
      <w:r>
        <w:rPr>
          <w:rFonts w:hint="eastAsia" w:eastAsia="黑体" w:cstheme="minorBidi"/>
          <w:b/>
          <w:bCs/>
          <w:sz w:val="40"/>
          <w:szCs w:val="40"/>
          <w:lang w:val="en-US" w:eastAsia="zh-CN"/>
        </w:rPr>
        <w:t>（参考模板）</w:t>
      </w:r>
    </w:p>
    <w:p>
      <w:pPr>
        <w:rPr>
          <w:sz w:val="28"/>
          <w:szCs w:val="28"/>
        </w:rPr>
      </w:pPr>
    </w:p>
    <w:p>
      <w:pPr>
        <w:rPr>
          <w:sz w:val="28"/>
          <w:szCs w:val="28"/>
        </w:rPr>
      </w:pPr>
    </w:p>
    <w:p>
      <w:pPr>
        <w:rPr>
          <w:sz w:val="28"/>
          <w:szCs w:val="28"/>
        </w:rPr>
      </w:pPr>
    </w:p>
    <w:p>
      <w:pPr>
        <w:spacing w:line="400" w:lineRule="exact"/>
      </w:pPr>
    </w:p>
    <w:p>
      <w:pPr>
        <w:spacing w:line="400" w:lineRule="exact"/>
      </w:pPr>
    </w:p>
    <w:p>
      <w:pPr>
        <w:spacing w:line="400" w:lineRule="exact"/>
      </w:pPr>
    </w:p>
    <w:p>
      <w:pPr>
        <w:spacing w:line="400" w:lineRule="exact"/>
      </w:pPr>
    </w:p>
    <w:p>
      <w:pPr>
        <w:spacing w:line="400" w:lineRule="exact"/>
      </w:pPr>
    </w:p>
    <w:p>
      <w:pPr>
        <w:spacing w:line="400" w:lineRule="exact"/>
      </w:pPr>
    </w:p>
    <w:p>
      <w:pPr>
        <w:spacing w:line="400" w:lineRule="exact"/>
      </w:pPr>
    </w:p>
    <w:p>
      <w:pPr>
        <w:tabs>
          <w:tab w:val="left" w:pos="7067"/>
        </w:tabs>
        <w:spacing w:line="360" w:lineRule="auto"/>
        <w:ind w:firstLine="1506" w:firstLineChars="500"/>
        <w:rPr>
          <w:rFonts w:ascii="宋体" w:hAnsi="宋体" w:cs="宋体"/>
          <w:b/>
          <w:sz w:val="30"/>
          <w:szCs w:val="30"/>
        </w:rPr>
      </w:pPr>
      <w:r>
        <w:rPr>
          <w:rFonts w:hint="eastAsia" w:ascii="宋体" w:hAnsi="宋体" w:cs="宋体"/>
          <w:b/>
          <w:sz w:val="30"/>
          <w:szCs w:val="30"/>
          <w:lang w:val="en-US" w:eastAsia="zh-CN"/>
        </w:rPr>
        <w:t>发包方（甲方）</w:t>
      </w:r>
      <w:r>
        <w:rPr>
          <w:rFonts w:hint="eastAsia" w:ascii="宋体" w:hAnsi="宋体" w:cs="宋体"/>
          <w:b/>
          <w:sz w:val="30"/>
          <w:szCs w:val="30"/>
        </w:rPr>
        <w:t>：广州南沙旅游发展有限公司</w:t>
      </w:r>
    </w:p>
    <w:p>
      <w:pPr>
        <w:pStyle w:val="33"/>
        <w:ind w:firstLine="1482" w:firstLineChars="492"/>
        <w:jc w:val="both"/>
        <w:rPr>
          <w:rFonts w:hint="eastAsia" w:ascii="宋体" w:hAnsi="宋体" w:cs="宋体"/>
          <w:b/>
          <w:sz w:val="30"/>
          <w:szCs w:val="30"/>
          <w:u w:val="none"/>
        </w:rPr>
      </w:pPr>
      <w:r>
        <w:rPr>
          <w:rFonts w:hint="eastAsia" w:cs="宋体"/>
          <w:b/>
          <w:kern w:val="2"/>
          <w:sz w:val="30"/>
          <w:szCs w:val="30"/>
          <w:u w:val="none"/>
          <w:lang w:val="en-US" w:eastAsia="zh-CN" w:bidi="ar-SA"/>
        </w:rPr>
        <w:t>承包方</w:t>
      </w:r>
      <w:r>
        <w:rPr>
          <w:rFonts w:hint="eastAsia" w:ascii="宋体" w:hAnsi="宋体" w:cs="宋体"/>
          <w:b/>
          <w:sz w:val="30"/>
          <w:szCs w:val="30"/>
          <w:u w:val="none"/>
          <w:lang w:val="en-US" w:eastAsia="zh-CN"/>
        </w:rPr>
        <w:t>（</w:t>
      </w:r>
      <w:r>
        <w:rPr>
          <w:rFonts w:hint="eastAsia" w:cs="宋体"/>
          <w:b/>
          <w:sz w:val="30"/>
          <w:szCs w:val="30"/>
          <w:u w:val="none"/>
          <w:lang w:val="en-US" w:eastAsia="zh-CN"/>
        </w:rPr>
        <w:t>乙</w:t>
      </w:r>
      <w:r>
        <w:rPr>
          <w:rFonts w:hint="eastAsia" w:ascii="宋体" w:hAnsi="宋体" w:cs="宋体"/>
          <w:b/>
          <w:sz w:val="30"/>
          <w:szCs w:val="30"/>
          <w:u w:val="none"/>
          <w:lang w:val="en-US" w:eastAsia="zh-CN"/>
        </w:rPr>
        <w:t>方）</w:t>
      </w:r>
      <w:r>
        <w:rPr>
          <w:rFonts w:hint="eastAsia" w:ascii="宋体" w:hAnsi="宋体" w:cs="宋体"/>
          <w:b/>
          <w:sz w:val="30"/>
          <w:szCs w:val="30"/>
          <w:u w:val="none"/>
        </w:rPr>
        <w:t>：</w:t>
      </w:r>
    </w:p>
    <w:p>
      <w:pPr>
        <w:pStyle w:val="33"/>
        <w:ind w:firstLine="1482" w:firstLineChars="492"/>
        <w:jc w:val="both"/>
        <w:rPr>
          <w:rFonts w:hint="eastAsia" w:ascii="宋体" w:hAnsi="宋体" w:cs="宋体"/>
          <w:b/>
          <w:sz w:val="30"/>
          <w:szCs w:val="30"/>
          <w:u w:val="none"/>
        </w:rPr>
      </w:pPr>
    </w:p>
    <w:p>
      <w:pPr>
        <w:pStyle w:val="33"/>
        <w:ind w:firstLine="1482" w:firstLineChars="492"/>
        <w:jc w:val="both"/>
        <w:rPr>
          <w:rFonts w:hint="eastAsia" w:ascii="宋体" w:hAnsi="宋体" w:cs="宋体"/>
          <w:b/>
          <w:sz w:val="30"/>
          <w:szCs w:val="30"/>
          <w:u w:val="none"/>
        </w:rPr>
      </w:pPr>
    </w:p>
    <w:p>
      <w:pPr>
        <w:pStyle w:val="33"/>
        <w:ind w:firstLine="1506" w:firstLineChars="500"/>
        <w:jc w:val="both"/>
        <w:sectPr>
          <w:headerReference r:id="rId8" w:type="default"/>
          <w:pgSz w:w="11906" w:h="16838"/>
          <w:pgMar w:top="1247" w:right="1134" w:bottom="1247" w:left="1361" w:header="851" w:footer="992" w:gutter="0"/>
          <w:pgBorders>
            <w:top w:val="none" w:sz="0" w:space="0"/>
            <w:left w:val="none" w:sz="0" w:space="0"/>
            <w:bottom w:val="none" w:sz="0" w:space="0"/>
            <w:right w:val="none" w:sz="0" w:space="0"/>
          </w:pgBorders>
          <w:cols w:space="720" w:num="1"/>
          <w:docGrid w:type="lines" w:linePitch="319" w:charSpace="0"/>
        </w:sectPr>
      </w:pPr>
      <w:r>
        <w:rPr>
          <w:rFonts w:hint="eastAsia" w:cs="宋体"/>
          <w:b/>
          <w:sz w:val="30"/>
          <w:szCs w:val="30"/>
          <w:u w:val="none"/>
          <w:lang w:val="en-US" w:eastAsia="zh-CN"/>
        </w:rPr>
        <w:t>签订日期：年 月 日</w:t>
      </w:r>
    </w:p>
    <w:p>
      <w:pPr>
        <w:jc w:val="center"/>
        <w:rPr>
          <w:rFonts w:hint="eastAsia" w:ascii="宋体" w:hAnsi="宋体" w:eastAsia="黑体" w:cstheme="minorBidi"/>
          <w:b/>
          <w:bCs/>
          <w:sz w:val="36"/>
          <w:szCs w:val="36"/>
          <w:lang w:eastAsia="zh-CN"/>
        </w:rPr>
      </w:pPr>
      <w:r>
        <w:rPr>
          <w:rFonts w:hint="eastAsia" w:ascii="宋体" w:hAnsi="宋体" w:eastAsia="黑体" w:cstheme="minorBidi"/>
          <w:b/>
          <w:bCs/>
          <w:sz w:val="36"/>
          <w:szCs w:val="36"/>
          <w:lang w:eastAsia="zh-CN"/>
        </w:rPr>
        <w:t>天后宫专用综合房增容工程</w:t>
      </w:r>
    </w:p>
    <w:p>
      <w:pPr>
        <w:jc w:val="center"/>
        <w:rPr>
          <w:rFonts w:hint="eastAsia" w:ascii="宋体" w:hAnsi="宋体" w:eastAsia="黑体" w:cstheme="minorBidi"/>
          <w:b/>
          <w:bCs/>
          <w:sz w:val="36"/>
          <w:szCs w:val="36"/>
          <w:lang w:val="en-US" w:eastAsia="zh-CN"/>
        </w:rPr>
      </w:pPr>
      <w:r>
        <w:rPr>
          <w:rFonts w:hint="eastAsia" w:ascii="宋体" w:hAnsi="宋体" w:eastAsia="黑体" w:cstheme="minorBidi"/>
          <w:b/>
          <w:bCs/>
          <w:sz w:val="36"/>
          <w:szCs w:val="36"/>
          <w:lang w:val="en-US" w:eastAsia="zh-CN"/>
        </w:rPr>
        <w:t>施工总承包合同</w:t>
      </w:r>
    </w:p>
    <w:p>
      <w:pPr>
        <w:pStyle w:val="17"/>
        <w:keepNext w:val="0"/>
        <w:keepLines w:val="0"/>
        <w:pageBreakBefore w:val="0"/>
        <w:widowControl w:val="0"/>
        <w:numPr>
          <w:ilvl w:val="0"/>
          <w:numId w:val="0"/>
        </w:numPr>
        <w:kinsoku/>
        <w:overflowPunct/>
        <w:topLinePunct w:val="0"/>
        <w:autoSpaceDE/>
        <w:autoSpaceDN/>
        <w:bidi w:val="0"/>
        <w:spacing w:after="0" w:line="240" w:lineRule="auto"/>
        <w:jc w:val="both"/>
        <w:textAlignment w:val="auto"/>
        <w:rPr>
          <w:rFonts w:hint="eastAsia" w:ascii="仿宋_GB2312" w:hAnsi="仿宋_GB2312" w:eastAsia="仿宋_GB2312" w:cs="仿宋_GB2312"/>
          <w:color w:val="auto"/>
          <w:sz w:val="28"/>
          <w:szCs w:val="28"/>
        </w:rPr>
      </w:pPr>
    </w:p>
    <w:p>
      <w:pPr>
        <w:pStyle w:val="17"/>
        <w:keepNext w:val="0"/>
        <w:keepLines w:val="0"/>
        <w:pageBreakBefore w:val="0"/>
        <w:widowControl w:val="0"/>
        <w:numPr>
          <w:ilvl w:val="0"/>
          <w:numId w:val="0"/>
        </w:numPr>
        <w:kinsoku/>
        <w:wordWrap/>
        <w:overflowPunct/>
        <w:topLinePunct w:val="0"/>
        <w:autoSpaceDE/>
        <w:autoSpaceDN/>
        <w:bidi w:val="0"/>
        <w:adjustRightInd/>
        <w:spacing w:after="0" w:line="360" w:lineRule="auto"/>
        <w:ind w:firstLine="480" w:firstLineChars="200"/>
        <w:jc w:val="both"/>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甲方</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发包人</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w:t>
      </w:r>
      <w:r>
        <w:rPr>
          <w:rFonts w:hint="eastAsia" w:ascii="宋体" w:hAnsi="宋体" w:eastAsia="宋体" w:cs="宋体"/>
          <w:b w:val="0"/>
          <w:bCs w:val="0"/>
          <w:color w:val="auto"/>
          <w:sz w:val="24"/>
          <w:szCs w:val="24"/>
          <w:u w:val="single"/>
        </w:rPr>
        <w:t>广州南沙旅游发展有限公司</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rPr>
        <w:t>乙方</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承包人</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w:t>
      </w:r>
      <w:r>
        <w:rPr>
          <w:rFonts w:hint="eastAsia" w:ascii="宋体" w:hAnsi="宋体" w:eastAsia="宋体" w:cs="宋体"/>
          <w:b w:val="0"/>
          <w:bCs w:val="0"/>
          <w:color w:val="auto"/>
          <w:sz w:val="24"/>
          <w:szCs w:val="24"/>
          <w:u w:val="single"/>
          <w:lang w:val="en-US" w:eastAsia="zh-CN"/>
        </w:rPr>
        <w:t xml:space="preserve">                        </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就甲方把下述工程发包给乙方相关事宜，双方根据《中华人民共和国建筑法》、《中华人民共和国</w:t>
      </w:r>
      <w:r>
        <w:rPr>
          <w:rFonts w:hint="eastAsia" w:ascii="宋体" w:hAnsi="宋体" w:cs="宋体"/>
          <w:sz w:val="24"/>
        </w:rPr>
        <w:t>民法典</w:t>
      </w:r>
      <w:r>
        <w:rPr>
          <w:rFonts w:hint="eastAsia" w:ascii="宋体" w:hAnsi="宋体" w:eastAsia="宋体" w:cs="宋体"/>
          <w:b w:val="0"/>
          <w:bCs w:val="0"/>
          <w:color w:val="auto"/>
          <w:sz w:val="24"/>
          <w:szCs w:val="24"/>
        </w:rPr>
        <w:t>》和《建设工程质量管理条例》及有关规定，为明确双方在施工过程中的权利、义务和责任，经双方协商同意签订合同。</w:t>
      </w:r>
    </w:p>
    <w:p>
      <w:pPr>
        <w:pStyle w:val="12"/>
        <w:keepNext w:val="0"/>
        <w:keepLines w:val="0"/>
        <w:pageBreakBefore w:val="0"/>
        <w:widowControl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color w:val="auto"/>
          <w:sz w:val="24"/>
          <w:szCs w:val="24"/>
          <w:lang w:val="en-US" w:eastAsia="zh-CN"/>
        </w:rPr>
        <w:t>第一条发包工程项目</w:t>
      </w:r>
    </w:p>
    <w:p>
      <w:pPr>
        <w:keepNext w:val="0"/>
        <w:keepLines w:val="0"/>
        <w:pageBreakBefore w:val="0"/>
        <w:widowControl w:val="0"/>
        <w:kinsoku/>
        <w:wordWrap/>
        <w:overflowPunct/>
        <w:topLinePunct w:val="0"/>
        <w:autoSpaceDE/>
        <w:autoSpaceDN/>
        <w:bidi w:val="0"/>
        <w:adjustRightInd/>
        <w:spacing w:line="360" w:lineRule="auto"/>
        <w:ind w:firstLine="480" w:firstLineChars="200"/>
        <w:jc w:val="left"/>
        <w:textAlignment w:val="auto"/>
        <w:rPr>
          <w:rFonts w:hint="eastAsia" w:ascii="宋体" w:hAnsi="宋体" w:eastAsia="宋体" w:cs="宋体"/>
          <w:b w:val="0"/>
          <w:bCs w:val="0"/>
          <w:sz w:val="24"/>
          <w:szCs w:val="24"/>
          <w:highlight w:val="none"/>
          <w:u w:val="single"/>
          <w:lang w:val="en-US" w:eastAsia="zh-CN"/>
        </w:rPr>
      </w:pPr>
      <w:r>
        <w:rPr>
          <w:rFonts w:hint="eastAsia" w:ascii="宋体" w:hAnsi="宋体" w:eastAsia="宋体" w:cs="宋体"/>
          <w:b w:val="0"/>
          <w:bCs w:val="0"/>
          <w:color w:val="auto"/>
          <w:sz w:val="24"/>
          <w:szCs w:val="24"/>
          <w:lang w:val="en-US" w:eastAsia="zh-CN"/>
        </w:rPr>
        <w:t>一、项目名称：</w:t>
      </w:r>
      <w:r>
        <w:rPr>
          <w:rFonts w:hint="eastAsia" w:ascii="宋体" w:hAnsi="宋体" w:eastAsia="宋体" w:cs="宋体"/>
          <w:sz w:val="24"/>
          <w:szCs w:val="24"/>
          <w:highlight w:val="none"/>
          <w:u w:val="single"/>
          <w:lang w:eastAsia="zh-CN"/>
        </w:rPr>
        <w:t>天后宫专用综合房增容</w:t>
      </w:r>
      <w:r>
        <w:rPr>
          <w:rFonts w:hint="eastAsia" w:ascii="宋体" w:hAnsi="宋体" w:eastAsia="宋体" w:cs="宋体"/>
          <w:b w:val="0"/>
          <w:bCs w:val="0"/>
          <w:sz w:val="24"/>
          <w:szCs w:val="24"/>
          <w:highlight w:val="none"/>
          <w:u w:val="single"/>
          <w:lang w:val="en-US" w:eastAsia="zh-CN"/>
        </w:rPr>
        <w:t>工程</w:t>
      </w:r>
    </w:p>
    <w:p>
      <w:pPr>
        <w:keepNext w:val="0"/>
        <w:keepLines w:val="0"/>
        <w:pageBreakBefore w:val="0"/>
        <w:widowControl w:val="0"/>
        <w:numPr>
          <w:ilvl w:val="0"/>
          <w:numId w:val="0"/>
        </w:numPr>
        <w:tabs>
          <w:tab w:val="left" w:pos="993"/>
        </w:tabs>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sz w:val="24"/>
          <w:szCs w:val="24"/>
          <w:highlight w:val="none"/>
          <w:u w:val="single"/>
        </w:rPr>
      </w:pPr>
      <w:r>
        <w:rPr>
          <w:rFonts w:hint="eastAsia" w:ascii="宋体" w:hAnsi="宋体" w:eastAsia="宋体" w:cs="宋体"/>
          <w:b w:val="0"/>
          <w:bCs w:val="0"/>
          <w:color w:val="auto"/>
          <w:sz w:val="24"/>
          <w:szCs w:val="24"/>
          <w:lang w:val="en-US" w:eastAsia="zh-CN"/>
        </w:rPr>
        <w:t>二、</w:t>
      </w:r>
      <w:r>
        <w:rPr>
          <w:rFonts w:hint="eastAsia" w:ascii="宋体" w:hAnsi="宋体" w:eastAsia="宋体" w:cs="宋体"/>
          <w:b w:val="0"/>
          <w:bCs w:val="0"/>
          <w:color w:val="auto"/>
          <w:sz w:val="24"/>
          <w:szCs w:val="24"/>
          <w:lang w:eastAsia="zh-CN"/>
        </w:rPr>
        <w:t>项目</w:t>
      </w:r>
      <w:r>
        <w:rPr>
          <w:rFonts w:hint="eastAsia" w:ascii="宋体" w:hAnsi="宋体" w:eastAsia="宋体" w:cs="宋体"/>
          <w:b w:val="0"/>
          <w:bCs w:val="0"/>
          <w:color w:val="auto"/>
          <w:sz w:val="24"/>
          <w:szCs w:val="24"/>
        </w:rPr>
        <w:t>地点：</w:t>
      </w:r>
      <w:r>
        <w:rPr>
          <w:rFonts w:hint="eastAsia" w:ascii="宋体" w:hAnsi="宋体" w:eastAsia="宋体" w:cs="宋体"/>
          <w:kern w:val="0"/>
          <w:sz w:val="24"/>
          <w:szCs w:val="24"/>
          <w:u w:val="single"/>
          <w:lang w:val="en-US" w:eastAsia="zh-CN"/>
        </w:rPr>
        <w:t>广州市南沙区天后宫景区内</w:t>
      </w:r>
      <w:r>
        <w:rPr>
          <w:rFonts w:hint="eastAsia" w:ascii="宋体" w:hAnsi="宋体" w:eastAsia="宋体" w:cs="宋体"/>
          <w:b w:val="0"/>
          <w:bCs w:val="0"/>
          <w:sz w:val="24"/>
          <w:szCs w:val="24"/>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pacing w:line="360" w:lineRule="auto"/>
        <w:ind w:firstLine="480" w:firstLineChars="200"/>
        <w:jc w:val="both"/>
        <w:textAlignment w:val="auto"/>
        <w:rPr>
          <w:rFonts w:hint="eastAsia" w:ascii="宋体" w:hAnsi="宋体" w:cs="宋体"/>
          <w:color w:val="auto"/>
          <w:sz w:val="24"/>
          <w:highlight w:val="none"/>
          <w:u w:val="single"/>
          <w:lang w:val="en-US" w:eastAsia="zh-CN"/>
        </w:rPr>
      </w:pPr>
      <w:r>
        <w:rPr>
          <w:rFonts w:hint="eastAsia" w:ascii="宋体" w:hAnsi="宋体" w:eastAsia="宋体" w:cs="宋体"/>
          <w:b w:val="0"/>
          <w:bCs w:val="0"/>
          <w:color w:val="auto"/>
          <w:sz w:val="24"/>
          <w:szCs w:val="24"/>
          <w:lang w:val="en-US" w:eastAsia="zh-CN"/>
        </w:rPr>
        <w:t>三、</w:t>
      </w:r>
      <w:r>
        <w:rPr>
          <w:rFonts w:hint="eastAsia" w:ascii="宋体" w:hAnsi="宋体" w:eastAsia="宋体" w:cs="宋体"/>
          <w:b w:val="0"/>
          <w:bCs w:val="0"/>
          <w:color w:val="auto"/>
          <w:sz w:val="24"/>
          <w:szCs w:val="24"/>
          <w:lang w:eastAsia="zh-CN"/>
        </w:rPr>
        <w:t>项目</w:t>
      </w:r>
      <w:r>
        <w:rPr>
          <w:rFonts w:hint="eastAsia" w:ascii="宋体" w:hAnsi="宋体" w:eastAsia="宋体" w:cs="宋体"/>
          <w:b w:val="0"/>
          <w:bCs w:val="0"/>
          <w:color w:val="auto"/>
          <w:sz w:val="24"/>
          <w:szCs w:val="24"/>
        </w:rPr>
        <w:t>内容及规模：</w:t>
      </w:r>
      <w:r>
        <w:rPr>
          <w:rFonts w:hint="eastAsia" w:ascii="宋体" w:hAnsi="宋体" w:eastAsia="宋体" w:cs="宋体"/>
          <w:kern w:val="0"/>
          <w:sz w:val="24"/>
          <w:szCs w:val="24"/>
          <w:u w:val="none"/>
          <w:lang w:val="en-US" w:eastAsia="zh-CN"/>
        </w:rPr>
        <w:t>拆除原有315KVA变压器、拆除原有4台高配电柜，拆除原有3台低压柜，新增1台800KVA干式变压器、3台高配电柜，新增4台低压柜，高压电缆拆除及安装，母线槽拆除及安装等。</w:t>
      </w:r>
    </w:p>
    <w:p>
      <w:pPr>
        <w:keepNext w:val="0"/>
        <w:keepLines w:val="0"/>
        <w:pageBreakBefore w:val="0"/>
        <w:widowControl w:val="0"/>
        <w:numPr>
          <w:ilvl w:val="0"/>
          <w:numId w:val="0"/>
        </w:numPr>
        <w:kinsoku/>
        <w:wordWrap/>
        <w:overflowPunct/>
        <w:topLinePunct w:val="0"/>
        <w:autoSpaceDE/>
        <w:autoSpaceDN/>
        <w:bidi w:val="0"/>
        <w:adjustRightInd/>
        <w:spacing w:line="360" w:lineRule="auto"/>
        <w:ind w:left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四、合同</w:t>
      </w:r>
      <w:r>
        <w:rPr>
          <w:rFonts w:hint="eastAsia" w:ascii="宋体" w:hAnsi="宋体" w:eastAsia="宋体" w:cs="宋体"/>
          <w:b w:val="0"/>
          <w:bCs w:val="0"/>
          <w:color w:val="auto"/>
          <w:sz w:val="24"/>
          <w:szCs w:val="24"/>
        </w:rPr>
        <w:t>价款</w:t>
      </w:r>
    </w:p>
    <w:p>
      <w:pPr>
        <w:keepNext w:val="0"/>
        <w:keepLines w:val="0"/>
        <w:pageBreakBefore w:val="0"/>
        <w:widowControl w:val="0"/>
        <w:numPr>
          <w:ilvl w:val="0"/>
          <w:numId w:val="1"/>
        </w:numPr>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sz w:val="24"/>
          <w:szCs w:val="24"/>
          <w:u w:val="none"/>
        </w:rPr>
      </w:pPr>
      <w:r>
        <w:rPr>
          <w:rFonts w:hint="eastAsia" w:ascii="宋体" w:hAnsi="宋体" w:cs="宋体"/>
          <w:sz w:val="24"/>
          <w:szCs w:val="24"/>
          <w:u w:val="single"/>
        </w:rPr>
        <w:t>本工程施工承包价格总额（含税）为</w:t>
      </w:r>
      <w:r>
        <w:rPr>
          <w:rFonts w:hint="eastAsia" w:ascii="宋体" w:hAnsi="宋体" w:cs="宋体"/>
          <w:sz w:val="24"/>
          <w:szCs w:val="24"/>
          <w:u w:val="single"/>
          <w:lang w:val="en-US" w:eastAsia="zh-CN"/>
        </w:rPr>
        <w:t xml:space="preserve">  </w:t>
      </w:r>
      <w:r>
        <w:rPr>
          <w:rFonts w:hint="eastAsia" w:ascii="宋体" w:hAnsi="宋体" w:cs="宋体"/>
          <w:sz w:val="24"/>
          <w:szCs w:val="24"/>
          <w:u w:val="single"/>
          <w:lang w:val="en-US" w:bidi="zh-CN"/>
        </w:rPr>
        <w:t xml:space="preserve"> </w:t>
      </w:r>
      <w:r>
        <w:rPr>
          <w:rFonts w:hint="eastAsia" w:ascii="宋体" w:hAnsi="宋体" w:cs="宋体"/>
          <w:sz w:val="24"/>
          <w:szCs w:val="24"/>
          <w:u w:val="single"/>
          <w:lang w:val="zh-CN" w:bidi="zh-CN"/>
        </w:rPr>
        <w:t>元(人民币大写:</w:t>
      </w:r>
      <w:r>
        <w:rPr>
          <w:rFonts w:hint="eastAsia" w:ascii="宋体" w:hAnsi="宋体" w:cs="宋体"/>
          <w:sz w:val="24"/>
          <w:szCs w:val="24"/>
          <w:u w:val="single"/>
          <w:lang w:val="en-US" w:bidi="zh-CN"/>
        </w:rPr>
        <w:t xml:space="preserve">   </w:t>
      </w:r>
      <w:r>
        <w:rPr>
          <w:rFonts w:hint="eastAsia" w:ascii="宋体" w:hAnsi="宋体" w:cs="宋体"/>
          <w:sz w:val="24"/>
          <w:szCs w:val="24"/>
          <w:u w:val="single"/>
          <w:lang w:val="zh-CN" w:bidi="zh-CN"/>
        </w:rPr>
        <w:t>)</w:t>
      </w:r>
      <w:r>
        <w:rPr>
          <w:rFonts w:hint="eastAsia" w:ascii="宋体" w:hAnsi="宋体" w:cs="宋体"/>
          <w:sz w:val="24"/>
          <w:szCs w:val="24"/>
          <w:u w:val="single"/>
        </w:rPr>
        <w:t>，其中不含税价格为</w:t>
      </w:r>
      <w:r>
        <w:rPr>
          <w:rFonts w:hint="eastAsia" w:ascii="宋体" w:hAnsi="宋体" w:cs="宋体"/>
          <w:sz w:val="24"/>
          <w:szCs w:val="24"/>
          <w:u w:val="single"/>
          <w:lang w:val="en-US" w:eastAsia="zh-CN"/>
        </w:rPr>
        <w:t xml:space="preserve"> </w:t>
      </w:r>
      <w:r>
        <w:rPr>
          <w:rFonts w:hint="eastAsia" w:ascii="宋体" w:hAnsi="宋体" w:cs="宋体"/>
          <w:sz w:val="24"/>
          <w:szCs w:val="24"/>
          <w:u w:val="single"/>
          <w:lang w:val="zh-CN" w:bidi="zh-CN"/>
        </w:rPr>
        <w:t>元，税率为</w:t>
      </w:r>
      <w:r>
        <w:rPr>
          <w:rFonts w:hint="eastAsia" w:ascii="宋体" w:hAnsi="宋体" w:cs="宋体"/>
          <w:sz w:val="24"/>
          <w:szCs w:val="24"/>
          <w:u w:val="single"/>
          <w:lang w:val="en-US" w:bidi="zh-CN"/>
        </w:rPr>
        <w:t xml:space="preserve"> </w:t>
      </w:r>
      <w:r>
        <w:rPr>
          <w:rFonts w:hint="eastAsia" w:ascii="宋体" w:hAnsi="宋体" w:cs="宋体"/>
          <w:sz w:val="24"/>
          <w:szCs w:val="24"/>
          <w:u w:val="single"/>
          <w:lang w:bidi="zh-CN"/>
        </w:rPr>
        <w:t>%，税额为</w:t>
      </w:r>
      <w:r>
        <w:rPr>
          <w:rFonts w:hint="eastAsia" w:ascii="宋体" w:hAnsi="宋体" w:cs="宋体"/>
          <w:sz w:val="24"/>
          <w:szCs w:val="24"/>
          <w:u w:val="single"/>
          <w:lang w:val="en-US" w:bidi="zh-CN"/>
        </w:rPr>
        <w:t xml:space="preserve">  </w:t>
      </w:r>
      <w:r>
        <w:rPr>
          <w:rFonts w:hint="eastAsia" w:ascii="宋体" w:hAnsi="宋体" w:cs="宋体"/>
          <w:sz w:val="24"/>
          <w:szCs w:val="24"/>
          <w:u w:val="single"/>
          <w:lang w:val="zh-CN" w:bidi="zh-CN"/>
        </w:rPr>
        <w:t>元，</w:t>
      </w:r>
      <w:r>
        <w:rPr>
          <w:rFonts w:hint="eastAsia" w:ascii="宋体" w:hAnsi="宋体" w:eastAsia="宋体" w:cs="宋体"/>
          <w:b w:val="0"/>
          <w:bCs w:val="0"/>
          <w:sz w:val="24"/>
          <w:szCs w:val="24"/>
          <w:u w:val="none"/>
        </w:rPr>
        <w:t>本工程实行总价包干承包方式，</w:t>
      </w:r>
      <w:r>
        <w:rPr>
          <w:rFonts w:hint="eastAsia" w:ascii="宋体" w:hAnsi="宋体" w:eastAsia="宋体" w:cs="宋体"/>
          <w:b w:val="0"/>
          <w:bCs w:val="0"/>
          <w:sz w:val="24"/>
          <w:szCs w:val="24"/>
          <w:u w:val="none"/>
          <w:lang w:val="en-US" w:eastAsia="zh-CN"/>
        </w:rPr>
        <w:t>包设计、</w:t>
      </w:r>
      <w:r>
        <w:rPr>
          <w:rFonts w:hint="eastAsia" w:ascii="宋体" w:hAnsi="宋体" w:eastAsia="宋体" w:cs="宋体"/>
          <w:b w:val="0"/>
          <w:bCs w:val="0"/>
          <w:sz w:val="24"/>
          <w:szCs w:val="24"/>
          <w:u w:val="none"/>
        </w:rPr>
        <w:t>包工、包料、包工期、</w:t>
      </w:r>
      <w:r>
        <w:rPr>
          <w:rFonts w:hint="eastAsia" w:ascii="宋体" w:hAnsi="宋体" w:eastAsia="宋体" w:cs="宋体"/>
          <w:b w:val="0"/>
          <w:bCs w:val="0"/>
          <w:sz w:val="24"/>
          <w:szCs w:val="24"/>
          <w:u w:val="none"/>
          <w:lang w:val="en-US" w:eastAsia="zh-CN"/>
        </w:rPr>
        <w:t>包</w:t>
      </w:r>
      <w:r>
        <w:rPr>
          <w:rFonts w:hint="eastAsia" w:ascii="宋体" w:hAnsi="宋体" w:eastAsia="宋体" w:cs="宋体"/>
          <w:b w:val="0"/>
          <w:bCs w:val="0"/>
          <w:sz w:val="24"/>
          <w:szCs w:val="24"/>
          <w:u w:val="none"/>
        </w:rPr>
        <w:t>调试及验收送电</w:t>
      </w:r>
      <w:r>
        <w:rPr>
          <w:rFonts w:hint="eastAsia" w:ascii="宋体" w:hAnsi="宋体" w:eastAsia="宋体" w:cs="宋体"/>
          <w:b w:val="0"/>
          <w:bCs w:val="0"/>
          <w:sz w:val="24"/>
          <w:szCs w:val="24"/>
          <w:u w:val="none"/>
          <w:lang w:eastAsia="zh-CN"/>
        </w:rPr>
        <w:t>、</w:t>
      </w:r>
      <w:r>
        <w:rPr>
          <w:rFonts w:hint="eastAsia" w:ascii="宋体" w:hAnsi="宋体" w:eastAsia="宋体" w:cs="宋体"/>
          <w:b w:val="0"/>
          <w:bCs w:val="0"/>
          <w:sz w:val="24"/>
          <w:szCs w:val="24"/>
          <w:u w:val="none"/>
        </w:rPr>
        <w:t>包质量、包安全生产，除甲方书面提出或经甲方书面同意对工程量作相应调整外，否则合同价格不作调整。</w:t>
      </w:r>
    </w:p>
    <w:p>
      <w:pPr>
        <w:keepNext w:val="0"/>
        <w:keepLines w:val="0"/>
        <w:pageBreakBefore w:val="0"/>
        <w:widowControl w:val="0"/>
        <w:numPr>
          <w:ilvl w:val="0"/>
          <w:numId w:val="1"/>
        </w:numPr>
        <w:kinsoku/>
        <w:wordWrap/>
        <w:overflowPunct/>
        <w:topLinePunct w:val="0"/>
        <w:autoSpaceDE/>
        <w:autoSpaceDN/>
        <w:bidi w:val="0"/>
        <w:adjustRightInd/>
        <w:spacing w:line="360" w:lineRule="auto"/>
        <w:ind w:left="0" w:leftChars="0" w:firstLine="480" w:firstLineChars="200"/>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本工程按合同签订时双方确认的工程造价、施工图纸及供电部门规范包干，工程实施过程中因供电部门规范变化或甲方新增、变更要求而产生的额外费用，由双方协商增加，签订补充协议。</w:t>
      </w:r>
    </w:p>
    <w:p>
      <w:pPr>
        <w:pStyle w:val="12"/>
        <w:keepNext w:val="0"/>
        <w:keepLines w:val="0"/>
        <w:pageBreakBefore w:val="0"/>
        <w:widowControl w:val="0"/>
        <w:kinsoku/>
        <w:wordWrap/>
        <w:overflowPunct/>
        <w:topLinePunct w:val="0"/>
        <w:autoSpaceDE/>
        <w:autoSpaceDN/>
        <w:bidi w:val="0"/>
        <w:adjustRightInd/>
        <w:spacing w:line="360" w:lineRule="auto"/>
        <w:ind w:left="0" w:leftChars="0" w:firstLine="482"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bCs/>
          <w:color w:val="auto"/>
          <w:kern w:val="2"/>
          <w:sz w:val="24"/>
          <w:szCs w:val="24"/>
          <w:u w:val="none"/>
          <w:lang w:val="en-US" w:eastAsia="zh-CN" w:bidi="ar-SA"/>
        </w:rPr>
        <w:t>第二条施工准备</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一、甲方</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1、负责接通施工现场施工用水、排水、电源、输变电线路、变压器(包括水表、配电板)等，确保施工现场满足施工用水、用电、交通等需求;做好红线以内场地平整工作，清理、拆迁障碍物。</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2、组织承、发包双方及有关部门参加施工图交底会审，并做好三方签署的交底会审纪要。进行承、发包双方施工技术交底及施工安全技术交底记录表。</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color w:val="auto"/>
          <w:kern w:val="2"/>
          <w:sz w:val="24"/>
          <w:szCs w:val="24"/>
          <w:u w:val="none"/>
          <w:lang w:val="en-US" w:eastAsia="zh-CN" w:bidi="ar-SA"/>
        </w:rPr>
        <w:t>3、</w:t>
      </w:r>
      <w:r>
        <w:rPr>
          <w:rFonts w:hint="eastAsia" w:ascii="宋体" w:hAnsi="宋体" w:eastAsia="宋体" w:cs="宋体"/>
          <w:b w:val="0"/>
          <w:bCs w:val="0"/>
          <w:sz w:val="24"/>
          <w:szCs w:val="24"/>
        </w:rPr>
        <w:t>协调解决工程及施工用地。</w:t>
      </w:r>
    </w:p>
    <w:p>
      <w:pPr>
        <w:pStyle w:val="12"/>
        <w:keepNext w:val="0"/>
        <w:keepLines w:val="0"/>
        <w:pageBreakBefore w:val="0"/>
        <w:widowControl w:val="0"/>
        <w:kinsoku/>
        <w:wordWrap/>
        <w:overflowPunct/>
        <w:topLinePunct w:val="0"/>
        <w:autoSpaceDE/>
        <w:autoSpaceDN/>
        <w:bidi w:val="0"/>
        <w:adjustRightInd/>
        <w:spacing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color w:val="auto"/>
          <w:kern w:val="2"/>
          <w:sz w:val="24"/>
          <w:szCs w:val="24"/>
          <w:u w:val="none"/>
          <w:lang w:val="en-US" w:eastAsia="zh-CN" w:bidi="ar-SA"/>
        </w:rPr>
        <w:t>4、按约定支付工程款。</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二、乙方:</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1、负责施工图设计，并按照图审意见进行修改。</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2、组织施工管理人员和材料、施工机构进场。</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3、按甲方要求编制施工组织或施工方案、施工预算、施工总进度计划。</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4、严格执行安全施工、操作规程，保证施工期间的安全，承担由本方原因造成的安全责任及经济损失。</w:t>
      </w:r>
    </w:p>
    <w:p>
      <w:pPr>
        <w:pStyle w:val="12"/>
        <w:rPr>
          <w:rFonts w:hint="eastAsia" w:ascii="宋体" w:hAnsi="宋体" w:eastAsia="宋体" w:cs="宋体"/>
          <w:b w:val="0"/>
          <w:color w:val="auto"/>
          <w:sz w:val="24"/>
          <w:u w:val="none"/>
          <w:lang w:val="en-US" w:eastAsia="zh-CN"/>
        </w:rPr>
      </w:pPr>
      <w:r>
        <w:rPr>
          <w:rFonts w:hint="eastAsia" w:cs="宋体"/>
          <w:b w:val="0"/>
          <w:bCs w:val="0"/>
          <w:color w:val="auto"/>
          <w:kern w:val="2"/>
          <w:sz w:val="24"/>
          <w:szCs w:val="24"/>
          <w:u w:val="none"/>
          <w:lang w:val="en-US" w:eastAsia="zh-CN" w:bidi="ar-SA"/>
        </w:rPr>
        <w:t>5、</w:t>
      </w:r>
      <w:r>
        <w:rPr>
          <w:rFonts w:hint="eastAsia" w:ascii="宋体" w:hAnsi="宋体" w:eastAsia="宋体" w:cs="宋体"/>
          <w:b w:val="0"/>
          <w:color w:val="auto"/>
          <w:sz w:val="24"/>
          <w:u w:val="none"/>
        </w:rPr>
        <w:t>负责向供电部门申报工程竣工验收及送电。</w:t>
      </w:r>
    </w:p>
    <w:p>
      <w:pPr>
        <w:keepNext w:val="0"/>
        <w:keepLines w:val="0"/>
        <w:pageBreakBefore w:val="0"/>
        <w:widowControl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bCs/>
          <w:color w:val="auto"/>
          <w:kern w:val="2"/>
          <w:sz w:val="24"/>
          <w:szCs w:val="24"/>
          <w:u w:val="none"/>
          <w:lang w:val="en-US" w:eastAsia="zh-CN" w:bidi="ar-SA"/>
        </w:rPr>
        <w:t>第三条工程期限</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一、</w:t>
      </w:r>
      <w:r>
        <w:rPr>
          <w:rFonts w:hint="eastAsia" w:ascii="宋体" w:hAnsi="宋体" w:eastAsia="宋体" w:cs="宋体"/>
          <w:color w:val="auto"/>
          <w:sz w:val="24"/>
          <w:u w:val="none"/>
        </w:rPr>
        <w:t>据国家工期定额和使用需要，商定工程工期为</w:t>
      </w:r>
      <w:r>
        <w:rPr>
          <w:rFonts w:hint="eastAsia" w:ascii="宋体" w:hAnsi="宋体" w:eastAsia="宋体" w:cs="宋体"/>
          <w:color w:val="auto"/>
          <w:sz w:val="24"/>
          <w:szCs w:val="24"/>
          <w:u w:val="none"/>
        </w:rPr>
        <w:t>90个日历天，本工程经供电部门验收合格并送电之日为工程完工日</w:t>
      </w:r>
      <w:r>
        <w:rPr>
          <w:rFonts w:hint="eastAsia" w:ascii="宋体" w:hAnsi="宋体" w:eastAsia="宋体" w:cs="宋体"/>
          <w:color w:val="auto"/>
          <w:sz w:val="24"/>
          <w:u w:val="none"/>
        </w:rPr>
        <w:t>。</w:t>
      </w:r>
      <w:r>
        <w:rPr>
          <w:rFonts w:hint="eastAsia" w:ascii="宋体" w:hAnsi="宋体" w:eastAsia="宋体" w:cs="宋体"/>
          <w:b w:val="0"/>
          <w:bCs w:val="0"/>
          <w:color w:val="auto"/>
          <w:kern w:val="2"/>
          <w:sz w:val="24"/>
          <w:szCs w:val="24"/>
          <w:u w:val="none"/>
          <w:lang w:val="en-US" w:eastAsia="zh-CN" w:bidi="ar-SA"/>
        </w:rPr>
        <w:t>如遇电力系统运行方式无法安排供电、甲方未按时提供场地、甲方负责部分未按时完成或其他不可抗力因素致使工程无法按期完成的，工期自妨碍因素消除之日起相应顺延。双方可另行协商确定工期。</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二、甲方完成全部施工准备工作并按合同约定支付预付款后，应当提前</w:t>
      </w:r>
      <w:r>
        <w:rPr>
          <w:rFonts w:hint="eastAsia" w:ascii="宋体" w:hAnsi="宋体" w:eastAsia="宋体" w:cs="宋体"/>
          <w:b w:val="0"/>
          <w:bCs w:val="0"/>
          <w:color w:val="auto"/>
          <w:kern w:val="2"/>
          <w:sz w:val="24"/>
          <w:szCs w:val="24"/>
          <w:u w:val="single"/>
          <w:lang w:val="en-US" w:eastAsia="zh-CN" w:bidi="ar-SA"/>
        </w:rPr>
        <w:t xml:space="preserve">  </w:t>
      </w:r>
      <w:r>
        <w:rPr>
          <w:rFonts w:hint="eastAsia" w:ascii="宋体" w:hAnsi="宋体" w:eastAsia="宋体" w:cs="宋体"/>
          <w:b w:val="0"/>
          <w:bCs w:val="0"/>
          <w:color w:val="auto"/>
          <w:kern w:val="2"/>
          <w:sz w:val="24"/>
          <w:szCs w:val="24"/>
          <w:u w:val="none"/>
          <w:lang w:val="en-US" w:eastAsia="zh-CN" w:bidi="ar-SA"/>
        </w:rPr>
        <w:t>日向乙方发出开工通知书，乙方按照甲方开工通知书指示的日期进场施工.</w:t>
      </w:r>
    </w:p>
    <w:p>
      <w:pPr>
        <w:keepNext w:val="0"/>
        <w:keepLines w:val="0"/>
        <w:pageBreakBefore w:val="0"/>
        <w:widowControl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bCs/>
          <w:color w:val="auto"/>
          <w:kern w:val="2"/>
          <w:sz w:val="24"/>
          <w:szCs w:val="24"/>
          <w:u w:val="none"/>
          <w:lang w:val="en-US" w:eastAsia="zh-CN" w:bidi="ar-SA"/>
        </w:rPr>
        <w:t>第四条工程质量</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一、本工程质量要求符合当地供电部门的质量验收合格标准。</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二、乙方必须严格按照施工图纸、说明文件和国家、省、市电力公司颁发的电气安装工程施工及验收的标准进行施工，并接受甲方派驻代表的监督。</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三、双方在施工过程中必须遵守下列约定:</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1、由乙方提供的主要原材料、设备、构配件、半成品必须按有关规定提供质量合格证或进行检验合格后方可用于工程。</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2、乙方应按质量验评标准对工程进行分项、分部和单位工程质量进行评定，并会同甲方进行中间验收。</w:t>
      </w:r>
    </w:p>
    <w:p>
      <w:pPr>
        <w:keepNext w:val="0"/>
        <w:keepLines w:val="0"/>
        <w:pageBreakBefore w:val="0"/>
        <w:widowControl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bCs/>
          <w:color w:val="auto"/>
          <w:kern w:val="2"/>
          <w:sz w:val="24"/>
          <w:szCs w:val="24"/>
          <w:u w:val="none"/>
          <w:lang w:val="en-US" w:eastAsia="zh-CN" w:bidi="ar-SA"/>
        </w:rPr>
        <w:t>第五条工程价款的支付与结算</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一、合同签订后</w:t>
      </w:r>
      <w:r>
        <w:rPr>
          <w:rFonts w:hint="eastAsia" w:ascii="宋体" w:hAnsi="宋体" w:cs="宋体"/>
          <w:b w:val="0"/>
          <w:bCs w:val="0"/>
          <w:color w:val="auto"/>
          <w:kern w:val="2"/>
          <w:sz w:val="24"/>
          <w:szCs w:val="24"/>
          <w:u w:val="none"/>
          <w:lang w:val="en-US" w:eastAsia="zh-CN" w:bidi="ar-SA"/>
        </w:rPr>
        <w:t>7</w:t>
      </w:r>
      <w:r>
        <w:rPr>
          <w:rFonts w:hint="eastAsia" w:ascii="宋体" w:hAnsi="宋体" w:eastAsia="宋体" w:cs="宋体"/>
          <w:b w:val="0"/>
          <w:bCs w:val="0"/>
          <w:color w:val="auto"/>
          <w:kern w:val="2"/>
          <w:sz w:val="24"/>
          <w:szCs w:val="24"/>
          <w:u w:val="none"/>
          <w:lang w:val="en-US" w:eastAsia="zh-CN" w:bidi="ar-SA"/>
        </w:rPr>
        <w:t>个工作日内，甲方向乙方支付合同价30%作为工程预付款(即人民币￥   元)。</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二、设备进场后3天内，甲方向乙方支付合同价50%作为工程的进度款（即人名币¥    元）</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cs="宋体"/>
          <w:b w:val="0"/>
          <w:bCs w:val="0"/>
          <w:color w:val="auto"/>
          <w:kern w:val="2"/>
          <w:sz w:val="24"/>
          <w:szCs w:val="24"/>
          <w:u w:val="none"/>
          <w:lang w:val="en-US" w:eastAsia="zh-CN" w:bidi="ar-SA"/>
        </w:rPr>
        <w:t>三</w:t>
      </w:r>
      <w:r>
        <w:rPr>
          <w:rFonts w:hint="eastAsia" w:ascii="宋体" w:hAnsi="宋体" w:eastAsia="宋体" w:cs="宋体"/>
          <w:b w:val="0"/>
          <w:bCs w:val="0"/>
          <w:color w:val="auto"/>
          <w:kern w:val="2"/>
          <w:sz w:val="24"/>
          <w:szCs w:val="24"/>
          <w:u w:val="none"/>
          <w:lang w:val="en-US" w:eastAsia="zh-CN" w:bidi="ar-SA"/>
        </w:rPr>
        <w:t>、工程完成施工并且供电部门竣工验收合格并送电后，甲方应在七个工作日内向乙方付工程款至97%(即人民币￥    元)，余款3%作为一年期限的质保金。</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三、甲方应当以银行转账或支票的方式向乙方支付上述工程价款，除此之外，乙方不接受甲方以其他方式支付工程款。甲方未按照上述约定方式支付工程款的，视为甲方未履行付款义务，甲方应承担相应责任。</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乙方收款信息如下:</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收款单位名称:</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开户银行:</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支行帐号:</w:t>
      </w:r>
    </w:p>
    <w:p>
      <w:pPr>
        <w:keepNext w:val="0"/>
        <w:keepLines w:val="0"/>
        <w:pageBreakBefore w:val="0"/>
        <w:widowControl w:val="0"/>
        <w:numPr>
          <w:ilvl w:val="0"/>
          <w:numId w:val="2"/>
        </w:numPr>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每次付款前，乙方需要向甲方提供请款函及等额有效的增值税专用发票，否则，甲方有权拒绝付款，且不视为逾期。</w:t>
      </w:r>
    </w:p>
    <w:p>
      <w:pPr>
        <w:keepNext w:val="0"/>
        <w:keepLines w:val="0"/>
        <w:pageBreakBefore w:val="0"/>
        <w:widowControl w:val="0"/>
        <w:numPr>
          <w:ilvl w:val="0"/>
          <w:numId w:val="0"/>
        </w:numPr>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bCs/>
          <w:color w:val="auto"/>
          <w:kern w:val="2"/>
          <w:sz w:val="24"/>
          <w:szCs w:val="24"/>
          <w:u w:val="none"/>
          <w:lang w:val="en-US" w:eastAsia="zh-CN" w:bidi="ar-SA"/>
        </w:rPr>
        <w:t>第六条施工与设计变更</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一、经审查确认后的乙方设备图纸、说明和有关技术资料，作为施工的有效依据，承、发包双方均不得擅自修改</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二、施工中如发现设计有错误或不合理影响施工的地方，乙方及时以书面形式通知甲方若发生增加费用(包括返工损失、停工、窝工、人员和机械设备调迁、材料构配件更换、弃用运输、积压的费用及损失)由乙方负责，合同造价不做相应调整。</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三、</w:t>
      </w:r>
      <w:r>
        <w:rPr>
          <w:rFonts w:hint="eastAsia" w:ascii="宋体" w:hAnsi="宋体" w:cs="宋体"/>
          <w:sz w:val="24"/>
        </w:rPr>
        <w:t>乙方在保证工程质量和不降低设计标准的前提下，提出修改设计、修改工艺的合理化建议，经甲方或有关技术部门同意后采取实施，其节约价值按国家规定分配，并由双方另行签订补充协议进行约定。</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四、</w:t>
      </w:r>
      <w:r>
        <w:rPr>
          <w:rFonts w:hint="eastAsia" w:ascii="宋体" w:hAnsi="宋体" w:cs="宋体"/>
          <w:sz w:val="24"/>
        </w:rPr>
        <w:t>甲方如需设计变更，乙方应予以配合，重大修改或增加造价时，另行协商签订补充协议。</w:t>
      </w:r>
    </w:p>
    <w:p>
      <w:pPr>
        <w:keepNext w:val="0"/>
        <w:keepLines w:val="0"/>
        <w:pageBreakBefore w:val="0"/>
        <w:widowControl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bCs/>
          <w:color w:val="auto"/>
          <w:kern w:val="2"/>
          <w:sz w:val="24"/>
          <w:szCs w:val="24"/>
          <w:u w:val="none"/>
          <w:lang w:val="en-US" w:eastAsia="zh-CN" w:bidi="ar-SA"/>
        </w:rPr>
        <w:t>第七条工程验收</w:t>
      </w:r>
    </w:p>
    <w:p>
      <w:pPr>
        <w:keepNext w:val="0"/>
        <w:keepLines w:val="0"/>
        <w:pageBreakBefore w:val="0"/>
        <w:widowControl w:val="0"/>
        <w:numPr>
          <w:ilvl w:val="0"/>
          <w:numId w:val="3"/>
        </w:numPr>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本工程验收，以国家、省、市及当地供电部门颁发的相关电气安装工程施工及验收规范、竣工验收规定及施工图纸及说明书、施工技术文件为依据，并以当地供电部门的验收合格为准。</w:t>
      </w:r>
    </w:p>
    <w:p>
      <w:pPr>
        <w:pStyle w:val="12"/>
        <w:keepNext w:val="0"/>
        <w:keepLines w:val="0"/>
        <w:pageBreakBefore w:val="0"/>
        <w:widowControl w:val="0"/>
        <w:numPr>
          <w:ilvl w:val="0"/>
          <w:numId w:val="0"/>
        </w:numPr>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二、本工程以供电部门相关规范要求为验收标准，需配合进行其他相关部门验收时，甲方应在施工前通知乙方，乙方应在承包范围内配合甲方进行验收工作。但在验收标准冲突、无法调和时，为确保顺利送电，乙方只按供电部门规范进行施工。</w:t>
      </w:r>
    </w:p>
    <w:p>
      <w:pPr>
        <w:pStyle w:val="12"/>
        <w:keepNext w:val="0"/>
        <w:keepLines w:val="0"/>
        <w:pageBreakBefore w:val="0"/>
        <w:widowControl w:val="0"/>
        <w:numPr>
          <w:ilvl w:val="0"/>
          <w:numId w:val="0"/>
        </w:numPr>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三、工程经供电部门竣工验收合格后，甲方方可投入使用。</w:t>
      </w:r>
    </w:p>
    <w:p>
      <w:pPr>
        <w:keepNext w:val="0"/>
        <w:keepLines w:val="0"/>
        <w:pageBreakBefore w:val="0"/>
        <w:widowControl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第八条质量保修</w:t>
      </w:r>
    </w:p>
    <w:p>
      <w:pPr>
        <w:pStyle w:val="12"/>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一、乙方应按《中华人民共和国建筑法》、《建设工程质量管理条例》的有关规定，对交付甲方使用的工程在质量保修期内承担质量保修责任。</w:t>
      </w:r>
    </w:p>
    <w:p>
      <w:pPr>
        <w:pStyle w:val="12"/>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二、</w:t>
      </w:r>
      <w:r>
        <w:rPr>
          <w:rFonts w:hint="eastAsia" w:cs="宋体"/>
          <w:b w:val="0"/>
          <w:sz w:val="24"/>
        </w:rPr>
        <w:t>保修期为本工程装表送电之日起壹年内，保修期内如属乙方提供的设备材料质量或施工方面等引起的使用质量问题，乙方应无偿及时给予修复，乙方应在收到甲方故障通知后8小时内到场并在双方协商确定的时间内修复完毕；否则，甲方有权聘请第三方处理，由此产生的费用由乙方承担，且甲方有权从本合同项下的质保金中扣减。因甲方使用不善、第三人损坏等其他原因造成的工程质量问题，乙方无须承担保修责任，如甲方委托乙方进行维修，双方应行签订合同。</w:t>
      </w:r>
    </w:p>
    <w:p>
      <w:pPr>
        <w:pStyle w:val="12"/>
        <w:keepNext w:val="0"/>
        <w:keepLines w:val="0"/>
        <w:pageBreakBefore w:val="0"/>
        <w:widowControl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第九条违约责任</w:t>
      </w:r>
    </w:p>
    <w:p>
      <w:pPr>
        <w:pStyle w:val="12"/>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甲方的责任:</w:t>
      </w:r>
    </w:p>
    <w:p>
      <w:pPr>
        <w:pStyle w:val="12"/>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一、未能按照合同的约定履行自己应负义务的，除竣工日期得以顺延外，还应赔偿乙方由此造成的实际损失。</w:t>
      </w:r>
      <w:r>
        <w:rPr>
          <w:rFonts w:hint="eastAsia" w:cs="宋体"/>
          <w:b w:val="0"/>
          <w:sz w:val="24"/>
        </w:rPr>
        <w:t>除本合同另有约定外，</w:t>
      </w:r>
      <w:r>
        <w:rPr>
          <w:rFonts w:hint="eastAsia" w:ascii="宋体" w:hAnsi="宋体" w:eastAsia="宋体" w:cs="宋体"/>
          <w:b w:val="0"/>
          <w:bCs w:val="0"/>
          <w:sz w:val="24"/>
          <w:szCs w:val="24"/>
          <w:lang w:val="en-US" w:eastAsia="zh-CN"/>
        </w:rPr>
        <w:t>经乙方书面通知后，甲方仍未采取有效措施纠正或拒绝纠正自身违约行为，则乙方有权单方解除本合同，并要求甲方按工程费用总额的20%支付违约金</w:t>
      </w:r>
    </w:p>
    <w:p>
      <w:pPr>
        <w:pStyle w:val="12"/>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二、</w:t>
      </w:r>
      <w:r>
        <w:rPr>
          <w:rFonts w:hint="eastAsia" w:cs="宋体"/>
          <w:b w:val="0"/>
          <w:sz w:val="24"/>
        </w:rPr>
        <w:t>工程中途因甲方原因造成停建、缓建或由于甲方设计变更造成的返工，</w:t>
      </w:r>
      <w:r>
        <w:rPr>
          <w:rFonts w:hint="eastAsia" w:ascii="宋体" w:hAnsi="宋体" w:eastAsia="宋体" w:cs="宋体"/>
          <w:b w:val="0"/>
          <w:bCs w:val="0"/>
          <w:sz w:val="24"/>
          <w:szCs w:val="24"/>
          <w:lang w:val="en-US" w:eastAsia="zh-CN"/>
        </w:rPr>
        <w:t>应采取措施弥补或减少损失。同时，赔偿乙方由此造成的停工、窝工、返工、倒运损失，及人员和机械设备调迁费用、材料和构件更换、弃用、运输、积压的实际损失。</w:t>
      </w:r>
    </w:p>
    <w:p>
      <w:pPr>
        <w:pStyle w:val="12"/>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三、工程未经验收，甲方提前使用或擅自动用，由此面发生的质量或其他问题，由甲方承担责任。</w:t>
      </w:r>
    </w:p>
    <w:p>
      <w:pPr>
        <w:widowControl w:val="0"/>
        <w:snapToGrid w:val="0"/>
        <w:spacing w:before="120" w:after="120" w:line="360" w:lineRule="auto"/>
        <w:ind w:firstLine="480" w:firstLineChars="200"/>
        <w:jc w:val="both"/>
        <w:rPr>
          <w:rFonts w:ascii="宋体" w:hAnsi="宋体" w:eastAsia="宋体" w:cs="宋体"/>
          <w:b w:val="0"/>
          <w:color w:val="000000"/>
          <w:kern w:val="2"/>
          <w:sz w:val="24"/>
          <w:szCs w:val="24"/>
          <w:lang w:val="en-US" w:eastAsia="zh-CN" w:bidi="ar-SA"/>
        </w:rPr>
      </w:pPr>
      <w:r>
        <w:rPr>
          <w:rFonts w:hint="eastAsia" w:ascii="宋体" w:hAnsi="宋体" w:eastAsia="宋体" w:cs="宋体"/>
          <w:b w:val="0"/>
          <w:color w:val="000000"/>
          <w:kern w:val="2"/>
          <w:sz w:val="24"/>
          <w:szCs w:val="24"/>
          <w:lang w:val="en-US" w:eastAsia="zh-CN" w:bidi="ar-SA"/>
        </w:rPr>
        <w:t>四、工程完成施工，乙方向甲方提交竣工验收报告后，甲方应当在七个工作日内配合乙方将工程申报供电部门验收，甲方拖延不配合乙方申报验收的，每逾期一日，应按工程费用总额每日万分之壹向乙方支付逾期违约金。</w:t>
      </w:r>
    </w:p>
    <w:p>
      <w:pPr>
        <w:widowControl w:val="0"/>
        <w:snapToGrid w:val="0"/>
        <w:spacing w:before="120" w:after="120" w:line="360" w:lineRule="auto"/>
        <w:ind w:firstLine="480" w:firstLineChars="200"/>
        <w:jc w:val="both"/>
        <w:rPr>
          <w:rFonts w:ascii="宋体" w:hAnsi="宋体" w:eastAsia="宋体" w:cs="宋体"/>
          <w:b w:val="0"/>
          <w:color w:val="000000"/>
          <w:kern w:val="2"/>
          <w:sz w:val="24"/>
          <w:szCs w:val="24"/>
          <w:lang w:val="en-US" w:eastAsia="zh-CN" w:bidi="ar-SA"/>
        </w:rPr>
      </w:pPr>
      <w:r>
        <w:rPr>
          <w:rFonts w:hint="eastAsia" w:ascii="宋体" w:hAnsi="宋体" w:eastAsia="宋体" w:cs="宋体"/>
          <w:b w:val="0"/>
          <w:color w:val="000000"/>
          <w:kern w:val="2"/>
          <w:sz w:val="24"/>
          <w:szCs w:val="24"/>
          <w:lang w:val="en-US" w:eastAsia="zh-CN" w:bidi="ar-SA"/>
        </w:rPr>
        <w:t>五、甲方不按合同约定支付工程款，每逾期一日，应按应支付工程费每日万分之壹向乙方支付违约金。如甲方欠付多期工程款，逾期付款违约金应当叠加计算。甲方逾期支付任意期工程款超过</w:t>
      </w:r>
      <w:r>
        <w:rPr>
          <w:rFonts w:ascii="宋体" w:hAnsi="宋体" w:eastAsia="宋体" w:cs="宋体"/>
          <w:b w:val="0"/>
          <w:color w:val="000000"/>
          <w:kern w:val="2"/>
          <w:sz w:val="24"/>
          <w:szCs w:val="24"/>
          <w:lang w:val="en-US" w:eastAsia="zh-CN" w:bidi="ar-SA"/>
        </w:rPr>
        <w:t>30</w:t>
      </w:r>
      <w:r>
        <w:rPr>
          <w:rFonts w:hint="eastAsia" w:ascii="宋体" w:hAnsi="宋体" w:eastAsia="宋体" w:cs="宋体"/>
          <w:b w:val="0"/>
          <w:color w:val="000000"/>
          <w:kern w:val="2"/>
          <w:sz w:val="24"/>
          <w:szCs w:val="24"/>
          <w:lang w:val="en-US" w:eastAsia="zh-CN" w:bidi="ar-SA"/>
        </w:rPr>
        <w:t>日，乙方有权单方解除本合同，并要求甲方按应支付工程费的20%作为违约金。违约金不足以弥补乙方损失的，甲方应当另行赔偿。</w:t>
      </w:r>
    </w:p>
    <w:p>
      <w:pPr>
        <w:widowControl w:val="0"/>
        <w:snapToGrid w:val="0"/>
        <w:spacing w:before="120" w:after="120" w:line="360" w:lineRule="auto"/>
        <w:ind w:firstLine="480" w:firstLineChars="200"/>
        <w:jc w:val="both"/>
        <w:rPr>
          <w:rFonts w:ascii="宋体" w:hAnsi="宋体" w:eastAsia="宋体" w:cs="宋体"/>
          <w:b w:val="0"/>
          <w:color w:val="000000"/>
          <w:kern w:val="2"/>
          <w:sz w:val="24"/>
          <w:szCs w:val="24"/>
          <w:lang w:val="en-US" w:eastAsia="zh-CN" w:bidi="ar-SA"/>
        </w:rPr>
      </w:pPr>
      <w:r>
        <w:rPr>
          <w:rFonts w:hint="eastAsia" w:ascii="宋体" w:hAnsi="宋体" w:eastAsia="宋体" w:cs="宋体"/>
          <w:b w:val="0"/>
          <w:color w:val="000000"/>
          <w:kern w:val="2"/>
          <w:sz w:val="24"/>
          <w:szCs w:val="24"/>
          <w:lang w:val="en-US" w:eastAsia="zh-CN" w:bidi="ar-SA"/>
        </w:rPr>
        <w:t>六、乙方按合同约定完成施工，因甲方负责部分未按时完成或因甲方原因导致工程不能按正常时间申报供电部门竣工验收或送电的，从乙方可提交竣工验收报告之日(竣工之日)起，工程毁损灭失的风险由甲方承担，现场设备看护责任由甲方承担；甲方应配合乙方办理设备移交手续或支付乙方额外增加的看护费用。</w:t>
      </w:r>
    </w:p>
    <w:p>
      <w:pPr>
        <w:spacing w:line="360" w:lineRule="auto"/>
        <w:ind w:firstLine="480" w:firstLineChars="200"/>
        <w:rPr>
          <w:rFonts w:ascii="宋体" w:hAnsi="宋体" w:eastAsia="宋体" w:cs="宋体"/>
          <w:sz w:val="24"/>
        </w:rPr>
      </w:pPr>
      <w:r>
        <w:rPr>
          <w:rFonts w:hint="eastAsia" w:ascii="宋体" w:hAnsi="宋体" w:eastAsia="宋体" w:cs="宋体"/>
          <w:sz w:val="24"/>
        </w:rPr>
        <w:t>七、甲方需乙方提供竣工资料的，应在所需资料及样式向乙方提供书面说明及模版，甲方未事先说明的，乙方无义务提供相应资料。甲方不得以资料未提交为理由拖延工程款支付拖延支付的按逾期支付工程款处理</w:t>
      </w:r>
    </w:p>
    <w:p>
      <w:pPr>
        <w:spacing w:line="360" w:lineRule="auto"/>
        <w:ind w:firstLine="480" w:firstLineChars="200"/>
        <w:rPr>
          <w:rFonts w:ascii="宋体" w:hAnsi="宋体" w:eastAsia="宋体" w:cs="宋体"/>
          <w:sz w:val="24"/>
        </w:rPr>
      </w:pPr>
      <w:r>
        <w:rPr>
          <w:rFonts w:hint="eastAsia" w:ascii="宋体" w:hAnsi="宋体" w:eastAsia="宋体" w:cs="宋体"/>
          <w:sz w:val="24"/>
        </w:rPr>
        <w:t>乙方的责任:</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一、因乙方原因造成工程质量不符合合同约定的，由乙方负责无偿修理或返工。由于修理或返工造成逾期交付的，乙方应每日按工程总额的万分之壹向甲方支付逾期违约金；逾期超过3</w:t>
      </w:r>
      <w:r>
        <w:rPr>
          <w:rFonts w:ascii="宋体" w:hAnsi="宋体" w:eastAsia="宋体" w:cs="宋体"/>
          <w:sz w:val="24"/>
        </w:rPr>
        <w:t>0</w:t>
      </w:r>
      <w:r>
        <w:rPr>
          <w:rFonts w:hint="eastAsia" w:ascii="宋体" w:hAnsi="宋体" w:eastAsia="宋体" w:cs="宋体"/>
          <w:sz w:val="24"/>
        </w:rPr>
        <w:t>天，或经乙方两次修理或返工后工程质量仍不符合合同约定的，则甲方有权单方解除本合同，并要求乙方支付工程总额2</w:t>
      </w:r>
      <w:r>
        <w:rPr>
          <w:rFonts w:ascii="宋体" w:hAnsi="宋体" w:eastAsia="宋体" w:cs="宋体"/>
          <w:sz w:val="24"/>
        </w:rPr>
        <w:t>0%</w:t>
      </w:r>
      <w:r>
        <w:rPr>
          <w:rFonts w:hint="eastAsia" w:ascii="宋体" w:hAnsi="宋体" w:eastAsia="宋体" w:cs="宋体"/>
          <w:sz w:val="24"/>
        </w:rPr>
        <w:t>的违约金。</w:t>
      </w:r>
    </w:p>
    <w:p>
      <w:pPr>
        <w:spacing w:line="360" w:lineRule="auto"/>
        <w:ind w:firstLine="480" w:firstLineChars="200"/>
        <w:rPr>
          <w:rFonts w:ascii="宋体" w:hAnsi="宋体" w:eastAsia="宋体" w:cs="宋体"/>
          <w:sz w:val="24"/>
        </w:rPr>
      </w:pPr>
      <w:r>
        <w:rPr>
          <w:rFonts w:hint="eastAsia" w:ascii="宋体" w:hAnsi="宋体" w:eastAsia="宋体" w:cs="宋体"/>
          <w:sz w:val="24"/>
        </w:rPr>
        <w:t>二、因乙方原因导致工程不能按合同约定的工期交付使用的，乙方应每日按工程总额的万分之壹向甲方支付逾期违约金，造成损失的，赔偿实际损失；逾期超过30天的，甲方有权单方解除本合同，并要求乙方支付工程总额20%的违约金。。</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三、经甲方同意，乙方可以将部分工程分包给具有资质的第三人进行，但主体结构的施工必须由乙方自行完成，且乙方须对该第三人的施工承担连带责任。</w:t>
      </w:r>
    </w:p>
    <w:p>
      <w:pPr>
        <w:spacing w:line="360" w:lineRule="auto"/>
        <w:ind w:firstLine="480" w:firstLineChars="200"/>
        <w:rPr>
          <w:rFonts w:ascii="宋体" w:hAnsi="宋体" w:eastAsia="宋体" w:cs="宋体"/>
          <w:sz w:val="24"/>
        </w:rPr>
      </w:pPr>
      <w:r>
        <w:rPr>
          <w:rFonts w:hint="eastAsia" w:ascii="宋体" w:hAnsi="宋体" w:eastAsia="宋体" w:cs="宋体"/>
          <w:sz w:val="24"/>
        </w:rPr>
        <w:t>四、若乙方未能按照合同的约定履行自己应负义务的，乙方应赔偿由此给甲方造成的实际损失。且除本合同另有约定外，经甲方书面通知后，乙方仍未采取有效措施纠正或拒绝纠正自身违约行为，则甲方有权单方解除本合同，并要求乙方支付工程总额20%的违约金。</w:t>
      </w:r>
    </w:p>
    <w:p>
      <w:pPr>
        <w:spacing w:line="360" w:lineRule="auto"/>
        <w:ind w:firstLine="482" w:firstLineChars="200"/>
        <w:rPr>
          <w:rFonts w:ascii="宋体" w:hAnsi="宋体" w:eastAsia="宋体" w:cs="宋体"/>
          <w:sz w:val="24"/>
        </w:rPr>
      </w:pPr>
      <w:r>
        <w:rPr>
          <w:rFonts w:hint="eastAsia" w:ascii="宋体" w:hAnsi="宋体" w:eastAsia="宋体" w:cs="宋体"/>
          <w:b/>
          <w:bCs/>
          <w:sz w:val="24"/>
        </w:rPr>
        <w:t>第十条合同争议的解决方式</w:t>
      </w:r>
    </w:p>
    <w:p>
      <w:pPr>
        <w:spacing w:line="360" w:lineRule="auto"/>
        <w:ind w:firstLine="480" w:firstLineChars="200"/>
        <w:rPr>
          <w:rFonts w:ascii="宋体" w:hAnsi="宋体" w:eastAsia="宋体" w:cs="宋体"/>
          <w:sz w:val="24"/>
        </w:rPr>
      </w:pPr>
      <w:r>
        <w:rPr>
          <w:rFonts w:hint="eastAsia" w:ascii="宋体" w:hAnsi="宋体" w:eastAsia="宋体" w:cs="宋体"/>
          <w:sz w:val="24"/>
        </w:rPr>
        <w:t>本合同在履行过程中发生的争议，当事人双方协商解决，协商不成的，依法向工程所在地有管辖权的人民法院起诉。</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sz w:val="24"/>
          <w:szCs w:val="24"/>
          <w:lang w:val="en-US" w:eastAsia="zh-CN"/>
        </w:rPr>
      </w:pPr>
    </w:p>
    <w:p>
      <w:pPr>
        <w:keepNext w:val="0"/>
        <w:keepLines w:val="0"/>
        <w:pageBreakBefore w:val="0"/>
        <w:widowControl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第十一条附则</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一、本合同一式</w:t>
      </w:r>
      <w:r>
        <w:rPr>
          <w:rFonts w:hint="eastAsia" w:ascii="宋体" w:hAnsi="宋体" w:cs="宋体"/>
          <w:b w:val="0"/>
          <w:bCs w:val="0"/>
          <w:sz w:val="24"/>
          <w:szCs w:val="24"/>
          <w:lang w:val="en-US" w:eastAsia="zh-CN"/>
        </w:rPr>
        <w:t>陆</w:t>
      </w:r>
      <w:r>
        <w:rPr>
          <w:rFonts w:hint="eastAsia" w:ascii="宋体" w:hAnsi="宋体" w:eastAsia="宋体" w:cs="宋体"/>
          <w:b w:val="0"/>
          <w:bCs w:val="0"/>
          <w:sz w:val="24"/>
          <w:szCs w:val="24"/>
          <w:lang w:val="en-US" w:eastAsia="zh-CN"/>
        </w:rPr>
        <w:t>份，甲方执肆份，乙方执贰份。</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二、本合同自双方代表签字，加盖双方公章或合同专用章后生效;工程竣工验收符合要求，结清工程款后终止。</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三、本合同签订后，承、发包双方如需要提出修改时，经双方协商一致后，可以签订补充协议，作为本合同的补充合同。</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(以下无正文)</w:t>
      </w:r>
    </w:p>
    <w:p>
      <w:pPr>
        <w:rPr>
          <w:rFonts w:hint="eastAsia"/>
          <w:lang w:val="en-US" w:eastAsia="zh-CN"/>
        </w:rPr>
      </w:pPr>
    </w:p>
    <w:p>
      <w:pPr>
        <w:pStyle w:val="12"/>
        <w:rPr>
          <w:rFonts w:hint="eastAsia"/>
          <w:lang w:val="en-US" w:eastAsia="zh-CN"/>
        </w:rPr>
      </w:pPr>
    </w:p>
    <w:p>
      <w:pPr>
        <w:rPr>
          <w:rFonts w:hint="eastAsia"/>
          <w:lang w:val="en-US" w:eastAsia="zh-CN"/>
        </w:rPr>
      </w:pPr>
    </w:p>
    <w:p>
      <w:pPr>
        <w:pStyle w:val="12"/>
        <w:rPr>
          <w:rFonts w:hint="eastAsia"/>
          <w:lang w:val="en-US" w:eastAsia="zh-CN"/>
        </w:rPr>
      </w:pPr>
    </w:p>
    <w:tbl>
      <w:tblPr>
        <w:tblStyle w:val="40"/>
        <w:tblW w:w="9816" w:type="dxa"/>
        <w:jc w:val="center"/>
        <w:tblLayout w:type="fixed"/>
        <w:tblCellMar>
          <w:top w:w="0" w:type="dxa"/>
          <w:left w:w="108" w:type="dxa"/>
          <w:bottom w:w="0" w:type="dxa"/>
          <w:right w:w="108" w:type="dxa"/>
        </w:tblCellMar>
      </w:tblPr>
      <w:tblGrid>
        <w:gridCol w:w="1754"/>
        <w:gridCol w:w="3146"/>
        <w:gridCol w:w="1818"/>
        <w:gridCol w:w="3098"/>
      </w:tblGrid>
      <w:tr>
        <w:tblPrEx>
          <w:tblCellMar>
            <w:top w:w="0" w:type="dxa"/>
            <w:left w:w="108" w:type="dxa"/>
            <w:bottom w:w="0" w:type="dxa"/>
            <w:right w:w="108" w:type="dxa"/>
          </w:tblCellMar>
        </w:tblPrEx>
        <w:trPr>
          <w:trHeight w:val="842" w:hRule="atLeast"/>
          <w:jc w:val="center"/>
        </w:trPr>
        <w:tc>
          <w:tcPr>
            <w:tcW w:w="1754" w:type="dxa"/>
            <w:noWrap w:val="0"/>
            <w:vAlign w:val="center"/>
          </w:tcPr>
          <w:p>
            <w:pPr>
              <w:widowControl/>
              <w:spacing w:line="480" w:lineRule="exact"/>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甲</w:t>
            </w:r>
            <w:r>
              <w:rPr>
                <w:rFonts w:hint="eastAsia" w:ascii="宋体" w:hAnsi="宋体" w:eastAsia="宋体" w:cs="宋体"/>
                <w:bCs/>
                <w:color w:val="auto"/>
                <w:sz w:val="24"/>
                <w:szCs w:val="24"/>
                <w:lang w:val="en-US" w:eastAsia="zh-CN"/>
              </w:rPr>
              <w:t xml:space="preserve">    </w:t>
            </w:r>
            <w:r>
              <w:rPr>
                <w:rFonts w:hint="eastAsia" w:ascii="宋体" w:hAnsi="宋体" w:eastAsia="宋体" w:cs="宋体"/>
                <w:bCs/>
                <w:color w:val="auto"/>
                <w:sz w:val="24"/>
                <w:szCs w:val="24"/>
              </w:rPr>
              <w:t>方：</w:t>
            </w:r>
          </w:p>
        </w:tc>
        <w:tc>
          <w:tcPr>
            <w:tcW w:w="3146" w:type="dxa"/>
            <w:noWrap w:val="0"/>
            <w:vAlign w:val="top"/>
          </w:tcPr>
          <w:p>
            <w:pPr>
              <w:widowControl/>
              <w:spacing w:line="480" w:lineRule="exact"/>
              <w:jc w:val="left"/>
              <w:rPr>
                <w:rFonts w:hint="eastAsia" w:ascii="宋体" w:hAnsi="宋体" w:eastAsia="宋体" w:cs="宋体"/>
                <w:bCs/>
                <w:color w:val="auto"/>
                <w:sz w:val="24"/>
                <w:szCs w:val="24"/>
              </w:rPr>
            </w:pPr>
            <w:r>
              <w:rPr>
                <w:rFonts w:hint="eastAsia" w:ascii="宋体" w:hAnsi="宋体" w:eastAsia="宋体" w:cs="宋体"/>
                <w:bCs/>
                <w:color w:val="auto"/>
                <w:sz w:val="24"/>
                <w:szCs w:val="24"/>
              </w:rPr>
              <w:t>（盖章）广州南沙旅游发展有限公司</w:t>
            </w:r>
          </w:p>
        </w:tc>
        <w:tc>
          <w:tcPr>
            <w:tcW w:w="1818" w:type="dxa"/>
            <w:noWrap w:val="0"/>
            <w:vAlign w:val="center"/>
          </w:tcPr>
          <w:p>
            <w:pPr>
              <w:widowControl/>
              <w:tabs>
                <w:tab w:val="left" w:pos="1120"/>
              </w:tabs>
              <w:spacing w:line="480" w:lineRule="exact"/>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乙</w:t>
            </w:r>
            <w:r>
              <w:rPr>
                <w:rFonts w:hint="eastAsia" w:ascii="宋体" w:hAnsi="宋体" w:eastAsia="宋体" w:cs="宋体"/>
                <w:bCs/>
                <w:color w:val="auto"/>
                <w:sz w:val="24"/>
                <w:szCs w:val="24"/>
                <w:lang w:val="en-US" w:eastAsia="zh-CN"/>
              </w:rPr>
              <w:t xml:space="preserve">    </w:t>
            </w:r>
            <w:r>
              <w:rPr>
                <w:rFonts w:hint="eastAsia" w:ascii="宋体" w:hAnsi="宋体" w:eastAsia="宋体" w:cs="宋体"/>
                <w:bCs/>
                <w:color w:val="auto"/>
                <w:sz w:val="24"/>
                <w:szCs w:val="24"/>
              </w:rPr>
              <w:t>方：</w:t>
            </w:r>
          </w:p>
        </w:tc>
        <w:tc>
          <w:tcPr>
            <w:tcW w:w="3098" w:type="dxa"/>
            <w:noWrap w:val="0"/>
            <w:vAlign w:val="top"/>
          </w:tcPr>
          <w:p>
            <w:pPr>
              <w:widowControl/>
              <w:spacing w:line="480" w:lineRule="exact"/>
              <w:jc w:val="left"/>
              <w:rPr>
                <w:rFonts w:hint="eastAsia" w:ascii="宋体" w:hAnsi="宋体" w:eastAsia="宋体" w:cs="宋体"/>
                <w:bCs/>
                <w:color w:val="auto"/>
                <w:sz w:val="24"/>
                <w:szCs w:val="24"/>
                <w:lang w:val="en-US"/>
              </w:rPr>
            </w:pPr>
            <w:r>
              <w:rPr>
                <w:rFonts w:hint="eastAsia" w:ascii="宋体" w:hAnsi="宋体" w:eastAsia="宋体" w:cs="宋体"/>
                <w:bCs/>
                <w:color w:val="auto"/>
                <w:sz w:val="24"/>
                <w:szCs w:val="24"/>
              </w:rPr>
              <w:t>（盖章）</w:t>
            </w:r>
          </w:p>
        </w:tc>
      </w:tr>
      <w:tr>
        <w:tblPrEx>
          <w:tblCellMar>
            <w:top w:w="0" w:type="dxa"/>
            <w:left w:w="108" w:type="dxa"/>
            <w:bottom w:w="0" w:type="dxa"/>
            <w:right w:w="108" w:type="dxa"/>
          </w:tblCellMar>
        </w:tblPrEx>
        <w:trPr>
          <w:trHeight w:val="773" w:hRule="atLeast"/>
          <w:jc w:val="center"/>
        </w:trPr>
        <w:tc>
          <w:tcPr>
            <w:tcW w:w="1754" w:type="dxa"/>
            <w:noWrap w:val="0"/>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lang w:eastAsia="zh-CN"/>
              </w:rPr>
              <w:t>法人代表或</w:t>
            </w:r>
            <w:r>
              <w:rPr>
                <w:rFonts w:hint="eastAsia" w:ascii="宋体" w:hAnsi="宋体" w:eastAsia="宋体" w:cs="宋体"/>
                <w:bCs/>
                <w:color w:val="auto"/>
                <w:sz w:val="24"/>
                <w:szCs w:val="24"/>
              </w:rPr>
              <w:t>签约代表：</w:t>
            </w:r>
          </w:p>
        </w:tc>
        <w:tc>
          <w:tcPr>
            <w:tcW w:w="3146" w:type="dxa"/>
            <w:noWrap w:val="0"/>
            <w:vAlign w:val="center"/>
          </w:tcPr>
          <w:p>
            <w:pPr>
              <w:widowControl/>
              <w:spacing w:line="480" w:lineRule="exact"/>
              <w:jc w:val="center"/>
              <w:rPr>
                <w:rFonts w:hint="eastAsia" w:ascii="宋体" w:hAnsi="宋体" w:eastAsia="宋体" w:cs="宋体"/>
                <w:bCs/>
                <w:color w:val="auto"/>
                <w:sz w:val="24"/>
                <w:szCs w:val="24"/>
              </w:rPr>
            </w:pPr>
          </w:p>
        </w:tc>
        <w:tc>
          <w:tcPr>
            <w:tcW w:w="1818" w:type="dxa"/>
            <w:noWrap w:val="0"/>
            <w:vAlign w:val="center"/>
          </w:tcPr>
          <w:p>
            <w:pPr>
              <w:widowControl/>
              <w:spacing w:line="480" w:lineRule="exact"/>
              <w:jc w:val="center"/>
              <w:rPr>
                <w:rFonts w:hint="eastAsia" w:ascii="宋体" w:hAnsi="宋体" w:eastAsia="宋体" w:cs="宋体"/>
                <w:bCs/>
                <w:color w:val="auto"/>
                <w:sz w:val="24"/>
                <w:szCs w:val="24"/>
              </w:rPr>
            </w:pPr>
            <w:r>
              <w:rPr>
                <w:rFonts w:hint="eastAsia" w:ascii="宋体" w:hAnsi="宋体" w:eastAsia="宋体" w:cs="宋体"/>
                <w:bCs/>
                <w:color w:val="auto"/>
                <w:sz w:val="24"/>
                <w:szCs w:val="24"/>
                <w:lang w:eastAsia="zh-CN"/>
              </w:rPr>
              <w:t>法人代表或</w:t>
            </w:r>
            <w:r>
              <w:rPr>
                <w:rFonts w:hint="eastAsia" w:ascii="宋体" w:hAnsi="宋体" w:eastAsia="宋体" w:cs="宋体"/>
                <w:bCs/>
                <w:color w:val="auto"/>
                <w:sz w:val="24"/>
                <w:szCs w:val="24"/>
              </w:rPr>
              <w:t>签约代表：</w:t>
            </w:r>
          </w:p>
        </w:tc>
        <w:tc>
          <w:tcPr>
            <w:tcW w:w="3098" w:type="dxa"/>
            <w:noWrap w:val="0"/>
            <w:vAlign w:val="center"/>
          </w:tcPr>
          <w:p>
            <w:pPr>
              <w:widowControl/>
              <w:spacing w:line="480" w:lineRule="exact"/>
              <w:jc w:val="center"/>
              <w:rPr>
                <w:rFonts w:hint="eastAsia" w:ascii="宋体" w:hAnsi="宋体" w:eastAsia="宋体" w:cs="宋体"/>
                <w:bCs/>
                <w:color w:val="auto"/>
                <w:sz w:val="24"/>
                <w:szCs w:val="24"/>
              </w:rPr>
            </w:pPr>
          </w:p>
        </w:tc>
      </w:tr>
      <w:tr>
        <w:tblPrEx>
          <w:tblCellMar>
            <w:top w:w="0" w:type="dxa"/>
            <w:left w:w="108" w:type="dxa"/>
            <w:bottom w:w="0" w:type="dxa"/>
            <w:right w:w="108" w:type="dxa"/>
          </w:tblCellMar>
        </w:tblPrEx>
        <w:trPr>
          <w:trHeight w:val="90" w:hRule="atLeast"/>
          <w:jc w:val="center"/>
        </w:trPr>
        <w:tc>
          <w:tcPr>
            <w:tcW w:w="1754" w:type="dxa"/>
            <w:noWrap w:val="0"/>
            <w:vAlign w:val="center"/>
          </w:tcPr>
          <w:p>
            <w:pPr>
              <w:widowControl/>
              <w:spacing w:line="480" w:lineRule="exact"/>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地    址：</w:t>
            </w:r>
          </w:p>
        </w:tc>
        <w:tc>
          <w:tcPr>
            <w:tcW w:w="3146" w:type="dxa"/>
            <w:noWrap w:val="0"/>
            <w:vAlign w:val="center"/>
          </w:tcPr>
          <w:p>
            <w:pPr>
              <w:widowControl/>
              <w:spacing w:line="480" w:lineRule="exact"/>
              <w:jc w:val="both"/>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rPr>
              <w:t>广州市南沙区南沙街天后路88号之一</w:t>
            </w:r>
          </w:p>
        </w:tc>
        <w:tc>
          <w:tcPr>
            <w:tcW w:w="1818" w:type="dxa"/>
            <w:noWrap w:val="0"/>
            <w:vAlign w:val="center"/>
          </w:tcPr>
          <w:p>
            <w:pPr>
              <w:widowControl/>
              <w:spacing w:line="480" w:lineRule="exact"/>
              <w:jc w:val="center"/>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sz w:val="24"/>
                <w:szCs w:val="24"/>
              </w:rPr>
              <w:t>地    址：</w:t>
            </w:r>
          </w:p>
        </w:tc>
        <w:tc>
          <w:tcPr>
            <w:tcW w:w="3098" w:type="dxa"/>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auto"/>
              <w:rPr>
                <w:rFonts w:hint="eastAsia" w:ascii="宋体" w:hAnsi="宋体" w:eastAsia="宋体" w:cs="宋体"/>
                <w:bCs/>
                <w:color w:val="auto"/>
                <w:sz w:val="24"/>
                <w:szCs w:val="24"/>
              </w:rPr>
            </w:pPr>
          </w:p>
        </w:tc>
      </w:tr>
      <w:tr>
        <w:tblPrEx>
          <w:tblCellMar>
            <w:top w:w="0" w:type="dxa"/>
            <w:left w:w="108" w:type="dxa"/>
            <w:bottom w:w="0" w:type="dxa"/>
            <w:right w:w="108" w:type="dxa"/>
          </w:tblCellMar>
        </w:tblPrEx>
        <w:trPr>
          <w:trHeight w:val="610" w:hRule="atLeast"/>
          <w:jc w:val="center"/>
        </w:trPr>
        <w:tc>
          <w:tcPr>
            <w:tcW w:w="1754" w:type="dxa"/>
            <w:noWrap w:val="0"/>
            <w:vAlign w:val="center"/>
          </w:tcPr>
          <w:p>
            <w:pPr>
              <w:widowControl/>
              <w:spacing w:line="480" w:lineRule="exact"/>
              <w:jc w:val="center"/>
              <w:rPr>
                <w:rFonts w:hint="eastAsia" w:ascii="宋体" w:hAnsi="宋体" w:eastAsia="宋体" w:cs="宋体"/>
                <w:bCs/>
                <w:color w:val="auto"/>
                <w:sz w:val="24"/>
                <w:szCs w:val="24"/>
              </w:rPr>
            </w:pPr>
            <w:r>
              <w:rPr>
                <w:rFonts w:hint="eastAsia" w:ascii="宋体" w:hAnsi="宋体" w:eastAsia="宋体" w:cs="宋体"/>
                <w:i w:val="0"/>
                <w:color w:val="auto"/>
                <w:kern w:val="0"/>
                <w:sz w:val="24"/>
                <w:szCs w:val="24"/>
                <w:u w:val="none"/>
                <w:lang w:val="en-US" w:eastAsia="zh-CN" w:bidi="ar"/>
              </w:rPr>
              <w:t>电     话</w:t>
            </w:r>
          </w:p>
        </w:tc>
        <w:tc>
          <w:tcPr>
            <w:tcW w:w="3146" w:type="dxa"/>
            <w:noWrap w:val="0"/>
            <w:vAlign w:val="center"/>
          </w:tcPr>
          <w:p>
            <w:pPr>
              <w:widowControl/>
              <w:spacing w:line="480" w:lineRule="exact"/>
              <w:jc w:val="both"/>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020</w:t>
            </w:r>
            <w:r>
              <w:rPr>
                <w:rFonts w:hint="eastAsia" w:ascii="宋体" w:hAnsi="宋体" w:cs="宋体"/>
                <w:bCs/>
                <w:color w:val="auto"/>
                <w:sz w:val="24"/>
                <w:szCs w:val="24"/>
                <w:lang w:val="en-US" w:eastAsia="zh-CN"/>
              </w:rPr>
              <w:t>-</w:t>
            </w:r>
            <w:r>
              <w:rPr>
                <w:rFonts w:hint="eastAsia" w:ascii="宋体" w:hAnsi="宋体" w:eastAsia="宋体" w:cs="宋体"/>
                <w:bCs/>
                <w:color w:val="auto"/>
                <w:sz w:val="24"/>
                <w:szCs w:val="24"/>
                <w:lang w:val="en-US" w:eastAsia="zh-CN"/>
              </w:rPr>
              <w:t>84981223</w:t>
            </w:r>
          </w:p>
        </w:tc>
        <w:tc>
          <w:tcPr>
            <w:tcW w:w="1818" w:type="dxa"/>
            <w:noWrap w:val="0"/>
            <w:vAlign w:val="center"/>
          </w:tcPr>
          <w:p>
            <w:pPr>
              <w:widowControl/>
              <w:spacing w:line="480" w:lineRule="exact"/>
              <w:jc w:val="center"/>
              <w:rPr>
                <w:rFonts w:hint="eastAsia" w:ascii="宋体" w:hAnsi="宋体" w:eastAsia="宋体" w:cs="宋体"/>
                <w:bCs/>
                <w:color w:val="auto"/>
                <w:sz w:val="24"/>
                <w:szCs w:val="24"/>
              </w:rPr>
            </w:pPr>
            <w:r>
              <w:rPr>
                <w:rFonts w:hint="eastAsia" w:ascii="宋体" w:hAnsi="宋体" w:eastAsia="宋体" w:cs="宋体"/>
                <w:i w:val="0"/>
                <w:color w:val="auto"/>
                <w:kern w:val="0"/>
                <w:sz w:val="24"/>
                <w:szCs w:val="24"/>
                <w:u w:val="none"/>
                <w:lang w:val="en-US" w:eastAsia="zh-CN" w:bidi="ar"/>
              </w:rPr>
              <w:t>电     话</w:t>
            </w:r>
          </w:p>
        </w:tc>
        <w:tc>
          <w:tcPr>
            <w:tcW w:w="3098" w:type="dxa"/>
            <w:noWrap w:val="0"/>
            <w:vAlign w:val="center"/>
          </w:tcPr>
          <w:p>
            <w:pPr>
              <w:keepNext w:val="0"/>
              <w:keepLines w:val="0"/>
              <w:widowControl/>
              <w:suppressLineNumbers w:val="0"/>
              <w:jc w:val="both"/>
              <w:rPr>
                <w:rFonts w:hint="eastAsia" w:ascii="宋体" w:hAnsi="宋体" w:eastAsia="宋体" w:cs="宋体"/>
                <w:bCs/>
                <w:color w:val="auto"/>
                <w:sz w:val="24"/>
                <w:szCs w:val="24"/>
                <w:lang w:val="en-US" w:eastAsia="zh-CN"/>
              </w:rPr>
            </w:pPr>
          </w:p>
        </w:tc>
      </w:tr>
    </w:tbl>
    <w:p>
      <w:pPr>
        <w:pStyle w:val="17"/>
        <w:sectPr>
          <w:pgSz w:w="11906" w:h="16838"/>
          <w:pgMar w:top="1247" w:right="1134" w:bottom="1247" w:left="1361" w:header="851" w:footer="992" w:gutter="0"/>
          <w:pgBorders>
            <w:top w:val="none" w:sz="0" w:space="0"/>
            <w:left w:val="none" w:sz="0" w:space="0"/>
            <w:bottom w:val="none" w:sz="0" w:space="0"/>
            <w:right w:val="none" w:sz="0" w:space="0"/>
          </w:pgBorders>
          <w:cols w:space="720" w:num="1"/>
          <w:docGrid w:type="lines" w:linePitch="319" w:charSpace="0"/>
        </w:sectPr>
      </w:pPr>
    </w:p>
    <w:p>
      <w:pPr>
        <w:spacing w:after="156" w:afterLines="50" w:line="360" w:lineRule="auto"/>
        <w:jc w:val="left"/>
        <w:outlineLvl w:val="1"/>
        <w:rPr>
          <w:rFonts w:hint="eastAsia" w:ascii="宋体" w:hAnsi="宋体" w:eastAsia="宋体" w:cs="宋体"/>
          <w:bCs/>
          <w:color w:val="auto"/>
          <w:sz w:val="24"/>
          <w:szCs w:val="24"/>
          <w:highlight w:val="none"/>
        </w:rPr>
      </w:pPr>
      <w:bookmarkStart w:id="1031" w:name="_Toc39"/>
      <w:bookmarkStart w:id="1032" w:name="_Toc16036"/>
      <w:bookmarkStart w:id="1033" w:name="_Toc2244"/>
      <w:r>
        <w:rPr>
          <w:rFonts w:hint="eastAsia" w:ascii="宋体" w:hAnsi="宋体" w:eastAsia="宋体" w:cs="宋体"/>
          <w:bCs/>
          <w:color w:val="auto"/>
          <w:sz w:val="24"/>
          <w:szCs w:val="24"/>
          <w:highlight w:val="none"/>
        </w:rPr>
        <w:t>附件1：</w:t>
      </w:r>
    </w:p>
    <w:p>
      <w:pPr>
        <w:spacing w:after="156" w:afterLines="50" w:line="360" w:lineRule="auto"/>
        <w:jc w:val="center"/>
        <w:outlineLvl w:val="1"/>
        <w:rPr>
          <w:rFonts w:ascii="宋体" w:hAnsi="宋体" w:eastAsia="楷体_GB2312" w:cs="Times New Roman"/>
          <w:b/>
          <w:bCs/>
          <w:color w:val="auto"/>
          <w:sz w:val="36"/>
          <w:szCs w:val="36"/>
          <w:highlight w:val="none"/>
        </w:rPr>
      </w:pPr>
      <w:r>
        <w:rPr>
          <w:rFonts w:hint="eastAsia" w:ascii="宋体" w:hAnsi="宋体" w:eastAsia="楷体_GB2312" w:cs="Times New Roman"/>
          <w:b/>
          <w:bCs/>
          <w:color w:val="auto"/>
          <w:sz w:val="36"/>
          <w:szCs w:val="36"/>
          <w:highlight w:val="none"/>
        </w:rPr>
        <w:t>工程质量保修书</w:t>
      </w:r>
      <w:bookmarkEnd w:id="1031"/>
      <w:bookmarkEnd w:id="1032"/>
      <w:bookmarkEnd w:id="1033"/>
    </w:p>
    <w:p>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工程项目名称：</w:t>
      </w:r>
      <w:r>
        <w:rPr>
          <w:rFonts w:hint="eastAsia" w:ascii="宋体" w:hAnsi="宋体" w:cs="宋体"/>
          <w:kern w:val="0"/>
          <w:sz w:val="24"/>
          <w:szCs w:val="24"/>
          <w:u w:val="single"/>
          <w:lang w:eastAsia="zh-CN"/>
        </w:rPr>
        <w:t>天后宫专用综合房增容工程</w:t>
      </w:r>
      <w:r>
        <w:rPr>
          <w:rFonts w:hint="eastAsia" w:ascii="宋体" w:hAnsi="宋体" w:eastAsia="宋体" w:cs="宋体"/>
          <w:color w:val="auto"/>
          <w:sz w:val="24"/>
          <w:szCs w:val="24"/>
          <w:highlight w:val="none"/>
          <w:u w:val="single"/>
        </w:rPr>
        <w:t xml:space="preserve">  </w:t>
      </w:r>
    </w:p>
    <w:p>
      <w:pPr>
        <w:spacing w:before="96"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工程项目地址：</w:t>
      </w:r>
      <w:r>
        <w:rPr>
          <w:rFonts w:hint="eastAsia" w:ascii="宋体" w:hAnsi="宋体" w:eastAsia="宋体" w:cs="宋体"/>
          <w:kern w:val="0"/>
          <w:sz w:val="24"/>
          <w:szCs w:val="24"/>
          <w:u w:val="single"/>
          <w:lang w:val="en-US" w:eastAsia="zh-CN"/>
        </w:rPr>
        <w:t>广州市南沙区天后宫景区内</w:t>
      </w:r>
    </w:p>
    <w:p>
      <w:pPr>
        <w:widowControl w:val="0"/>
        <w:spacing w:before="0" w:line="360" w:lineRule="auto"/>
        <w:ind w:left="0" w:firstLine="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发包人：</w:t>
      </w:r>
      <w:r>
        <w:rPr>
          <w:rFonts w:hint="eastAsia" w:ascii="宋体" w:hAnsi="宋体" w:eastAsia="宋体" w:cs="宋体"/>
          <w:color w:val="auto"/>
          <w:kern w:val="2"/>
          <w:sz w:val="24"/>
          <w:szCs w:val="24"/>
          <w:highlight w:val="none"/>
          <w:u w:val="single"/>
          <w:lang w:val="en-US" w:eastAsia="zh-CN" w:bidi="ar-SA"/>
        </w:rPr>
        <w:t>广州南沙旅游发展有限公司</w:t>
      </w:r>
    </w:p>
    <w:p>
      <w:pPr>
        <w:spacing w:before="96" w:line="360" w:lineRule="auto"/>
        <w:rPr>
          <w:rFonts w:hint="default"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rPr>
        <w:t>承包人：</w:t>
      </w:r>
      <w:r>
        <w:rPr>
          <w:rFonts w:hint="eastAsia" w:ascii="宋体" w:hAnsi="宋体" w:eastAsia="宋体" w:cs="宋体"/>
          <w:color w:val="auto"/>
          <w:sz w:val="24"/>
          <w:szCs w:val="24"/>
          <w:highlight w:val="none"/>
          <w:u w:val="single"/>
        </w:rPr>
        <w:t xml:space="preserve">（施工单位） </w:t>
      </w:r>
      <w:r>
        <w:rPr>
          <w:rFonts w:hint="eastAsia" w:ascii="宋体" w:hAnsi="宋体" w:cs="宋体"/>
          <w:color w:val="auto"/>
          <w:sz w:val="24"/>
          <w:szCs w:val="24"/>
          <w:highlight w:val="none"/>
          <w:u w:val="single"/>
          <w:lang w:val="en-US" w:eastAsia="zh-CN"/>
        </w:rPr>
        <w:t xml:space="preserve">          </w:t>
      </w:r>
    </w:p>
    <w:p>
      <w:pPr>
        <w:pStyle w:val="98"/>
        <w:rPr>
          <w:rFonts w:hint="eastAsia"/>
          <w:color w:val="auto"/>
          <w:szCs w:val="20"/>
          <w:highlight w:val="none"/>
        </w:rPr>
      </w:pPr>
    </w:p>
    <w:p>
      <w:pPr>
        <w:spacing w:line="360" w:lineRule="auto"/>
        <w:jc w:val="left"/>
        <w:rPr>
          <w:rFonts w:hint="eastAsia" w:ascii="宋体" w:hAnsi="宋体" w:eastAsia="宋体" w:cs="Times New Roman"/>
          <w:color w:val="auto"/>
          <w:sz w:val="24"/>
          <w:szCs w:val="24"/>
          <w:highlight w:val="none"/>
        </w:rPr>
      </w:pPr>
      <w:r>
        <w:rPr>
          <w:rFonts w:hint="eastAsia" w:ascii="宋体" w:hAnsi="宋体" w:eastAsia="宋体" w:cs="宋体"/>
          <w:color w:val="auto"/>
          <w:sz w:val="24"/>
          <w:szCs w:val="24"/>
          <w:highlight w:val="none"/>
        </w:rPr>
        <w:t>　   为保证</w:t>
      </w:r>
      <w:r>
        <w:rPr>
          <w:rFonts w:hint="eastAsia" w:ascii="宋体" w:hAnsi="宋体" w:cs="宋体"/>
          <w:kern w:val="0"/>
          <w:sz w:val="24"/>
          <w:szCs w:val="24"/>
          <w:u w:val="single"/>
          <w:lang w:eastAsia="zh-CN"/>
        </w:rPr>
        <w:t>天后宫专用综合房增容工程</w:t>
      </w:r>
      <w:r>
        <w:rPr>
          <w:rFonts w:hint="eastAsia" w:ascii="宋体" w:hAnsi="宋体" w:eastAsia="宋体" w:cs="宋体"/>
          <w:color w:val="auto"/>
          <w:sz w:val="24"/>
          <w:szCs w:val="24"/>
          <w:highlight w:val="none"/>
        </w:rPr>
        <w:t>在合理使用期限内正常使用，发包人、承包人协商一致签订工程质量保修书。承包人在质量保修期内，按照有关法律规定及双方合同约定承担工程质量保修责任。</w:t>
      </w:r>
    </w:p>
    <w:p>
      <w:pPr>
        <w:spacing w:line="360" w:lineRule="auto"/>
        <w:ind w:left="11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一、质量保修期</w:t>
      </w:r>
    </w:p>
    <w:p>
      <w:pPr>
        <w:spacing w:line="360" w:lineRule="auto"/>
        <w:ind w:left="1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质量保修期从工程竣工验收合格之日算起，按国家《建设工程质量管理条例》规定执行。单项竣工验收的工程，按单项工程分别计算质量保修期。</w:t>
      </w:r>
    </w:p>
    <w:p>
      <w:pPr>
        <w:spacing w:line="360" w:lineRule="auto"/>
        <w:ind w:left="11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二、质量保修责任</w:t>
      </w:r>
    </w:p>
    <w:p>
      <w:pPr>
        <w:spacing w:line="360" w:lineRule="auto"/>
        <w:ind w:left="1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1.属于保修范围、内容的项目，承包人应当在接到保修通知之日起7天内派人修理。承包人未能在约定期限内派人修理，发包人可以委托其他人员修理。</w:t>
      </w:r>
    </w:p>
    <w:p>
      <w:pPr>
        <w:spacing w:line="360" w:lineRule="auto"/>
        <w:ind w:left="119" w:firstLine="48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2、质量保修完成后，由发包人组织验收。</w:t>
      </w:r>
    </w:p>
    <w:p>
      <w:pPr>
        <w:spacing w:line="360" w:lineRule="auto"/>
        <w:ind w:left="11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三、质量保修金的费用</w:t>
      </w:r>
    </w:p>
    <w:p>
      <w:pPr>
        <w:spacing w:line="360" w:lineRule="auto"/>
        <w:ind w:left="1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质量保修费用及相关的损害赔偿费，由造成质量缺陷的责任方承担。</w:t>
      </w:r>
    </w:p>
    <w:p>
      <w:pPr>
        <w:spacing w:line="360" w:lineRule="auto"/>
        <w:ind w:left="11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四、其他</w:t>
      </w:r>
    </w:p>
    <w:p>
      <w:pPr>
        <w:spacing w:line="360" w:lineRule="auto"/>
        <w:ind w:firstLine="638" w:firstLineChars="26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1、合同双方当事人约定的其他质量保修事项：</w:t>
      </w:r>
    </w:p>
    <w:p>
      <w:pPr>
        <w:spacing w:line="360" w:lineRule="auto"/>
        <w:ind w:firstLine="638" w:firstLineChars="26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2、本工程质量保修书，作为施工合同附件，由发包人、承包人双方共同签署。</w:t>
      </w:r>
    </w:p>
    <w:p>
      <w:pPr>
        <w:spacing w:line="360" w:lineRule="auto"/>
        <w:ind w:left="119"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3、本质量保修书，自合同双方当事人签署之日起生效，至质量保修期满后失效。</w:t>
      </w:r>
    </w:p>
    <w:p>
      <w:pPr>
        <w:pStyle w:val="98"/>
        <w:ind w:firstLine="480"/>
        <w:rPr>
          <w:rFonts w:hint="eastAsia" w:eastAsia="宋体"/>
          <w:color w:val="auto"/>
          <w:szCs w:val="20"/>
          <w:highlight w:val="none"/>
          <w:lang w:eastAsia="zh-CN"/>
        </w:rPr>
      </w:pPr>
      <w:r>
        <w:rPr>
          <w:rFonts w:hint="eastAsia"/>
          <w:color w:val="auto"/>
          <w:szCs w:val="20"/>
          <w:highlight w:val="none"/>
        </w:rPr>
        <w:t>五、</w:t>
      </w:r>
      <w:r>
        <w:rPr>
          <w:rFonts w:hint="eastAsia" w:eastAsia="宋体"/>
          <w:color w:val="auto"/>
          <w:sz w:val="24"/>
          <w:szCs w:val="24"/>
          <w:highlight w:val="none"/>
        </w:rPr>
        <w:t>本工程质量保修书</w:t>
      </w:r>
      <w:r>
        <w:rPr>
          <w:rFonts w:hint="eastAsia" w:eastAsia="宋体"/>
          <w:bCs/>
          <w:color w:val="auto"/>
          <w:sz w:val="24"/>
          <w:szCs w:val="24"/>
          <w:highlight w:val="none"/>
        </w:rPr>
        <w:t>签订日期为：2022年   月   日</w:t>
      </w:r>
      <w:r>
        <w:rPr>
          <w:rFonts w:hint="eastAsia" w:eastAsia="宋体"/>
          <w:bCs/>
          <w:color w:val="auto"/>
          <w:sz w:val="24"/>
          <w:szCs w:val="24"/>
          <w:highlight w:val="none"/>
          <w:lang w:eastAsia="zh-CN"/>
        </w:rPr>
        <w:t>。</w:t>
      </w:r>
    </w:p>
    <w:p>
      <w:pPr>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（以下无正文）</w:t>
      </w:r>
    </w:p>
    <w:p>
      <w:pPr>
        <w:widowControl w:val="0"/>
        <w:spacing w:line="360" w:lineRule="auto"/>
        <w:ind w:firstLine="480" w:firstLineChars="200"/>
        <w:jc w:val="both"/>
        <w:rPr>
          <w:rFonts w:hint="eastAsia" w:ascii="宋体" w:hAnsi="宋体" w:eastAsia="宋体" w:cs="宋体"/>
          <w:bCs/>
          <w:color w:val="auto"/>
          <w:kern w:val="0"/>
          <w:sz w:val="24"/>
          <w:szCs w:val="24"/>
          <w:highlight w:val="none"/>
          <w:lang w:val="en-US" w:eastAsia="zh-CN" w:bidi="ar-SA"/>
        </w:rPr>
      </w:pPr>
    </w:p>
    <w:p>
      <w:pPr>
        <w:widowControl w:val="0"/>
        <w:spacing w:line="360" w:lineRule="auto"/>
        <w:ind w:firstLine="480" w:firstLineChars="200"/>
        <w:jc w:val="both"/>
        <w:rPr>
          <w:rFonts w:hint="eastAsia" w:ascii="宋体" w:hAnsi="宋体" w:eastAsia="宋体" w:cs="宋体"/>
          <w:bCs/>
          <w:color w:val="auto"/>
          <w:kern w:val="0"/>
          <w:sz w:val="24"/>
          <w:szCs w:val="24"/>
          <w:highlight w:val="none"/>
          <w:lang w:val="en-US" w:eastAsia="zh-CN" w:bidi="ar-SA"/>
        </w:rPr>
      </w:pPr>
    </w:p>
    <w:p>
      <w:pPr>
        <w:widowControl w:val="0"/>
        <w:spacing w:line="360" w:lineRule="auto"/>
        <w:ind w:firstLine="480" w:firstLineChars="200"/>
        <w:jc w:val="both"/>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US" w:eastAsia="zh-CN" w:bidi="ar-SA"/>
        </w:rPr>
        <w:t xml:space="preserve">发包人：广州南沙旅游发展有限公司（盖章）   </w:t>
      </w:r>
    </w:p>
    <w:p>
      <w:pPr>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法定代表人：          </w:t>
      </w:r>
    </w:p>
    <w:p>
      <w:pPr>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委托代理人： </w:t>
      </w:r>
    </w:p>
    <w:p>
      <w:pPr>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地    址：                      </w:t>
      </w:r>
    </w:p>
    <w:p>
      <w:pPr>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电    话：</w:t>
      </w:r>
    </w:p>
    <w:p>
      <w:pPr>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开户银行：</w:t>
      </w:r>
    </w:p>
    <w:p>
      <w:pPr>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银行账户：</w:t>
      </w:r>
    </w:p>
    <w:p>
      <w:pPr>
        <w:spacing w:line="360" w:lineRule="auto"/>
        <w:ind w:firstLine="480" w:firstLineChars="200"/>
        <w:jc w:val="left"/>
        <w:rPr>
          <w:rFonts w:hint="eastAsia" w:ascii="宋体" w:hAnsi="宋体" w:eastAsia="宋体" w:cs="宋体"/>
          <w:bCs/>
          <w:color w:val="auto"/>
          <w:sz w:val="24"/>
          <w:szCs w:val="24"/>
          <w:highlight w:val="none"/>
        </w:rPr>
      </w:pPr>
    </w:p>
    <w:p>
      <w:pPr>
        <w:spacing w:line="360" w:lineRule="auto"/>
        <w:ind w:firstLine="480" w:firstLineChars="200"/>
        <w:jc w:val="left"/>
        <w:rPr>
          <w:rFonts w:hint="eastAsia" w:ascii="宋体" w:hAnsi="宋体" w:eastAsia="宋体" w:cs="宋体"/>
          <w:bCs/>
          <w:color w:val="auto"/>
          <w:sz w:val="24"/>
          <w:szCs w:val="24"/>
          <w:highlight w:val="none"/>
        </w:rPr>
      </w:pPr>
    </w:p>
    <w:p>
      <w:pPr>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承包人：(盖章)</w:t>
      </w:r>
    </w:p>
    <w:p>
      <w:pPr>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法定代表人：          </w:t>
      </w:r>
    </w:p>
    <w:p>
      <w:pPr>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委托代理人： </w:t>
      </w:r>
    </w:p>
    <w:p>
      <w:pPr>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地</w:t>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址：</w:t>
      </w:r>
      <w:r>
        <w:rPr>
          <w:rFonts w:hint="eastAsia" w:ascii="宋体" w:hAnsi="宋体" w:eastAsia="宋体" w:cs="宋体"/>
          <w:bCs/>
          <w:color w:val="auto"/>
          <w:sz w:val="24"/>
          <w:szCs w:val="24"/>
          <w:highlight w:val="none"/>
        </w:rPr>
        <w:tab/>
      </w:r>
    </w:p>
    <w:p>
      <w:pPr>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邮政编码：  </w:t>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 xml:space="preserve"> </w:t>
      </w:r>
    </w:p>
    <w:p>
      <w:pPr>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电</w:t>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话：</w:t>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 xml:space="preserve"> </w:t>
      </w:r>
    </w:p>
    <w:p>
      <w:pPr>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传</w:t>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 xml:space="preserve">真：  </w:t>
      </w:r>
    </w:p>
    <w:p>
      <w:pPr>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电子信箱：</w:t>
      </w:r>
    </w:p>
    <w:p>
      <w:pPr>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开户名称：   </w:t>
      </w:r>
      <w:r>
        <w:rPr>
          <w:rFonts w:hint="eastAsia" w:ascii="宋体" w:hAnsi="宋体" w:eastAsia="宋体" w:cs="宋体"/>
          <w:bCs/>
          <w:color w:val="auto"/>
          <w:sz w:val="24"/>
          <w:szCs w:val="24"/>
          <w:highlight w:val="none"/>
        </w:rPr>
        <w:tab/>
      </w:r>
    </w:p>
    <w:p>
      <w:pPr>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开户银行： </w:t>
      </w:r>
    </w:p>
    <w:p>
      <w:pPr>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账</w:t>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号：</w:t>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ab/>
      </w:r>
    </w:p>
    <w:p>
      <w:pPr>
        <w:spacing w:line="360" w:lineRule="auto"/>
        <w:jc w:val="left"/>
        <w:rPr>
          <w:rFonts w:ascii="Times New Roman" w:hAnsi="Times New Roman" w:eastAsia="楷体_GB2312" w:cs="Times New Roman"/>
          <w:color w:val="auto"/>
          <w:szCs w:val="20"/>
          <w:highlight w:val="none"/>
        </w:rPr>
      </w:pPr>
      <w:r>
        <w:rPr>
          <w:rFonts w:hint="eastAsia" w:ascii="Times New Roman" w:hAnsi="Times New Roman" w:eastAsia="楷体_GB2312" w:cs="Times New Roman"/>
          <w:color w:val="auto"/>
          <w:szCs w:val="20"/>
          <w:highlight w:val="none"/>
        </w:rPr>
        <w:br w:type="page"/>
      </w:r>
      <w:r>
        <w:rPr>
          <w:rFonts w:hint="eastAsia" w:ascii="Times New Roman" w:hAnsi="Times New Roman" w:eastAsia="楷体_GB2312" w:cs="Times New Roman"/>
          <w:color w:val="auto"/>
          <w:szCs w:val="20"/>
          <w:highlight w:val="none"/>
        </w:rPr>
        <w:t>附件2</w:t>
      </w:r>
    </w:p>
    <w:p>
      <w:pPr>
        <w:spacing w:line="360" w:lineRule="auto"/>
        <w:jc w:val="center"/>
        <w:rPr>
          <w:rFonts w:ascii="Times New Roman" w:hAnsi="Times New Roman" w:eastAsia="方正小标宋简体" w:cs="Times New Roman"/>
          <w:bCs/>
          <w:color w:val="auto"/>
          <w:sz w:val="44"/>
          <w:szCs w:val="44"/>
          <w:highlight w:val="none"/>
        </w:rPr>
      </w:pPr>
      <w:r>
        <w:rPr>
          <w:rFonts w:ascii="Times New Roman" w:hAnsi="Times New Roman" w:eastAsia="方正小标宋简体" w:cs="Times New Roman"/>
          <w:bCs/>
          <w:color w:val="auto"/>
          <w:sz w:val="44"/>
          <w:szCs w:val="44"/>
          <w:highlight w:val="none"/>
        </w:rPr>
        <w:t>南沙区建设工程项目廉</w:t>
      </w:r>
      <w:r>
        <w:rPr>
          <w:rFonts w:hint="eastAsia" w:ascii="Times New Roman" w:hAnsi="Times New Roman" w:eastAsia="方正小标宋简体" w:cs="Times New Roman"/>
          <w:bCs/>
          <w:color w:val="auto"/>
          <w:sz w:val="44"/>
          <w:szCs w:val="44"/>
          <w:highlight w:val="none"/>
        </w:rPr>
        <w:t>洁责任</w:t>
      </w:r>
      <w:r>
        <w:rPr>
          <w:rFonts w:ascii="Times New Roman" w:hAnsi="Times New Roman" w:eastAsia="方正小标宋简体" w:cs="Times New Roman"/>
          <w:bCs/>
          <w:color w:val="auto"/>
          <w:sz w:val="44"/>
          <w:szCs w:val="44"/>
          <w:highlight w:val="none"/>
        </w:rPr>
        <w:t>合同</w:t>
      </w:r>
    </w:p>
    <w:p>
      <w:pPr>
        <w:spacing w:line="360" w:lineRule="auto"/>
        <w:rPr>
          <w:rFonts w:ascii="Times New Roman" w:hAnsi="Times New Roman" w:eastAsia="楷体_GB2312" w:cs="Times New Roman"/>
          <w:color w:val="auto"/>
          <w:szCs w:val="20"/>
          <w:highlight w:val="none"/>
        </w:rPr>
      </w:pPr>
    </w:p>
    <w:p>
      <w:pPr>
        <w:rPr>
          <w:rFonts w:ascii="Calibri" w:hAnsi="Calibri" w:eastAsia="楷体_GB2312" w:cs="Times New Roman"/>
          <w:color w:val="auto"/>
          <w:kern w:val="2"/>
          <w:sz w:val="21"/>
          <w:szCs w:val="32"/>
          <w:highlight w:val="none"/>
          <w:lang w:val="en-US" w:eastAsia="zh-CN" w:bidi="ar-SA"/>
        </w:rPr>
      </w:pPr>
      <w:r>
        <w:rPr>
          <w:rFonts w:ascii="Times New Roman" w:hAnsi="Times New Roman" w:eastAsia="楷体_GB2312" w:cs="Times New Roman"/>
          <w:color w:val="auto"/>
          <w:szCs w:val="32"/>
          <w:highlight w:val="none"/>
        </w:rPr>
        <w:t>发包人（委托人）：</w:t>
      </w:r>
      <w:r>
        <w:rPr>
          <w:rFonts w:hint="eastAsia" w:ascii="Times New Roman" w:hAnsi="Times New Roman" w:eastAsia="楷体_GB2312" w:cs="Times New Roman"/>
          <w:color w:val="auto"/>
          <w:szCs w:val="32"/>
          <w:highlight w:val="none"/>
          <w:lang w:eastAsia="zh-CN"/>
        </w:rPr>
        <w:t>广州南沙旅游发展有限公司</w:t>
      </w:r>
      <w:r>
        <w:rPr>
          <w:rFonts w:ascii="Times New Roman" w:hAnsi="Times New Roman" w:eastAsia="楷体_GB2312" w:cs="Times New Roman"/>
          <w:color w:val="auto"/>
          <w:szCs w:val="32"/>
          <w:highlight w:val="none"/>
        </w:rPr>
        <w:t>（业主单位）</w:t>
      </w:r>
    </w:p>
    <w:p>
      <w:pPr>
        <w:spacing w:line="360" w:lineRule="auto"/>
        <w:rPr>
          <w:rFonts w:hint="eastAsia" w:ascii="Times New Roman" w:hAnsi="Times New Roman" w:eastAsia="楷体_GB2312" w:cs="Times New Roman"/>
          <w:color w:val="auto"/>
          <w:szCs w:val="32"/>
          <w:highlight w:val="none"/>
        </w:rPr>
      </w:pPr>
      <w:r>
        <w:rPr>
          <w:rFonts w:ascii="Times New Roman" w:hAnsi="Times New Roman" w:eastAsia="楷体_GB2312" w:cs="Times New Roman"/>
          <w:color w:val="auto"/>
          <w:szCs w:val="32"/>
          <w:highlight w:val="none"/>
        </w:rPr>
        <w:t>承包人（受托人）：</w:t>
      </w:r>
      <w:r>
        <w:rPr>
          <w:rFonts w:hint="eastAsia" w:ascii="Times New Roman" w:hAnsi="Times New Roman" w:eastAsia="楷体_GB2312" w:cs="Times New Roman"/>
          <w:color w:val="auto"/>
          <w:szCs w:val="32"/>
          <w:highlight w:val="none"/>
        </w:rPr>
        <w:t>（施工单位）</w:t>
      </w:r>
    </w:p>
    <w:p>
      <w:pPr>
        <w:spacing w:line="360" w:lineRule="auto"/>
        <w:rPr>
          <w:rFonts w:hint="eastAsia" w:ascii="Times New Roman" w:hAnsi="Times New Roman" w:eastAsia="楷体_GB2312" w:cs="Times New Roman"/>
          <w:color w:val="auto"/>
          <w:szCs w:val="32"/>
          <w:highlight w:val="none"/>
        </w:rPr>
      </w:pPr>
      <w:r>
        <w:rPr>
          <w:rFonts w:ascii="Times New Roman" w:hAnsi="Times New Roman" w:eastAsia="楷体_GB2312" w:cs="Times New Roman"/>
          <w:color w:val="auto"/>
          <w:szCs w:val="32"/>
          <w:highlight w:val="none"/>
        </w:rPr>
        <w:t>建设工</w:t>
      </w:r>
      <w:r>
        <w:rPr>
          <w:rFonts w:hint="eastAsia" w:ascii="Times New Roman" w:hAnsi="Times New Roman" w:eastAsia="楷体_GB2312" w:cs="Times New Roman"/>
          <w:color w:val="auto"/>
          <w:szCs w:val="32"/>
          <w:highlight w:val="none"/>
        </w:rPr>
        <w:t>程项目：</w:t>
      </w:r>
      <w:r>
        <w:rPr>
          <w:rFonts w:hint="eastAsia" w:ascii="Times New Roman" w:hAnsi="Times New Roman" w:eastAsia="楷体_GB2312" w:cs="Times New Roman"/>
          <w:color w:val="auto"/>
          <w:kern w:val="2"/>
          <w:sz w:val="21"/>
          <w:szCs w:val="32"/>
          <w:highlight w:val="none"/>
          <w:u w:val="none"/>
          <w:lang w:eastAsia="zh-CN"/>
        </w:rPr>
        <w:t>天后宫专用综合房增容工程</w:t>
      </w:r>
    </w:p>
    <w:p>
      <w:pPr>
        <w:spacing w:line="360" w:lineRule="auto"/>
        <w:rPr>
          <w:rFonts w:hint="eastAsia" w:ascii="Times New Roman" w:hAnsi="Times New Roman" w:eastAsia="楷体_GB2312" w:cs="Times New Roman"/>
          <w:color w:val="auto"/>
          <w:szCs w:val="32"/>
          <w:highlight w:val="none"/>
          <w:u w:val="none"/>
        </w:rPr>
      </w:pPr>
      <w:r>
        <w:rPr>
          <w:rFonts w:hint="eastAsia" w:ascii="Times New Roman" w:hAnsi="Times New Roman" w:eastAsia="楷体_GB2312" w:cs="Times New Roman"/>
          <w:color w:val="auto"/>
          <w:szCs w:val="32"/>
          <w:highlight w:val="none"/>
        </w:rPr>
        <w:t>建设工程地点：</w:t>
      </w:r>
      <w:r>
        <w:rPr>
          <w:rFonts w:hint="eastAsia" w:ascii="Times New Roman" w:hAnsi="Times New Roman" w:eastAsia="楷体_GB2312" w:cs="Times New Roman"/>
          <w:color w:val="auto"/>
          <w:kern w:val="2"/>
          <w:sz w:val="21"/>
          <w:szCs w:val="32"/>
          <w:highlight w:val="none"/>
          <w:u w:val="none"/>
          <w:lang w:val="en-US" w:eastAsia="zh-CN"/>
        </w:rPr>
        <w:t>广州市南沙区天后宫景区内</w:t>
      </w:r>
    </w:p>
    <w:p>
      <w:pPr>
        <w:spacing w:line="360" w:lineRule="auto"/>
        <w:rPr>
          <w:rFonts w:hint="eastAsia" w:ascii="Times New Roman" w:hAnsi="Times New Roman" w:eastAsia="楷体_GB2312" w:cs="Times New Roman"/>
          <w:color w:val="auto"/>
          <w:szCs w:val="32"/>
          <w:highlight w:val="none"/>
        </w:rPr>
      </w:pPr>
    </w:p>
    <w:p>
      <w:pPr>
        <w:spacing w:line="360" w:lineRule="auto"/>
        <w:ind w:firstLine="420" w:firstLineChars="200"/>
        <w:rPr>
          <w:rFonts w:ascii="Times New Roman" w:hAnsi="Times New Roman" w:eastAsia="楷体_GB2312" w:cs="Times New Roman"/>
          <w:color w:val="auto"/>
          <w:szCs w:val="32"/>
          <w:highlight w:val="none"/>
        </w:rPr>
      </w:pPr>
      <w:r>
        <w:rPr>
          <w:rFonts w:ascii="Times New Roman" w:hAnsi="Times New Roman" w:eastAsia="楷体_GB2312" w:cs="Times New Roman"/>
          <w:color w:val="auto"/>
          <w:szCs w:val="32"/>
          <w:highlight w:val="none"/>
        </w:rPr>
        <w:t>为贯彻落实国家、省、市有关</w:t>
      </w:r>
      <w:r>
        <w:rPr>
          <w:rFonts w:hint="eastAsia" w:ascii="Times New Roman" w:hAnsi="Times New Roman" w:eastAsia="楷体_GB2312" w:cs="Times New Roman"/>
          <w:color w:val="auto"/>
          <w:szCs w:val="32"/>
          <w:highlight w:val="none"/>
        </w:rPr>
        <w:t>廉洁</w:t>
      </w:r>
      <w:r>
        <w:rPr>
          <w:rFonts w:ascii="Times New Roman" w:hAnsi="Times New Roman" w:eastAsia="楷体_GB2312" w:cs="Times New Roman"/>
          <w:color w:val="auto"/>
          <w:szCs w:val="32"/>
          <w:highlight w:val="none"/>
        </w:rPr>
        <w:t>规定，</w:t>
      </w:r>
      <w:r>
        <w:rPr>
          <w:rFonts w:hint="eastAsia" w:ascii="Times New Roman" w:hAnsi="Times New Roman" w:eastAsia="楷体_GB2312" w:cs="Times New Roman"/>
          <w:color w:val="auto"/>
          <w:szCs w:val="32"/>
          <w:highlight w:val="none"/>
        </w:rPr>
        <w:t>深化</w:t>
      </w:r>
      <w:r>
        <w:rPr>
          <w:rFonts w:ascii="Times New Roman" w:hAnsi="Times New Roman" w:eastAsia="楷体_GB2312" w:cs="Times New Roman"/>
          <w:color w:val="auto"/>
          <w:szCs w:val="32"/>
          <w:highlight w:val="none"/>
        </w:rPr>
        <w:t>廉洁南沙自贸试验区建设，加强工程建设领域廉洁风险防控，</w:t>
      </w:r>
      <w:r>
        <w:rPr>
          <w:rFonts w:hint="eastAsia" w:ascii="Times New Roman" w:hAnsi="Times New Roman" w:eastAsia="楷体_GB2312" w:cs="Times New Roman"/>
          <w:color w:val="auto"/>
          <w:szCs w:val="32"/>
          <w:highlight w:val="none"/>
        </w:rPr>
        <w:t>构建亲清政商关系，</w:t>
      </w:r>
      <w:r>
        <w:rPr>
          <w:rFonts w:ascii="Times New Roman" w:hAnsi="Times New Roman" w:eastAsia="楷体_GB2312" w:cs="Times New Roman"/>
          <w:color w:val="auto"/>
          <w:szCs w:val="32"/>
          <w:highlight w:val="none"/>
        </w:rPr>
        <w:t>营造风清气正的市场环境，根据《</w:t>
      </w:r>
      <w:r>
        <w:rPr>
          <w:rFonts w:hint="eastAsia" w:ascii="Times New Roman" w:hAnsi="Times New Roman" w:eastAsia="楷体_GB2312" w:cs="Times New Roman"/>
          <w:color w:val="auto"/>
          <w:szCs w:val="32"/>
          <w:highlight w:val="none"/>
        </w:rPr>
        <w:t>中华人民共和国</w:t>
      </w:r>
      <w:r>
        <w:rPr>
          <w:rFonts w:ascii="Times New Roman" w:hAnsi="Times New Roman" w:eastAsia="楷体_GB2312" w:cs="Times New Roman"/>
          <w:color w:val="auto"/>
          <w:szCs w:val="32"/>
          <w:highlight w:val="none"/>
        </w:rPr>
        <w:t>反不正当竞争法》《</w:t>
      </w:r>
      <w:r>
        <w:rPr>
          <w:rFonts w:hint="eastAsia" w:ascii="Times New Roman" w:hAnsi="Times New Roman" w:eastAsia="楷体_GB2312" w:cs="Times New Roman"/>
          <w:color w:val="auto"/>
          <w:szCs w:val="32"/>
          <w:highlight w:val="none"/>
        </w:rPr>
        <w:t>中华人民共和国</w:t>
      </w:r>
      <w:r>
        <w:rPr>
          <w:rFonts w:ascii="Times New Roman" w:hAnsi="Times New Roman" w:eastAsia="楷体_GB2312" w:cs="Times New Roman"/>
          <w:color w:val="auto"/>
          <w:szCs w:val="32"/>
          <w:highlight w:val="none"/>
        </w:rPr>
        <w:t>招标投标法》及其实施条例等法律法规及政策的规定，双方同意签订本合同。</w:t>
      </w:r>
    </w:p>
    <w:p>
      <w:pPr>
        <w:spacing w:line="360" w:lineRule="auto"/>
        <w:ind w:firstLine="422" w:firstLineChars="200"/>
        <w:rPr>
          <w:rFonts w:ascii="Times New Roman" w:hAnsi="Times New Roman" w:eastAsia="楷体_GB2312" w:cs="Times New Roman"/>
          <w:b/>
          <w:color w:val="auto"/>
          <w:szCs w:val="32"/>
          <w:highlight w:val="none"/>
        </w:rPr>
      </w:pPr>
      <w:r>
        <w:rPr>
          <w:rFonts w:ascii="Times New Roman" w:hAnsi="Times New Roman" w:eastAsia="楷体_GB2312" w:cs="Times New Roman"/>
          <w:b/>
          <w:color w:val="auto"/>
          <w:szCs w:val="32"/>
          <w:highlight w:val="none"/>
        </w:rPr>
        <w:t>第一条  本合同适用于南沙区政府财政资金和国有资金占控股</w:t>
      </w:r>
      <w:r>
        <w:rPr>
          <w:rFonts w:hint="eastAsia" w:ascii="Times New Roman" w:hAnsi="Times New Roman" w:eastAsia="楷体_GB2312" w:cs="Times New Roman"/>
          <w:b/>
          <w:color w:val="auto"/>
          <w:szCs w:val="32"/>
          <w:highlight w:val="none"/>
        </w:rPr>
        <w:t>或</w:t>
      </w:r>
      <w:r>
        <w:rPr>
          <w:rFonts w:ascii="Times New Roman" w:hAnsi="Times New Roman" w:eastAsia="楷体_GB2312" w:cs="Times New Roman"/>
          <w:b/>
          <w:color w:val="auto"/>
          <w:szCs w:val="32"/>
          <w:highlight w:val="none"/>
        </w:rPr>
        <w:t>主导地位的公开招标类建设工程项目，涵盖工程施工类及服务类合同。辖区范围内其他工程项目可参照执行。</w:t>
      </w:r>
    </w:p>
    <w:p>
      <w:pPr>
        <w:spacing w:line="360" w:lineRule="auto"/>
        <w:ind w:firstLine="422" w:firstLineChars="200"/>
        <w:rPr>
          <w:rFonts w:ascii="Times New Roman" w:hAnsi="Times New Roman" w:eastAsia="楷体_GB2312" w:cs="Times New Roman"/>
          <w:b/>
          <w:color w:val="auto"/>
          <w:szCs w:val="32"/>
          <w:highlight w:val="none"/>
        </w:rPr>
      </w:pPr>
      <w:r>
        <w:rPr>
          <w:rFonts w:ascii="Times New Roman" w:hAnsi="Times New Roman" w:eastAsia="楷体_GB2312" w:cs="Times New Roman"/>
          <w:b/>
          <w:color w:val="auto"/>
          <w:szCs w:val="32"/>
          <w:highlight w:val="none"/>
        </w:rPr>
        <w:t>第二条  发包人及其</w:t>
      </w:r>
      <w:r>
        <w:rPr>
          <w:rFonts w:hint="eastAsia" w:ascii="Times New Roman" w:hAnsi="Times New Roman" w:eastAsia="楷体_GB2312" w:cs="Times New Roman"/>
          <w:b/>
          <w:color w:val="auto"/>
          <w:szCs w:val="32"/>
          <w:highlight w:val="none"/>
        </w:rPr>
        <w:t>工作人员不得</w:t>
      </w:r>
      <w:r>
        <w:rPr>
          <w:rFonts w:ascii="Times New Roman" w:hAnsi="Times New Roman" w:eastAsia="楷体_GB2312" w:cs="Times New Roman"/>
          <w:b/>
          <w:color w:val="auto"/>
          <w:szCs w:val="32"/>
          <w:highlight w:val="none"/>
        </w:rPr>
        <w:t>利用项目或职权</w:t>
      </w:r>
      <w:r>
        <w:rPr>
          <w:rFonts w:hint="eastAsia" w:ascii="Times New Roman" w:hAnsi="Times New Roman" w:eastAsia="楷体_GB2312" w:cs="Times New Roman"/>
          <w:b/>
          <w:color w:val="auto"/>
          <w:szCs w:val="32"/>
          <w:highlight w:val="none"/>
        </w:rPr>
        <w:t>为本人及亲属</w:t>
      </w:r>
      <w:r>
        <w:rPr>
          <w:rFonts w:ascii="Times New Roman" w:hAnsi="Times New Roman" w:eastAsia="楷体_GB2312" w:cs="Times New Roman"/>
          <w:b/>
          <w:color w:val="auto"/>
          <w:szCs w:val="32"/>
          <w:highlight w:val="none"/>
        </w:rPr>
        <w:t>谋取不正当利益</w:t>
      </w:r>
      <w:r>
        <w:rPr>
          <w:rFonts w:hint="eastAsia" w:ascii="Times New Roman" w:hAnsi="Times New Roman" w:eastAsia="楷体_GB2312" w:cs="Times New Roman"/>
          <w:b/>
          <w:color w:val="auto"/>
          <w:szCs w:val="32"/>
          <w:highlight w:val="none"/>
        </w:rPr>
        <w:t>，包括下列行为：</w:t>
      </w:r>
    </w:p>
    <w:p>
      <w:pPr>
        <w:spacing w:line="360" w:lineRule="auto"/>
        <w:ind w:firstLine="420" w:firstLineChars="200"/>
        <w:rPr>
          <w:rFonts w:ascii="Times New Roman" w:hAnsi="Times New Roman" w:eastAsia="楷体_GB2312" w:cs="Times New Roman"/>
          <w:color w:val="auto"/>
          <w:szCs w:val="32"/>
          <w:highlight w:val="none"/>
        </w:rPr>
      </w:pPr>
      <w:r>
        <w:rPr>
          <w:rFonts w:ascii="Times New Roman" w:hAnsi="Times New Roman" w:eastAsia="楷体_GB2312" w:cs="Times New Roman"/>
          <w:color w:val="auto"/>
          <w:szCs w:val="32"/>
          <w:highlight w:val="none"/>
        </w:rPr>
        <w:t>2.1  索取、接受或者以借为名占用承包人的财物</w:t>
      </w:r>
      <w:r>
        <w:rPr>
          <w:rFonts w:hint="eastAsia" w:ascii="Times New Roman" w:hAnsi="Times New Roman" w:eastAsia="楷体_GB2312" w:cs="Times New Roman"/>
          <w:color w:val="auto"/>
          <w:szCs w:val="32"/>
          <w:highlight w:val="none"/>
        </w:rPr>
        <w:t>，</w:t>
      </w:r>
      <w:r>
        <w:rPr>
          <w:rFonts w:ascii="Times New Roman" w:hAnsi="Times New Roman" w:eastAsia="楷体_GB2312" w:cs="Times New Roman"/>
          <w:color w:val="auto"/>
          <w:szCs w:val="32"/>
          <w:highlight w:val="none"/>
        </w:rPr>
        <w:t>包括但不限于任何形式的礼品礼金、</w:t>
      </w:r>
      <w:r>
        <w:rPr>
          <w:rFonts w:hint="eastAsia" w:ascii="Times New Roman" w:hAnsi="Times New Roman" w:eastAsia="楷体_GB2312" w:cs="Times New Roman"/>
          <w:color w:val="auto"/>
          <w:szCs w:val="32"/>
          <w:highlight w:val="none"/>
        </w:rPr>
        <w:t>好处费</w:t>
      </w:r>
      <w:r>
        <w:rPr>
          <w:rFonts w:ascii="Times New Roman" w:hAnsi="Times New Roman" w:eastAsia="楷体_GB2312" w:cs="Times New Roman"/>
          <w:color w:val="auto"/>
          <w:szCs w:val="32"/>
          <w:highlight w:val="none"/>
        </w:rPr>
        <w:t>、回扣</w:t>
      </w:r>
      <w:r>
        <w:rPr>
          <w:rFonts w:hint="eastAsia" w:ascii="Times New Roman" w:hAnsi="Times New Roman" w:eastAsia="楷体_GB2312" w:cs="Times New Roman"/>
          <w:color w:val="auto"/>
          <w:szCs w:val="32"/>
          <w:highlight w:val="none"/>
        </w:rPr>
        <w:t>、</w:t>
      </w:r>
      <w:r>
        <w:rPr>
          <w:rFonts w:ascii="Times New Roman" w:hAnsi="Times New Roman" w:eastAsia="楷体_GB2312" w:cs="Times New Roman"/>
          <w:color w:val="auto"/>
          <w:szCs w:val="32"/>
          <w:highlight w:val="none"/>
        </w:rPr>
        <w:t>各种有价证券、</w:t>
      </w:r>
      <w:r>
        <w:rPr>
          <w:rFonts w:hint="eastAsia" w:ascii="Times New Roman" w:hAnsi="Times New Roman" w:eastAsia="楷体_GB2312" w:cs="Times New Roman"/>
          <w:color w:val="auto"/>
          <w:szCs w:val="32"/>
          <w:highlight w:val="none"/>
        </w:rPr>
        <w:t>购物</w:t>
      </w:r>
      <w:r>
        <w:rPr>
          <w:rFonts w:ascii="Times New Roman" w:hAnsi="Times New Roman" w:eastAsia="楷体_GB2312" w:cs="Times New Roman"/>
          <w:color w:val="auto"/>
          <w:szCs w:val="32"/>
          <w:highlight w:val="none"/>
        </w:rPr>
        <w:t>卡及其他支付凭证</w:t>
      </w:r>
      <w:r>
        <w:rPr>
          <w:rFonts w:hint="eastAsia" w:ascii="Times New Roman" w:hAnsi="Times New Roman" w:eastAsia="楷体_GB2312" w:cs="Times New Roman"/>
          <w:color w:val="auto"/>
          <w:szCs w:val="32"/>
          <w:highlight w:val="none"/>
        </w:rPr>
        <w:t>、房产、车辆、贵重物品等</w:t>
      </w:r>
      <w:r>
        <w:rPr>
          <w:rFonts w:ascii="Times New Roman" w:hAnsi="Times New Roman" w:eastAsia="楷体_GB2312" w:cs="Times New Roman"/>
          <w:color w:val="auto"/>
          <w:szCs w:val="32"/>
          <w:highlight w:val="none"/>
        </w:rPr>
        <w:t>；</w:t>
      </w:r>
    </w:p>
    <w:p>
      <w:pPr>
        <w:spacing w:line="360" w:lineRule="auto"/>
        <w:ind w:firstLine="420" w:firstLineChars="200"/>
        <w:rPr>
          <w:rFonts w:ascii="Times New Roman" w:hAnsi="Times New Roman" w:eastAsia="楷体_GB2312" w:cs="Times New Roman"/>
          <w:color w:val="auto"/>
          <w:szCs w:val="32"/>
          <w:highlight w:val="none"/>
        </w:rPr>
      </w:pPr>
      <w:r>
        <w:rPr>
          <w:rFonts w:ascii="Times New Roman" w:hAnsi="Times New Roman" w:eastAsia="楷体_GB2312" w:cs="Times New Roman"/>
          <w:color w:val="auto"/>
          <w:szCs w:val="32"/>
          <w:highlight w:val="none"/>
        </w:rPr>
        <w:t>2.2  接受承包人宴请</w:t>
      </w:r>
      <w:r>
        <w:rPr>
          <w:rFonts w:hint="eastAsia" w:ascii="Times New Roman" w:hAnsi="Times New Roman" w:eastAsia="楷体_GB2312" w:cs="Times New Roman"/>
          <w:color w:val="auto"/>
          <w:szCs w:val="32"/>
          <w:highlight w:val="none"/>
        </w:rPr>
        <w:t>（工作餐除外）</w:t>
      </w:r>
      <w:r>
        <w:rPr>
          <w:rFonts w:ascii="Times New Roman" w:hAnsi="Times New Roman" w:eastAsia="楷体_GB2312" w:cs="Times New Roman"/>
          <w:color w:val="auto"/>
          <w:szCs w:val="32"/>
          <w:highlight w:val="none"/>
        </w:rPr>
        <w:t>及旅游、健身、娱乐等活动安排；</w:t>
      </w:r>
    </w:p>
    <w:p>
      <w:pPr>
        <w:spacing w:line="360" w:lineRule="auto"/>
        <w:ind w:firstLine="420" w:firstLineChars="200"/>
        <w:rPr>
          <w:rFonts w:ascii="Times New Roman" w:hAnsi="Times New Roman" w:eastAsia="楷体_GB2312" w:cs="Times New Roman"/>
          <w:color w:val="auto"/>
          <w:szCs w:val="32"/>
          <w:highlight w:val="none"/>
        </w:rPr>
      </w:pPr>
      <w:r>
        <w:rPr>
          <w:rFonts w:ascii="Times New Roman" w:hAnsi="Times New Roman" w:eastAsia="楷体_GB2312" w:cs="Times New Roman"/>
          <w:color w:val="auto"/>
          <w:szCs w:val="32"/>
          <w:highlight w:val="none"/>
        </w:rPr>
        <w:t>2.3  向承包人报销任何应由自身承担、支付的费用；</w:t>
      </w:r>
    </w:p>
    <w:p>
      <w:pPr>
        <w:spacing w:line="360" w:lineRule="auto"/>
        <w:ind w:firstLine="420" w:firstLineChars="200"/>
        <w:rPr>
          <w:rFonts w:ascii="Times New Roman" w:hAnsi="Times New Roman" w:eastAsia="楷体_GB2312" w:cs="Times New Roman"/>
          <w:color w:val="auto"/>
          <w:szCs w:val="32"/>
          <w:highlight w:val="none"/>
        </w:rPr>
      </w:pPr>
      <w:r>
        <w:rPr>
          <w:rFonts w:ascii="Times New Roman" w:hAnsi="Times New Roman" w:eastAsia="楷体_GB2312" w:cs="Times New Roman"/>
          <w:color w:val="auto"/>
          <w:szCs w:val="32"/>
          <w:highlight w:val="none"/>
        </w:rPr>
        <w:t>2.4  向承包人推荐分包</w:t>
      </w:r>
      <w:r>
        <w:rPr>
          <w:rFonts w:hint="eastAsia" w:ascii="Times New Roman" w:hAnsi="Times New Roman" w:eastAsia="楷体_GB2312" w:cs="Times New Roman"/>
          <w:color w:val="auto"/>
          <w:szCs w:val="32"/>
          <w:highlight w:val="none"/>
        </w:rPr>
        <w:t>人，推销材料和设备，</w:t>
      </w:r>
      <w:r>
        <w:rPr>
          <w:rFonts w:ascii="Times New Roman" w:hAnsi="Times New Roman" w:eastAsia="楷体_GB2312" w:cs="Times New Roman"/>
          <w:color w:val="auto"/>
          <w:szCs w:val="32"/>
          <w:highlight w:val="none"/>
        </w:rPr>
        <w:t>要求承包人购买</w:t>
      </w:r>
      <w:r>
        <w:rPr>
          <w:rFonts w:hint="eastAsia" w:ascii="Times New Roman" w:hAnsi="Times New Roman" w:eastAsia="楷体_GB2312" w:cs="Times New Roman"/>
          <w:color w:val="auto"/>
          <w:szCs w:val="32"/>
          <w:highlight w:val="none"/>
        </w:rPr>
        <w:t>指定</w:t>
      </w:r>
      <w:r>
        <w:rPr>
          <w:rFonts w:ascii="Times New Roman" w:hAnsi="Times New Roman" w:eastAsia="楷体_GB2312" w:cs="Times New Roman"/>
          <w:color w:val="auto"/>
          <w:szCs w:val="32"/>
          <w:highlight w:val="none"/>
        </w:rPr>
        <w:t>的材料和设备；</w:t>
      </w:r>
    </w:p>
    <w:p>
      <w:pPr>
        <w:spacing w:line="360" w:lineRule="auto"/>
        <w:ind w:firstLine="420" w:firstLineChars="200"/>
        <w:rPr>
          <w:rFonts w:ascii="Times New Roman" w:hAnsi="Times New Roman" w:eastAsia="楷体_GB2312" w:cs="Times New Roman"/>
          <w:color w:val="auto"/>
          <w:szCs w:val="32"/>
          <w:highlight w:val="none"/>
        </w:rPr>
      </w:pPr>
      <w:r>
        <w:rPr>
          <w:rFonts w:ascii="Times New Roman" w:hAnsi="Times New Roman" w:eastAsia="楷体_GB2312" w:cs="Times New Roman"/>
          <w:color w:val="auto"/>
          <w:szCs w:val="32"/>
          <w:highlight w:val="none"/>
        </w:rPr>
        <w:t xml:space="preserve">2.5  </w:t>
      </w:r>
      <w:r>
        <w:rPr>
          <w:rFonts w:hint="eastAsia" w:ascii="Times New Roman" w:hAnsi="Times New Roman" w:eastAsia="楷体_GB2312" w:cs="Times New Roman"/>
          <w:color w:val="auto"/>
          <w:szCs w:val="32"/>
          <w:highlight w:val="none"/>
        </w:rPr>
        <w:t>私自为建设工程安排施工队伍，从事与建设工程有关的各种有偿中介服务</w:t>
      </w:r>
      <w:r>
        <w:rPr>
          <w:rFonts w:ascii="Times New Roman" w:hAnsi="Times New Roman" w:eastAsia="楷体_GB2312" w:cs="Times New Roman"/>
          <w:color w:val="auto"/>
          <w:szCs w:val="32"/>
          <w:highlight w:val="none"/>
        </w:rPr>
        <w:t>；</w:t>
      </w:r>
    </w:p>
    <w:p>
      <w:pPr>
        <w:spacing w:line="360" w:lineRule="auto"/>
        <w:ind w:firstLine="420" w:firstLineChars="200"/>
        <w:rPr>
          <w:rFonts w:ascii="Times New Roman" w:hAnsi="Times New Roman" w:eastAsia="楷体_GB2312" w:cs="Times New Roman"/>
          <w:color w:val="auto"/>
          <w:szCs w:val="32"/>
          <w:highlight w:val="none"/>
        </w:rPr>
      </w:pPr>
      <w:r>
        <w:rPr>
          <w:rFonts w:ascii="Times New Roman" w:hAnsi="Times New Roman" w:eastAsia="楷体_GB2312" w:cs="Times New Roman"/>
          <w:color w:val="auto"/>
          <w:szCs w:val="32"/>
          <w:highlight w:val="none"/>
        </w:rPr>
        <w:t>2.6  要求或者暗示承包人</w:t>
      </w:r>
      <w:r>
        <w:rPr>
          <w:rFonts w:hint="eastAsia" w:ascii="Times New Roman" w:hAnsi="Times New Roman" w:eastAsia="楷体_GB2312" w:cs="Times New Roman"/>
          <w:color w:val="auto"/>
          <w:szCs w:val="32"/>
          <w:highlight w:val="none"/>
        </w:rPr>
        <w:t>为本人或亲属的工作安排、职务晋升、经商办企业、出国出境、旅游、留学、探亲、定居等提供资助或便利；</w:t>
      </w:r>
    </w:p>
    <w:p>
      <w:pPr>
        <w:spacing w:line="360" w:lineRule="auto"/>
        <w:ind w:firstLine="420" w:firstLineChars="200"/>
        <w:rPr>
          <w:rFonts w:ascii="Times New Roman" w:hAnsi="Times New Roman" w:eastAsia="楷体_GB2312" w:cs="Times New Roman"/>
          <w:color w:val="auto"/>
          <w:szCs w:val="32"/>
          <w:highlight w:val="none"/>
        </w:rPr>
      </w:pPr>
      <w:r>
        <w:rPr>
          <w:rFonts w:hint="eastAsia" w:ascii="Times New Roman" w:hAnsi="Times New Roman" w:eastAsia="楷体_GB2312" w:cs="Times New Roman"/>
          <w:color w:val="auto"/>
          <w:szCs w:val="32"/>
          <w:highlight w:val="none"/>
        </w:rPr>
        <w:t xml:space="preserve">2.7  </w:t>
      </w:r>
      <w:r>
        <w:rPr>
          <w:rFonts w:ascii="Times New Roman" w:hAnsi="Times New Roman" w:eastAsia="楷体_GB2312" w:cs="Times New Roman"/>
          <w:color w:val="auto"/>
          <w:szCs w:val="32"/>
          <w:highlight w:val="none"/>
        </w:rPr>
        <w:t>默许、纵容、授意亲属收受承包人财物</w:t>
      </w:r>
      <w:r>
        <w:rPr>
          <w:rFonts w:hint="eastAsia" w:ascii="Times New Roman" w:hAnsi="Times New Roman" w:eastAsia="楷体_GB2312" w:cs="Times New Roman"/>
          <w:color w:val="auto"/>
          <w:szCs w:val="32"/>
          <w:highlight w:val="none"/>
        </w:rPr>
        <w:t>，或从事与建设工程有关的材料和设备供应、工程分包、劳务等经济活动</w:t>
      </w:r>
      <w:r>
        <w:rPr>
          <w:rFonts w:ascii="Times New Roman" w:hAnsi="Times New Roman" w:eastAsia="楷体_GB2312" w:cs="Times New Roman"/>
          <w:color w:val="auto"/>
          <w:szCs w:val="32"/>
          <w:highlight w:val="none"/>
        </w:rPr>
        <w:t>；</w:t>
      </w:r>
    </w:p>
    <w:p>
      <w:pPr>
        <w:spacing w:line="360" w:lineRule="auto"/>
        <w:ind w:firstLine="420" w:firstLineChars="200"/>
        <w:rPr>
          <w:rFonts w:ascii="Times New Roman" w:hAnsi="Times New Roman" w:eastAsia="楷体_GB2312" w:cs="Times New Roman"/>
          <w:color w:val="auto"/>
          <w:szCs w:val="32"/>
          <w:highlight w:val="none"/>
        </w:rPr>
      </w:pPr>
      <w:r>
        <w:rPr>
          <w:rFonts w:hint="eastAsia" w:ascii="Times New Roman" w:hAnsi="Times New Roman" w:eastAsia="楷体_GB2312" w:cs="Times New Roman"/>
          <w:color w:val="auto"/>
          <w:szCs w:val="32"/>
          <w:highlight w:val="none"/>
        </w:rPr>
        <w:t xml:space="preserve">2.8  </w:t>
      </w:r>
      <w:r>
        <w:rPr>
          <w:rFonts w:ascii="Times New Roman" w:hAnsi="Times New Roman" w:eastAsia="楷体_GB2312" w:cs="Times New Roman"/>
          <w:color w:val="auto"/>
          <w:szCs w:val="32"/>
          <w:highlight w:val="none"/>
        </w:rPr>
        <w:t>其他利用项目或职权谋取不正当利益的行为。</w:t>
      </w:r>
    </w:p>
    <w:p>
      <w:pPr>
        <w:spacing w:line="360" w:lineRule="auto"/>
        <w:ind w:firstLine="422" w:firstLineChars="200"/>
        <w:rPr>
          <w:rFonts w:ascii="Times New Roman" w:hAnsi="Times New Roman" w:eastAsia="楷体_GB2312" w:cs="Times New Roman"/>
          <w:b/>
          <w:color w:val="auto"/>
          <w:szCs w:val="32"/>
          <w:highlight w:val="none"/>
        </w:rPr>
      </w:pPr>
      <w:r>
        <w:rPr>
          <w:rFonts w:ascii="Times New Roman" w:hAnsi="Times New Roman" w:eastAsia="楷体_GB2312" w:cs="Times New Roman"/>
          <w:b/>
          <w:color w:val="auto"/>
          <w:szCs w:val="32"/>
          <w:highlight w:val="none"/>
        </w:rPr>
        <w:t>第三条  承包人及其</w:t>
      </w:r>
      <w:r>
        <w:rPr>
          <w:rFonts w:hint="eastAsia" w:ascii="Times New Roman" w:hAnsi="Times New Roman" w:eastAsia="楷体_GB2312" w:cs="Times New Roman"/>
          <w:b/>
          <w:color w:val="auto"/>
          <w:szCs w:val="32"/>
          <w:highlight w:val="none"/>
        </w:rPr>
        <w:t>工作人员不得通过</w:t>
      </w:r>
      <w:r>
        <w:rPr>
          <w:rFonts w:ascii="Times New Roman" w:hAnsi="Times New Roman" w:eastAsia="楷体_GB2312" w:cs="Times New Roman"/>
          <w:b/>
          <w:color w:val="auto"/>
          <w:szCs w:val="32"/>
          <w:highlight w:val="none"/>
        </w:rPr>
        <w:t>商业贿赂</w:t>
      </w:r>
      <w:r>
        <w:rPr>
          <w:rFonts w:hint="eastAsia" w:ascii="Times New Roman" w:hAnsi="Times New Roman" w:eastAsia="楷体_GB2312" w:cs="Times New Roman"/>
          <w:b/>
          <w:color w:val="auto"/>
          <w:szCs w:val="32"/>
          <w:highlight w:val="none"/>
        </w:rPr>
        <w:t>等不正当手段谋取利益，包括下列</w:t>
      </w:r>
      <w:r>
        <w:rPr>
          <w:rFonts w:ascii="Times New Roman" w:hAnsi="Times New Roman" w:eastAsia="楷体_GB2312" w:cs="Times New Roman"/>
          <w:b/>
          <w:color w:val="auto"/>
          <w:szCs w:val="32"/>
          <w:highlight w:val="none"/>
        </w:rPr>
        <w:t>行为</w:t>
      </w:r>
      <w:r>
        <w:rPr>
          <w:rFonts w:hint="eastAsia" w:ascii="Times New Roman" w:hAnsi="Times New Roman" w:eastAsia="楷体_GB2312" w:cs="Times New Roman"/>
          <w:b/>
          <w:color w:val="auto"/>
          <w:szCs w:val="32"/>
          <w:highlight w:val="none"/>
        </w:rPr>
        <w:t>：</w:t>
      </w:r>
    </w:p>
    <w:p>
      <w:pPr>
        <w:spacing w:line="360" w:lineRule="auto"/>
        <w:ind w:firstLine="420" w:firstLineChars="200"/>
        <w:rPr>
          <w:rFonts w:ascii="Times New Roman" w:hAnsi="Times New Roman" w:eastAsia="楷体_GB2312" w:cs="Times New Roman"/>
          <w:color w:val="auto"/>
          <w:szCs w:val="32"/>
          <w:highlight w:val="none"/>
        </w:rPr>
      </w:pPr>
      <w:r>
        <w:rPr>
          <w:rFonts w:hint="eastAsia" w:ascii="Times New Roman" w:hAnsi="Times New Roman" w:eastAsia="楷体_GB2312" w:cs="Times New Roman"/>
          <w:color w:val="auto"/>
          <w:szCs w:val="32"/>
          <w:highlight w:val="none"/>
        </w:rPr>
        <w:t>3</w:t>
      </w:r>
      <w:r>
        <w:rPr>
          <w:rFonts w:ascii="Times New Roman" w:hAnsi="Times New Roman" w:eastAsia="楷体_GB2312" w:cs="Times New Roman"/>
          <w:color w:val="auto"/>
          <w:szCs w:val="32"/>
          <w:highlight w:val="none"/>
        </w:rPr>
        <w:t>.1  同意或主动</w:t>
      </w:r>
      <w:r>
        <w:rPr>
          <w:rFonts w:hint="eastAsia" w:ascii="Times New Roman" w:hAnsi="Times New Roman" w:eastAsia="楷体_GB2312" w:cs="Times New Roman"/>
          <w:color w:val="auto"/>
          <w:szCs w:val="32"/>
          <w:highlight w:val="none"/>
        </w:rPr>
        <w:t>向</w:t>
      </w:r>
      <w:r>
        <w:rPr>
          <w:rFonts w:ascii="Times New Roman" w:hAnsi="Times New Roman" w:eastAsia="楷体_GB2312" w:cs="Times New Roman"/>
          <w:color w:val="auto"/>
          <w:szCs w:val="32"/>
          <w:highlight w:val="none"/>
        </w:rPr>
        <w:t>发包人及其</w:t>
      </w:r>
      <w:r>
        <w:rPr>
          <w:rFonts w:hint="eastAsia" w:ascii="Times New Roman" w:hAnsi="Times New Roman" w:eastAsia="楷体_GB2312" w:cs="Times New Roman"/>
          <w:color w:val="auto"/>
          <w:szCs w:val="32"/>
          <w:highlight w:val="none"/>
        </w:rPr>
        <w:t>工作人员</w:t>
      </w:r>
      <w:r>
        <w:rPr>
          <w:rFonts w:ascii="Times New Roman" w:hAnsi="Times New Roman" w:eastAsia="楷体_GB2312" w:cs="Times New Roman"/>
          <w:color w:val="auto"/>
          <w:szCs w:val="32"/>
          <w:highlight w:val="none"/>
        </w:rPr>
        <w:t>提供第二条</w:t>
      </w:r>
      <w:r>
        <w:rPr>
          <w:rFonts w:hint="eastAsia" w:ascii="Times New Roman" w:hAnsi="Times New Roman" w:eastAsia="楷体_GB2312" w:cs="Times New Roman"/>
          <w:color w:val="auto"/>
          <w:szCs w:val="32"/>
          <w:highlight w:val="none"/>
        </w:rPr>
        <w:t>约</w:t>
      </w:r>
      <w:r>
        <w:rPr>
          <w:rFonts w:ascii="Times New Roman" w:hAnsi="Times New Roman" w:eastAsia="楷体_GB2312" w:cs="Times New Roman"/>
          <w:color w:val="auto"/>
          <w:szCs w:val="32"/>
          <w:highlight w:val="none"/>
        </w:rPr>
        <w:t>定的</w:t>
      </w:r>
      <w:r>
        <w:rPr>
          <w:rFonts w:hint="eastAsia" w:ascii="Times New Roman" w:hAnsi="Times New Roman" w:eastAsia="楷体_GB2312" w:cs="Times New Roman"/>
          <w:color w:val="auto"/>
          <w:szCs w:val="32"/>
          <w:highlight w:val="none"/>
        </w:rPr>
        <w:t>禁止性</w:t>
      </w:r>
      <w:r>
        <w:rPr>
          <w:rFonts w:ascii="Times New Roman" w:hAnsi="Times New Roman" w:eastAsia="楷体_GB2312" w:cs="Times New Roman"/>
          <w:color w:val="auto"/>
          <w:szCs w:val="32"/>
          <w:highlight w:val="none"/>
        </w:rPr>
        <w:t>行为；</w:t>
      </w:r>
    </w:p>
    <w:p>
      <w:pPr>
        <w:spacing w:line="360" w:lineRule="auto"/>
        <w:ind w:firstLine="420" w:firstLineChars="200"/>
        <w:rPr>
          <w:rFonts w:ascii="Times New Roman" w:hAnsi="Times New Roman" w:eastAsia="楷体_GB2312" w:cs="Times New Roman"/>
          <w:color w:val="auto"/>
          <w:szCs w:val="32"/>
          <w:highlight w:val="none"/>
        </w:rPr>
      </w:pPr>
      <w:r>
        <w:rPr>
          <w:rFonts w:hint="eastAsia" w:ascii="Times New Roman" w:hAnsi="Times New Roman" w:eastAsia="楷体_GB2312" w:cs="Times New Roman"/>
          <w:color w:val="auto"/>
          <w:szCs w:val="32"/>
          <w:highlight w:val="none"/>
        </w:rPr>
        <w:t>3</w:t>
      </w:r>
      <w:r>
        <w:rPr>
          <w:rFonts w:ascii="Times New Roman" w:hAnsi="Times New Roman" w:eastAsia="楷体_GB2312" w:cs="Times New Roman"/>
          <w:color w:val="auto"/>
          <w:szCs w:val="32"/>
          <w:highlight w:val="none"/>
        </w:rPr>
        <w:t>.2  向与建设工程相关的代建、施工、监理（项目管理）、勘察、设计、咨询等有关单位及其</w:t>
      </w:r>
      <w:r>
        <w:rPr>
          <w:rFonts w:hint="eastAsia" w:ascii="Times New Roman" w:hAnsi="Times New Roman" w:eastAsia="楷体_GB2312" w:cs="Times New Roman"/>
          <w:color w:val="auto"/>
          <w:szCs w:val="32"/>
          <w:highlight w:val="none"/>
        </w:rPr>
        <w:t>工作人员进行</w:t>
      </w:r>
      <w:r>
        <w:rPr>
          <w:rFonts w:ascii="Times New Roman" w:hAnsi="Times New Roman" w:eastAsia="楷体_GB2312" w:cs="Times New Roman"/>
          <w:color w:val="auto"/>
          <w:szCs w:val="32"/>
          <w:highlight w:val="none"/>
        </w:rPr>
        <w:t>商业贿赂，包括但不限于任何形式的礼品礼金、有价证券、购物</w:t>
      </w:r>
      <w:r>
        <w:rPr>
          <w:rFonts w:hint="eastAsia" w:ascii="Times New Roman" w:hAnsi="Times New Roman" w:eastAsia="楷体_GB2312" w:cs="Times New Roman"/>
          <w:color w:val="auto"/>
          <w:szCs w:val="32"/>
          <w:highlight w:val="none"/>
        </w:rPr>
        <w:t>卡</w:t>
      </w:r>
      <w:r>
        <w:rPr>
          <w:rFonts w:ascii="Times New Roman" w:hAnsi="Times New Roman" w:eastAsia="楷体_GB2312" w:cs="Times New Roman"/>
          <w:color w:val="auto"/>
          <w:szCs w:val="32"/>
          <w:highlight w:val="none"/>
        </w:rPr>
        <w:t>、回扣、佣金、咨询费、劳务费、赞助费、宣传费，以及支付旅游费用、报销各种消费凭证等。</w:t>
      </w:r>
    </w:p>
    <w:p>
      <w:pPr>
        <w:spacing w:line="360" w:lineRule="auto"/>
        <w:ind w:firstLine="420" w:firstLineChars="200"/>
        <w:rPr>
          <w:rFonts w:ascii="Times New Roman" w:hAnsi="Times New Roman" w:eastAsia="楷体_GB2312" w:cs="Times New Roman"/>
          <w:color w:val="auto"/>
          <w:szCs w:val="32"/>
          <w:highlight w:val="none"/>
        </w:rPr>
      </w:pPr>
      <w:r>
        <w:rPr>
          <w:rFonts w:hint="eastAsia" w:ascii="Times New Roman" w:hAnsi="Times New Roman" w:eastAsia="楷体_GB2312" w:cs="Times New Roman"/>
          <w:color w:val="auto"/>
          <w:szCs w:val="32"/>
          <w:highlight w:val="none"/>
        </w:rPr>
        <w:t>3</w:t>
      </w:r>
      <w:r>
        <w:rPr>
          <w:rFonts w:ascii="Times New Roman" w:hAnsi="Times New Roman" w:eastAsia="楷体_GB2312" w:cs="Times New Roman"/>
          <w:color w:val="auto"/>
          <w:szCs w:val="32"/>
          <w:highlight w:val="none"/>
        </w:rPr>
        <w:t>.</w:t>
      </w:r>
      <w:r>
        <w:rPr>
          <w:rFonts w:hint="eastAsia" w:ascii="Times New Roman" w:hAnsi="Times New Roman" w:eastAsia="楷体_GB2312" w:cs="Times New Roman"/>
          <w:color w:val="auto"/>
          <w:szCs w:val="32"/>
          <w:highlight w:val="none"/>
        </w:rPr>
        <w:t>3</w:t>
      </w:r>
      <w:r>
        <w:rPr>
          <w:rFonts w:ascii="Times New Roman" w:hAnsi="Times New Roman" w:eastAsia="楷体_GB2312" w:cs="Times New Roman"/>
          <w:color w:val="auto"/>
          <w:szCs w:val="32"/>
          <w:highlight w:val="none"/>
        </w:rPr>
        <w:t xml:space="preserve">  接受与建设工程相关的代建、施工、监理（项目管理）、勘察、设计、咨询等有关单位及其</w:t>
      </w:r>
      <w:r>
        <w:rPr>
          <w:rFonts w:hint="eastAsia" w:ascii="Times New Roman" w:hAnsi="Times New Roman" w:eastAsia="楷体_GB2312" w:cs="Times New Roman"/>
          <w:color w:val="auto"/>
          <w:szCs w:val="32"/>
          <w:highlight w:val="none"/>
        </w:rPr>
        <w:t>工作人员</w:t>
      </w:r>
      <w:r>
        <w:rPr>
          <w:rFonts w:ascii="Times New Roman" w:hAnsi="Times New Roman" w:eastAsia="楷体_GB2312" w:cs="Times New Roman"/>
          <w:color w:val="auto"/>
          <w:szCs w:val="32"/>
          <w:highlight w:val="none"/>
        </w:rPr>
        <w:t>的商业贿赂。</w:t>
      </w:r>
    </w:p>
    <w:p>
      <w:pPr>
        <w:spacing w:line="360" w:lineRule="auto"/>
        <w:ind w:firstLine="420" w:firstLineChars="200"/>
        <w:rPr>
          <w:rFonts w:ascii="Times New Roman" w:hAnsi="Times New Roman" w:eastAsia="楷体_GB2312" w:cs="Times New Roman"/>
          <w:color w:val="auto"/>
          <w:szCs w:val="32"/>
          <w:highlight w:val="none"/>
        </w:rPr>
      </w:pPr>
      <w:r>
        <w:rPr>
          <w:rFonts w:hint="eastAsia" w:ascii="Times New Roman" w:hAnsi="Times New Roman" w:eastAsia="楷体_GB2312" w:cs="Times New Roman"/>
          <w:color w:val="auto"/>
          <w:szCs w:val="32"/>
          <w:highlight w:val="none"/>
        </w:rPr>
        <w:t>3</w:t>
      </w:r>
      <w:r>
        <w:rPr>
          <w:rFonts w:ascii="Times New Roman" w:hAnsi="Times New Roman" w:eastAsia="楷体_GB2312" w:cs="Times New Roman"/>
          <w:color w:val="auto"/>
          <w:szCs w:val="32"/>
          <w:highlight w:val="none"/>
        </w:rPr>
        <w:t>.</w:t>
      </w:r>
      <w:r>
        <w:rPr>
          <w:rFonts w:hint="eastAsia" w:ascii="Times New Roman" w:hAnsi="Times New Roman" w:eastAsia="楷体_GB2312" w:cs="Times New Roman"/>
          <w:color w:val="auto"/>
          <w:szCs w:val="32"/>
          <w:highlight w:val="none"/>
        </w:rPr>
        <w:t>4</w:t>
      </w:r>
      <w:r>
        <w:rPr>
          <w:rFonts w:ascii="Times New Roman" w:hAnsi="Times New Roman" w:eastAsia="楷体_GB2312" w:cs="Times New Roman"/>
          <w:color w:val="auto"/>
          <w:szCs w:val="32"/>
          <w:highlight w:val="none"/>
        </w:rPr>
        <w:t xml:space="preserve">  接受分包（工程分包、劳务分包等）单位、材料设备供应单位等单位及其</w:t>
      </w:r>
      <w:r>
        <w:rPr>
          <w:rFonts w:hint="eastAsia" w:ascii="Times New Roman" w:hAnsi="Times New Roman" w:eastAsia="楷体_GB2312" w:cs="Times New Roman"/>
          <w:color w:val="auto"/>
          <w:szCs w:val="32"/>
          <w:highlight w:val="none"/>
        </w:rPr>
        <w:t>工作人员</w:t>
      </w:r>
      <w:r>
        <w:rPr>
          <w:rFonts w:ascii="Times New Roman" w:hAnsi="Times New Roman" w:eastAsia="楷体_GB2312" w:cs="Times New Roman"/>
          <w:color w:val="auto"/>
          <w:szCs w:val="32"/>
          <w:highlight w:val="none"/>
        </w:rPr>
        <w:t>的商业贿赂。</w:t>
      </w:r>
    </w:p>
    <w:p>
      <w:pPr>
        <w:spacing w:line="360" w:lineRule="auto"/>
        <w:ind w:firstLine="420" w:firstLineChars="200"/>
        <w:rPr>
          <w:rFonts w:ascii="Times New Roman" w:hAnsi="Times New Roman" w:eastAsia="楷体_GB2312" w:cs="Times New Roman"/>
          <w:color w:val="auto"/>
          <w:szCs w:val="32"/>
          <w:highlight w:val="none"/>
        </w:rPr>
      </w:pPr>
      <w:r>
        <w:rPr>
          <w:rFonts w:hint="eastAsia" w:ascii="Times New Roman" w:hAnsi="Times New Roman" w:eastAsia="楷体_GB2312" w:cs="Times New Roman"/>
          <w:color w:val="auto"/>
          <w:szCs w:val="32"/>
          <w:highlight w:val="none"/>
        </w:rPr>
        <w:t xml:space="preserve">3.5  </w:t>
      </w:r>
      <w:r>
        <w:rPr>
          <w:rFonts w:ascii="Times New Roman" w:hAnsi="Times New Roman" w:eastAsia="楷体_GB2312" w:cs="Times New Roman"/>
          <w:color w:val="auto"/>
          <w:szCs w:val="32"/>
          <w:highlight w:val="none"/>
        </w:rPr>
        <w:t>其他</w:t>
      </w:r>
      <w:r>
        <w:rPr>
          <w:rFonts w:hint="eastAsia" w:ascii="Times New Roman" w:hAnsi="Times New Roman" w:eastAsia="楷体_GB2312" w:cs="Times New Roman"/>
          <w:color w:val="auto"/>
          <w:szCs w:val="32"/>
          <w:highlight w:val="none"/>
        </w:rPr>
        <w:t>通过不正当手段谋取利益的</w:t>
      </w:r>
      <w:r>
        <w:rPr>
          <w:rFonts w:ascii="Times New Roman" w:hAnsi="Times New Roman" w:eastAsia="楷体_GB2312" w:cs="Times New Roman"/>
          <w:color w:val="auto"/>
          <w:szCs w:val="32"/>
          <w:highlight w:val="none"/>
        </w:rPr>
        <w:t>行为。</w:t>
      </w:r>
    </w:p>
    <w:p>
      <w:pPr>
        <w:spacing w:line="360" w:lineRule="auto"/>
        <w:ind w:firstLine="422" w:firstLineChars="200"/>
        <w:rPr>
          <w:rFonts w:ascii="Times New Roman" w:hAnsi="Times New Roman" w:eastAsia="楷体_GB2312" w:cs="Times New Roman"/>
          <w:b/>
          <w:color w:val="auto"/>
          <w:szCs w:val="32"/>
          <w:highlight w:val="none"/>
        </w:rPr>
      </w:pPr>
      <w:r>
        <w:rPr>
          <w:rFonts w:ascii="Times New Roman" w:hAnsi="Times New Roman" w:eastAsia="楷体_GB2312" w:cs="Times New Roman"/>
          <w:b/>
          <w:color w:val="auto"/>
          <w:szCs w:val="32"/>
          <w:highlight w:val="none"/>
        </w:rPr>
        <w:t>第</w:t>
      </w:r>
      <w:r>
        <w:rPr>
          <w:rFonts w:hint="eastAsia" w:ascii="Times New Roman" w:hAnsi="Times New Roman" w:eastAsia="楷体_GB2312" w:cs="Times New Roman"/>
          <w:b/>
          <w:color w:val="auto"/>
          <w:szCs w:val="32"/>
          <w:highlight w:val="none"/>
        </w:rPr>
        <w:t>四</w:t>
      </w:r>
      <w:r>
        <w:rPr>
          <w:rFonts w:ascii="Times New Roman" w:hAnsi="Times New Roman" w:eastAsia="楷体_GB2312" w:cs="Times New Roman"/>
          <w:b/>
          <w:color w:val="auto"/>
          <w:szCs w:val="32"/>
          <w:highlight w:val="none"/>
        </w:rPr>
        <w:t xml:space="preserve">条  </w:t>
      </w:r>
      <w:r>
        <w:rPr>
          <w:rFonts w:hint="eastAsia" w:ascii="Times New Roman" w:hAnsi="Times New Roman" w:eastAsia="楷体_GB2312" w:cs="Times New Roman"/>
          <w:b/>
          <w:color w:val="auto"/>
          <w:szCs w:val="32"/>
          <w:highlight w:val="none"/>
        </w:rPr>
        <w:t>发包人、</w:t>
      </w:r>
      <w:r>
        <w:rPr>
          <w:rFonts w:ascii="Times New Roman" w:hAnsi="Times New Roman" w:eastAsia="楷体_GB2312" w:cs="Times New Roman"/>
          <w:b/>
          <w:color w:val="auto"/>
          <w:szCs w:val="32"/>
          <w:highlight w:val="none"/>
        </w:rPr>
        <w:t>承包人及</w:t>
      </w:r>
      <w:r>
        <w:rPr>
          <w:rFonts w:hint="eastAsia" w:ascii="Times New Roman" w:hAnsi="Times New Roman" w:eastAsia="楷体_GB2312" w:cs="Times New Roman"/>
          <w:b/>
          <w:color w:val="auto"/>
          <w:szCs w:val="32"/>
          <w:highlight w:val="none"/>
        </w:rPr>
        <w:t>双方工作人员不得</w:t>
      </w:r>
      <w:r>
        <w:rPr>
          <w:rFonts w:ascii="Times New Roman" w:hAnsi="Times New Roman" w:eastAsia="楷体_GB2312" w:cs="Times New Roman"/>
          <w:b/>
          <w:color w:val="auto"/>
          <w:szCs w:val="32"/>
          <w:highlight w:val="none"/>
        </w:rPr>
        <w:t>违规干预或插手建设工程招投标活动</w:t>
      </w:r>
      <w:r>
        <w:rPr>
          <w:rFonts w:hint="eastAsia" w:ascii="Times New Roman" w:hAnsi="Times New Roman" w:eastAsia="楷体_GB2312" w:cs="Times New Roman"/>
          <w:b/>
          <w:color w:val="auto"/>
          <w:szCs w:val="32"/>
          <w:highlight w:val="none"/>
        </w:rPr>
        <w:t>，禁止</w:t>
      </w:r>
      <w:r>
        <w:rPr>
          <w:rFonts w:ascii="Times New Roman" w:hAnsi="Times New Roman" w:eastAsia="楷体_GB2312" w:cs="Times New Roman"/>
          <w:b/>
          <w:color w:val="auto"/>
          <w:szCs w:val="32"/>
          <w:highlight w:val="none"/>
        </w:rPr>
        <w:t>串通投标（围标）</w:t>
      </w:r>
      <w:r>
        <w:rPr>
          <w:rFonts w:hint="eastAsia" w:ascii="Times New Roman" w:hAnsi="Times New Roman" w:eastAsia="楷体_GB2312" w:cs="Times New Roman"/>
          <w:b/>
          <w:color w:val="auto"/>
          <w:szCs w:val="32"/>
          <w:highlight w:val="none"/>
        </w:rPr>
        <w:t>等不正当竞争</w:t>
      </w:r>
      <w:r>
        <w:rPr>
          <w:rFonts w:ascii="Times New Roman" w:hAnsi="Times New Roman" w:eastAsia="楷体_GB2312" w:cs="Times New Roman"/>
          <w:b/>
          <w:color w:val="auto"/>
          <w:szCs w:val="32"/>
          <w:highlight w:val="none"/>
        </w:rPr>
        <w:t>行为。</w:t>
      </w:r>
    </w:p>
    <w:p>
      <w:pPr>
        <w:spacing w:line="360" w:lineRule="auto"/>
        <w:ind w:firstLine="422" w:firstLineChars="200"/>
        <w:rPr>
          <w:rFonts w:ascii="Times New Roman" w:hAnsi="Times New Roman" w:eastAsia="楷体_GB2312" w:cs="Times New Roman"/>
          <w:b/>
          <w:color w:val="auto"/>
          <w:szCs w:val="32"/>
          <w:highlight w:val="none"/>
        </w:rPr>
      </w:pPr>
      <w:r>
        <w:rPr>
          <w:rFonts w:ascii="Times New Roman" w:hAnsi="Times New Roman" w:eastAsia="楷体_GB2312" w:cs="Times New Roman"/>
          <w:b/>
          <w:color w:val="auto"/>
          <w:szCs w:val="32"/>
          <w:highlight w:val="none"/>
        </w:rPr>
        <w:t>第</w:t>
      </w:r>
      <w:r>
        <w:rPr>
          <w:rFonts w:hint="eastAsia" w:ascii="Times New Roman" w:hAnsi="Times New Roman" w:eastAsia="楷体_GB2312" w:cs="Times New Roman"/>
          <w:b/>
          <w:color w:val="auto"/>
          <w:szCs w:val="32"/>
          <w:highlight w:val="none"/>
        </w:rPr>
        <w:t>五</w:t>
      </w:r>
      <w:r>
        <w:rPr>
          <w:rFonts w:ascii="Times New Roman" w:hAnsi="Times New Roman" w:eastAsia="楷体_GB2312" w:cs="Times New Roman"/>
          <w:b/>
          <w:color w:val="auto"/>
          <w:szCs w:val="32"/>
          <w:highlight w:val="none"/>
        </w:rPr>
        <w:t xml:space="preserve">条  </w:t>
      </w:r>
      <w:r>
        <w:rPr>
          <w:rFonts w:hint="eastAsia" w:ascii="Times New Roman" w:hAnsi="Times New Roman" w:eastAsia="楷体_GB2312" w:cs="Times New Roman"/>
          <w:b/>
          <w:color w:val="auto"/>
          <w:szCs w:val="32"/>
          <w:highlight w:val="none"/>
        </w:rPr>
        <w:t>廉洁风险防控机制</w:t>
      </w:r>
    </w:p>
    <w:p>
      <w:pPr>
        <w:spacing w:line="360" w:lineRule="auto"/>
        <w:ind w:firstLine="420" w:firstLineChars="200"/>
        <w:rPr>
          <w:rFonts w:ascii="Times New Roman" w:hAnsi="Times New Roman" w:eastAsia="楷体_GB2312" w:cs="Times New Roman"/>
          <w:color w:val="auto"/>
          <w:szCs w:val="32"/>
          <w:highlight w:val="none"/>
        </w:rPr>
      </w:pPr>
      <w:r>
        <w:rPr>
          <w:rFonts w:ascii="Times New Roman" w:hAnsi="Times New Roman" w:eastAsia="楷体_GB2312" w:cs="Times New Roman"/>
          <w:color w:val="auto"/>
          <w:szCs w:val="32"/>
          <w:highlight w:val="none"/>
        </w:rPr>
        <w:t>发包人、承包人双方</w:t>
      </w:r>
      <w:r>
        <w:rPr>
          <w:rFonts w:hint="eastAsia" w:ascii="Times New Roman" w:hAnsi="Times New Roman" w:eastAsia="楷体_GB2312" w:cs="Times New Roman"/>
          <w:color w:val="auto"/>
          <w:szCs w:val="32"/>
          <w:highlight w:val="none"/>
        </w:rPr>
        <w:t>均有义务建立健全廉洁风险防控机制，排查、</w:t>
      </w:r>
      <w:r>
        <w:rPr>
          <w:rFonts w:ascii="Times New Roman" w:hAnsi="Times New Roman" w:eastAsia="楷体_GB2312" w:cs="Times New Roman"/>
          <w:color w:val="auto"/>
          <w:szCs w:val="32"/>
          <w:highlight w:val="none"/>
        </w:rPr>
        <w:t>梳理</w:t>
      </w:r>
      <w:r>
        <w:rPr>
          <w:rFonts w:hint="eastAsia" w:ascii="Times New Roman" w:hAnsi="Times New Roman" w:eastAsia="楷体_GB2312" w:cs="Times New Roman"/>
          <w:color w:val="auto"/>
          <w:szCs w:val="32"/>
          <w:highlight w:val="none"/>
        </w:rPr>
        <w:t>建设工程</w:t>
      </w:r>
      <w:r>
        <w:rPr>
          <w:rFonts w:ascii="Times New Roman" w:hAnsi="Times New Roman" w:eastAsia="楷体_GB2312" w:cs="Times New Roman"/>
          <w:color w:val="auto"/>
          <w:szCs w:val="32"/>
          <w:highlight w:val="none"/>
        </w:rPr>
        <w:t>业务流程及关键工作岗位涉及的廉洁风险</w:t>
      </w:r>
      <w:r>
        <w:rPr>
          <w:rFonts w:hint="eastAsia" w:ascii="Times New Roman" w:hAnsi="Times New Roman" w:eastAsia="楷体_GB2312" w:cs="Times New Roman"/>
          <w:color w:val="auto"/>
          <w:szCs w:val="32"/>
          <w:highlight w:val="none"/>
        </w:rPr>
        <w:t>点，有针对性地逐项制定防控措施，加强对单位工作人员的廉洁教育，预警在先、防范在前，风险定到岗、制度建到位、责任落到人</w:t>
      </w:r>
      <w:r>
        <w:rPr>
          <w:rFonts w:ascii="Times New Roman" w:hAnsi="Times New Roman" w:eastAsia="楷体_GB2312" w:cs="Times New Roman"/>
          <w:color w:val="auto"/>
          <w:szCs w:val="32"/>
          <w:highlight w:val="none"/>
        </w:rPr>
        <w:t>。</w:t>
      </w:r>
      <w:r>
        <w:rPr>
          <w:rFonts w:hint="eastAsia" w:ascii="Times New Roman" w:hAnsi="Times New Roman" w:eastAsia="楷体_GB2312" w:cs="Times New Roman"/>
          <w:color w:val="auto"/>
          <w:szCs w:val="32"/>
          <w:highlight w:val="none"/>
        </w:rPr>
        <w:t>发现对方在业务活动中有违反廉洁规定的行为，应及时给予提醒和纠正。</w:t>
      </w:r>
    </w:p>
    <w:p>
      <w:pPr>
        <w:spacing w:line="360" w:lineRule="auto"/>
        <w:ind w:firstLine="422" w:firstLineChars="200"/>
        <w:rPr>
          <w:rFonts w:ascii="Times New Roman" w:hAnsi="Times New Roman" w:eastAsia="楷体_GB2312" w:cs="Times New Roman"/>
          <w:b/>
          <w:color w:val="auto"/>
          <w:szCs w:val="32"/>
          <w:highlight w:val="none"/>
        </w:rPr>
      </w:pPr>
      <w:r>
        <w:rPr>
          <w:rFonts w:ascii="Times New Roman" w:hAnsi="Times New Roman" w:eastAsia="楷体_GB2312" w:cs="Times New Roman"/>
          <w:b/>
          <w:color w:val="auto"/>
          <w:szCs w:val="32"/>
          <w:highlight w:val="none"/>
        </w:rPr>
        <w:t>第</w:t>
      </w:r>
      <w:r>
        <w:rPr>
          <w:rFonts w:hint="eastAsia" w:ascii="Times New Roman" w:hAnsi="Times New Roman" w:eastAsia="楷体_GB2312" w:cs="Times New Roman"/>
          <w:b/>
          <w:color w:val="auto"/>
          <w:szCs w:val="32"/>
          <w:highlight w:val="none"/>
        </w:rPr>
        <w:t>六</w:t>
      </w:r>
      <w:r>
        <w:rPr>
          <w:rFonts w:ascii="Times New Roman" w:hAnsi="Times New Roman" w:eastAsia="楷体_GB2312" w:cs="Times New Roman"/>
          <w:b/>
          <w:color w:val="auto"/>
          <w:szCs w:val="32"/>
          <w:highlight w:val="none"/>
        </w:rPr>
        <w:t xml:space="preserve">条  </w:t>
      </w:r>
      <w:r>
        <w:rPr>
          <w:rFonts w:hint="eastAsia" w:ascii="Times New Roman" w:hAnsi="Times New Roman" w:eastAsia="楷体_GB2312" w:cs="Times New Roman"/>
          <w:b/>
          <w:color w:val="auto"/>
          <w:szCs w:val="32"/>
          <w:highlight w:val="none"/>
        </w:rPr>
        <w:t>廉洁违约责任</w:t>
      </w:r>
    </w:p>
    <w:p>
      <w:pPr>
        <w:spacing w:line="360" w:lineRule="auto"/>
        <w:ind w:firstLine="420" w:firstLineChars="200"/>
        <w:rPr>
          <w:rFonts w:ascii="Times New Roman" w:hAnsi="Times New Roman" w:eastAsia="楷体_GB2312" w:cs="Times New Roman"/>
          <w:color w:val="auto"/>
          <w:szCs w:val="32"/>
          <w:highlight w:val="none"/>
        </w:rPr>
      </w:pPr>
      <w:r>
        <w:rPr>
          <w:rFonts w:hint="eastAsia" w:ascii="Times New Roman" w:hAnsi="Times New Roman" w:eastAsia="楷体_GB2312" w:cs="Times New Roman"/>
          <w:color w:val="auto"/>
          <w:szCs w:val="32"/>
          <w:highlight w:val="none"/>
        </w:rPr>
        <w:t>6</w:t>
      </w:r>
      <w:r>
        <w:rPr>
          <w:rFonts w:ascii="Times New Roman" w:hAnsi="Times New Roman" w:eastAsia="楷体_GB2312" w:cs="Times New Roman"/>
          <w:color w:val="auto"/>
          <w:szCs w:val="32"/>
          <w:highlight w:val="none"/>
        </w:rPr>
        <w:t>.1  发包人</w:t>
      </w:r>
      <w:r>
        <w:rPr>
          <w:rFonts w:hint="eastAsia" w:ascii="Times New Roman" w:hAnsi="Times New Roman" w:eastAsia="楷体_GB2312" w:cs="Times New Roman"/>
          <w:color w:val="auto"/>
          <w:szCs w:val="32"/>
          <w:highlight w:val="none"/>
        </w:rPr>
        <w:t>及其工作人员</w:t>
      </w:r>
      <w:r>
        <w:rPr>
          <w:rFonts w:ascii="Times New Roman" w:hAnsi="Times New Roman" w:eastAsia="楷体_GB2312" w:cs="Times New Roman"/>
          <w:color w:val="auto"/>
          <w:szCs w:val="32"/>
          <w:highlight w:val="none"/>
        </w:rPr>
        <w:t>违反本合同</w:t>
      </w:r>
      <w:r>
        <w:rPr>
          <w:rFonts w:hint="eastAsia" w:ascii="Times New Roman" w:hAnsi="Times New Roman" w:eastAsia="楷体_GB2312" w:cs="Times New Roman"/>
          <w:color w:val="auto"/>
          <w:szCs w:val="32"/>
          <w:highlight w:val="none"/>
        </w:rPr>
        <w:t>第二条和第四条规定</w:t>
      </w:r>
      <w:r>
        <w:rPr>
          <w:rFonts w:ascii="Times New Roman" w:hAnsi="Times New Roman" w:eastAsia="楷体_GB2312" w:cs="Times New Roman"/>
          <w:color w:val="auto"/>
          <w:szCs w:val="32"/>
          <w:highlight w:val="none"/>
        </w:rPr>
        <w:t>，相关责任人应受到相应的党纪政务（纪）处分，</w:t>
      </w:r>
      <w:r>
        <w:rPr>
          <w:rFonts w:hint="eastAsia" w:ascii="Times New Roman" w:hAnsi="Times New Roman" w:eastAsia="楷体_GB2312" w:cs="Times New Roman"/>
          <w:color w:val="auto"/>
          <w:szCs w:val="32"/>
          <w:highlight w:val="none"/>
        </w:rPr>
        <w:t>涉嫌</w:t>
      </w:r>
      <w:r>
        <w:rPr>
          <w:rFonts w:ascii="Times New Roman" w:hAnsi="Times New Roman" w:eastAsia="楷体_GB2312" w:cs="Times New Roman"/>
          <w:color w:val="auto"/>
          <w:szCs w:val="32"/>
          <w:highlight w:val="none"/>
        </w:rPr>
        <w:t>犯罪的</w:t>
      </w:r>
      <w:r>
        <w:rPr>
          <w:rFonts w:hint="eastAsia" w:ascii="Times New Roman" w:hAnsi="Times New Roman" w:eastAsia="楷体_GB2312" w:cs="Times New Roman"/>
          <w:color w:val="auto"/>
          <w:szCs w:val="32"/>
          <w:highlight w:val="none"/>
        </w:rPr>
        <w:t>，</w:t>
      </w:r>
      <w:r>
        <w:rPr>
          <w:rFonts w:ascii="Times New Roman" w:hAnsi="Times New Roman" w:eastAsia="楷体_GB2312" w:cs="Times New Roman"/>
          <w:color w:val="auto"/>
          <w:szCs w:val="32"/>
          <w:highlight w:val="none"/>
        </w:rPr>
        <w:t>移送司法机关</w:t>
      </w:r>
      <w:r>
        <w:rPr>
          <w:rFonts w:hint="eastAsia" w:ascii="Times New Roman" w:hAnsi="Times New Roman" w:eastAsia="楷体_GB2312" w:cs="Times New Roman"/>
          <w:color w:val="auto"/>
          <w:szCs w:val="32"/>
          <w:highlight w:val="none"/>
        </w:rPr>
        <w:t>依法</w:t>
      </w:r>
      <w:r>
        <w:rPr>
          <w:rFonts w:ascii="Times New Roman" w:hAnsi="Times New Roman" w:eastAsia="楷体_GB2312" w:cs="Times New Roman"/>
          <w:color w:val="auto"/>
          <w:szCs w:val="32"/>
          <w:highlight w:val="none"/>
        </w:rPr>
        <w:t>处理；</w:t>
      </w:r>
      <w:r>
        <w:rPr>
          <w:rFonts w:hint="eastAsia" w:ascii="Times New Roman" w:hAnsi="Times New Roman" w:eastAsia="楷体_GB2312" w:cs="Times New Roman"/>
          <w:color w:val="auto"/>
          <w:szCs w:val="32"/>
          <w:highlight w:val="none"/>
        </w:rPr>
        <w:t>给</w:t>
      </w:r>
      <w:r>
        <w:rPr>
          <w:rFonts w:ascii="Times New Roman" w:hAnsi="Times New Roman" w:eastAsia="楷体_GB2312" w:cs="Times New Roman"/>
          <w:color w:val="auto"/>
          <w:szCs w:val="32"/>
          <w:highlight w:val="none"/>
        </w:rPr>
        <w:t>承包人造成经济损失的，应承担相应的赔偿责任。</w:t>
      </w:r>
    </w:p>
    <w:p>
      <w:pPr>
        <w:spacing w:line="360" w:lineRule="auto"/>
        <w:ind w:firstLine="420" w:firstLineChars="200"/>
        <w:rPr>
          <w:rFonts w:ascii="Times New Roman" w:hAnsi="Times New Roman" w:eastAsia="楷体_GB2312" w:cs="Times New Roman"/>
          <w:color w:val="auto"/>
          <w:szCs w:val="32"/>
          <w:highlight w:val="none"/>
        </w:rPr>
      </w:pPr>
      <w:r>
        <w:rPr>
          <w:rFonts w:hint="eastAsia" w:ascii="Times New Roman" w:hAnsi="Times New Roman" w:eastAsia="楷体_GB2312" w:cs="Times New Roman"/>
          <w:color w:val="auto"/>
          <w:szCs w:val="32"/>
          <w:highlight w:val="none"/>
        </w:rPr>
        <w:t>6</w:t>
      </w:r>
      <w:r>
        <w:rPr>
          <w:rFonts w:ascii="Times New Roman" w:hAnsi="Times New Roman" w:eastAsia="楷体_GB2312" w:cs="Times New Roman"/>
          <w:color w:val="auto"/>
          <w:szCs w:val="32"/>
          <w:highlight w:val="none"/>
        </w:rPr>
        <w:t xml:space="preserve">.2  </w:t>
      </w:r>
      <w:r>
        <w:rPr>
          <w:rFonts w:hint="eastAsia" w:ascii="Times New Roman" w:hAnsi="Times New Roman" w:eastAsia="楷体_GB2312" w:cs="Times New Roman"/>
          <w:color w:val="auto"/>
          <w:szCs w:val="32"/>
          <w:highlight w:val="none"/>
        </w:rPr>
        <w:t>承包人</w:t>
      </w:r>
      <w:r>
        <w:rPr>
          <w:rFonts w:ascii="Times New Roman" w:hAnsi="Times New Roman" w:eastAsia="楷体_GB2312" w:cs="Times New Roman"/>
          <w:bCs/>
          <w:color w:val="auto"/>
          <w:szCs w:val="32"/>
          <w:highlight w:val="none"/>
        </w:rPr>
        <w:t>及其</w:t>
      </w:r>
      <w:r>
        <w:rPr>
          <w:rFonts w:hint="eastAsia" w:ascii="Times New Roman" w:hAnsi="Times New Roman" w:eastAsia="楷体_GB2312" w:cs="Times New Roman"/>
          <w:bCs/>
          <w:color w:val="auto"/>
          <w:szCs w:val="32"/>
          <w:highlight w:val="none"/>
        </w:rPr>
        <w:t>工作人员</w:t>
      </w:r>
      <w:r>
        <w:rPr>
          <w:rFonts w:hint="eastAsia" w:ascii="Times New Roman" w:hAnsi="Times New Roman" w:eastAsia="楷体_GB2312" w:cs="Times New Roman"/>
          <w:color w:val="auto"/>
          <w:szCs w:val="32"/>
          <w:highlight w:val="none"/>
        </w:rPr>
        <w:t>违反本合同第三条和第四条规定，经有关主管部门查证属实或者经纪检监察机关认定违纪、经司法机关依法确定构成违法犯罪的，承包人应按次向发包人支付廉洁违约金（施工类建设项目合同价款</w:t>
      </w:r>
      <w:r>
        <w:rPr>
          <w:rFonts w:ascii="Times New Roman" w:hAnsi="Times New Roman" w:eastAsia="楷体_GB2312" w:cs="Times New Roman"/>
          <w:color w:val="auto"/>
          <w:szCs w:val="32"/>
          <w:highlight w:val="none"/>
        </w:rPr>
        <w:t>2%且不超过100万元人民币，服务类建设项目合同价款5%且不超过50万元人民币）；</w:t>
      </w:r>
      <w:r>
        <w:rPr>
          <w:rFonts w:hint="eastAsia" w:ascii="Times New Roman" w:hAnsi="Times New Roman" w:eastAsia="楷体_GB2312" w:cs="Times New Roman"/>
          <w:color w:val="auto"/>
          <w:szCs w:val="32"/>
          <w:highlight w:val="none"/>
        </w:rPr>
        <w:t>给发包人造成经济损失的，还应承担相应的赔偿责任。</w:t>
      </w:r>
      <w:r>
        <w:rPr>
          <w:rFonts w:ascii="Times New Roman" w:hAnsi="Times New Roman" w:eastAsia="楷体_GB2312" w:cs="Times New Roman"/>
          <w:color w:val="auto"/>
          <w:szCs w:val="32"/>
          <w:highlight w:val="none"/>
        </w:rPr>
        <w:t>同时，发包人有权：（1）</w:t>
      </w:r>
      <w:r>
        <w:rPr>
          <w:rFonts w:hint="eastAsia" w:ascii="Times New Roman" w:hAnsi="Times New Roman" w:eastAsia="楷体_GB2312" w:cs="Times New Roman"/>
          <w:color w:val="auto"/>
          <w:szCs w:val="32"/>
          <w:highlight w:val="none"/>
        </w:rPr>
        <w:t>如承包人的行为严重影响合同的履行或者严重干扰市场公平竞争营商环境，可</w:t>
      </w:r>
      <w:r>
        <w:rPr>
          <w:rFonts w:ascii="Times New Roman" w:hAnsi="Times New Roman" w:eastAsia="楷体_GB2312" w:cs="Times New Roman"/>
          <w:color w:val="auto"/>
          <w:szCs w:val="32"/>
          <w:highlight w:val="none"/>
        </w:rPr>
        <w:t>单方解除</w:t>
      </w:r>
      <w:r>
        <w:rPr>
          <w:rFonts w:hint="eastAsia" w:ascii="Times New Roman" w:hAnsi="Times New Roman" w:eastAsia="楷体_GB2312" w:cs="Times New Roman"/>
          <w:color w:val="auto"/>
          <w:szCs w:val="32"/>
          <w:highlight w:val="none"/>
        </w:rPr>
        <w:t>主</w:t>
      </w:r>
      <w:r>
        <w:rPr>
          <w:rFonts w:ascii="Times New Roman" w:hAnsi="Times New Roman" w:eastAsia="楷体_GB2312" w:cs="Times New Roman"/>
          <w:color w:val="auto"/>
          <w:szCs w:val="32"/>
          <w:highlight w:val="none"/>
        </w:rPr>
        <w:t>合同；（2）</w:t>
      </w:r>
      <w:r>
        <w:rPr>
          <w:rFonts w:hint="eastAsia" w:ascii="Times New Roman" w:hAnsi="Times New Roman" w:eastAsia="楷体_GB2312" w:cs="Times New Roman"/>
          <w:color w:val="auto"/>
          <w:szCs w:val="32"/>
          <w:highlight w:val="none"/>
        </w:rPr>
        <w:t>将</w:t>
      </w:r>
      <w:r>
        <w:rPr>
          <w:rFonts w:ascii="Times New Roman" w:hAnsi="Times New Roman" w:eastAsia="楷体_GB2312" w:cs="Times New Roman"/>
          <w:color w:val="auto"/>
          <w:szCs w:val="32"/>
          <w:highlight w:val="none"/>
        </w:rPr>
        <w:t>承包人的履约评价评为不合格，并拒绝</w:t>
      </w:r>
      <w:r>
        <w:rPr>
          <w:rFonts w:hint="eastAsia" w:ascii="Times New Roman" w:hAnsi="Times New Roman" w:eastAsia="楷体_GB2312" w:cs="Times New Roman"/>
          <w:color w:val="auto"/>
          <w:szCs w:val="32"/>
          <w:highlight w:val="none"/>
        </w:rPr>
        <w:t>其</w:t>
      </w:r>
      <w:r>
        <w:rPr>
          <w:rFonts w:ascii="Times New Roman" w:hAnsi="Times New Roman" w:eastAsia="楷体_GB2312" w:cs="Times New Roman"/>
          <w:color w:val="auto"/>
          <w:szCs w:val="32"/>
          <w:highlight w:val="none"/>
        </w:rPr>
        <w:t>参与发包人负责实施项目的投标或摇珠；（3）将有关情况报相关主管部门</w:t>
      </w:r>
      <w:r>
        <w:rPr>
          <w:rFonts w:hint="eastAsia" w:ascii="Times New Roman" w:hAnsi="Times New Roman" w:eastAsia="楷体_GB2312" w:cs="Times New Roman"/>
          <w:color w:val="auto"/>
          <w:szCs w:val="32"/>
          <w:highlight w:val="none"/>
        </w:rPr>
        <w:t>记录</w:t>
      </w:r>
      <w:r>
        <w:rPr>
          <w:rFonts w:ascii="Times New Roman" w:hAnsi="Times New Roman" w:eastAsia="楷体_GB2312" w:cs="Times New Roman"/>
          <w:color w:val="auto"/>
          <w:szCs w:val="32"/>
          <w:highlight w:val="none"/>
        </w:rPr>
        <w:t>，</w:t>
      </w:r>
      <w:r>
        <w:rPr>
          <w:rFonts w:hint="eastAsia" w:ascii="Times New Roman" w:hAnsi="Times New Roman" w:eastAsia="楷体_GB2312" w:cs="Times New Roman"/>
          <w:color w:val="auto"/>
          <w:szCs w:val="32"/>
          <w:highlight w:val="none"/>
        </w:rPr>
        <w:t>作为企业诚信评分考核，</w:t>
      </w:r>
      <w:r>
        <w:rPr>
          <w:rFonts w:ascii="Times New Roman" w:hAnsi="Times New Roman" w:eastAsia="楷体_GB2312" w:cs="Times New Roman"/>
          <w:color w:val="auto"/>
          <w:szCs w:val="32"/>
          <w:highlight w:val="none"/>
        </w:rPr>
        <w:t>建议</w:t>
      </w:r>
      <w:r>
        <w:rPr>
          <w:rFonts w:hint="eastAsia" w:ascii="Times New Roman" w:hAnsi="Times New Roman" w:eastAsia="楷体_GB2312" w:cs="Times New Roman"/>
          <w:color w:val="auto"/>
          <w:szCs w:val="32"/>
          <w:highlight w:val="none"/>
        </w:rPr>
        <w:t>给予</w:t>
      </w:r>
      <w:r>
        <w:rPr>
          <w:rFonts w:ascii="Times New Roman" w:hAnsi="Times New Roman" w:eastAsia="楷体_GB2312" w:cs="Times New Roman"/>
          <w:color w:val="auto"/>
          <w:szCs w:val="32"/>
          <w:highlight w:val="none"/>
        </w:rPr>
        <w:t>通报</w:t>
      </w:r>
      <w:r>
        <w:rPr>
          <w:rFonts w:hint="eastAsia" w:ascii="Times New Roman" w:hAnsi="Times New Roman" w:eastAsia="楷体_GB2312" w:cs="Times New Roman"/>
          <w:color w:val="auto"/>
          <w:szCs w:val="32"/>
          <w:highlight w:val="none"/>
        </w:rPr>
        <w:t>并向社会进行公示。</w:t>
      </w:r>
    </w:p>
    <w:p>
      <w:pPr>
        <w:spacing w:line="360" w:lineRule="auto"/>
        <w:ind w:firstLine="422" w:firstLineChars="200"/>
        <w:rPr>
          <w:rFonts w:ascii="Times New Roman" w:hAnsi="Times New Roman" w:eastAsia="楷体_GB2312" w:cs="Times New Roman"/>
          <w:b/>
          <w:color w:val="auto"/>
          <w:szCs w:val="32"/>
          <w:highlight w:val="none"/>
        </w:rPr>
      </w:pPr>
      <w:r>
        <w:rPr>
          <w:rFonts w:ascii="Times New Roman" w:hAnsi="Times New Roman" w:eastAsia="楷体_GB2312" w:cs="Times New Roman"/>
          <w:b/>
          <w:color w:val="auto"/>
          <w:szCs w:val="32"/>
          <w:highlight w:val="none"/>
        </w:rPr>
        <w:t>第</w:t>
      </w:r>
      <w:r>
        <w:rPr>
          <w:rFonts w:hint="eastAsia" w:ascii="Times New Roman" w:hAnsi="Times New Roman" w:eastAsia="楷体_GB2312" w:cs="Times New Roman"/>
          <w:b/>
          <w:color w:val="auto"/>
          <w:szCs w:val="32"/>
          <w:highlight w:val="none"/>
        </w:rPr>
        <w:t>七</w:t>
      </w:r>
      <w:r>
        <w:rPr>
          <w:rFonts w:ascii="Times New Roman" w:hAnsi="Times New Roman" w:eastAsia="楷体_GB2312" w:cs="Times New Roman"/>
          <w:b/>
          <w:color w:val="auto"/>
          <w:szCs w:val="32"/>
          <w:highlight w:val="none"/>
        </w:rPr>
        <w:t xml:space="preserve">条  </w:t>
      </w:r>
      <w:r>
        <w:rPr>
          <w:rFonts w:hint="eastAsia" w:ascii="Times New Roman" w:hAnsi="Times New Roman" w:eastAsia="楷体_GB2312" w:cs="Times New Roman"/>
          <w:b/>
          <w:color w:val="auto"/>
          <w:szCs w:val="32"/>
          <w:highlight w:val="none"/>
        </w:rPr>
        <w:t>监督</w:t>
      </w:r>
      <w:r>
        <w:rPr>
          <w:rFonts w:ascii="Times New Roman" w:hAnsi="Times New Roman" w:eastAsia="楷体_GB2312" w:cs="Times New Roman"/>
          <w:b/>
          <w:color w:val="auto"/>
          <w:szCs w:val="32"/>
          <w:highlight w:val="none"/>
        </w:rPr>
        <w:t>举报</w:t>
      </w:r>
    </w:p>
    <w:p>
      <w:pPr>
        <w:spacing w:line="360" w:lineRule="auto"/>
        <w:ind w:firstLine="420" w:firstLineChars="200"/>
        <w:rPr>
          <w:rFonts w:ascii="Times New Roman" w:hAnsi="Times New Roman" w:eastAsia="楷体_GB2312" w:cs="Times New Roman"/>
          <w:color w:val="auto"/>
          <w:szCs w:val="32"/>
          <w:highlight w:val="none"/>
        </w:rPr>
      </w:pPr>
      <w:r>
        <w:rPr>
          <w:rFonts w:ascii="Times New Roman" w:hAnsi="Times New Roman" w:eastAsia="楷体_GB2312" w:cs="Times New Roman"/>
          <w:color w:val="auto"/>
          <w:szCs w:val="32"/>
          <w:highlight w:val="none"/>
        </w:rPr>
        <w:t>发包人、承包人</w:t>
      </w:r>
      <w:r>
        <w:rPr>
          <w:rFonts w:hint="eastAsia" w:ascii="Times New Roman" w:hAnsi="Times New Roman" w:eastAsia="楷体_GB2312" w:cs="Times New Roman"/>
          <w:color w:val="auto"/>
          <w:szCs w:val="32"/>
          <w:highlight w:val="none"/>
        </w:rPr>
        <w:t>均有监督举报的权利和义务，</w:t>
      </w:r>
      <w:r>
        <w:rPr>
          <w:rFonts w:ascii="Times New Roman" w:hAnsi="Times New Roman" w:eastAsia="楷体_GB2312" w:cs="Times New Roman"/>
          <w:color w:val="auto"/>
          <w:szCs w:val="32"/>
          <w:highlight w:val="none"/>
        </w:rPr>
        <w:t>发现对方有违反本合同的行为，可向南沙区纪委监委举报</w:t>
      </w:r>
      <w:r>
        <w:rPr>
          <w:rFonts w:hint="eastAsia" w:ascii="Times New Roman" w:hAnsi="Times New Roman" w:eastAsia="楷体_GB2312" w:cs="Times New Roman"/>
          <w:color w:val="auto"/>
          <w:szCs w:val="32"/>
          <w:highlight w:val="none"/>
        </w:rPr>
        <w:t>。南沙</w:t>
      </w:r>
      <w:r>
        <w:rPr>
          <w:rFonts w:ascii="Times New Roman" w:hAnsi="Times New Roman" w:eastAsia="楷体_GB2312" w:cs="Times New Roman"/>
          <w:color w:val="auto"/>
          <w:szCs w:val="32"/>
          <w:highlight w:val="none"/>
        </w:rPr>
        <w:t>区纪委监委</w:t>
      </w:r>
      <w:r>
        <w:rPr>
          <w:rFonts w:hint="eastAsia" w:ascii="Times New Roman" w:hAnsi="Times New Roman" w:eastAsia="楷体_GB2312" w:cs="Times New Roman"/>
          <w:color w:val="auto"/>
          <w:szCs w:val="32"/>
          <w:highlight w:val="none"/>
        </w:rPr>
        <w:t>将按照相关规定予以受理，鼓励实名举报，严查诬告陷害，对实名举报有功人员给予一定的现金奖励，对诬告陷害的依规依纪依法给予处理。</w:t>
      </w:r>
    </w:p>
    <w:p>
      <w:pPr>
        <w:spacing w:line="360" w:lineRule="auto"/>
        <w:ind w:firstLine="422" w:firstLineChars="200"/>
        <w:rPr>
          <w:rFonts w:ascii="Times New Roman" w:hAnsi="Times New Roman" w:eastAsia="楷体_GB2312" w:cs="Times New Roman"/>
          <w:color w:val="auto"/>
          <w:szCs w:val="32"/>
          <w:highlight w:val="none"/>
        </w:rPr>
      </w:pPr>
      <w:r>
        <w:rPr>
          <w:rFonts w:ascii="Times New Roman" w:hAnsi="Times New Roman" w:eastAsia="楷体_GB2312" w:cs="Times New Roman"/>
          <w:b/>
          <w:bCs/>
          <w:color w:val="auto"/>
          <w:szCs w:val="32"/>
          <w:highlight w:val="none"/>
        </w:rPr>
        <w:t>南沙区纪委监委</w:t>
      </w:r>
      <w:r>
        <w:rPr>
          <w:rFonts w:hint="eastAsia" w:ascii="Times New Roman" w:hAnsi="Times New Roman" w:eastAsia="楷体_GB2312" w:cs="Times New Roman"/>
          <w:b/>
          <w:bCs/>
          <w:color w:val="auto"/>
          <w:szCs w:val="32"/>
          <w:highlight w:val="none"/>
        </w:rPr>
        <w:t>举报方式</w:t>
      </w:r>
      <w:r>
        <w:rPr>
          <w:rFonts w:hint="eastAsia" w:ascii="Times New Roman" w:hAnsi="Times New Roman" w:eastAsia="楷体_GB2312" w:cs="Times New Roman"/>
          <w:color w:val="auto"/>
          <w:szCs w:val="32"/>
          <w:highlight w:val="none"/>
        </w:rPr>
        <w:t>：</w:t>
      </w:r>
    </w:p>
    <w:p>
      <w:pPr>
        <w:spacing w:line="360" w:lineRule="auto"/>
        <w:ind w:firstLine="420" w:firstLineChars="200"/>
        <w:rPr>
          <w:rFonts w:ascii="Times New Roman" w:hAnsi="Times New Roman" w:eastAsia="楷体_GB2312" w:cs="Times New Roman"/>
          <w:color w:val="auto"/>
          <w:szCs w:val="32"/>
          <w:highlight w:val="none"/>
        </w:rPr>
      </w:pPr>
      <w:r>
        <w:rPr>
          <w:rFonts w:ascii="Times New Roman" w:hAnsi="Times New Roman" w:eastAsia="楷体_GB2312" w:cs="Times New Roman"/>
          <w:color w:val="auto"/>
          <w:szCs w:val="32"/>
          <w:highlight w:val="none"/>
        </w:rPr>
        <w:t>来信举报：广州市南沙区凤凰大道一号南沙区纪委监委信访室，邮编511455；</w:t>
      </w:r>
    </w:p>
    <w:p>
      <w:pPr>
        <w:spacing w:line="360" w:lineRule="auto"/>
        <w:ind w:firstLine="420" w:firstLineChars="200"/>
        <w:rPr>
          <w:rFonts w:ascii="Times New Roman" w:hAnsi="Times New Roman" w:eastAsia="楷体_GB2312" w:cs="Times New Roman"/>
          <w:color w:val="auto"/>
          <w:szCs w:val="32"/>
          <w:highlight w:val="none"/>
        </w:rPr>
      </w:pPr>
      <w:r>
        <w:rPr>
          <w:rFonts w:ascii="Times New Roman" w:hAnsi="Times New Roman" w:eastAsia="楷体_GB2312" w:cs="Times New Roman"/>
          <w:color w:val="auto"/>
          <w:szCs w:val="32"/>
          <w:highlight w:val="none"/>
        </w:rPr>
        <w:t>电话举报：020-84986949</w:t>
      </w:r>
      <w:r>
        <w:rPr>
          <w:rFonts w:hint="eastAsia" w:ascii="Times New Roman" w:hAnsi="Times New Roman" w:eastAsia="楷体_GB2312" w:cs="Times New Roman"/>
          <w:color w:val="auto"/>
          <w:szCs w:val="32"/>
          <w:highlight w:val="none"/>
        </w:rPr>
        <w:t>，</w:t>
      </w:r>
      <w:r>
        <w:rPr>
          <w:rFonts w:ascii="Times New Roman" w:hAnsi="Times New Roman" w:eastAsia="楷体_GB2312" w:cs="Times New Roman"/>
          <w:color w:val="auto"/>
          <w:szCs w:val="32"/>
          <w:highlight w:val="none"/>
        </w:rPr>
        <w:t>020-12388</w:t>
      </w:r>
      <w:r>
        <w:rPr>
          <w:rFonts w:hint="eastAsia" w:ascii="Times New Roman" w:hAnsi="Times New Roman" w:eastAsia="楷体_GB2312" w:cs="Times New Roman"/>
          <w:color w:val="auto"/>
          <w:szCs w:val="32"/>
          <w:highlight w:val="none"/>
        </w:rPr>
        <w:t>；</w:t>
      </w:r>
    </w:p>
    <w:p>
      <w:pPr>
        <w:spacing w:line="360" w:lineRule="auto"/>
        <w:ind w:firstLine="420" w:firstLineChars="200"/>
        <w:rPr>
          <w:rFonts w:ascii="Times New Roman" w:hAnsi="Times New Roman" w:eastAsia="楷体_GB2312" w:cs="Times New Roman"/>
          <w:color w:val="auto"/>
          <w:szCs w:val="32"/>
          <w:highlight w:val="none"/>
        </w:rPr>
      </w:pPr>
      <w:r>
        <w:rPr>
          <w:rFonts w:ascii="Times New Roman" w:hAnsi="Times New Roman" w:eastAsia="楷体_GB2312" w:cs="Times New Roman"/>
          <w:color w:val="auto"/>
          <w:szCs w:val="32"/>
          <w:highlight w:val="none"/>
        </w:rPr>
        <w:t>网络举报：</w:t>
      </w:r>
      <w:r>
        <w:rPr>
          <w:rFonts w:ascii="Times New Roman" w:hAnsi="Times New Roman" w:eastAsia="楷体_GB2312" w:cs="Times New Roman"/>
          <w:color w:val="auto"/>
          <w:szCs w:val="20"/>
          <w:highlight w:val="none"/>
        </w:rPr>
        <w:fldChar w:fldCharType="begin"/>
      </w:r>
      <w:r>
        <w:rPr>
          <w:rFonts w:ascii="Times New Roman" w:hAnsi="Times New Roman" w:eastAsia="楷体_GB2312" w:cs="Times New Roman"/>
          <w:color w:val="auto"/>
          <w:szCs w:val="20"/>
          <w:highlight w:val="none"/>
        </w:rPr>
        <w:instrText xml:space="preserve">HYPERLINK "http://guangdong.12388.gov.cn；"</w:instrText>
      </w:r>
      <w:r>
        <w:rPr>
          <w:rFonts w:ascii="Times New Roman" w:hAnsi="Times New Roman" w:eastAsia="楷体_GB2312" w:cs="Times New Roman"/>
          <w:color w:val="auto"/>
          <w:szCs w:val="20"/>
          <w:highlight w:val="none"/>
        </w:rPr>
        <w:fldChar w:fldCharType="separate"/>
      </w:r>
      <w:r>
        <w:rPr>
          <w:rFonts w:hint="eastAsia" w:ascii="Times New Roman" w:hAnsi="Times New Roman" w:eastAsia="楷体_GB2312" w:cs="Times New Roman"/>
          <w:color w:val="auto"/>
          <w:szCs w:val="32"/>
          <w:highlight w:val="none"/>
        </w:rPr>
        <w:t>http://guangdong.12388.gov.cn；</w:t>
      </w:r>
      <w:r>
        <w:rPr>
          <w:rFonts w:ascii="Times New Roman" w:hAnsi="Times New Roman" w:eastAsia="楷体_GB2312" w:cs="Times New Roman"/>
          <w:color w:val="auto"/>
          <w:szCs w:val="20"/>
          <w:highlight w:val="none"/>
        </w:rPr>
        <w:fldChar w:fldCharType="end"/>
      </w:r>
    </w:p>
    <w:p>
      <w:pPr>
        <w:spacing w:line="360" w:lineRule="auto"/>
        <w:ind w:firstLine="420" w:firstLineChars="200"/>
        <w:rPr>
          <w:rFonts w:ascii="Times New Roman" w:hAnsi="Times New Roman" w:eastAsia="楷体_GB2312" w:cs="Times New Roman"/>
          <w:color w:val="auto"/>
          <w:szCs w:val="32"/>
          <w:highlight w:val="none"/>
        </w:rPr>
      </w:pPr>
      <w:r>
        <w:rPr>
          <w:rFonts w:hint="eastAsia" w:ascii="Times New Roman" w:hAnsi="Times New Roman" w:eastAsia="楷体_GB2312" w:cs="Times New Roman"/>
          <w:color w:val="auto"/>
          <w:szCs w:val="32"/>
          <w:highlight w:val="none"/>
        </w:rPr>
        <w:drawing>
          <wp:anchor distT="0" distB="0" distL="114300" distR="114300" simplePos="0" relativeHeight="251659264" behindDoc="0" locked="0" layoutInCell="1" allowOverlap="1">
            <wp:simplePos x="0" y="0"/>
            <wp:positionH relativeFrom="column">
              <wp:posOffset>1579245</wp:posOffset>
            </wp:positionH>
            <wp:positionV relativeFrom="paragraph">
              <wp:posOffset>416560</wp:posOffset>
            </wp:positionV>
            <wp:extent cx="1991360" cy="2440940"/>
            <wp:effectExtent l="0" t="0" r="8890" b="16510"/>
            <wp:wrapTopAndBottom/>
            <wp:docPr id="1" name="图片 41" descr="16034246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41" descr="1603424669(1)"/>
                    <pic:cNvPicPr>
                      <a:picLocks noChangeAspect="1"/>
                    </pic:cNvPicPr>
                  </pic:nvPicPr>
                  <pic:blipFill>
                    <a:blip r:embed="rId10"/>
                    <a:stretch>
                      <a:fillRect/>
                    </a:stretch>
                  </pic:blipFill>
                  <pic:spPr>
                    <a:xfrm>
                      <a:off x="0" y="0"/>
                      <a:ext cx="1991360" cy="2440940"/>
                    </a:xfrm>
                    <a:prstGeom prst="rect">
                      <a:avLst/>
                    </a:prstGeom>
                    <a:noFill/>
                    <a:ln>
                      <a:noFill/>
                    </a:ln>
                  </pic:spPr>
                </pic:pic>
              </a:graphicData>
            </a:graphic>
          </wp:anchor>
        </w:drawing>
      </w:r>
      <w:r>
        <w:rPr>
          <w:rFonts w:hint="eastAsia" w:ascii="Times New Roman" w:hAnsi="Times New Roman" w:eastAsia="楷体_GB2312" w:cs="Times New Roman"/>
          <w:color w:val="auto"/>
          <w:szCs w:val="32"/>
          <w:highlight w:val="none"/>
        </w:rPr>
        <w:t>二维码举报：</w:t>
      </w:r>
    </w:p>
    <w:p>
      <w:pPr>
        <w:spacing w:line="360" w:lineRule="auto"/>
        <w:ind w:firstLine="422" w:firstLineChars="200"/>
        <w:rPr>
          <w:rFonts w:ascii="Times New Roman" w:hAnsi="Times New Roman" w:eastAsia="楷体_GB2312" w:cs="Times New Roman"/>
          <w:b/>
          <w:color w:val="auto"/>
          <w:szCs w:val="32"/>
          <w:highlight w:val="none"/>
        </w:rPr>
      </w:pPr>
      <w:r>
        <w:rPr>
          <w:rFonts w:ascii="Times New Roman" w:hAnsi="Times New Roman" w:eastAsia="楷体_GB2312" w:cs="Times New Roman"/>
          <w:b/>
          <w:color w:val="auto"/>
          <w:szCs w:val="32"/>
          <w:highlight w:val="none"/>
        </w:rPr>
        <w:t>第</w:t>
      </w:r>
      <w:r>
        <w:rPr>
          <w:rFonts w:hint="eastAsia" w:ascii="Times New Roman" w:hAnsi="Times New Roman" w:eastAsia="楷体_GB2312" w:cs="Times New Roman"/>
          <w:b/>
          <w:color w:val="auto"/>
          <w:szCs w:val="32"/>
          <w:highlight w:val="none"/>
        </w:rPr>
        <w:t>八</w:t>
      </w:r>
      <w:r>
        <w:rPr>
          <w:rFonts w:ascii="Times New Roman" w:hAnsi="Times New Roman" w:eastAsia="楷体_GB2312" w:cs="Times New Roman"/>
          <w:b/>
          <w:color w:val="auto"/>
          <w:szCs w:val="32"/>
          <w:highlight w:val="none"/>
        </w:rPr>
        <w:t>条  其他约定</w:t>
      </w:r>
    </w:p>
    <w:p>
      <w:pPr>
        <w:spacing w:line="360" w:lineRule="auto"/>
        <w:ind w:firstLine="420" w:firstLineChars="200"/>
        <w:rPr>
          <w:rFonts w:ascii="Times New Roman" w:hAnsi="Times New Roman" w:eastAsia="楷体_GB2312" w:cs="Times New Roman"/>
          <w:color w:val="auto"/>
          <w:szCs w:val="32"/>
          <w:highlight w:val="none"/>
        </w:rPr>
      </w:pPr>
      <w:r>
        <w:rPr>
          <w:rFonts w:ascii="Times New Roman" w:hAnsi="Times New Roman" w:eastAsia="楷体_GB2312" w:cs="Times New Roman"/>
          <w:color w:val="auto"/>
          <w:szCs w:val="32"/>
          <w:highlight w:val="none"/>
        </w:rPr>
        <w:t>本合同作为双方所签署主合同的附件，与</w:t>
      </w:r>
      <w:r>
        <w:rPr>
          <w:rFonts w:hint="eastAsia" w:ascii="Times New Roman" w:hAnsi="Times New Roman" w:eastAsia="楷体_GB2312" w:cs="Times New Roman"/>
          <w:color w:val="auto"/>
          <w:szCs w:val="32"/>
          <w:highlight w:val="none"/>
        </w:rPr>
        <w:t>主合同</w:t>
      </w:r>
      <w:r>
        <w:rPr>
          <w:rFonts w:ascii="Times New Roman" w:hAnsi="Times New Roman" w:eastAsia="楷体_GB2312" w:cs="Times New Roman"/>
          <w:color w:val="auto"/>
          <w:szCs w:val="32"/>
          <w:highlight w:val="none"/>
        </w:rPr>
        <w:t>具有同等法律效力</w:t>
      </w:r>
      <w:r>
        <w:rPr>
          <w:rFonts w:hint="eastAsia" w:ascii="Times New Roman" w:hAnsi="Times New Roman" w:eastAsia="楷体_GB2312" w:cs="Times New Roman"/>
          <w:color w:val="auto"/>
          <w:szCs w:val="32"/>
          <w:highlight w:val="none"/>
        </w:rPr>
        <w:t>。对项目涉及的廉洁问题，不受项目竣工验收、工作人员离职或退休等原因影响，发包人、承包人仍应按合同约定承担相应的违约责任。</w:t>
      </w:r>
    </w:p>
    <w:p>
      <w:pPr>
        <w:spacing w:line="360" w:lineRule="auto"/>
        <w:ind w:firstLine="420" w:firstLineChars="200"/>
        <w:rPr>
          <w:rFonts w:hint="eastAsia" w:ascii="Times New Roman" w:hAnsi="Times New Roman" w:eastAsia="楷体_GB2312" w:cs="Times New Roman"/>
          <w:color w:val="auto"/>
          <w:szCs w:val="32"/>
          <w:highlight w:val="none"/>
        </w:rPr>
      </w:pPr>
      <w:r>
        <w:rPr>
          <w:rFonts w:ascii="Times New Roman" w:hAnsi="Times New Roman" w:eastAsia="楷体_GB2312" w:cs="Times New Roman"/>
          <w:color w:val="auto"/>
          <w:szCs w:val="32"/>
          <w:highlight w:val="none"/>
        </w:rPr>
        <w:t>本合同</w:t>
      </w:r>
      <w:r>
        <w:rPr>
          <w:rFonts w:hint="eastAsia" w:ascii="Times New Roman" w:hAnsi="Times New Roman" w:eastAsia="楷体_GB2312" w:cs="Times New Roman"/>
          <w:color w:val="auto"/>
          <w:szCs w:val="32"/>
          <w:highlight w:val="none"/>
        </w:rPr>
        <w:t>一式</w:t>
      </w:r>
      <w:r>
        <w:rPr>
          <w:rFonts w:hint="eastAsia" w:ascii="Times New Roman" w:hAnsi="Times New Roman" w:eastAsia="楷体_GB2312" w:cs="Times New Roman"/>
          <w:color w:val="auto"/>
          <w:szCs w:val="32"/>
          <w:highlight w:val="none"/>
          <w:lang w:val="en-US" w:eastAsia="zh-CN"/>
        </w:rPr>
        <w:t>6</w:t>
      </w:r>
      <w:r>
        <w:rPr>
          <w:rFonts w:hint="eastAsia" w:ascii="Times New Roman" w:hAnsi="Times New Roman" w:eastAsia="楷体_GB2312" w:cs="Times New Roman"/>
          <w:color w:val="auto"/>
          <w:szCs w:val="32"/>
          <w:highlight w:val="none"/>
        </w:rPr>
        <w:t>份，发包人执</w:t>
      </w:r>
      <w:r>
        <w:rPr>
          <w:rFonts w:hint="eastAsia" w:ascii="Times New Roman" w:hAnsi="Times New Roman" w:eastAsia="楷体_GB2312" w:cs="Times New Roman"/>
          <w:color w:val="auto"/>
          <w:szCs w:val="32"/>
          <w:highlight w:val="none"/>
          <w:lang w:val="en-US" w:eastAsia="zh-CN"/>
        </w:rPr>
        <w:t>4</w:t>
      </w:r>
      <w:r>
        <w:rPr>
          <w:rFonts w:hint="eastAsia" w:ascii="Times New Roman" w:hAnsi="Times New Roman" w:eastAsia="楷体_GB2312" w:cs="Times New Roman"/>
          <w:color w:val="auto"/>
          <w:szCs w:val="32"/>
          <w:highlight w:val="none"/>
        </w:rPr>
        <w:t>份，承包人执</w:t>
      </w:r>
      <w:r>
        <w:rPr>
          <w:rFonts w:hint="eastAsia" w:ascii="Times New Roman" w:hAnsi="Times New Roman" w:eastAsia="楷体_GB2312" w:cs="Times New Roman"/>
          <w:color w:val="auto"/>
          <w:szCs w:val="32"/>
          <w:highlight w:val="none"/>
          <w:lang w:val="en-US" w:eastAsia="zh-CN"/>
        </w:rPr>
        <w:t>2</w:t>
      </w:r>
      <w:r>
        <w:rPr>
          <w:rFonts w:hint="eastAsia" w:ascii="Times New Roman" w:hAnsi="Times New Roman" w:eastAsia="楷体_GB2312" w:cs="Times New Roman"/>
          <w:color w:val="auto"/>
          <w:szCs w:val="32"/>
          <w:highlight w:val="none"/>
        </w:rPr>
        <w:t>份，经双方签署后生效。</w:t>
      </w:r>
    </w:p>
    <w:p>
      <w:pPr>
        <w:widowControl w:val="0"/>
        <w:spacing w:line="360" w:lineRule="auto"/>
        <w:ind w:firstLine="400" w:firstLineChars="200"/>
        <w:jc w:val="both"/>
        <w:rPr>
          <w:rFonts w:hint="eastAsia" w:ascii="宋体" w:hAnsi="Courier New" w:eastAsia="楷体_GB2312" w:cs="Times New Roman"/>
          <w:color w:val="auto"/>
          <w:kern w:val="0"/>
          <w:sz w:val="20"/>
          <w:szCs w:val="24"/>
          <w:highlight w:val="none"/>
          <w:lang w:val="en-US" w:eastAsia="zh-CN" w:bidi="ar-SA"/>
        </w:rPr>
      </w:pPr>
      <w:r>
        <w:rPr>
          <w:rFonts w:hint="eastAsia" w:ascii="宋体" w:hAnsi="Courier New" w:eastAsia="楷体_GB2312" w:cs="Times New Roman"/>
          <w:color w:val="auto"/>
          <w:kern w:val="0"/>
          <w:sz w:val="20"/>
          <w:szCs w:val="32"/>
          <w:highlight w:val="none"/>
          <w:lang w:val="en-US" w:eastAsia="zh-CN" w:bidi="ar-SA"/>
        </w:rPr>
        <w:t>本合同签订时间为：2022年    月    日。</w:t>
      </w:r>
    </w:p>
    <w:p>
      <w:pPr>
        <w:spacing w:line="360" w:lineRule="auto"/>
        <w:rPr>
          <w:rFonts w:hint="eastAsia" w:ascii="仿宋" w:hAnsi="仿宋" w:eastAsia="仿宋" w:cs="仿宋"/>
          <w:color w:val="auto"/>
          <w:sz w:val="30"/>
          <w:szCs w:val="30"/>
          <w:highlight w:val="none"/>
        </w:rPr>
      </w:pPr>
      <w:r>
        <w:rPr>
          <w:rFonts w:hint="eastAsia" w:ascii="Times New Roman" w:hAnsi="Times New Roman" w:eastAsia="楷体_GB2312" w:cs="Times New Roman"/>
          <w:color w:val="auto"/>
          <w:szCs w:val="32"/>
          <w:highlight w:val="none"/>
        </w:rPr>
        <w:t>（以下无正文）</w:t>
      </w:r>
      <w:r>
        <w:rPr>
          <w:rFonts w:hint="eastAsia" w:ascii="仿宋" w:hAnsi="仿宋" w:eastAsia="仿宋" w:cs="仿宋"/>
          <w:color w:val="auto"/>
          <w:sz w:val="30"/>
          <w:szCs w:val="30"/>
          <w:highlight w:val="none"/>
        </w:rPr>
        <w:t xml:space="preserve">   </w:t>
      </w:r>
    </w:p>
    <w:p>
      <w:pPr>
        <w:spacing w:line="360" w:lineRule="auto"/>
        <w:ind w:firstLine="420" w:firstLineChars="200"/>
        <w:rPr>
          <w:rFonts w:hint="eastAsia" w:ascii="Times New Roman" w:hAnsi="Times New Roman" w:eastAsia="楷体_GB2312" w:cs="Times New Roman"/>
          <w:color w:val="auto"/>
          <w:szCs w:val="32"/>
          <w:highlight w:val="none"/>
        </w:rPr>
      </w:pPr>
      <w:r>
        <w:rPr>
          <w:rFonts w:hint="eastAsia" w:ascii="Times New Roman" w:hAnsi="Times New Roman" w:eastAsia="楷体_GB2312" w:cs="Times New Roman"/>
          <w:color w:val="auto"/>
          <w:szCs w:val="32"/>
          <w:highlight w:val="none"/>
        </w:rPr>
        <w:br w:type="page"/>
      </w:r>
      <w:r>
        <w:rPr>
          <w:rFonts w:hint="eastAsia" w:ascii="Times New Roman" w:hAnsi="Times New Roman" w:eastAsia="楷体_GB2312" w:cs="Times New Roman"/>
          <w:color w:val="auto"/>
          <w:szCs w:val="32"/>
          <w:highlight w:val="none"/>
          <w:lang w:val="en-US" w:eastAsia="zh-CN"/>
        </w:rPr>
        <w:t>发</w:t>
      </w:r>
      <w:r>
        <w:rPr>
          <w:rFonts w:hint="eastAsia" w:ascii="Times New Roman" w:hAnsi="Times New Roman" w:eastAsia="楷体_GB2312" w:cs="Times New Roman"/>
          <w:color w:val="auto"/>
          <w:szCs w:val="32"/>
          <w:highlight w:val="none"/>
        </w:rPr>
        <w:t>包人：</w:t>
      </w:r>
      <w:r>
        <w:rPr>
          <w:rFonts w:hint="eastAsia" w:ascii="Times New Roman" w:hAnsi="Times New Roman" w:eastAsia="楷体_GB2312" w:cs="Times New Roman"/>
          <w:color w:val="auto"/>
          <w:szCs w:val="32"/>
          <w:highlight w:val="none"/>
          <w:lang w:eastAsia="zh-CN"/>
        </w:rPr>
        <w:t>广州南沙旅游发展有限公司</w:t>
      </w:r>
      <w:r>
        <w:rPr>
          <w:rFonts w:hint="eastAsia" w:ascii="Times New Roman" w:hAnsi="Times New Roman" w:eastAsia="楷体_GB2312" w:cs="Times New Roman"/>
          <w:color w:val="auto"/>
          <w:szCs w:val="32"/>
          <w:highlight w:val="none"/>
        </w:rPr>
        <w:t xml:space="preserve">（盖章）   </w:t>
      </w:r>
    </w:p>
    <w:p>
      <w:pPr>
        <w:spacing w:line="560" w:lineRule="exact"/>
        <w:ind w:firstLine="420" w:firstLineChars="200"/>
        <w:rPr>
          <w:rFonts w:ascii="Times New Roman" w:hAnsi="Times New Roman" w:eastAsia="楷体_GB2312" w:cs="Times New Roman"/>
          <w:color w:val="auto"/>
          <w:szCs w:val="32"/>
          <w:highlight w:val="none"/>
        </w:rPr>
      </w:pPr>
      <w:r>
        <w:rPr>
          <w:rFonts w:ascii="Times New Roman" w:hAnsi="Times New Roman" w:eastAsia="楷体_GB2312" w:cs="Times New Roman"/>
          <w:color w:val="auto"/>
          <w:szCs w:val="32"/>
          <w:highlight w:val="none"/>
        </w:rPr>
        <w:t>法定代表人/授权代理人</w:t>
      </w:r>
    </w:p>
    <w:p>
      <w:pPr>
        <w:spacing w:line="560" w:lineRule="exact"/>
        <w:ind w:firstLine="420" w:firstLineChars="200"/>
        <w:rPr>
          <w:rFonts w:ascii="Times New Roman" w:hAnsi="Times New Roman" w:eastAsia="楷体_GB2312" w:cs="Times New Roman"/>
          <w:color w:val="auto"/>
          <w:szCs w:val="32"/>
          <w:highlight w:val="none"/>
        </w:rPr>
      </w:pPr>
      <w:r>
        <w:rPr>
          <w:rFonts w:ascii="Times New Roman" w:hAnsi="Times New Roman" w:eastAsia="楷体_GB2312" w:cs="Times New Roman"/>
          <w:color w:val="auto"/>
          <w:szCs w:val="32"/>
          <w:highlight w:val="none"/>
        </w:rPr>
        <w:t>（签字</w:t>
      </w:r>
      <w:r>
        <w:rPr>
          <w:rFonts w:hint="eastAsia" w:ascii="Times New Roman" w:hAnsi="Times New Roman" w:eastAsia="楷体_GB2312" w:cs="Times New Roman"/>
          <w:color w:val="auto"/>
          <w:szCs w:val="32"/>
          <w:highlight w:val="none"/>
        </w:rPr>
        <w:t>/签章</w:t>
      </w:r>
      <w:r>
        <w:rPr>
          <w:rFonts w:ascii="Times New Roman" w:hAnsi="Times New Roman" w:eastAsia="楷体_GB2312" w:cs="Times New Roman"/>
          <w:color w:val="auto"/>
          <w:szCs w:val="32"/>
          <w:highlight w:val="none"/>
        </w:rPr>
        <w:t>）：</w:t>
      </w:r>
    </w:p>
    <w:p>
      <w:pPr>
        <w:spacing w:line="560" w:lineRule="exact"/>
        <w:ind w:firstLine="420" w:firstLineChars="200"/>
        <w:rPr>
          <w:rFonts w:ascii="Times New Roman" w:hAnsi="Times New Roman" w:eastAsia="楷体_GB2312" w:cs="Times New Roman"/>
          <w:color w:val="auto"/>
          <w:szCs w:val="32"/>
          <w:highlight w:val="none"/>
        </w:rPr>
      </w:pPr>
      <w:r>
        <w:rPr>
          <w:rFonts w:ascii="Times New Roman" w:hAnsi="Times New Roman" w:eastAsia="楷体_GB2312" w:cs="Times New Roman"/>
          <w:color w:val="auto"/>
          <w:szCs w:val="32"/>
          <w:highlight w:val="none"/>
        </w:rPr>
        <w:t>或党委书记/纪委书记</w:t>
      </w:r>
    </w:p>
    <w:p>
      <w:pPr>
        <w:spacing w:line="360" w:lineRule="auto"/>
        <w:ind w:firstLine="420" w:firstLineChars="200"/>
        <w:rPr>
          <w:rFonts w:ascii="Times New Roman" w:hAnsi="Times New Roman" w:eastAsia="楷体_GB2312" w:cs="Times New Roman"/>
          <w:color w:val="auto"/>
          <w:szCs w:val="32"/>
          <w:highlight w:val="none"/>
        </w:rPr>
      </w:pPr>
      <w:r>
        <w:rPr>
          <w:rFonts w:ascii="Times New Roman" w:hAnsi="Times New Roman" w:eastAsia="楷体_GB2312" w:cs="Times New Roman"/>
          <w:color w:val="auto"/>
          <w:szCs w:val="32"/>
          <w:highlight w:val="none"/>
        </w:rPr>
        <w:t>（签字</w:t>
      </w:r>
      <w:r>
        <w:rPr>
          <w:rFonts w:hint="eastAsia" w:ascii="Times New Roman" w:hAnsi="Times New Roman" w:eastAsia="楷体_GB2312" w:cs="Times New Roman"/>
          <w:color w:val="auto"/>
          <w:szCs w:val="32"/>
          <w:highlight w:val="none"/>
        </w:rPr>
        <w:t>/签章</w:t>
      </w:r>
      <w:r>
        <w:rPr>
          <w:rFonts w:ascii="Times New Roman" w:hAnsi="Times New Roman" w:eastAsia="楷体_GB2312" w:cs="Times New Roman"/>
          <w:color w:val="auto"/>
          <w:szCs w:val="32"/>
          <w:highlight w:val="none"/>
        </w:rPr>
        <w:t>）</w:t>
      </w:r>
    </w:p>
    <w:p>
      <w:pPr>
        <w:spacing w:line="360" w:lineRule="auto"/>
        <w:ind w:firstLine="420" w:firstLineChars="200"/>
        <w:rPr>
          <w:rFonts w:ascii="Times New Roman" w:hAnsi="Times New Roman" w:eastAsia="楷体_GB2312" w:cs="Times New Roman"/>
          <w:color w:val="auto"/>
          <w:szCs w:val="32"/>
          <w:highlight w:val="none"/>
        </w:rPr>
      </w:pPr>
    </w:p>
    <w:p>
      <w:pPr>
        <w:pStyle w:val="98"/>
        <w:rPr>
          <w:color w:val="auto"/>
          <w:szCs w:val="20"/>
          <w:highlight w:val="none"/>
        </w:rPr>
      </w:pPr>
    </w:p>
    <w:p>
      <w:pPr>
        <w:spacing w:line="360" w:lineRule="auto"/>
        <w:rPr>
          <w:rFonts w:hint="eastAsia" w:ascii="Times New Roman" w:hAnsi="Times New Roman" w:eastAsia="楷体_GB2312" w:cs="Times New Roman"/>
          <w:color w:val="auto"/>
          <w:szCs w:val="32"/>
          <w:highlight w:val="none"/>
        </w:rPr>
      </w:pPr>
    </w:p>
    <w:p>
      <w:pPr>
        <w:spacing w:line="360" w:lineRule="auto"/>
        <w:ind w:firstLine="420" w:firstLineChars="200"/>
        <w:rPr>
          <w:rFonts w:hint="eastAsia" w:ascii="Times New Roman" w:hAnsi="Times New Roman" w:eastAsia="楷体_GB2312" w:cs="Times New Roman"/>
          <w:color w:val="auto"/>
          <w:szCs w:val="32"/>
          <w:highlight w:val="none"/>
        </w:rPr>
      </w:pPr>
      <w:r>
        <w:rPr>
          <w:rFonts w:hint="eastAsia" w:ascii="Times New Roman" w:hAnsi="Times New Roman" w:eastAsia="楷体_GB2312" w:cs="Times New Roman"/>
          <w:color w:val="auto"/>
          <w:szCs w:val="32"/>
          <w:highlight w:val="none"/>
        </w:rPr>
        <w:t>承包人： (盖章)</w:t>
      </w:r>
    </w:p>
    <w:p>
      <w:pPr>
        <w:spacing w:line="560" w:lineRule="exact"/>
        <w:ind w:firstLine="420" w:firstLineChars="200"/>
        <w:rPr>
          <w:rFonts w:ascii="Times New Roman" w:hAnsi="Times New Roman" w:eastAsia="楷体_GB2312" w:cs="Times New Roman"/>
          <w:color w:val="auto"/>
          <w:szCs w:val="32"/>
          <w:highlight w:val="none"/>
        </w:rPr>
      </w:pPr>
      <w:r>
        <w:rPr>
          <w:rFonts w:ascii="Times New Roman" w:hAnsi="Times New Roman" w:eastAsia="楷体_GB2312" w:cs="Times New Roman"/>
          <w:color w:val="auto"/>
          <w:szCs w:val="32"/>
          <w:highlight w:val="none"/>
        </w:rPr>
        <w:t>法定代表人/授权代理人</w:t>
      </w:r>
    </w:p>
    <w:p>
      <w:pPr>
        <w:spacing w:line="560" w:lineRule="exact"/>
        <w:ind w:firstLine="420" w:firstLineChars="200"/>
        <w:rPr>
          <w:rFonts w:ascii="Times New Roman" w:hAnsi="Times New Roman" w:eastAsia="楷体_GB2312" w:cs="Times New Roman"/>
          <w:color w:val="auto"/>
          <w:szCs w:val="32"/>
          <w:highlight w:val="none"/>
        </w:rPr>
      </w:pPr>
      <w:r>
        <w:rPr>
          <w:rFonts w:ascii="Times New Roman" w:hAnsi="Times New Roman" w:eastAsia="楷体_GB2312" w:cs="Times New Roman"/>
          <w:color w:val="auto"/>
          <w:szCs w:val="32"/>
          <w:highlight w:val="none"/>
        </w:rPr>
        <w:t>（签字</w:t>
      </w:r>
      <w:r>
        <w:rPr>
          <w:rFonts w:hint="eastAsia" w:ascii="Times New Roman" w:hAnsi="Times New Roman" w:eastAsia="楷体_GB2312" w:cs="Times New Roman"/>
          <w:color w:val="auto"/>
          <w:szCs w:val="32"/>
          <w:highlight w:val="none"/>
        </w:rPr>
        <w:t>/签章</w:t>
      </w:r>
      <w:r>
        <w:rPr>
          <w:rFonts w:ascii="Times New Roman" w:hAnsi="Times New Roman" w:eastAsia="楷体_GB2312" w:cs="Times New Roman"/>
          <w:color w:val="auto"/>
          <w:szCs w:val="32"/>
          <w:highlight w:val="none"/>
        </w:rPr>
        <w:t>）：</w:t>
      </w:r>
    </w:p>
    <w:p>
      <w:pPr>
        <w:spacing w:line="560" w:lineRule="exact"/>
        <w:ind w:firstLine="420" w:firstLineChars="200"/>
        <w:rPr>
          <w:rFonts w:ascii="Times New Roman" w:hAnsi="Times New Roman" w:eastAsia="楷体_GB2312" w:cs="Times New Roman"/>
          <w:color w:val="auto"/>
          <w:szCs w:val="32"/>
          <w:highlight w:val="none"/>
        </w:rPr>
      </w:pPr>
      <w:r>
        <w:rPr>
          <w:rFonts w:ascii="Times New Roman" w:hAnsi="Times New Roman" w:eastAsia="楷体_GB2312" w:cs="Times New Roman"/>
          <w:color w:val="auto"/>
          <w:szCs w:val="32"/>
          <w:highlight w:val="none"/>
        </w:rPr>
        <w:t>或党委书记/纪委书记</w:t>
      </w:r>
    </w:p>
    <w:p>
      <w:pPr>
        <w:spacing w:line="360" w:lineRule="auto"/>
        <w:ind w:firstLine="420" w:firstLineChars="200"/>
        <w:rPr>
          <w:rFonts w:ascii="Times New Roman" w:hAnsi="Times New Roman" w:eastAsia="楷体_GB2312" w:cs="Times New Roman"/>
          <w:color w:val="auto"/>
          <w:szCs w:val="32"/>
          <w:highlight w:val="none"/>
        </w:rPr>
      </w:pPr>
      <w:r>
        <w:rPr>
          <w:rFonts w:ascii="Times New Roman" w:hAnsi="Times New Roman" w:eastAsia="楷体_GB2312" w:cs="Times New Roman"/>
          <w:color w:val="auto"/>
          <w:szCs w:val="32"/>
          <w:highlight w:val="none"/>
        </w:rPr>
        <w:t>（签字</w:t>
      </w:r>
      <w:r>
        <w:rPr>
          <w:rFonts w:hint="eastAsia" w:ascii="Times New Roman" w:hAnsi="Times New Roman" w:eastAsia="楷体_GB2312" w:cs="Times New Roman"/>
          <w:color w:val="auto"/>
          <w:szCs w:val="32"/>
          <w:highlight w:val="none"/>
        </w:rPr>
        <w:t>/签章</w:t>
      </w:r>
      <w:r>
        <w:rPr>
          <w:rFonts w:ascii="Times New Roman" w:hAnsi="Times New Roman" w:eastAsia="楷体_GB2312" w:cs="Times New Roman"/>
          <w:color w:val="auto"/>
          <w:szCs w:val="32"/>
          <w:highlight w:val="none"/>
        </w:rPr>
        <w:t>）</w:t>
      </w:r>
    </w:p>
    <w:p>
      <w:pPr>
        <w:widowControl w:val="0"/>
        <w:spacing w:line="360" w:lineRule="auto"/>
        <w:jc w:val="both"/>
        <w:rPr>
          <w:rFonts w:ascii="宋体" w:hAnsi="Courier New" w:eastAsia="楷体_GB2312" w:cs="Times New Roman"/>
          <w:color w:val="auto"/>
          <w:kern w:val="0"/>
          <w:sz w:val="20"/>
          <w:szCs w:val="24"/>
          <w:highlight w:val="none"/>
          <w:lang w:val="en-US" w:eastAsia="zh-CN" w:bidi="ar-SA"/>
        </w:rPr>
      </w:pPr>
    </w:p>
    <w:p/>
    <w:bookmarkEnd w:id="1025"/>
    <w:bookmarkEnd w:id="1026"/>
    <w:bookmarkEnd w:id="1027"/>
    <w:bookmarkEnd w:id="1028"/>
    <w:bookmarkEnd w:id="1029"/>
    <w:bookmarkEnd w:id="1030"/>
    <w:p/>
    <w:p>
      <w:bookmarkStart w:id="1034" w:name="_Toc144974834"/>
      <w:bookmarkEnd w:id="1034"/>
      <w:bookmarkStart w:id="1035" w:name="_Toc152045772"/>
      <w:bookmarkEnd w:id="1035"/>
      <w:bookmarkStart w:id="1036" w:name="_Toc247514202"/>
      <w:bookmarkEnd w:id="1036"/>
      <w:bookmarkStart w:id="1037" w:name="_Toc247527803"/>
      <w:bookmarkEnd w:id="1037"/>
      <w:bookmarkStart w:id="1038" w:name="_Toc152042554"/>
      <w:bookmarkEnd w:id="1038"/>
    </w:p>
    <w:p>
      <w:pPr>
        <w:spacing w:line="240" w:lineRule="auto"/>
      </w:pPr>
    </w:p>
    <w:p>
      <w:pPr>
        <w:pStyle w:val="39"/>
        <w:ind w:firstLine="0"/>
        <w:sectPr>
          <w:pgSz w:w="11906" w:h="16838"/>
          <w:pgMar w:top="1247" w:right="1134" w:bottom="1247" w:left="1361" w:header="851" w:footer="992" w:gutter="0"/>
          <w:pgBorders>
            <w:top w:val="none" w:sz="0" w:space="0"/>
            <w:left w:val="none" w:sz="0" w:space="0"/>
            <w:bottom w:val="none" w:sz="0" w:space="0"/>
            <w:right w:val="none" w:sz="0" w:space="0"/>
          </w:pgBorders>
          <w:cols w:space="720" w:num="1"/>
          <w:docGrid w:type="lines" w:linePitch="319" w:charSpace="0"/>
        </w:sectPr>
      </w:pPr>
      <w:bookmarkStart w:id="1039" w:name="_Toc300835204"/>
      <w:bookmarkStart w:id="1040" w:name="_Toc247527819"/>
      <w:bookmarkStart w:id="1041" w:name="_Toc247514232"/>
      <w:bookmarkStart w:id="1042" w:name="_Toc28286"/>
      <w:bookmarkStart w:id="1043" w:name="_Toc28468"/>
      <w:bookmarkStart w:id="1044" w:name="_Toc6632"/>
      <w:bookmarkStart w:id="1045" w:name="_Toc25726"/>
      <w:bookmarkStart w:id="1046" w:name="_Toc2710"/>
      <w:bookmarkStart w:id="1047" w:name="_Toc30942"/>
      <w:bookmarkStart w:id="1048" w:name="_Toc2433"/>
      <w:bookmarkStart w:id="1049" w:name="_Toc13932"/>
      <w:bookmarkStart w:id="1050" w:name="_Toc494371583"/>
      <w:bookmarkStart w:id="1051" w:name="_Toc22"/>
      <w:bookmarkStart w:id="1052" w:name="_Toc7709"/>
    </w:p>
    <w:p>
      <w:pPr>
        <w:pStyle w:val="39"/>
        <w:ind w:firstLine="0"/>
      </w:pPr>
    </w:p>
    <w:p>
      <w:pPr>
        <w:bidi w:val="0"/>
        <w:rPr>
          <w:rFonts w:hint="eastAsia"/>
        </w:rPr>
      </w:pPr>
      <w:bookmarkStart w:id="1053" w:name="_Toc24312"/>
      <w:bookmarkStart w:id="1054" w:name="_Toc17655"/>
    </w:p>
    <w:p>
      <w:pPr>
        <w:pStyle w:val="3"/>
        <w:jc w:val="center"/>
      </w:pPr>
      <w:r>
        <w:rPr>
          <w:rFonts w:hint="eastAsia"/>
        </w:rPr>
        <w:t>第二卷</w:t>
      </w:r>
      <w:bookmarkEnd w:id="1039"/>
      <w:bookmarkEnd w:id="1040"/>
      <w:bookmarkEnd w:id="1041"/>
      <w:r>
        <w:br w:type="page"/>
      </w:r>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Start w:id="1055" w:name="_Toc15004"/>
      <w:bookmarkStart w:id="1056" w:name="_Toc27414"/>
      <w:bookmarkStart w:id="1057" w:name="_Toc247527825"/>
      <w:bookmarkStart w:id="1058" w:name="_Toc494371586"/>
      <w:bookmarkStart w:id="1059" w:name="_Toc7732"/>
      <w:bookmarkStart w:id="1060" w:name="_Toc20209"/>
      <w:bookmarkStart w:id="1061" w:name="_Toc16430"/>
      <w:bookmarkStart w:id="1062" w:name="_Toc300835207"/>
      <w:bookmarkStart w:id="1063" w:name="_Toc25694"/>
      <w:bookmarkStart w:id="1064" w:name="_Toc1901"/>
      <w:bookmarkStart w:id="1065" w:name="_Toc24911"/>
      <w:bookmarkStart w:id="1066" w:name="_Toc247514244"/>
      <w:bookmarkStart w:id="1067" w:name="_Toc1451"/>
      <w:bookmarkStart w:id="1068" w:name="_Toc5743"/>
      <w:bookmarkStart w:id="1069" w:name="_Toc152042575"/>
      <w:bookmarkStart w:id="1070" w:name="_Toc152045786"/>
      <w:bookmarkStart w:id="1071" w:name="_Toc144974855"/>
    </w:p>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p>
      <w:pPr>
        <w:spacing w:line="400" w:lineRule="exact"/>
        <w:jc w:val="both"/>
      </w:pPr>
    </w:p>
    <w:p>
      <w:pPr>
        <w:bidi w:val="0"/>
        <w:rPr>
          <w:rFonts w:hint="eastAsia"/>
        </w:rPr>
      </w:pPr>
      <w:bookmarkStart w:id="1072" w:name="_Toc18331"/>
      <w:bookmarkStart w:id="1073" w:name="_Toc5024"/>
      <w:bookmarkStart w:id="1074" w:name="_Toc8886"/>
      <w:bookmarkStart w:id="1075" w:name="_Toc17793"/>
      <w:bookmarkStart w:id="1076" w:name="_Toc10445"/>
      <w:bookmarkStart w:id="1077" w:name="_Toc24639"/>
      <w:bookmarkStart w:id="1078" w:name="_Toc247527826"/>
      <w:bookmarkStart w:id="1079" w:name="_Toc15238"/>
      <w:bookmarkStart w:id="1080" w:name="_Toc22446"/>
      <w:bookmarkStart w:id="1081" w:name="_Toc2828"/>
      <w:bookmarkStart w:id="1082" w:name="_Toc247514245"/>
      <w:bookmarkStart w:id="1083" w:name="_Toc13416"/>
      <w:bookmarkStart w:id="1084" w:name="_Toc300835208"/>
      <w:bookmarkStart w:id="1085" w:name="_Toc494371587"/>
      <w:bookmarkStart w:id="1086" w:name="_Toc26681"/>
      <w:bookmarkStart w:id="1087" w:name="_Toc12601"/>
    </w:p>
    <w:p>
      <w:pPr>
        <w:pStyle w:val="3"/>
        <w:jc w:val="center"/>
      </w:pPr>
      <w:r>
        <w:rPr>
          <w:rFonts w:hint="eastAsia"/>
        </w:rPr>
        <w:t>第</w:t>
      </w:r>
      <w:r>
        <w:rPr>
          <w:rFonts w:hint="eastAsia"/>
          <w:lang w:val="en-US" w:eastAsia="zh-CN"/>
        </w:rPr>
        <w:t>五</w:t>
      </w:r>
      <w:r>
        <w:rPr>
          <w:rFonts w:hint="eastAsia"/>
        </w:rPr>
        <w:t>章投标文件格式</w:t>
      </w:r>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p>
    <w:p>
      <w:pPr>
        <w:spacing w:line="400" w:lineRule="exact"/>
      </w:pPr>
    </w:p>
    <w:p>
      <w:pPr>
        <w:widowControl/>
        <w:jc w:val="left"/>
        <w:rPr>
          <w:b/>
          <w:sz w:val="24"/>
        </w:rPr>
      </w:pPr>
      <w:r>
        <w:br w:type="page"/>
      </w:r>
      <w:bookmarkStart w:id="1088" w:name="_Toc8323"/>
      <w:bookmarkStart w:id="1089" w:name="_Toc494371589"/>
      <w:bookmarkStart w:id="1090" w:name="_Toc194"/>
      <w:bookmarkStart w:id="1091" w:name="_Toc271821942"/>
      <w:bookmarkStart w:id="1092" w:name="_Toc8355"/>
      <w:bookmarkStart w:id="1093" w:name="_Toc10741"/>
      <w:bookmarkStart w:id="1094" w:name="_Toc14611"/>
      <w:bookmarkStart w:id="1095" w:name="_Toc300835233"/>
      <w:bookmarkStart w:id="1096" w:name="_Toc2218"/>
    </w:p>
    <w:bookmarkEnd w:id="1088"/>
    <w:bookmarkEnd w:id="1089"/>
    <w:bookmarkEnd w:id="1090"/>
    <w:bookmarkEnd w:id="1091"/>
    <w:bookmarkEnd w:id="1092"/>
    <w:bookmarkEnd w:id="1093"/>
    <w:bookmarkEnd w:id="1094"/>
    <w:bookmarkEnd w:id="1095"/>
    <w:bookmarkEnd w:id="1096"/>
    <w:p>
      <w:pPr>
        <w:spacing w:line="360" w:lineRule="auto"/>
        <w:jc w:val="center"/>
        <w:rPr>
          <w:rFonts w:ascii="黑体" w:hAnsi="黑体" w:eastAsia="黑体" w:cs="黑体"/>
          <w:b/>
          <w:sz w:val="30"/>
          <w:szCs w:val="30"/>
        </w:rPr>
      </w:pPr>
    </w:p>
    <w:p>
      <w:pPr>
        <w:spacing w:line="360" w:lineRule="auto"/>
        <w:jc w:val="center"/>
        <w:rPr>
          <w:rFonts w:ascii="黑体" w:hAnsi="黑体" w:eastAsia="黑体" w:cs="黑体"/>
          <w:b/>
          <w:sz w:val="30"/>
          <w:szCs w:val="30"/>
        </w:rPr>
      </w:pPr>
      <w:r>
        <w:rPr>
          <w:rFonts w:hint="eastAsia" w:ascii="黑体" w:hAnsi="黑体" w:eastAsia="黑体" w:cs="黑体"/>
          <w:b/>
          <w:sz w:val="30"/>
          <w:szCs w:val="30"/>
        </w:rPr>
        <w:t>第一部分  资格审查文件</w:t>
      </w:r>
    </w:p>
    <w:p>
      <w:pPr>
        <w:spacing w:line="360" w:lineRule="auto"/>
        <w:jc w:val="left"/>
        <w:rPr>
          <w:bCs/>
          <w:szCs w:val="21"/>
        </w:rPr>
      </w:pPr>
      <w:r>
        <w:rPr>
          <w:rFonts w:hint="eastAsia"/>
          <w:b/>
          <w:sz w:val="30"/>
          <w:szCs w:val="30"/>
        </w:rPr>
        <w:br w:type="page"/>
      </w:r>
      <w:r>
        <w:rPr>
          <w:rFonts w:hint="eastAsia"/>
          <w:bCs/>
          <w:szCs w:val="21"/>
        </w:rPr>
        <w:t>格式参考：</w:t>
      </w:r>
    </w:p>
    <w:p>
      <w:pPr>
        <w:spacing w:line="360" w:lineRule="auto"/>
        <w:jc w:val="right"/>
        <w:rPr>
          <w:rFonts w:ascii="黑体" w:hAnsi="黑体" w:eastAsia="黑体" w:cs="黑体"/>
          <w:b/>
          <w:sz w:val="30"/>
          <w:szCs w:val="30"/>
        </w:rPr>
      </w:pPr>
      <w:r>
        <w:rPr>
          <w:rFonts w:hint="eastAsia" w:ascii="黑体" w:hAnsi="黑体" w:eastAsia="黑体" w:cs="黑体"/>
          <w:b/>
          <w:sz w:val="32"/>
          <w:szCs w:val="32"/>
        </w:rPr>
        <w:t>正/副本</w:t>
      </w:r>
    </w:p>
    <w:p>
      <w:pPr>
        <w:spacing w:line="360" w:lineRule="auto"/>
        <w:rPr>
          <w:b/>
          <w:sz w:val="30"/>
          <w:szCs w:val="30"/>
        </w:rPr>
      </w:pPr>
    </w:p>
    <w:p>
      <w:pPr>
        <w:spacing w:line="360" w:lineRule="auto"/>
        <w:rPr>
          <w:bCs/>
          <w:szCs w:val="21"/>
          <w:u w:val="single"/>
        </w:rPr>
      </w:pPr>
    </w:p>
    <w:p>
      <w:pPr>
        <w:jc w:val="center"/>
        <w:rPr>
          <w:rFonts w:hint="eastAsia" w:ascii="黑体" w:hAnsi="黑体" w:eastAsia="黑体" w:cs="黑体"/>
          <w:b/>
          <w:kern w:val="0"/>
          <w:sz w:val="48"/>
          <w:szCs w:val="48"/>
          <w:u w:val="none"/>
          <w:lang w:val="en-US" w:eastAsia="zh-CN" w:bidi="ar"/>
        </w:rPr>
      </w:pPr>
      <w:r>
        <w:rPr>
          <w:rFonts w:hint="eastAsia" w:ascii="黑体" w:hAnsi="黑体" w:eastAsia="黑体" w:cs="黑体"/>
          <w:b/>
          <w:kern w:val="0"/>
          <w:sz w:val="48"/>
          <w:szCs w:val="48"/>
          <w:u w:val="none"/>
          <w:lang w:val="en-US" w:eastAsia="zh-CN" w:bidi="ar"/>
        </w:rPr>
        <w:t>天后宫专用综合房增容工程</w:t>
      </w:r>
    </w:p>
    <w:p>
      <w:pPr>
        <w:jc w:val="center"/>
        <w:rPr>
          <w:rFonts w:hint="eastAsia" w:ascii="宋体" w:hAnsi="宋体" w:cs="宋体"/>
          <w:b/>
          <w:color w:val="000000"/>
          <w:w w:val="73"/>
          <w:kern w:val="0"/>
          <w:sz w:val="52"/>
          <w:szCs w:val="52"/>
          <w:u w:val="single"/>
        </w:rPr>
      </w:pPr>
    </w:p>
    <w:p>
      <w:pPr>
        <w:pStyle w:val="33"/>
        <w:spacing w:line="360" w:lineRule="auto"/>
        <w:jc w:val="center"/>
        <w:rPr>
          <w:rFonts w:ascii="黑体" w:hAnsi="黑体" w:eastAsia="黑体" w:cs="黑体"/>
          <w:b/>
          <w:sz w:val="36"/>
          <w:szCs w:val="36"/>
          <w:lang w:bidi="ar"/>
        </w:rPr>
      </w:pPr>
    </w:p>
    <w:p>
      <w:pPr>
        <w:pStyle w:val="33"/>
        <w:spacing w:line="360" w:lineRule="auto"/>
        <w:jc w:val="center"/>
        <w:rPr>
          <w:rFonts w:ascii="黑体" w:hAnsi="黑体" w:eastAsia="黑体" w:cs="黑体"/>
          <w:b/>
          <w:sz w:val="36"/>
          <w:szCs w:val="36"/>
          <w:lang w:bidi="ar"/>
        </w:rPr>
      </w:pPr>
    </w:p>
    <w:p>
      <w:pPr>
        <w:pStyle w:val="33"/>
        <w:spacing w:line="360" w:lineRule="auto"/>
        <w:jc w:val="center"/>
        <w:rPr>
          <w:rFonts w:ascii="黑体" w:hAnsi="黑体" w:eastAsia="黑体" w:cs="黑体"/>
          <w:b/>
          <w:sz w:val="48"/>
          <w:szCs w:val="48"/>
          <w:u w:val="none"/>
          <w:lang w:bidi="ar"/>
        </w:rPr>
      </w:pPr>
      <w:r>
        <w:rPr>
          <w:rFonts w:hint="eastAsia" w:ascii="黑体" w:hAnsi="黑体" w:eastAsia="黑体" w:cs="黑体"/>
          <w:b/>
          <w:sz w:val="48"/>
          <w:szCs w:val="48"/>
          <w:u w:val="none"/>
          <w:lang w:bidi="ar"/>
        </w:rPr>
        <w:t>投标文件</w:t>
      </w:r>
    </w:p>
    <w:p>
      <w:pPr>
        <w:pStyle w:val="33"/>
        <w:spacing w:line="360" w:lineRule="auto"/>
        <w:jc w:val="center"/>
        <w:rPr>
          <w:rFonts w:ascii="黑体" w:hAnsi="黑体" w:eastAsia="黑体" w:cs="黑体"/>
          <w:b/>
          <w:sz w:val="36"/>
          <w:szCs w:val="36"/>
          <w:lang w:bidi="ar"/>
        </w:rPr>
      </w:pPr>
      <w:r>
        <w:rPr>
          <w:rFonts w:hint="eastAsia" w:ascii="黑体" w:hAnsi="黑体" w:eastAsia="黑体" w:cs="黑体"/>
          <w:b/>
          <w:sz w:val="36"/>
          <w:szCs w:val="36"/>
          <w:lang w:bidi="ar"/>
        </w:rPr>
        <w:t>（资格审查文件）</w:t>
      </w:r>
      <w:r>
        <w:rPr>
          <w:rFonts w:hint="eastAsia" w:ascii="黑体" w:hAnsi="黑体" w:eastAsia="黑体" w:cs="黑体"/>
          <w:bCs/>
          <w:sz w:val="36"/>
          <w:szCs w:val="36"/>
          <w:u w:val="none"/>
          <w:lang w:bidi="ar"/>
        </w:rPr>
        <w:t xml:space="preserve"> </w:t>
      </w:r>
    </w:p>
    <w:p>
      <w:pPr>
        <w:spacing w:line="360" w:lineRule="auto"/>
        <w:rPr>
          <w:b/>
          <w:sz w:val="48"/>
          <w:szCs w:val="48"/>
        </w:rPr>
      </w:pPr>
    </w:p>
    <w:p>
      <w:pPr>
        <w:spacing w:line="360" w:lineRule="auto"/>
        <w:rPr>
          <w:b/>
          <w:sz w:val="48"/>
          <w:szCs w:val="48"/>
        </w:rPr>
      </w:pPr>
    </w:p>
    <w:p>
      <w:pPr>
        <w:spacing w:line="360" w:lineRule="auto"/>
        <w:rPr>
          <w:b/>
          <w:sz w:val="48"/>
          <w:szCs w:val="48"/>
        </w:rPr>
      </w:pPr>
    </w:p>
    <w:p>
      <w:pPr>
        <w:spacing w:line="360" w:lineRule="auto"/>
        <w:rPr>
          <w:b/>
          <w:sz w:val="48"/>
          <w:szCs w:val="48"/>
        </w:rPr>
      </w:pPr>
    </w:p>
    <w:p>
      <w:pPr>
        <w:spacing w:line="360" w:lineRule="auto"/>
        <w:ind w:firstLine="389" w:firstLineChars="139"/>
        <w:jc w:val="left"/>
        <w:rPr>
          <w:rFonts w:ascii="华文楷体" w:hAnsi="华文楷体" w:eastAsia="华文楷体" w:cs="华文楷体"/>
          <w:sz w:val="28"/>
          <w:szCs w:val="28"/>
          <w:u w:val="single"/>
        </w:rPr>
      </w:pPr>
      <w:r>
        <w:rPr>
          <w:rFonts w:hint="eastAsia" w:ascii="华文楷体" w:hAnsi="华文楷体" w:eastAsia="华文楷体" w:cs="华文楷体"/>
          <w:sz w:val="28"/>
          <w:szCs w:val="28"/>
        </w:rPr>
        <w:t>投标单位名称（盖章）：</w:t>
      </w:r>
      <w:r>
        <w:rPr>
          <w:rFonts w:hint="eastAsia" w:ascii="华文楷体" w:hAnsi="华文楷体" w:eastAsia="华文楷体" w:cs="华文楷体"/>
          <w:kern w:val="0"/>
          <w:sz w:val="28"/>
          <w:szCs w:val="28"/>
          <w:u w:val="single"/>
        </w:rPr>
        <w:t xml:space="preserve">                         </w:t>
      </w:r>
    </w:p>
    <w:p>
      <w:pPr>
        <w:spacing w:line="360" w:lineRule="auto"/>
        <w:ind w:firstLine="389" w:firstLineChars="139"/>
        <w:jc w:val="left"/>
        <w:rPr>
          <w:rFonts w:ascii="华文楷体" w:hAnsi="华文楷体" w:eastAsia="华文楷体" w:cs="华文楷体"/>
          <w:sz w:val="28"/>
          <w:szCs w:val="28"/>
          <w:u w:val="single"/>
        </w:rPr>
      </w:pPr>
      <w:r>
        <w:rPr>
          <w:rFonts w:hint="eastAsia" w:ascii="华文楷体" w:hAnsi="华文楷体" w:eastAsia="华文楷体" w:cs="华文楷体"/>
          <w:sz w:val="28"/>
          <w:szCs w:val="28"/>
        </w:rPr>
        <w:t>法定代表人或其委托代理人（签字或盖章）：</w:t>
      </w:r>
      <w:r>
        <w:rPr>
          <w:rFonts w:hint="eastAsia" w:ascii="华文楷体" w:hAnsi="华文楷体" w:eastAsia="华文楷体" w:cs="华文楷体"/>
          <w:sz w:val="28"/>
          <w:szCs w:val="28"/>
          <w:u w:val="single"/>
        </w:rPr>
        <w:t xml:space="preserve">      </w:t>
      </w:r>
      <w:r>
        <w:rPr>
          <w:rFonts w:hint="eastAsia" w:ascii="华文楷体" w:hAnsi="华文楷体" w:eastAsia="华文楷体" w:cs="华文楷体"/>
          <w:sz w:val="28"/>
          <w:szCs w:val="28"/>
          <w:u w:val="single"/>
        </w:rPr>
        <w:tab/>
      </w:r>
    </w:p>
    <w:p>
      <w:pPr>
        <w:spacing w:line="360" w:lineRule="auto"/>
        <w:ind w:firstLine="389" w:firstLineChars="139"/>
        <w:jc w:val="left"/>
        <w:rPr>
          <w:rFonts w:ascii="华文楷体" w:hAnsi="华文楷体" w:eastAsia="华文楷体" w:cs="华文楷体"/>
          <w:bCs/>
          <w:sz w:val="28"/>
          <w:szCs w:val="28"/>
        </w:rPr>
      </w:pPr>
      <w:r>
        <w:rPr>
          <w:rFonts w:hint="eastAsia" w:ascii="华文楷体" w:hAnsi="华文楷体" w:eastAsia="华文楷体" w:cs="华文楷体"/>
          <w:sz w:val="28"/>
          <w:szCs w:val="28"/>
        </w:rPr>
        <w:t>投标日期：   年   月   日</w:t>
      </w:r>
    </w:p>
    <w:p>
      <w:pPr>
        <w:spacing w:line="360" w:lineRule="auto"/>
        <w:jc w:val="left"/>
        <w:rPr>
          <w:bCs/>
          <w:szCs w:val="21"/>
        </w:rPr>
      </w:pPr>
    </w:p>
    <w:p>
      <w:pPr>
        <w:spacing w:line="360" w:lineRule="auto"/>
        <w:jc w:val="left"/>
        <w:rPr>
          <w:bCs/>
          <w:szCs w:val="21"/>
        </w:rPr>
      </w:pPr>
      <w:r>
        <w:rPr>
          <w:rFonts w:hint="eastAsia"/>
          <w:bCs/>
          <w:szCs w:val="21"/>
        </w:rPr>
        <w:br w:type="page"/>
      </w:r>
    </w:p>
    <w:p>
      <w:pPr>
        <w:spacing w:line="360" w:lineRule="auto"/>
        <w:jc w:val="center"/>
        <w:rPr>
          <w:rFonts w:ascii="黑体" w:hAnsi="黑体" w:eastAsia="黑体" w:cs="黑体"/>
          <w:b/>
          <w:sz w:val="32"/>
          <w:szCs w:val="32"/>
        </w:rPr>
      </w:pPr>
      <w:r>
        <w:rPr>
          <w:rFonts w:hint="eastAsia" w:ascii="黑体" w:hAnsi="黑体" w:eastAsia="黑体" w:cs="黑体"/>
          <w:b/>
          <w:sz w:val="32"/>
          <w:szCs w:val="32"/>
        </w:rPr>
        <w:t>目 录</w:t>
      </w:r>
    </w:p>
    <w:p>
      <w:pPr>
        <w:numPr>
          <w:ilvl w:val="0"/>
          <w:numId w:val="4"/>
        </w:numPr>
        <w:spacing w:line="360" w:lineRule="auto"/>
        <w:jc w:val="left"/>
        <w:rPr>
          <w:bCs/>
          <w:szCs w:val="21"/>
        </w:rPr>
      </w:pPr>
      <w:r>
        <w:rPr>
          <w:rFonts w:hint="eastAsia"/>
          <w:bCs/>
          <w:szCs w:val="21"/>
        </w:rPr>
        <w:t>投标申请公函</w:t>
      </w:r>
    </w:p>
    <w:p>
      <w:pPr>
        <w:numPr>
          <w:ilvl w:val="0"/>
          <w:numId w:val="4"/>
        </w:numPr>
        <w:spacing w:line="360" w:lineRule="auto"/>
        <w:jc w:val="left"/>
        <w:rPr>
          <w:bCs/>
          <w:szCs w:val="21"/>
        </w:rPr>
      </w:pPr>
      <w:r>
        <w:rPr>
          <w:rFonts w:hint="eastAsia"/>
          <w:bCs/>
          <w:szCs w:val="21"/>
          <w:lang w:val="zh-CN"/>
        </w:rPr>
        <w:t>法定代表人证明书</w:t>
      </w:r>
      <w:r>
        <w:rPr>
          <w:rFonts w:hint="eastAsia"/>
          <w:bCs/>
          <w:szCs w:val="21"/>
        </w:rPr>
        <w:t>及</w:t>
      </w:r>
      <w:r>
        <w:rPr>
          <w:rFonts w:hint="eastAsia"/>
          <w:bCs/>
          <w:szCs w:val="21"/>
          <w:lang w:val="zh-CN"/>
        </w:rPr>
        <w:t>法定代表人授权委托书</w:t>
      </w:r>
    </w:p>
    <w:p>
      <w:pPr>
        <w:numPr>
          <w:ilvl w:val="0"/>
          <w:numId w:val="4"/>
        </w:numPr>
        <w:spacing w:line="360" w:lineRule="auto"/>
        <w:jc w:val="left"/>
        <w:rPr>
          <w:bCs/>
          <w:szCs w:val="21"/>
        </w:rPr>
      </w:pPr>
      <w:r>
        <w:rPr>
          <w:rFonts w:hint="eastAsia"/>
          <w:szCs w:val="21"/>
        </w:rPr>
        <w:t>事业单位法人证书或法人营业执照</w:t>
      </w:r>
    </w:p>
    <w:p>
      <w:pPr>
        <w:numPr>
          <w:ilvl w:val="0"/>
          <w:numId w:val="4"/>
        </w:numPr>
        <w:spacing w:line="360" w:lineRule="auto"/>
        <w:jc w:val="left"/>
        <w:rPr>
          <w:bCs/>
          <w:szCs w:val="21"/>
        </w:rPr>
      </w:pPr>
      <w:r>
        <w:rPr>
          <w:rFonts w:hint="eastAsia"/>
          <w:szCs w:val="21"/>
        </w:rPr>
        <w:t>企业资质证书</w:t>
      </w:r>
    </w:p>
    <w:p>
      <w:pPr>
        <w:numPr>
          <w:ilvl w:val="0"/>
          <w:numId w:val="4"/>
        </w:numPr>
        <w:spacing w:line="360" w:lineRule="auto"/>
        <w:jc w:val="left"/>
        <w:rPr>
          <w:bCs/>
          <w:szCs w:val="21"/>
        </w:rPr>
      </w:pPr>
      <w:r>
        <w:rPr>
          <w:rFonts w:hint="eastAsia"/>
          <w:szCs w:val="21"/>
        </w:rPr>
        <w:t>投标人安全生产许可证</w:t>
      </w:r>
    </w:p>
    <w:p>
      <w:pPr>
        <w:numPr>
          <w:ilvl w:val="0"/>
          <w:numId w:val="4"/>
        </w:numPr>
        <w:spacing w:line="360" w:lineRule="auto"/>
        <w:jc w:val="left"/>
        <w:rPr>
          <w:bCs/>
          <w:szCs w:val="21"/>
        </w:rPr>
      </w:pPr>
      <w:r>
        <w:rPr>
          <w:rFonts w:hint="eastAsia"/>
          <w:szCs w:val="21"/>
        </w:rPr>
        <w:t>主要负责人资格要求资料</w:t>
      </w:r>
    </w:p>
    <w:p>
      <w:pPr>
        <w:numPr>
          <w:ilvl w:val="0"/>
          <w:numId w:val="4"/>
        </w:numPr>
        <w:spacing w:line="360" w:lineRule="auto"/>
        <w:jc w:val="left"/>
        <w:rPr>
          <w:bCs/>
          <w:sz w:val="24"/>
        </w:rPr>
      </w:pPr>
      <w:r>
        <w:rPr>
          <w:rFonts w:hint="eastAsia"/>
          <w:szCs w:val="21"/>
        </w:rPr>
        <w:t>投标申请人声明</w:t>
      </w:r>
    </w:p>
    <w:p>
      <w:pPr>
        <w:numPr>
          <w:ilvl w:val="0"/>
          <w:numId w:val="4"/>
        </w:numPr>
        <w:spacing w:line="360" w:lineRule="auto"/>
        <w:jc w:val="left"/>
        <w:rPr>
          <w:bCs/>
          <w:sz w:val="24"/>
        </w:rPr>
      </w:pPr>
      <w:r>
        <w:rPr>
          <w:rFonts w:hint="eastAsia"/>
          <w:szCs w:val="21"/>
        </w:rPr>
        <w:t>投标人认为应提供的其他资料</w:t>
      </w:r>
    </w:p>
    <w:p>
      <w:pPr>
        <w:spacing w:line="360" w:lineRule="auto"/>
        <w:jc w:val="left"/>
        <w:rPr>
          <w:szCs w:val="21"/>
        </w:rPr>
      </w:pPr>
    </w:p>
    <w:p>
      <w:pPr>
        <w:spacing w:line="360" w:lineRule="auto"/>
        <w:jc w:val="left"/>
        <w:rPr>
          <w:szCs w:val="21"/>
        </w:rPr>
      </w:pPr>
      <w:r>
        <w:rPr>
          <w:rFonts w:hint="eastAsia"/>
          <w:szCs w:val="21"/>
        </w:rPr>
        <w:t>注：页码由投标人自行编制；若由法定代表人递交投标文件的，不需要“</w:t>
      </w:r>
      <w:r>
        <w:rPr>
          <w:rFonts w:hint="eastAsia"/>
          <w:bCs/>
          <w:szCs w:val="21"/>
          <w:lang w:val="zh-CN"/>
        </w:rPr>
        <w:t>法定代表人授权委托书”。</w:t>
      </w:r>
    </w:p>
    <w:p>
      <w:pPr>
        <w:spacing w:line="360" w:lineRule="auto"/>
        <w:jc w:val="center"/>
        <w:rPr>
          <w:rFonts w:ascii="黑体" w:hAnsi="黑体" w:eastAsia="黑体" w:cs="黑体"/>
          <w:b/>
          <w:sz w:val="32"/>
          <w:szCs w:val="32"/>
        </w:rPr>
      </w:pPr>
      <w:r>
        <w:rPr>
          <w:rFonts w:hint="eastAsia"/>
          <w:bCs/>
          <w:sz w:val="24"/>
        </w:rPr>
        <w:br w:type="page"/>
      </w:r>
      <w:r>
        <w:rPr>
          <w:rFonts w:hint="eastAsia" w:ascii="黑体" w:hAnsi="黑体" w:eastAsia="黑体" w:cs="黑体"/>
          <w:b/>
          <w:sz w:val="32"/>
          <w:szCs w:val="32"/>
        </w:rPr>
        <w:t>投标申请公函</w:t>
      </w:r>
    </w:p>
    <w:p>
      <w:pPr>
        <w:spacing w:line="360" w:lineRule="auto"/>
        <w:jc w:val="left"/>
        <w:rPr>
          <w:bCs/>
          <w:szCs w:val="21"/>
        </w:rPr>
      </w:pPr>
    </w:p>
    <w:p>
      <w:pPr>
        <w:spacing w:line="360" w:lineRule="auto"/>
        <w:jc w:val="left"/>
        <w:rPr>
          <w:bCs/>
          <w:szCs w:val="21"/>
        </w:rPr>
      </w:pPr>
      <w:r>
        <w:rPr>
          <w:rFonts w:hint="eastAsia"/>
          <w:bCs/>
          <w:szCs w:val="21"/>
        </w:rPr>
        <w:t>致招标人：</w:t>
      </w:r>
      <w:r>
        <w:rPr>
          <w:rFonts w:hint="eastAsia"/>
          <w:bCs/>
          <w:szCs w:val="21"/>
          <w:u w:val="single"/>
        </w:rPr>
        <w:t xml:space="preserve">                              </w:t>
      </w:r>
    </w:p>
    <w:p>
      <w:pPr>
        <w:spacing w:line="360" w:lineRule="auto"/>
        <w:ind w:firstLine="315" w:firstLineChars="150"/>
        <w:jc w:val="left"/>
        <w:rPr>
          <w:bCs/>
          <w:szCs w:val="21"/>
        </w:rPr>
      </w:pPr>
    </w:p>
    <w:p>
      <w:pPr>
        <w:spacing w:line="360" w:lineRule="auto"/>
        <w:ind w:firstLine="420" w:firstLineChars="200"/>
        <w:jc w:val="left"/>
        <w:rPr>
          <w:bCs/>
          <w:szCs w:val="21"/>
        </w:rPr>
      </w:pPr>
      <w:r>
        <w:rPr>
          <w:rFonts w:hint="eastAsia"/>
          <w:bCs/>
          <w:szCs w:val="21"/>
        </w:rPr>
        <w:t>按照本工程招标公告的要求，我们递交有关资料文件，以便贵单位审查我们参加</w:t>
      </w:r>
      <w:r>
        <w:rPr>
          <w:rFonts w:hint="eastAsia" w:ascii="Calibri" w:hAnsi="Calibri" w:eastAsia="宋体" w:cs="Times New Roman"/>
          <w:bCs/>
          <w:kern w:val="2"/>
          <w:sz w:val="21"/>
          <w:szCs w:val="21"/>
          <w:u w:val="none"/>
          <w:lang w:eastAsia="zh-CN"/>
        </w:rPr>
        <w:t>天后宫专用综合房增容</w:t>
      </w:r>
      <w:r>
        <w:rPr>
          <w:rFonts w:hint="eastAsia" w:ascii="Calibri" w:hAnsi="Calibri" w:eastAsia="宋体" w:cs="Times New Roman"/>
          <w:bCs/>
          <w:kern w:val="2"/>
          <w:sz w:val="21"/>
          <w:szCs w:val="21"/>
          <w:u w:val="none"/>
          <w:lang w:val="en-US" w:eastAsia="zh-CN"/>
        </w:rPr>
        <w:t>工</w:t>
      </w:r>
      <w:r>
        <w:rPr>
          <w:rFonts w:hint="eastAsia" w:ascii="宋体" w:hAnsi="宋体" w:cs="Calibri"/>
          <w:kern w:val="2"/>
          <w:sz w:val="21"/>
          <w:szCs w:val="21"/>
          <w:highlight w:val="none"/>
          <w:u w:val="single"/>
          <w:lang w:val="en-US" w:eastAsia="zh-CN"/>
        </w:rPr>
        <w:t>程</w:t>
      </w:r>
      <w:r>
        <w:rPr>
          <w:rFonts w:hint="eastAsia"/>
          <w:bCs/>
          <w:szCs w:val="21"/>
        </w:rPr>
        <w:t>投标资格。</w:t>
      </w:r>
    </w:p>
    <w:p>
      <w:pPr>
        <w:spacing w:line="360" w:lineRule="auto"/>
        <w:ind w:firstLine="420" w:firstLineChars="200"/>
        <w:jc w:val="left"/>
        <w:rPr>
          <w:bCs/>
          <w:szCs w:val="21"/>
        </w:rPr>
      </w:pPr>
      <w:r>
        <w:rPr>
          <w:rFonts w:hint="eastAsia"/>
          <w:bCs/>
          <w:szCs w:val="21"/>
        </w:rPr>
        <w:t>此申请是</w:t>
      </w:r>
      <w:r>
        <w:rPr>
          <w:rFonts w:hint="eastAsia"/>
          <w:bCs/>
          <w:szCs w:val="21"/>
          <w:u w:val="single"/>
        </w:rPr>
        <w:t xml:space="preserve">                  （单位名称）</w:t>
      </w:r>
      <w:r>
        <w:rPr>
          <w:rFonts w:hint="eastAsia"/>
          <w:bCs/>
          <w:szCs w:val="21"/>
        </w:rPr>
        <w:t>以</w:t>
      </w:r>
      <w:r>
        <w:rPr>
          <w:rFonts w:hint="eastAsia"/>
          <w:bCs/>
          <w:szCs w:val="21"/>
          <w:u w:val="single"/>
        </w:rPr>
        <w:t xml:space="preserve">        （人名）</w:t>
      </w:r>
      <w:r>
        <w:rPr>
          <w:rFonts w:hint="eastAsia"/>
          <w:bCs/>
          <w:szCs w:val="21"/>
        </w:rPr>
        <w:t>为全权代表身份递交的。</w:t>
      </w:r>
    </w:p>
    <w:p>
      <w:pPr>
        <w:spacing w:line="360" w:lineRule="auto"/>
        <w:ind w:firstLine="420" w:firstLineChars="200"/>
        <w:jc w:val="left"/>
        <w:rPr>
          <w:bCs/>
          <w:szCs w:val="21"/>
        </w:rPr>
      </w:pPr>
      <w:r>
        <w:rPr>
          <w:rFonts w:hint="eastAsia"/>
          <w:bCs/>
          <w:szCs w:val="21"/>
        </w:rPr>
        <w:t>我们保证所有提交的资料是真实可靠的，并为提交的资料负有相应的法律责任。</w:t>
      </w:r>
    </w:p>
    <w:p>
      <w:pPr>
        <w:spacing w:line="360" w:lineRule="auto"/>
        <w:ind w:firstLine="420" w:firstLineChars="200"/>
        <w:jc w:val="left"/>
        <w:rPr>
          <w:bCs/>
          <w:szCs w:val="21"/>
        </w:rPr>
      </w:pPr>
      <w:r>
        <w:rPr>
          <w:rFonts w:hint="eastAsia"/>
          <w:bCs/>
          <w:szCs w:val="21"/>
        </w:rPr>
        <w:t>我们理解招标单位有权拒绝任何申请，而无需由招标单位承担任何责任。</w:t>
      </w:r>
    </w:p>
    <w:p>
      <w:pPr>
        <w:spacing w:line="360" w:lineRule="auto"/>
        <w:ind w:firstLine="315" w:firstLineChars="150"/>
        <w:jc w:val="left"/>
        <w:rPr>
          <w:bCs/>
          <w:szCs w:val="21"/>
        </w:rPr>
      </w:pPr>
    </w:p>
    <w:p>
      <w:pPr>
        <w:spacing w:line="360" w:lineRule="auto"/>
        <w:ind w:firstLine="315" w:firstLineChars="150"/>
        <w:jc w:val="left"/>
        <w:rPr>
          <w:bCs/>
          <w:szCs w:val="21"/>
        </w:rPr>
      </w:pPr>
      <w:r>
        <w:rPr>
          <w:rFonts w:hint="eastAsia"/>
          <w:bCs/>
          <w:szCs w:val="21"/>
        </w:rPr>
        <w:t xml:space="preserve">                     申请单位名称：</w:t>
      </w:r>
    </w:p>
    <w:p>
      <w:pPr>
        <w:spacing w:line="360" w:lineRule="auto"/>
        <w:ind w:firstLine="315" w:firstLineChars="150"/>
        <w:jc w:val="left"/>
        <w:rPr>
          <w:szCs w:val="21"/>
        </w:rPr>
      </w:pPr>
      <w:r>
        <w:rPr>
          <w:rFonts w:hint="eastAsia"/>
          <w:bCs/>
          <w:szCs w:val="21"/>
        </w:rPr>
        <w:t xml:space="preserve">                     申请日期：      年   月   日</w:t>
      </w:r>
    </w:p>
    <w:p>
      <w:pPr>
        <w:spacing w:line="360" w:lineRule="auto"/>
        <w:jc w:val="left"/>
        <w:rPr>
          <w:bCs/>
          <w:sz w:val="24"/>
        </w:rPr>
      </w:pPr>
    </w:p>
    <w:p>
      <w:pPr>
        <w:spacing w:line="360" w:lineRule="auto"/>
        <w:jc w:val="center"/>
        <w:rPr>
          <w:rFonts w:ascii="黑体" w:hAnsi="黑体" w:eastAsia="黑体" w:cs="黑体"/>
          <w:b/>
          <w:sz w:val="32"/>
          <w:szCs w:val="32"/>
          <w:lang w:val="zh-CN"/>
        </w:rPr>
      </w:pPr>
      <w:r>
        <w:rPr>
          <w:rFonts w:hint="eastAsia"/>
          <w:bCs/>
          <w:sz w:val="24"/>
        </w:rPr>
        <w:br w:type="page"/>
      </w:r>
      <w:r>
        <w:rPr>
          <w:rFonts w:hint="eastAsia" w:ascii="黑体" w:hAnsi="黑体" w:eastAsia="黑体" w:cs="黑体"/>
          <w:b/>
          <w:sz w:val="32"/>
          <w:szCs w:val="32"/>
          <w:lang w:val="zh-CN"/>
        </w:rPr>
        <w:t>法人代表证明书、授权委托证明书</w:t>
      </w:r>
    </w:p>
    <w:p>
      <w:pPr>
        <w:autoSpaceDE w:val="0"/>
        <w:autoSpaceDN w:val="0"/>
        <w:adjustRightInd w:val="0"/>
        <w:spacing w:line="360" w:lineRule="auto"/>
        <w:jc w:val="center"/>
        <w:rPr>
          <w:b/>
          <w:bCs/>
          <w:sz w:val="28"/>
          <w:szCs w:val="28"/>
          <w:lang w:val="zh-CN"/>
        </w:rPr>
      </w:pPr>
      <w:r>
        <w:rPr>
          <w:rFonts w:hint="eastAsia"/>
          <w:b/>
          <w:bCs/>
          <w:sz w:val="28"/>
          <w:szCs w:val="28"/>
          <w:lang w:val="zh-CN"/>
        </w:rPr>
        <w:t>法定代表人证明书</w:t>
      </w:r>
    </w:p>
    <w:p>
      <w:pPr>
        <w:spacing w:line="360" w:lineRule="auto"/>
        <w:jc w:val="right"/>
        <w:rPr>
          <w:szCs w:val="21"/>
        </w:rPr>
      </w:pPr>
      <w:r>
        <w:rPr>
          <w:rFonts w:hint="eastAsia"/>
          <w:szCs w:val="21"/>
        </w:rPr>
        <w:t>（   ）第   号</w:t>
      </w:r>
    </w:p>
    <w:tbl>
      <w:tblPr>
        <w:tblStyle w:val="40"/>
        <w:tblW w:w="9498" w:type="dxa"/>
        <w:jc w:val="center"/>
        <w:tblBorders>
          <w:top w:val="single" w:color="auto" w:sz="4" w:space="0"/>
          <w:left w:val="single" w:color="auto" w:sz="4" w:space="0"/>
          <w:bottom w:val="single" w:color="auto" w:sz="4" w:space="0"/>
          <w:right w:val="single" w:color="auto" w:sz="4" w:space="0"/>
          <w:insideH w:val="thinThickSmallGap" w:color="339966" w:sz="24" w:space="0"/>
          <w:insideV w:val="none" w:color="auto" w:sz="0" w:space="0"/>
        </w:tblBorders>
        <w:tblLayout w:type="fixed"/>
        <w:tblCellMar>
          <w:top w:w="0" w:type="dxa"/>
          <w:left w:w="108" w:type="dxa"/>
          <w:bottom w:w="0" w:type="dxa"/>
          <w:right w:w="108" w:type="dxa"/>
        </w:tblCellMar>
      </w:tblPr>
      <w:tblGrid>
        <w:gridCol w:w="9498"/>
      </w:tblGrid>
      <w:tr>
        <w:tblPrEx>
          <w:tblBorders>
            <w:top w:val="single" w:color="auto" w:sz="4" w:space="0"/>
            <w:left w:val="single" w:color="auto" w:sz="4" w:space="0"/>
            <w:bottom w:val="single" w:color="auto" w:sz="4" w:space="0"/>
            <w:right w:val="single" w:color="auto" w:sz="4" w:space="0"/>
            <w:insideH w:val="thinThickSmallGap" w:color="339966" w:sz="24" w:space="0"/>
            <w:insideV w:val="none" w:color="auto" w:sz="0" w:space="0"/>
          </w:tblBorders>
          <w:tblCellMar>
            <w:top w:w="0" w:type="dxa"/>
            <w:left w:w="108" w:type="dxa"/>
            <w:bottom w:w="0" w:type="dxa"/>
            <w:right w:w="108" w:type="dxa"/>
          </w:tblCellMar>
        </w:tblPrEx>
        <w:trPr>
          <w:jc w:val="center"/>
        </w:trPr>
        <w:tc>
          <w:tcPr>
            <w:tcW w:w="9498" w:type="dxa"/>
          </w:tcPr>
          <w:p>
            <w:pPr>
              <w:spacing w:line="360" w:lineRule="auto"/>
              <w:ind w:firstLine="420" w:firstLineChars="200"/>
              <w:rPr>
                <w:szCs w:val="21"/>
              </w:rPr>
            </w:pPr>
            <w:r>
              <w:rPr>
                <w:rFonts w:hint="eastAsia"/>
                <w:szCs w:val="21"/>
                <w:u w:val="single"/>
                <w:lang w:bidi="ar"/>
              </w:rPr>
              <w:t xml:space="preserve">       </w:t>
            </w:r>
            <w:r>
              <w:rPr>
                <w:rFonts w:hint="eastAsia"/>
                <w:szCs w:val="21"/>
                <w:lang w:bidi="ar"/>
              </w:rPr>
              <w:t>现任我公司</w:t>
            </w:r>
            <w:r>
              <w:rPr>
                <w:rFonts w:hint="eastAsia"/>
                <w:szCs w:val="21"/>
                <w:u w:val="single"/>
                <w:lang w:bidi="ar"/>
              </w:rPr>
              <w:t xml:space="preserve">      </w:t>
            </w:r>
            <w:r>
              <w:rPr>
                <w:rFonts w:hint="eastAsia"/>
                <w:szCs w:val="21"/>
                <w:lang w:bidi="ar"/>
              </w:rPr>
              <w:t>职务，为法定代表人（负责人），特此证明。</w:t>
            </w:r>
          </w:p>
          <w:p>
            <w:pPr>
              <w:spacing w:line="360" w:lineRule="auto"/>
              <w:ind w:firstLine="420" w:firstLineChars="200"/>
              <w:rPr>
                <w:szCs w:val="21"/>
                <w:u w:val="single"/>
              </w:rPr>
            </w:pPr>
            <w:r>
              <w:rPr>
                <w:rFonts w:hint="eastAsia"/>
                <w:szCs w:val="21"/>
                <w:lang w:bidi="ar"/>
              </w:rPr>
              <w:t>有效期限：</w:t>
            </w:r>
            <w:r>
              <w:rPr>
                <w:rFonts w:hint="eastAsia"/>
                <w:szCs w:val="21"/>
                <w:u w:val="single"/>
                <w:lang w:bidi="ar"/>
              </w:rPr>
              <w:t xml:space="preserve">      </w:t>
            </w:r>
          </w:p>
          <w:p>
            <w:pPr>
              <w:snapToGrid w:val="0"/>
              <w:spacing w:line="360" w:lineRule="auto"/>
              <w:rPr>
                <w:szCs w:val="21"/>
                <w:u w:val="single"/>
              </w:rPr>
            </w:pPr>
            <w:r>
              <w:rPr>
                <w:rFonts w:hint="eastAsia"/>
                <w:szCs w:val="21"/>
                <w:lang w:bidi="ar"/>
              </w:rPr>
              <w:t>附：法定代表人（负责人）性别：</w:t>
            </w:r>
            <w:r>
              <w:rPr>
                <w:rFonts w:hint="eastAsia"/>
                <w:szCs w:val="21"/>
                <w:u w:val="single"/>
                <w:lang w:bidi="ar"/>
              </w:rPr>
              <w:t xml:space="preserve">  </w:t>
            </w:r>
            <w:r>
              <w:rPr>
                <w:rFonts w:hint="eastAsia"/>
                <w:szCs w:val="21"/>
                <w:lang w:bidi="ar"/>
              </w:rPr>
              <w:t xml:space="preserve">  年龄：</w:t>
            </w:r>
            <w:r>
              <w:rPr>
                <w:rFonts w:hint="eastAsia"/>
                <w:szCs w:val="21"/>
                <w:u w:val="single"/>
                <w:lang w:bidi="ar"/>
              </w:rPr>
              <w:t xml:space="preserve">  </w:t>
            </w:r>
            <w:r>
              <w:rPr>
                <w:rFonts w:hint="eastAsia"/>
                <w:szCs w:val="21"/>
                <w:lang w:bidi="ar"/>
              </w:rPr>
              <w:t xml:space="preserve">  身份证号码：</w:t>
            </w:r>
            <w:r>
              <w:rPr>
                <w:rFonts w:hint="eastAsia"/>
                <w:szCs w:val="21"/>
                <w:u w:val="single"/>
                <w:lang w:bidi="ar"/>
              </w:rPr>
              <w:t xml:space="preserve">                </w:t>
            </w:r>
          </w:p>
          <w:p>
            <w:pPr>
              <w:snapToGrid w:val="0"/>
              <w:spacing w:line="360" w:lineRule="auto"/>
              <w:ind w:firstLine="570"/>
              <w:rPr>
                <w:szCs w:val="21"/>
                <w:u w:val="single"/>
              </w:rPr>
            </w:pPr>
            <w:r>
              <w:rPr>
                <w:rFonts w:hint="eastAsia"/>
                <w:szCs w:val="21"/>
                <w:lang w:bidi="ar"/>
              </w:rPr>
              <w:t>统一社会信用代码：</w:t>
            </w:r>
            <w:r>
              <w:rPr>
                <w:rFonts w:hint="eastAsia"/>
                <w:szCs w:val="21"/>
                <w:u w:val="single"/>
                <w:lang w:bidi="ar"/>
              </w:rPr>
              <w:t xml:space="preserve">            </w:t>
            </w:r>
            <w:r>
              <w:rPr>
                <w:rFonts w:hint="eastAsia"/>
                <w:szCs w:val="21"/>
                <w:lang w:bidi="ar"/>
              </w:rPr>
              <w:t xml:space="preserve">  企业类型：</w:t>
            </w:r>
            <w:r>
              <w:rPr>
                <w:rFonts w:hint="eastAsia"/>
                <w:szCs w:val="21"/>
                <w:u w:val="single"/>
                <w:lang w:bidi="ar"/>
              </w:rPr>
              <w:t xml:space="preserve">           </w:t>
            </w:r>
          </w:p>
          <w:p>
            <w:pPr>
              <w:snapToGrid w:val="0"/>
              <w:spacing w:line="360" w:lineRule="auto"/>
              <w:ind w:firstLine="570"/>
              <w:rPr>
                <w:szCs w:val="21"/>
                <w:u w:val="single"/>
              </w:rPr>
            </w:pPr>
            <w:r>
              <w:rPr>
                <w:rFonts w:hint="eastAsia"/>
                <w:szCs w:val="21"/>
                <w:lang w:bidi="ar"/>
              </w:rPr>
              <w:t>经营范围：</w:t>
            </w:r>
            <w:r>
              <w:rPr>
                <w:rFonts w:hint="eastAsia"/>
                <w:szCs w:val="21"/>
                <w:u w:val="single"/>
                <w:lang w:bidi="ar"/>
              </w:rPr>
              <w:t xml:space="preserve">                                                          </w:t>
            </w:r>
          </w:p>
          <w:p>
            <w:pPr>
              <w:snapToGrid w:val="0"/>
              <w:spacing w:line="360" w:lineRule="auto"/>
              <w:ind w:firstLine="570"/>
              <w:rPr>
                <w:szCs w:val="21"/>
                <w:u w:val="single"/>
              </w:rPr>
            </w:pPr>
          </w:p>
          <w:p>
            <w:pPr>
              <w:snapToGrid w:val="0"/>
              <w:spacing w:line="360" w:lineRule="auto"/>
              <w:ind w:firstLine="570"/>
              <w:rPr>
                <w:szCs w:val="21"/>
              </w:rPr>
            </w:pPr>
            <w:r>
              <w:rPr>
                <w:rFonts w:hint="eastAsia"/>
                <w:szCs w:val="21"/>
                <w:lang w:bidi="ar"/>
              </w:rPr>
              <w:t xml:space="preserve">                       单位：</w:t>
            </w:r>
            <w:r>
              <w:rPr>
                <w:rFonts w:hint="eastAsia"/>
                <w:szCs w:val="21"/>
                <w:u w:val="single"/>
                <w:lang w:bidi="ar"/>
              </w:rPr>
              <w:t xml:space="preserve">                                    </w:t>
            </w:r>
            <w:r>
              <w:rPr>
                <w:rFonts w:hint="eastAsia"/>
                <w:szCs w:val="21"/>
                <w:lang w:bidi="ar"/>
              </w:rPr>
              <w:t>（盖章）</w:t>
            </w:r>
          </w:p>
          <w:p>
            <w:pPr>
              <w:snapToGrid w:val="0"/>
              <w:spacing w:line="360" w:lineRule="auto"/>
              <w:ind w:firstLine="573"/>
              <w:rPr>
                <w:szCs w:val="21"/>
              </w:rPr>
            </w:pPr>
            <w:r>
              <w:rPr>
                <w:rFonts w:hint="eastAsia"/>
                <w:szCs w:val="21"/>
                <w:lang w:bidi="ar"/>
              </w:rPr>
              <w:t xml:space="preserve">                                       年  月  日</w:t>
            </w:r>
          </w:p>
        </w:tc>
      </w:tr>
    </w:tbl>
    <w:p>
      <w:pPr>
        <w:spacing w:line="360" w:lineRule="auto"/>
        <w:rPr>
          <w:szCs w:val="21"/>
        </w:rPr>
      </w:pPr>
      <w:r>
        <w:rPr>
          <w:rFonts w:hint="eastAsia"/>
          <w:szCs w:val="21"/>
        </w:rPr>
        <w:t>注：法定代表人证明书也可以采用工商行政管理局统一印制的格式。</w:t>
      </w:r>
    </w:p>
    <w:p>
      <w:pPr>
        <w:spacing w:line="360" w:lineRule="auto"/>
        <w:rPr>
          <w:szCs w:val="21"/>
        </w:rPr>
      </w:pPr>
      <w:r>
        <w:rPr>
          <w:rFonts w:hint="eastAsia"/>
          <w:szCs w:val="21"/>
        </w:rPr>
        <w:t xml:space="preserve">  </w:t>
      </w:r>
    </w:p>
    <w:p>
      <w:pPr>
        <w:autoSpaceDE w:val="0"/>
        <w:autoSpaceDN w:val="0"/>
        <w:adjustRightInd w:val="0"/>
        <w:spacing w:line="360" w:lineRule="auto"/>
        <w:jc w:val="center"/>
        <w:rPr>
          <w:b/>
          <w:bCs/>
          <w:sz w:val="28"/>
          <w:szCs w:val="28"/>
          <w:lang w:val="zh-CN"/>
        </w:rPr>
      </w:pPr>
      <w:r>
        <w:rPr>
          <w:rFonts w:hint="eastAsia"/>
          <w:b/>
          <w:bCs/>
          <w:sz w:val="28"/>
          <w:szCs w:val="28"/>
          <w:lang w:val="zh-CN"/>
        </w:rPr>
        <w:t>法定代表人授权委托书</w:t>
      </w:r>
    </w:p>
    <w:p>
      <w:pPr>
        <w:spacing w:line="360" w:lineRule="auto"/>
        <w:jc w:val="right"/>
        <w:rPr>
          <w:szCs w:val="21"/>
        </w:rPr>
      </w:pPr>
      <w:r>
        <w:rPr>
          <w:rFonts w:hint="eastAsia"/>
          <w:szCs w:val="21"/>
        </w:rPr>
        <w:t>（   ）第   号</w:t>
      </w:r>
    </w:p>
    <w:tbl>
      <w:tblPr>
        <w:tblStyle w:val="40"/>
        <w:tblW w:w="9500" w:type="dxa"/>
        <w:tblInd w:w="45" w:type="dxa"/>
        <w:tblBorders>
          <w:top w:val="single" w:color="auto" w:sz="4" w:space="0"/>
          <w:left w:val="single" w:color="auto" w:sz="4" w:space="0"/>
          <w:bottom w:val="single" w:color="auto" w:sz="4" w:space="0"/>
          <w:right w:val="single" w:color="auto" w:sz="4" w:space="0"/>
          <w:insideH w:val="thinThickSmallGap" w:color="339966" w:sz="24" w:space="0"/>
          <w:insideV w:val="none" w:color="auto" w:sz="0" w:space="0"/>
        </w:tblBorders>
        <w:tblLayout w:type="fixed"/>
        <w:tblCellMar>
          <w:top w:w="0" w:type="dxa"/>
          <w:left w:w="108" w:type="dxa"/>
          <w:bottom w:w="0" w:type="dxa"/>
          <w:right w:w="108" w:type="dxa"/>
        </w:tblCellMar>
      </w:tblPr>
      <w:tblGrid>
        <w:gridCol w:w="9500"/>
      </w:tblGrid>
      <w:tr>
        <w:tblPrEx>
          <w:tblBorders>
            <w:top w:val="single" w:color="auto" w:sz="4" w:space="0"/>
            <w:left w:val="single" w:color="auto" w:sz="4" w:space="0"/>
            <w:bottom w:val="single" w:color="auto" w:sz="4" w:space="0"/>
            <w:right w:val="single" w:color="auto" w:sz="4" w:space="0"/>
            <w:insideH w:val="thinThickSmallGap" w:color="339966" w:sz="24" w:space="0"/>
            <w:insideV w:val="none" w:color="auto" w:sz="0" w:space="0"/>
          </w:tblBorders>
          <w:tblCellMar>
            <w:top w:w="0" w:type="dxa"/>
            <w:left w:w="108" w:type="dxa"/>
            <w:bottom w:w="0" w:type="dxa"/>
            <w:right w:w="108" w:type="dxa"/>
          </w:tblCellMar>
        </w:tblPrEx>
        <w:tc>
          <w:tcPr>
            <w:tcW w:w="9500" w:type="dxa"/>
          </w:tcPr>
          <w:p>
            <w:pPr>
              <w:spacing w:line="360" w:lineRule="auto"/>
              <w:ind w:firstLine="420" w:firstLineChars="200"/>
              <w:rPr>
                <w:szCs w:val="21"/>
              </w:rPr>
            </w:pPr>
            <w:r>
              <w:rPr>
                <w:rFonts w:hint="eastAsia"/>
                <w:szCs w:val="21"/>
                <w:lang w:bidi="ar"/>
              </w:rPr>
              <w:t>兹授权</w:t>
            </w:r>
            <w:r>
              <w:rPr>
                <w:rFonts w:hint="eastAsia"/>
                <w:szCs w:val="21"/>
                <w:u w:val="single"/>
                <w:lang w:bidi="ar"/>
              </w:rPr>
              <w:t xml:space="preserve">      </w:t>
            </w:r>
            <w:r>
              <w:rPr>
                <w:rFonts w:hint="eastAsia"/>
                <w:szCs w:val="21"/>
                <w:lang w:bidi="ar"/>
              </w:rPr>
              <w:t>为我方委托代理人，其权限是：</w:t>
            </w:r>
            <w:r>
              <w:rPr>
                <w:rFonts w:hint="eastAsia"/>
                <w:szCs w:val="21"/>
                <w:u w:val="single"/>
                <w:lang w:bidi="ar"/>
              </w:rPr>
              <w:t>负责办理         投标相关事宜</w:t>
            </w:r>
            <w:r>
              <w:rPr>
                <w:rFonts w:hint="eastAsia"/>
                <w:szCs w:val="21"/>
                <w:lang w:bidi="ar"/>
              </w:rPr>
              <w:t>。</w:t>
            </w:r>
          </w:p>
          <w:p>
            <w:pPr>
              <w:spacing w:line="360" w:lineRule="auto"/>
              <w:ind w:firstLine="420" w:firstLineChars="200"/>
              <w:rPr>
                <w:szCs w:val="21"/>
                <w:u w:val="single"/>
              </w:rPr>
            </w:pPr>
            <w:r>
              <w:rPr>
                <w:rFonts w:hint="eastAsia"/>
                <w:szCs w:val="21"/>
                <w:lang w:bidi="ar"/>
              </w:rPr>
              <w:t>有效期限：</w:t>
            </w:r>
            <w:r>
              <w:rPr>
                <w:rFonts w:hint="eastAsia"/>
                <w:szCs w:val="21"/>
                <w:u w:val="single"/>
                <w:lang w:bidi="ar"/>
              </w:rPr>
              <w:t xml:space="preserve">      </w:t>
            </w:r>
          </w:p>
          <w:p>
            <w:pPr>
              <w:spacing w:line="360" w:lineRule="auto"/>
              <w:rPr>
                <w:szCs w:val="21"/>
                <w:u w:val="single"/>
              </w:rPr>
            </w:pPr>
            <w:r>
              <w:rPr>
                <w:rFonts w:hint="eastAsia"/>
                <w:szCs w:val="21"/>
                <w:lang w:bidi="ar"/>
              </w:rPr>
              <w:t>附：代理人性别：</w:t>
            </w:r>
            <w:r>
              <w:rPr>
                <w:rFonts w:hint="eastAsia"/>
                <w:szCs w:val="21"/>
                <w:u w:val="single"/>
                <w:lang w:bidi="ar"/>
              </w:rPr>
              <w:t xml:space="preserve">  </w:t>
            </w:r>
            <w:r>
              <w:rPr>
                <w:rFonts w:hint="eastAsia"/>
                <w:szCs w:val="21"/>
                <w:lang w:bidi="ar"/>
              </w:rPr>
              <w:t xml:space="preserve"> 年龄：</w:t>
            </w:r>
            <w:r>
              <w:rPr>
                <w:rFonts w:hint="eastAsia"/>
                <w:szCs w:val="21"/>
                <w:u w:val="single"/>
                <w:lang w:bidi="ar"/>
              </w:rPr>
              <w:t xml:space="preserve">  </w:t>
            </w:r>
            <w:r>
              <w:rPr>
                <w:rFonts w:hint="eastAsia"/>
                <w:szCs w:val="21"/>
                <w:lang w:bidi="ar"/>
              </w:rPr>
              <w:t xml:space="preserve"> 身份证号码：</w:t>
            </w:r>
            <w:r>
              <w:rPr>
                <w:rFonts w:hint="eastAsia"/>
                <w:szCs w:val="21"/>
                <w:u w:val="single"/>
                <w:lang w:bidi="ar"/>
              </w:rPr>
              <w:t xml:space="preserve">                </w:t>
            </w:r>
          </w:p>
          <w:p>
            <w:pPr>
              <w:snapToGrid w:val="0"/>
              <w:spacing w:line="360" w:lineRule="auto"/>
              <w:ind w:firstLine="570"/>
              <w:rPr>
                <w:szCs w:val="21"/>
                <w:u w:val="single"/>
              </w:rPr>
            </w:pPr>
            <w:r>
              <w:rPr>
                <w:rFonts w:hint="eastAsia"/>
                <w:szCs w:val="21"/>
                <w:lang w:bidi="ar"/>
              </w:rPr>
              <w:t>统一社会信用代码：</w:t>
            </w:r>
            <w:r>
              <w:rPr>
                <w:rFonts w:hint="eastAsia"/>
                <w:szCs w:val="21"/>
                <w:u w:val="single"/>
                <w:lang w:bidi="ar"/>
              </w:rPr>
              <w:t xml:space="preserve">            </w:t>
            </w:r>
            <w:r>
              <w:rPr>
                <w:rFonts w:hint="eastAsia"/>
                <w:szCs w:val="21"/>
                <w:lang w:bidi="ar"/>
              </w:rPr>
              <w:t xml:space="preserve">  企业类型：</w:t>
            </w:r>
            <w:r>
              <w:rPr>
                <w:rFonts w:hint="eastAsia"/>
                <w:szCs w:val="21"/>
                <w:u w:val="single"/>
                <w:lang w:bidi="ar"/>
              </w:rPr>
              <w:t xml:space="preserve">           </w:t>
            </w:r>
          </w:p>
          <w:p>
            <w:pPr>
              <w:snapToGrid w:val="0"/>
              <w:spacing w:line="360" w:lineRule="auto"/>
              <w:ind w:firstLine="570"/>
              <w:rPr>
                <w:szCs w:val="21"/>
                <w:u w:val="single"/>
              </w:rPr>
            </w:pPr>
            <w:r>
              <w:rPr>
                <w:rFonts w:hint="eastAsia"/>
                <w:szCs w:val="21"/>
                <w:lang w:bidi="ar"/>
              </w:rPr>
              <w:t>经营范围：</w:t>
            </w:r>
            <w:r>
              <w:rPr>
                <w:rFonts w:hint="eastAsia"/>
                <w:szCs w:val="21"/>
                <w:u w:val="single"/>
                <w:lang w:bidi="ar"/>
              </w:rPr>
              <w:t xml:space="preserve">                                                          </w:t>
            </w:r>
          </w:p>
          <w:p>
            <w:pPr>
              <w:snapToGrid w:val="0"/>
              <w:spacing w:line="360" w:lineRule="auto"/>
              <w:ind w:hanging="105"/>
              <w:rPr>
                <w:szCs w:val="21"/>
                <w:u w:val="single"/>
              </w:rPr>
            </w:pPr>
          </w:p>
          <w:p>
            <w:pPr>
              <w:spacing w:line="360" w:lineRule="auto"/>
              <w:ind w:firstLine="420" w:firstLineChars="200"/>
              <w:rPr>
                <w:szCs w:val="21"/>
              </w:rPr>
            </w:pPr>
            <w:r>
              <w:rPr>
                <w:rFonts w:hint="eastAsia"/>
                <w:szCs w:val="21"/>
                <w:lang w:bidi="ar"/>
              </w:rPr>
              <w:t>法定代表人（负责人）：</w:t>
            </w:r>
            <w:r>
              <w:rPr>
                <w:rFonts w:hint="eastAsia"/>
                <w:szCs w:val="21"/>
                <w:u w:val="single"/>
                <w:lang w:bidi="ar"/>
              </w:rPr>
              <w:t xml:space="preserve">          </w:t>
            </w:r>
            <w:r>
              <w:rPr>
                <w:rFonts w:hint="eastAsia"/>
                <w:szCs w:val="21"/>
                <w:lang w:bidi="ar"/>
              </w:rPr>
              <w:t>（签名或盖章）</w:t>
            </w:r>
          </w:p>
          <w:p>
            <w:pPr>
              <w:spacing w:line="360" w:lineRule="auto"/>
              <w:ind w:firstLine="420" w:firstLineChars="200"/>
              <w:rPr>
                <w:szCs w:val="21"/>
              </w:rPr>
            </w:pPr>
            <w:r>
              <w:rPr>
                <w:rFonts w:hint="eastAsia"/>
                <w:szCs w:val="21"/>
                <w:lang w:bidi="ar"/>
              </w:rPr>
              <w:t>授权单位：（盖章）</w:t>
            </w:r>
            <w:r>
              <w:rPr>
                <w:rFonts w:hint="eastAsia"/>
                <w:szCs w:val="21"/>
                <w:u w:val="single"/>
                <w:lang w:bidi="ar"/>
              </w:rPr>
              <w:t xml:space="preserve">                          </w:t>
            </w:r>
          </w:p>
          <w:p>
            <w:pPr>
              <w:snapToGrid w:val="0"/>
              <w:spacing w:line="360" w:lineRule="auto"/>
              <w:ind w:firstLine="570"/>
              <w:rPr>
                <w:szCs w:val="21"/>
              </w:rPr>
            </w:pPr>
            <w:r>
              <w:rPr>
                <w:rFonts w:hint="eastAsia"/>
                <w:szCs w:val="21"/>
                <w:lang w:bidi="ar"/>
              </w:rPr>
              <w:t xml:space="preserve">                      年  月  日</w:t>
            </w:r>
          </w:p>
        </w:tc>
      </w:tr>
    </w:tbl>
    <w:p>
      <w:pPr>
        <w:spacing w:line="360" w:lineRule="auto"/>
        <w:rPr>
          <w:szCs w:val="21"/>
        </w:rPr>
      </w:pPr>
      <w:r>
        <w:rPr>
          <w:rFonts w:hint="eastAsia"/>
          <w:szCs w:val="21"/>
        </w:rPr>
        <w:t>注：法定代表人授权委托书也可以采用工商行政管理局统一印制的格式。</w:t>
      </w:r>
    </w:p>
    <w:p>
      <w:pPr>
        <w:spacing w:line="360" w:lineRule="auto"/>
        <w:jc w:val="center"/>
        <w:rPr>
          <w:rFonts w:hint="eastAsia"/>
          <w:bCs/>
          <w:sz w:val="24"/>
        </w:rPr>
      </w:pPr>
    </w:p>
    <w:p>
      <w:pPr>
        <w:pStyle w:val="17"/>
        <w:rPr>
          <w:rFonts w:hint="eastAsia"/>
          <w:bCs/>
          <w:sz w:val="24"/>
        </w:rPr>
      </w:pPr>
    </w:p>
    <w:p>
      <w:pPr>
        <w:pStyle w:val="39"/>
        <w:rPr>
          <w:rFonts w:hint="eastAsia"/>
          <w:bCs/>
          <w:sz w:val="24"/>
        </w:rPr>
      </w:pPr>
    </w:p>
    <w:p>
      <w:pPr>
        <w:pStyle w:val="39"/>
        <w:rPr>
          <w:rFonts w:hint="eastAsia"/>
          <w:bCs/>
          <w:sz w:val="24"/>
        </w:rPr>
      </w:pPr>
    </w:p>
    <w:p>
      <w:pPr>
        <w:pStyle w:val="39"/>
        <w:ind w:left="0" w:leftChars="0" w:firstLine="0" w:firstLineChars="0"/>
        <w:rPr>
          <w:rFonts w:hint="eastAsia"/>
          <w:bCs/>
          <w:sz w:val="24"/>
        </w:rPr>
      </w:pPr>
    </w:p>
    <w:p>
      <w:pPr>
        <w:pStyle w:val="39"/>
        <w:rPr>
          <w:rFonts w:hint="eastAsia"/>
          <w:bCs/>
          <w:sz w:val="24"/>
        </w:rPr>
      </w:pPr>
    </w:p>
    <w:p>
      <w:pPr>
        <w:spacing w:line="360" w:lineRule="auto"/>
        <w:jc w:val="center"/>
        <w:rPr>
          <w:rFonts w:eastAsia="黑体"/>
          <w:b/>
          <w:sz w:val="30"/>
          <w:szCs w:val="30"/>
        </w:rPr>
      </w:pPr>
      <w:r>
        <w:rPr>
          <w:rFonts w:hint="eastAsia" w:ascii="黑体" w:hAnsi="黑体" w:eastAsia="黑体" w:cs="黑体"/>
          <w:b/>
          <w:sz w:val="30"/>
          <w:szCs w:val="30"/>
        </w:rPr>
        <w:t>第二部分 工程实施方案（含资信部分）文件</w:t>
      </w:r>
    </w:p>
    <w:p>
      <w:pPr>
        <w:spacing w:line="360" w:lineRule="auto"/>
        <w:jc w:val="center"/>
        <w:rPr>
          <w:b/>
          <w:sz w:val="30"/>
          <w:szCs w:val="30"/>
        </w:rPr>
      </w:pPr>
    </w:p>
    <w:p>
      <w:pPr>
        <w:spacing w:line="360" w:lineRule="auto"/>
        <w:jc w:val="left"/>
        <w:rPr>
          <w:bCs/>
          <w:szCs w:val="21"/>
        </w:rPr>
      </w:pPr>
      <w:r>
        <w:rPr>
          <w:rFonts w:hint="eastAsia"/>
          <w:b/>
          <w:sz w:val="30"/>
          <w:szCs w:val="30"/>
        </w:rPr>
        <w:br w:type="page"/>
      </w:r>
      <w:r>
        <w:rPr>
          <w:rFonts w:hint="eastAsia"/>
          <w:bCs/>
          <w:szCs w:val="21"/>
        </w:rPr>
        <w:t>格式参考：</w:t>
      </w:r>
    </w:p>
    <w:p>
      <w:pPr>
        <w:spacing w:line="360" w:lineRule="auto"/>
        <w:jc w:val="right"/>
        <w:rPr>
          <w:rFonts w:ascii="黑体" w:hAnsi="黑体" w:eastAsia="黑体" w:cs="黑体"/>
          <w:b/>
          <w:sz w:val="30"/>
          <w:szCs w:val="30"/>
        </w:rPr>
      </w:pPr>
      <w:r>
        <w:rPr>
          <w:rFonts w:hint="eastAsia" w:ascii="黑体" w:hAnsi="黑体" w:eastAsia="黑体" w:cs="黑体"/>
          <w:b/>
          <w:sz w:val="32"/>
          <w:szCs w:val="32"/>
        </w:rPr>
        <w:t>正/副本</w:t>
      </w:r>
    </w:p>
    <w:p>
      <w:pPr>
        <w:spacing w:line="360" w:lineRule="auto"/>
        <w:rPr>
          <w:b/>
          <w:sz w:val="30"/>
          <w:szCs w:val="30"/>
        </w:rPr>
      </w:pPr>
    </w:p>
    <w:p>
      <w:pPr>
        <w:spacing w:line="360" w:lineRule="auto"/>
        <w:rPr>
          <w:bCs/>
          <w:szCs w:val="21"/>
        </w:rPr>
      </w:pPr>
    </w:p>
    <w:p>
      <w:pPr>
        <w:jc w:val="center"/>
        <w:rPr>
          <w:rFonts w:hint="eastAsia" w:ascii="宋体" w:hAnsi="宋体" w:cs="宋体"/>
          <w:b/>
          <w:color w:val="000000"/>
          <w:w w:val="73"/>
          <w:kern w:val="0"/>
          <w:sz w:val="52"/>
          <w:szCs w:val="52"/>
          <w:u w:val="single"/>
        </w:rPr>
      </w:pPr>
      <w:r>
        <w:rPr>
          <w:rFonts w:hint="eastAsia" w:ascii="黑体" w:hAnsi="黑体" w:eastAsia="黑体" w:cs="黑体"/>
          <w:b/>
          <w:bCs w:val="0"/>
          <w:kern w:val="0"/>
          <w:sz w:val="48"/>
          <w:szCs w:val="48"/>
          <w:u w:val="none"/>
          <w:lang w:eastAsia="zh-CN" w:bidi="ar"/>
        </w:rPr>
        <w:t>天后宫专用综合房增容</w:t>
      </w:r>
      <w:r>
        <w:rPr>
          <w:rFonts w:hint="eastAsia" w:ascii="黑体" w:hAnsi="黑体" w:eastAsia="黑体" w:cs="黑体"/>
          <w:b/>
          <w:kern w:val="0"/>
          <w:sz w:val="48"/>
          <w:szCs w:val="48"/>
          <w:u w:val="none"/>
          <w:lang w:val="en-US" w:eastAsia="zh-CN" w:bidi="ar"/>
        </w:rPr>
        <w:t>工程</w:t>
      </w:r>
    </w:p>
    <w:p>
      <w:pPr>
        <w:jc w:val="center"/>
        <w:rPr>
          <w:rFonts w:hint="eastAsia" w:ascii="宋体" w:hAnsi="宋体" w:cs="宋体"/>
          <w:b/>
          <w:color w:val="000000"/>
          <w:w w:val="73"/>
          <w:kern w:val="0"/>
          <w:sz w:val="52"/>
          <w:szCs w:val="52"/>
          <w:u w:val="none"/>
        </w:rPr>
      </w:pPr>
    </w:p>
    <w:p>
      <w:pPr>
        <w:pStyle w:val="33"/>
        <w:spacing w:line="360" w:lineRule="auto"/>
        <w:jc w:val="center"/>
        <w:rPr>
          <w:rFonts w:ascii="黑体" w:hAnsi="黑体" w:eastAsia="黑体" w:cs="黑体"/>
          <w:b/>
          <w:sz w:val="36"/>
          <w:szCs w:val="36"/>
          <w:lang w:bidi="ar"/>
        </w:rPr>
      </w:pPr>
    </w:p>
    <w:p>
      <w:pPr>
        <w:pStyle w:val="33"/>
        <w:spacing w:line="360" w:lineRule="auto"/>
        <w:jc w:val="center"/>
        <w:rPr>
          <w:rFonts w:ascii="黑体" w:hAnsi="黑体" w:eastAsia="黑体" w:cs="黑体"/>
          <w:b/>
          <w:sz w:val="36"/>
          <w:szCs w:val="36"/>
          <w:lang w:bidi="ar"/>
        </w:rPr>
      </w:pPr>
    </w:p>
    <w:p>
      <w:pPr>
        <w:pStyle w:val="33"/>
        <w:spacing w:line="360" w:lineRule="auto"/>
        <w:jc w:val="center"/>
        <w:rPr>
          <w:rFonts w:ascii="黑体" w:hAnsi="黑体" w:eastAsia="黑体" w:cs="黑体"/>
          <w:b/>
          <w:sz w:val="48"/>
          <w:szCs w:val="48"/>
          <w:u w:val="none"/>
          <w:lang w:bidi="ar"/>
        </w:rPr>
      </w:pPr>
      <w:r>
        <w:rPr>
          <w:rFonts w:hint="eastAsia" w:ascii="黑体" w:hAnsi="黑体" w:eastAsia="黑体" w:cs="黑体"/>
          <w:b/>
          <w:sz w:val="48"/>
          <w:szCs w:val="48"/>
          <w:u w:val="none"/>
          <w:lang w:bidi="ar"/>
        </w:rPr>
        <w:t>投标文件</w:t>
      </w:r>
    </w:p>
    <w:p>
      <w:pPr>
        <w:pStyle w:val="33"/>
        <w:spacing w:line="360" w:lineRule="auto"/>
        <w:jc w:val="center"/>
        <w:rPr>
          <w:rFonts w:ascii="黑体" w:hAnsi="黑体" w:eastAsia="黑体" w:cs="黑体"/>
          <w:b/>
          <w:sz w:val="36"/>
          <w:szCs w:val="36"/>
          <w:lang w:bidi="ar"/>
        </w:rPr>
      </w:pPr>
      <w:r>
        <w:rPr>
          <w:rFonts w:hint="eastAsia" w:ascii="黑体" w:hAnsi="黑体" w:eastAsia="黑体" w:cs="黑体"/>
          <w:b/>
          <w:sz w:val="36"/>
          <w:szCs w:val="36"/>
          <w:lang w:bidi="ar"/>
        </w:rPr>
        <w:t>（工程实施方案（含资信部分）文件）</w:t>
      </w:r>
      <w:r>
        <w:rPr>
          <w:rFonts w:hint="eastAsia" w:ascii="黑体" w:hAnsi="黑体" w:eastAsia="黑体" w:cs="黑体"/>
          <w:bCs/>
          <w:sz w:val="36"/>
          <w:szCs w:val="36"/>
          <w:u w:val="none"/>
          <w:lang w:bidi="ar"/>
        </w:rPr>
        <w:t xml:space="preserve"> </w:t>
      </w:r>
    </w:p>
    <w:p>
      <w:pPr>
        <w:spacing w:line="360" w:lineRule="auto"/>
        <w:rPr>
          <w:b/>
          <w:sz w:val="48"/>
          <w:szCs w:val="48"/>
        </w:rPr>
      </w:pPr>
    </w:p>
    <w:p>
      <w:pPr>
        <w:spacing w:line="360" w:lineRule="auto"/>
        <w:rPr>
          <w:b/>
          <w:sz w:val="48"/>
          <w:szCs w:val="48"/>
        </w:rPr>
      </w:pPr>
    </w:p>
    <w:p>
      <w:pPr>
        <w:spacing w:line="360" w:lineRule="auto"/>
        <w:rPr>
          <w:b/>
          <w:sz w:val="48"/>
          <w:szCs w:val="48"/>
        </w:rPr>
      </w:pPr>
    </w:p>
    <w:p>
      <w:pPr>
        <w:spacing w:line="360" w:lineRule="auto"/>
        <w:rPr>
          <w:b/>
          <w:sz w:val="48"/>
          <w:szCs w:val="48"/>
        </w:rPr>
      </w:pPr>
    </w:p>
    <w:p>
      <w:pPr>
        <w:spacing w:line="360" w:lineRule="auto"/>
        <w:ind w:firstLine="389" w:firstLineChars="139"/>
        <w:jc w:val="left"/>
        <w:rPr>
          <w:rFonts w:ascii="华文楷体" w:hAnsi="华文楷体" w:eastAsia="华文楷体" w:cs="华文楷体"/>
          <w:sz w:val="28"/>
          <w:szCs w:val="28"/>
          <w:u w:val="single"/>
        </w:rPr>
      </w:pPr>
      <w:r>
        <w:rPr>
          <w:rFonts w:hint="eastAsia" w:ascii="华文楷体" w:hAnsi="华文楷体" w:eastAsia="华文楷体" w:cs="华文楷体"/>
          <w:sz w:val="28"/>
          <w:szCs w:val="28"/>
        </w:rPr>
        <w:t>投标单位名称（盖章）：</w:t>
      </w:r>
      <w:r>
        <w:rPr>
          <w:rFonts w:hint="eastAsia" w:ascii="华文楷体" w:hAnsi="华文楷体" w:eastAsia="华文楷体" w:cs="华文楷体"/>
          <w:kern w:val="0"/>
          <w:sz w:val="28"/>
          <w:szCs w:val="28"/>
          <w:u w:val="single"/>
        </w:rPr>
        <w:t xml:space="preserve">                         </w:t>
      </w:r>
    </w:p>
    <w:p>
      <w:pPr>
        <w:spacing w:line="360" w:lineRule="auto"/>
        <w:ind w:firstLine="389" w:firstLineChars="139"/>
        <w:jc w:val="left"/>
        <w:rPr>
          <w:rFonts w:ascii="华文楷体" w:hAnsi="华文楷体" w:eastAsia="华文楷体" w:cs="华文楷体"/>
          <w:sz w:val="28"/>
          <w:szCs w:val="28"/>
          <w:u w:val="single"/>
        </w:rPr>
      </w:pPr>
      <w:r>
        <w:rPr>
          <w:rFonts w:hint="eastAsia" w:ascii="华文楷体" w:hAnsi="华文楷体" w:eastAsia="华文楷体" w:cs="华文楷体"/>
          <w:sz w:val="28"/>
          <w:szCs w:val="28"/>
        </w:rPr>
        <w:t>法定代表人或其委托代理人（签字或盖章）：</w:t>
      </w:r>
      <w:r>
        <w:rPr>
          <w:rFonts w:hint="eastAsia" w:ascii="华文楷体" w:hAnsi="华文楷体" w:eastAsia="华文楷体" w:cs="华文楷体"/>
          <w:sz w:val="28"/>
          <w:szCs w:val="28"/>
          <w:u w:val="single"/>
        </w:rPr>
        <w:t xml:space="preserve">      </w:t>
      </w:r>
      <w:r>
        <w:rPr>
          <w:rFonts w:hint="eastAsia" w:ascii="华文楷体" w:hAnsi="华文楷体" w:eastAsia="华文楷体" w:cs="华文楷体"/>
          <w:sz w:val="28"/>
          <w:szCs w:val="28"/>
          <w:u w:val="single"/>
        </w:rPr>
        <w:tab/>
      </w:r>
    </w:p>
    <w:p>
      <w:pPr>
        <w:spacing w:line="360" w:lineRule="auto"/>
        <w:ind w:firstLine="389" w:firstLineChars="139"/>
        <w:jc w:val="left"/>
        <w:rPr>
          <w:rFonts w:ascii="华文楷体" w:hAnsi="华文楷体" w:eastAsia="华文楷体" w:cs="华文楷体"/>
          <w:bCs/>
          <w:sz w:val="28"/>
          <w:szCs w:val="28"/>
        </w:rPr>
      </w:pPr>
      <w:r>
        <w:rPr>
          <w:rFonts w:hint="eastAsia" w:ascii="华文楷体" w:hAnsi="华文楷体" w:eastAsia="华文楷体" w:cs="华文楷体"/>
          <w:sz w:val="28"/>
          <w:szCs w:val="28"/>
        </w:rPr>
        <w:t>投标日期：   年   月   日</w:t>
      </w:r>
    </w:p>
    <w:p>
      <w:pPr>
        <w:spacing w:line="360" w:lineRule="auto"/>
        <w:jc w:val="center"/>
        <w:rPr>
          <w:rFonts w:ascii="黑体" w:hAnsi="黑体" w:eastAsia="黑体" w:cs="黑体"/>
          <w:b/>
          <w:sz w:val="32"/>
          <w:szCs w:val="32"/>
        </w:rPr>
      </w:pPr>
      <w:r>
        <w:rPr>
          <w:rFonts w:hint="eastAsia"/>
          <w:b/>
          <w:sz w:val="30"/>
          <w:szCs w:val="30"/>
        </w:rPr>
        <w:br w:type="page"/>
      </w:r>
      <w:r>
        <w:rPr>
          <w:rFonts w:hint="eastAsia" w:ascii="黑体" w:hAnsi="黑体" w:eastAsia="黑体" w:cs="黑体"/>
          <w:b/>
          <w:sz w:val="32"/>
          <w:szCs w:val="32"/>
        </w:rPr>
        <w:t>目 录</w:t>
      </w:r>
    </w:p>
    <w:p>
      <w:pPr>
        <w:spacing w:line="360" w:lineRule="auto"/>
        <w:jc w:val="center"/>
        <w:rPr>
          <w:rFonts w:ascii="黑体" w:hAnsi="黑体" w:eastAsia="黑体" w:cs="黑体"/>
          <w:b/>
          <w:sz w:val="32"/>
          <w:szCs w:val="32"/>
        </w:rPr>
      </w:pPr>
    </w:p>
    <w:p>
      <w:pPr>
        <w:spacing w:line="360" w:lineRule="auto"/>
        <w:rPr>
          <w:szCs w:val="21"/>
        </w:rPr>
      </w:pPr>
      <w:r>
        <w:rPr>
          <w:rFonts w:hint="eastAsia"/>
          <w:szCs w:val="21"/>
        </w:rPr>
        <w:t>一、施工技术投标书</w:t>
      </w:r>
    </w:p>
    <w:p>
      <w:pPr>
        <w:spacing w:line="360" w:lineRule="auto"/>
        <w:rPr>
          <w:szCs w:val="21"/>
        </w:rPr>
      </w:pPr>
      <w:r>
        <w:rPr>
          <w:rFonts w:hint="eastAsia"/>
          <w:szCs w:val="21"/>
          <w:lang w:val="en-US" w:eastAsia="zh-CN"/>
        </w:rPr>
        <w:t>二</w:t>
      </w:r>
      <w:r>
        <w:rPr>
          <w:rFonts w:hint="eastAsia"/>
          <w:szCs w:val="21"/>
        </w:rPr>
        <w:t>、投标承诺书</w:t>
      </w:r>
    </w:p>
    <w:p>
      <w:pPr>
        <w:spacing w:line="360" w:lineRule="auto"/>
        <w:rPr>
          <w:szCs w:val="21"/>
        </w:rPr>
      </w:pPr>
      <w:r>
        <w:rPr>
          <w:rFonts w:hint="eastAsia"/>
          <w:szCs w:val="21"/>
          <w:lang w:val="en-US" w:eastAsia="zh-CN"/>
        </w:rPr>
        <w:t>三</w:t>
      </w:r>
      <w:r>
        <w:rPr>
          <w:rFonts w:hint="eastAsia"/>
          <w:szCs w:val="21"/>
        </w:rPr>
        <w:t>、施工技术评分资料（按《工程实施方案（含资信部分）文件评分表》要求提交）</w:t>
      </w:r>
    </w:p>
    <w:p>
      <w:pPr>
        <w:spacing w:line="360" w:lineRule="auto"/>
        <w:rPr>
          <w:szCs w:val="21"/>
        </w:rPr>
      </w:pPr>
      <w:r>
        <w:rPr>
          <w:rFonts w:hint="eastAsia"/>
          <w:szCs w:val="21"/>
          <w:lang w:val="en-US" w:eastAsia="zh-CN"/>
        </w:rPr>
        <w:t>四</w:t>
      </w:r>
      <w:r>
        <w:rPr>
          <w:rFonts w:hint="eastAsia"/>
          <w:szCs w:val="21"/>
        </w:rPr>
        <w:t>、投标人认为应提供的其他资料</w:t>
      </w:r>
    </w:p>
    <w:p>
      <w:pPr>
        <w:spacing w:line="360" w:lineRule="auto"/>
        <w:rPr>
          <w:szCs w:val="21"/>
        </w:rPr>
      </w:pPr>
    </w:p>
    <w:p>
      <w:pPr>
        <w:spacing w:line="360" w:lineRule="auto"/>
        <w:jc w:val="left"/>
        <w:rPr>
          <w:b/>
          <w:sz w:val="30"/>
          <w:szCs w:val="30"/>
        </w:rPr>
      </w:pPr>
    </w:p>
    <w:p>
      <w:pPr>
        <w:spacing w:line="360" w:lineRule="auto"/>
        <w:rPr>
          <w:szCs w:val="21"/>
        </w:rPr>
      </w:pPr>
      <w:r>
        <w:rPr>
          <w:rFonts w:hint="eastAsia"/>
          <w:szCs w:val="21"/>
        </w:rPr>
        <w:t>注：页码由投标人自行编制。目录格式仅供参考，投标人可根据实际情况进行扩展及补充。</w:t>
      </w:r>
    </w:p>
    <w:p>
      <w:pPr>
        <w:spacing w:line="360" w:lineRule="auto"/>
        <w:jc w:val="center"/>
        <w:rPr>
          <w:rFonts w:ascii="黑体" w:hAnsi="黑体" w:eastAsia="黑体" w:cs="黑体"/>
          <w:b/>
          <w:sz w:val="32"/>
          <w:szCs w:val="32"/>
          <w:lang w:val="zh-CN"/>
        </w:rPr>
      </w:pPr>
      <w:r>
        <w:rPr>
          <w:b/>
          <w:sz w:val="48"/>
          <w:szCs w:val="48"/>
        </w:rPr>
        <w:br w:type="page"/>
      </w:r>
      <w:r>
        <w:rPr>
          <w:rFonts w:hint="eastAsia" w:ascii="黑体" w:hAnsi="黑体" w:eastAsia="黑体" w:cs="黑体"/>
          <w:b/>
          <w:sz w:val="32"/>
          <w:szCs w:val="32"/>
        </w:rPr>
        <w:t>施工</w:t>
      </w:r>
      <w:r>
        <w:rPr>
          <w:rFonts w:hint="eastAsia" w:ascii="黑体" w:hAnsi="黑体" w:eastAsia="黑体" w:cs="黑体"/>
          <w:b/>
          <w:sz w:val="32"/>
          <w:szCs w:val="32"/>
          <w:lang w:val="zh-CN"/>
        </w:rPr>
        <w:t>技术投标书</w:t>
      </w:r>
    </w:p>
    <w:p>
      <w:pPr>
        <w:autoSpaceDE w:val="0"/>
        <w:autoSpaceDN w:val="0"/>
        <w:adjustRightInd w:val="0"/>
        <w:spacing w:line="360" w:lineRule="auto"/>
        <w:jc w:val="right"/>
        <w:rPr>
          <w:bCs/>
          <w:szCs w:val="21"/>
          <w:lang w:val="zh-CN"/>
        </w:rPr>
      </w:pPr>
      <w:r>
        <w:rPr>
          <w:rFonts w:hint="eastAsia"/>
          <w:bCs/>
          <w:szCs w:val="21"/>
          <w:lang w:val="zh-CN"/>
        </w:rPr>
        <w:t>投标日期：   年  月  日</w:t>
      </w:r>
    </w:p>
    <w:tbl>
      <w:tblPr>
        <w:tblStyle w:val="40"/>
        <w:tblW w:w="93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68"/>
        <w:gridCol w:w="2294"/>
        <w:gridCol w:w="44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jc w:val="center"/>
        </w:trPr>
        <w:tc>
          <w:tcPr>
            <w:tcW w:w="2668" w:type="dxa"/>
            <w:vAlign w:val="center"/>
          </w:tcPr>
          <w:p>
            <w:pPr>
              <w:autoSpaceDE w:val="0"/>
              <w:autoSpaceDN w:val="0"/>
              <w:adjustRightInd w:val="0"/>
              <w:spacing w:line="360" w:lineRule="auto"/>
              <w:jc w:val="center"/>
              <w:rPr>
                <w:bCs/>
                <w:szCs w:val="21"/>
                <w:lang w:val="zh-CN"/>
              </w:rPr>
            </w:pPr>
            <w:r>
              <w:rPr>
                <w:rFonts w:hint="eastAsia"/>
                <w:bCs/>
                <w:szCs w:val="21"/>
              </w:rPr>
              <w:t>项目</w:t>
            </w:r>
            <w:r>
              <w:rPr>
                <w:rFonts w:hint="eastAsia"/>
                <w:bCs/>
                <w:szCs w:val="21"/>
                <w:lang w:val="zh-CN"/>
              </w:rPr>
              <w:t>名称</w:t>
            </w:r>
          </w:p>
        </w:tc>
        <w:tc>
          <w:tcPr>
            <w:tcW w:w="6697" w:type="dxa"/>
            <w:gridSpan w:val="2"/>
            <w:vAlign w:val="center"/>
          </w:tcPr>
          <w:p>
            <w:pPr>
              <w:autoSpaceDE w:val="0"/>
              <w:autoSpaceDN w:val="0"/>
              <w:adjustRightInd w:val="0"/>
              <w:spacing w:line="360" w:lineRule="auto"/>
              <w:jc w:val="center"/>
              <w:rPr>
                <w:bCs/>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668" w:type="dxa"/>
            <w:vAlign w:val="center"/>
          </w:tcPr>
          <w:p>
            <w:pPr>
              <w:spacing w:line="360" w:lineRule="auto"/>
              <w:jc w:val="center"/>
              <w:rPr>
                <w:bCs/>
                <w:szCs w:val="21"/>
                <w:highlight w:val="none"/>
                <w:lang w:val="zh-CN"/>
              </w:rPr>
            </w:pPr>
            <w:r>
              <w:rPr>
                <w:rFonts w:hint="eastAsia"/>
                <w:bCs/>
                <w:szCs w:val="21"/>
                <w:highlight w:val="none"/>
              </w:rPr>
              <w:t>项目</w:t>
            </w:r>
            <w:r>
              <w:rPr>
                <w:rFonts w:hint="eastAsia"/>
                <w:bCs/>
                <w:szCs w:val="21"/>
                <w:highlight w:val="none"/>
                <w:lang w:val="zh-CN"/>
              </w:rPr>
              <w:t>工期</w:t>
            </w:r>
          </w:p>
        </w:tc>
        <w:tc>
          <w:tcPr>
            <w:tcW w:w="6697" w:type="dxa"/>
            <w:gridSpan w:val="2"/>
            <w:vAlign w:val="center"/>
          </w:tcPr>
          <w:p>
            <w:pPr>
              <w:spacing w:line="360" w:lineRule="auto"/>
              <w:jc w:val="center"/>
              <w:rPr>
                <w:bCs/>
                <w:szCs w:val="21"/>
                <w:highlight w:val="gree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668" w:type="dxa"/>
            <w:vAlign w:val="center"/>
          </w:tcPr>
          <w:p>
            <w:pPr>
              <w:spacing w:line="360" w:lineRule="auto"/>
              <w:jc w:val="center"/>
              <w:rPr>
                <w:bCs/>
                <w:szCs w:val="21"/>
                <w:highlight w:val="none"/>
                <w:lang w:val="zh-CN"/>
              </w:rPr>
            </w:pPr>
            <w:r>
              <w:rPr>
                <w:rFonts w:hint="eastAsia"/>
                <w:bCs/>
                <w:szCs w:val="21"/>
                <w:highlight w:val="none"/>
                <w:lang w:val="zh-CN"/>
              </w:rPr>
              <w:t>质量标准</w:t>
            </w:r>
          </w:p>
        </w:tc>
        <w:tc>
          <w:tcPr>
            <w:tcW w:w="6697" w:type="dxa"/>
            <w:gridSpan w:val="2"/>
            <w:vAlign w:val="center"/>
          </w:tcPr>
          <w:p>
            <w:pPr>
              <w:spacing w:line="360" w:lineRule="auto"/>
              <w:jc w:val="center"/>
              <w:rPr>
                <w:bCs/>
                <w:szCs w:val="21"/>
                <w:highlight w:val="gree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jc w:val="center"/>
        </w:trPr>
        <w:tc>
          <w:tcPr>
            <w:tcW w:w="2668" w:type="dxa"/>
            <w:vAlign w:val="center"/>
          </w:tcPr>
          <w:p>
            <w:pPr>
              <w:autoSpaceDE w:val="0"/>
              <w:autoSpaceDN w:val="0"/>
              <w:adjustRightInd w:val="0"/>
              <w:spacing w:line="360" w:lineRule="auto"/>
              <w:jc w:val="center"/>
              <w:rPr>
                <w:bCs/>
                <w:szCs w:val="21"/>
                <w:highlight w:val="none"/>
                <w:lang w:val="zh-CN"/>
              </w:rPr>
            </w:pPr>
            <w:r>
              <w:rPr>
                <w:rFonts w:hint="eastAsia"/>
                <w:bCs/>
                <w:szCs w:val="21"/>
                <w:highlight w:val="none"/>
                <w:lang w:val="zh-CN"/>
              </w:rPr>
              <w:t>保修期限</w:t>
            </w:r>
          </w:p>
        </w:tc>
        <w:tc>
          <w:tcPr>
            <w:tcW w:w="6697" w:type="dxa"/>
            <w:gridSpan w:val="2"/>
            <w:vAlign w:val="center"/>
          </w:tcPr>
          <w:p>
            <w:pPr>
              <w:spacing w:line="360" w:lineRule="auto"/>
              <w:jc w:val="center"/>
              <w:rPr>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2668" w:type="dxa"/>
            <w:vMerge w:val="restart"/>
            <w:vAlign w:val="center"/>
          </w:tcPr>
          <w:p>
            <w:pPr>
              <w:autoSpaceDE w:val="0"/>
              <w:autoSpaceDN w:val="0"/>
              <w:adjustRightInd w:val="0"/>
              <w:spacing w:line="360" w:lineRule="auto"/>
              <w:jc w:val="center"/>
              <w:rPr>
                <w:bCs/>
                <w:szCs w:val="21"/>
              </w:rPr>
            </w:pPr>
            <w:r>
              <w:rPr>
                <w:rFonts w:hint="eastAsia"/>
                <w:bCs/>
                <w:szCs w:val="21"/>
              </w:rPr>
              <w:t>项目负责人（</w:t>
            </w:r>
            <w:r>
              <w:rPr>
                <w:rFonts w:hint="eastAsia"/>
                <w:szCs w:val="21"/>
              </w:rPr>
              <w:t>施工负责人）</w:t>
            </w:r>
          </w:p>
        </w:tc>
        <w:tc>
          <w:tcPr>
            <w:tcW w:w="2294" w:type="dxa"/>
            <w:vAlign w:val="center"/>
          </w:tcPr>
          <w:p>
            <w:pPr>
              <w:autoSpaceDE w:val="0"/>
              <w:autoSpaceDN w:val="0"/>
              <w:adjustRightInd w:val="0"/>
              <w:snapToGrid w:val="0"/>
              <w:spacing w:line="360" w:lineRule="auto"/>
              <w:jc w:val="center"/>
              <w:rPr>
                <w:bCs/>
                <w:szCs w:val="21"/>
                <w:lang w:val="zh-CN"/>
              </w:rPr>
            </w:pPr>
            <w:r>
              <w:rPr>
                <w:rFonts w:hint="eastAsia"/>
                <w:bCs/>
                <w:szCs w:val="21"/>
              </w:rPr>
              <w:t>姓    名</w:t>
            </w:r>
          </w:p>
        </w:tc>
        <w:tc>
          <w:tcPr>
            <w:tcW w:w="4403" w:type="dxa"/>
            <w:vAlign w:val="center"/>
          </w:tcPr>
          <w:p>
            <w:pPr>
              <w:autoSpaceDE w:val="0"/>
              <w:autoSpaceDN w:val="0"/>
              <w:adjustRightInd w:val="0"/>
              <w:spacing w:line="360" w:lineRule="auto"/>
              <w:jc w:val="center"/>
              <w:rPr>
                <w:bCs/>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668" w:type="dxa"/>
            <w:vMerge w:val="continue"/>
            <w:vAlign w:val="center"/>
          </w:tcPr>
          <w:p>
            <w:pPr>
              <w:autoSpaceDE w:val="0"/>
              <w:autoSpaceDN w:val="0"/>
              <w:adjustRightInd w:val="0"/>
              <w:spacing w:line="360" w:lineRule="auto"/>
              <w:jc w:val="center"/>
              <w:rPr>
                <w:bCs/>
                <w:szCs w:val="21"/>
                <w:lang w:val="zh-CN"/>
              </w:rPr>
            </w:pPr>
          </w:p>
        </w:tc>
        <w:tc>
          <w:tcPr>
            <w:tcW w:w="2294" w:type="dxa"/>
            <w:vAlign w:val="center"/>
          </w:tcPr>
          <w:p>
            <w:pPr>
              <w:autoSpaceDE w:val="0"/>
              <w:autoSpaceDN w:val="0"/>
              <w:adjustRightInd w:val="0"/>
              <w:snapToGrid w:val="0"/>
              <w:spacing w:line="360" w:lineRule="auto"/>
              <w:jc w:val="center"/>
              <w:rPr>
                <w:bCs/>
                <w:szCs w:val="21"/>
                <w:lang w:val="zh-CN"/>
              </w:rPr>
            </w:pPr>
            <w:r>
              <w:rPr>
                <w:rFonts w:hint="eastAsia"/>
                <w:bCs/>
                <w:szCs w:val="21"/>
              </w:rPr>
              <w:t>注册证号</w:t>
            </w:r>
          </w:p>
        </w:tc>
        <w:tc>
          <w:tcPr>
            <w:tcW w:w="4403" w:type="dxa"/>
            <w:vAlign w:val="center"/>
          </w:tcPr>
          <w:p>
            <w:pPr>
              <w:autoSpaceDE w:val="0"/>
              <w:autoSpaceDN w:val="0"/>
              <w:adjustRightInd w:val="0"/>
              <w:spacing w:line="360" w:lineRule="auto"/>
              <w:jc w:val="center"/>
              <w:rPr>
                <w:bCs/>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3" w:hRule="atLeast"/>
          <w:jc w:val="center"/>
        </w:trPr>
        <w:tc>
          <w:tcPr>
            <w:tcW w:w="2668" w:type="dxa"/>
            <w:vAlign w:val="center"/>
          </w:tcPr>
          <w:p>
            <w:pPr>
              <w:autoSpaceDE w:val="0"/>
              <w:autoSpaceDN w:val="0"/>
              <w:adjustRightInd w:val="0"/>
              <w:spacing w:line="360" w:lineRule="auto"/>
              <w:jc w:val="center"/>
              <w:rPr>
                <w:bCs/>
                <w:szCs w:val="21"/>
                <w:lang w:val="zh-CN"/>
              </w:rPr>
            </w:pPr>
            <w:r>
              <w:rPr>
                <w:rFonts w:hint="eastAsia"/>
                <w:bCs/>
                <w:szCs w:val="21"/>
                <w:lang w:val="zh-CN"/>
              </w:rPr>
              <w:t>法定代表人</w:t>
            </w:r>
          </w:p>
          <w:p>
            <w:pPr>
              <w:autoSpaceDE w:val="0"/>
              <w:autoSpaceDN w:val="0"/>
              <w:adjustRightInd w:val="0"/>
              <w:spacing w:line="360" w:lineRule="auto"/>
              <w:jc w:val="center"/>
              <w:rPr>
                <w:bCs/>
                <w:szCs w:val="21"/>
                <w:lang w:val="zh-CN"/>
              </w:rPr>
            </w:pPr>
            <w:r>
              <w:rPr>
                <w:rFonts w:hint="eastAsia"/>
                <w:bCs/>
                <w:szCs w:val="21"/>
                <w:lang w:val="zh-CN"/>
              </w:rPr>
              <w:t>（签名或盖章）</w:t>
            </w:r>
          </w:p>
        </w:tc>
        <w:tc>
          <w:tcPr>
            <w:tcW w:w="6697" w:type="dxa"/>
            <w:gridSpan w:val="2"/>
            <w:vAlign w:val="center"/>
          </w:tcPr>
          <w:p>
            <w:pPr>
              <w:autoSpaceDE w:val="0"/>
              <w:autoSpaceDN w:val="0"/>
              <w:adjustRightInd w:val="0"/>
              <w:spacing w:line="360" w:lineRule="auto"/>
              <w:jc w:val="center"/>
              <w:rPr>
                <w:bCs/>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7" w:hRule="atLeast"/>
          <w:jc w:val="center"/>
        </w:trPr>
        <w:tc>
          <w:tcPr>
            <w:tcW w:w="2668" w:type="dxa"/>
            <w:vAlign w:val="center"/>
          </w:tcPr>
          <w:p>
            <w:pPr>
              <w:autoSpaceDE w:val="0"/>
              <w:autoSpaceDN w:val="0"/>
              <w:adjustRightInd w:val="0"/>
              <w:spacing w:line="360" w:lineRule="auto"/>
              <w:jc w:val="center"/>
              <w:rPr>
                <w:bCs/>
                <w:szCs w:val="21"/>
                <w:lang w:val="zh-CN"/>
              </w:rPr>
            </w:pPr>
            <w:r>
              <w:rPr>
                <w:rFonts w:hint="eastAsia"/>
                <w:bCs/>
                <w:szCs w:val="21"/>
                <w:lang w:val="zh-CN"/>
              </w:rPr>
              <w:t>授权委托人</w:t>
            </w:r>
          </w:p>
          <w:p>
            <w:pPr>
              <w:autoSpaceDE w:val="0"/>
              <w:autoSpaceDN w:val="0"/>
              <w:adjustRightInd w:val="0"/>
              <w:spacing w:line="360" w:lineRule="auto"/>
              <w:jc w:val="center"/>
              <w:rPr>
                <w:bCs/>
                <w:szCs w:val="21"/>
                <w:lang w:val="zh-CN"/>
              </w:rPr>
            </w:pPr>
            <w:r>
              <w:rPr>
                <w:rFonts w:hint="eastAsia"/>
                <w:bCs/>
                <w:szCs w:val="21"/>
                <w:lang w:val="zh-CN"/>
              </w:rPr>
              <w:t>（签名或盖章）</w:t>
            </w:r>
          </w:p>
        </w:tc>
        <w:tc>
          <w:tcPr>
            <w:tcW w:w="6697" w:type="dxa"/>
            <w:gridSpan w:val="2"/>
            <w:vAlign w:val="center"/>
          </w:tcPr>
          <w:p>
            <w:pPr>
              <w:autoSpaceDE w:val="0"/>
              <w:autoSpaceDN w:val="0"/>
              <w:adjustRightInd w:val="0"/>
              <w:spacing w:line="360" w:lineRule="auto"/>
              <w:jc w:val="center"/>
              <w:rPr>
                <w:bCs/>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3" w:hRule="atLeast"/>
          <w:jc w:val="center"/>
        </w:trPr>
        <w:tc>
          <w:tcPr>
            <w:tcW w:w="2668" w:type="dxa"/>
            <w:vAlign w:val="center"/>
          </w:tcPr>
          <w:p>
            <w:pPr>
              <w:autoSpaceDE w:val="0"/>
              <w:autoSpaceDN w:val="0"/>
              <w:adjustRightInd w:val="0"/>
              <w:spacing w:line="360" w:lineRule="auto"/>
              <w:jc w:val="center"/>
              <w:rPr>
                <w:bCs/>
                <w:szCs w:val="21"/>
                <w:lang w:val="zh-CN"/>
              </w:rPr>
            </w:pPr>
            <w:r>
              <w:rPr>
                <w:rFonts w:hint="eastAsia"/>
                <w:bCs/>
                <w:szCs w:val="21"/>
                <w:lang w:val="zh-CN"/>
              </w:rPr>
              <w:t>投标单位</w:t>
            </w:r>
          </w:p>
          <w:p>
            <w:pPr>
              <w:autoSpaceDE w:val="0"/>
              <w:autoSpaceDN w:val="0"/>
              <w:adjustRightInd w:val="0"/>
              <w:spacing w:line="360" w:lineRule="auto"/>
              <w:jc w:val="center"/>
              <w:rPr>
                <w:bCs/>
                <w:szCs w:val="21"/>
                <w:lang w:val="zh-CN"/>
              </w:rPr>
            </w:pPr>
            <w:r>
              <w:rPr>
                <w:rFonts w:hint="eastAsia"/>
                <w:bCs/>
                <w:szCs w:val="21"/>
                <w:lang w:val="zh-CN"/>
              </w:rPr>
              <w:t>（企业公章）</w:t>
            </w:r>
          </w:p>
        </w:tc>
        <w:tc>
          <w:tcPr>
            <w:tcW w:w="6697" w:type="dxa"/>
            <w:gridSpan w:val="2"/>
            <w:vAlign w:val="center"/>
          </w:tcPr>
          <w:p>
            <w:pPr>
              <w:autoSpaceDE w:val="0"/>
              <w:autoSpaceDN w:val="0"/>
              <w:adjustRightInd w:val="0"/>
              <w:spacing w:line="360" w:lineRule="auto"/>
              <w:jc w:val="center"/>
              <w:rPr>
                <w:bCs/>
                <w:szCs w:val="21"/>
                <w:lang w:val="zh-CN"/>
              </w:rPr>
            </w:pPr>
          </w:p>
        </w:tc>
      </w:tr>
    </w:tbl>
    <w:p>
      <w:pPr>
        <w:spacing w:line="360" w:lineRule="auto"/>
        <w:jc w:val="center"/>
        <w:rPr>
          <w:b/>
          <w:szCs w:val="21"/>
        </w:rPr>
      </w:pPr>
    </w:p>
    <w:p>
      <w:pPr>
        <w:spacing w:line="360" w:lineRule="auto"/>
        <w:jc w:val="center"/>
        <w:rPr>
          <w:b/>
          <w:szCs w:val="21"/>
        </w:rPr>
      </w:pPr>
    </w:p>
    <w:p>
      <w:pPr>
        <w:bidi w:val="0"/>
      </w:pPr>
      <w:r>
        <w:br w:type="page"/>
      </w:r>
    </w:p>
    <w:p>
      <w:pPr>
        <w:pStyle w:val="93"/>
        <w:spacing w:beforeLines="0" w:afterLines="0" w:line="360" w:lineRule="auto"/>
        <w:jc w:val="center"/>
        <w:rPr>
          <w:rFonts w:hAnsi="黑体" w:cs="黑体"/>
          <w:spacing w:val="0"/>
          <w:sz w:val="32"/>
          <w:szCs w:val="32"/>
        </w:rPr>
      </w:pPr>
      <w:r>
        <w:rPr>
          <w:rFonts w:hint="eastAsia" w:hAnsi="黑体" w:cs="黑体"/>
          <w:spacing w:val="0"/>
          <w:sz w:val="32"/>
          <w:szCs w:val="32"/>
        </w:rPr>
        <w:t>投标承诺书</w:t>
      </w:r>
    </w:p>
    <w:p>
      <w:pPr>
        <w:spacing w:line="360" w:lineRule="auto"/>
        <w:rPr>
          <w:szCs w:val="21"/>
        </w:rPr>
      </w:pPr>
    </w:p>
    <w:p>
      <w:pPr>
        <w:spacing w:line="360" w:lineRule="auto"/>
        <w:rPr>
          <w:szCs w:val="21"/>
        </w:rPr>
      </w:pPr>
      <w:r>
        <w:rPr>
          <w:rFonts w:hint="eastAsia"/>
          <w:szCs w:val="21"/>
        </w:rPr>
        <w:t>致</w:t>
      </w:r>
      <w:r>
        <w:rPr>
          <w:rFonts w:hint="eastAsia"/>
          <w:szCs w:val="21"/>
          <w:u w:val="single"/>
        </w:rPr>
        <w:t>广州南沙旅游发展有限公司</w:t>
      </w:r>
      <w:r>
        <w:rPr>
          <w:rFonts w:hint="eastAsia"/>
          <w:szCs w:val="21"/>
        </w:rPr>
        <w:t>：</w:t>
      </w:r>
    </w:p>
    <w:p>
      <w:pPr>
        <w:spacing w:line="360" w:lineRule="auto"/>
        <w:ind w:firstLine="420" w:firstLineChars="200"/>
        <w:rPr>
          <w:szCs w:val="21"/>
        </w:rPr>
      </w:pPr>
    </w:p>
    <w:p>
      <w:pPr>
        <w:ind w:firstLine="630" w:firstLineChars="300"/>
        <w:jc w:val="both"/>
        <w:rPr>
          <w:szCs w:val="21"/>
        </w:rPr>
      </w:pPr>
      <w:r>
        <w:rPr>
          <w:rFonts w:hint="eastAsia"/>
          <w:szCs w:val="21"/>
        </w:rPr>
        <w:t>若我方成为“</w:t>
      </w:r>
      <w:r>
        <w:rPr>
          <w:rFonts w:hint="eastAsia" w:ascii="Calibri" w:hAnsi="Calibri" w:eastAsia="宋体" w:cs="Times New Roman"/>
          <w:bCs/>
          <w:kern w:val="2"/>
          <w:sz w:val="21"/>
          <w:szCs w:val="21"/>
          <w:u w:val="single"/>
          <w:lang w:eastAsia="zh-CN"/>
        </w:rPr>
        <w:t>天后宫专用综合房增容</w:t>
      </w:r>
      <w:r>
        <w:rPr>
          <w:rFonts w:hint="eastAsia" w:ascii="Calibri" w:hAnsi="Calibri" w:eastAsia="宋体" w:cs="Times New Roman"/>
          <w:bCs/>
          <w:kern w:val="2"/>
          <w:sz w:val="21"/>
          <w:szCs w:val="21"/>
          <w:u w:val="single"/>
          <w:lang w:val="en-US" w:eastAsia="zh-CN"/>
        </w:rPr>
        <w:t>工</w:t>
      </w:r>
      <w:r>
        <w:rPr>
          <w:rFonts w:hint="eastAsia" w:ascii="宋体" w:hAnsi="宋体" w:cs="Calibri"/>
          <w:kern w:val="2"/>
          <w:sz w:val="21"/>
          <w:szCs w:val="21"/>
          <w:highlight w:val="none"/>
          <w:u w:val="single"/>
          <w:lang w:val="en-US" w:eastAsia="zh-CN"/>
        </w:rPr>
        <w:t>程</w:t>
      </w:r>
      <w:r>
        <w:rPr>
          <w:rFonts w:hint="eastAsia"/>
          <w:szCs w:val="21"/>
        </w:rPr>
        <w:t>”的中标单位，我方郑重承诺，将切实完成以下工作，若不在限定时间内完成以下任何一项工作，可视为我方放弃本次中标资格，招标人可另择中标单位：</w:t>
      </w:r>
    </w:p>
    <w:p>
      <w:pPr>
        <w:spacing w:line="360" w:lineRule="auto"/>
        <w:ind w:firstLine="420" w:firstLineChars="200"/>
        <w:rPr>
          <w:szCs w:val="21"/>
        </w:rPr>
      </w:pPr>
      <w:r>
        <w:rPr>
          <w:rFonts w:hint="eastAsia"/>
          <w:szCs w:val="21"/>
        </w:rPr>
        <w:t>1、在招标</w:t>
      </w:r>
      <w:r>
        <w:rPr>
          <w:rFonts w:hint="eastAsia"/>
          <w:szCs w:val="21"/>
          <w:lang w:val="en-US" w:eastAsia="zh-CN"/>
        </w:rPr>
        <w:t>人</w:t>
      </w:r>
      <w:r>
        <w:rPr>
          <w:rFonts w:hint="eastAsia"/>
          <w:szCs w:val="21"/>
        </w:rPr>
        <w:t>通知的时间内，派委托代理人携带身份证及法人授权委托证明及时收取中标通知书，收到中标通知书后2个工作日内提交按照招投标文件、答疑纪要及有关补充说明、通知拟写的合同稿及其电子文件给招标人。</w:t>
      </w:r>
    </w:p>
    <w:p>
      <w:pPr>
        <w:spacing w:line="360" w:lineRule="auto"/>
        <w:ind w:firstLine="420" w:firstLineChars="200"/>
        <w:rPr>
          <w:szCs w:val="21"/>
        </w:rPr>
      </w:pPr>
      <w:r>
        <w:rPr>
          <w:rFonts w:hint="eastAsia"/>
          <w:szCs w:val="21"/>
        </w:rPr>
        <w:t>2、我单位合同签订负责人收到已审定的合同正式稿后5个工作日内签订合同并送达招标人。</w:t>
      </w:r>
    </w:p>
    <w:p>
      <w:pPr>
        <w:spacing w:line="360" w:lineRule="auto"/>
        <w:ind w:firstLine="420" w:firstLineChars="200"/>
        <w:rPr>
          <w:szCs w:val="21"/>
        </w:rPr>
      </w:pPr>
      <w:r>
        <w:rPr>
          <w:rFonts w:hint="eastAsia"/>
          <w:szCs w:val="21"/>
        </w:rPr>
        <w:t>3、招标人通知领取已签订的合同文件后2个工作日内领取合同文件。</w:t>
      </w:r>
    </w:p>
    <w:p>
      <w:pPr>
        <w:spacing w:line="360" w:lineRule="auto"/>
        <w:ind w:firstLine="420" w:firstLineChars="200"/>
        <w:rPr>
          <w:szCs w:val="21"/>
        </w:rPr>
      </w:pPr>
      <w:r>
        <w:rPr>
          <w:rFonts w:hint="eastAsia"/>
          <w:szCs w:val="21"/>
        </w:rPr>
        <w:t>4、我方承诺，严格按照上述1～3项要求办理相关工作，若不能按上述1～3项要求办理相关工作，我方自动放弃中标人资格，接受相关条款处罚。</w:t>
      </w:r>
    </w:p>
    <w:p>
      <w:pPr>
        <w:spacing w:line="360" w:lineRule="auto"/>
        <w:ind w:firstLine="420" w:firstLineChars="200"/>
        <w:rPr>
          <w:szCs w:val="21"/>
        </w:rPr>
      </w:pPr>
      <w:r>
        <w:rPr>
          <w:rFonts w:hint="eastAsia"/>
          <w:szCs w:val="21"/>
        </w:rPr>
        <w:t>5、合同签订负责人和项目负责人保持电话联系畅通。</w:t>
      </w:r>
    </w:p>
    <w:p>
      <w:pPr>
        <w:spacing w:line="360" w:lineRule="auto"/>
        <w:ind w:firstLine="420" w:firstLineChars="200"/>
        <w:rPr>
          <w:szCs w:val="21"/>
        </w:rPr>
      </w:pPr>
    </w:p>
    <w:p>
      <w:pPr>
        <w:spacing w:line="360" w:lineRule="auto"/>
        <w:rPr>
          <w:szCs w:val="21"/>
        </w:rPr>
      </w:pPr>
      <w:r>
        <w:rPr>
          <w:rFonts w:hint="eastAsia"/>
          <w:szCs w:val="21"/>
        </w:rPr>
        <w:t>投标单位（盖公章）：</w:t>
      </w:r>
    </w:p>
    <w:p>
      <w:pPr>
        <w:spacing w:line="360" w:lineRule="auto"/>
        <w:rPr>
          <w:szCs w:val="21"/>
        </w:rPr>
      </w:pPr>
      <w:r>
        <w:rPr>
          <w:rFonts w:hint="eastAsia"/>
          <w:szCs w:val="21"/>
        </w:rPr>
        <w:t>法定代表人（签字或盖章）：</w:t>
      </w:r>
    </w:p>
    <w:p>
      <w:pPr>
        <w:spacing w:line="360" w:lineRule="auto"/>
        <w:rPr>
          <w:szCs w:val="21"/>
        </w:rPr>
      </w:pPr>
      <w:r>
        <w:rPr>
          <w:rFonts w:hint="eastAsia"/>
          <w:szCs w:val="21"/>
        </w:rPr>
        <w:t>项目负责人（签名或盖章）：</w:t>
      </w:r>
    </w:p>
    <w:p>
      <w:pPr>
        <w:spacing w:line="360" w:lineRule="auto"/>
        <w:rPr>
          <w:szCs w:val="21"/>
        </w:rPr>
      </w:pPr>
      <w:r>
        <w:rPr>
          <w:rFonts w:hint="eastAsia"/>
          <w:szCs w:val="21"/>
        </w:rPr>
        <w:t>项目负责人联系电话：</w:t>
      </w:r>
    </w:p>
    <w:p>
      <w:pPr>
        <w:spacing w:line="360" w:lineRule="auto"/>
        <w:rPr>
          <w:szCs w:val="21"/>
        </w:rPr>
      </w:pPr>
      <w:r>
        <w:rPr>
          <w:rFonts w:hint="eastAsia"/>
          <w:szCs w:val="21"/>
        </w:rPr>
        <w:t>合同签订负责人（签名或盖章）：</w:t>
      </w:r>
    </w:p>
    <w:p>
      <w:pPr>
        <w:spacing w:line="360" w:lineRule="auto"/>
        <w:rPr>
          <w:szCs w:val="21"/>
        </w:rPr>
      </w:pPr>
      <w:r>
        <w:rPr>
          <w:rFonts w:hint="eastAsia"/>
          <w:szCs w:val="21"/>
        </w:rPr>
        <w:t>合同签订负责人联系电话：</w:t>
      </w:r>
    </w:p>
    <w:p>
      <w:pPr>
        <w:pStyle w:val="72"/>
        <w:ind w:right="458" w:firstLine="0"/>
        <w:jc w:val="right"/>
        <w:rPr>
          <w:rFonts w:ascii="宋体" w:hAnsi="宋体" w:eastAsia="宋体"/>
          <w:color w:val="auto"/>
          <w:sz w:val="21"/>
          <w:szCs w:val="21"/>
        </w:rPr>
      </w:pPr>
    </w:p>
    <w:p>
      <w:pPr>
        <w:pStyle w:val="72"/>
        <w:ind w:right="458" w:firstLine="0"/>
        <w:jc w:val="right"/>
        <w:rPr>
          <w:rFonts w:ascii="宋体" w:hAnsi="宋体" w:eastAsia="宋体"/>
          <w:color w:val="auto"/>
          <w:sz w:val="21"/>
          <w:szCs w:val="21"/>
        </w:rPr>
      </w:pPr>
      <w:r>
        <w:rPr>
          <w:rFonts w:hint="eastAsia" w:ascii="宋体" w:hAnsi="宋体" w:eastAsia="宋体"/>
          <w:color w:val="auto"/>
          <w:sz w:val="21"/>
          <w:szCs w:val="21"/>
        </w:rPr>
        <w:t xml:space="preserve">  年  月  日</w:t>
      </w:r>
    </w:p>
    <w:p>
      <w:pPr>
        <w:autoSpaceDE w:val="0"/>
        <w:autoSpaceDN w:val="0"/>
        <w:adjustRightInd w:val="0"/>
        <w:spacing w:line="360" w:lineRule="auto"/>
        <w:rPr>
          <w:b/>
          <w:szCs w:val="21"/>
        </w:rPr>
      </w:pPr>
    </w:p>
    <w:p>
      <w:pPr>
        <w:pStyle w:val="91"/>
      </w:pPr>
      <w:r>
        <w:rPr>
          <w:b/>
          <w:szCs w:val="21"/>
        </w:rPr>
        <w:br w:type="page"/>
      </w:r>
    </w:p>
    <w:p>
      <w:pPr>
        <w:autoSpaceDE w:val="0"/>
        <w:autoSpaceDN w:val="0"/>
        <w:adjustRightInd w:val="0"/>
        <w:spacing w:line="360" w:lineRule="auto"/>
        <w:jc w:val="center"/>
        <w:rPr>
          <w:b/>
          <w:szCs w:val="21"/>
        </w:rPr>
      </w:pPr>
    </w:p>
    <w:p>
      <w:pPr>
        <w:spacing w:line="360" w:lineRule="auto"/>
        <w:jc w:val="center"/>
        <w:rPr>
          <w:b/>
          <w:sz w:val="30"/>
          <w:szCs w:val="30"/>
        </w:rPr>
      </w:pPr>
    </w:p>
    <w:p>
      <w:pPr>
        <w:spacing w:line="360" w:lineRule="auto"/>
        <w:jc w:val="center"/>
        <w:rPr>
          <w:rFonts w:eastAsia="黑体"/>
          <w:b/>
          <w:sz w:val="30"/>
          <w:szCs w:val="30"/>
        </w:rPr>
      </w:pPr>
      <w:r>
        <w:rPr>
          <w:rFonts w:hint="eastAsia" w:ascii="黑体" w:hAnsi="黑体" w:eastAsia="黑体" w:cs="黑体"/>
          <w:b/>
          <w:sz w:val="30"/>
          <w:szCs w:val="30"/>
        </w:rPr>
        <w:t>第</w:t>
      </w:r>
      <w:r>
        <w:rPr>
          <w:rFonts w:hint="eastAsia" w:ascii="黑体" w:hAnsi="黑体" w:eastAsia="黑体" w:cs="黑体"/>
          <w:b/>
          <w:sz w:val="30"/>
          <w:szCs w:val="30"/>
          <w:lang w:val="en-US" w:eastAsia="zh-CN"/>
        </w:rPr>
        <w:t>三</w:t>
      </w:r>
      <w:r>
        <w:rPr>
          <w:rFonts w:hint="eastAsia" w:ascii="黑体" w:hAnsi="黑体" w:eastAsia="黑体" w:cs="黑体"/>
          <w:b/>
          <w:sz w:val="30"/>
          <w:szCs w:val="30"/>
        </w:rPr>
        <w:t>部分 投标报价文件</w:t>
      </w:r>
    </w:p>
    <w:p>
      <w:pPr>
        <w:spacing w:line="360" w:lineRule="auto"/>
        <w:jc w:val="center"/>
        <w:rPr>
          <w:b/>
          <w:sz w:val="30"/>
          <w:szCs w:val="30"/>
        </w:rPr>
      </w:pPr>
    </w:p>
    <w:p>
      <w:pPr>
        <w:spacing w:line="360" w:lineRule="auto"/>
        <w:jc w:val="left"/>
        <w:rPr>
          <w:bCs/>
          <w:szCs w:val="21"/>
        </w:rPr>
      </w:pPr>
      <w:r>
        <w:rPr>
          <w:rFonts w:hint="eastAsia"/>
          <w:b/>
          <w:sz w:val="30"/>
          <w:szCs w:val="30"/>
        </w:rPr>
        <w:br w:type="page"/>
      </w:r>
      <w:r>
        <w:rPr>
          <w:rFonts w:hint="eastAsia"/>
          <w:bCs/>
          <w:szCs w:val="21"/>
        </w:rPr>
        <w:t>格式参考：</w:t>
      </w:r>
    </w:p>
    <w:p>
      <w:pPr>
        <w:spacing w:line="360" w:lineRule="auto"/>
        <w:jc w:val="right"/>
        <w:rPr>
          <w:rFonts w:ascii="黑体" w:hAnsi="黑体" w:eastAsia="黑体" w:cs="黑体"/>
          <w:b/>
          <w:sz w:val="30"/>
          <w:szCs w:val="30"/>
        </w:rPr>
      </w:pPr>
      <w:r>
        <w:rPr>
          <w:rFonts w:hint="eastAsia" w:ascii="黑体" w:hAnsi="黑体" w:eastAsia="黑体" w:cs="黑体"/>
          <w:b/>
          <w:sz w:val="32"/>
          <w:szCs w:val="32"/>
        </w:rPr>
        <w:t>正/副本</w:t>
      </w:r>
    </w:p>
    <w:p>
      <w:pPr>
        <w:spacing w:line="360" w:lineRule="auto"/>
        <w:rPr>
          <w:b/>
          <w:sz w:val="30"/>
          <w:szCs w:val="30"/>
        </w:rPr>
      </w:pPr>
    </w:p>
    <w:p>
      <w:pPr>
        <w:jc w:val="center"/>
        <w:rPr>
          <w:rFonts w:hint="eastAsia" w:ascii="宋体" w:hAnsi="宋体" w:cs="宋体"/>
          <w:b/>
          <w:color w:val="000000"/>
          <w:w w:val="73"/>
          <w:kern w:val="0"/>
          <w:sz w:val="52"/>
          <w:szCs w:val="52"/>
          <w:u w:val="single"/>
        </w:rPr>
      </w:pPr>
      <w:r>
        <w:rPr>
          <w:rFonts w:hint="eastAsia" w:ascii="黑体" w:hAnsi="黑体" w:eastAsia="黑体" w:cs="黑体"/>
          <w:b/>
          <w:bCs w:val="0"/>
          <w:kern w:val="0"/>
          <w:sz w:val="48"/>
          <w:szCs w:val="48"/>
          <w:u w:val="none"/>
          <w:lang w:eastAsia="zh-CN" w:bidi="ar"/>
        </w:rPr>
        <w:t>天后宫专用综合房增容</w:t>
      </w:r>
      <w:r>
        <w:rPr>
          <w:rFonts w:hint="eastAsia" w:ascii="黑体" w:hAnsi="黑体" w:eastAsia="黑体" w:cs="黑体"/>
          <w:b/>
          <w:kern w:val="0"/>
          <w:sz w:val="48"/>
          <w:szCs w:val="48"/>
          <w:u w:val="none"/>
          <w:lang w:val="en-US" w:eastAsia="zh-CN" w:bidi="ar"/>
        </w:rPr>
        <w:t>工程</w:t>
      </w:r>
    </w:p>
    <w:p>
      <w:pPr>
        <w:pStyle w:val="33"/>
        <w:spacing w:line="360" w:lineRule="auto"/>
        <w:jc w:val="center"/>
        <w:rPr>
          <w:rFonts w:ascii="黑体" w:hAnsi="黑体" w:eastAsia="黑体" w:cs="黑体"/>
          <w:b/>
          <w:sz w:val="36"/>
          <w:szCs w:val="36"/>
          <w:lang w:bidi="ar"/>
        </w:rPr>
      </w:pPr>
    </w:p>
    <w:p>
      <w:pPr>
        <w:pStyle w:val="33"/>
        <w:spacing w:line="360" w:lineRule="auto"/>
        <w:jc w:val="center"/>
        <w:rPr>
          <w:rFonts w:ascii="黑体" w:hAnsi="黑体" w:eastAsia="黑体" w:cs="黑体"/>
          <w:b/>
          <w:sz w:val="36"/>
          <w:szCs w:val="36"/>
          <w:lang w:bidi="ar"/>
        </w:rPr>
      </w:pPr>
    </w:p>
    <w:p>
      <w:pPr>
        <w:pStyle w:val="33"/>
        <w:spacing w:line="360" w:lineRule="auto"/>
        <w:jc w:val="center"/>
        <w:rPr>
          <w:rFonts w:ascii="黑体" w:hAnsi="黑体" w:eastAsia="黑体" w:cs="黑体"/>
          <w:b/>
          <w:sz w:val="36"/>
          <w:szCs w:val="36"/>
          <w:lang w:bidi="ar"/>
        </w:rPr>
      </w:pPr>
    </w:p>
    <w:p>
      <w:pPr>
        <w:pStyle w:val="33"/>
        <w:spacing w:line="360" w:lineRule="auto"/>
        <w:jc w:val="center"/>
        <w:rPr>
          <w:rFonts w:ascii="黑体" w:hAnsi="黑体" w:eastAsia="黑体" w:cs="黑体"/>
          <w:b/>
          <w:sz w:val="48"/>
          <w:szCs w:val="48"/>
          <w:u w:val="none"/>
          <w:lang w:bidi="ar"/>
        </w:rPr>
      </w:pPr>
      <w:r>
        <w:rPr>
          <w:rFonts w:hint="eastAsia" w:ascii="黑体" w:hAnsi="黑体" w:eastAsia="黑体" w:cs="黑体"/>
          <w:b/>
          <w:sz w:val="48"/>
          <w:szCs w:val="48"/>
          <w:u w:val="none"/>
          <w:lang w:bidi="ar"/>
        </w:rPr>
        <w:t>投标文件</w:t>
      </w:r>
    </w:p>
    <w:p>
      <w:pPr>
        <w:pStyle w:val="33"/>
        <w:spacing w:line="360" w:lineRule="auto"/>
        <w:jc w:val="center"/>
        <w:rPr>
          <w:rFonts w:ascii="黑体" w:hAnsi="黑体" w:eastAsia="黑体" w:cs="黑体"/>
          <w:b/>
          <w:sz w:val="36"/>
          <w:szCs w:val="36"/>
          <w:lang w:bidi="ar"/>
        </w:rPr>
      </w:pPr>
      <w:r>
        <w:rPr>
          <w:rFonts w:hint="eastAsia" w:ascii="黑体" w:hAnsi="黑体" w:eastAsia="黑体" w:cs="黑体"/>
          <w:b/>
          <w:sz w:val="36"/>
          <w:szCs w:val="36"/>
          <w:lang w:bidi="ar"/>
        </w:rPr>
        <w:t>（投标报价文件）</w:t>
      </w:r>
      <w:r>
        <w:rPr>
          <w:rFonts w:hint="eastAsia" w:ascii="黑体" w:hAnsi="黑体" w:eastAsia="黑体" w:cs="黑体"/>
          <w:bCs/>
          <w:sz w:val="36"/>
          <w:szCs w:val="36"/>
          <w:u w:val="none"/>
          <w:lang w:bidi="ar"/>
        </w:rPr>
        <w:t xml:space="preserve"> </w:t>
      </w:r>
    </w:p>
    <w:p>
      <w:pPr>
        <w:spacing w:line="360" w:lineRule="auto"/>
        <w:rPr>
          <w:b/>
          <w:sz w:val="48"/>
          <w:szCs w:val="48"/>
        </w:rPr>
      </w:pPr>
    </w:p>
    <w:p>
      <w:pPr>
        <w:spacing w:line="360" w:lineRule="auto"/>
        <w:rPr>
          <w:b/>
          <w:sz w:val="48"/>
          <w:szCs w:val="48"/>
        </w:rPr>
      </w:pPr>
    </w:p>
    <w:p>
      <w:pPr>
        <w:spacing w:line="360" w:lineRule="auto"/>
        <w:rPr>
          <w:b/>
          <w:sz w:val="48"/>
          <w:szCs w:val="48"/>
        </w:rPr>
      </w:pPr>
    </w:p>
    <w:p>
      <w:pPr>
        <w:spacing w:line="360" w:lineRule="auto"/>
        <w:rPr>
          <w:b/>
          <w:sz w:val="48"/>
          <w:szCs w:val="48"/>
        </w:rPr>
      </w:pPr>
    </w:p>
    <w:p>
      <w:pPr>
        <w:spacing w:line="360" w:lineRule="auto"/>
        <w:ind w:firstLine="389" w:firstLineChars="139"/>
        <w:jc w:val="left"/>
        <w:rPr>
          <w:rFonts w:ascii="华文楷体" w:hAnsi="华文楷体" w:eastAsia="华文楷体" w:cs="华文楷体"/>
          <w:sz w:val="28"/>
          <w:szCs w:val="28"/>
          <w:u w:val="single"/>
        </w:rPr>
      </w:pPr>
      <w:r>
        <w:rPr>
          <w:rFonts w:hint="eastAsia" w:ascii="华文楷体" w:hAnsi="华文楷体" w:eastAsia="华文楷体" w:cs="华文楷体"/>
          <w:sz w:val="28"/>
          <w:szCs w:val="28"/>
        </w:rPr>
        <w:t>投标单位名称（盖章）：</w:t>
      </w:r>
      <w:r>
        <w:rPr>
          <w:rFonts w:hint="eastAsia" w:ascii="华文楷体" w:hAnsi="华文楷体" w:eastAsia="华文楷体" w:cs="华文楷体"/>
          <w:kern w:val="0"/>
          <w:sz w:val="28"/>
          <w:szCs w:val="28"/>
          <w:u w:val="single"/>
        </w:rPr>
        <w:t xml:space="preserve">                         </w:t>
      </w:r>
    </w:p>
    <w:p>
      <w:pPr>
        <w:spacing w:line="360" w:lineRule="auto"/>
        <w:ind w:firstLine="389" w:firstLineChars="139"/>
        <w:jc w:val="left"/>
        <w:rPr>
          <w:rFonts w:ascii="华文楷体" w:hAnsi="华文楷体" w:eastAsia="华文楷体" w:cs="华文楷体"/>
          <w:sz w:val="28"/>
          <w:szCs w:val="28"/>
          <w:u w:val="single"/>
        </w:rPr>
      </w:pPr>
      <w:r>
        <w:rPr>
          <w:rFonts w:hint="eastAsia" w:ascii="华文楷体" w:hAnsi="华文楷体" w:eastAsia="华文楷体" w:cs="华文楷体"/>
          <w:sz w:val="28"/>
          <w:szCs w:val="28"/>
        </w:rPr>
        <w:t>法定代表人或其委托代理人（签字或盖章）：</w:t>
      </w:r>
      <w:r>
        <w:rPr>
          <w:rFonts w:hint="eastAsia" w:ascii="华文楷体" w:hAnsi="华文楷体" w:eastAsia="华文楷体" w:cs="华文楷体"/>
          <w:sz w:val="28"/>
          <w:szCs w:val="28"/>
          <w:u w:val="single"/>
        </w:rPr>
        <w:t xml:space="preserve">      </w:t>
      </w:r>
      <w:r>
        <w:rPr>
          <w:rFonts w:hint="eastAsia" w:ascii="华文楷体" w:hAnsi="华文楷体" w:eastAsia="华文楷体" w:cs="华文楷体"/>
          <w:sz w:val="28"/>
          <w:szCs w:val="28"/>
          <w:u w:val="single"/>
        </w:rPr>
        <w:tab/>
      </w:r>
    </w:p>
    <w:p>
      <w:pPr>
        <w:spacing w:line="360" w:lineRule="auto"/>
        <w:ind w:firstLine="389" w:firstLineChars="139"/>
        <w:jc w:val="left"/>
        <w:rPr>
          <w:rFonts w:ascii="华文楷体" w:hAnsi="华文楷体" w:eastAsia="华文楷体" w:cs="华文楷体"/>
          <w:bCs/>
          <w:sz w:val="28"/>
          <w:szCs w:val="28"/>
        </w:rPr>
      </w:pPr>
      <w:r>
        <w:rPr>
          <w:rFonts w:hint="eastAsia" w:ascii="华文楷体" w:hAnsi="华文楷体" w:eastAsia="华文楷体" w:cs="华文楷体"/>
          <w:sz w:val="28"/>
          <w:szCs w:val="28"/>
        </w:rPr>
        <w:t>投标日期：   年   月   日</w:t>
      </w:r>
    </w:p>
    <w:p>
      <w:pPr>
        <w:spacing w:line="360" w:lineRule="auto"/>
        <w:jc w:val="center"/>
        <w:rPr>
          <w:rFonts w:ascii="黑体" w:hAnsi="黑体" w:eastAsia="黑体" w:cs="黑体"/>
          <w:b/>
          <w:sz w:val="32"/>
          <w:szCs w:val="32"/>
        </w:rPr>
      </w:pPr>
      <w:r>
        <w:rPr>
          <w:rFonts w:hint="eastAsia"/>
          <w:b/>
          <w:sz w:val="30"/>
          <w:szCs w:val="30"/>
        </w:rPr>
        <w:br w:type="page"/>
      </w:r>
      <w:r>
        <w:rPr>
          <w:rFonts w:hint="eastAsia" w:ascii="黑体" w:hAnsi="黑体" w:eastAsia="黑体" w:cs="黑体"/>
          <w:b/>
          <w:sz w:val="32"/>
          <w:szCs w:val="32"/>
        </w:rPr>
        <w:t>目 录</w:t>
      </w:r>
    </w:p>
    <w:p>
      <w:pPr>
        <w:spacing w:line="360" w:lineRule="auto"/>
        <w:jc w:val="center"/>
        <w:rPr>
          <w:rFonts w:ascii="黑体" w:hAnsi="黑体" w:eastAsia="黑体" w:cs="黑体"/>
          <w:b/>
          <w:sz w:val="32"/>
          <w:szCs w:val="32"/>
        </w:rPr>
      </w:pPr>
    </w:p>
    <w:p>
      <w:pPr>
        <w:spacing w:line="360" w:lineRule="auto"/>
        <w:rPr>
          <w:szCs w:val="21"/>
        </w:rPr>
      </w:pPr>
      <w:r>
        <w:rPr>
          <w:rFonts w:hint="eastAsia"/>
          <w:szCs w:val="21"/>
        </w:rPr>
        <w:t>一、投标报价书</w:t>
      </w:r>
    </w:p>
    <w:p>
      <w:pPr>
        <w:spacing w:line="360" w:lineRule="auto"/>
        <w:rPr>
          <w:szCs w:val="21"/>
        </w:rPr>
      </w:pPr>
      <w:r>
        <w:rPr>
          <w:rFonts w:hint="eastAsia"/>
          <w:szCs w:val="21"/>
        </w:rPr>
        <w:t>二、投标人认为应提供的其他资料</w:t>
      </w:r>
    </w:p>
    <w:p>
      <w:pPr>
        <w:spacing w:line="360" w:lineRule="auto"/>
        <w:rPr>
          <w:szCs w:val="21"/>
        </w:rPr>
      </w:pPr>
    </w:p>
    <w:p>
      <w:pPr>
        <w:spacing w:line="360" w:lineRule="auto"/>
        <w:jc w:val="left"/>
        <w:rPr>
          <w:b/>
          <w:sz w:val="30"/>
          <w:szCs w:val="30"/>
        </w:rPr>
      </w:pPr>
    </w:p>
    <w:p>
      <w:pPr>
        <w:spacing w:line="360" w:lineRule="auto"/>
        <w:rPr>
          <w:szCs w:val="21"/>
        </w:rPr>
      </w:pPr>
      <w:r>
        <w:rPr>
          <w:rFonts w:hint="eastAsia"/>
          <w:szCs w:val="21"/>
        </w:rPr>
        <w:t>注：页码由投标人自行编制。目录格式仅供参考，投标人可根据实际情况进行扩展及补充。</w:t>
      </w:r>
    </w:p>
    <w:p>
      <w:pPr>
        <w:autoSpaceDE w:val="0"/>
        <w:autoSpaceDN w:val="0"/>
        <w:adjustRightInd w:val="0"/>
        <w:spacing w:line="360" w:lineRule="auto"/>
        <w:jc w:val="center"/>
        <w:rPr>
          <w:rFonts w:ascii="黑体" w:hAnsi="黑体" w:eastAsia="黑体" w:cs="黑体"/>
          <w:b/>
          <w:bCs/>
          <w:sz w:val="32"/>
          <w:szCs w:val="32"/>
          <w:lang w:val="zh-CN"/>
        </w:rPr>
      </w:pPr>
      <w:r>
        <w:rPr>
          <w:rFonts w:hint="eastAsia" w:ascii="黑体" w:hAnsi="黑体" w:eastAsia="黑体" w:cs="黑体"/>
          <w:b/>
          <w:sz w:val="32"/>
          <w:szCs w:val="32"/>
        </w:rPr>
        <w:br w:type="page"/>
      </w:r>
      <w:r>
        <w:rPr>
          <w:rFonts w:hint="eastAsia" w:ascii="黑体" w:hAnsi="黑体" w:eastAsia="黑体" w:cs="黑体"/>
          <w:b/>
          <w:bCs/>
          <w:sz w:val="32"/>
          <w:szCs w:val="32"/>
        </w:rPr>
        <w:t>投标报价</w:t>
      </w:r>
      <w:r>
        <w:rPr>
          <w:rFonts w:hint="eastAsia" w:ascii="黑体" w:hAnsi="黑体" w:eastAsia="黑体" w:cs="黑体"/>
          <w:b/>
          <w:bCs/>
          <w:sz w:val="32"/>
          <w:szCs w:val="32"/>
          <w:lang w:val="zh-CN"/>
        </w:rPr>
        <w:t>书</w:t>
      </w:r>
    </w:p>
    <w:p>
      <w:pPr>
        <w:autoSpaceDE w:val="0"/>
        <w:autoSpaceDN w:val="0"/>
        <w:adjustRightInd w:val="0"/>
        <w:spacing w:line="360" w:lineRule="auto"/>
        <w:jc w:val="right"/>
        <w:rPr>
          <w:bCs/>
          <w:szCs w:val="21"/>
          <w:lang w:val="zh-CN"/>
        </w:rPr>
      </w:pPr>
      <w:r>
        <w:rPr>
          <w:rFonts w:hint="eastAsia"/>
          <w:bCs/>
          <w:szCs w:val="21"/>
          <w:lang w:val="zh-CN"/>
        </w:rPr>
        <w:t>投标日期：   年  月  日</w:t>
      </w:r>
    </w:p>
    <w:tbl>
      <w:tblPr>
        <w:tblStyle w:val="40"/>
        <w:tblW w:w="96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0"/>
        <w:gridCol w:w="66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4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bCs/>
                <w:szCs w:val="21"/>
                <w:lang w:val="zh-CN"/>
              </w:rPr>
            </w:pPr>
            <w:r>
              <w:rPr>
                <w:rFonts w:hint="eastAsia"/>
                <w:bCs/>
                <w:szCs w:val="21"/>
              </w:rPr>
              <w:t>项目</w:t>
            </w:r>
            <w:r>
              <w:rPr>
                <w:rFonts w:hint="eastAsia"/>
                <w:bCs/>
                <w:szCs w:val="21"/>
                <w:lang w:val="zh-CN"/>
              </w:rPr>
              <w:t>名称</w:t>
            </w:r>
          </w:p>
        </w:tc>
        <w:tc>
          <w:tcPr>
            <w:tcW w:w="667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bCs/>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2940" w:type="dxa"/>
            <w:vMerge w:val="restart"/>
            <w:tcBorders>
              <w:top w:val="single" w:color="auto" w:sz="4" w:space="0"/>
              <w:left w:val="single" w:color="auto" w:sz="4" w:space="0"/>
              <w:right w:val="single" w:color="auto" w:sz="4" w:space="0"/>
            </w:tcBorders>
            <w:vAlign w:val="center"/>
          </w:tcPr>
          <w:p>
            <w:pPr>
              <w:autoSpaceDE w:val="0"/>
              <w:autoSpaceDN w:val="0"/>
              <w:adjustRightInd w:val="0"/>
              <w:snapToGrid w:val="0"/>
              <w:spacing w:line="360" w:lineRule="auto"/>
              <w:jc w:val="center"/>
              <w:rPr>
                <w:bCs/>
                <w:szCs w:val="21"/>
                <w:lang w:val="zh-CN"/>
              </w:rPr>
            </w:pPr>
            <w:r>
              <w:rPr>
                <w:rFonts w:hint="eastAsia"/>
                <w:bCs/>
                <w:szCs w:val="21"/>
                <w:lang w:val="zh-CN"/>
              </w:rPr>
              <w:t>投标总报价（元）</w:t>
            </w:r>
          </w:p>
        </w:tc>
        <w:tc>
          <w:tcPr>
            <w:tcW w:w="667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left"/>
              <w:rPr>
                <w:bCs/>
                <w:szCs w:val="21"/>
              </w:rPr>
            </w:pPr>
            <w:r>
              <w:rPr>
                <w:rFonts w:hint="eastAsia"/>
                <w:bCs/>
                <w:szCs w:val="21"/>
              </w:rPr>
              <w:t>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2940" w:type="dxa"/>
            <w:vMerge w:val="continue"/>
            <w:tcBorders>
              <w:left w:val="single" w:color="auto" w:sz="4" w:space="0"/>
              <w:right w:val="single" w:color="auto" w:sz="4" w:space="0"/>
            </w:tcBorders>
            <w:vAlign w:val="center"/>
          </w:tcPr>
          <w:p>
            <w:pPr>
              <w:autoSpaceDE w:val="0"/>
              <w:autoSpaceDN w:val="0"/>
              <w:adjustRightInd w:val="0"/>
              <w:snapToGrid w:val="0"/>
              <w:spacing w:line="360" w:lineRule="auto"/>
              <w:jc w:val="center"/>
              <w:rPr>
                <w:bCs/>
                <w:szCs w:val="21"/>
                <w:lang w:val="zh-CN"/>
              </w:rPr>
            </w:pPr>
          </w:p>
        </w:tc>
        <w:tc>
          <w:tcPr>
            <w:tcW w:w="667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left"/>
              <w:rPr>
                <w:rFonts w:hint="eastAsia" w:ascii="宋体" w:hAnsi="宋体" w:cs="宋体"/>
                <w:bCs/>
                <w:szCs w:val="21"/>
              </w:rPr>
            </w:pPr>
            <w:r>
              <w:rPr>
                <w:rFonts w:hint="eastAsia" w:ascii="宋体" w:hAnsi="宋体" w:cs="宋体"/>
                <w:bCs/>
                <w:szCs w:val="21"/>
              </w:rPr>
              <w:t>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294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bCs/>
                <w:szCs w:val="21"/>
                <w:lang w:val="zh-CN"/>
              </w:rPr>
            </w:pPr>
            <w:r>
              <w:rPr>
                <w:rFonts w:hint="eastAsia"/>
                <w:bCs/>
                <w:szCs w:val="21"/>
                <w:lang w:val="zh-CN"/>
              </w:rPr>
              <w:t>法定代表人</w:t>
            </w:r>
          </w:p>
          <w:p>
            <w:pPr>
              <w:autoSpaceDE w:val="0"/>
              <w:autoSpaceDN w:val="0"/>
              <w:adjustRightInd w:val="0"/>
              <w:snapToGrid w:val="0"/>
              <w:spacing w:line="360" w:lineRule="auto"/>
              <w:jc w:val="center"/>
              <w:rPr>
                <w:bCs/>
                <w:szCs w:val="21"/>
                <w:lang w:val="zh-CN"/>
              </w:rPr>
            </w:pPr>
            <w:r>
              <w:rPr>
                <w:rFonts w:hint="eastAsia"/>
                <w:bCs/>
                <w:szCs w:val="21"/>
                <w:lang w:val="zh-CN"/>
              </w:rPr>
              <w:t>（签名或盖章）</w:t>
            </w:r>
          </w:p>
        </w:tc>
        <w:tc>
          <w:tcPr>
            <w:tcW w:w="667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bCs/>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294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bCs/>
                <w:szCs w:val="21"/>
                <w:lang w:val="zh-CN"/>
              </w:rPr>
            </w:pPr>
            <w:r>
              <w:rPr>
                <w:rFonts w:hint="eastAsia"/>
                <w:bCs/>
                <w:szCs w:val="21"/>
                <w:lang w:val="zh-CN"/>
              </w:rPr>
              <w:t>授权委托人</w:t>
            </w:r>
          </w:p>
          <w:p>
            <w:pPr>
              <w:autoSpaceDE w:val="0"/>
              <w:autoSpaceDN w:val="0"/>
              <w:adjustRightInd w:val="0"/>
              <w:snapToGrid w:val="0"/>
              <w:spacing w:line="360" w:lineRule="auto"/>
              <w:jc w:val="center"/>
              <w:rPr>
                <w:bCs/>
                <w:szCs w:val="21"/>
                <w:lang w:val="zh-CN"/>
              </w:rPr>
            </w:pPr>
            <w:r>
              <w:rPr>
                <w:rFonts w:hint="eastAsia"/>
                <w:bCs/>
                <w:szCs w:val="21"/>
                <w:lang w:val="zh-CN"/>
              </w:rPr>
              <w:t>（签名或盖章）</w:t>
            </w:r>
          </w:p>
        </w:tc>
        <w:tc>
          <w:tcPr>
            <w:tcW w:w="667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bCs/>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294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bCs/>
                <w:szCs w:val="21"/>
                <w:lang w:val="zh-CN"/>
              </w:rPr>
            </w:pPr>
            <w:r>
              <w:rPr>
                <w:rFonts w:hint="eastAsia"/>
                <w:bCs/>
                <w:szCs w:val="21"/>
                <w:lang w:val="zh-CN"/>
              </w:rPr>
              <w:t>投标单位</w:t>
            </w:r>
          </w:p>
          <w:p>
            <w:pPr>
              <w:autoSpaceDE w:val="0"/>
              <w:autoSpaceDN w:val="0"/>
              <w:adjustRightInd w:val="0"/>
              <w:snapToGrid w:val="0"/>
              <w:spacing w:line="360" w:lineRule="auto"/>
              <w:jc w:val="center"/>
              <w:rPr>
                <w:bCs/>
                <w:szCs w:val="21"/>
                <w:lang w:val="zh-CN"/>
              </w:rPr>
            </w:pPr>
            <w:r>
              <w:rPr>
                <w:rFonts w:hint="eastAsia"/>
                <w:bCs/>
                <w:szCs w:val="21"/>
                <w:lang w:val="zh-CN"/>
              </w:rPr>
              <w:t>（企业公章）</w:t>
            </w:r>
          </w:p>
        </w:tc>
        <w:tc>
          <w:tcPr>
            <w:tcW w:w="667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bCs/>
                <w:szCs w:val="21"/>
                <w:lang w:val="zh-CN"/>
              </w:rPr>
            </w:pPr>
          </w:p>
        </w:tc>
      </w:tr>
    </w:tbl>
    <w:p>
      <w:pPr>
        <w:autoSpaceDE w:val="0"/>
        <w:autoSpaceDN w:val="0"/>
        <w:adjustRightInd w:val="0"/>
        <w:spacing w:line="360" w:lineRule="auto"/>
        <w:ind w:left="-199" w:leftChars="-95" w:right="-405" w:rightChars="-193"/>
        <w:jc w:val="left"/>
        <w:rPr>
          <w:bCs/>
          <w:szCs w:val="21"/>
        </w:rPr>
      </w:pPr>
      <w:r>
        <w:rPr>
          <w:rFonts w:hint="eastAsia"/>
          <w:bCs/>
          <w:szCs w:val="21"/>
        </w:rPr>
        <w:t>注：投标总报价的大写金额和小写金额不一致的，以大写金额为准，投标报价精确到小数点后两位。</w:t>
      </w:r>
    </w:p>
    <w:p>
      <w:pPr>
        <w:pStyle w:val="15"/>
      </w:pPr>
    </w:p>
    <w:sectPr>
      <w:pgSz w:w="11906" w:h="16838"/>
      <w:pgMar w:top="1247" w:right="1134" w:bottom="1247" w:left="1361" w:header="851" w:footer="992" w:gutter="0"/>
      <w:pgBorders>
        <w:top w:val="none" w:sz="0" w:space="0"/>
        <w:left w:val="none" w:sz="0" w:space="0"/>
        <w:bottom w:val="none" w:sz="0" w:space="0"/>
        <w:right w:val="none" w:sz="0" w:space="0"/>
      </w:pgBorders>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Calisto MT">
    <w:panose1 w:val="02040603050505030304"/>
    <w:charset w:val="00"/>
    <w:family w:val="roman"/>
    <w:pitch w:val="default"/>
    <w:sig w:usb0="00000003" w:usb1="00000000" w:usb2="00000000" w:usb3="00000000" w:csb0="20000001" w:csb1="00000000"/>
  </w:font>
  <w:font w:name="华文细黑">
    <w:panose1 w:val="02010600040101010101"/>
    <w:charset w:val="86"/>
    <w:family w:val="auto"/>
    <w:pitch w:val="default"/>
    <w:sig w:usb0="00000287" w:usb1="080F0000" w:usb2="00000000" w:usb3="00000000" w:csb0="0004009F" w:csb1="DFD70000"/>
  </w:font>
  <w:font w:name="Wingdings 2">
    <w:panose1 w:val="05020102010507070707"/>
    <w:charset w:val="00"/>
    <w:family w:val="auto"/>
    <w:pitch w:val="default"/>
    <w:sig w:usb0="00000000" w:usb1="00000000" w:usb2="00000000" w:usb3="00000000" w:csb0="8000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tabs>
        <w:tab w:val="left" w:pos="6270"/>
        <w:tab w:val="clear" w:pos="4153"/>
      </w:tabs>
    </w:pPr>
    <w:r>
      <w:rPr>
        <w:rFonts w:hint="eastAsia"/>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tabs>
        <w:tab w:val="left" w:pos="6270"/>
        <w:tab w:val="clear" w:pos="4153"/>
      </w:tabs>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25"/>
                            <w:rPr>
                              <w:rStyle w:val="43"/>
                            </w:rPr>
                          </w:pPr>
                          <w:r>
                            <w:fldChar w:fldCharType="begin"/>
                          </w:r>
                          <w:r>
                            <w:rPr>
                              <w:rStyle w:val="43"/>
                            </w:rPr>
                            <w:instrText xml:space="preserve">PAGE  </w:instrText>
                          </w:r>
                          <w:r>
                            <w:fldChar w:fldCharType="separate"/>
                          </w:r>
                          <w:r>
                            <w:rPr>
                              <w:rStyle w:val="43"/>
                            </w:rPr>
                            <w:t>29</w:t>
                          </w:r>
                          <w:r>
                            <w:fldChar w:fldCharType="end"/>
                          </w:r>
                        </w:p>
                        <w:p/>
                      </w:txbxContent>
                    </wps:txbx>
                    <wps:bodyPr wrap="none" lIns="0" tIns="0" rIns="0" bIns="0" upright="1">
                      <a:spAutoFit/>
                    </wps:bodyPr>
                  </wps:wsp>
                </a:graphicData>
              </a:graphic>
            </wp:anchor>
          </w:drawing>
        </mc:Choice>
        <mc:Fallback>
          <w:pict>
            <v:shape id="文本框 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6pebnPAAAABQEAAA8AAAAAAAAAAQAgAAAAIgAAAGRycy9kb3du&#10;cmV2LnhtbFBLAQIUABQAAAAIAIdO4kD09mDazwEAAKoDAAAOAAAAAAAAAAEAIAAAAB4BAABkcnMv&#10;ZTJvRG9jLnhtbFBLBQYAAAAABgAGAFkBAABfBQAAAAA=&#10;">
              <v:fill on="f" focussize="0,0"/>
              <v:stroke on="f"/>
              <v:imagedata o:title=""/>
              <o:lock v:ext="edit" aspectratio="f"/>
              <v:textbox inset="0mm,0mm,0mm,0mm" style="mso-fit-shape-to-text:t;">
                <w:txbxContent>
                  <w:p>
                    <w:pPr>
                      <w:pStyle w:val="25"/>
                      <w:rPr>
                        <w:rStyle w:val="43"/>
                      </w:rPr>
                    </w:pPr>
                    <w:r>
                      <w:fldChar w:fldCharType="begin"/>
                    </w:r>
                    <w:r>
                      <w:rPr>
                        <w:rStyle w:val="43"/>
                      </w:rPr>
                      <w:instrText xml:space="preserve">PAGE  </w:instrText>
                    </w:r>
                    <w:r>
                      <w:fldChar w:fldCharType="separate"/>
                    </w:r>
                    <w:r>
                      <w:rPr>
                        <w:rStyle w:val="43"/>
                      </w:rPr>
                      <w:t>29</w:t>
                    </w:r>
                    <w:r>
                      <w:fldChar w:fldCharType="end"/>
                    </w:r>
                  </w:p>
                  <w:p/>
                </w:txbxContent>
              </v:textbox>
            </v:shape>
          </w:pict>
        </mc:Fallback>
      </mc:AlternateContent>
    </w:r>
    <w:r>
      <w:rPr>
        <w:rFonts w:hint="eastAsia"/>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25"/>
                            <w:jc w:val="center"/>
                          </w:pPr>
                          <w:r>
                            <w:fldChar w:fldCharType="begin"/>
                          </w:r>
                          <w:r>
                            <w:instrText xml:space="preserve">PAGE   \* MERGEFORMAT</w:instrText>
                          </w:r>
                          <w:r>
                            <w:fldChar w:fldCharType="separate"/>
                          </w:r>
                          <w:r>
                            <w:rPr>
                              <w:lang w:val="zh-CN"/>
                            </w:rPr>
                            <w:t>51</w:t>
                          </w:r>
                          <w:r>
                            <w:rPr>
                              <w:lang w:val="zh-CN"/>
                            </w:rPr>
                            <w:fldChar w:fldCharType="end"/>
                          </w:r>
                        </w:p>
                      </w:txbxContent>
                    </wps:txbx>
                    <wps:bodyPr wrap="none" lIns="0" tIns="0" rIns="0" bIns="0" upright="1">
                      <a:spAutoFit/>
                    </wps:bodyPr>
                  </wps:wsp>
                </a:graphicData>
              </a:graphic>
            </wp:anchor>
          </w:drawing>
        </mc:Choice>
        <mc:Fallback>
          <w:pict>
            <v:shape id="文本框 1027"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6pebnPAAAABQEAAA8AAAAAAAAAAQAgAAAAIgAAAGRycy9kb3du&#10;cmV2LnhtbFBLAQIUABQAAAAIAIdO4kDQxsInzwEAAKoDAAAOAAAAAAAAAAEAIAAAAB4BAABkcnMv&#10;ZTJvRG9jLnhtbFBLBQYAAAAABgAGAFkBAABfBQAAAAA=&#10;">
              <v:fill on="f" focussize="0,0"/>
              <v:stroke on="f"/>
              <v:imagedata o:title=""/>
              <o:lock v:ext="edit" aspectratio="f"/>
              <v:textbox inset="0mm,0mm,0mm,0mm" style="mso-fit-shape-to-text:t;">
                <w:txbxContent>
                  <w:p>
                    <w:pPr>
                      <w:pStyle w:val="25"/>
                      <w:jc w:val="center"/>
                    </w:pPr>
                    <w:r>
                      <w:fldChar w:fldCharType="begin"/>
                    </w:r>
                    <w:r>
                      <w:instrText xml:space="preserve">PAGE   \* MERGEFORMAT</w:instrText>
                    </w:r>
                    <w:r>
                      <w:fldChar w:fldCharType="separate"/>
                    </w:r>
                    <w:r>
                      <w:rPr>
                        <w:lang w:val="zh-CN"/>
                      </w:rPr>
                      <w:t>51</w:t>
                    </w:r>
                    <w:r>
                      <w:rPr>
                        <w:lang w:val="zh-CN"/>
                      </w:rPr>
                      <w:fldChar w:fldCharType="end"/>
                    </w:r>
                  </w:p>
                </w:txbxContent>
              </v:textbox>
            </v:shape>
          </w:pict>
        </mc:Fallback>
      </mc:AlternateContent>
    </w:r>
  </w:p>
  <w:p>
    <w:pPr>
      <w:pStyle w:val="2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98FC31"/>
    <w:multiLevelType w:val="singleLevel"/>
    <w:tmpl w:val="8898FC31"/>
    <w:lvl w:ilvl="0" w:tentative="0">
      <w:start w:val="1"/>
      <w:numFmt w:val="chineseCounting"/>
      <w:suff w:val="nothing"/>
      <w:lvlText w:val="%1、"/>
      <w:lvlJc w:val="left"/>
      <w:rPr>
        <w:rFonts w:hint="eastAsia"/>
      </w:rPr>
    </w:lvl>
  </w:abstractNum>
  <w:abstractNum w:abstractNumId="1">
    <w:nsid w:val="95635776"/>
    <w:multiLevelType w:val="singleLevel"/>
    <w:tmpl w:val="95635776"/>
    <w:lvl w:ilvl="0" w:tentative="0">
      <w:start w:val="1"/>
      <w:numFmt w:val="decimal"/>
      <w:suff w:val="nothing"/>
      <w:lvlText w:val="%1、"/>
      <w:lvlJc w:val="left"/>
    </w:lvl>
  </w:abstractNum>
  <w:abstractNum w:abstractNumId="2">
    <w:nsid w:val="00000004"/>
    <w:multiLevelType w:val="singleLevel"/>
    <w:tmpl w:val="00000004"/>
    <w:lvl w:ilvl="0" w:tentative="0">
      <w:start w:val="1"/>
      <w:numFmt w:val="chineseCounting"/>
      <w:suff w:val="nothing"/>
      <w:lvlText w:val="%1、"/>
      <w:lvlJc w:val="left"/>
      <w:rPr>
        <w:rFonts w:hint="eastAsia"/>
      </w:rPr>
    </w:lvl>
  </w:abstractNum>
  <w:abstractNum w:abstractNumId="3">
    <w:nsid w:val="44D1BEB6"/>
    <w:multiLevelType w:val="singleLevel"/>
    <w:tmpl w:val="44D1BEB6"/>
    <w:lvl w:ilvl="0" w:tentative="0">
      <w:start w:val="4"/>
      <w:numFmt w:val="chineseCounting"/>
      <w:suff w:val="nothing"/>
      <w:lvlText w:val="%1、"/>
      <w:lvlJc w:val="left"/>
      <w:rPr>
        <w:rFonts w:hint="eastAsia"/>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removePersonalInformation/>
  <w:bordersDoNotSurroundHeader w:val="0"/>
  <w:bordersDoNotSurroundFooter w:val="0"/>
  <w:trackRevisions w:val="1"/>
  <w:documentProtection w:enforcement="0"/>
  <w:defaultTabStop w:val="420"/>
  <w:drawingGridHorizontalSpacing w:val="210"/>
  <w:drawingGridVerticalSpacing w:val="-7946"/>
  <w:displayHorizontalDrawingGridEvery w:val="1"/>
  <w:displayVerticalDrawingGridEvery w:val="1"/>
  <w:noPunctuationKerning w:val="1"/>
  <w:characterSpacingControl w:val="compressPunctuation"/>
  <w:doNotValidateAgainstSchema/>
  <w:doNotDemarcateInvalidXml/>
  <w:hdrShapeDefaults>
    <o:shapelayout v:ext="edit">
      <o:idmap v:ext="edit" data="3,4"/>
    </o:shapelayout>
  </w:hdrShapeDefaults>
  <w:endnotePr>
    <w:numFmt w:val="decimal"/>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QzZjliNzQ4M2JhYjM0MjI3YTk2NzE0ZGY0MWQ5N2YifQ=="/>
  </w:docVars>
  <w:rsids>
    <w:rsidRoot w:val="00172A27"/>
    <w:rsid w:val="00004230"/>
    <w:rsid w:val="00007188"/>
    <w:rsid w:val="000113DF"/>
    <w:rsid w:val="000117B8"/>
    <w:rsid w:val="00012AC2"/>
    <w:rsid w:val="00015068"/>
    <w:rsid w:val="00023E15"/>
    <w:rsid w:val="0002575D"/>
    <w:rsid w:val="0002681D"/>
    <w:rsid w:val="00027581"/>
    <w:rsid w:val="00031634"/>
    <w:rsid w:val="000417B5"/>
    <w:rsid w:val="00042361"/>
    <w:rsid w:val="0004358C"/>
    <w:rsid w:val="000452D4"/>
    <w:rsid w:val="000468D8"/>
    <w:rsid w:val="00046EC8"/>
    <w:rsid w:val="00051D5E"/>
    <w:rsid w:val="0005348B"/>
    <w:rsid w:val="00057EF8"/>
    <w:rsid w:val="0006240A"/>
    <w:rsid w:val="000630D0"/>
    <w:rsid w:val="00065BBB"/>
    <w:rsid w:val="00067B9C"/>
    <w:rsid w:val="00070695"/>
    <w:rsid w:val="00071CA8"/>
    <w:rsid w:val="00075215"/>
    <w:rsid w:val="00076AA7"/>
    <w:rsid w:val="00081EDE"/>
    <w:rsid w:val="0008300A"/>
    <w:rsid w:val="00084F7C"/>
    <w:rsid w:val="000962E6"/>
    <w:rsid w:val="00096B88"/>
    <w:rsid w:val="000A0965"/>
    <w:rsid w:val="000A0A2B"/>
    <w:rsid w:val="000A598F"/>
    <w:rsid w:val="000B1384"/>
    <w:rsid w:val="000B64EC"/>
    <w:rsid w:val="000C05B3"/>
    <w:rsid w:val="000C0C24"/>
    <w:rsid w:val="000C4A6B"/>
    <w:rsid w:val="000D3682"/>
    <w:rsid w:val="000D4775"/>
    <w:rsid w:val="000D5442"/>
    <w:rsid w:val="000D62FF"/>
    <w:rsid w:val="000E0895"/>
    <w:rsid w:val="000E29C0"/>
    <w:rsid w:val="000E2D7E"/>
    <w:rsid w:val="000E481A"/>
    <w:rsid w:val="000E6C51"/>
    <w:rsid w:val="000E782D"/>
    <w:rsid w:val="000F0A0A"/>
    <w:rsid w:val="000F0E34"/>
    <w:rsid w:val="000F2299"/>
    <w:rsid w:val="000F296A"/>
    <w:rsid w:val="000F339D"/>
    <w:rsid w:val="000F3E9A"/>
    <w:rsid w:val="000F5B26"/>
    <w:rsid w:val="000F7192"/>
    <w:rsid w:val="00102E96"/>
    <w:rsid w:val="00103F59"/>
    <w:rsid w:val="00106A1C"/>
    <w:rsid w:val="00107450"/>
    <w:rsid w:val="001077F6"/>
    <w:rsid w:val="001116F9"/>
    <w:rsid w:val="00115F66"/>
    <w:rsid w:val="0012198A"/>
    <w:rsid w:val="00122C81"/>
    <w:rsid w:val="00123751"/>
    <w:rsid w:val="00125A68"/>
    <w:rsid w:val="00127F71"/>
    <w:rsid w:val="001306DD"/>
    <w:rsid w:val="001318DB"/>
    <w:rsid w:val="001319FB"/>
    <w:rsid w:val="00132349"/>
    <w:rsid w:val="00132926"/>
    <w:rsid w:val="00133784"/>
    <w:rsid w:val="001366F6"/>
    <w:rsid w:val="00137F8B"/>
    <w:rsid w:val="00140E29"/>
    <w:rsid w:val="00140F9F"/>
    <w:rsid w:val="001458C2"/>
    <w:rsid w:val="0015134D"/>
    <w:rsid w:val="00152107"/>
    <w:rsid w:val="001611C6"/>
    <w:rsid w:val="0016177A"/>
    <w:rsid w:val="001617FA"/>
    <w:rsid w:val="00165FAD"/>
    <w:rsid w:val="00172A27"/>
    <w:rsid w:val="00174E7B"/>
    <w:rsid w:val="00180812"/>
    <w:rsid w:val="001829A7"/>
    <w:rsid w:val="001909E2"/>
    <w:rsid w:val="001913E5"/>
    <w:rsid w:val="0019337B"/>
    <w:rsid w:val="00195EB4"/>
    <w:rsid w:val="001963AA"/>
    <w:rsid w:val="00196C50"/>
    <w:rsid w:val="001A17E0"/>
    <w:rsid w:val="001A2E3B"/>
    <w:rsid w:val="001A4C34"/>
    <w:rsid w:val="001A6A2B"/>
    <w:rsid w:val="001B1192"/>
    <w:rsid w:val="001B1764"/>
    <w:rsid w:val="001B2C9E"/>
    <w:rsid w:val="001B6A2F"/>
    <w:rsid w:val="001C23C6"/>
    <w:rsid w:val="001C7E56"/>
    <w:rsid w:val="001D5EF9"/>
    <w:rsid w:val="001D6A79"/>
    <w:rsid w:val="001E1B1A"/>
    <w:rsid w:val="001E4701"/>
    <w:rsid w:val="001E646A"/>
    <w:rsid w:val="001E7266"/>
    <w:rsid w:val="001F6658"/>
    <w:rsid w:val="00212460"/>
    <w:rsid w:val="00213A1D"/>
    <w:rsid w:val="002179E9"/>
    <w:rsid w:val="0022061E"/>
    <w:rsid w:val="00220BF2"/>
    <w:rsid w:val="00226D25"/>
    <w:rsid w:val="00226D67"/>
    <w:rsid w:val="00227956"/>
    <w:rsid w:val="002339E9"/>
    <w:rsid w:val="00233C38"/>
    <w:rsid w:val="00234435"/>
    <w:rsid w:val="00237140"/>
    <w:rsid w:val="00240F35"/>
    <w:rsid w:val="00242449"/>
    <w:rsid w:val="00242D77"/>
    <w:rsid w:val="00245470"/>
    <w:rsid w:val="00246C87"/>
    <w:rsid w:val="00247D97"/>
    <w:rsid w:val="00252161"/>
    <w:rsid w:val="00252E9D"/>
    <w:rsid w:val="00257989"/>
    <w:rsid w:val="00263DCA"/>
    <w:rsid w:val="00264259"/>
    <w:rsid w:val="00265988"/>
    <w:rsid w:val="00273152"/>
    <w:rsid w:val="0027506B"/>
    <w:rsid w:val="00280853"/>
    <w:rsid w:val="00282687"/>
    <w:rsid w:val="00283153"/>
    <w:rsid w:val="0028390B"/>
    <w:rsid w:val="002854BF"/>
    <w:rsid w:val="0028793A"/>
    <w:rsid w:val="002A083E"/>
    <w:rsid w:val="002A2D1E"/>
    <w:rsid w:val="002A4A00"/>
    <w:rsid w:val="002A72E8"/>
    <w:rsid w:val="002B1995"/>
    <w:rsid w:val="002B2253"/>
    <w:rsid w:val="002B3F10"/>
    <w:rsid w:val="002B6D7A"/>
    <w:rsid w:val="002C67FA"/>
    <w:rsid w:val="002D3AFB"/>
    <w:rsid w:val="002D3B4A"/>
    <w:rsid w:val="002E0CB9"/>
    <w:rsid w:val="002E4EA0"/>
    <w:rsid w:val="002E5C78"/>
    <w:rsid w:val="002E7D9E"/>
    <w:rsid w:val="002F0FF2"/>
    <w:rsid w:val="002F2775"/>
    <w:rsid w:val="002F38DB"/>
    <w:rsid w:val="00300677"/>
    <w:rsid w:val="00300F4A"/>
    <w:rsid w:val="00305E76"/>
    <w:rsid w:val="003060B9"/>
    <w:rsid w:val="003109D1"/>
    <w:rsid w:val="00310BE5"/>
    <w:rsid w:val="003131B0"/>
    <w:rsid w:val="00316641"/>
    <w:rsid w:val="00327297"/>
    <w:rsid w:val="003310DB"/>
    <w:rsid w:val="00331328"/>
    <w:rsid w:val="0033193F"/>
    <w:rsid w:val="00331B60"/>
    <w:rsid w:val="003343C3"/>
    <w:rsid w:val="0033631D"/>
    <w:rsid w:val="00337C47"/>
    <w:rsid w:val="00340F11"/>
    <w:rsid w:val="00341413"/>
    <w:rsid w:val="0034235F"/>
    <w:rsid w:val="00343096"/>
    <w:rsid w:val="00343E4D"/>
    <w:rsid w:val="00344A1D"/>
    <w:rsid w:val="0035270C"/>
    <w:rsid w:val="00352D41"/>
    <w:rsid w:val="00354253"/>
    <w:rsid w:val="00355029"/>
    <w:rsid w:val="003550AB"/>
    <w:rsid w:val="00357E24"/>
    <w:rsid w:val="00360675"/>
    <w:rsid w:val="00363049"/>
    <w:rsid w:val="00363B59"/>
    <w:rsid w:val="00366FC9"/>
    <w:rsid w:val="00372266"/>
    <w:rsid w:val="0037227B"/>
    <w:rsid w:val="00375F64"/>
    <w:rsid w:val="00381A89"/>
    <w:rsid w:val="0038478C"/>
    <w:rsid w:val="00390457"/>
    <w:rsid w:val="00391AC9"/>
    <w:rsid w:val="00392815"/>
    <w:rsid w:val="003961A6"/>
    <w:rsid w:val="003A2B32"/>
    <w:rsid w:val="003A6AEF"/>
    <w:rsid w:val="003B180D"/>
    <w:rsid w:val="003B1EA1"/>
    <w:rsid w:val="003B4876"/>
    <w:rsid w:val="003C0159"/>
    <w:rsid w:val="003C2C42"/>
    <w:rsid w:val="003C382C"/>
    <w:rsid w:val="003C51C7"/>
    <w:rsid w:val="003D2DC9"/>
    <w:rsid w:val="003D3C44"/>
    <w:rsid w:val="003D4E4E"/>
    <w:rsid w:val="003D6897"/>
    <w:rsid w:val="003D7678"/>
    <w:rsid w:val="003E25D3"/>
    <w:rsid w:val="003E33EC"/>
    <w:rsid w:val="003E3687"/>
    <w:rsid w:val="003E3B8A"/>
    <w:rsid w:val="003E7EDA"/>
    <w:rsid w:val="003F2299"/>
    <w:rsid w:val="003F34B9"/>
    <w:rsid w:val="003F38DA"/>
    <w:rsid w:val="003F4F1C"/>
    <w:rsid w:val="00401E95"/>
    <w:rsid w:val="0040727B"/>
    <w:rsid w:val="00407EA8"/>
    <w:rsid w:val="004105F1"/>
    <w:rsid w:val="00410628"/>
    <w:rsid w:val="00415D40"/>
    <w:rsid w:val="00416F68"/>
    <w:rsid w:val="00417E61"/>
    <w:rsid w:val="004209B6"/>
    <w:rsid w:val="00424088"/>
    <w:rsid w:val="00427828"/>
    <w:rsid w:val="00431FFF"/>
    <w:rsid w:val="00436281"/>
    <w:rsid w:val="00437774"/>
    <w:rsid w:val="00443072"/>
    <w:rsid w:val="00447656"/>
    <w:rsid w:val="0045122F"/>
    <w:rsid w:val="00454684"/>
    <w:rsid w:val="004555E3"/>
    <w:rsid w:val="00457AB6"/>
    <w:rsid w:val="00460BC8"/>
    <w:rsid w:val="00467902"/>
    <w:rsid w:val="00467949"/>
    <w:rsid w:val="00470CA4"/>
    <w:rsid w:val="004759D1"/>
    <w:rsid w:val="00476DF0"/>
    <w:rsid w:val="00476FB2"/>
    <w:rsid w:val="004804C0"/>
    <w:rsid w:val="00481CA5"/>
    <w:rsid w:val="00482866"/>
    <w:rsid w:val="00484002"/>
    <w:rsid w:val="00484EB2"/>
    <w:rsid w:val="004905C3"/>
    <w:rsid w:val="0049208D"/>
    <w:rsid w:val="0049701D"/>
    <w:rsid w:val="004A0D63"/>
    <w:rsid w:val="004A6ADB"/>
    <w:rsid w:val="004B0BA1"/>
    <w:rsid w:val="004B1DC2"/>
    <w:rsid w:val="004B3889"/>
    <w:rsid w:val="004B6875"/>
    <w:rsid w:val="004B72C2"/>
    <w:rsid w:val="004B7395"/>
    <w:rsid w:val="004B7B5A"/>
    <w:rsid w:val="004C25EB"/>
    <w:rsid w:val="004C2C30"/>
    <w:rsid w:val="004C3176"/>
    <w:rsid w:val="004C4B98"/>
    <w:rsid w:val="004D249D"/>
    <w:rsid w:val="004D3406"/>
    <w:rsid w:val="004D475F"/>
    <w:rsid w:val="004D692C"/>
    <w:rsid w:val="004D7BBA"/>
    <w:rsid w:val="004E34EA"/>
    <w:rsid w:val="004E59CF"/>
    <w:rsid w:val="004F7FEA"/>
    <w:rsid w:val="00502EDB"/>
    <w:rsid w:val="005057F6"/>
    <w:rsid w:val="00511238"/>
    <w:rsid w:val="00511BF2"/>
    <w:rsid w:val="00512AE7"/>
    <w:rsid w:val="005246AF"/>
    <w:rsid w:val="00524A7A"/>
    <w:rsid w:val="00525070"/>
    <w:rsid w:val="005256C4"/>
    <w:rsid w:val="00527108"/>
    <w:rsid w:val="005351BD"/>
    <w:rsid w:val="0053559E"/>
    <w:rsid w:val="0053595F"/>
    <w:rsid w:val="005414CA"/>
    <w:rsid w:val="0054505B"/>
    <w:rsid w:val="00551E54"/>
    <w:rsid w:val="005520FF"/>
    <w:rsid w:val="00557D6C"/>
    <w:rsid w:val="00560714"/>
    <w:rsid w:val="00561674"/>
    <w:rsid w:val="00565A62"/>
    <w:rsid w:val="0056651E"/>
    <w:rsid w:val="005670C4"/>
    <w:rsid w:val="00567F96"/>
    <w:rsid w:val="0057228C"/>
    <w:rsid w:val="00572D98"/>
    <w:rsid w:val="00575618"/>
    <w:rsid w:val="00577799"/>
    <w:rsid w:val="005811BF"/>
    <w:rsid w:val="0058247A"/>
    <w:rsid w:val="00583B3F"/>
    <w:rsid w:val="005840C0"/>
    <w:rsid w:val="00584D50"/>
    <w:rsid w:val="00584F55"/>
    <w:rsid w:val="00585D52"/>
    <w:rsid w:val="00585FBB"/>
    <w:rsid w:val="00591C86"/>
    <w:rsid w:val="00591F57"/>
    <w:rsid w:val="00594035"/>
    <w:rsid w:val="005A2D60"/>
    <w:rsid w:val="005A34A9"/>
    <w:rsid w:val="005A3D4A"/>
    <w:rsid w:val="005A75B2"/>
    <w:rsid w:val="005B00D5"/>
    <w:rsid w:val="005B27F9"/>
    <w:rsid w:val="005C04E9"/>
    <w:rsid w:val="005C0574"/>
    <w:rsid w:val="005C0F2A"/>
    <w:rsid w:val="005C2242"/>
    <w:rsid w:val="005C224C"/>
    <w:rsid w:val="005C64ED"/>
    <w:rsid w:val="005C7694"/>
    <w:rsid w:val="005C793A"/>
    <w:rsid w:val="005D0DC7"/>
    <w:rsid w:val="005D2195"/>
    <w:rsid w:val="005D2353"/>
    <w:rsid w:val="005D2376"/>
    <w:rsid w:val="005D304B"/>
    <w:rsid w:val="005D3F84"/>
    <w:rsid w:val="005D50E5"/>
    <w:rsid w:val="005D7063"/>
    <w:rsid w:val="005E0F52"/>
    <w:rsid w:val="005E1503"/>
    <w:rsid w:val="005E46F7"/>
    <w:rsid w:val="005E4D7A"/>
    <w:rsid w:val="005E5BC6"/>
    <w:rsid w:val="005E690F"/>
    <w:rsid w:val="005F035D"/>
    <w:rsid w:val="005F07A7"/>
    <w:rsid w:val="005F15BB"/>
    <w:rsid w:val="005F2383"/>
    <w:rsid w:val="005F5EAB"/>
    <w:rsid w:val="0060108E"/>
    <w:rsid w:val="006030C6"/>
    <w:rsid w:val="00604A39"/>
    <w:rsid w:val="00605AB4"/>
    <w:rsid w:val="006117C5"/>
    <w:rsid w:val="0061377D"/>
    <w:rsid w:val="006145E8"/>
    <w:rsid w:val="00615A5D"/>
    <w:rsid w:val="00615C56"/>
    <w:rsid w:val="006161D9"/>
    <w:rsid w:val="0062026D"/>
    <w:rsid w:val="00620DE6"/>
    <w:rsid w:val="00622770"/>
    <w:rsid w:val="006229B7"/>
    <w:rsid w:val="0062392B"/>
    <w:rsid w:val="00625CAF"/>
    <w:rsid w:val="00630B8A"/>
    <w:rsid w:val="00637342"/>
    <w:rsid w:val="00637968"/>
    <w:rsid w:val="0064148A"/>
    <w:rsid w:val="006421AB"/>
    <w:rsid w:val="00642FB0"/>
    <w:rsid w:val="006512D7"/>
    <w:rsid w:val="006529D7"/>
    <w:rsid w:val="00652C22"/>
    <w:rsid w:val="006534FE"/>
    <w:rsid w:val="00655B4F"/>
    <w:rsid w:val="006565E6"/>
    <w:rsid w:val="00656650"/>
    <w:rsid w:val="0066276E"/>
    <w:rsid w:val="00663694"/>
    <w:rsid w:val="00670A87"/>
    <w:rsid w:val="00673BA9"/>
    <w:rsid w:val="00674FFE"/>
    <w:rsid w:val="006762B0"/>
    <w:rsid w:val="00676F1B"/>
    <w:rsid w:val="006778E0"/>
    <w:rsid w:val="00681609"/>
    <w:rsid w:val="006825F0"/>
    <w:rsid w:val="00686CDA"/>
    <w:rsid w:val="00691C81"/>
    <w:rsid w:val="00693AE7"/>
    <w:rsid w:val="006943F0"/>
    <w:rsid w:val="006A0389"/>
    <w:rsid w:val="006A056B"/>
    <w:rsid w:val="006A2919"/>
    <w:rsid w:val="006A5A4E"/>
    <w:rsid w:val="006B5A75"/>
    <w:rsid w:val="006B62D5"/>
    <w:rsid w:val="006C0A86"/>
    <w:rsid w:val="006C5902"/>
    <w:rsid w:val="006D10F7"/>
    <w:rsid w:val="006D3182"/>
    <w:rsid w:val="006D3448"/>
    <w:rsid w:val="006D46AD"/>
    <w:rsid w:val="006D4CDC"/>
    <w:rsid w:val="006E29FB"/>
    <w:rsid w:val="006E41D4"/>
    <w:rsid w:val="006E6F10"/>
    <w:rsid w:val="006F0268"/>
    <w:rsid w:val="006F1AE4"/>
    <w:rsid w:val="006F42F3"/>
    <w:rsid w:val="006F4C7A"/>
    <w:rsid w:val="006F669A"/>
    <w:rsid w:val="006F6942"/>
    <w:rsid w:val="006F6DA8"/>
    <w:rsid w:val="006F7C52"/>
    <w:rsid w:val="0070077A"/>
    <w:rsid w:val="00700C14"/>
    <w:rsid w:val="007029FF"/>
    <w:rsid w:val="0070319B"/>
    <w:rsid w:val="00711267"/>
    <w:rsid w:val="00713515"/>
    <w:rsid w:val="00713DA6"/>
    <w:rsid w:val="0072125B"/>
    <w:rsid w:val="00725C1E"/>
    <w:rsid w:val="007310FC"/>
    <w:rsid w:val="007358ED"/>
    <w:rsid w:val="007411CE"/>
    <w:rsid w:val="00747474"/>
    <w:rsid w:val="007474F4"/>
    <w:rsid w:val="00750C55"/>
    <w:rsid w:val="00750CCE"/>
    <w:rsid w:val="00751345"/>
    <w:rsid w:val="00753713"/>
    <w:rsid w:val="00756A43"/>
    <w:rsid w:val="00761DA3"/>
    <w:rsid w:val="007643C5"/>
    <w:rsid w:val="00774A6D"/>
    <w:rsid w:val="007755BB"/>
    <w:rsid w:val="00783621"/>
    <w:rsid w:val="00785A93"/>
    <w:rsid w:val="00791AD8"/>
    <w:rsid w:val="00793574"/>
    <w:rsid w:val="00795F1D"/>
    <w:rsid w:val="00797AA2"/>
    <w:rsid w:val="007A0927"/>
    <w:rsid w:val="007A2961"/>
    <w:rsid w:val="007A2D9C"/>
    <w:rsid w:val="007A319E"/>
    <w:rsid w:val="007B4241"/>
    <w:rsid w:val="007B4BFF"/>
    <w:rsid w:val="007B5238"/>
    <w:rsid w:val="007C122D"/>
    <w:rsid w:val="007C3CD4"/>
    <w:rsid w:val="007C5957"/>
    <w:rsid w:val="007C7D65"/>
    <w:rsid w:val="007D254C"/>
    <w:rsid w:val="007D2CA7"/>
    <w:rsid w:val="007D6D25"/>
    <w:rsid w:val="007E17B2"/>
    <w:rsid w:val="007F60BA"/>
    <w:rsid w:val="007F6569"/>
    <w:rsid w:val="007F6CD6"/>
    <w:rsid w:val="007F7097"/>
    <w:rsid w:val="007F7804"/>
    <w:rsid w:val="008003A6"/>
    <w:rsid w:val="00800A59"/>
    <w:rsid w:val="00801B1D"/>
    <w:rsid w:val="00801B51"/>
    <w:rsid w:val="00812575"/>
    <w:rsid w:val="008227AE"/>
    <w:rsid w:val="00822BB2"/>
    <w:rsid w:val="008245DF"/>
    <w:rsid w:val="0082645F"/>
    <w:rsid w:val="008304BB"/>
    <w:rsid w:val="00830812"/>
    <w:rsid w:val="00844A78"/>
    <w:rsid w:val="00845B28"/>
    <w:rsid w:val="0085052E"/>
    <w:rsid w:val="008518E3"/>
    <w:rsid w:val="00851983"/>
    <w:rsid w:val="0085411E"/>
    <w:rsid w:val="008543AA"/>
    <w:rsid w:val="0085583D"/>
    <w:rsid w:val="00864B3F"/>
    <w:rsid w:val="00864E9C"/>
    <w:rsid w:val="00865CB4"/>
    <w:rsid w:val="00866624"/>
    <w:rsid w:val="00870AC3"/>
    <w:rsid w:val="00872A26"/>
    <w:rsid w:val="00874402"/>
    <w:rsid w:val="00874A07"/>
    <w:rsid w:val="00875E2E"/>
    <w:rsid w:val="00880985"/>
    <w:rsid w:val="0088205F"/>
    <w:rsid w:val="00883E07"/>
    <w:rsid w:val="00887F29"/>
    <w:rsid w:val="008902AA"/>
    <w:rsid w:val="00897BFF"/>
    <w:rsid w:val="008A0E9B"/>
    <w:rsid w:val="008A0FBD"/>
    <w:rsid w:val="008A15BC"/>
    <w:rsid w:val="008A48E5"/>
    <w:rsid w:val="008B06BA"/>
    <w:rsid w:val="008B415D"/>
    <w:rsid w:val="008B41E3"/>
    <w:rsid w:val="008B5A88"/>
    <w:rsid w:val="008B5E9F"/>
    <w:rsid w:val="008B7C7D"/>
    <w:rsid w:val="008C0BB7"/>
    <w:rsid w:val="008C58AC"/>
    <w:rsid w:val="008C6DCD"/>
    <w:rsid w:val="008D083B"/>
    <w:rsid w:val="008D26EC"/>
    <w:rsid w:val="008D29BD"/>
    <w:rsid w:val="008D659C"/>
    <w:rsid w:val="008E1588"/>
    <w:rsid w:val="008E4374"/>
    <w:rsid w:val="008E58E9"/>
    <w:rsid w:val="008F1919"/>
    <w:rsid w:val="008F4D9C"/>
    <w:rsid w:val="008F7D64"/>
    <w:rsid w:val="009008E3"/>
    <w:rsid w:val="0090125D"/>
    <w:rsid w:val="00905FF1"/>
    <w:rsid w:val="0090768D"/>
    <w:rsid w:val="009114EA"/>
    <w:rsid w:val="009115DB"/>
    <w:rsid w:val="0091183D"/>
    <w:rsid w:val="009138E1"/>
    <w:rsid w:val="009141F6"/>
    <w:rsid w:val="00916FB2"/>
    <w:rsid w:val="00917615"/>
    <w:rsid w:val="00917D4C"/>
    <w:rsid w:val="00920D50"/>
    <w:rsid w:val="00923203"/>
    <w:rsid w:val="00927BBB"/>
    <w:rsid w:val="00930601"/>
    <w:rsid w:val="0093074C"/>
    <w:rsid w:val="00934F2C"/>
    <w:rsid w:val="009434E9"/>
    <w:rsid w:val="00945CF0"/>
    <w:rsid w:val="00946637"/>
    <w:rsid w:val="00952CC6"/>
    <w:rsid w:val="00954147"/>
    <w:rsid w:val="00960385"/>
    <w:rsid w:val="00960F2C"/>
    <w:rsid w:val="00961D87"/>
    <w:rsid w:val="009628E2"/>
    <w:rsid w:val="0096540B"/>
    <w:rsid w:val="00966644"/>
    <w:rsid w:val="00967137"/>
    <w:rsid w:val="00970B7B"/>
    <w:rsid w:val="00971F7D"/>
    <w:rsid w:val="009777BD"/>
    <w:rsid w:val="00977945"/>
    <w:rsid w:val="00984967"/>
    <w:rsid w:val="0099010E"/>
    <w:rsid w:val="00991163"/>
    <w:rsid w:val="009921F5"/>
    <w:rsid w:val="00994512"/>
    <w:rsid w:val="0099466B"/>
    <w:rsid w:val="00994EDE"/>
    <w:rsid w:val="00995ACF"/>
    <w:rsid w:val="00997F03"/>
    <w:rsid w:val="009A0062"/>
    <w:rsid w:val="009A1C2D"/>
    <w:rsid w:val="009A4B82"/>
    <w:rsid w:val="009A5D25"/>
    <w:rsid w:val="009A5EEA"/>
    <w:rsid w:val="009B54F4"/>
    <w:rsid w:val="009B5511"/>
    <w:rsid w:val="009B6193"/>
    <w:rsid w:val="009B6A13"/>
    <w:rsid w:val="009B7D28"/>
    <w:rsid w:val="009C2B93"/>
    <w:rsid w:val="009C4801"/>
    <w:rsid w:val="009C6CB9"/>
    <w:rsid w:val="009D60FA"/>
    <w:rsid w:val="009D7DEA"/>
    <w:rsid w:val="009E0751"/>
    <w:rsid w:val="009E36B2"/>
    <w:rsid w:val="009E659C"/>
    <w:rsid w:val="009E7E53"/>
    <w:rsid w:val="009F594B"/>
    <w:rsid w:val="009F68BC"/>
    <w:rsid w:val="009F6E0C"/>
    <w:rsid w:val="00A06454"/>
    <w:rsid w:val="00A07628"/>
    <w:rsid w:val="00A1430D"/>
    <w:rsid w:val="00A16AE6"/>
    <w:rsid w:val="00A2213F"/>
    <w:rsid w:val="00A24E3F"/>
    <w:rsid w:val="00A2645E"/>
    <w:rsid w:val="00A26914"/>
    <w:rsid w:val="00A30041"/>
    <w:rsid w:val="00A30A27"/>
    <w:rsid w:val="00A3166E"/>
    <w:rsid w:val="00A333D2"/>
    <w:rsid w:val="00A361C5"/>
    <w:rsid w:val="00A3662B"/>
    <w:rsid w:val="00A41C27"/>
    <w:rsid w:val="00A45C4A"/>
    <w:rsid w:val="00A50701"/>
    <w:rsid w:val="00A529DF"/>
    <w:rsid w:val="00A53DF0"/>
    <w:rsid w:val="00A53E44"/>
    <w:rsid w:val="00A55149"/>
    <w:rsid w:val="00A5595A"/>
    <w:rsid w:val="00A62EEC"/>
    <w:rsid w:val="00A63C4A"/>
    <w:rsid w:val="00A64610"/>
    <w:rsid w:val="00A66684"/>
    <w:rsid w:val="00A677C7"/>
    <w:rsid w:val="00A71A59"/>
    <w:rsid w:val="00A75297"/>
    <w:rsid w:val="00A7644D"/>
    <w:rsid w:val="00A76C70"/>
    <w:rsid w:val="00A76D08"/>
    <w:rsid w:val="00A81AC2"/>
    <w:rsid w:val="00A82324"/>
    <w:rsid w:val="00A8279D"/>
    <w:rsid w:val="00A837AD"/>
    <w:rsid w:val="00A843C6"/>
    <w:rsid w:val="00A86A54"/>
    <w:rsid w:val="00A90746"/>
    <w:rsid w:val="00A90F8F"/>
    <w:rsid w:val="00A92BFD"/>
    <w:rsid w:val="00A95D6A"/>
    <w:rsid w:val="00A969BA"/>
    <w:rsid w:val="00A974D8"/>
    <w:rsid w:val="00A97C94"/>
    <w:rsid w:val="00AA17D4"/>
    <w:rsid w:val="00AA2B29"/>
    <w:rsid w:val="00AA6A1D"/>
    <w:rsid w:val="00AB12DF"/>
    <w:rsid w:val="00AB202C"/>
    <w:rsid w:val="00AB2630"/>
    <w:rsid w:val="00AB49B2"/>
    <w:rsid w:val="00AB4CB6"/>
    <w:rsid w:val="00AC2F54"/>
    <w:rsid w:val="00AC5F49"/>
    <w:rsid w:val="00AC6548"/>
    <w:rsid w:val="00AC6E95"/>
    <w:rsid w:val="00AC7AFD"/>
    <w:rsid w:val="00AD14B7"/>
    <w:rsid w:val="00AD1CB8"/>
    <w:rsid w:val="00AD1D29"/>
    <w:rsid w:val="00AD313C"/>
    <w:rsid w:val="00AD351C"/>
    <w:rsid w:val="00AD356B"/>
    <w:rsid w:val="00AD3E69"/>
    <w:rsid w:val="00AD448D"/>
    <w:rsid w:val="00AD79FF"/>
    <w:rsid w:val="00AE14BB"/>
    <w:rsid w:val="00AE1589"/>
    <w:rsid w:val="00AE331E"/>
    <w:rsid w:val="00AF18C3"/>
    <w:rsid w:val="00AF3232"/>
    <w:rsid w:val="00AF4A01"/>
    <w:rsid w:val="00AF5B2D"/>
    <w:rsid w:val="00AF5D05"/>
    <w:rsid w:val="00B06E6E"/>
    <w:rsid w:val="00B07FC5"/>
    <w:rsid w:val="00B10C4A"/>
    <w:rsid w:val="00B11643"/>
    <w:rsid w:val="00B13F83"/>
    <w:rsid w:val="00B1674F"/>
    <w:rsid w:val="00B22DAD"/>
    <w:rsid w:val="00B2569E"/>
    <w:rsid w:val="00B268CF"/>
    <w:rsid w:val="00B26917"/>
    <w:rsid w:val="00B302C1"/>
    <w:rsid w:val="00B35C59"/>
    <w:rsid w:val="00B35F6F"/>
    <w:rsid w:val="00B366A9"/>
    <w:rsid w:val="00B36990"/>
    <w:rsid w:val="00B4070B"/>
    <w:rsid w:val="00B43A3F"/>
    <w:rsid w:val="00B4437C"/>
    <w:rsid w:val="00B44BE2"/>
    <w:rsid w:val="00B512B7"/>
    <w:rsid w:val="00B52A2F"/>
    <w:rsid w:val="00B5775D"/>
    <w:rsid w:val="00B612A8"/>
    <w:rsid w:val="00B62AA7"/>
    <w:rsid w:val="00B6389C"/>
    <w:rsid w:val="00B6469F"/>
    <w:rsid w:val="00B65C4B"/>
    <w:rsid w:val="00B67BC6"/>
    <w:rsid w:val="00B733E7"/>
    <w:rsid w:val="00B73F33"/>
    <w:rsid w:val="00B765EB"/>
    <w:rsid w:val="00B76CE6"/>
    <w:rsid w:val="00B77907"/>
    <w:rsid w:val="00B82FBD"/>
    <w:rsid w:val="00B845D3"/>
    <w:rsid w:val="00B86FF2"/>
    <w:rsid w:val="00B94291"/>
    <w:rsid w:val="00B94493"/>
    <w:rsid w:val="00B96C0C"/>
    <w:rsid w:val="00BA2497"/>
    <w:rsid w:val="00BA29AB"/>
    <w:rsid w:val="00BA2B5E"/>
    <w:rsid w:val="00BA6ED4"/>
    <w:rsid w:val="00BA7F79"/>
    <w:rsid w:val="00BB0341"/>
    <w:rsid w:val="00BB2E00"/>
    <w:rsid w:val="00BB3888"/>
    <w:rsid w:val="00BB3A8E"/>
    <w:rsid w:val="00BB4867"/>
    <w:rsid w:val="00BB61D6"/>
    <w:rsid w:val="00BB63A3"/>
    <w:rsid w:val="00BB70F3"/>
    <w:rsid w:val="00BB7597"/>
    <w:rsid w:val="00BC0A1A"/>
    <w:rsid w:val="00BC11CB"/>
    <w:rsid w:val="00BC26D4"/>
    <w:rsid w:val="00BC4B47"/>
    <w:rsid w:val="00BC4CDB"/>
    <w:rsid w:val="00BD0A0C"/>
    <w:rsid w:val="00BD64E0"/>
    <w:rsid w:val="00BD667A"/>
    <w:rsid w:val="00BD683A"/>
    <w:rsid w:val="00BE0661"/>
    <w:rsid w:val="00BE34AB"/>
    <w:rsid w:val="00BE391B"/>
    <w:rsid w:val="00BF13F5"/>
    <w:rsid w:val="00BF21A8"/>
    <w:rsid w:val="00BF3C4F"/>
    <w:rsid w:val="00C02A44"/>
    <w:rsid w:val="00C03D0C"/>
    <w:rsid w:val="00C118E4"/>
    <w:rsid w:val="00C11A87"/>
    <w:rsid w:val="00C13A95"/>
    <w:rsid w:val="00C1545E"/>
    <w:rsid w:val="00C15E14"/>
    <w:rsid w:val="00C21D5E"/>
    <w:rsid w:val="00C31284"/>
    <w:rsid w:val="00C315DA"/>
    <w:rsid w:val="00C32E11"/>
    <w:rsid w:val="00C34CA2"/>
    <w:rsid w:val="00C368B0"/>
    <w:rsid w:val="00C5394D"/>
    <w:rsid w:val="00C56A31"/>
    <w:rsid w:val="00C61A7F"/>
    <w:rsid w:val="00C62DA4"/>
    <w:rsid w:val="00C631ED"/>
    <w:rsid w:val="00C63260"/>
    <w:rsid w:val="00C63D46"/>
    <w:rsid w:val="00C6754B"/>
    <w:rsid w:val="00C7047C"/>
    <w:rsid w:val="00C70DAB"/>
    <w:rsid w:val="00C72E7F"/>
    <w:rsid w:val="00C75C52"/>
    <w:rsid w:val="00C76D86"/>
    <w:rsid w:val="00C77FF9"/>
    <w:rsid w:val="00C800F3"/>
    <w:rsid w:val="00C802E0"/>
    <w:rsid w:val="00C845DE"/>
    <w:rsid w:val="00C84BC4"/>
    <w:rsid w:val="00C91154"/>
    <w:rsid w:val="00C96474"/>
    <w:rsid w:val="00CA1FDC"/>
    <w:rsid w:val="00CA27E1"/>
    <w:rsid w:val="00CA2FF1"/>
    <w:rsid w:val="00CA31B1"/>
    <w:rsid w:val="00CA4166"/>
    <w:rsid w:val="00CA6B78"/>
    <w:rsid w:val="00CA771C"/>
    <w:rsid w:val="00CA7F18"/>
    <w:rsid w:val="00CB1064"/>
    <w:rsid w:val="00CB1AB4"/>
    <w:rsid w:val="00CB4C9C"/>
    <w:rsid w:val="00CB6B76"/>
    <w:rsid w:val="00CC13C3"/>
    <w:rsid w:val="00CC1FC3"/>
    <w:rsid w:val="00CC3197"/>
    <w:rsid w:val="00CC3864"/>
    <w:rsid w:val="00CC4FC7"/>
    <w:rsid w:val="00CD012B"/>
    <w:rsid w:val="00CD696D"/>
    <w:rsid w:val="00CE1A6C"/>
    <w:rsid w:val="00CE4DAF"/>
    <w:rsid w:val="00CE5EC3"/>
    <w:rsid w:val="00CF41DA"/>
    <w:rsid w:val="00CF66AD"/>
    <w:rsid w:val="00D06E23"/>
    <w:rsid w:val="00D07EB6"/>
    <w:rsid w:val="00D10320"/>
    <w:rsid w:val="00D15BCB"/>
    <w:rsid w:val="00D16A58"/>
    <w:rsid w:val="00D1775B"/>
    <w:rsid w:val="00D22430"/>
    <w:rsid w:val="00D24EC5"/>
    <w:rsid w:val="00D25B7D"/>
    <w:rsid w:val="00D2789B"/>
    <w:rsid w:val="00D27B4B"/>
    <w:rsid w:val="00D3180A"/>
    <w:rsid w:val="00D319BC"/>
    <w:rsid w:val="00D33438"/>
    <w:rsid w:val="00D35805"/>
    <w:rsid w:val="00D41CF3"/>
    <w:rsid w:val="00D43A89"/>
    <w:rsid w:val="00D440E7"/>
    <w:rsid w:val="00D44328"/>
    <w:rsid w:val="00D4550B"/>
    <w:rsid w:val="00D46095"/>
    <w:rsid w:val="00D46B1C"/>
    <w:rsid w:val="00D510BC"/>
    <w:rsid w:val="00D55723"/>
    <w:rsid w:val="00D60997"/>
    <w:rsid w:val="00D61486"/>
    <w:rsid w:val="00D61491"/>
    <w:rsid w:val="00D653D3"/>
    <w:rsid w:val="00D6626D"/>
    <w:rsid w:val="00D67545"/>
    <w:rsid w:val="00D71ADA"/>
    <w:rsid w:val="00D803C4"/>
    <w:rsid w:val="00D82B2D"/>
    <w:rsid w:val="00D902E0"/>
    <w:rsid w:val="00D9075D"/>
    <w:rsid w:val="00D91748"/>
    <w:rsid w:val="00D9479B"/>
    <w:rsid w:val="00D95D0F"/>
    <w:rsid w:val="00D96FB1"/>
    <w:rsid w:val="00D97A94"/>
    <w:rsid w:val="00DB06B4"/>
    <w:rsid w:val="00DB1662"/>
    <w:rsid w:val="00DB17FE"/>
    <w:rsid w:val="00DB3070"/>
    <w:rsid w:val="00DB5035"/>
    <w:rsid w:val="00DB5119"/>
    <w:rsid w:val="00DB5FCA"/>
    <w:rsid w:val="00DC0DE2"/>
    <w:rsid w:val="00DC12B7"/>
    <w:rsid w:val="00DC1853"/>
    <w:rsid w:val="00DC1DC7"/>
    <w:rsid w:val="00DC24CD"/>
    <w:rsid w:val="00DC7CF1"/>
    <w:rsid w:val="00DD0306"/>
    <w:rsid w:val="00DD57E3"/>
    <w:rsid w:val="00DE1F36"/>
    <w:rsid w:val="00DE4A8A"/>
    <w:rsid w:val="00DE559C"/>
    <w:rsid w:val="00DE5DF1"/>
    <w:rsid w:val="00DE65D8"/>
    <w:rsid w:val="00DF35D9"/>
    <w:rsid w:val="00DF490B"/>
    <w:rsid w:val="00DF5209"/>
    <w:rsid w:val="00E00F54"/>
    <w:rsid w:val="00E03603"/>
    <w:rsid w:val="00E045C4"/>
    <w:rsid w:val="00E12E76"/>
    <w:rsid w:val="00E15074"/>
    <w:rsid w:val="00E1511B"/>
    <w:rsid w:val="00E16004"/>
    <w:rsid w:val="00E222E5"/>
    <w:rsid w:val="00E22EAD"/>
    <w:rsid w:val="00E26C12"/>
    <w:rsid w:val="00E26FDD"/>
    <w:rsid w:val="00E33A7F"/>
    <w:rsid w:val="00E34476"/>
    <w:rsid w:val="00E34C0C"/>
    <w:rsid w:val="00E4128B"/>
    <w:rsid w:val="00E4506C"/>
    <w:rsid w:val="00E46C3A"/>
    <w:rsid w:val="00E4718C"/>
    <w:rsid w:val="00E5153D"/>
    <w:rsid w:val="00E52717"/>
    <w:rsid w:val="00E54270"/>
    <w:rsid w:val="00E60068"/>
    <w:rsid w:val="00E6235E"/>
    <w:rsid w:val="00E65F50"/>
    <w:rsid w:val="00E701E7"/>
    <w:rsid w:val="00E74251"/>
    <w:rsid w:val="00E77EEA"/>
    <w:rsid w:val="00E77F41"/>
    <w:rsid w:val="00E82C89"/>
    <w:rsid w:val="00E83FCE"/>
    <w:rsid w:val="00E84AE9"/>
    <w:rsid w:val="00E86C9E"/>
    <w:rsid w:val="00E91698"/>
    <w:rsid w:val="00E93926"/>
    <w:rsid w:val="00E956EE"/>
    <w:rsid w:val="00EA2630"/>
    <w:rsid w:val="00EA7B8A"/>
    <w:rsid w:val="00EB24A1"/>
    <w:rsid w:val="00EB6D08"/>
    <w:rsid w:val="00EC0E08"/>
    <w:rsid w:val="00EC358D"/>
    <w:rsid w:val="00EC66CB"/>
    <w:rsid w:val="00EC7456"/>
    <w:rsid w:val="00ED195F"/>
    <w:rsid w:val="00ED2631"/>
    <w:rsid w:val="00ED29B1"/>
    <w:rsid w:val="00ED41BD"/>
    <w:rsid w:val="00ED61BF"/>
    <w:rsid w:val="00ED689D"/>
    <w:rsid w:val="00ED6C17"/>
    <w:rsid w:val="00EE6228"/>
    <w:rsid w:val="00EE6E97"/>
    <w:rsid w:val="00EF40A4"/>
    <w:rsid w:val="00F00BF2"/>
    <w:rsid w:val="00F03024"/>
    <w:rsid w:val="00F05781"/>
    <w:rsid w:val="00F05BD6"/>
    <w:rsid w:val="00F07766"/>
    <w:rsid w:val="00F07CCC"/>
    <w:rsid w:val="00F10EF5"/>
    <w:rsid w:val="00F17344"/>
    <w:rsid w:val="00F17BCE"/>
    <w:rsid w:val="00F25568"/>
    <w:rsid w:val="00F26312"/>
    <w:rsid w:val="00F267DC"/>
    <w:rsid w:val="00F269C5"/>
    <w:rsid w:val="00F3028C"/>
    <w:rsid w:val="00F30CEA"/>
    <w:rsid w:val="00F30F39"/>
    <w:rsid w:val="00F32F03"/>
    <w:rsid w:val="00F34197"/>
    <w:rsid w:val="00F34BB6"/>
    <w:rsid w:val="00F37559"/>
    <w:rsid w:val="00F37A96"/>
    <w:rsid w:val="00F45B2C"/>
    <w:rsid w:val="00F461B3"/>
    <w:rsid w:val="00F511B3"/>
    <w:rsid w:val="00F51B49"/>
    <w:rsid w:val="00F54306"/>
    <w:rsid w:val="00F5433C"/>
    <w:rsid w:val="00F604D6"/>
    <w:rsid w:val="00F613D2"/>
    <w:rsid w:val="00F66821"/>
    <w:rsid w:val="00F66B2A"/>
    <w:rsid w:val="00F722A3"/>
    <w:rsid w:val="00F75CB6"/>
    <w:rsid w:val="00F8047B"/>
    <w:rsid w:val="00F80F0E"/>
    <w:rsid w:val="00F81057"/>
    <w:rsid w:val="00F81F05"/>
    <w:rsid w:val="00F83E85"/>
    <w:rsid w:val="00F863C6"/>
    <w:rsid w:val="00F86DCE"/>
    <w:rsid w:val="00F916DE"/>
    <w:rsid w:val="00F92BAE"/>
    <w:rsid w:val="00F942D6"/>
    <w:rsid w:val="00F967D0"/>
    <w:rsid w:val="00FA0FD2"/>
    <w:rsid w:val="00FA15EB"/>
    <w:rsid w:val="00FA1680"/>
    <w:rsid w:val="00FA4FF7"/>
    <w:rsid w:val="00FA5789"/>
    <w:rsid w:val="00FB5988"/>
    <w:rsid w:val="00FB7894"/>
    <w:rsid w:val="00FC52E5"/>
    <w:rsid w:val="00FC5C28"/>
    <w:rsid w:val="00FC602E"/>
    <w:rsid w:val="00FC6429"/>
    <w:rsid w:val="00FC77B6"/>
    <w:rsid w:val="00FD2790"/>
    <w:rsid w:val="00FD6AD5"/>
    <w:rsid w:val="00FD7C7F"/>
    <w:rsid w:val="00FE05C2"/>
    <w:rsid w:val="00FE5DE6"/>
    <w:rsid w:val="00FF19AD"/>
    <w:rsid w:val="00FF7B92"/>
    <w:rsid w:val="01024097"/>
    <w:rsid w:val="010C528E"/>
    <w:rsid w:val="01334788"/>
    <w:rsid w:val="01A66FB4"/>
    <w:rsid w:val="01B4367D"/>
    <w:rsid w:val="01C20632"/>
    <w:rsid w:val="01F84FD7"/>
    <w:rsid w:val="02346138"/>
    <w:rsid w:val="0242733A"/>
    <w:rsid w:val="026736B8"/>
    <w:rsid w:val="0269377A"/>
    <w:rsid w:val="026C5D14"/>
    <w:rsid w:val="028E4DDB"/>
    <w:rsid w:val="02C52150"/>
    <w:rsid w:val="02DB6548"/>
    <w:rsid w:val="02F27EAE"/>
    <w:rsid w:val="02FA119A"/>
    <w:rsid w:val="030502E0"/>
    <w:rsid w:val="032F22E2"/>
    <w:rsid w:val="0331353B"/>
    <w:rsid w:val="034372F4"/>
    <w:rsid w:val="036D7EE4"/>
    <w:rsid w:val="03C21F10"/>
    <w:rsid w:val="03EA07D9"/>
    <w:rsid w:val="03FE335B"/>
    <w:rsid w:val="046E6F3C"/>
    <w:rsid w:val="04762458"/>
    <w:rsid w:val="047A5433"/>
    <w:rsid w:val="04942A4D"/>
    <w:rsid w:val="04AB667F"/>
    <w:rsid w:val="04B276B1"/>
    <w:rsid w:val="04D764F5"/>
    <w:rsid w:val="04F77729"/>
    <w:rsid w:val="052B5C4D"/>
    <w:rsid w:val="0547174E"/>
    <w:rsid w:val="05691B32"/>
    <w:rsid w:val="057476A3"/>
    <w:rsid w:val="05802F9C"/>
    <w:rsid w:val="05A207AE"/>
    <w:rsid w:val="05C66AF7"/>
    <w:rsid w:val="05E56E6E"/>
    <w:rsid w:val="06216546"/>
    <w:rsid w:val="06257654"/>
    <w:rsid w:val="06287461"/>
    <w:rsid w:val="06330903"/>
    <w:rsid w:val="064A7DDF"/>
    <w:rsid w:val="067558A7"/>
    <w:rsid w:val="068C1967"/>
    <w:rsid w:val="06947230"/>
    <w:rsid w:val="06AB5199"/>
    <w:rsid w:val="06EA07A8"/>
    <w:rsid w:val="07244B6B"/>
    <w:rsid w:val="073672C8"/>
    <w:rsid w:val="076E6BAF"/>
    <w:rsid w:val="07885CE5"/>
    <w:rsid w:val="0788707B"/>
    <w:rsid w:val="07A0671C"/>
    <w:rsid w:val="07BC73B5"/>
    <w:rsid w:val="07C5321A"/>
    <w:rsid w:val="07C85D0D"/>
    <w:rsid w:val="07E06088"/>
    <w:rsid w:val="07EA1975"/>
    <w:rsid w:val="07F5090D"/>
    <w:rsid w:val="081E5C8D"/>
    <w:rsid w:val="086D635E"/>
    <w:rsid w:val="087113E5"/>
    <w:rsid w:val="087930B4"/>
    <w:rsid w:val="089A5DBD"/>
    <w:rsid w:val="08A32603"/>
    <w:rsid w:val="08EA7A02"/>
    <w:rsid w:val="090A081B"/>
    <w:rsid w:val="090A7312"/>
    <w:rsid w:val="094A14CB"/>
    <w:rsid w:val="0997692D"/>
    <w:rsid w:val="09CB7DBA"/>
    <w:rsid w:val="09E85792"/>
    <w:rsid w:val="09EF7D98"/>
    <w:rsid w:val="0A1870FD"/>
    <w:rsid w:val="0A576C98"/>
    <w:rsid w:val="0A5B31A0"/>
    <w:rsid w:val="0AB51B04"/>
    <w:rsid w:val="0AE2394F"/>
    <w:rsid w:val="0AF669C7"/>
    <w:rsid w:val="0B1B0ED2"/>
    <w:rsid w:val="0B24496D"/>
    <w:rsid w:val="0B261B7D"/>
    <w:rsid w:val="0B2A1901"/>
    <w:rsid w:val="0B4C33E8"/>
    <w:rsid w:val="0B5F6424"/>
    <w:rsid w:val="0B9C5CFE"/>
    <w:rsid w:val="0BA57E29"/>
    <w:rsid w:val="0BD25EA5"/>
    <w:rsid w:val="0C444B52"/>
    <w:rsid w:val="0C833461"/>
    <w:rsid w:val="0C930B8B"/>
    <w:rsid w:val="0CBA5558"/>
    <w:rsid w:val="0CC6479D"/>
    <w:rsid w:val="0CD361AE"/>
    <w:rsid w:val="0CD9474F"/>
    <w:rsid w:val="0CEF1DD4"/>
    <w:rsid w:val="0D193E25"/>
    <w:rsid w:val="0D1D2641"/>
    <w:rsid w:val="0D2D41AC"/>
    <w:rsid w:val="0D364901"/>
    <w:rsid w:val="0D3E2BC2"/>
    <w:rsid w:val="0D4E6308"/>
    <w:rsid w:val="0D511930"/>
    <w:rsid w:val="0D6E463D"/>
    <w:rsid w:val="0D93638B"/>
    <w:rsid w:val="0DAF5AF8"/>
    <w:rsid w:val="0DB83735"/>
    <w:rsid w:val="0DE46919"/>
    <w:rsid w:val="0DF65E24"/>
    <w:rsid w:val="0E165C5A"/>
    <w:rsid w:val="0E215250"/>
    <w:rsid w:val="0E415CE8"/>
    <w:rsid w:val="0E4D2492"/>
    <w:rsid w:val="0E650431"/>
    <w:rsid w:val="0EC51C3E"/>
    <w:rsid w:val="0ECC55BC"/>
    <w:rsid w:val="0ECD68A1"/>
    <w:rsid w:val="0F0710E1"/>
    <w:rsid w:val="0F120D4E"/>
    <w:rsid w:val="0F1D5312"/>
    <w:rsid w:val="0F587BBB"/>
    <w:rsid w:val="0F6018A7"/>
    <w:rsid w:val="0F97156B"/>
    <w:rsid w:val="0FA978A5"/>
    <w:rsid w:val="0FB5357C"/>
    <w:rsid w:val="1001579B"/>
    <w:rsid w:val="10141CD8"/>
    <w:rsid w:val="101A7974"/>
    <w:rsid w:val="103D6844"/>
    <w:rsid w:val="1056152C"/>
    <w:rsid w:val="108D6BDC"/>
    <w:rsid w:val="10B04615"/>
    <w:rsid w:val="10B564AE"/>
    <w:rsid w:val="10F17346"/>
    <w:rsid w:val="10F60360"/>
    <w:rsid w:val="110D108E"/>
    <w:rsid w:val="1117092B"/>
    <w:rsid w:val="112809FB"/>
    <w:rsid w:val="11384C16"/>
    <w:rsid w:val="113E11D1"/>
    <w:rsid w:val="114602AE"/>
    <w:rsid w:val="11512BB8"/>
    <w:rsid w:val="11685B05"/>
    <w:rsid w:val="11AF6357"/>
    <w:rsid w:val="11B91958"/>
    <w:rsid w:val="11CA59B9"/>
    <w:rsid w:val="11F77ECD"/>
    <w:rsid w:val="12042FE4"/>
    <w:rsid w:val="1205136C"/>
    <w:rsid w:val="125F6DBC"/>
    <w:rsid w:val="12656274"/>
    <w:rsid w:val="127D35B3"/>
    <w:rsid w:val="12934512"/>
    <w:rsid w:val="12D32F6F"/>
    <w:rsid w:val="12FF3426"/>
    <w:rsid w:val="132F24EA"/>
    <w:rsid w:val="139D1AD6"/>
    <w:rsid w:val="13AF75FF"/>
    <w:rsid w:val="13B401F1"/>
    <w:rsid w:val="13ED394E"/>
    <w:rsid w:val="1407788E"/>
    <w:rsid w:val="14157B94"/>
    <w:rsid w:val="141D110B"/>
    <w:rsid w:val="142D74CC"/>
    <w:rsid w:val="14565475"/>
    <w:rsid w:val="14AA1960"/>
    <w:rsid w:val="14FA6CA3"/>
    <w:rsid w:val="14FB6263"/>
    <w:rsid w:val="15035722"/>
    <w:rsid w:val="153D2BE9"/>
    <w:rsid w:val="154B5DAC"/>
    <w:rsid w:val="156B2FF9"/>
    <w:rsid w:val="15D31466"/>
    <w:rsid w:val="15FC0905"/>
    <w:rsid w:val="160944AB"/>
    <w:rsid w:val="16257519"/>
    <w:rsid w:val="163B6F9E"/>
    <w:rsid w:val="16421D82"/>
    <w:rsid w:val="168960C6"/>
    <w:rsid w:val="1692644F"/>
    <w:rsid w:val="16931DB3"/>
    <w:rsid w:val="169D6502"/>
    <w:rsid w:val="16A47360"/>
    <w:rsid w:val="16C06660"/>
    <w:rsid w:val="16E64EFA"/>
    <w:rsid w:val="16E87689"/>
    <w:rsid w:val="17150BFB"/>
    <w:rsid w:val="173F6C31"/>
    <w:rsid w:val="17501932"/>
    <w:rsid w:val="1766064E"/>
    <w:rsid w:val="177213C1"/>
    <w:rsid w:val="17793FC0"/>
    <w:rsid w:val="17B61944"/>
    <w:rsid w:val="17C5378A"/>
    <w:rsid w:val="17C67E95"/>
    <w:rsid w:val="17DD1B3D"/>
    <w:rsid w:val="17E157A6"/>
    <w:rsid w:val="180A5717"/>
    <w:rsid w:val="18276000"/>
    <w:rsid w:val="18313FA8"/>
    <w:rsid w:val="185233F5"/>
    <w:rsid w:val="18611D26"/>
    <w:rsid w:val="186231B5"/>
    <w:rsid w:val="1862413D"/>
    <w:rsid w:val="18933137"/>
    <w:rsid w:val="189E0B68"/>
    <w:rsid w:val="18BF44DB"/>
    <w:rsid w:val="18D04E9E"/>
    <w:rsid w:val="18D33550"/>
    <w:rsid w:val="19592C5D"/>
    <w:rsid w:val="19827BA3"/>
    <w:rsid w:val="19852BDB"/>
    <w:rsid w:val="198A18F4"/>
    <w:rsid w:val="19982894"/>
    <w:rsid w:val="199D17B2"/>
    <w:rsid w:val="19BE22AE"/>
    <w:rsid w:val="19EA2D1A"/>
    <w:rsid w:val="1A0772AB"/>
    <w:rsid w:val="1A150751"/>
    <w:rsid w:val="1A1D7568"/>
    <w:rsid w:val="1A3C6101"/>
    <w:rsid w:val="1A5F13D5"/>
    <w:rsid w:val="1AB13457"/>
    <w:rsid w:val="1AC71E4A"/>
    <w:rsid w:val="1AD87795"/>
    <w:rsid w:val="1ADC0AEE"/>
    <w:rsid w:val="1ADD291A"/>
    <w:rsid w:val="1AE91AD2"/>
    <w:rsid w:val="1AEF4F2F"/>
    <w:rsid w:val="1B072721"/>
    <w:rsid w:val="1B282499"/>
    <w:rsid w:val="1B317F33"/>
    <w:rsid w:val="1B3B029F"/>
    <w:rsid w:val="1B3B13F5"/>
    <w:rsid w:val="1B3D7BDF"/>
    <w:rsid w:val="1B473410"/>
    <w:rsid w:val="1B53692C"/>
    <w:rsid w:val="1BA8495C"/>
    <w:rsid w:val="1BB61DD9"/>
    <w:rsid w:val="1BE01F16"/>
    <w:rsid w:val="1C0E648D"/>
    <w:rsid w:val="1C1E1DC1"/>
    <w:rsid w:val="1C314A29"/>
    <w:rsid w:val="1C317C7E"/>
    <w:rsid w:val="1C5356EF"/>
    <w:rsid w:val="1C8B7974"/>
    <w:rsid w:val="1CB36944"/>
    <w:rsid w:val="1D16412B"/>
    <w:rsid w:val="1D1A0DBF"/>
    <w:rsid w:val="1D1E7745"/>
    <w:rsid w:val="1D2B0216"/>
    <w:rsid w:val="1D2D53EC"/>
    <w:rsid w:val="1D350C0D"/>
    <w:rsid w:val="1D3A7C22"/>
    <w:rsid w:val="1D3E3E4B"/>
    <w:rsid w:val="1D5B61E6"/>
    <w:rsid w:val="1D5F6F9E"/>
    <w:rsid w:val="1D7B5F47"/>
    <w:rsid w:val="1D917F0B"/>
    <w:rsid w:val="1D9259F6"/>
    <w:rsid w:val="1DA046A6"/>
    <w:rsid w:val="1DA85311"/>
    <w:rsid w:val="1DB774C0"/>
    <w:rsid w:val="1DCB6BF8"/>
    <w:rsid w:val="1E1B7164"/>
    <w:rsid w:val="1E431CAF"/>
    <w:rsid w:val="1E557791"/>
    <w:rsid w:val="1E64188F"/>
    <w:rsid w:val="1E666DE3"/>
    <w:rsid w:val="1E6F7F18"/>
    <w:rsid w:val="1E7148AD"/>
    <w:rsid w:val="1EA556AE"/>
    <w:rsid w:val="1EC60F40"/>
    <w:rsid w:val="1EEE706A"/>
    <w:rsid w:val="1EF56774"/>
    <w:rsid w:val="1F00136A"/>
    <w:rsid w:val="1F445432"/>
    <w:rsid w:val="1F4A3B9F"/>
    <w:rsid w:val="1F9048FC"/>
    <w:rsid w:val="1FA56D3B"/>
    <w:rsid w:val="1FF32162"/>
    <w:rsid w:val="2018173E"/>
    <w:rsid w:val="203B7048"/>
    <w:rsid w:val="204775B2"/>
    <w:rsid w:val="206A4C40"/>
    <w:rsid w:val="20A522BB"/>
    <w:rsid w:val="20B0162F"/>
    <w:rsid w:val="20E27E60"/>
    <w:rsid w:val="20F62E33"/>
    <w:rsid w:val="21304699"/>
    <w:rsid w:val="214E7870"/>
    <w:rsid w:val="215E4FAB"/>
    <w:rsid w:val="2165669B"/>
    <w:rsid w:val="216D5541"/>
    <w:rsid w:val="222258EE"/>
    <w:rsid w:val="223C36D7"/>
    <w:rsid w:val="223F1EE9"/>
    <w:rsid w:val="225A567E"/>
    <w:rsid w:val="22976AE8"/>
    <w:rsid w:val="22AF6AE8"/>
    <w:rsid w:val="22B86265"/>
    <w:rsid w:val="22BE3CB0"/>
    <w:rsid w:val="22D91F81"/>
    <w:rsid w:val="22E27BFF"/>
    <w:rsid w:val="232E269F"/>
    <w:rsid w:val="23736E8D"/>
    <w:rsid w:val="2385319A"/>
    <w:rsid w:val="23856B46"/>
    <w:rsid w:val="239973DA"/>
    <w:rsid w:val="23A8156D"/>
    <w:rsid w:val="23C37A6E"/>
    <w:rsid w:val="23CE57AE"/>
    <w:rsid w:val="23EB789A"/>
    <w:rsid w:val="242B5917"/>
    <w:rsid w:val="243741D6"/>
    <w:rsid w:val="243B00FC"/>
    <w:rsid w:val="245528AC"/>
    <w:rsid w:val="247D5AA8"/>
    <w:rsid w:val="24A417BB"/>
    <w:rsid w:val="24AE3B6A"/>
    <w:rsid w:val="24B40631"/>
    <w:rsid w:val="24CC07A8"/>
    <w:rsid w:val="24E56989"/>
    <w:rsid w:val="24EA6013"/>
    <w:rsid w:val="250066FE"/>
    <w:rsid w:val="25373087"/>
    <w:rsid w:val="253C0BC9"/>
    <w:rsid w:val="25501B0F"/>
    <w:rsid w:val="25A94438"/>
    <w:rsid w:val="25DD42B4"/>
    <w:rsid w:val="25ED42A4"/>
    <w:rsid w:val="260332E1"/>
    <w:rsid w:val="2604237F"/>
    <w:rsid w:val="26123EE1"/>
    <w:rsid w:val="26170CF9"/>
    <w:rsid w:val="26185677"/>
    <w:rsid w:val="261E4108"/>
    <w:rsid w:val="2621768A"/>
    <w:rsid w:val="26257636"/>
    <w:rsid w:val="26292A28"/>
    <w:rsid w:val="262E2431"/>
    <w:rsid w:val="26427C13"/>
    <w:rsid w:val="265A438E"/>
    <w:rsid w:val="26BC38BA"/>
    <w:rsid w:val="26D174E0"/>
    <w:rsid w:val="2718248E"/>
    <w:rsid w:val="271A44C8"/>
    <w:rsid w:val="27215E65"/>
    <w:rsid w:val="27284277"/>
    <w:rsid w:val="272D1A5A"/>
    <w:rsid w:val="2742136D"/>
    <w:rsid w:val="276D4EBD"/>
    <w:rsid w:val="276D624A"/>
    <w:rsid w:val="277527C9"/>
    <w:rsid w:val="279B0BE0"/>
    <w:rsid w:val="27AC55ED"/>
    <w:rsid w:val="27B65134"/>
    <w:rsid w:val="27BD7CB3"/>
    <w:rsid w:val="27F81F2C"/>
    <w:rsid w:val="282A2FBF"/>
    <w:rsid w:val="284D4CE1"/>
    <w:rsid w:val="28884F3F"/>
    <w:rsid w:val="288A3A6E"/>
    <w:rsid w:val="289B53DE"/>
    <w:rsid w:val="28EA36A0"/>
    <w:rsid w:val="290A4F8B"/>
    <w:rsid w:val="29230D98"/>
    <w:rsid w:val="294A75C0"/>
    <w:rsid w:val="29734AA2"/>
    <w:rsid w:val="29975184"/>
    <w:rsid w:val="29B27D0E"/>
    <w:rsid w:val="29B60371"/>
    <w:rsid w:val="29B96DA4"/>
    <w:rsid w:val="29EB44B2"/>
    <w:rsid w:val="2A560798"/>
    <w:rsid w:val="2A6B032A"/>
    <w:rsid w:val="2A7864C1"/>
    <w:rsid w:val="2A8D307C"/>
    <w:rsid w:val="2A9F612F"/>
    <w:rsid w:val="2AAF2EFC"/>
    <w:rsid w:val="2AF66151"/>
    <w:rsid w:val="2AF9698D"/>
    <w:rsid w:val="2B09048E"/>
    <w:rsid w:val="2B1400CF"/>
    <w:rsid w:val="2B1701F4"/>
    <w:rsid w:val="2B4138A5"/>
    <w:rsid w:val="2B843AC4"/>
    <w:rsid w:val="2B8A15BC"/>
    <w:rsid w:val="2B947C37"/>
    <w:rsid w:val="2B960392"/>
    <w:rsid w:val="2BAC24A6"/>
    <w:rsid w:val="2BAC6B19"/>
    <w:rsid w:val="2BC75583"/>
    <w:rsid w:val="2BEB29E9"/>
    <w:rsid w:val="2C336D31"/>
    <w:rsid w:val="2C337AAD"/>
    <w:rsid w:val="2C461694"/>
    <w:rsid w:val="2C4E6FBB"/>
    <w:rsid w:val="2C623D16"/>
    <w:rsid w:val="2C630866"/>
    <w:rsid w:val="2C6C5779"/>
    <w:rsid w:val="2C721548"/>
    <w:rsid w:val="2C875270"/>
    <w:rsid w:val="2CB23F2C"/>
    <w:rsid w:val="2CD27B8C"/>
    <w:rsid w:val="2CD813D3"/>
    <w:rsid w:val="2CE74F46"/>
    <w:rsid w:val="2D084BDC"/>
    <w:rsid w:val="2D266300"/>
    <w:rsid w:val="2D430728"/>
    <w:rsid w:val="2D470279"/>
    <w:rsid w:val="2D67146E"/>
    <w:rsid w:val="2D786683"/>
    <w:rsid w:val="2D962B7E"/>
    <w:rsid w:val="2DED5358"/>
    <w:rsid w:val="2DF410A0"/>
    <w:rsid w:val="2DF64E15"/>
    <w:rsid w:val="2DF802B3"/>
    <w:rsid w:val="2E1F33B7"/>
    <w:rsid w:val="2E2B674B"/>
    <w:rsid w:val="2E3B4D8F"/>
    <w:rsid w:val="2E690389"/>
    <w:rsid w:val="2E705D56"/>
    <w:rsid w:val="2E93460F"/>
    <w:rsid w:val="2EF354FE"/>
    <w:rsid w:val="2F0371B0"/>
    <w:rsid w:val="2F6273BF"/>
    <w:rsid w:val="2F7560D1"/>
    <w:rsid w:val="2F822E24"/>
    <w:rsid w:val="2F90501C"/>
    <w:rsid w:val="2FE95C27"/>
    <w:rsid w:val="2FFC638E"/>
    <w:rsid w:val="302B23F0"/>
    <w:rsid w:val="302D1C95"/>
    <w:rsid w:val="303F1F52"/>
    <w:rsid w:val="30600FDD"/>
    <w:rsid w:val="30656F02"/>
    <w:rsid w:val="308C0468"/>
    <w:rsid w:val="309D2590"/>
    <w:rsid w:val="30A51AD1"/>
    <w:rsid w:val="30FD6FF5"/>
    <w:rsid w:val="3131082A"/>
    <w:rsid w:val="313425ED"/>
    <w:rsid w:val="313F1551"/>
    <w:rsid w:val="31A937D0"/>
    <w:rsid w:val="31B52536"/>
    <w:rsid w:val="31CC7FFB"/>
    <w:rsid w:val="31D04654"/>
    <w:rsid w:val="31E23768"/>
    <w:rsid w:val="31E63009"/>
    <w:rsid w:val="31E92B10"/>
    <w:rsid w:val="31F26519"/>
    <w:rsid w:val="322D122B"/>
    <w:rsid w:val="322E4F53"/>
    <w:rsid w:val="326D247F"/>
    <w:rsid w:val="32A75BAB"/>
    <w:rsid w:val="32D71E4A"/>
    <w:rsid w:val="330E4AA6"/>
    <w:rsid w:val="3327108A"/>
    <w:rsid w:val="33370807"/>
    <w:rsid w:val="3347396E"/>
    <w:rsid w:val="334808EA"/>
    <w:rsid w:val="337803D8"/>
    <w:rsid w:val="3425303A"/>
    <w:rsid w:val="343C3638"/>
    <w:rsid w:val="347B3F37"/>
    <w:rsid w:val="34AE330A"/>
    <w:rsid w:val="34BE525E"/>
    <w:rsid w:val="34F84A14"/>
    <w:rsid w:val="34FD55E0"/>
    <w:rsid w:val="350C652A"/>
    <w:rsid w:val="351729F7"/>
    <w:rsid w:val="355A1802"/>
    <w:rsid w:val="35842B40"/>
    <w:rsid w:val="35B25B7D"/>
    <w:rsid w:val="35C0722D"/>
    <w:rsid w:val="35C91C5E"/>
    <w:rsid w:val="35D16583"/>
    <w:rsid w:val="3642530D"/>
    <w:rsid w:val="36436038"/>
    <w:rsid w:val="36546FA8"/>
    <w:rsid w:val="367C374B"/>
    <w:rsid w:val="36876A24"/>
    <w:rsid w:val="36A106FF"/>
    <w:rsid w:val="36A91052"/>
    <w:rsid w:val="37074A11"/>
    <w:rsid w:val="3772755D"/>
    <w:rsid w:val="37941B92"/>
    <w:rsid w:val="379C15D3"/>
    <w:rsid w:val="37AF2962"/>
    <w:rsid w:val="37C026C0"/>
    <w:rsid w:val="37D0665A"/>
    <w:rsid w:val="38054D85"/>
    <w:rsid w:val="38146F9B"/>
    <w:rsid w:val="38436ADE"/>
    <w:rsid w:val="38AC1CC4"/>
    <w:rsid w:val="390455C8"/>
    <w:rsid w:val="392711B7"/>
    <w:rsid w:val="394043E4"/>
    <w:rsid w:val="394A00C4"/>
    <w:rsid w:val="396474D8"/>
    <w:rsid w:val="39704603"/>
    <w:rsid w:val="399A2295"/>
    <w:rsid w:val="39D73083"/>
    <w:rsid w:val="39F3552C"/>
    <w:rsid w:val="39F914B3"/>
    <w:rsid w:val="3A076BBA"/>
    <w:rsid w:val="3A0D1C58"/>
    <w:rsid w:val="3A136626"/>
    <w:rsid w:val="3A2E4CC2"/>
    <w:rsid w:val="3A486CF8"/>
    <w:rsid w:val="3A66264B"/>
    <w:rsid w:val="3AD136DE"/>
    <w:rsid w:val="3B456C6F"/>
    <w:rsid w:val="3B494BA9"/>
    <w:rsid w:val="3B6A0C9F"/>
    <w:rsid w:val="3B884EC9"/>
    <w:rsid w:val="3B8D4D19"/>
    <w:rsid w:val="3BA03824"/>
    <w:rsid w:val="3BD020C5"/>
    <w:rsid w:val="3C0071B8"/>
    <w:rsid w:val="3C3814A4"/>
    <w:rsid w:val="3C4533E3"/>
    <w:rsid w:val="3C604625"/>
    <w:rsid w:val="3CA05622"/>
    <w:rsid w:val="3CB27731"/>
    <w:rsid w:val="3CB55E96"/>
    <w:rsid w:val="3CDC3953"/>
    <w:rsid w:val="3CE443F3"/>
    <w:rsid w:val="3D00259E"/>
    <w:rsid w:val="3D0C105D"/>
    <w:rsid w:val="3D80093F"/>
    <w:rsid w:val="3D9520B5"/>
    <w:rsid w:val="3D9C10B4"/>
    <w:rsid w:val="3DA9522F"/>
    <w:rsid w:val="3DC908C6"/>
    <w:rsid w:val="3E5102CA"/>
    <w:rsid w:val="3E64274E"/>
    <w:rsid w:val="3E9075B2"/>
    <w:rsid w:val="3EA730B9"/>
    <w:rsid w:val="3ED43F1F"/>
    <w:rsid w:val="3EF04AEB"/>
    <w:rsid w:val="3F0F69F4"/>
    <w:rsid w:val="3F1009E8"/>
    <w:rsid w:val="3F3B517E"/>
    <w:rsid w:val="3F9D1749"/>
    <w:rsid w:val="3F9E5C9A"/>
    <w:rsid w:val="3FA0335B"/>
    <w:rsid w:val="3FF06B46"/>
    <w:rsid w:val="3FF838DD"/>
    <w:rsid w:val="3FFC1470"/>
    <w:rsid w:val="3FFF0F4C"/>
    <w:rsid w:val="401459E2"/>
    <w:rsid w:val="401A097A"/>
    <w:rsid w:val="402B188B"/>
    <w:rsid w:val="403E1E5B"/>
    <w:rsid w:val="408D38DE"/>
    <w:rsid w:val="40A1023E"/>
    <w:rsid w:val="40B64517"/>
    <w:rsid w:val="40BA4DAE"/>
    <w:rsid w:val="40FE1E1B"/>
    <w:rsid w:val="41006500"/>
    <w:rsid w:val="413C236F"/>
    <w:rsid w:val="4171143D"/>
    <w:rsid w:val="417B61D8"/>
    <w:rsid w:val="41973131"/>
    <w:rsid w:val="41C74FFE"/>
    <w:rsid w:val="421B2ECC"/>
    <w:rsid w:val="42624102"/>
    <w:rsid w:val="426376A0"/>
    <w:rsid w:val="426E55B3"/>
    <w:rsid w:val="4280555E"/>
    <w:rsid w:val="42A87727"/>
    <w:rsid w:val="42B100E1"/>
    <w:rsid w:val="42CD1A7E"/>
    <w:rsid w:val="42D515B0"/>
    <w:rsid w:val="42E01C7B"/>
    <w:rsid w:val="430D6BDD"/>
    <w:rsid w:val="430F35F3"/>
    <w:rsid w:val="431D7965"/>
    <w:rsid w:val="43581E5B"/>
    <w:rsid w:val="436718F8"/>
    <w:rsid w:val="439523B0"/>
    <w:rsid w:val="43953AB7"/>
    <w:rsid w:val="4395585E"/>
    <w:rsid w:val="43A507CE"/>
    <w:rsid w:val="43BD6441"/>
    <w:rsid w:val="43F90F3B"/>
    <w:rsid w:val="43FF7BD1"/>
    <w:rsid w:val="440230F8"/>
    <w:rsid w:val="44313ADA"/>
    <w:rsid w:val="44502C6E"/>
    <w:rsid w:val="44655966"/>
    <w:rsid w:val="44732E22"/>
    <w:rsid w:val="448654A3"/>
    <w:rsid w:val="44EC7F57"/>
    <w:rsid w:val="456D6971"/>
    <w:rsid w:val="457134D6"/>
    <w:rsid w:val="45AF3BB4"/>
    <w:rsid w:val="45C707CE"/>
    <w:rsid w:val="45FA1099"/>
    <w:rsid w:val="46050A63"/>
    <w:rsid w:val="460D747C"/>
    <w:rsid w:val="462A6BF3"/>
    <w:rsid w:val="4641173A"/>
    <w:rsid w:val="466035F5"/>
    <w:rsid w:val="467A6960"/>
    <w:rsid w:val="46CB25FB"/>
    <w:rsid w:val="46E73A9D"/>
    <w:rsid w:val="47187E9A"/>
    <w:rsid w:val="473E40AB"/>
    <w:rsid w:val="4744627B"/>
    <w:rsid w:val="47456547"/>
    <w:rsid w:val="47B81E47"/>
    <w:rsid w:val="47C20D98"/>
    <w:rsid w:val="48483F7F"/>
    <w:rsid w:val="4853644C"/>
    <w:rsid w:val="48697D37"/>
    <w:rsid w:val="486D0579"/>
    <w:rsid w:val="488F3F8D"/>
    <w:rsid w:val="48904946"/>
    <w:rsid w:val="489E4331"/>
    <w:rsid w:val="48A77428"/>
    <w:rsid w:val="48F701F3"/>
    <w:rsid w:val="490546FB"/>
    <w:rsid w:val="490D4385"/>
    <w:rsid w:val="491A76CE"/>
    <w:rsid w:val="492F0336"/>
    <w:rsid w:val="496B053C"/>
    <w:rsid w:val="498A6BB7"/>
    <w:rsid w:val="498E2FDD"/>
    <w:rsid w:val="499758D7"/>
    <w:rsid w:val="499A1FBF"/>
    <w:rsid w:val="49A86CA7"/>
    <w:rsid w:val="49AE1E44"/>
    <w:rsid w:val="49B465E4"/>
    <w:rsid w:val="49D36B22"/>
    <w:rsid w:val="4A2D795D"/>
    <w:rsid w:val="4A5339DF"/>
    <w:rsid w:val="4A786F8C"/>
    <w:rsid w:val="4ABD1827"/>
    <w:rsid w:val="4AD51900"/>
    <w:rsid w:val="4AE75E3F"/>
    <w:rsid w:val="4B1F151D"/>
    <w:rsid w:val="4B4E43C2"/>
    <w:rsid w:val="4B9E1622"/>
    <w:rsid w:val="4B9E5499"/>
    <w:rsid w:val="4BAA7DA5"/>
    <w:rsid w:val="4BD73E5B"/>
    <w:rsid w:val="4BDC61D3"/>
    <w:rsid w:val="4C30340E"/>
    <w:rsid w:val="4C3F09F6"/>
    <w:rsid w:val="4C577947"/>
    <w:rsid w:val="4CAA56B2"/>
    <w:rsid w:val="4CAA5EE5"/>
    <w:rsid w:val="4CB40769"/>
    <w:rsid w:val="4CB81C26"/>
    <w:rsid w:val="4CD66B95"/>
    <w:rsid w:val="4D1B13DF"/>
    <w:rsid w:val="4D345AFC"/>
    <w:rsid w:val="4D66747F"/>
    <w:rsid w:val="4D8957DD"/>
    <w:rsid w:val="4D98627E"/>
    <w:rsid w:val="4DB57276"/>
    <w:rsid w:val="4DB608B0"/>
    <w:rsid w:val="4DC2344C"/>
    <w:rsid w:val="4DCC5302"/>
    <w:rsid w:val="4DD27F78"/>
    <w:rsid w:val="4DD95517"/>
    <w:rsid w:val="4E1A100D"/>
    <w:rsid w:val="4E265F35"/>
    <w:rsid w:val="4E2C43E6"/>
    <w:rsid w:val="4E4F07F9"/>
    <w:rsid w:val="4E581AB8"/>
    <w:rsid w:val="4E7960B8"/>
    <w:rsid w:val="4E80380F"/>
    <w:rsid w:val="4E883291"/>
    <w:rsid w:val="4E8B2172"/>
    <w:rsid w:val="4E8B7D73"/>
    <w:rsid w:val="4E944E04"/>
    <w:rsid w:val="4E9D3F55"/>
    <w:rsid w:val="4EC74D11"/>
    <w:rsid w:val="4ED34C95"/>
    <w:rsid w:val="4EF0430E"/>
    <w:rsid w:val="4F0066A1"/>
    <w:rsid w:val="4F460EAC"/>
    <w:rsid w:val="4F6039D5"/>
    <w:rsid w:val="4F6A65DF"/>
    <w:rsid w:val="4FA55E13"/>
    <w:rsid w:val="4FA92537"/>
    <w:rsid w:val="4FB6225D"/>
    <w:rsid w:val="4FD16883"/>
    <w:rsid w:val="4FE71F4D"/>
    <w:rsid w:val="4FEE547C"/>
    <w:rsid w:val="500451B4"/>
    <w:rsid w:val="50513DBE"/>
    <w:rsid w:val="50634346"/>
    <w:rsid w:val="506E0E2C"/>
    <w:rsid w:val="50A12BDE"/>
    <w:rsid w:val="512831A6"/>
    <w:rsid w:val="51287539"/>
    <w:rsid w:val="513349FD"/>
    <w:rsid w:val="513A07B6"/>
    <w:rsid w:val="513A2D43"/>
    <w:rsid w:val="51505520"/>
    <w:rsid w:val="51530094"/>
    <w:rsid w:val="51545314"/>
    <w:rsid w:val="515C0C04"/>
    <w:rsid w:val="51646D1A"/>
    <w:rsid w:val="51BD1681"/>
    <w:rsid w:val="51BE54FC"/>
    <w:rsid w:val="51C50C88"/>
    <w:rsid w:val="51C57BB6"/>
    <w:rsid w:val="51CF3A07"/>
    <w:rsid w:val="51D171E5"/>
    <w:rsid w:val="51D25FE1"/>
    <w:rsid w:val="51E1750A"/>
    <w:rsid w:val="51E33E74"/>
    <w:rsid w:val="520B7B24"/>
    <w:rsid w:val="521C0BB6"/>
    <w:rsid w:val="521C3A78"/>
    <w:rsid w:val="52233414"/>
    <w:rsid w:val="52363A6E"/>
    <w:rsid w:val="523A133F"/>
    <w:rsid w:val="52736C91"/>
    <w:rsid w:val="5293771F"/>
    <w:rsid w:val="529B64F9"/>
    <w:rsid w:val="52AB57B0"/>
    <w:rsid w:val="52CB5710"/>
    <w:rsid w:val="52D16BF7"/>
    <w:rsid w:val="53072F3F"/>
    <w:rsid w:val="53301796"/>
    <w:rsid w:val="535378DE"/>
    <w:rsid w:val="539E0210"/>
    <w:rsid w:val="53A25C1A"/>
    <w:rsid w:val="53A63C5B"/>
    <w:rsid w:val="53C26E85"/>
    <w:rsid w:val="542E491F"/>
    <w:rsid w:val="543B6AE0"/>
    <w:rsid w:val="546062BA"/>
    <w:rsid w:val="546C4910"/>
    <w:rsid w:val="547D3B66"/>
    <w:rsid w:val="54922220"/>
    <w:rsid w:val="549B7165"/>
    <w:rsid w:val="54D53B92"/>
    <w:rsid w:val="54E925B3"/>
    <w:rsid w:val="55002B5A"/>
    <w:rsid w:val="556C3448"/>
    <w:rsid w:val="559A60A0"/>
    <w:rsid w:val="56426652"/>
    <w:rsid w:val="56535110"/>
    <w:rsid w:val="566057C7"/>
    <w:rsid w:val="566A15A8"/>
    <w:rsid w:val="569354B1"/>
    <w:rsid w:val="569F2C55"/>
    <w:rsid w:val="56B471B4"/>
    <w:rsid w:val="56BC5B54"/>
    <w:rsid w:val="56C13B29"/>
    <w:rsid w:val="56FE35BF"/>
    <w:rsid w:val="57064EA9"/>
    <w:rsid w:val="571C41A7"/>
    <w:rsid w:val="57305B52"/>
    <w:rsid w:val="575631D2"/>
    <w:rsid w:val="5762594A"/>
    <w:rsid w:val="576D7290"/>
    <w:rsid w:val="57AA1FE0"/>
    <w:rsid w:val="57C33473"/>
    <w:rsid w:val="57C872FB"/>
    <w:rsid w:val="57EB4109"/>
    <w:rsid w:val="580751C1"/>
    <w:rsid w:val="58471CAD"/>
    <w:rsid w:val="585574D5"/>
    <w:rsid w:val="58582053"/>
    <w:rsid w:val="58680E1B"/>
    <w:rsid w:val="58705FC5"/>
    <w:rsid w:val="58745084"/>
    <w:rsid w:val="587D1CE7"/>
    <w:rsid w:val="59076E25"/>
    <w:rsid w:val="591C32FA"/>
    <w:rsid w:val="592E4D8C"/>
    <w:rsid w:val="59321703"/>
    <w:rsid w:val="594930E9"/>
    <w:rsid w:val="5959534D"/>
    <w:rsid w:val="596B460B"/>
    <w:rsid w:val="59A66247"/>
    <w:rsid w:val="59AD0976"/>
    <w:rsid w:val="59BA7A63"/>
    <w:rsid w:val="59C5423B"/>
    <w:rsid w:val="59EE166C"/>
    <w:rsid w:val="59EF00DD"/>
    <w:rsid w:val="59FA3DCB"/>
    <w:rsid w:val="5A4A011A"/>
    <w:rsid w:val="5A9B5664"/>
    <w:rsid w:val="5AAF1D42"/>
    <w:rsid w:val="5AB56805"/>
    <w:rsid w:val="5AC926ED"/>
    <w:rsid w:val="5AD672EA"/>
    <w:rsid w:val="5AE62910"/>
    <w:rsid w:val="5AF654A7"/>
    <w:rsid w:val="5B1A64ED"/>
    <w:rsid w:val="5B2E25C1"/>
    <w:rsid w:val="5B526DEA"/>
    <w:rsid w:val="5B93240F"/>
    <w:rsid w:val="5BA814CE"/>
    <w:rsid w:val="5BAD3376"/>
    <w:rsid w:val="5BB54638"/>
    <w:rsid w:val="5BC648F3"/>
    <w:rsid w:val="5C321CD1"/>
    <w:rsid w:val="5C431A93"/>
    <w:rsid w:val="5C4F1CBB"/>
    <w:rsid w:val="5C806A3E"/>
    <w:rsid w:val="5C8A3E79"/>
    <w:rsid w:val="5CC905AC"/>
    <w:rsid w:val="5CDA3CA1"/>
    <w:rsid w:val="5CE65D3B"/>
    <w:rsid w:val="5CEA2F22"/>
    <w:rsid w:val="5CFC4E0B"/>
    <w:rsid w:val="5D301B5E"/>
    <w:rsid w:val="5D537D35"/>
    <w:rsid w:val="5D6338BC"/>
    <w:rsid w:val="5D737B74"/>
    <w:rsid w:val="5D851D93"/>
    <w:rsid w:val="5DB52ED4"/>
    <w:rsid w:val="5DC3245D"/>
    <w:rsid w:val="5DD2224E"/>
    <w:rsid w:val="5DFB2052"/>
    <w:rsid w:val="5E111628"/>
    <w:rsid w:val="5E2249E7"/>
    <w:rsid w:val="5E2A0012"/>
    <w:rsid w:val="5E3407B3"/>
    <w:rsid w:val="5E424B36"/>
    <w:rsid w:val="5E575074"/>
    <w:rsid w:val="5E6B289C"/>
    <w:rsid w:val="5E706ACF"/>
    <w:rsid w:val="5E771697"/>
    <w:rsid w:val="5E7720BA"/>
    <w:rsid w:val="5E9C653C"/>
    <w:rsid w:val="5EA3001C"/>
    <w:rsid w:val="5ECB712B"/>
    <w:rsid w:val="5EE13914"/>
    <w:rsid w:val="5EFA66AB"/>
    <w:rsid w:val="5F0251E8"/>
    <w:rsid w:val="5F095D8A"/>
    <w:rsid w:val="5F0B2DAF"/>
    <w:rsid w:val="5F135C40"/>
    <w:rsid w:val="5F3563C3"/>
    <w:rsid w:val="5F4D5468"/>
    <w:rsid w:val="5FC25AB6"/>
    <w:rsid w:val="5FC363A7"/>
    <w:rsid w:val="5FD96164"/>
    <w:rsid w:val="600C03BB"/>
    <w:rsid w:val="60212DA9"/>
    <w:rsid w:val="60215989"/>
    <w:rsid w:val="602C59C3"/>
    <w:rsid w:val="60506531"/>
    <w:rsid w:val="607118EE"/>
    <w:rsid w:val="60C277F5"/>
    <w:rsid w:val="60E73EB1"/>
    <w:rsid w:val="60FF253F"/>
    <w:rsid w:val="610B655F"/>
    <w:rsid w:val="611067EB"/>
    <w:rsid w:val="611B4D6D"/>
    <w:rsid w:val="616552B2"/>
    <w:rsid w:val="618417B4"/>
    <w:rsid w:val="61931EF3"/>
    <w:rsid w:val="619839DD"/>
    <w:rsid w:val="619E6C16"/>
    <w:rsid w:val="61AE3AC8"/>
    <w:rsid w:val="61C13BFA"/>
    <w:rsid w:val="61CA2071"/>
    <w:rsid w:val="61D01336"/>
    <w:rsid w:val="61F544E2"/>
    <w:rsid w:val="6201592A"/>
    <w:rsid w:val="62084976"/>
    <w:rsid w:val="621363A6"/>
    <w:rsid w:val="622760E3"/>
    <w:rsid w:val="622D2C02"/>
    <w:rsid w:val="6233790A"/>
    <w:rsid w:val="62523F0C"/>
    <w:rsid w:val="62687D5B"/>
    <w:rsid w:val="62701383"/>
    <w:rsid w:val="62752629"/>
    <w:rsid w:val="627D4BC8"/>
    <w:rsid w:val="62871E0E"/>
    <w:rsid w:val="629501CE"/>
    <w:rsid w:val="62A220EF"/>
    <w:rsid w:val="62D17084"/>
    <w:rsid w:val="62E223F2"/>
    <w:rsid w:val="62FC405D"/>
    <w:rsid w:val="63175D3F"/>
    <w:rsid w:val="632F59FF"/>
    <w:rsid w:val="634B337E"/>
    <w:rsid w:val="636C0CDB"/>
    <w:rsid w:val="63772071"/>
    <w:rsid w:val="63B72EE5"/>
    <w:rsid w:val="63ED50B6"/>
    <w:rsid w:val="640763BE"/>
    <w:rsid w:val="64416D9B"/>
    <w:rsid w:val="64761778"/>
    <w:rsid w:val="647A3012"/>
    <w:rsid w:val="64873E0F"/>
    <w:rsid w:val="64B256F5"/>
    <w:rsid w:val="64C70A52"/>
    <w:rsid w:val="64E300E8"/>
    <w:rsid w:val="64F14070"/>
    <w:rsid w:val="6540192B"/>
    <w:rsid w:val="654F54B3"/>
    <w:rsid w:val="65695672"/>
    <w:rsid w:val="656F2B35"/>
    <w:rsid w:val="65C12820"/>
    <w:rsid w:val="661659C4"/>
    <w:rsid w:val="66457067"/>
    <w:rsid w:val="666D35AE"/>
    <w:rsid w:val="6673247C"/>
    <w:rsid w:val="668B7BF2"/>
    <w:rsid w:val="669C0C38"/>
    <w:rsid w:val="66F7206B"/>
    <w:rsid w:val="66FB6A7C"/>
    <w:rsid w:val="674404A6"/>
    <w:rsid w:val="674D23CD"/>
    <w:rsid w:val="67520465"/>
    <w:rsid w:val="67526E31"/>
    <w:rsid w:val="67786815"/>
    <w:rsid w:val="67897AF0"/>
    <w:rsid w:val="67D16432"/>
    <w:rsid w:val="67EB1D0F"/>
    <w:rsid w:val="67ED5E98"/>
    <w:rsid w:val="67F93045"/>
    <w:rsid w:val="68030C59"/>
    <w:rsid w:val="68053CDC"/>
    <w:rsid w:val="68190173"/>
    <w:rsid w:val="683315F2"/>
    <w:rsid w:val="68384F8F"/>
    <w:rsid w:val="685346F8"/>
    <w:rsid w:val="685A600A"/>
    <w:rsid w:val="685E7E08"/>
    <w:rsid w:val="68732318"/>
    <w:rsid w:val="68825E19"/>
    <w:rsid w:val="688F22C8"/>
    <w:rsid w:val="68DC128B"/>
    <w:rsid w:val="68F24AF6"/>
    <w:rsid w:val="691A62C6"/>
    <w:rsid w:val="691C603D"/>
    <w:rsid w:val="69705AF8"/>
    <w:rsid w:val="697344C0"/>
    <w:rsid w:val="698A1A2A"/>
    <w:rsid w:val="699F4416"/>
    <w:rsid w:val="69D7212A"/>
    <w:rsid w:val="69FD776F"/>
    <w:rsid w:val="6A4643CF"/>
    <w:rsid w:val="6A4928BD"/>
    <w:rsid w:val="6A6B044D"/>
    <w:rsid w:val="6A8C371C"/>
    <w:rsid w:val="6A9034D2"/>
    <w:rsid w:val="6AA84FFB"/>
    <w:rsid w:val="6AF771C8"/>
    <w:rsid w:val="6AFA6964"/>
    <w:rsid w:val="6B001842"/>
    <w:rsid w:val="6B01423D"/>
    <w:rsid w:val="6B0A2AF3"/>
    <w:rsid w:val="6B214BBE"/>
    <w:rsid w:val="6B565AA8"/>
    <w:rsid w:val="6B5748FF"/>
    <w:rsid w:val="6B7B2B55"/>
    <w:rsid w:val="6B9F0C46"/>
    <w:rsid w:val="6BC321EF"/>
    <w:rsid w:val="6BD41082"/>
    <w:rsid w:val="6BE43EF7"/>
    <w:rsid w:val="6C1C58EB"/>
    <w:rsid w:val="6C2B64B6"/>
    <w:rsid w:val="6C4B06A2"/>
    <w:rsid w:val="6C6555E3"/>
    <w:rsid w:val="6C6F1CAD"/>
    <w:rsid w:val="6C8501AE"/>
    <w:rsid w:val="6CA060FB"/>
    <w:rsid w:val="6CBD09C7"/>
    <w:rsid w:val="6D2263C3"/>
    <w:rsid w:val="6D357968"/>
    <w:rsid w:val="6D531B89"/>
    <w:rsid w:val="6D7A6056"/>
    <w:rsid w:val="6D81791D"/>
    <w:rsid w:val="6D8212B7"/>
    <w:rsid w:val="6D830E12"/>
    <w:rsid w:val="6DB91241"/>
    <w:rsid w:val="6DE366CA"/>
    <w:rsid w:val="6DEF1072"/>
    <w:rsid w:val="6DF66873"/>
    <w:rsid w:val="6DF87BD4"/>
    <w:rsid w:val="6DFE5E41"/>
    <w:rsid w:val="6E027CA2"/>
    <w:rsid w:val="6E115D2C"/>
    <w:rsid w:val="6E3423AA"/>
    <w:rsid w:val="6E9A5546"/>
    <w:rsid w:val="6EE27C76"/>
    <w:rsid w:val="6EE946BF"/>
    <w:rsid w:val="6EF13F81"/>
    <w:rsid w:val="6F0F3454"/>
    <w:rsid w:val="6F3F4000"/>
    <w:rsid w:val="6F4469B9"/>
    <w:rsid w:val="6F5336E4"/>
    <w:rsid w:val="6F5B58A9"/>
    <w:rsid w:val="6F7870DC"/>
    <w:rsid w:val="6F953F74"/>
    <w:rsid w:val="7014078E"/>
    <w:rsid w:val="703062F3"/>
    <w:rsid w:val="706E1F45"/>
    <w:rsid w:val="706F49DA"/>
    <w:rsid w:val="7071160C"/>
    <w:rsid w:val="709F2080"/>
    <w:rsid w:val="70A2025E"/>
    <w:rsid w:val="70A30984"/>
    <w:rsid w:val="70D41C98"/>
    <w:rsid w:val="70E819EC"/>
    <w:rsid w:val="70F02008"/>
    <w:rsid w:val="70F14C5F"/>
    <w:rsid w:val="712C4D88"/>
    <w:rsid w:val="7132631C"/>
    <w:rsid w:val="71540D31"/>
    <w:rsid w:val="717E1969"/>
    <w:rsid w:val="7184468B"/>
    <w:rsid w:val="71BB560F"/>
    <w:rsid w:val="71DA1C38"/>
    <w:rsid w:val="71E05DC1"/>
    <w:rsid w:val="71F3032E"/>
    <w:rsid w:val="721026A7"/>
    <w:rsid w:val="721C3518"/>
    <w:rsid w:val="721E66BD"/>
    <w:rsid w:val="723104CD"/>
    <w:rsid w:val="72536B56"/>
    <w:rsid w:val="72787E4E"/>
    <w:rsid w:val="72A27B87"/>
    <w:rsid w:val="72C3452E"/>
    <w:rsid w:val="72F70913"/>
    <w:rsid w:val="732377F9"/>
    <w:rsid w:val="73AA2F3F"/>
    <w:rsid w:val="73DC55C9"/>
    <w:rsid w:val="73E412FE"/>
    <w:rsid w:val="73EF726A"/>
    <w:rsid w:val="74115BC8"/>
    <w:rsid w:val="741268A9"/>
    <w:rsid w:val="741369A5"/>
    <w:rsid w:val="743B1481"/>
    <w:rsid w:val="74435A34"/>
    <w:rsid w:val="74657F16"/>
    <w:rsid w:val="74675EF3"/>
    <w:rsid w:val="7487555F"/>
    <w:rsid w:val="74A1707C"/>
    <w:rsid w:val="74BD16B9"/>
    <w:rsid w:val="750521E8"/>
    <w:rsid w:val="751029E3"/>
    <w:rsid w:val="75340FED"/>
    <w:rsid w:val="75364955"/>
    <w:rsid w:val="75396C52"/>
    <w:rsid w:val="753D4076"/>
    <w:rsid w:val="756D17F9"/>
    <w:rsid w:val="75792336"/>
    <w:rsid w:val="757A4188"/>
    <w:rsid w:val="757F3C79"/>
    <w:rsid w:val="759444D0"/>
    <w:rsid w:val="75B207EF"/>
    <w:rsid w:val="75B96A41"/>
    <w:rsid w:val="75DC6E28"/>
    <w:rsid w:val="75E05530"/>
    <w:rsid w:val="75EC2D5B"/>
    <w:rsid w:val="762A5C5B"/>
    <w:rsid w:val="76557DF7"/>
    <w:rsid w:val="767D12A6"/>
    <w:rsid w:val="76987D42"/>
    <w:rsid w:val="76992F80"/>
    <w:rsid w:val="76C52F8C"/>
    <w:rsid w:val="76D35374"/>
    <w:rsid w:val="76DB7DBB"/>
    <w:rsid w:val="76F740F6"/>
    <w:rsid w:val="76FC652B"/>
    <w:rsid w:val="7729054A"/>
    <w:rsid w:val="772F2752"/>
    <w:rsid w:val="77C667E4"/>
    <w:rsid w:val="77FA1E94"/>
    <w:rsid w:val="7835260B"/>
    <w:rsid w:val="78572C09"/>
    <w:rsid w:val="78AC2E84"/>
    <w:rsid w:val="78B26C4E"/>
    <w:rsid w:val="78DD3A7F"/>
    <w:rsid w:val="79292F6F"/>
    <w:rsid w:val="792B19AA"/>
    <w:rsid w:val="793F37F2"/>
    <w:rsid w:val="79AE1496"/>
    <w:rsid w:val="79F67585"/>
    <w:rsid w:val="7A032C19"/>
    <w:rsid w:val="7A1079B3"/>
    <w:rsid w:val="7A1507E2"/>
    <w:rsid w:val="7A193607"/>
    <w:rsid w:val="7A343E7F"/>
    <w:rsid w:val="7A3451CC"/>
    <w:rsid w:val="7A436A2A"/>
    <w:rsid w:val="7A52047C"/>
    <w:rsid w:val="7A6355C1"/>
    <w:rsid w:val="7A784B83"/>
    <w:rsid w:val="7A8F545A"/>
    <w:rsid w:val="7AB74CE8"/>
    <w:rsid w:val="7AC2517E"/>
    <w:rsid w:val="7AF449DF"/>
    <w:rsid w:val="7AF828C6"/>
    <w:rsid w:val="7B1468FA"/>
    <w:rsid w:val="7B284CE0"/>
    <w:rsid w:val="7B366E08"/>
    <w:rsid w:val="7B53662E"/>
    <w:rsid w:val="7B6A615D"/>
    <w:rsid w:val="7B7E5148"/>
    <w:rsid w:val="7B9D72A8"/>
    <w:rsid w:val="7BF90168"/>
    <w:rsid w:val="7C0E27F5"/>
    <w:rsid w:val="7C1B2050"/>
    <w:rsid w:val="7C3009AD"/>
    <w:rsid w:val="7C3837D0"/>
    <w:rsid w:val="7C553194"/>
    <w:rsid w:val="7C627104"/>
    <w:rsid w:val="7C6B7CF2"/>
    <w:rsid w:val="7C6C2208"/>
    <w:rsid w:val="7C6F7FDF"/>
    <w:rsid w:val="7C7472F4"/>
    <w:rsid w:val="7C8829AF"/>
    <w:rsid w:val="7C9062CD"/>
    <w:rsid w:val="7C926EDE"/>
    <w:rsid w:val="7CD16BE7"/>
    <w:rsid w:val="7CD27EE2"/>
    <w:rsid w:val="7CDB2690"/>
    <w:rsid w:val="7CE60296"/>
    <w:rsid w:val="7CFA35EF"/>
    <w:rsid w:val="7D0470A8"/>
    <w:rsid w:val="7D356BBC"/>
    <w:rsid w:val="7D45427D"/>
    <w:rsid w:val="7D8F6910"/>
    <w:rsid w:val="7D970AD2"/>
    <w:rsid w:val="7DF75E96"/>
    <w:rsid w:val="7E2D6D82"/>
    <w:rsid w:val="7E3A5658"/>
    <w:rsid w:val="7E704ED7"/>
    <w:rsid w:val="7E83284D"/>
    <w:rsid w:val="7EC10DC2"/>
    <w:rsid w:val="7EE709A7"/>
    <w:rsid w:val="7F227DCD"/>
    <w:rsid w:val="7F3A1A7A"/>
    <w:rsid w:val="7F3B0416"/>
    <w:rsid w:val="7F4209F2"/>
    <w:rsid w:val="7F50673F"/>
    <w:rsid w:val="7F9937B2"/>
    <w:rsid w:val="7F9C55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qFormat="1" w:unhideWhenUsed="0" w:uiPriority="0" w:semiHidden="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iPriority="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uiPriority="0" w:name="Body Text Indent 2"/>
    <w:lsdException w:qFormat="1" w:unhideWhenUsed="0" w:uiPriority="0" w:semiHidden="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link w:val="50"/>
    <w:qFormat/>
    <w:uiPriority w:val="0"/>
    <w:pPr>
      <w:keepNext/>
      <w:keepLines/>
      <w:spacing w:before="340" w:after="330" w:line="576" w:lineRule="auto"/>
      <w:outlineLvl w:val="0"/>
    </w:pPr>
    <w:rPr>
      <w:rFonts w:ascii="Times New Roman" w:hAnsi="Times New Roman"/>
      <w:bCs/>
      <w:kern w:val="44"/>
      <w:sz w:val="44"/>
      <w:szCs w:val="44"/>
    </w:rPr>
  </w:style>
  <w:style w:type="paragraph" w:styleId="4">
    <w:name w:val="heading 2"/>
    <w:basedOn w:val="1"/>
    <w:next w:val="1"/>
    <w:link w:val="48"/>
    <w:qFormat/>
    <w:uiPriority w:val="0"/>
    <w:pPr>
      <w:keepNext/>
      <w:keepLines/>
      <w:spacing w:before="260" w:after="260" w:line="415" w:lineRule="auto"/>
      <w:outlineLvl w:val="1"/>
    </w:pPr>
    <w:rPr>
      <w:rFonts w:ascii="Arial" w:hAnsi="Arial" w:eastAsia="黑体"/>
      <w:b/>
      <w:bCs/>
      <w:sz w:val="32"/>
      <w:szCs w:val="32"/>
    </w:rPr>
  </w:style>
  <w:style w:type="paragraph" w:styleId="5">
    <w:name w:val="heading 3"/>
    <w:basedOn w:val="1"/>
    <w:next w:val="1"/>
    <w:link w:val="60"/>
    <w:qFormat/>
    <w:uiPriority w:val="0"/>
    <w:pPr>
      <w:keepNext/>
      <w:keepLines/>
      <w:spacing w:before="260" w:after="260" w:line="415" w:lineRule="auto"/>
      <w:ind w:firstLine="137" w:firstLineChars="49"/>
      <w:outlineLvl w:val="2"/>
    </w:pPr>
    <w:rPr>
      <w:rFonts w:ascii="黑体" w:hAnsi="宋体" w:eastAsia="黑体"/>
      <w:bCs/>
      <w:sz w:val="28"/>
      <w:szCs w:val="28"/>
    </w:rPr>
  </w:style>
  <w:style w:type="paragraph" w:styleId="6">
    <w:name w:val="heading 4"/>
    <w:basedOn w:val="1"/>
    <w:next w:val="1"/>
    <w:link w:val="65"/>
    <w:qFormat/>
    <w:uiPriority w:val="0"/>
    <w:pPr>
      <w:keepNext/>
      <w:keepLines/>
      <w:spacing w:before="280" w:after="290" w:line="374" w:lineRule="auto"/>
      <w:outlineLvl w:val="3"/>
    </w:pPr>
    <w:rPr>
      <w:rFonts w:ascii="Arial" w:hAnsi="Arial" w:eastAsia="黑体"/>
      <w:b/>
      <w:bCs/>
      <w:sz w:val="28"/>
      <w:szCs w:val="28"/>
    </w:rPr>
  </w:style>
  <w:style w:type="paragraph" w:styleId="7">
    <w:name w:val="heading 6"/>
    <w:basedOn w:val="1"/>
    <w:next w:val="1"/>
    <w:qFormat/>
    <w:uiPriority w:val="0"/>
    <w:pPr>
      <w:keepNext/>
      <w:keepLines/>
      <w:widowControl/>
      <w:tabs>
        <w:tab w:val="left" w:pos="1440"/>
      </w:tabs>
      <w:spacing w:before="240" w:after="64" w:line="319" w:lineRule="auto"/>
      <w:ind w:left="1152" w:hanging="1152"/>
      <w:jc w:val="left"/>
      <w:outlineLvl w:val="5"/>
    </w:pPr>
    <w:rPr>
      <w:rFonts w:ascii="Arial" w:hAnsi="Arial" w:eastAsia="黑体"/>
      <w:b/>
      <w:bCs/>
      <w:kern w:val="0"/>
      <w:sz w:val="24"/>
    </w:rPr>
  </w:style>
  <w:style w:type="paragraph" w:styleId="8">
    <w:name w:val="heading 7"/>
    <w:basedOn w:val="1"/>
    <w:next w:val="1"/>
    <w:qFormat/>
    <w:uiPriority w:val="0"/>
    <w:pPr>
      <w:keepNext/>
      <w:keepLines/>
      <w:widowControl/>
      <w:tabs>
        <w:tab w:val="left" w:pos="2520"/>
      </w:tabs>
      <w:spacing w:before="240" w:after="64" w:line="319" w:lineRule="auto"/>
      <w:ind w:left="1296" w:hanging="1296"/>
      <w:jc w:val="left"/>
      <w:outlineLvl w:val="6"/>
    </w:pPr>
    <w:rPr>
      <w:b/>
      <w:bCs/>
      <w:kern w:val="0"/>
      <w:sz w:val="24"/>
    </w:rPr>
  </w:style>
  <w:style w:type="paragraph" w:styleId="9">
    <w:name w:val="heading 8"/>
    <w:basedOn w:val="1"/>
    <w:next w:val="1"/>
    <w:qFormat/>
    <w:uiPriority w:val="0"/>
    <w:pPr>
      <w:keepNext/>
      <w:keepLines/>
      <w:widowControl/>
      <w:tabs>
        <w:tab w:val="left" w:pos="1440"/>
      </w:tabs>
      <w:spacing w:before="240" w:after="64" w:line="319" w:lineRule="auto"/>
      <w:ind w:left="1440" w:hanging="1440"/>
      <w:jc w:val="left"/>
      <w:outlineLvl w:val="7"/>
    </w:pPr>
    <w:rPr>
      <w:rFonts w:ascii="Arial" w:hAnsi="Arial" w:eastAsia="黑体"/>
      <w:kern w:val="0"/>
      <w:sz w:val="24"/>
    </w:rPr>
  </w:style>
  <w:style w:type="paragraph" w:styleId="10">
    <w:name w:val="heading 9"/>
    <w:basedOn w:val="1"/>
    <w:next w:val="1"/>
    <w:qFormat/>
    <w:uiPriority w:val="0"/>
    <w:pPr>
      <w:keepNext/>
      <w:keepLines/>
      <w:widowControl/>
      <w:tabs>
        <w:tab w:val="left" w:pos="1584"/>
      </w:tabs>
      <w:spacing w:before="240" w:after="64" w:line="319" w:lineRule="auto"/>
      <w:ind w:left="1584" w:hanging="1584"/>
      <w:jc w:val="left"/>
      <w:outlineLvl w:val="8"/>
    </w:pPr>
    <w:rPr>
      <w:rFonts w:ascii="Arial" w:hAnsi="Arial" w:eastAsia="黑体"/>
      <w:kern w:val="0"/>
      <w:szCs w:val="21"/>
    </w:rPr>
  </w:style>
  <w:style w:type="character" w:default="1" w:styleId="42">
    <w:name w:val="Default Paragraph Font"/>
    <w:semiHidden/>
    <w:unhideWhenUsed/>
    <w:qFormat/>
    <w:uiPriority w:val="1"/>
  </w:style>
  <w:style w:type="table" w:default="1" w:styleId="40">
    <w:name w:val="Normal Table"/>
    <w:semiHidden/>
    <w:unhideWhenUsed/>
    <w:qFormat/>
    <w:uiPriority w:val="99"/>
    <w:tblPr>
      <w:tblCellMar>
        <w:top w:w="0" w:type="dxa"/>
        <w:left w:w="108" w:type="dxa"/>
        <w:bottom w:w="0" w:type="dxa"/>
        <w:right w:w="108" w:type="dxa"/>
      </w:tblCellMar>
    </w:tblPr>
  </w:style>
  <w:style w:type="paragraph" w:customStyle="1" w:styleId="2">
    <w:name w:val="样式 小四 行距: 1.5 倍行距"/>
    <w:qFormat/>
    <w:uiPriority w:val="0"/>
    <w:pPr>
      <w:widowControl w:val="0"/>
      <w:ind w:firstLine="480"/>
      <w:jc w:val="both"/>
    </w:pPr>
    <w:rPr>
      <w:rFonts w:ascii="Times New Roman" w:hAnsi="Times New Roman" w:eastAsia="楷体_GB2312" w:cs="宋体"/>
      <w:kern w:val="2"/>
      <w:sz w:val="21"/>
      <w:lang w:val="en-US" w:eastAsia="zh-CN" w:bidi="ar-SA"/>
    </w:rPr>
  </w:style>
  <w:style w:type="paragraph" w:styleId="11">
    <w:name w:val="toc 7"/>
    <w:basedOn w:val="1"/>
    <w:next w:val="1"/>
    <w:qFormat/>
    <w:uiPriority w:val="0"/>
    <w:pPr>
      <w:ind w:left="1260"/>
      <w:jc w:val="left"/>
    </w:pPr>
    <w:rPr>
      <w:sz w:val="18"/>
      <w:szCs w:val="18"/>
    </w:rPr>
  </w:style>
  <w:style w:type="paragraph" w:styleId="12">
    <w:name w:val="Note Heading"/>
    <w:basedOn w:val="1"/>
    <w:next w:val="1"/>
    <w:qFormat/>
    <w:uiPriority w:val="0"/>
    <w:pPr>
      <w:snapToGrid w:val="0"/>
      <w:spacing w:before="120" w:after="120" w:line="320" w:lineRule="exact"/>
      <w:ind w:firstLine="413" w:firstLineChars="200"/>
    </w:pPr>
    <w:rPr>
      <w:rFonts w:ascii="宋体" w:hAnsi="宋体"/>
      <w:b/>
      <w:color w:val="000000"/>
    </w:rPr>
  </w:style>
  <w:style w:type="paragraph" w:styleId="13">
    <w:name w:val="Normal Indent"/>
    <w:basedOn w:val="1"/>
    <w:qFormat/>
    <w:uiPriority w:val="0"/>
    <w:pPr>
      <w:ind w:firstLine="420" w:firstLineChars="200"/>
    </w:pPr>
  </w:style>
  <w:style w:type="paragraph" w:styleId="14">
    <w:name w:val="Document Map"/>
    <w:basedOn w:val="1"/>
    <w:link w:val="55"/>
    <w:qFormat/>
    <w:uiPriority w:val="0"/>
    <w:pPr>
      <w:shd w:val="clear" w:color="auto" w:fill="000080"/>
    </w:pPr>
    <w:rPr>
      <w:rFonts w:ascii="Times New Roman" w:hAnsi="Times New Roman"/>
    </w:rPr>
  </w:style>
  <w:style w:type="paragraph" w:styleId="15">
    <w:name w:val="annotation text"/>
    <w:basedOn w:val="1"/>
    <w:link w:val="63"/>
    <w:qFormat/>
    <w:uiPriority w:val="0"/>
    <w:pPr>
      <w:jc w:val="left"/>
    </w:pPr>
    <w:rPr>
      <w:rFonts w:ascii="Times New Roman" w:hAnsi="Times New Roman"/>
    </w:rPr>
  </w:style>
  <w:style w:type="paragraph" w:styleId="16">
    <w:name w:val="Body Text 3"/>
    <w:basedOn w:val="1"/>
    <w:qFormat/>
    <w:uiPriority w:val="0"/>
    <w:rPr>
      <w:rFonts w:ascii="宋体"/>
      <w:sz w:val="24"/>
      <w:szCs w:val="20"/>
    </w:rPr>
  </w:style>
  <w:style w:type="paragraph" w:styleId="17">
    <w:name w:val="Body Text"/>
    <w:basedOn w:val="1"/>
    <w:next w:val="1"/>
    <w:link w:val="61"/>
    <w:qFormat/>
    <w:uiPriority w:val="0"/>
    <w:pPr>
      <w:spacing w:after="120"/>
    </w:pPr>
    <w:rPr>
      <w:rFonts w:ascii="Times New Roman" w:hAnsi="Times New Roman"/>
    </w:rPr>
  </w:style>
  <w:style w:type="paragraph" w:styleId="18">
    <w:name w:val="Body Text Indent"/>
    <w:basedOn w:val="1"/>
    <w:qFormat/>
    <w:uiPriority w:val="0"/>
    <w:pPr>
      <w:spacing w:after="120"/>
      <w:ind w:left="420" w:leftChars="200"/>
    </w:pPr>
  </w:style>
  <w:style w:type="paragraph" w:styleId="19">
    <w:name w:val="toc 5"/>
    <w:basedOn w:val="1"/>
    <w:next w:val="1"/>
    <w:qFormat/>
    <w:uiPriority w:val="0"/>
    <w:pPr>
      <w:ind w:left="840"/>
      <w:jc w:val="left"/>
    </w:pPr>
    <w:rPr>
      <w:sz w:val="18"/>
      <w:szCs w:val="18"/>
    </w:rPr>
  </w:style>
  <w:style w:type="paragraph" w:styleId="20">
    <w:name w:val="toc 3"/>
    <w:basedOn w:val="1"/>
    <w:next w:val="1"/>
    <w:qFormat/>
    <w:uiPriority w:val="0"/>
    <w:pPr>
      <w:ind w:left="420"/>
      <w:jc w:val="left"/>
    </w:pPr>
    <w:rPr>
      <w:iCs/>
      <w:sz w:val="20"/>
      <w:szCs w:val="20"/>
    </w:rPr>
  </w:style>
  <w:style w:type="paragraph" w:styleId="21">
    <w:name w:val="Plain Text"/>
    <w:basedOn w:val="1"/>
    <w:next w:val="1"/>
    <w:link w:val="56"/>
    <w:qFormat/>
    <w:uiPriority w:val="0"/>
    <w:rPr>
      <w:rFonts w:hAnsi="Courier New"/>
      <w:sz w:val="20"/>
    </w:rPr>
  </w:style>
  <w:style w:type="paragraph" w:styleId="22">
    <w:name w:val="toc 8"/>
    <w:basedOn w:val="1"/>
    <w:next w:val="1"/>
    <w:qFormat/>
    <w:uiPriority w:val="0"/>
    <w:pPr>
      <w:ind w:left="1470"/>
      <w:jc w:val="left"/>
    </w:pPr>
    <w:rPr>
      <w:sz w:val="18"/>
      <w:szCs w:val="18"/>
    </w:rPr>
  </w:style>
  <w:style w:type="paragraph" w:styleId="23">
    <w:name w:val="Date"/>
    <w:basedOn w:val="1"/>
    <w:next w:val="1"/>
    <w:qFormat/>
    <w:uiPriority w:val="0"/>
    <w:rPr>
      <w:sz w:val="24"/>
      <w:szCs w:val="20"/>
    </w:rPr>
  </w:style>
  <w:style w:type="paragraph" w:styleId="24">
    <w:name w:val="Balloon Text"/>
    <w:basedOn w:val="1"/>
    <w:qFormat/>
    <w:uiPriority w:val="0"/>
    <w:rPr>
      <w:sz w:val="18"/>
      <w:szCs w:val="18"/>
    </w:rPr>
  </w:style>
  <w:style w:type="paragraph" w:styleId="25">
    <w:name w:val="footer"/>
    <w:basedOn w:val="1"/>
    <w:link w:val="52"/>
    <w:qFormat/>
    <w:uiPriority w:val="99"/>
    <w:pPr>
      <w:tabs>
        <w:tab w:val="center" w:pos="4153"/>
        <w:tab w:val="right" w:pos="8306"/>
      </w:tabs>
      <w:snapToGrid w:val="0"/>
      <w:jc w:val="left"/>
    </w:pPr>
    <w:rPr>
      <w:rFonts w:ascii="Times New Roman" w:hAnsi="Times New Roman"/>
      <w:sz w:val="18"/>
      <w:szCs w:val="18"/>
    </w:rPr>
  </w:style>
  <w:style w:type="paragraph" w:styleId="26">
    <w:name w:val="header"/>
    <w:basedOn w:val="1"/>
    <w:link w:val="58"/>
    <w:qFormat/>
    <w:uiPriority w:val="99"/>
    <w:pPr>
      <w:pBdr>
        <w:bottom w:val="single" w:color="auto" w:sz="6" w:space="1"/>
      </w:pBdr>
      <w:tabs>
        <w:tab w:val="center" w:pos="4153"/>
        <w:tab w:val="right" w:pos="8306"/>
      </w:tabs>
      <w:snapToGrid w:val="0"/>
      <w:jc w:val="center"/>
    </w:pPr>
    <w:rPr>
      <w:rFonts w:ascii="Times New Roman" w:hAnsi="Times New Roman"/>
      <w:sz w:val="18"/>
      <w:szCs w:val="18"/>
    </w:rPr>
  </w:style>
  <w:style w:type="paragraph" w:styleId="27">
    <w:name w:val="toc 1"/>
    <w:basedOn w:val="1"/>
    <w:next w:val="1"/>
    <w:qFormat/>
    <w:uiPriority w:val="0"/>
    <w:pPr>
      <w:spacing w:before="120" w:after="120"/>
      <w:jc w:val="left"/>
    </w:pPr>
    <w:rPr>
      <w:b/>
      <w:bCs/>
      <w:caps/>
      <w:sz w:val="20"/>
      <w:szCs w:val="20"/>
    </w:rPr>
  </w:style>
  <w:style w:type="paragraph" w:styleId="28">
    <w:name w:val="toc 4"/>
    <w:basedOn w:val="1"/>
    <w:next w:val="1"/>
    <w:qFormat/>
    <w:uiPriority w:val="0"/>
    <w:pPr>
      <w:ind w:left="630"/>
      <w:jc w:val="left"/>
    </w:pPr>
    <w:rPr>
      <w:sz w:val="18"/>
      <w:szCs w:val="18"/>
    </w:rPr>
  </w:style>
  <w:style w:type="paragraph" w:styleId="29">
    <w:name w:val="toc 6"/>
    <w:basedOn w:val="1"/>
    <w:next w:val="1"/>
    <w:qFormat/>
    <w:uiPriority w:val="0"/>
    <w:pPr>
      <w:ind w:left="1050"/>
      <w:jc w:val="left"/>
    </w:pPr>
    <w:rPr>
      <w:sz w:val="18"/>
      <w:szCs w:val="18"/>
    </w:rPr>
  </w:style>
  <w:style w:type="paragraph" w:styleId="30">
    <w:name w:val="Body Text Indent 3"/>
    <w:basedOn w:val="1"/>
    <w:qFormat/>
    <w:uiPriority w:val="0"/>
    <w:pPr>
      <w:spacing w:after="120"/>
      <w:ind w:left="420" w:leftChars="200"/>
    </w:pPr>
    <w:rPr>
      <w:sz w:val="16"/>
      <w:szCs w:val="16"/>
    </w:rPr>
  </w:style>
  <w:style w:type="paragraph" w:styleId="31">
    <w:name w:val="toc 2"/>
    <w:basedOn w:val="1"/>
    <w:next w:val="1"/>
    <w:qFormat/>
    <w:uiPriority w:val="0"/>
    <w:pPr>
      <w:ind w:left="210"/>
      <w:jc w:val="left"/>
    </w:pPr>
    <w:rPr>
      <w:smallCaps/>
      <w:sz w:val="20"/>
      <w:szCs w:val="20"/>
    </w:rPr>
  </w:style>
  <w:style w:type="paragraph" w:styleId="32">
    <w:name w:val="toc 9"/>
    <w:basedOn w:val="1"/>
    <w:next w:val="1"/>
    <w:qFormat/>
    <w:uiPriority w:val="0"/>
    <w:pPr>
      <w:ind w:left="1680"/>
      <w:jc w:val="left"/>
    </w:pPr>
    <w:rPr>
      <w:sz w:val="18"/>
      <w:szCs w:val="18"/>
    </w:rPr>
  </w:style>
  <w:style w:type="paragraph" w:styleId="33">
    <w:name w:val="Body Text 2"/>
    <w:basedOn w:val="1"/>
    <w:qFormat/>
    <w:uiPriority w:val="0"/>
    <w:rPr>
      <w:rFonts w:ascii="宋体" w:hAnsi="宋体"/>
      <w:kern w:val="0"/>
      <w:sz w:val="20"/>
      <w:u w:val="single"/>
    </w:rPr>
  </w:style>
  <w:style w:type="paragraph" w:styleId="34">
    <w:name w:val="HTML Preformatted"/>
    <w:basedOn w:val="1"/>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atLeast"/>
      <w:jc w:val="left"/>
    </w:pPr>
    <w:rPr>
      <w:rFonts w:ascii="Arial" w:hAnsi="Arial" w:cs="Arial"/>
      <w:kern w:val="0"/>
      <w:sz w:val="28"/>
      <w:szCs w:val="28"/>
    </w:rPr>
  </w:style>
  <w:style w:type="paragraph" w:styleId="35">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36">
    <w:name w:val="index 1"/>
    <w:basedOn w:val="1"/>
    <w:next w:val="1"/>
    <w:qFormat/>
    <w:uiPriority w:val="0"/>
    <w:pPr>
      <w:spacing w:line="220" w:lineRule="exact"/>
      <w:jc w:val="center"/>
    </w:pPr>
    <w:rPr>
      <w:rFonts w:ascii="仿宋_GB2312" w:eastAsia="仿宋_GB2312"/>
      <w:szCs w:val="21"/>
    </w:rPr>
  </w:style>
  <w:style w:type="paragraph" w:styleId="37">
    <w:name w:val="Title"/>
    <w:basedOn w:val="1"/>
    <w:next w:val="1"/>
    <w:qFormat/>
    <w:uiPriority w:val="0"/>
    <w:pPr>
      <w:adjustRightInd w:val="0"/>
      <w:spacing w:before="240" w:after="60" w:line="420" w:lineRule="atLeast"/>
      <w:jc w:val="center"/>
      <w:textAlignment w:val="baseline"/>
      <w:outlineLvl w:val="0"/>
    </w:pPr>
    <w:rPr>
      <w:rFonts w:ascii="Arial" w:hAnsi="Arial"/>
      <w:b/>
      <w:kern w:val="0"/>
      <w:sz w:val="32"/>
      <w:szCs w:val="20"/>
    </w:rPr>
  </w:style>
  <w:style w:type="paragraph" w:styleId="38">
    <w:name w:val="annotation subject"/>
    <w:basedOn w:val="15"/>
    <w:next w:val="15"/>
    <w:link w:val="54"/>
    <w:qFormat/>
    <w:uiPriority w:val="0"/>
    <w:pPr>
      <w:jc w:val="both"/>
    </w:pPr>
    <w:rPr>
      <w:b/>
      <w:bCs/>
    </w:rPr>
  </w:style>
  <w:style w:type="paragraph" w:styleId="39">
    <w:name w:val="Body Text First Indent"/>
    <w:basedOn w:val="17"/>
    <w:link w:val="59"/>
    <w:qFormat/>
    <w:uiPriority w:val="0"/>
    <w:pPr>
      <w:spacing w:line="312" w:lineRule="auto"/>
      <w:ind w:firstLine="420"/>
    </w:pPr>
  </w:style>
  <w:style w:type="table" w:styleId="41">
    <w:name w:val="Table Grid"/>
    <w:basedOn w:val="4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3">
    <w:name w:val="page number"/>
    <w:basedOn w:val="42"/>
    <w:qFormat/>
    <w:uiPriority w:val="0"/>
  </w:style>
  <w:style w:type="character" w:styleId="44">
    <w:name w:val="FollowedHyperlink"/>
    <w:qFormat/>
    <w:uiPriority w:val="0"/>
    <w:rPr>
      <w:color w:val="000000"/>
      <w:u w:val="none"/>
    </w:rPr>
  </w:style>
  <w:style w:type="character" w:styleId="45">
    <w:name w:val="Hyperlink"/>
    <w:qFormat/>
    <w:uiPriority w:val="0"/>
    <w:rPr>
      <w:color w:val="000000"/>
      <w:u w:val="none"/>
    </w:rPr>
  </w:style>
  <w:style w:type="character" w:styleId="46">
    <w:name w:val="annotation reference"/>
    <w:qFormat/>
    <w:uiPriority w:val="0"/>
    <w:rPr>
      <w:sz w:val="21"/>
      <w:szCs w:val="21"/>
    </w:rPr>
  </w:style>
  <w:style w:type="character" w:styleId="47">
    <w:name w:val="footnote reference"/>
    <w:qFormat/>
    <w:uiPriority w:val="0"/>
    <w:rPr>
      <w:vertAlign w:val="superscript"/>
    </w:rPr>
  </w:style>
  <w:style w:type="character" w:customStyle="1" w:styleId="48">
    <w:name w:val="标题 2 Char"/>
    <w:link w:val="4"/>
    <w:qFormat/>
    <w:uiPriority w:val="0"/>
    <w:rPr>
      <w:rFonts w:ascii="Arial" w:hAnsi="Arial" w:eastAsia="黑体"/>
      <w:b/>
      <w:bCs/>
      <w:kern w:val="2"/>
      <w:sz w:val="32"/>
      <w:szCs w:val="32"/>
      <w:lang w:val="en-US" w:eastAsia="zh-CN" w:bidi="ar-SA"/>
    </w:rPr>
  </w:style>
  <w:style w:type="paragraph" w:customStyle="1" w:styleId="49">
    <w:name w:val="样式1"/>
    <w:basedOn w:val="1"/>
    <w:next w:val="1"/>
    <w:qFormat/>
    <w:uiPriority w:val="0"/>
    <w:pPr>
      <w:spacing w:line="360" w:lineRule="auto"/>
      <w:ind w:firstLine="420" w:firstLineChars="200"/>
    </w:pPr>
    <w:rPr>
      <w:rFonts w:ascii="宋体" w:hAnsi="宋体"/>
      <w:szCs w:val="21"/>
    </w:rPr>
  </w:style>
  <w:style w:type="character" w:customStyle="1" w:styleId="50">
    <w:name w:val="标题 1 Char"/>
    <w:link w:val="3"/>
    <w:qFormat/>
    <w:uiPriority w:val="0"/>
    <w:rPr>
      <w:rFonts w:eastAsia="宋体"/>
      <w:b/>
      <w:bCs/>
      <w:kern w:val="44"/>
      <w:sz w:val="44"/>
      <w:szCs w:val="44"/>
      <w:lang w:val="en-US" w:eastAsia="zh-CN" w:bidi="ar-SA"/>
    </w:rPr>
  </w:style>
  <w:style w:type="character" w:customStyle="1" w:styleId="51">
    <w:name w:val="times1"/>
    <w:qFormat/>
    <w:uiPriority w:val="0"/>
    <w:rPr>
      <w:color w:val="CDCDCD"/>
      <w:bdr w:val="single" w:color="CDCDCD" w:sz="6" w:space="0"/>
      <w:shd w:val="clear" w:color="auto" w:fill="EFEFEF"/>
    </w:rPr>
  </w:style>
  <w:style w:type="character" w:customStyle="1" w:styleId="52">
    <w:name w:val="页脚 Char"/>
    <w:link w:val="25"/>
    <w:qFormat/>
    <w:uiPriority w:val="99"/>
    <w:rPr>
      <w:rFonts w:eastAsia="宋体"/>
      <w:kern w:val="2"/>
      <w:sz w:val="18"/>
      <w:szCs w:val="18"/>
      <w:lang w:val="en-US" w:eastAsia="zh-CN" w:bidi="ar-SA"/>
    </w:rPr>
  </w:style>
  <w:style w:type="character" w:customStyle="1" w:styleId="53">
    <w:name w:val="font161"/>
    <w:qFormat/>
    <w:uiPriority w:val="0"/>
    <w:rPr>
      <w:b/>
      <w:bCs/>
      <w:sz w:val="32"/>
      <w:szCs w:val="32"/>
    </w:rPr>
  </w:style>
  <w:style w:type="character" w:customStyle="1" w:styleId="54">
    <w:name w:val="批注主题 Char"/>
    <w:link w:val="38"/>
    <w:qFormat/>
    <w:uiPriority w:val="0"/>
    <w:rPr>
      <w:rFonts w:eastAsia="宋体"/>
      <w:b/>
      <w:bCs/>
      <w:kern w:val="2"/>
      <w:sz w:val="21"/>
      <w:szCs w:val="24"/>
      <w:lang w:val="en-US" w:eastAsia="zh-CN" w:bidi="ar-SA"/>
    </w:rPr>
  </w:style>
  <w:style w:type="character" w:customStyle="1" w:styleId="55">
    <w:name w:val="文档结构图 Char"/>
    <w:link w:val="14"/>
    <w:qFormat/>
    <w:uiPriority w:val="0"/>
    <w:rPr>
      <w:rFonts w:eastAsia="宋体"/>
      <w:kern w:val="2"/>
      <w:sz w:val="21"/>
      <w:szCs w:val="24"/>
      <w:lang w:val="en-US" w:eastAsia="zh-CN" w:bidi="ar-SA"/>
    </w:rPr>
  </w:style>
  <w:style w:type="character" w:customStyle="1" w:styleId="56">
    <w:name w:val="纯文本 Char"/>
    <w:basedOn w:val="42"/>
    <w:link w:val="21"/>
    <w:qFormat/>
    <w:uiPriority w:val="0"/>
    <w:rPr>
      <w:rFonts w:hint="eastAsia" w:ascii="宋体" w:hAnsi="Courier New" w:eastAsia="宋体" w:cs="Courier New"/>
      <w:kern w:val="2"/>
      <w:sz w:val="21"/>
      <w:szCs w:val="21"/>
    </w:rPr>
  </w:style>
  <w:style w:type="character" w:customStyle="1" w:styleId="57">
    <w:name w:val="hover41"/>
    <w:basedOn w:val="42"/>
    <w:qFormat/>
    <w:uiPriority w:val="0"/>
  </w:style>
  <w:style w:type="character" w:customStyle="1" w:styleId="58">
    <w:name w:val="页眉 Char"/>
    <w:link w:val="26"/>
    <w:qFormat/>
    <w:uiPriority w:val="99"/>
    <w:rPr>
      <w:rFonts w:eastAsia="宋体"/>
      <w:kern w:val="2"/>
      <w:sz w:val="18"/>
      <w:szCs w:val="18"/>
      <w:lang w:val="en-US" w:eastAsia="zh-CN" w:bidi="ar-SA"/>
    </w:rPr>
  </w:style>
  <w:style w:type="character" w:customStyle="1" w:styleId="59">
    <w:name w:val="正文首行缩进 Char"/>
    <w:link w:val="39"/>
    <w:qFormat/>
    <w:uiPriority w:val="0"/>
    <w:rPr>
      <w:rFonts w:eastAsia="宋体"/>
      <w:kern w:val="2"/>
      <w:sz w:val="21"/>
      <w:szCs w:val="24"/>
      <w:lang w:val="en-US" w:eastAsia="zh-CN" w:bidi="ar-SA"/>
    </w:rPr>
  </w:style>
  <w:style w:type="character" w:customStyle="1" w:styleId="60">
    <w:name w:val="标题 3 Char"/>
    <w:link w:val="5"/>
    <w:qFormat/>
    <w:uiPriority w:val="0"/>
    <w:rPr>
      <w:rFonts w:ascii="黑体" w:hAnsi="宋体" w:eastAsia="黑体"/>
      <w:bCs/>
      <w:kern w:val="2"/>
      <w:sz w:val="28"/>
      <w:szCs w:val="28"/>
      <w:lang w:val="en-US" w:eastAsia="zh-CN" w:bidi="ar-SA"/>
    </w:rPr>
  </w:style>
  <w:style w:type="character" w:customStyle="1" w:styleId="61">
    <w:name w:val="正文文本 Char"/>
    <w:link w:val="17"/>
    <w:qFormat/>
    <w:uiPriority w:val="0"/>
    <w:rPr>
      <w:rFonts w:eastAsia="宋体"/>
      <w:kern w:val="2"/>
      <w:sz w:val="21"/>
      <w:szCs w:val="24"/>
      <w:lang w:val="en-US" w:eastAsia="zh-CN" w:bidi="ar-SA"/>
    </w:rPr>
  </w:style>
  <w:style w:type="character" w:customStyle="1" w:styleId="62">
    <w:name w:val="times"/>
    <w:qFormat/>
    <w:uiPriority w:val="0"/>
    <w:rPr>
      <w:color w:val="3399FF"/>
      <w:bdr w:val="single" w:color="D1EDF8" w:sz="6" w:space="0"/>
      <w:shd w:val="clear" w:color="auto" w:fill="EAF9FF"/>
    </w:rPr>
  </w:style>
  <w:style w:type="character" w:customStyle="1" w:styleId="63">
    <w:name w:val="批注文字 Char"/>
    <w:link w:val="15"/>
    <w:qFormat/>
    <w:uiPriority w:val="0"/>
    <w:rPr>
      <w:rFonts w:eastAsia="宋体"/>
      <w:kern w:val="2"/>
      <w:sz w:val="21"/>
      <w:szCs w:val="24"/>
      <w:lang w:val="en-US" w:eastAsia="zh-CN" w:bidi="ar-SA"/>
    </w:rPr>
  </w:style>
  <w:style w:type="character" w:customStyle="1" w:styleId="64">
    <w:name w:val="p12"/>
    <w:basedOn w:val="42"/>
    <w:qFormat/>
    <w:uiPriority w:val="0"/>
  </w:style>
  <w:style w:type="character" w:customStyle="1" w:styleId="65">
    <w:name w:val="标题 4 Char"/>
    <w:link w:val="6"/>
    <w:qFormat/>
    <w:uiPriority w:val="0"/>
    <w:rPr>
      <w:rFonts w:ascii="Arial" w:hAnsi="Arial" w:eastAsia="黑体"/>
      <w:b/>
      <w:bCs/>
      <w:kern w:val="2"/>
      <w:sz w:val="28"/>
      <w:szCs w:val="28"/>
      <w:lang w:val="en-US" w:eastAsia="zh-CN" w:bidi="ar-SA"/>
    </w:rPr>
  </w:style>
  <w:style w:type="paragraph" w:customStyle="1" w:styleId="66">
    <w:name w:val="修订1"/>
    <w:qFormat/>
    <w:uiPriority w:val="0"/>
    <w:rPr>
      <w:rFonts w:ascii="Calibri" w:hAnsi="Calibri" w:eastAsia="宋体" w:cs="Times New Roman"/>
      <w:kern w:val="2"/>
      <w:sz w:val="21"/>
      <w:szCs w:val="24"/>
      <w:lang w:val="en-US" w:eastAsia="zh-CN" w:bidi="ar-SA"/>
    </w:rPr>
  </w:style>
  <w:style w:type="paragraph" w:customStyle="1" w:styleId="67">
    <w:name w:val="Char Char Char Char"/>
    <w:basedOn w:val="1"/>
    <w:qFormat/>
    <w:uiPriority w:val="0"/>
    <w:rPr>
      <w:rFonts w:eastAsia="楷体_GB2312"/>
      <w:szCs w:val="20"/>
    </w:rPr>
  </w:style>
  <w:style w:type="paragraph" w:customStyle="1" w:styleId="68">
    <w:name w:val="样式 标题 1 + 黑体 三号 非加粗 居中 段前: 6 磅 段后: 6 磅 行距: 固定值 20 磅"/>
    <w:basedOn w:val="3"/>
    <w:qFormat/>
    <w:uiPriority w:val="0"/>
    <w:pPr>
      <w:spacing w:before="120" w:after="120" w:line="400" w:lineRule="exact"/>
    </w:pPr>
    <w:rPr>
      <w:rFonts w:ascii="黑体" w:hAnsi="黑体" w:eastAsia="黑体" w:cs="宋体"/>
      <w:bCs w:val="0"/>
      <w:sz w:val="32"/>
      <w:szCs w:val="20"/>
    </w:rPr>
  </w:style>
  <w:style w:type="paragraph" w:customStyle="1" w:styleId="69">
    <w:name w:val="正文 New New New New New New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70">
    <w:name w:val="章节二"/>
    <w:basedOn w:val="1"/>
    <w:next w:val="1"/>
    <w:qFormat/>
    <w:uiPriority w:val="0"/>
    <w:pPr>
      <w:topLinePunct/>
      <w:adjustRightInd w:val="0"/>
      <w:snapToGrid w:val="0"/>
      <w:spacing w:beforeLines="50" w:afterLines="50"/>
      <w:jc w:val="center"/>
      <w:outlineLvl w:val="1"/>
    </w:pPr>
    <w:rPr>
      <w:rFonts w:eastAsia="黑体"/>
      <w:b/>
      <w:snapToGrid w:val="0"/>
      <w:spacing w:val="4"/>
      <w:kern w:val="0"/>
      <w:sz w:val="30"/>
      <w:szCs w:val="30"/>
    </w:rPr>
  </w:style>
  <w:style w:type="paragraph" w:customStyle="1" w:styleId="71">
    <w:name w:val="样式2"/>
    <w:basedOn w:val="5"/>
    <w:qFormat/>
    <w:uiPriority w:val="0"/>
    <w:rPr>
      <w:i/>
    </w:rPr>
  </w:style>
  <w:style w:type="paragraph" w:customStyle="1" w:styleId="72">
    <w:name w:val="公文正文"/>
    <w:qFormat/>
    <w:uiPriority w:val="0"/>
    <w:pPr>
      <w:widowControl w:val="0"/>
      <w:spacing w:line="360" w:lineRule="auto"/>
      <w:ind w:firstLine="629"/>
      <w:jc w:val="both"/>
    </w:pPr>
    <w:rPr>
      <w:rFonts w:ascii="仿宋_GB2312" w:hAnsi="Calisto MT" w:eastAsia="仿宋_GB2312" w:cs="Times New Roman"/>
      <w:color w:val="000000"/>
      <w:sz w:val="32"/>
      <w:szCs w:val="22"/>
      <w:lang w:val="en-US" w:eastAsia="zh-CN" w:bidi="ar-SA"/>
    </w:rPr>
  </w:style>
  <w:style w:type="paragraph" w:styleId="73">
    <w:name w:val="List Paragraph"/>
    <w:basedOn w:val="1"/>
    <w:qFormat/>
    <w:uiPriority w:val="34"/>
    <w:pPr>
      <w:ind w:firstLine="420" w:firstLineChars="200"/>
    </w:pPr>
    <w:rPr>
      <w:szCs w:val="22"/>
    </w:rPr>
  </w:style>
  <w:style w:type="paragraph" w:customStyle="1" w:styleId="74">
    <w:name w:val="表格"/>
    <w:basedOn w:val="1"/>
    <w:qFormat/>
    <w:uiPriority w:val="0"/>
    <w:pPr>
      <w:jc w:val="center"/>
      <w:textAlignment w:val="center"/>
    </w:pPr>
    <w:rPr>
      <w:rFonts w:ascii="华文细黑" w:hAnsi="华文细黑"/>
      <w:kern w:val="0"/>
      <w:szCs w:val="20"/>
    </w:rPr>
  </w:style>
  <w:style w:type="paragraph" w:customStyle="1" w:styleId="75">
    <w:name w:val="文一"/>
    <w:basedOn w:val="1"/>
    <w:qFormat/>
    <w:uiPriority w:val="0"/>
    <w:pPr>
      <w:topLinePunct/>
      <w:adjustRightInd w:val="0"/>
      <w:snapToGrid w:val="0"/>
      <w:spacing w:line="360" w:lineRule="auto"/>
      <w:ind w:firstLine="200" w:firstLineChars="200"/>
    </w:pPr>
    <w:rPr>
      <w:snapToGrid w:val="0"/>
      <w:spacing w:val="4"/>
      <w:kern w:val="0"/>
      <w:sz w:val="24"/>
    </w:rPr>
  </w:style>
  <w:style w:type="paragraph" w:customStyle="1" w:styleId="76">
    <w:name w:val="1"/>
    <w:basedOn w:val="1"/>
    <w:qFormat/>
    <w:uiPriority w:val="0"/>
  </w:style>
  <w:style w:type="paragraph" w:customStyle="1" w:styleId="77">
    <w:name w:val="正文 New New New New New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78">
    <w:name w:val="Char"/>
    <w:basedOn w:val="1"/>
    <w:qFormat/>
    <w:uiPriority w:val="0"/>
    <w:pPr>
      <w:tabs>
        <w:tab w:val="left" w:pos="360"/>
      </w:tabs>
    </w:pPr>
    <w:rPr>
      <w:sz w:val="24"/>
    </w:rPr>
  </w:style>
  <w:style w:type="paragraph" w:customStyle="1" w:styleId="79">
    <w:name w:val="表格文字"/>
    <w:basedOn w:val="1"/>
    <w:qFormat/>
    <w:uiPriority w:val="0"/>
    <w:pPr>
      <w:adjustRightInd w:val="0"/>
      <w:spacing w:line="420" w:lineRule="atLeast"/>
      <w:jc w:val="left"/>
      <w:textAlignment w:val="baseline"/>
    </w:pPr>
    <w:rPr>
      <w:kern w:val="0"/>
      <w:szCs w:val="20"/>
    </w:rPr>
  </w:style>
  <w:style w:type="paragraph" w:customStyle="1" w:styleId="80">
    <w:name w:val="正文 New New New New New New New New New New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81">
    <w:name w:val="列出段落1"/>
    <w:basedOn w:val="1"/>
    <w:qFormat/>
    <w:uiPriority w:val="34"/>
    <w:pPr>
      <w:ind w:firstLine="420" w:firstLineChars="200"/>
    </w:pPr>
    <w:rPr>
      <w:szCs w:val="20"/>
    </w:rPr>
  </w:style>
  <w:style w:type="paragraph" w:customStyle="1" w:styleId="82">
    <w:name w:val="文二"/>
    <w:basedOn w:val="1"/>
    <w:qFormat/>
    <w:uiPriority w:val="0"/>
    <w:pPr>
      <w:jc w:val="left"/>
    </w:pPr>
    <w:rPr>
      <w:rFonts w:ascii="宋体" w:hAnsi="宋体"/>
      <w:szCs w:val="21"/>
    </w:rPr>
  </w:style>
  <w:style w:type="paragraph" w:customStyle="1" w:styleId="83">
    <w:name w:val="样式 标题 3 + 首行缩进:  1.06 厘米"/>
    <w:basedOn w:val="5"/>
    <w:qFormat/>
    <w:uiPriority w:val="0"/>
    <w:pPr>
      <w:spacing w:before="120" w:after="0" w:line="240" w:lineRule="auto"/>
      <w:jc w:val="center"/>
    </w:pPr>
    <w:rPr>
      <w:rFonts w:ascii="宋体" w:cs="宋体"/>
      <w:color w:val="000000"/>
    </w:rPr>
  </w:style>
  <w:style w:type="paragraph" w:customStyle="1" w:styleId="84">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85">
    <w:name w:val="表头"/>
    <w:basedOn w:val="1"/>
    <w:qFormat/>
    <w:uiPriority w:val="0"/>
    <w:pPr>
      <w:spacing w:line="360" w:lineRule="auto"/>
      <w:jc w:val="center"/>
    </w:pPr>
    <w:rPr>
      <w:rFonts w:ascii="黑体" w:eastAsia="黑体"/>
      <w:kern w:val="0"/>
      <w:sz w:val="24"/>
      <w:szCs w:val="20"/>
    </w:rPr>
  </w:style>
  <w:style w:type="paragraph" w:customStyle="1" w:styleId="86">
    <w:name w:val="样式 标题 3 + (中文) 黑体 小四 非加粗 段前: 7.8 磅 段后: 0 磅 行距: 固定值 20 磅"/>
    <w:basedOn w:val="5"/>
    <w:qFormat/>
    <w:uiPriority w:val="0"/>
    <w:pPr>
      <w:spacing w:before="0" w:after="0" w:line="400" w:lineRule="exact"/>
    </w:pPr>
    <w:rPr>
      <w:rFonts w:cs="宋体"/>
      <w:bCs w:val="0"/>
      <w:sz w:val="24"/>
      <w:szCs w:val="20"/>
    </w:rPr>
  </w:style>
  <w:style w:type="paragraph" w:customStyle="1" w:styleId="87">
    <w:name w:val="正题"/>
    <w:basedOn w:val="75"/>
    <w:next w:val="75"/>
    <w:qFormat/>
    <w:uiPriority w:val="0"/>
    <w:pPr>
      <w:ind w:firstLine="0" w:firstLineChars="0"/>
      <w:jc w:val="center"/>
    </w:pPr>
    <w:rPr>
      <w:rFonts w:eastAsia="黑体"/>
      <w:b/>
      <w:sz w:val="36"/>
      <w:szCs w:val="36"/>
    </w:rPr>
  </w:style>
  <w:style w:type="paragraph" w:customStyle="1" w:styleId="88">
    <w:name w:val="样式 标题 2 + Times New Roman 四号 非加粗 段前: 5 磅 段后: 0 磅 行距: 固定值 20..."/>
    <w:basedOn w:val="4"/>
    <w:qFormat/>
    <w:uiPriority w:val="0"/>
    <w:pPr>
      <w:spacing w:before="100" w:after="0" w:line="400" w:lineRule="exact"/>
    </w:pPr>
    <w:rPr>
      <w:rFonts w:ascii="Times New Roman" w:hAnsi="Times New Roman" w:cs="宋体"/>
      <w:b w:val="0"/>
      <w:bCs w:val="0"/>
      <w:sz w:val="28"/>
      <w:szCs w:val="20"/>
    </w:rPr>
  </w:style>
  <w:style w:type="paragraph" w:customStyle="1" w:styleId="89">
    <w:name w:val="Char1"/>
    <w:basedOn w:val="1"/>
    <w:qFormat/>
    <w:uiPriority w:val="0"/>
    <w:pPr>
      <w:tabs>
        <w:tab w:val="left" w:pos="360"/>
      </w:tabs>
    </w:pPr>
    <w:rPr>
      <w:sz w:val="24"/>
    </w:rPr>
  </w:style>
  <w:style w:type="paragraph" w:customStyle="1" w:styleId="90">
    <w:name w:val="Table Paragraph"/>
    <w:basedOn w:val="1"/>
    <w:qFormat/>
    <w:uiPriority w:val="1"/>
    <w:rPr>
      <w:rFonts w:ascii="宋体" w:hAnsi="宋体" w:cs="宋体"/>
      <w:lang w:val="zh-CN" w:bidi="zh-CN"/>
    </w:rPr>
  </w:style>
  <w:style w:type="paragraph" w:customStyle="1" w:styleId="91">
    <w:name w:val="BodyText"/>
    <w:basedOn w:val="1"/>
    <w:qFormat/>
    <w:uiPriority w:val="0"/>
    <w:pPr>
      <w:spacing w:after="120"/>
    </w:pPr>
    <w:rPr>
      <w:rFonts w:ascii="Times New Roman" w:hAnsi="Times New Roman"/>
      <w:kern w:val="0"/>
      <w:sz w:val="20"/>
      <w:szCs w:val="20"/>
    </w:rPr>
  </w:style>
  <w:style w:type="paragraph" w:customStyle="1" w:styleId="92">
    <w:name w:val="正文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3">
    <w:name w:val="章节三"/>
    <w:basedOn w:val="1"/>
    <w:next w:val="1"/>
    <w:qFormat/>
    <w:uiPriority w:val="0"/>
    <w:pPr>
      <w:topLinePunct/>
      <w:adjustRightInd w:val="0"/>
      <w:snapToGrid w:val="0"/>
      <w:spacing w:beforeLines="50" w:afterLines="50"/>
      <w:jc w:val="left"/>
      <w:outlineLvl w:val="2"/>
    </w:pPr>
    <w:rPr>
      <w:rFonts w:ascii="黑体" w:hAnsi="宋体" w:eastAsia="黑体"/>
      <w:b/>
      <w:spacing w:val="4"/>
      <w:sz w:val="24"/>
    </w:rPr>
  </w:style>
  <w:style w:type="paragraph" w:customStyle="1" w:styleId="94">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95">
    <w:name w:val="NormalCharacter"/>
    <w:qFormat/>
    <w:uiPriority w:val="0"/>
    <w:rPr>
      <w:rFonts w:ascii="Times New Roman" w:hAnsi="Times New Roman" w:eastAsia="宋体"/>
    </w:rPr>
  </w:style>
  <w:style w:type="character" w:customStyle="1" w:styleId="96">
    <w:name w:val="p141"/>
    <w:qFormat/>
    <w:uiPriority w:val="0"/>
    <w:rPr>
      <w:sz w:val="21"/>
      <w:szCs w:val="21"/>
    </w:rPr>
  </w:style>
  <w:style w:type="paragraph" w:customStyle="1" w:styleId="97">
    <w:name w:val="一"/>
    <w:next w:val="1"/>
    <w:qFormat/>
    <w:uiPriority w:val="0"/>
    <w:pPr>
      <w:keepNext/>
      <w:keepLines/>
      <w:widowControl w:val="0"/>
      <w:spacing w:before="340" w:after="330" w:line="576" w:lineRule="auto"/>
      <w:jc w:val="both"/>
      <w:outlineLvl w:val="0"/>
    </w:pPr>
    <w:rPr>
      <w:rFonts w:ascii="Times New Roman" w:hAnsi="Times New Roman" w:eastAsia="宋体" w:cs="Times New Roman"/>
      <w:b/>
      <w:bCs/>
      <w:kern w:val="44"/>
      <w:sz w:val="44"/>
      <w:szCs w:val="32"/>
      <w:lang w:val="en-US" w:eastAsia="zh-CN" w:bidi="ar-SA"/>
    </w:rPr>
  </w:style>
  <w:style w:type="paragraph" w:customStyle="1" w:styleId="98">
    <w:name w:val="样式 宋体 小四 行距: 1.5 倍行距"/>
    <w:qFormat/>
    <w:uiPriority w:val="0"/>
    <w:pPr>
      <w:widowControl w:val="0"/>
      <w:jc w:val="both"/>
    </w:pPr>
    <w:rPr>
      <w:rFonts w:ascii="宋体" w:hAnsi="宋体" w:eastAsia="楷体_GB2312" w:cs="宋体"/>
      <w:kern w:val="2"/>
      <w:sz w:val="2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9554CA3-9E43-452D-BF13-196A5856E859}">
  <ds:schemaRefs/>
</ds:datastoreItem>
</file>

<file path=docProps/app.xml><?xml version="1.0" encoding="utf-8"?>
<Properties xmlns="http://schemas.openxmlformats.org/officeDocument/2006/extended-properties" xmlns:vt="http://schemas.openxmlformats.org/officeDocument/2006/docPropsVTypes">
  <Template>Normal.dotm</Template>
  <Pages>55</Pages>
  <Words>19103</Words>
  <Characters>19921</Characters>
  <Lines>155</Lines>
  <Paragraphs>43</Paragraphs>
  <TotalTime>42</TotalTime>
  <ScaleCrop>false</ScaleCrop>
  <LinksUpToDate>false</LinksUpToDate>
  <CharactersWithSpaces>21606</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2020-02-17T08:45:00Z</dcterms:created>
  <cp:lastPrinted>2022-08-30T01:54:40Z</cp:lastPrinted>
  <dcterms:modified xsi:type="dcterms:W3CDTF">2022-08-30T02:30:32Z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1D48D9BFF2E84536A2D9356044725364</vt:lpwstr>
  </property>
  <property fmtid="{D5CDD505-2E9C-101B-9397-08002B2CF9AE}" pid="4" name="commondata">
    <vt:lpwstr>eyJoZGlkIjoiYWQzZjliNzQ4M2JhYjM0MjI3YTk2NzE0ZGY0MWQ5N2YifQ==</vt:lpwstr>
  </property>
</Properties>
</file>