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rPr>
          <w:rFonts w:ascii="宋体" w:hAnsi="宋体" w:eastAsia="宋体" w:cs="宋体"/>
          <w:color w:val="auto"/>
          <w:szCs w:val="21"/>
          <w:highlight w:val="none"/>
        </w:rPr>
      </w:pPr>
    </w:p>
    <w:p>
      <w:pPr>
        <w:spacing w:before="0" w:beforeLines="-2147483648" w:line="360" w:lineRule="auto"/>
        <w:jc w:val="center"/>
        <w:rPr>
          <w:rFonts w:hint="eastAsia" w:ascii="宋体" w:hAnsi="宋体" w:eastAsia="黑体" w:cs="宋体"/>
          <w:b/>
          <w:color w:val="auto"/>
          <w:sz w:val="44"/>
          <w:szCs w:val="44"/>
          <w:highlight w:val="none"/>
          <w:lang w:eastAsia="zh-CN"/>
        </w:rPr>
      </w:pPr>
      <w:r>
        <w:rPr>
          <w:rFonts w:hint="eastAsia" w:ascii="宋体" w:hAnsi="宋体" w:eastAsia="黑体"/>
          <w:color w:val="auto"/>
          <w:sz w:val="48"/>
          <w:szCs w:val="48"/>
          <w:highlight w:val="none"/>
          <w:lang w:eastAsia="zh-CN"/>
        </w:rPr>
        <w:t>南沙湿地“渔唱晚主题酒店及疍家水岸广场”项目设计服务</w:t>
      </w:r>
    </w:p>
    <w:p>
      <w:pPr>
        <w:jc w:val="center"/>
        <w:rPr>
          <w:rFonts w:ascii="宋体" w:hAnsi="宋体" w:eastAsia="宋体" w:cs="宋体"/>
          <w:color w:val="auto"/>
          <w:sz w:val="72"/>
          <w:szCs w:val="72"/>
          <w:highlight w:val="none"/>
        </w:rPr>
      </w:pPr>
      <w:r>
        <w:rPr>
          <w:rFonts w:hint="eastAsia" w:ascii="宋体" w:hAnsi="宋体" w:eastAsia="宋体" w:cs="宋体"/>
          <w:color w:val="auto"/>
          <w:sz w:val="44"/>
          <w:szCs w:val="44"/>
          <w:highlight w:val="none"/>
        </w:rPr>
        <w:t xml:space="preserve"> </w:t>
      </w:r>
    </w:p>
    <w:p>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广州南沙湿地旅游发展有限公司</w:t>
      </w:r>
      <w:r>
        <w:rPr>
          <w:rFonts w:hint="eastAsia" w:ascii="宋体" w:hAnsi="宋体" w:eastAsia="宋体" w:cs="宋体"/>
          <w:b/>
          <w:color w:val="auto"/>
          <w:sz w:val="32"/>
          <w:szCs w:val="32"/>
          <w:highlight w:val="none"/>
        </w:rPr>
        <w:t>（业主单位）</w:t>
      </w:r>
    </w:p>
    <w:p>
      <w:pPr>
        <w:spacing w:line="360" w:lineRule="auto"/>
        <w:ind w:firstLine="2123" w:firstLineChars="661"/>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广州南沙建设维护管理有限公司（建设管理单位）</w:t>
      </w:r>
    </w:p>
    <w:p>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2022年</w:t>
      </w:r>
      <w:r>
        <w:rPr>
          <w:rFonts w:hint="eastAsia" w:ascii="宋体" w:hAnsi="宋体" w:eastAsia="宋体" w:cs="宋体"/>
          <w:b/>
          <w:color w:val="auto"/>
          <w:sz w:val="32"/>
          <w:szCs w:val="32"/>
          <w:highlight w:val="none"/>
          <w:lang w:val="en-US" w:eastAsia="zh-CN"/>
        </w:rPr>
        <w:t>9</w:t>
      </w:r>
      <w:r>
        <w:rPr>
          <w:rFonts w:hint="eastAsia" w:ascii="宋体" w:hAnsi="宋体" w:eastAsia="宋体" w:cs="宋体"/>
          <w:b/>
          <w:color w:val="auto"/>
          <w:sz w:val="32"/>
          <w:szCs w:val="32"/>
          <w:highlight w:val="none"/>
          <w:lang w:eastAsia="zh-CN"/>
        </w:rPr>
        <w:t>月</w:t>
      </w:r>
      <w:r>
        <w:rPr>
          <w:rFonts w:hint="eastAsia" w:ascii="宋体" w:hAnsi="宋体" w:eastAsia="宋体" w:cs="宋体"/>
          <w:b/>
          <w:color w:val="auto"/>
          <w:sz w:val="32"/>
          <w:szCs w:val="32"/>
          <w:highlight w:val="none"/>
        </w:rPr>
        <w:t xml:space="preserve">  </w:t>
      </w:r>
    </w:p>
    <w:p>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1"/>
            <w:tabs>
              <w:tab w:val="right" w:leader="dot" w:pos="9419"/>
            </w:tabs>
            <w:spacing w:line="360" w:lineRule="auto"/>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color w:val="auto"/>
              <w:highlight w:val="none"/>
            </w:rPr>
            <w:fldChar w:fldCharType="begin"/>
          </w:r>
          <w:r>
            <w:rPr>
              <w:color w:val="auto"/>
              <w:highlight w:val="none"/>
            </w:rPr>
            <w:instrText xml:space="preserve"> HYPERLINK \l "_Toc17710" </w:instrText>
          </w:r>
          <w:r>
            <w:rPr>
              <w:color w:val="auto"/>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_Toc17710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"_Toc32057" </w:instrText>
          </w:r>
          <w:r>
            <w:rPr>
              <w:color w:val="auto"/>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_Toc32057 \h </w:instrText>
          </w:r>
          <w:r>
            <w:rPr>
              <w:color w:val="auto"/>
              <w:sz w:val="32"/>
              <w:szCs w:val="32"/>
              <w:highlight w:val="none"/>
            </w:rPr>
            <w:fldChar w:fldCharType="separate"/>
          </w:r>
          <w:r>
            <w:rPr>
              <w:color w:val="auto"/>
              <w:sz w:val="32"/>
              <w:szCs w:val="32"/>
              <w:highlight w:val="none"/>
            </w:rPr>
            <w:t>14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"_Toc1265" </w:instrText>
          </w:r>
          <w:r>
            <w:rPr>
              <w:color w:val="auto"/>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_Toc1265 \h </w:instrText>
          </w:r>
          <w:r>
            <w:rPr>
              <w:color w:val="auto"/>
              <w:sz w:val="32"/>
              <w:szCs w:val="32"/>
              <w:highlight w:val="none"/>
            </w:rPr>
            <w:fldChar w:fldCharType="separate"/>
          </w:r>
          <w:r>
            <w:rPr>
              <w:color w:val="auto"/>
              <w:sz w:val="32"/>
              <w:szCs w:val="32"/>
              <w:highlight w:val="none"/>
            </w:rPr>
            <w:t>26</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"_Toc14580" </w:instrText>
          </w:r>
          <w:r>
            <w:rPr>
              <w:color w:val="auto"/>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_Toc14580 \h </w:instrText>
          </w:r>
          <w:r>
            <w:rPr>
              <w:color w:val="auto"/>
              <w:sz w:val="32"/>
              <w:szCs w:val="32"/>
              <w:highlight w:val="none"/>
            </w:rPr>
            <w:fldChar w:fldCharType="separate"/>
          </w:r>
          <w:r>
            <w:rPr>
              <w:color w:val="auto"/>
              <w:sz w:val="32"/>
              <w:szCs w:val="32"/>
              <w:highlight w:val="none"/>
            </w:rPr>
            <w:t>34</w:t>
          </w:r>
          <w:r>
            <w:rPr>
              <w:color w:val="auto"/>
              <w:sz w:val="32"/>
              <w:szCs w:val="32"/>
              <w:highlight w:val="none"/>
            </w:rPr>
            <w:fldChar w:fldCharType="end"/>
          </w:r>
          <w:r>
            <w:rPr>
              <w:color w:val="auto"/>
              <w:sz w:val="32"/>
              <w:szCs w:val="32"/>
              <w:highlight w:val="none"/>
            </w:rPr>
            <w:fldChar w:fldCharType="end"/>
          </w:r>
        </w:p>
        <w:p>
          <w:pPr>
            <w:pStyle w:val="11"/>
            <w:tabs>
              <w:tab w:val="right" w:leader="dot" w:pos="9419"/>
            </w:tabs>
            <w:spacing w:line="360" w:lineRule="auto"/>
            <w:rPr>
              <w:color w:val="auto"/>
              <w:sz w:val="32"/>
              <w:szCs w:val="32"/>
              <w:highlight w:val="none"/>
            </w:rPr>
          </w:pPr>
          <w:r>
            <w:rPr>
              <w:color w:val="auto"/>
              <w:highlight w:val="none"/>
            </w:rPr>
            <w:fldChar w:fldCharType="begin"/>
          </w:r>
          <w:r>
            <w:rPr>
              <w:color w:val="auto"/>
              <w:highlight w:val="none"/>
            </w:rPr>
            <w:instrText xml:space="preserve"> HYPERLINK \l "_Toc27480" </w:instrText>
          </w:r>
          <w:r>
            <w:rPr>
              <w:color w:val="auto"/>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_Toc27480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color w:val="auto"/>
              <w:sz w:val="32"/>
              <w:szCs w:val="32"/>
              <w:highlight w:val="none"/>
            </w:rPr>
            <w:fldChar w:fldCharType="end"/>
          </w:r>
        </w:p>
        <w:p>
          <w:pPr>
            <w:spacing w:line="360" w:lineRule="auto"/>
            <w:rPr>
              <w:color w:val="auto"/>
              <w:highlight w:val="none"/>
            </w:rPr>
          </w:pPr>
          <w:r>
            <w:rPr>
              <w:rFonts w:hint="eastAsia" w:asciiTheme="minorEastAsia" w:hAnsiTheme="minorEastAsia" w:cstheme="minorEastAsia"/>
              <w:color w:val="auto"/>
              <w:sz w:val="32"/>
              <w:szCs w:val="32"/>
              <w:highlight w:val="none"/>
            </w:rPr>
            <w:fldChar w:fldCharType="end"/>
          </w:r>
        </w:p>
      </w:sdtContent>
    </w:sdt>
    <w:p>
      <w:pPr>
        <w:pStyle w:val="12"/>
        <w:widowControl/>
        <w:spacing w:after="0" w:line="360" w:lineRule="auto"/>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r>
        <w:rPr>
          <w:rFonts w:hint="eastAsia" w:ascii="黑体" w:hAnsi="宋体" w:cs="黑体"/>
          <w:b/>
          <w:color w:val="auto"/>
          <w:kern w:val="44"/>
          <w:sz w:val="44"/>
          <w:szCs w:val="44"/>
          <w:highlight w:val="none"/>
        </w:rPr>
        <w:t>第1章 投标须知及前附表</w:t>
      </w:r>
      <w:bookmarkEnd w:id="2"/>
      <w:bookmarkEnd w:id="3"/>
    </w:p>
    <w:p>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2"/>
              <w:widowControl/>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cs="宋体"/>
                <w:color w:val="auto"/>
                <w:highlight w:val="none"/>
                <w:lang w:eastAsia="zh-CN"/>
              </w:rPr>
              <w:t>南沙湿地“渔唱晚主题酒店及疍家水岸广场”项目设计服务</w:t>
            </w:r>
          </w:p>
        </w:tc>
      </w:tr>
      <w:tr>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eastAsia="宋体" w:cs="宋体"/>
                <w:color w:val="auto"/>
                <w:highlight w:val="none"/>
                <w:lang w:eastAsia="zh-CN"/>
              </w:rPr>
            </w:pPr>
            <w:r>
              <w:rPr>
                <w:rFonts w:hint="eastAsia" w:ascii="宋体" w:hAnsi="宋体" w:cs="宋体"/>
                <w:color w:val="auto"/>
                <w:highlight w:val="none"/>
              </w:rPr>
              <w:t>广州市南沙区</w:t>
            </w:r>
            <w:r>
              <w:rPr>
                <w:rFonts w:hint="eastAsia" w:ascii="宋体" w:hAnsi="宋体" w:cs="宋体"/>
                <w:color w:val="auto"/>
                <w:sz w:val="21"/>
                <w:szCs w:val="21"/>
                <w:highlight w:val="none"/>
                <w:lang w:eastAsia="zh-CN"/>
              </w:rPr>
              <w:t>十九涌南沙湿地公园景区内</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cs="宋体"/>
                <w:color w:val="auto"/>
                <w:highlight w:val="none"/>
              </w:rPr>
            </w:pPr>
            <w:r>
              <w:rPr>
                <w:rFonts w:hint="eastAsia" w:ascii="宋体" w:hAnsi="宋体" w:eastAsia="宋体" w:cs="宋体"/>
                <w:color w:val="auto"/>
                <w:spacing w:val="0"/>
                <w:w w:val="100"/>
                <w:position w:val="0"/>
                <w:sz w:val="21"/>
                <w:szCs w:val="21"/>
                <w:highlight w:val="none"/>
              </w:rPr>
              <w:t>项目主要包括酒店、船屋、栈道+平台、广场等设施, 分为</w:t>
            </w:r>
            <w:r>
              <w:rPr>
                <w:rFonts w:hint="eastAsia" w:ascii="宋体" w:hAnsi="宋体" w:eastAsia="宋体" w:cs="宋体"/>
                <w:color w:val="auto"/>
                <w:spacing w:val="0"/>
                <w:w w:val="100"/>
                <w:position w:val="0"/>
                <w:sz w:val="21"/>
                <w:szCs w:val="21"/>
                <w:highlight w:val="none"/>
                <w:lang w:val="zh-CN" w:eastAsia="zh-CN" w:bidi="zh-CN"/>
              </w:rPr>
              <w:t>“渔</w:t>
            </w:r>
            <w:r>
              <w:rPr>
                <w:rFonts w:hint="eastAsia" w:ascii="宋体" w:hAnsi="宋体" w:eastAsia="宋体" w:cs="宋体"/>
                <w:color w:val="auto"/>
                <w:spacing w:val="0"/>
                <w:w w:val="100"/>
                <w:position w:val="0"/>
                <w:sz w:val="21"/>
                <w:szCs w:val="21"/>
                <w:highlight w:val="none"/>
              </w:rPr>
              <w:t>唱晩主题酒店</w:t>
            </w:r>
            <w:r>
              <w:rPr>
                <w:rFonts w:hint="eastAsia" w:ascii="宋体" w:hAnsi="宋体" w:eastAsia="宋体" w:cs="宋体"/>
                <w:color w:val="auto"/>
                <w:spacing w:val="0"/>
                <w:w w:val="100"/>
                <w:position w:val="0"/>
                <w:sz w:val="21"/>
                <w:szCs w:val="21"/>
                <w:highlight w:val="none"/>
                <w:lang w:val="zh-CN" w:eastAsia="zh-CN" w:bidi="zh-CN"/>
              </w:rPr>
              <w:t>”和</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 w:val="21"/>
                <w:szCs w:val="21"/>
                <w:highlight w:val="none"/>
                <w:lang w:eastAsia="zh-CN"/>
              </w:rPr>
              <w:t>疍</w:t>
            </w:r>
            <w:r>
              <w:rPr>
                <w:rFonts w:hint="eastAsia" w:ascii="宋体" w:hAnsi="宋体" w:eastAsia="宋体" w:cs="宋体"/>
                <w:color w:val="auto"/>
                <w:spacing w:val="0"/>
                <w:w w:val="100"/>
                <w:position w:val="0"/>
                <w:sz w:val="21"/>
                <w:szCs w:val="21"/>
                <w:highlight w:val="none"/>
              </w:rPr>
              <w:t>家水岸广场”</w:t>
            </w:r>
            <w:r>
              <w:rPr>
                <w:rFonts w:hint="eastAsia" w:ascii="宋体" w:hAnsi="宋体" w:eastAsia="宋体" w:cs="宋体"/>
                <w:color w:val="auto"/>
                <w:spacing w:val="0"/>
                <w:w w:val="100"/>
                <w:position w:val="0"/>
                <w:sz w:val="21"/>
                <w:szCs w:val="21"/>
                <w:highlight w:val="none"/>
                <w:lang w:eastAsia="zh-CN"/>
              </w:rPr>
              <w:t>两</w:t>
            </w:r>
            <w:r>
              <w:rPr>
                <w:rFonts w:hint="eastAsia" w:ascii="宋体" w:hAnsi="宋体" w:eastAsia="宋体" w:cs="宋体"/>
                <w:color w:val="auto"/>
                <w:spacing w:val="0"/>
                <w:w w:val="100"/>
                <w:position w:val="0"/>
                <w:sz w:val="21"/>
                <w:szCs w:val="21"/>
                <w:highlight w:val="none"/>
              </w:rPr>
              <w:t>大部分，总建筑面积约</w:t>
            </w:r>
            <w:r>
              <w:rPr>
                <w:rFonts w:hint="eastAsia" w:ascii="宋体" w:hAnsi="宋体" w:eastAsia="宋体" w:cs="宋体"/>
                <w:color w:val="auto"/>
                <w:spacing w:val="0"/>
                <w:w w:val="100"/>
                <w:position w:val="0"/>
                <w:sz w:val="21"/>
                <w:szCs w:val="21"/>
                <w:highlight w:val="none"/>
                <w:lang w:val="en-US" w:eastAsia="zh-CN" w:bidi="en-US"/>
              </w:rPr>
              <w:t>3650㎡,</w:t>
            </w:r>
            <w:r>
              <w:rPr>
                <w:rFonts w:hint="eastAsia" w:ascii="宋体" w:hAnsi="宋体" w:eastAsia="宋体" w:cs="宋体"/>
                <w:color w:val="auto"/>
                <w:spacing w:val="0"/>
                <w:w w:val="100"/>
                <w:position w:val="0"/>
                <w:sz w:val="21"/>
                <w:szCs w:val="21"/>
                <w:highlight w:val="none"/>
              </w:rPr>
              <w:t>其中：</w:t>
            </w:r>
            <w:r>
              <w:rPr>
                <w:rFonts w:hint="eastAsia" w:ascii="宋体" w:hAnsi="宋体" w:eastAsia="宋体" w:cs="宋体"/>
                <w:color w:val="auto"/>
                <w:spacing w:val="0"/>
                <w:w w:val="100"/>
                <w:position w:val="0"/>
                <w:sz w:val="21"/>
                <w:szCs w:val="21"/>
                <w:highlight w:val="none"/>
                <w:lang w:val="zh-CN" w:eastAsia="zh-CN" w:bidi="zh-CN"/>
              </w:rPr>
              <w:t>“渔</w:t>
            </w:r>
            <w:r>
              <w:rPr>
                <w:rFonts w:hint="eastAsia" w:ascii="宋体" w:hAnsi="宋体" w:eastAsia="宋体" w:cs="宋体"/>
                <w:color w:val="auto"/>
                <w:spacing w:val="0"/>
                <w:w w:val="100"/>
                <w:position w:val="0"/>
                <w:sz w:val="21"/>
                <w:szCs w:val="21"/>
                <w:highlight w:val="none"/>
              </w:rPr>
              <w:t>唱晩主题酒店</w:t>
            </w:r>
            <w:r>
              <w:rPr>
                <w:rFonts w:hint="eastAsia" w:ascii="宋体" w:hAnsi="宋体" w:eastAsia="宋体" w:cs="宋体"/>
                <w:color w:val="auto"/>
                <w:spacing w:val="0"/>
                <w:w w:val="100"/>
                <w:position w:val="0"/>
                <w:sz w:val="21"/>
                <w:szCs w:val="21"/>
                <w:highlight w:val="none"/>
                <w:lang w:val="zh-CN" w:eastAsia="zh-CN" w:bidi="zh-CN"/>
              </w:rPr>
              <w:t>”</w:t>
            </w:r>
            <w:r>
              <w:rPr>
                <w:rFonts w:hint="eastAsia" w:ascii="宋体" w:hAnsi="宋体" w:eastAsia="宋体" w:cs="宋体"/>
                <w:color w:val="auto"/>
                <w:spacing w:val="0"/>
                <w:w w:val="100"/>
                <w:position w:val="0"/>
                <w:sz w:val="21"/>
                <w:szCs w:val="21"/>
                <w:highlight w:val="none"/>
              </w:rPr>
              <w:t>建筑面积约2</w:t>
            </w:r>
            <w:r>
              <w:rPr>
                <w:rFonts w:hint="eastAsia" w:ascii="宋体" w:hAnsi="宋体" w:eastAsia="宋体" w:cs="宋体"/>
                <w:color w:val="auto"/>
                <w:spacing w:val="0"/>
                <w:w w:val="100"/>
                <w:position w:val="0"/>
                <w:sz w:val="21"/>
                <w:szCs w:val="21"/>
                <w:highlight w:val="none"/>
                <w:lang w:val="en-US" w:eastAsia="zh-CN" w:bidi="en-US"/>
              </w:rPr>
              <w:t>300㎡，</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color w:val="auto"/>
                <w:sz w:val="21"/>
                <w:szCs w:val="21"/>
                <w:highlight w:val="none"/>
                <w:lang w:eastAsia="zh-CN"/>
              </w:rPr>
              <w:t>疍</w:t>
            </w:r>
            <w:r>
              <w:rPr>
                <w:rFonts w:hint="eastAsia" w:ascii="宋体" w:hAnsi="宋体" w:eastAsia="宋体" w:cs="宋体"/>
                <w:color w:val="auto"/>
                <w:spacing w:val="0"/>
                <w:w w:val="100"/>
                <w:position w:val="0"/>
                <w:sz w:val="21"/>
                <w:szCs w:val="21"/>
                <w:highlight w:val="none"/>
              </w:rPr>
              <w:t>家水岸广场”建筑面积约</w:t>
            </w:r>
            <w:r>
              <w:rPr>
                <w:rFonts w:hint="eastAsia" w:ascii="宋体" w:hAnsi="宋体" w:eastAsia="宋体" w:cs="宋体"/>
                <w:color w:val="auto"/>
                <w:spacing w:val="0"/>
                <w:w w:val="100"/>
                <w:position w:val="0"/>
                <w:sz w:val="21"/>
                <w:szCs w:val="21"/>
                <w:highlight w:val="none"/>
                <w:lang w:val="en-US" w:eastAsia="zh-CN" w:bidi="en-US"/>
              </w:rPr>
              <w:t>l350㎡</w:t>
            </w:r>
            <w:r>
              <w:rPr>
                <w:rFonts w:hint="eastAsia" w:ascii="宋体" w:hAnsi="宋体" w:eastAsia="宋体" w:cs="宋体"/>
                <w:color w:val="auto"/>
                <w:sz w:val="21"/>
                <w:szCs w:val="21"/>
                <w:highlight w:val="none"/>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hint="eastAsia" w:ascii="宋体" w:hAnsi="宋体" w:cs="宋体"/>
                <w:color w:val="auto"/>
                <w:highlight w:val="none"/>
              </w:rPr>
            </w:pPr>
            <w:r>
              <w:rPr>
                <w:rFonts w:hint="eastAsia" w:ascii="宋体" w:hAnsi="宋体" w:cs="宋体"/>
                <w:color w:val="auto"/>
                <w:highlight w:val="none"/>
              </w:rPr>
              <w:t>总投资约</w:t>
            </w:r>
            <w:r>
              <w:rPr>
                <w:rFonts w:hint="eastAsia" w:ascii="宋体" w:hAnsi="宋体" w:cs="宋体"/>
                <w:color w:val="auto"/>
                <w:highlight w:val="none"/>
                <w:lang w:val="en-US" w:eastAsia="zh-CN"/>
              </w:rPr>
              <w:t>3000</w:t>
            </w:r>
            <w:r>
              <w:rPr>
                <w:rFonts w:hint="eastAsia" w:ascii="宋体" w:hAnsi="宋体" w:cs="宋体"/>
                <w:color w:val="auto"/>
                <w:highlight w:val="none"/>
              </w:rPr>
              <w:t>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合格</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设计服务内容</w:t>
            </w:r>
            <w:r>
              <w:rPr>
                <w:rFonts w:hint="eastAsia" w:ascii="宋体" w:hAnsi="宋体" w:cs="宋体"/>
                <w:color w:val="auto"/>
                <w:highlight w:val="none"/>
                <w:lang w:eastAsia="zh-CN"/>
              </w:rPr>
              <w:t>包括但不限于方案</w:t>
            </w:r>
            <w:r>
              <w:rPr>
                <w:rFonts w:hint="eastAsia" w:ascii="宋体" w:hAnsi="宋体" w:cs="宋体"/>
                <w:color w:val="auto"/>
                <w:highlight w:val="none"/>
                <w:lang w:val="en-US" w:eastAsia="zh-CN"/>
              </w:rPr>
              <w:t>深化</w:t>
            </w:r>
            <w:r>
              <w:rPr>
                <w:rFonts w:hint="eastAsia" w:ascii="宋体" w:hAnsi="宋体" w:cs="宋体"/>
                <w:color w:val="auto"/>
                <w:highlight w:val="none"/>
                <w:lang w:eastAsia="zh-CN"/>
              </w:rPr>
              <w:t>设计、</w:t>
            </w:r>
            <w:r>
              <w:rPr>
                <w:rFonts w:hint="eastAsia" w:ascii="宋体" w:hAnsi="宋体" w:eastAsia="宋体" w:cs="宋体"/>
                <w:color w:val="auto"/>
                <w:sz w:val="21"/>
                <w:szCs w:val="21"/>
                <w:highlight w:val="none"/>
              </w:rPr>
              <w:t>初步设计</w:t>
            </w:r>
            <w:r>
              <w:rPr>
                <w:rFonts w:hint="eastAsia" w:ascii="宋体" w:hAnsi="宋体" w:eastAsia="宋体" w:cs="宋体"/>
                <w:color w:val="auto"/>
                <w:sz w:val="21"/>
                <w:szCs w:val="21"/>
                <w:highlight w:val="none"/>
                <w:lang w:val="en-US" w:eastAsia="zh-CN"/>
              </w:rPr>
              <w:t>及</w:t>
            </w:r>
            <w:r>
              <w:rPr>
                <w:rFonts w:hint="eastAsia" w:ascii="宋体" w:hAnsi="宋体" w:eastAsia="宋体" w:cs="宋体"/>
                <w:color w:val="auto"/>
                <w:sz w:val="21"/>
                <w:szCs w:val="21"/>
                <w:highlight w:val="none"/>
                <w:lang w:eastAsia="zh-CN"/>
              </w:rPr>
              <w:t>初步设计概算编制</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初步设计评审、</w:t>
            </w:r>
            <w:r>
              <w:rPr>
                <w:rFonts w:hint="eastAsia" w:ascii="宋体" w:hAnsi="宋体" w:eastAsia="宋体" w:cs="宋体"/>
                <w:color w:val="auto"/>
                <w:sz w:val="21"/>
                <w:szCs w:val="21"/>
                <w:highlight w:val="none"/>
              </w:rPr>
              <w:t>施工图设计</w:t>
            </w:r>
            <w:r>
              <w:rPr>
                <w:rFonts w:hint="eastAsia" w:ascii="宋体" w:hAnsi="宋体" w:cs="宋体"/>
                <w:color w:val="auto"/>
                <w:sz w:val="21"/>
                <w:szCs w:val="21"/>
                <w:highlight w:val="none"/>
                <w:lang w:eastAsia="zh-CN"/>
              </w:rPr>
              <w:t>、竣工图审核</w:t>
            </w:r>
            <w:r>
              <w:rPr>
                <w:rFonts w:hint="eastAsia" w:ascii="宋体" w:hAnsi="宋体" w:eastAsia="宋体" w:cs="宋体"/>
                <w:color w:val="auto"/>
                <w:sz w:val="21"/>
                <w:szCs w:val="21"/>
                <w:highlight w:val="none"/>
              </w:rPr>
              <w:t>及施工配合服务等</w:t>
            </w:r>
            <w:r>
              <w:rPr>
                <w:rFonts w:hint="eastAsia" w:ascii="宋体" w:hAnsi="宋体" w:cs="宋体"/>
                <w:color w:val="auto"/>
                <w:highlight w:val="none"/>
              </w:rPr>
              <w:t>。本次招标要求中标单位有一定的服务质量保证，且具有对本项目建设特点有相关设计经验，信誉可靠。</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自招标人发出</w:t>
            </w:r>
            <w:r>
              <w:rPr>
                <w:rFonts w:hint="eastAsia" w:ascii="宋体" w:hAnsi="宋体" w:eastAsia="宋体" w:cs="宋体"/>
                <w:color w:val="auto"/>
                <w:sz w:val="21"/>
                <w:szCs w:val="21"/>
                <w:highlight w:val="none"/>
                <w:lang w:val="en-US" w:eastAsia="zh-CN"/>
              </w:rPr>
              <w:t>中标通知书后，至项目完成财评结算止。</w:t>
            </w:r>
          </w:p>
          <w:p>
            <w:pPr>
              <w:spacing w:line="360" w:lineRule="auto"/>
              <w:rPr>
                <w:rFonts w:ascii="宋体" w:hAnsi="宋体" w:eastAsia="宋体" w:cs="宋体"/>
                <w:color w:val="auto"/>
                <w:szCs w:val="21"/>
                <w:highlight w:val="none"/>
              </w:rPr>
            </w:pPr>
            <w:r>
              <w:rPr>
                <w:rFonts w:hint="eastAsia" w:ascii="宋体" w:hAnsi="宋体" w:eastAsia="宋体" w:cs="宋体"/>
                <w:color w:val="auto"/>
                <w:sz w:val="21"/>
                <w:szCs w:val="21"/>
                <w:highlight w:val="none"/>
              </w:rPr>
              <w:t>出图要求：</w:t>
            </w:r>
            <w:r>
              <w:rPr>
                <w:rFonts w:hint="eastAsia" w:ascii="宋体" w:hAnsi="宋体" w:eastAsia="宋体" w:cs="宋体"/>
                <w:color w:val="auto"/>
                <w:sz w:val="21"/>
                <w:szCs w:val="21"/>
                <w:highlight w:val="none"/>
                <w:lang w:eastAsia="zh-CN"/>
              </w:rPr>
              <w:t>招标人发出中标通知书后，</w:t>
            </w:r>
            <w:r>
              <w:rPr>
                <w:rFonts w:hint="eastAsia" w:ascii="宋体" w:hAnsi="宋体" w:eastAsia="宋体" w:cs="宋体"/>
                <w:color w:val="auto"/>
                <w:sz w:val="21"/>
                <w:szCs w:val="21"/>
                <w:highlight w:val="none"/>
                <w:lang w:val="en-US" w:eastAsia="zh-CN"/>
              </w:rPr>
              <w:t>1</w:t>
            </w:r>
            <w:r>
              <w:rPr>
                <w:rFonts w:ascii="宋体" w:hAnsi="宋体" w:eastAsia="宋体" w:cs="宋体"/>
                <w:color w:val="auto"/>
                <w:sz w:val="21"/>
                <w:szCs w:val="21"/>
                <w:highlight w:val="none"/>
              </w:rPr>
              <w:t>0个日历天内完成合同范围内全部施工图纸。</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投标人具有建设行政主管部门颁发的工程设计综合资质甲级，或建筑行业设计</w:t>
            </w:r>
            <w:r>
              <w:rPr>
                <w:rFonts w:hint="eastAsia" w:ascii="宋体" w:hAnsi="宋体" w:cs="宋体"/>
                <w:color w:val="auto"/>
                <w:highlight w:val="none"/>
                <w:lang w:eastAsia="zh-CN"/>
              </w:rPr>
              <w:t>丙</w:t>
            </w:r>
            <w:r>
              <w:rPr>
                <w:rFonts w:hint="eastAsia" w:ascii="宋体" w:hAnsi="宋体" w:cs="宋体"/>
                <w:color w:val="auto"/>
                <w:highlight w:val="none"/>
              </w:rPr>
              <w:t>级(或以上）资质或建筑行业（建筑工程）专业</w:t>
            </w:r>
            <w:r>
              <w:rPr>
                <w:rFonts w:hint="eastAsia" w:ascii="宋体" w:hAnsi="宋体" w:cs="宋体"/>
                <w:color w:val="auto"/>
                <w:highlight w:val="none"/>
                <w:lang w:eastAsia="zh-CN"/>
              </w:rPr>
              <w:t>设计丙</w:t>
            </w:r>
            <w:r>
              <w:rPr>
                <w:rFonts w:hint="eastAsia" w:ascii="宋体" w:hAnsi="宋体" w:cs="宋体"/>
                <w:color w:val="auto"/>
                <w:highlight w:val="none"/>
              </w:rPr>
              <w:t>级(或以上）资质或建筑工程设计事务所资质</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12"/>
              <w:widowControl/>
              <w:spacing w:after="0"/>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1、项目负责人要求：具有二级或以上注册建筑师资格证书。</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2、其他专业负责人要求：</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（1）具有建筑相关专业中级职称或以上；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（2）具有结构相关专业中级职称或以上；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（3）具有给排水相关专业中级职称或以上；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（4）具有暖通空调相关专业中级职称或以上；</w:t>
            </w:r>
          </w:p>
          <w:p>
            <w:pPr>
              <w:spacing w:line="400" w:lineRule="exact"/>
              <w:contextualSpacing/>
              <w:rPr>
                <w:rFonts w:ascii="宋体" w:hAnsi="宋体" w:eastAsia="宋体" w:cs="宋体"/>
                <w:color w:val="auto"/>
                <w:szCs w:val="21"/>
                <w:highlight w:val="none"/>
              </w:rPr>
            </w:pPr>
            <w:r>
              <w:rPr>
                <w:rFonts w:hint="eastAsia" w:ascii="宋体" w:hAnsi="宋体" w:eastAsia="宋体" w:cs="宋体"/>
                <w:color w:val="auto"/>
                <w:szCs w:val="21"/>
                <w:highlight w:val="none"/>
              </w:rPr>
              <w:t>（5）具有电气相关专业中级职称或以上；</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w:t>
            </w:r>
          </w:p>
        </w:tc>
      </w:tr>
      <w:tr>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spacing w:line="360" w:lineRule="auto"/>
              <w:ind w:firstLine="0"/>
              <w:rPr>
                <w:rFonts w:hint="default" w:ascii="宋体" w:hAnsi="宋体" w:cs="宋体" w:eastAsiaTheme="minorEastAsia"/>
                <w:color w:val="auto"/>
                <w:kern w:val="2"/>
                <w:sz w:val="21"/>
                <w:szCs w:val="21"/>
                <w:highlight w:val="none"/>
              </w:rPr>
            </w:pPr>
            <w:r>
              <w:rPr>
                <w:rFonts w:hint="default" w:ascii="宋体" w:hAnsi="宋体" w:cs="宋体" w:eastAsiaTheme="minorEastAsia"/>
                <w:color w:val="auto"/>
                <w:kern w:val="2"/>
                <w:sz w:val="21"/>
                <w:szCs w:val="21"/>
                <w:highlight w:val="none"/>
              </w:rPr>
              <w:t>本次设计服务招标最高投标限价为</w:t>
            </w:r>
            <w:r>
              <w:rPr>
                <w:rFonts w:hint="default" w:ascii="宋体" w:hAnsi="宋体" w:cs="宋体" w:eastAsiaTheme="minorEastAsia"/>
                <w:b w:val="0"/>
                <w:bCs w:val="0"/>
                <w:color w:val="auto"/>
                <w:kern w:val="2"/>
                <w:sz w:val="21"/>
                <w:szCs w:val="21"/>
                <w:highlight w:val="none"/>
                <w:lang w:val="en-US" w:eastAsia="zh-CN"/>
              </w:rPr>
              <w:t>758700</w:t>
            </w:r>
            <w:r>
              <w:rPr>
                <w:rFonts w:hint="default" w:ascii="宋体" w:hAnsi="宋体" w:cs="宋体" w:eastAsiaTheme="minorEastAsia"/>
                <w:color w:val="auto"/>
                <w:kern w:val="2"/>
                <w:sz w:val="21"/>
                <w:szCs w:val="21"/>
                <w:highlight w:val="none"/>
                <w:lang w:val="en-US" w:eastAsia="zh-CN"/>
              </w:rPr>
              <w:t>.00</w:t>
            </w:r>
            <w:r>
              <w:rPr>
                <w:rFonts w:hint="default" w:ascii="宋体" w:hAnsi="宋体" w:cs="宋体" w:eastAsiaTheme="minorEastAsia"/>
                <w:color w:val="auto"/>
                <w:kern w:val="2"/>
                <w:sz w:val="21"/>
                <w:szCs w:val="21"/>
                <w:highlight w:val="none"/>
              </w:rPr>
              <w:t>元</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暂按工程建安费</w:t>
            </w:r>
            <w:r>
              <w:rPr>
                <w:rFonts w:hint="default" w:ascii="宋体" w:hAnsi="宋体" w:cs="宋体" w:eastAsiaTheme="minorEastAsia"/>
                <w:color w:val="auto"/>
                <w:kern w:val="2"/>
                <w:sz w:val="21"/>
                <w:szCs w:val="21"/>
                <w:highlight w:val="none"/>
                <w:lang w:val="en-US" w:eastAsia="zh-CN"/>
              </w:rPr>
              <w:t>2400</w:t>
            </w:r>
            <w:r>
              <w:rPr>
                <w:rFonts w:hint="default" w:ascii="宋体" w:hAnsi="宋体" w:cs="宋体" w:eastAsiaTheme="minorEastAsia"/>
                <w:color w:val="auto"/>
                <w:kern w:val="2"/>
                <w:sz w:val="21"/>
                <w:szCs w:val="21"/>
                <w:highlight w:val="none"/>
              </w:rPr>
              <w:t>万元为计费基数</w:t>
            </w:r>
            <w:r>
              <w:rPr>
                <w:rFonts w:hint="default" w:ascii="宋体" w:hAnsi="宋体" w:cs="宋体" w:eastAsiaTheme="minorEastAsia"/>
                <w:color w:val="auto"/>
                <w:kern w:val="2"/>
                <w:sz w:val="21"/>
                <w:szCs w:val="21"/>
                <w:highlight w:val="none"/>
                <w:lang w:eastAsia="zh-CN"/>
              </w:rPr>
              <w:t>，</w:t>
            </w:r>
            <w:r>
              <w:rPr>
                <w:rFonts w:hint="default" w:ascii="宋体" w:hAnsi="宋体" w:cs="宋体" w:eastAsiaTheme="minorEastAsia"/>
                <w:color w:val="auto"/>
                <w:kern w:val="2"/>
                <w:sz w:val="21"/>
                <w:szCs w:val="21"/>
                <w:highlight w:val="none"/>
              </w:rPr>
              <w:t>参照国家发展计划委员会、建设部2002年颁布的《工程勘察设计收费标准》计价格【2002】10号文</w:t>
            </w:r>
            <w:r>
              <w:rPr>
                <w:rFonts w:hint="default" w:ascii="宋体" w:hAnsi="宋体" w:cs="宋体" w:eastAsiaTheme="minorEastAsia"/>
                <w:color w:val="auto"/>
                <w:kern w:val="2"/>
                <w:sz w:val="21"/>
                <w:szCs w:val="21"/>
                <w:highlight w:val="none"/>
                <w:lang w:eastAsia="zh-CN"/>
              </w:rPr>
              <w:t>为计费标准，</w:t>
            </w:r>
            <w:r>
              <w:rPr>
                <w:rFonts w:hint="default" w:ascii="宋体" w:hAnsi="宋体" w:cs="宋体" w:eastAsiaTheme="minorEastAsia"/>
                <w:color w:val="auto"/>
                <w:kern w:val="2"/>
                <w:sz w:val="21"/>
                <w:szCs w:val="21"/>
                <w:highlight w:val="none"/>
              </w:rPr>
              <w:t>计算出基本设计费用，乘以设计费调整系数（</w:t>
            </w:r>
            <w:r>
              <w:rPr>
                <w:rFonts w:hint="default" w:ascii="宋体" w:hAnsi="宋体" w:cs="宋体" w:eastAsiaTheme="minorEastAsia"/>
                <w:b w:val="0"/>
                <w:bCs w:val="0"/>
                <w:color w:val="auto"/>
                <w:kern w:val="2"/>
                <w:sz w:val="21"/>
                <w:szCs w:val="21"/>
                <w:highlight w:val="none"/>
                <w:lang w:val="en-US" w:eastAsia="zh-CN" w:bidi="ar-SA"/>
              </w:rPr>
              <w:t>专业调整系数1.0，工程复杂程度调整系数为1.0，附加调整系数为1.0</w:t>
            </w:r>
            <w:r>
              <w:rPr>
                <w:rFonts w:hint="default" w:ascii="宋体" w:hAnsi="宋体" w:cs="宋体" w:eastAsiaTheme="minorEastAsia"/>
                <w:color w:val="auto"/>
                <w:kern w:val="2"/>
                <w:sz w:val="21"/>
                <w:szCs w:val="21"/>
                <w:highlight w:val="none"/>
              </w:rPr>
              <w:t>）再乘以（1-下浮率</w:t>
            </w:r>
            <w:r>
              <w:rPr>
                <w:rFonts w:hint="default" w:ascii="宋体" w:hAnsi="宋体" w:cs="宋体" w:eastAsiaTheme="minorEastAsia"/>
                <w:color w:val="auto"/>
                <w:kern w:val="2"/>
                <w:sz w:val="21"/>
                <w:szCs w:val="21"/>
                <w:highlight w:val="none"/>
                <w:lang w:val="en-US" w:eastAsia="zh-CN"/>
              </w:rPr>
              <w:t>10%</w:t>
            </w:r>
            <w:r>
              <w:rPr>
                <w:rFonts w:hint="default" w:ascii="宋体" w:hAnsi="宋体" w:cs="宋体" w:eastAsiaTheme="minorEastAsia"/>
                <w:color w:val="auto"/>
                <w:kern w:val="2"/>
                <w:sz w:val="21"/>
                <w:szCs w:val="21"/>
                <w:highlight w:val="none"/>
              </w:rPr>
              <w:t>）计算得出</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w:t>
            </w:r>
          </w:p>
          <w:p>
            <w:pPr>
              <w:pStyle w:val="2"/>
              <w:spacing w:line="360" w:lineRule="auto"/>
              <w:ind w:firstLine="0"/>
              <w:rPr>
                <w:rFonts w:hint="default" w:ascii="宋体" w:hAnsi="宋体" w:cs="宋体" w:eastAsiaTheme="minorEastAsia"/>
                <w:color w:val="auto"/>
                <w:kern w:val="2"/>
                <w:sz w:val="21"/>
                <w:szCs w:val="21"/>
                <w:highlight w:val="none"/>
              </w:rPr>
            </w:pPr>
            <w:r>
              <w:rPr>
                <w:rFonts w:hint="eastAsia" w:ascii="宋体" w:hAnsi="宋体" w:cs="宋体" w:eastAsiaTheme="minorEastAsia"/>
                <w:color w:val="auto"/>
                <w:kern w:val="2"/>
                <w:sz w:val="21"/>
                <w:szCs w:val="21"/>
                <w:highlight w:val="none"/>
                <w:lang w:val="en-US" w:eastAsia="zh-CN"/>
              </w:rPr>
              <w:t>设计费</w:t>
            </w:r>
            <w:r>
              <w:rPr>
                <w:rFonts w:hint="default" w:ascii="宋体" w:hAnsi="宋体" w:cs="宋体" w:eastAsiaTheme="minorEastAsia"/>
                <w:color w:val="auto"/>
                <w:kern w:val="2"/>
                <w:sz w:val="21"/>
                <w:szCs w:val="21"/>
                <w:highlight w:val="none"/>
              </w:rPr>
              <w:t>结算价以</w:t>
            </w:r>
            <w:r>
              <w:rPr>
                <w:rFonts w:hint="eastAsia" w:ascii="宋体" w:hAnsi="宋体" w:cs="宋体" w:eastAsiaTheme="minorEastAsia"/>
                <w:color w:val="auto"/>
                <w:kern w:val="2"/>
                <w:sz w:val="21"/>
                <w:szCs w:val="21"/>
                <w:highlight w:val="none"/>
                <w:lang w:val="en-US" w:eastAsia="zh-CN"/>
              </w:rPr>
              <w:t>最终业主审定为准建安工程费的招标控制价</w:t>
            </w:r>
            <w:r>
              <w:rPr>
                <w:rFonts w:hint="default" w:ascii="宋体" w:hAnsi="宋体" w:cs="宋体" w:eastAsiaTheme="minorEastAsia"/>
                <w:color w:val="auto"/>
                <w:kern w:val="2"/>
                <w:sz w:val="21"/>
                <w:szCs w:val="21"/>
                <w:highlight w:val="none"/>
              </w:rPr>
              <w:t>为计费基数</w:t>
            </w:r>
            <w:r>
              <w:rPr>
                <w:rFonts w:hint="default" w:ascii="宋体" w:hAnsi="宋体" w:cs="宋体" w:eastAsiaTheme="minorEastAsia"/>
                <w:color w:val="auto"/>
                <w:kern w:val="2"/>
                <w:sz w:val="21"/>
                <w:szCs w:val="21"/>
                <w:highlight w:val="none"/>
                <w:lang w:eastAsia="zh-CN"/>
              </w:rPr>
              <w:t>，</w:t>
            </w:r>
            <w:r>
              <w:rPr>
                <w:rFonts w:hint="default" w:ascii="宋体" w:hAnsi="宋体" w:cs="宋体" w:eastAsiaTheme="minorEastAsia"/>
                <w:color w:val="auto"/>
                <w:kern w:val="2"/>
                <w:sz w:val="21"/>
                <w:szCs w:val="21"/>
                <w:highlight w:val="none"/>
              </w:rPr>
              <w:t>参照国家发展计划委员会、建设部2002年颁布的《工程勘察设计收费标准》计价格【2002】10号文</w:t>
            </w:r>
            <w:r>
              <w:rPr>
                <w:rFonts w:hint="default" w:ascii="宋体" w:hAnsi="宋体" w:cs="宋体" w:eastAsiaTheme="minorEastAsia"/>
                <w:color w:val="auto"/>
                <w:kern w:val="2"/>
                <w:sz w:val="21"/>
                <w:szCs w:val="21"/>
                <w:highlight w:val="none"/>
                <w:lang w:eastAsia="zh-CN"/>
              </w:rPr>
              <w:t>为计费标准</w:t>
            </w:r>
            <w:r>
              <w:rPr>
                <w:rFonts w:hint="default" w:ascii="宋体" w:hAnsi="宋体" w:cs="宋体" w:eastAsiaTheme="minorEastAsia"/>
                <w:color w:val="auto"/>
                <w:kern w:val="2"/>
                <w:sz w:val="21"/>
                <w:szCs w:val="21"/>
                <w:highlight w:val="none"/>
              </w:rPr>
              <w:t>，计算出基本设计费用，乘以设计费调整系数（</w:t>
            </w:r>
            <w:r>
              <w:rPr>
                <w:rFonts w:hint="default" w:ascii="宋体" w:hAnsi="宋体" w:cs="宋体" w:eastAsiaTheme="minorEastAsia"/>
                <w:b w:val="0"/>
                <w:bCs w:val="0"/>
                <w:color w:val="auto"/>
                <w:kern w:val="2"/>
                <w:sz w:val="21"/>
                <w:szCs w:val="21"/>
                <w:highlight w:val="none"/>
                <w:lang w:val="en-US" w:eastAsia="zh-CN" w:bidi="ar-SA"/>
              </w:rPr>
              <w:t>专业调整系数1.0，工程复杂程度调整系数为1.0，附加调整系数为1.0</w:t>
            </w:r>
            <w:r>
              <w:rPr>
                <w:rFonts w:hint="default" w:ascii="宋体" w:hAnsi="宋体" w:cs="宋体" w:eastAsiaTheme="minorEastAsia"/>
                <w:color w:val="auto"/>
                <w:kern w:val="2"/>
                <w:sz w:val="21"/>
                <w:szCs w:val="21"/>
                <w:highlight w:val="none"/>
              </w:rPr>
              <w:t>）再乘以</w:t>
            </w:r>
            <w:r>
              <w:rPr>
                <w:rFonts w:hint="default" w:ascii="宋体" w:hAnsi="宋体" w:cs="宋体" w:eastAsiaTheme="minorEastAsia"/>
                <w:color w:val="auto"/>
                <w:kern w:val="2"/>
                <w:sz w:val="21"/>
                <w:szCs w:val="21"/>
                <w:highlight w:val="none"/>
                <w:lang w:val="en-US" w:eastAsia="zh-CN"/>
              </w:rPr>
              <w:t>[</w:t>
            </w:r>
            <w:r>
              <w:rPr>
                <w:rFonts w:hint="default" w:ascii="宋体" w:hAnsi="宋体" w:cs="宋体" w:eastAsiaTheme="minorEastAsia"/>
                <w:color w:val="auto"/>
                <w:kern w:val="2"/>
                <w:sz w:val="21"/>
                <w:szCs w:val="21"/>
                <w:highlight w:val="none"/>
              </w:rPr>
              <w:t>1-</w:t>
            </w:r>
            <w:r>
              <w:rPr>
                <w:rFonts w:hint="default" w:ascii="宋体" w:hAnsi="宋体" w:cs="宋体" w:eastAsiaTheme="minorEastAsia"/>
                <w:color w:val="auto"/>
                <w:kern w:val="2"/>
                <w:sz w:val="21"/>
                <w:szCs w:val="21"/>
                <w:highlight w:val="none"/>
                <w:lang w:eastAsia="zh-CN"/>
              </w:rPr>
              <w:t>（</w:t>
            </w:r>
            <w:r>
              <w:rPr>
                <w:rFonts w:hint="default" w:ascii="宋体" w:hAnsi="宋体" w:cs="宋体" w:eastAsiaTheme="minorEastAsia"/>
                <w:color w:val="auto"/>
                <w:kern w:val="2"/>
                <w:sz w:val="21"/>
                <w:szCs w:val="21"/>
                <w:highlight w:val="none"/>
              </w:rPr>
              <w:t>投标下浮率</w:t>
            </w:r>
            <w:r>
              <w:rPr>
                <w:rFonts w:hint="default" w:ascii="宋体" w:hAnsi="宋体" w:cs="宋体" w:eastAsiaTheme="minorEastAsia"/>
                <w:color w:val="auto"/>
                <w:kern w:val="2"/>
                <w:sz w:val="21"/>
                <w:szCs w:val="21"/>
                <w:highlight w:val="none"/>
                <w:lang w:val="en-US" w:eastAsia="zh-CN"/>
              </w:rPr>
              <w:t>+10%）]，</w:t>
            </w:r>
            <w:r>
              <w:rPr>
                <w:rFonts w:hint="default" w:ascii="宋体" w:hAnsi="宋体" w:cs="宋体" w:eastAsiaTheme="minorEastAsia"/>
                <w:bCs w:val="0"/>
                <w:color w:val="auto"/>
                <w:kern w:val="2"/>
                <w:sz w:val="21"/>
                <w:szCs w:val="21"/>
                <w:highlight w:val="none"/>
                <w:lang w:val="en-US" w:eastAsia="zh-CN"/>
              </w:rPr>
              <w:t>投标下浮率=（1-投标报价/最高投标限价）*100%。</w:t>
            </w:r>
          </w:p>
          <w:p>
            <w:pPr>
              <w:pStyle w:val="2"/>
              <w:widowControl/>
              <w:spacing w:before="0" w:line="360" w:lineRule="auto"/>
              <w:ind w:right="0" w:rightChars="0" w:firstLine="0"/>
              <w:jc w:val="left"/>
              <w:rPr>
                <w:rFonts w:ascii="宋体" w:hAnsi="宋体" w:cs="宋体" w:eastAsiaTheme="minorEastAsia"/>
                <w:color w:val="auto"/>
                <w:kern w:val="2"/>
                <w:sz w:val="21"/>
                <w:szCs w:val="21"/>
                <w:highlight w:val="none"/>
              </w:rPr>
            </w:pPr>
            <w:r>
              <w:rPr>
                <w:rFonts w:hint="default" w:ascii="宋体" w:hAnsi="宋体" w:cs="宋体" w:eastAsiaTheme="minorEastAsia"/>
                <w:color w:val="auto"/>
                <w:kern w:val="2"/>
                <w:sz w:val="21"/>
                <w:szCs w:val="21"/>
                <w:highlight w:val="none"/>
              </w:rPr>
              <w:t>本次</w:t>
            </w:r>
            <w:r>
              <w:rPr>
                <w:rFonts w:hint="default" w:ascii="宋体" w:hAnsi="宋体" w:cs="宋体" w:eastAsiaTheme="minorEastAsia"/>
                <w:color w:val="auto"/>
                <w:kern w:val="2"/>
                <w:sz w:val="21"/>
                <w:szCs w:val="21"/>
                <w:highlight w:val="none"/>
                <w:lang w:eastAsia="zh-CN"/>
              </w:rPr>
              <w:t>设计服务</w:t>
            </w:r>
            <w:r>
              <w:rPr>
                <w:rFonts w:hint="default" w:ascii="宋体" w:hAnsi="宋体" w:cs="宋体" w:eastAsiaTheme="minorEastAsia"/>
                <w:color w:val="auto"/>
                <w:kern w:val="2"/>
                <w:sz w:val="21"/>
                <w:szCs w:val="21"/>
                <w:highlight w:val="none"/>
              </w:rPr>
              <w:t>费包含完成该设计项目的成本、利润、税金、图纸资料文印费、</w:t>
            </w:r>
            <w:r>
              <w:rPr>
                <w:rFonts w:hint="default" w:ascii="宋体" w:hAnsi="宋体" w:cs="宋体" w:eastAsiaTheme="minorEastAsia"/>
                <w:color w:val="auto"/>
                <w:kern w:val="2"/>
                <w:sz w:val="21"/>
                <w:szCs w:val="21"/>
                <w:highlight w:val="none"/>
                <w:lang w:val="en-US" w:eastAsia="zh-CN"/>
              </w:rPr>
              <w:t>分包费</w:t>
            </w:r>
            <w:r>
              <w:rPr>
                <w:rFonts w:hint="default" w:ascii="宋体" w:hAnsi="宋体" w:cs="宋体" w:eastAsiaTheme="minorEastAsia"/>
                <w:color w:val="auto"/>
                <w:kern w:val="2"/>
                <w:sz w:val="21"/>
                <w:szCs w:val="21"/>
                <w:highlight w:val="none"/>
              </w:rPr>
              <w:t>、专家评审费等一切费用，投标人应考虑上述情况进行投标下浮率的报价。</w:t>
            </w:r>
            <w:r>
              <w:rPr>
                <w:rFonts w:hint="default" w:ascii="宋体" w:hAnsi="宋体" w:cs="宋体" w:eastAsiaTheme="minorEastAsia"/>
                <w:color w:val="auto"/>
                <w:kern w:val="2"/>
                <w:sz w:val="21"/>
                <w:szCs w:val="21"/>
                <w:highlight w:val="none"/>
                <w:lang w:val="en-US" w:eastAsia="zh-CN"/>
              </w:rPr>
              <w:t>投标报价超过最高投标限价的为废标。</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numPr>
                <w:ilvl w:val="255"/>
                <w:numId w:val="0"/>
              </w:numPr>
              <w:adjustRightInd w:val="0"/>
              <w:snapToGrid w:val="0"/>
              <w:spacing w:line="360" w:lineRule="auto"/>
              <w:rPr>
                <w:rFonts w:asciiTheme="minorEastAsia" w:hAnsiTheme="minorEastAsia"/>
                <w:color w:val="auto"/>
                <w:szCs w:val="21"/>
                <w:highlight w:val="none"/>
              </w:rPr>
            </w:pPr>
            <w:r>
              <w:rPr>
                <w:rFonts w:hint="eastAsia" w:asciiTheme="minorEastAsia" w:hAnsiTheme="minorEastAsia"/>
                <w:color w:val="auto"/>
                <w:szCs w:val="21"/>
                <w:highlight w:val="none"/>
              </w:rPr>
              <w:t>1、金额：人民币</w:t>
            </w:r>
            <w:r>
              <w:rPr>
                <w:rFonts w:hint="eastAsia" w:asciiTheme="minorEastAsia" w:hAnsiTheme="minorEastAsia"/>
                <w:color w:val="auto"/>
                <w:szCs w:val="21"/>
                <w:highlight w:val="none"/>
                <w:u w:val="single"/>
                <w:lang w:eastAsia="zh-CN"/>
              </w:rPr>
              <w:t>壹万</w:t>
            </w:r>
            <w:r>
              <w:rPr>
                <w:rFonts w:hint="eastAsia" w:asciiTheme="minorEastAsia" w:hAnsiTheme="minorEastAsia"/>
                <w:color w:val="auto"/>
                <w:szCs w:val="21"/>
                <w:highlight w:val="none"/>
              </w:rPr>
              <w:t>元。</w:t>
            </w:r>
          </w:p>
          <w:p>
            <w:pPr>
              <w:numPr>
                <w:ilvl w:val="255"/>
                <w:numId w:val="0"/>
              </w:numPr>
              <w:adjustRightInd w:val="0"/>
              <w:snapToGrid w:val="0"/>
              <w:spacing w:line="360" w:lineRule="auto"/>
              <w:rPr>
                <w:rFonts w:asciiTheme="minorEastAsia" w:hAnsiTheme="minorEastAsia"/>
                <w:color w:val="auto"/>
                <w:szCs w:val="21"/>
                <w:highlight w:val="none"/>
              </w:rPr>
            </w:pPr>
            <w:r>
              <w:rPr>
                <w:rFonts w:hint="eastAsia" w:asciiTheme="minorEastAsia" w:hAnsiTheme="minorEastAsia"/>
                <w:color w:val="auto"/>
                <w:szCs w:val="21"/>
                <w:highlight w:val="none"/>
              </w:rPr>
              <w:t>2、缴纳方式：银行转账。</w:t>
            </w:r>
          </w:p>
          <w:p>
            <w:pPr>
              <w:numPr>
                <w:ilvl w:val="255"/>
                <w:numId w:val="0"/>
              </w:numPr>
              <w:adjustRightInd w:val="0"/>
              <w:spacing w:line="360" w:lineRule="auto"/>
              <w:rPr>
                <w:rFonts w:ascii="宋体" w:hAnsi="宋体" w:eastAsia="宋体"/>
                <w:color w:val="auto"/>
                <w:szCs w:val="21"/>
                <w:highlight w:val="none"/>
              </w:rPr>
            </w:pPr>
            <w:r>
              <w:rPr>
                <w:rFonts w:hint="eastAsia" w:ascii="宋体" w:hAnsi="宋体"/>
                <w:color w:val="auto"/>
                <w:szCs w:val="21"/>
                <w:highlight w:val="none"/>
              </w:rPr>
              <w:t>账户名称：</w:t>
            </w:r>
            <w:r>
              <w:rPr>
                <w:rFonts w:ascii="宋体" w:hAnsi="宋体" w:cs="宋体"/>
                <w:color w:val="auto"/>
                <w:szCs w:val="21"/>
                <w:highlight w:val="none"/>
              </w:rPr>
              <w:t>广州南沙建设维护管理有限公司</w:t>
            </w:r>
          </w:p>
          <w:p>
            <w:pPr>
              <w:numPr>
                <w:ilvl w:val="255"/>
                <w:numId w:val="0"/>
              </w:numPr>
              <w:adjustRightInd w:val="0"/>
              <w:spacing w:line="360" w:lineRule="auto"/>
              <w:rPr>
                <w:rFonts w:ascii="宋体" w:hAnsi="宋体" w:eastAsia="宋体" w:cs="宋体"/>
                <w:color w:val="auto"/>
                <w:szCs w:val="21"/>
                <w:highlight w:val="none"/>
              </w:rPr>
            </w:pPr>
            <w:r>
              <w:rPr>
                <w:rFonts w:hint="eastAsia" w:ascii="宋体" w:hAnsi="宋体"/>
                <w:color w:val="auto"/>
                <w:szCs w:val="21"/>
                <w:highlight w:val="none"/>
              </w:rPr>
              <w:t>开户银行：</w:t>
            </w:r>
            <w:r>
              <w:rPr>
                <w:rFonts w:ascii="宋体" w:hAnsi="宋体" w:cs="宋体"/>
                <w:color w:val="auto"/>
                <w:szCs w:val="21"/>
                <w:highlight w:val="none"/>
              </w:rPr>
              <w:t>中国工商银行广东自由贸易试验区南沙分行</w:t>
            </w:r>
            <w:r>
              <w:rPr>
                <w:rFonts w:hint="eastAsia" w:ascii="宋体" w:hAnsi="宋体" w:cs="宋体"/>
                <w:color w:val="auto"/>
                <w:szCs w:val="21"/>
                <w:highlight w:val="none"/>
              </w:rPr>
              <w:t xml:space="preserve"> </w:t>
            </w:r>
          </w:p>
          <w:p>
            <w:pPr>
              <w:numPr>
                <w:ilvl w:val="255"/>
                <w:numId w:val="0"/>
              </w:numPr>
              <w:adjustRightInd w:val="0"/>
              <w:spacing w:line="360" w:lineRule="auto"/>
              <w:rPr>
                <w:rFonts w:ascii="宋体" w:hAnsi="宋体" w:eastAsia="宋体"/>
                <w:color w:val="auto"/>
                <w:szCs w:val="21"/>
                <w:highlight w:val="none"/>
              </w:rPr>
            </w:pPr>
            <w:r>
              <w:rPr>
                <w:rFonts w:hint="eastAsia" w:ascii="宋体" w:hAnsi="宋体"/>
                <w:color w:val="auto"/>
                <w:szCs w:val="21"/>
                <w:highlight w:val="none"/>
              </w:rPr>
              <w:t>账号：</w:t>
            </w:r>
            <w:r>
              <w:rPr>
                <w:rFonts w:ascii="宋体" w:hAnsi="宋体" w:cs="宋体"/>
                <w:color w:val="auto"/>
                <w:szCs w:val="21"/>
                <w:highlight w:val="none"/>
              </w:rPr>
              <w:t>3602056909200030855</w:t>
            </w:r>
          </w:p>
          <w:p>
            <w:pPr>
              <w:numPr>
                <w:ilvl w:val="0"/>
                <w:numId w:val="1"/>
              </w:numPr>
              <w:adjustRightInd w:val="0"/>
              <w:snapToGrid w:val="0"/>
              <w:spacing w:line="360" w:lineRule="auto"/>
              <w:rPr>
                <w:rFonts w:ascii="宋体" w:hAnsi="宋体" w:eastAsia="宋体" w:cs="宋体"/>
                <w:color w:val="auto"/>
                <w:szCs w:val="21"/>
                <w:highlight w:val="none"/>
              </w:rPr>
            </w:pPr>
            <w:r>
              <w:rPr>
                <w:rFonts w:hint="eastAsia" w:asciiTheme="minorEastAsia" w:hAnsiTheme="minorEastAsia"/>
                <w:color w:val="auto"/>
                <w:szCs w:val="21"/>
                <w:highlight w:val="none"/>
              </w:rPr>
              <w:t>缴纳时间：投标单位须在</w:t>
            </w:r>
            <w:r>
              <w:rPr>
                <w:rFonts w:hint="eastAsia" w:ascii="宋体" w:hAnsi="宋体" w:eastAsia="宋体" w:cs="宋体"/>
                <w:color w:val="auto"/>
                <w:szCs w:val="21"/>
                <w:highlight w:val="none"/>
              </w:rPr>
              <w:t>2022年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17</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w:t>
            </w:r>
            <w:r>
              <w:rPr>
                <w:rFonts w:hint="eastAsia" w:ascii="宋体" w:hAnsi="宋体"/>
                <w:color w:val="auto"/>
                <w:szCs w:val="21"/>
                <w:highlight w:val="none"/>
                <w:u w:val="single"/>
              </w:rPr>
              <w:t>前</w:t>
            </w:r>
            <w:r>
              <w:rPr>
                <w:rFonts w:hint="eastAsia" w:asciiTheme="minorEastAsia" w:hAnsiTheme="minorEastAsia"/>
                <w:color w:val="auto"/>
                <w:szCs w:val="21"/>
                <w:highlight w:val="none"/>
              </w:rPr>
              <w:t>以</w:t>
            </w:r>
            <w:r>
              <w:rPr>
                <w:rFonts w:hint="eastAsia"/>
                <w:color w:val="auto"/>
                <w:szCs w:val="21"/>
                <w:highlight w:val="none"/>
              </w:rPr>
              <w:t>投标人转出【以招标单位查询的信息为准，汇款时备注：</w:t>
            </w:r>
            <w:r>
              <w:rPr>
                <w:rFonts w:hint="eastAsia" w:ascii="宋体" w:hAnsi="宋体" w:cs="宋体"/>
                <w:color w:val="auto"/>
                <w:szCs w:val="21"/>
                <w:highlight w:val="none"/>
                <w:lang w:eastAsia="zh-CN"/>
              </w:rPr>
              <w:t>南沙湿地“渔唱晚主题酒店及疍家水岸广场”项目</w:t>
            </w:r>
            <w:r>
              <w:rPr>
                <w:rFonts w:hint="eastAsia" w:ascii="宋体" w:hAnsi="宋体" w:eastAsia="宋体" w:cs="宋体"/>
                <w:color w:val="auto"/>
                <w:szCs w:val="21"/>
                <w:highlight w:val="none"/>
                <w:lang w:eastAsia="zh-CN"/>
              </w:rPr>
              <w:t>设计服务</w:t>
            </w:r>
            <w:r>
              <w:rPr>
                <w:rFonts w:hint="eastAsia"/>
                <w:color w:val="auto"/>
                <w:szCs w:val="21"/>
                <w:highlight w:val="none"/>
              </w:rPr>
              <w:t>投标保证金】</w:t>
            </w:r>
          </w:p>
          <w:p>
            <w:pPr>
              <w:pStyle w:val="12"/>
              <w:widowControl/>
              <w:spacing w:beforeAutospacing="0" w:after="0" w:line="360" w:lineRule="auto"/>
              <w:ind w:firstLine="0"/>
              <w:rPr>
                <w:rFonts w:ascii="宋体" w:hAnsi="宋体" w:cs="宋体"/>
                <w:color w:val="auto"/>
                <w:highlight w:val="none"/>
              </w:rPr>
            </w:pPr>
            <w:r>
              <w:rPr>
                <w:rFonts w:hint="eastAsia"/>
                <w:color w:val="auto"/>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2"/>
              <w:widowControl/>
              <w:spacing w:after="0" w:line="320" w:lineRule="exact"/>
              <w:ind w:firstLine="0"/>
              <w:rPr>
                <w:rFonts w:ascii="宋体" w:hAnsi="宋体" w:cs="宋体"/>
                <w:color w:val="auto"/>
                <w:highlight w:val="none"/>
              </w:rPr>
            </w:pPr>
            <w:r>
              <w:rPr>
                <w:rFonts w:hint="eastAsia" w:ascii="宋体" w:hAnsi="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12"/>
              <w:widowControl/>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收件人：李工</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提交地点：广州南沙区金融大厦1807室</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投标时间：2022年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00</w:t>
            </w:r>
            <w:r>
              <w:rPr>
                <w:rFonts w:hint="eastAsia" w:ascii="宋体" w:hAnsi="宋体" w:eastAsia="宋体" w:cs="宋体"/>
                <w:color w:val="auto"/>
                <w:szCs w:val="21"/>
                <w:highlight w:val="none"/>
              </w:rPr>
              <w:t>分至2022年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r>
              <w:rPr>
                <w:rFonts w:hint="eastAsia" w:ascii="宋体" w:hAnsi="宋体" w:eastAsia="宋体" w:cs="宋体"/>
                <w:color w:val="auto"/>
                <w:szCs w:val="21"/>
                <w:highlight w:val="none"/>
              </w:rPr>
              <w:t>前</w:t>
            </w:r>
          </w:p>
          <w:p>
            <w:pPr>
              <w:pStyle w:val="12"/>
              <w:widowControl/>
              <w:spacing w:after="0" w:line="320" w:lineRule="exact"/>
              <w:ind w:firstLine="0"/>
              <w:rPr>
                <w:rFonts w:ascii="宋体" w:hAnsi="宋体" w:cs="宋体"/>
                <w:b/>
                <w:color w:val="auto"/>
                <w:highlight w:val="none"/>
              </w:rPr>
            </w:pPr>
            <w:r>
              <w:rPr>
                <w:rFonts w:hint="eastAsia" w:ascii="宋体" w:hAnsi="宋体" w:cs="宋体"/>
                <w:color w:val="auto"/>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开标时间：2022年</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日</w:t>
            </w:r>
            <w:r>
              <w:rPr>
                <w:rFonts w:hint="eastAsia" w:ascii="宋体" w:hAnsi="宋体" w:eastAsia="宋体" w:cs="宋体"/>
                <w:color w:val="auto"/>
                <w:szCs w:val="21"/>
                <w:highlight w:val="none"/>
                <w:lang w:val="en-US" w:eastAsia="zh-CN"/>
              </w:rPr>
              <w:t>09</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lang w:val="en-US" w:eastAsia="zh-CN"/>
              </w:rPr>
              <w:t>30分</w:t>
            </w:r>
          </w:p>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地点：广州南沙区金融大厦1807室</w:t>
            </w:r>
          </w:p>
          <w:p>
            <w:pPr>
              <w:spacing w:line="320" w:lineRule="exact"/>
              <w:rPr>
                <w:rFonts w:ascii="宋体" w:hAnsi="宋体" w:eastAsia="宋体" w:cs="宋体"/>
                <w:b/>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2"/>
              <w:widowControl/>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pPr>
        <w:spacing w:line="360" w:lineRule="auto"/>
        <w:jc w:val="center"/>
        <w:rPr>
          <w:b/>
          <w:color w:val="auto"/>
          <w:highlight w:val="none"/>
        </w:rPr>
      </w:pPr>
      <w:r>
        <w:rPr>
          <w:b/>
          <w:color w:val="auto"/>
          <w:highlight w:val="none"/>
        </w:rPr>
        <w:t xml:space="preserve"> </w:t>
      </w:r>
    </w:p>
    <w:p>
      <w:pPr>
        <w:rPr>
          <w:b/>
          <w:color w:val="auto"/>
          <w:highlight w:val="none"/>
        </w:rPr>
      </w:pPr>
      <w:r>
        <w:rPr>
          <w:b/>
          <w:color w:val="auto"/>
          <w:highlight w:val="none"/>
        </w:rPr>
        <w:br w:type="page"/>
      </w:r>
    </w:p>
    <w:p>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pStyle w:val="2"/>
        <w:ind w:firstLine="480" w:firstLineChars="200"/>
        <w:rPr>
          <w:rFonts w:eastAsia="宋体"/>
          <w:color w:val="auto"/>
          <w:highlight w:val="none"/>
        </w:rPr>
      </w:pPr>
      <w:r>
        <w:rPr>
          <w:rFonts w:ascii="宋体" w:hAnsi="宋体" w:eastAsia="宋体" w:cs="宋体"/>
          <w:color w:val="auto"/>
          <w:sz w:val="24"/>
          <w:highlight w:val="none"/>
        </w:rPr>
        <w:t xml:space="preserve">1.7 </w:t>
      </w:r>
      <w:r>
        <w:rPr>
          <w:rFonts w:hint="eastAsia" w:ascii="宋体" w:hAnsi="宋体" w:eastAsia="宋体" w:cs="宋体"/>
          <w:color w:val="auto"/>
          <w:sz w:val="24"/>
          <w:highlight w:val="none"/>
        </w:rPr>
        <w:t>“方案设计人”指</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“招标文件”指由招标代理发出的本文件（包括全部章节、附件）及澄清补充文件。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 “投标文件”指投标人根据本招标文件向招标人提交的全部文件。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1.10 “书面函件”指打字或印刷的函件，包括电传、电报和传真。</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2.1本招标项目按照《中华人民共和国招标投标法》等有关法律、行政法规和部门规章，采取邀请招标的办法，选择有经验、有实力、社会信誉好的设计咨询单位承担设计服务，确保本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招标范围及服务期</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招标范围：见投标须知前附表第6项。</w:t>
      </w:r>
    </w:p>
    <w:p>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设计服务</w:t>
      </w:r>
      <w:r>
        <w:rPr>
          <w:rFonts w:hint="eastAsia" w:ascii="宋体" w:hAnsi="宋体" w:eastAsia="宋体" w:cs="宋体"/>
          <w:color w:val="auto"/>
          <w:sz w:val="24"/>
          <w:highlight w:val="none"/>
          <w:lang w:eastAsia="zh-CN"/>
        </w:rPr>
        <w:t>任务期限</w:t>
      </w:r>
      <w:r>
        <w:rPr>
          <w:rFonts w:hint="eastAsia" w:ascii="宋体" w:hAnsi="宋体" w:eastAsia="宋体" w:cs="宋体"/>
          <w:color w:val="auto"/>
          <w:sz w:val="24"/>
          <w:highlight w:val="none"/>
        </w:rPr>
        <w:t>要求：见投标须知前附表第7项。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3</w:t>
      </w:r>
      <w:r>
        <w:rPr>
          <w:rFonts w:hint="eastAsia" w:ascii="宋体" w:hAnsi="宋体" w:cs="宋体"/>
          <w:color w:val="auto"/>
          <w:sz w:val="24"/>
          <w:szCs w:val="24"/>
          <w:highlight w:val="none"/>
        </w:rPr>
        <w:t>日前，招标人可对招标文件进行必要的澄清或修改。</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11.5公司法人营业执照及设计资质证书复印件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11.9企业自201</w:t>
      </w:r>
      <w:r>
        <w:rPr>
          <w:rFonts w:ascii="宋体" w:hAnsi="宋体" w:eastAsia="宋体" w:cs="宋体"/>
          <w:color w:val="auto"/>
          <w:sz w:val="24"/>
          <w:highlight w:val="none"/>
        </w:rPr>
        <w:t>9</w:t>
      </w:r>
      <w:r>
        <w:rPr>
          <w:rFonts w:hint="eastAsia" w:ascii="宋体" w:hAnsi="宋体" w:eastAsia="宋体" w:cs="宋体"/>
          <w:color w:val="auto"/>
          <w:sz w:val="24"/>
          <w:highlight w:val="none"/>
        </w:rPr>
        <w:t>年1月1日至今企业承担的同类项目（按招标文件第2章格式填写）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11.11项目负责人</w:t>
      </w:r>
      <w:r>
        <w:rPr>
          <w:rFonts w:hint="eastAsia" w:ascii="宋体" w:hAnsi="宋体" w:eastAsia="宋体" w:cs="宋体"/>
          <w:color w:val="auto"/>
          <w:sz w:val="24"/>
          <w:highlight w:val="none"/>
          <w:lang w:eastAsia="zh-CN"/>
        </w:rPr>
        <w:t>简介</w:t>
      </w:r>
      <w:r>
        <w:rPr>
          <w:rFonts w:hint="eastAsia" w:ascii="宋体" w:hAnsi="宋体" w:eastAsia="宋体" w:cs="宋体"/>
          <w:color w:val="auto"/>
          <w:sz w:val="24"/>
          <w:highlight w:val="none"/>
        </w:rPr>
        <w:t>（按招标文件第2章格式填写）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pPr>
        <w:pStyle w:val="7"/>
        <w:ind w:firstLine="480" w:firstLineChars="200"/>
        <w:rPr>
          <w:rFonts w:hAnsi="宋体" w:cs="宋体"/>
          <w:color w:val="auto"/>
          <w:sz w:val="24"/>
          <w:highlight w:val="none"/>
        </w:rPr>
      </w:pPr>
      <w:r>
        <w:rPr>
          <w:rFonts w:hAnsi="宋体" w:cs="宋体"/>
          <w:color w:val="auto"/>
          <w:sz w:val="24"/>
          <w:highlight w:val="none"/>
        </w:rPr>
        <w:t xml:space="preserve">11.13 </w:t>
      </w:r>
      <w:r>
        <w:rPr>
          <w:rFonts w:hint="eastAsia" w:hAnsi="宋体" w:cs="宋体"/>
          <w:color w:val="auto"/>
          <w:sz w:val="24"/>
          <w:highlight w:val="none"/>
          <w:lang w:eastAsia="zh-CN"/>
        </w:rPr>
        <w:t>技术标文件（独立成册）</w:t>
      </w:r>
    </w:p>
    <w:p>
      <w:pPr>
        <w:pStyle w:val="7"/>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投标文件电子版（刻录光盘或提供U盘）</w:t>
      </w:r>
    </w:p>
    <w:p>
      <w:pPr>
        <w:pStyle w:val="7"/>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 xml:space="preserve"> 投标人认为需要提交的其他资料</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13.3投标报价方式：投标单位自行报价（总投标价不得超过最高投标限价，否则按废标处理）。（小数点后保留二位小数，第三位小数四舍五入）</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w:t>
      </w:r>
      <w:r>
        <w:rPr>
          <w:rFonts w:hint="eastAsia" w:ascii="宋体" w:hAnsi="宋体" w:eastAsia="宋体" w:cs="宋体"/>
          <w:color w:val="auto"/>
          <w:sz w:val="24"/>
          <w:highlight w:val="none"/>
          <w:lang w:eastAsia="zh-CN"/>
        </w:rPr>
        <w:t>、技术标</w:t>
      </w:r>
      <w:r>
        <w:rPr>
          <w:rFonts w:hint="eastAsia" w:ascii="宋体" w:hAnsi="宋体" w:eastAsia="宋体" w:cs="宋体"/>
          <w:color w:val="auto"/>
          <w:sz w:val="24"/>
          <w:highlight w:val="none"/>
        </w:rPr>
        <w:t>一正四副及电子文件一起包封。</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南沙湿地“渔唱晚主题酒店及疍家水岸广场”项目设计服务</w:t>
      </w:r>
      <w:r>
        <w:rPr>
          <w:rFonts w:hint="eastAsia" w:ascii="宋体" w:hAnsi="宋体" w:eastAsia="宋体" w:cs="宋体"/>
          <w:color w:val="auto"/>
          <w:sz w:val="24"/>
          <w:highlight w:val="none"/>
          <w:u w:val="single"/>
        </w:rPr>
        <w:t xml:space="preserve">   </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rPr>
        <w:t>2022年</w:t>
      </w:r>
      <w:r>
        <w:rPr>
          <w:rFonts w:hint="eastAsia" w:ascii="宋体" w:hAnsi="宋体" w:eastAsia="宋体" w:cs="宋体"/>
          <w:color w:val="auto"/>
          <w:sz w:val="24"/>
          <w:szCs w:val="24"/>
          <w:highlight w:val="none"/>
          <w:u w:val="single"/>
          <w:lang w:val="en-US" w:eastAsia="zh-CN"/>
        </w:rPr>
        <w:t>9</w:t>
      </w:r>
      <w:r>
        <w:rPr>
          <w:rFonts w:hint="eastAsia" w:ascii="宋体" w:hAnsi="宋体" w:eastAsia="宋体" w:cs="宋体"/>
          <w:color w:val="auto"/>
          <w:sz w:val="24"/>
          <w:szCs w:val="24"/>
          <w:highlight w:val="none"/>
          <w:u w:val="single"/>
        </w:rPr>
        <w:t>月</w:t>
      </w:r>
      <w:r>
        <w:rPr>
          <w:rFonts w:hint="eastAsia" w:ascii="宋体" w:hAnsi="宋体" w:eastAsia="宋体" w:cs="宋体"/>
          <w:color w:val="auto"/>
          <w:sz w:val="24"/>
          <w:szCs w:val="24"/>
          <w:highlight w:val="none"/>
          <w:u w:val="single"/>
          <w:lang w:val="en-US" w:eastAsia="zh-CN"/>
        </w:rPr>
        <w:t>8</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eastAsia="zh-CN"/>
        </w:rPr>
        <w:t>09</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eastAsia="zh-CN"/>
        </w:rPr>
        <w:t>30分</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val="en-US"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本招标(项目)的设计咨询合同将授予按本须知第27.3款所确定的中标人。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31.1中标通知书经招标人及招标代理机构确认，并由招标人颁发。</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32.3中标人在投标过程使用的投标人名称、银行名称和账号至项目完成竣工结算不得变更，否则，招标人有权停止设计服务款项的拨付及至解除合同，由此造成的一切责任由中标人承担。</w:t>
      </w:r>
    </w:p>
    <w:p>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pPr>
        <w:pStyle w:val="3"/>
        <w:widowControl/>
        <w:spacing w:before="0" w:after="0" w:line="360" w:lineRule="auto"/>
        <w:jc w:val="center"/>
        <w:rPr>
          <w:rFonts w:ascii="黑体" w:hAnsi="宋体" w:cs="黑体"/>
          <w:b/>
          <w:color w:val="auto"/>
          <w:kern w:val="44"/>
          <w:sz w:val="44"/>
          <w:szCs w:val="44"/>
          <w:highlight w:val="none"/>
        </w:rPr>
      </w:pPr>
      <w:bookmarkStart w:id="4" w:name="_Toc374128473"/>
      <w:bookmarkEnd w:id="4"/>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5" w:name="_Toc32057"/>
      <w:r>
        <w:rPr>
          <w:rFonts w:hint="eastAsia" w:ascii="黑体" w:hAnsi="宋体" w:cs="黑体"/>
          <w:b/>
          <w:color w:val="auto"/>
          <w:kern w:val="44"/>
          <w:sz w:val="44"/>
          <w:szCs w:val="44"/>
          <w:highlight w:val="none"/>
        </w:rPr>
        <w:t>第2章  投标格式文件</w:t>
      </w:r>
      <w:bookmarkEnd w:id="5"/>
    </w:p>
    <w:p>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rPr>
          <w:rFonts w:ascii="宋体" w:hAnsi="宋体" w:eastAsia="宋体" w:cs="宋体"/>
          <w:color w:val="auto"/>
          <w:sz w:val="24"/>
          <w:highlight w:val="none"/>
        </w:rPr>
      </w:pPr>
    </w:p>
    <w:p>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南沙湿地“渔唱晚主题酒店及疍家水岸广场”项目设计服务</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1、我方经分析研究了贵方提供的招标文件中的项目介绍、投标人须知、合同条件以及本次招标答疑或澄清文件后，我公司愿意以投标报价表中承诺报价，完成贵方设计任务，并提供增值税专业发票税率为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%，并按合同条件的要求，承担并完成设计服务任务。</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4、在正式签订设计服务合同之前，本投标书连同贵方的中标通知书应成为约束贵、我双方的合同文件。</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广州南沙湿地旅游发展有限公司</w:t>
      </w:r>
      <w:r>
        <w:rPr>
          <w:rFonts w:hint="eastAsia" w:ascii="宋体" w:hAnsi="宋体" w:eastAsia="宋体" w:cs="Times New Roman"/>
          <w:color w:val="auto"/>
          <w:spacing w:val="20"/>
          <w:sz w:val="24"/>
          <w:highlight w:val="none"/>
          <w:u w:val="single"/>
        </w:rPr>
        <w:t>、广州南沙建设维护管理有限公司</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1"/>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1"/>
        <w:widowControl/>
        <w:ind w:firstLine="496"/>
        <w:jc w:val="right"/>
        <w:rPr>
          <w:b/>
          <w:color w:val="auto"/>
          <w:highlight w:val="none"/>
        </w:rPr>
      </w:pPr>
      <w:r>
        <w:rPr>
          <w:color w:val="auto"/>
          <w:highlight w:val="none"/>
        </w:rPr>
        <w:t xml:space="preserve">                                      </w:t>
      </w:r>
    </w:p>
    <w:p>
      <w:pPr>
        <w:pStyle w:val="21"/>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1"/>
        <w:widowControl/>
        <w:ind w:firstLine="618"/>
        <w:rPr>
          <w:b/>
          <w:color w:val="auto"/>
          <w:sz w:val="30"/>
          <w:szCs w:val="30"/>
          <w:highlight w:val="none"/>
        </w:rPr>
      </w:pPr>
      <w:r>
        <w:rPr>
          <w:b/>
          <w:color w:val="auto"/>
          <w:sz w:val="30"/>
          <w:szCs w:val="30"/>
          <w:highlight w:val="none"/>
        </w:rPr>
        <w:t xml:space="preserve"> </w:t>
      </w:r>
    </w:p>
    <w:p>
      <w:pPr>
        <w:pStyle w:val="21"/>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1"/>
        <w:widowControl/>
        <w:ind w:firstLine="496"/>
        <w:jc w:val="right"/>
        <w:rPr>
          <w:color w:val="auto"/>
          <w:highlight w:val="none"/>
        </w:rPr>
      </w:pPr>
      <w:r>
        <w:rPr>
          <w:color w:val="auto"/>
          <w:highlight w:val="none"/>
        </w:rPr>
        <w:t xml:space="preserve">         </w:t>
      </w:r>
    </w:p>
    <w:p>
      <w:pPr>
        <w:pStyle w:val="21"/>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19"/>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19"/>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1"/>
        <w:widowControl/>
        <w:ind w:firstLine="0" w:firstLineChars="0"/>
        <w:jc w:val="center"/>
        <w:rPr>
          <w:b/>
          <w:color w:val="auto"/>
          <w:sz w:val="28"/>
          <w:szCs w:val="28"/>
          <w:highlight w:val="none"/>
        </w:rPr>
      </w:pPr>
      <w:r>
        <w:rPr>
          <w:b/>
          <w:color w:val="auto"/>
          <w:sz w:val="28"/>
          <w:szCs w:val="28"/>
          <w:highlight w:val="none"/>
        </w:rPr>
        <w:t xml:space="preserve"> </w:t>
      </w:r>
    </w:p>
    <w:p>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广州南沙湿地旅游发展有限公司</w:t>
      </w:r>
      <w:r>
        <w:rPr>
          <w:rFonts w:hint="eastAsia" w:ascii="宋体" w:hAnsi="宋体" w:eastAsia="宋体" w:cs="宋体"/>
          <w:color w:val="auto"/>
          <w:sz w:val="24"/>
          <w:highlight w:val="none"/>
          <w:u w:val="single"/>
        </w:rPr>
        <w:t>、广州南沙建设维护管理有限公司</w:t>
      </w:r>
    </w:p>
    <w:p>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南沙湿地“渔唱晚主题酒店及疍家水岸广场”项目设计服务</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不包括项目负责人）：建筑、结构、给排水、暖通空调、电气各配备1名负责人，具有相应专业中级或以上职称；各专业人员根据项目进度完成设计任务及施工配合服务。</w:t>
      </w:r>
    </w:p>
    <w:p>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110"/>
      <w:bookmarkEnd w:id="11"/>
      <w:bookmarkStart w:id="12" w:name="_Toc326909213"/>
      <w:bookmarkEnd w:id="12"/>
      <w:bookmarkStart w:id="13" w:name="_Toc415833503"/>
      <w:bookmarkEnd w:id="13"/>
      <w:bookmarkStart w:id="14" w:name="_Toc41822703"/>
      <w:bookmarkEnd w:id="14"/>
      <w:bookmarkStart w:id="15" w:name="_Toc196037097"/>
      <w:bookmarkEnd w:id="15"/>
      <w:bookmarkStart w:id="16" w:name="_Toc415728297"/>
      <w:bookmarkEnd w:id="16"/>
      <w:bookmarkStart w:id="17" w:name="_Toc197235848"/>
      <w:bookmarkEnd w:id="17"/>
      <w:bookmarkStart w:id="18" w:name="_Toc196036941"/>
      <w:bookmarkEnd w:id="18"/>
      <w:bookmarkStart w:id="19" w:name="_Toc196130013"/>
      <w:bookmarkEnd w:id="19"/>
      <w:bookmarkStart w:id="20" w:name="_Toc199647675"/>
      <w:bookmarkEnd w:id="20"/>
      <w:bookmarkStart w:id="21" w:name="_Toc459403394"/>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pPr>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bl>
    <w:p>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outlineLvl w:val="1"/>
        <w:rPr>
          <w:rFonts w:ascii="宋体" w:hAnsi="宋体" w:eastAsia="宋体" w:cs="黑体"/>
          <w:b/>
          <w:color w:val="auto"/>
          <w:spacing w:val="4"/>
          <w:kern w:val="0"/>
          <w:sz w:val="28"/>
          <w:szCs w:val="28"/>
          <w:highlight w:val="none"/>
        </w:rPr>
      </w:pPr>
      <w:bookmarkStart w:id="24" w:name="_Toc415728298"/>
      <w:bookmarkEnd w:id="24"/>
      <w:bookmarkStart w:id="25" w:name="_Toc196037098"/>
      <w:bookmarkEnd w:id="25"/>
      <w:bookmarkStart w:id="26" w:name="_Toc196036942"/>
      <w:bookmarkEnd w:id="26"/>
      <w:bookmarkStart w:id="27" w:name="_Toc415833504"/>
      <w:bookmarkEnd w:id="27"/>
      <w:bookmarkStart w:id="28" w:name="_Toc196130111"/>
      <w:bookmarkEnd w:id="28"/>
      <w:bookmarkStart w:id="29" w:name="_Toc197235849"/>
      <w:bookmarkEnd w:id="29"/>
      <w:bookmarkStart w:id="30" w:name="_Toc196130014"/>
      <w:bookmarkEnd w:id="30"/>
      <w:bookmarkStart w:id="31" w:name="_Toc459403395"/>
      <w:bookmarkEnd w:id="31"/>
      <w:bookmarkStart w:id="32" w:name="_Toc199647676"/>
      <w:bookmarkEnd w:id="32"/>
      <w:bookmarkStart w:id="33" w:name="_Toc326909214"/>
      <w:bookmarkEnd w:id="33"/>
      <w:bookmarkStart w:id="34" w:name="_Toc462911099"/>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pStyle w:val="2"/>
        <w:rPr>
          <w:rFonts w:ascii="宋体" w:hAnsi="宋体" w:eastAsia="宋体" w:cs="黑体"/>
          <w:b/>
          <w:color w:val="auto"/>
          <w:spacing w:val="4"/>
          <w:sz w:val="28"/>
          <w:szCs w:val="28"/>
          <w:highlight w:val="none"/>
        </w:rPr>
      </w:pPr>
    </w:p>
    <w:p>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ascii="仿宋" w:hAnsi="仿宋" w:eastAsia="仿宋" w:cs="仿宋"/>
          <w:color w:val="auto"/>
          <w:kern w:val="24"/>
          <w:sz w:val="24"/>
          <w:highlight w:val="none"/>
        </w:rPr>
        <w:t>9</w:t>
      </w:r>
      <w:r>
        <w:rPr>
          <w:rFonts w:hint="eastAsia" w:ascii="仿宋" w:hAnsi="仿宋" w:eastAsia="仿宋" w:cs="仿宋"/>
          <w:color w:val="auto"/>
          <w:kern w:val="24"/>
          <w:sz w:val="24"/>
          <w:highlight w:val="none"/>
        </w:rPr>
        <w:t>年1月1日至今企业承担的同类项目</w:t>
      </w:r>
    </w:p>
    <w:p>
      <w:pPr>
        <w:spacing w:before="85" w:beforeLines="30" w:line="360" w:lineRule="auto"/>
        <w:jc w:val="center"/>
        <w:outlineLvl w:val="2"/>
        <w:rPr>
          <w:rFonts w:ascii="仿宋" w:hAnsi="仿宋" w:eastAsia="仿宋" w:cs="仿宋"/>
          <w:color w:val="auto"/>
          <w:kern w:val="24"/>
          <w:sz w:val="28"/>
          <w:szCs w:val="28"/>
          <w:highlight w:val="none"/>
        </w:rPr>
      </w:pPr>
      <w:bookmarkStart w:id="35" w:name="_Toc196130015"/>
      <w:bookmarkEnd w:id="35"/>
      <w:bookmarkStart w:id="36" w:name="_Toc199647677"/>
      <w:bookmarkEnd w:id="36"/>
      <w:bookmarkStart w:id="37" w:name="_Toc196037099"/>
      <w:bookmarkEnd w:id="37"/>
      <w:bookmarkStart w:id="38" w:name="_Toc197235850"/>
      <w:bookmarkEnd w:id="38"/>
      <w:bookmarkStart w:id="39" w:name="_Toc196130112"/>
      <w:bookmarkEnd w:id="39"/>
      <w:bookmarkStart w:id="40" w:name="_Toc196036943"/>
      <w:bookmarkEnd w:id="40"/>
      <w:bookmarkStart w:id="41" w:name="_Toc41822705"/>
      <w:bookmarkEnd w:id="41"/>
      <w:bookmarkStart w:id="42" w:name="_Toc326909215"/>
      <w:r>
        <w:rPr>
          <w:rFonts w:hint="eastAsia" w:ascii="仿宋" w:hAnsi="仿宋" w:eastAsia="仿宋" w:cs="仿宋"/>
          <w:b/>
          <w:bCs/>
          <w:color w:val="auto"/>
          <w:kern w:val="24"/>
          <w:sz w:val="36"/>
          <w:szCs w:val="36"/>
          <w:highlight w:val="none"/>
        </w:rPr>
        <w:t>业绩一览表</w:t>
      </w:r>
      <w:bookmarkEnd w:id="42"/>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color w:val="auto"/>
                <w:sz w:val="24"/>
                <w:highlight w:val="none"/>
              </w:rPr>
            </w:pPr>
          </w:p>
        </w:tc>
      </w:tr>
    </w:tbl>
    <w:p>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color w:val="auto"/>
                <w:sz w:val="24"/>
                <w:highlight w:val="none"/>
              </w:rPr>
            </w:pPr>
          </w:p>
        </w:tc>
      </w:tr>
    </w:tbl>
    <w:p>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注：1、“拟承担工作”栏，应注明主要设计咨询人员（须注明项目负责人、各专业负责人）等。</w:t>
      </w:r>
    </w:p>
    <w:p>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2、项目负责人应按格式八表格及备注的规定附相关证明文件，本表后不需重复附相关证件。</w:t>
      </w:r>
    </w:p>
    <w:p>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pPr>
        <w:adjustRightInd w:val="0"/>
        <w:snapToGrid w:val="0"/>
        <w:spacing w:before="85" w:beforeLines="30" w:line="360" w:lineRule="auto"/>
        <w:rPr>
          <w:rFonts w:ascii="仿宋" w:hAnsi="仿宋" w:eastAsia="仿宋" w:cs="仿宋"/>
          <w:color w:val="auto"/>
          <w:sz w:val="24"/>
          <w:highlight w:val="none"/>
        </w:rPr>
      </w:pP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pPr>
        <w:spacing w:line="360" w:lineRule="auto"/>
        <w:jc w:val="center"/>
        <w:outlineLvl w:val="2"/>
        <w:rPr>
          <w:rFonts w:hint="eastAsia" w:ascii="仿宋" w:hAnsi="仿宋" w:eastAsia="仿宋" w:cs="宋体"/>
          <w:b/>
          <w:color w:val="auto"/>
          <w:sz w:val="36"/>
          <w:szCs w:val="36"/>
          <w:highlight w:val="none"/>
          <w:lang w:eastAsia="zh-CN"/>
        </w:rPr>
      </w:pPr>
      <w:r>
        <w:rPr>
          <w:rFonts w:hint="eastAsia" w:ascii="仿宋" w:hAnsi="仿宋" w:eastAsia="仿宋" w:cs="宋体"/>
          <w:b/>
          <w:color w:val="auto"/>
          <w:sz w:val="36"/>
          <w:szCs w:val="36"/>
          <w:highlight w:val="none"/>
        </w:rPr>
        <w:t>项目负责人</w:t>
      </w:r>
      <w:r>
        <w:rPr>
          <w:rFonts w:hint="eastAsia" w:ascii="仿宋" w:hAnsi="仿宋" w:eastAsia="仿宋" w:cs="宋体"/>
          <w:b/>
          <w:color w:val="auto"/>
          <w:sz w:val="36"/>
          <w:szCs w:val="36"/>
          <w:highlight w:val="none"/>
          <w:lang w:eastAsia="zh-CN"/>
        </w:rPr>
        <w:t>简介</w:t>
      </w:r>
    </w:p>
    <w:p>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spacing w:line="460" w:lineRule="exact"/>
              <w:jc w:val="left"/>
              <w:rPr>
                <w:rFonts w:ascii="宋体" w:hAnsi="宋体" w:eastAsia="宋体" w:cs="宋体"/>
                <w:color w:val="auto"/>
                <w:szCs w:val="21"/>
                <w:highlight w:val="none"/>
              </w:rPr>
            </w:pPr>
          </w:p>
        </w:tc>
        <w:tc>
          <w:tcPr>
            <w:tcW w:w="927"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spacing w:line="460" w:lineRule="exact"/>
              <w:jc w:val="left"/>
              <w:rPr>
                <w:rFonts w:ascii="宋体" w:hAnsi="宋体" w:eastAsia="宋体" w:cs="宋体"/>
                <w:color w:val="auto"/>
                <w:szCs w:val="21"/>
                <w:highlight w:val="none"/>
              </w:rPr>
            </w:pPr>
          </w:p>
        </w:tc>
        <w:tc>
          <w:tcPr>
            <w:tcW w:w="2130" w:type="dxa"/>
            <w:gridSpan w:val="3"/>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spacing w:line="460" w:lineRule="exact"/>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spacing w:line="4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eastAsia="宋体" w:cs="宋体"/>
                <w:color w:val="auto"/>
                <w:szCs w:val="21"/>
                <w:highlight w:val="none"/>
              </w:rPr>
            </w:pPr>
          </w:p>
        </w:tc>
        <w:tc>
          <w:tcPr>
            <w:tcW w:w="3420" w:type="dxa"/>
            <w:gridSpan w:val="4"/>
          </w:tcPr>
          <w:p>
            <w:pPr>
              <w:spacing w:line="460" w:lineRule="exact"/>
              <w:jc w:val="left"/>
              <w:rPr>
                <w:rFonts w:ascii="宋体" w:hAnsi="宋体" w:eastAsia="宋体" w:cs="宋体"/>
                <w:color w:val="auto"/>
                <w:szCs w:val="21"/>
                <w:highlight w:val="none"/>
              </w:rPr>
            </w:pPr>
          </w:p>
        </w:tc>
        <w:tc>
          <w:tcPr>
            <w:tcW w:w="1261" w:type="dxa"/>
          </w:tcPr>
          <w:p>
            <w:pPr>
              <w:spacing w:line="460" w:lineRule="exact"/>
              <w:jc w:val="left"/>
              <w:rPr>
                <w:rFonts w:ascii="宋体" w:hAnsi="宋体" w:eastAsia="宋体" w:cs="宋体"/>
                <w:color w:val="auto"/>
                <w:szCs w:val="21"/>
                <w:highlight w:val="none"/>
              </w:rPr>
            </w:pPr>
          </w:p>
        </w:tc>
        <w:tc>
          <w:tcPr>
            <w:tcW w:w="2296" w:type="dxa"/>
            <w:gridSpan w:val="2"/>
          </w:tcPr>
          <w:p>
            <w:pPr>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spacing w:line="460" w:lineRule="exact"/>
              <w:jc w:val="left"/>
              <w:rPr>
                <w:rFonts w:ascii="宋体" w:hAnsi="宋体" w:eastAsia="宋体" w:cs="宋体"/>
                <w:color w:val="auto"/>
                <w:szCs w:val="21"/>
                <w:highlight w:val="none"/>
              </w:rPr>
            </w:pPr>
          </w:p>
        </w:tc>
        <w:tc>
          <w:tcPr>
            <w:tcW w:w="3420" w:type="dxa"/>
            <w:gridSpan w:val="4"/>
            <w:vAlign w:val="center"/>
          </w:tcPr>
          <w:p>
            <w:pPr>
              <w:spacing w:line="460" w:lineRule="exact"/>
              <w:jc w:val="left"/>
              <w:rPr>
                <w:rFonts w:ascii="宋体" w:hAnsi="宋体" w:eastAsia="宋体" w:cs="宋体"/>
                <w:color w:val="auto"/>
                <w:szCs w:val="21"/>
                <w:highlight w:val="none"/>
              </w:rPr>
            </w:pPr>
          </w:p>
        </w:tc>
        <w:tc>
          <w:tcPr>
            <w:tcW w:w="1261" w:type="dxa"/>
            <w:vAlign w:val="center"/>
          </w:tcPr>
          <w:p>
            <w:pPr>
              <w:spacing w:line="460" w:lineRule="exact"/>
              <w:jc w:val="left"/>
              <w:rPr>
                <w:rFonts w:ascii="宋体" w:hAnsi="宋体" w:eastAsia="宋体" w:cs="宋体"/>
                <w:color w:val="auto"/>
                <w:szCs w:val="21"/>
                <w:highlight w:val="none"/>
              </w:rPr>
            </w:pPr>
          </w:p>
        </w:tc>
        <w:tc>
          <w:tcPr>
            <w:tcW w:w="2296" w:type="dxa"/>
            <w:gridSpan w:val="2"/>
            <w:vAlign w:val="center"/>
          </w:tcPr>
          <w:p>
            <w:pPr>
              <w:spacing w:line="460" w:lineRule="exact"/>
              <w:jc w:val="left"/>
              <w:rPr>
                <w:rFonts w:ascii="宋体" w:hAnsi="宋体" w:eastAsia="宋体" w:cs="宋体"/>
                <w:color w:val="auto"/>
                <w:szCs w:val="21"/>
                <w:highlight w:val="none"/>
              </w:rPr>
            </w:pPr>
          </w:p>
        </w:tc>
      </w:tr>
    </w:tbl>
    <w:p>
      <w:pPr>
        <w:rPr>
          <w:rFonts w:ascii="仿宋" w:hAnsi="仿宋" w:eastAsia="仿宋" w:cs="仿宋"/>
          <w:color w:val="auto"/>
          <w:szCs w:val="21"/>
          <w:highlight w:val="none"/>
        </w:rPr>
      </w:pPr>
    </w:p>
    <w:p>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2、须附执业证书及资格证书（如有）、身份证、职称证书等证明材料（复印件，加盖单位公章）。</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1"/>
        <w:widowControl/>
        <w:ind w:firstLine="0" w:firstLineChars="0"/>
        <w:rPr>
          <w:color w:val="auto"/>
          <w:spacing w:val="18"/>
          <w:highlight w:val="none"/>
        </w:rPr>
      </w:pPr>
      <w:r>
        <w:rPr>
          <w:color w:val="auto"/>
          <w:spacing w:val="18"/>
          <w:highlight w:val="none"/>
        </w:rPr>
        <w:t xml:space="preserve"> </w:t>
      </w:r>
    </w:p>
    <w:p>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2711" w:type="dxa"/>
            <w:vMerge w:val="restart"/>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投标报价（元）</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Merge w:val="continue"/>
            <w:vAlign w:val="center"/>
          </w:tcPr>
          <w:p>
            <w:pPr>
              <w:autoSpaceDE w:val="0"/>
              <w:autoSpaceDN w:val="0"/>
              <w:adjustRightInd w:val="0"/>
              <w:snapToGrid w:val="0"/>
              <w:jc w:val="center"/>
              <w:rPr>
                <w:rFonts w:ascii="宋体" w:hAnsi="宋体" w:cs="宋体"/>
                <w:bCs/>
                <w:color w:val="auto"/>
                <w:szCs w:val="21"/>
                <w:highlight w:val="none"/>
                <w:lang w:val="zh-CN"/>
              </w:rPr>
            </w:pPr>
          </w:p>
        </w:tc>
        <w:tc>
          <w:tcPr>
            <w:tcW w:w="6699" w:type="dxa"/>
            <w:vAlign w:val="center"/>
          </w:tcPr>
          <w:p>
            <w:pPr>
              <w:autoSpaceDE w:val="0"/>
              <w:autoSpaceDN w:val="0"/>
              <w:adjustRightInd w:val="0"/>
              <w:snapToGrid w:val="0"/>
              <w:jc w:val="left"/>
              <w:rPr>
                <w:rFonts w:ascii="宋体" w:hAnsi="宋体" w:cs="宋体"/>
                <w:bCs/>
                <w:color w:val="auto"/>
                <w:szCs w:val="21"/>
                <w:highlight w:val="none"/>
              </w:rPr>
            </w:pPr>
            <w:r>
              <w:rPr>
                <w:rFonts w:hint="eastAsia" w:ascii="宋体" w:hAnsi="宋体" w:cs="宋体"/>
                <w:bCs/>
                <w:color w:val="auto"/>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rPr>
            </w:pPr>
            <w:r>
              <w:rPr>
                <w:rFonts w:hint="eastAsia" w:ascii="宋体" w:hAnsi="宋体" w:cs="宋体"/>
                <w:bCs/>
                <w:color w:val="auto"/>
                <w:szCs w:val="21"/>
                <w:highlight w:val="none"/>
                <w:lang w:val="zh-CN"/>
              </w:rPr>
              <w:t>投标下浮率（</w:t>
            </w:r>
            <w:r>
              <w:rPr>
                <w:rFonts w:ascii="宋体" w:hAnsi="宋体" w:cs="宋体"/>
                <w:bCs/>
                <w:color w:val="auto"/>
                <w:szCs w:val="21"/>
                <w:highlight w:val="none"/>
              </w:rPr>
              <w:t>%</w:t>
            </w:r>
            <w:r>
              <w:rPr>
                <w:rFonts w:hint="eastAsia" w:ascii="宋体" w:hAnsi="宋体" w:cs="宋体"/>
                <w:bCs/>
                <w:color w:val="auto"/>
                <w:szCs w:val="21"/>
                <w:highlight w:val="none"/>
                <w:lang w:val="zh-CN"/>
              </w:rPr>
              <w:t>）</w:t>
            </w:r>
          </w:p>
        </w:tc>
        <w:tc>
          <w:tcPr>
            <w:tcW w:w="6699" w:type="dxa"/>
            <w:vAlign w:val="center"/>
          </w:tcPr>
          <w:p>
            <w:pPr>
              <w:autoSpaceDE w:val="0"/>
              <w:autoSpaceDN w:val="0"/>
              <w:adjustRightInd w:val="0"/>
              <w:snapToGrid w:val="0"/>
              <w:jc w:val="left"/>
              <w:rPr>
                <w:rFonts w:ascii="宋体" w:hAnsi="宋体" w:cs="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2711" w:type="dxa"/>
            <w:vAlign w:val="center"/>
          </w:tcPr>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autoSpaceDE w:val="0"/>
              <w:autoSpaceDN w:val="0"/>
              <w:adjustRightInd w:val="0"/>
              <w:snapToGrid w:val="0"/>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autoSpaceDE w:val="0"/>
              <w:autoSpaceDN w:val="0"/>
              <w:adjustRightInd w:val="0"/>
              <w:snapToGrid w:val="0"/>
              <w:jc w:val="center"/>
              <w:rPr>
                <w:rFonts w:ascii="宋体" w:hAnsi="宋体" w:cs="宋体"/>
                <w:bCs/>
                <w:color w:val="auto"/>
                <w:szCs w:val="21"/>
                <w:highlight w:val="none"/>
                <w:lang w:val="zh-CN"/>
              </w:rPr>
            </w:pPr>
          </w:p>
        </w:tc>
      </w:tr>
    </w:tbl>
    <w:p>
      <w:pPr>
        <w:pStyle w:val="7"/>
        <w:spacing w:line="360" w:lineRule="auto"/>
        <w:ind w:firstLine="210" w:firstLineChars="100"/>
        <w:rPr>
          <w:rFonts w:hint="default" w:hAnsi="宋体" w:cs="宋体"/>
          <w:bCs/>
          <w:color w:val="auto"/>
          <w:highlight w:val="none"/>
        </w:rPr>
      </w:pPr>
      <w:r>
        <w:rPr>
          <w:rFonts w:hAnsi="宋体" w:cs="宋体"/>
          <w:bCs/>
          <w:color w:val="auto"/>
          <w:highlight w:val="none"/>
        </w:rPr>
        <w:t>注：</w:t>
      </w:r>
    </w:p>
    <w:p>
      <w:pPr>
        <w:pStyle w:val="7"/>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p>
    <w:p>
      <w:pPr>
        <w:spacing w:line="360" w:lineRule="auto"/>
        <w:rPr>
          <w:rFonts w:hint="eastAsia" w:ascii="宋体" w:hAnsi="宋体" w:cs="宋体"/>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color w:val="auto"/>
          <w:szCs w:val="21"/>
          <w:highlight w:val="none"/>
        </w:rPr>
        <w:t>投标报价不得超过最高投标限价</w:t>
      </w:r>
      <w:r>
        <w:rPr>
          <w:rFonts w:hint="eastAsia" w:ascii="宋体" w:hAnsi="宋体" w:cs="宋体"/>
          <w:bCs/>
          <w:color w:val="auto"/>
          <w:szCs w:val="21"/>
          <w:highlight w:val="none"/>
        </w:rPr>
        <w:t>，否则按废标处理。</w:t>
      </w:r>
    </w:p>
    <w:p>
      <w:pPr>
        <w:spacing w:line="360" w:lineRule="auto"/>
        <w:rPr>
          <w:rFonts w:hAnsi="宋体"/>
          <w:b/>
          <w:color w:val="auto"/>
          <w:highlight w:val="none"/>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投标下浮率=（1-投标报价/最高投标限价）*100%。</w:t>
      </w:r>
      <w:r>
        <w:rPr>
          <w:rFonts w:hAnsi="宋体"/>
          <w:b/>
          <w:color w:val="auto"/>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rPr>
        <w:t>商务文件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widowControl/>
        <w:jc w:val="left"/>
        <w:rPr>
          <w:b/>
          <w:color w:val="auto"/>
          <w:sz w:val="24"/>
          <w:highlight w:val="none"/>
        </w:rPr>
      </w:pPr>
      <w:r>
        <w:rPr>
          <w:b/>
          <w:color w:val="auto"/>
          <w:sz w:val="24"/>
          <w:highlight w:val="none"/>
        </w:rPr>
        <w:br w:type="page"/>
      </w:r>
    </w:p>
    <w:p>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w:t>
      </w:r>
      <w:r>
        <w:rPr>
          <w:rFonts w:hint="eastAsia" w:ascii="宋体" w:hAnsi="宋体"/>
          <w:b/>
          <w:color w:val="auto"/>
          <w:sz w:val="24"/>
          <w:highlight w:val="none"/>
          <w:lang w:val="en-US" w:eastAsia="zh-CN"/>
        </w:rPr>
        <w:t>2</w:t>
      </w:r>
      <w:r>
        <w:rPr>
          <w:rFonts w:hint="eastAsia" w:ascii="宋体" w:hAnsi="宋体"/>
          <w:b/>
          <w:color w:val="auto"/>
          <w:sz w:val="24"/>
          <w:highlight w:val="none"/>
        </w:rPr>
        <w:t>：</w:t>
      </w:r>
    </w:p>
    <w:p>
      <w:pPr>
        <w:pStyle w:val="7"/>
        <w:rPr>
          <w:rFonts w:hint="default"/>
          <w:color w:val="auto"/>
          <w:highlight w:val="none"/>
        </w:rPr>
      </w:pPr>
    </w:p>
    <w:p>
      <w:pPr>
        <w:jc w:val="left"/>
        <w:rPr>
          <w:b/>
          <w:color w:val="auto"/>
          <w:sz w:val="24"/>
          <w:highlight w:val="none"/>
        </w:rPr>
      </w:pPr>
      <w:r>
        <w:rPr>
          <w:rFonts w:hint="eastAsia" w:ascii="宋体" w:hAnsi="宋体" w:eastAsia="宋体" w:cs="宋体"/>
          <w:color w:val="auto"/>
          <w:sz w:val="24"/>
          <w:highlight w:val="none"/>
        </w:rPr>
        <w:t xml:space="preserve"> </w:t>
      </w:r>
    </w:p>
    <w:p>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rFonts w:ascii="宋体"/>
          <w:b/>
          <w:color w:val="auto"/>
          <w:sz w:val="32"/>
          <w:szCs w:val="32"/>
          <w:highlight w:val="none"/>
        </w:rPr>
      </w:pPr>
    </w:p>
    <w:p>
      <w:pPr>
        <w:jc w:val="center"/>
        <w:rPr>
          <w:b/>
          <w:color w:val="auto"/>
          <w:sz w:val="44"/>
          <w:szCs w:val="44"/>
          <w:highlight w:val="none"/>
        </w:rPr>
      </w:pPr>
      <w:r>
        <w:rPr>
          <w:rFonts w:hint="eastAsia" w:ascii="宋体" w:hAnsi="宋体"/>
          <w:b/>
          <w:color w:val="auto"/>
          <w:sz w:val="44"/>
          <w:szCs w:val="44"/>
          <w:highlight w:val="none"/>
        </w:rPr>
        <w:t>项目名称</w:t>
      </w:r>
    </w:p>
    <w:p>
      <w:pPr>
        <w:jc w:val="center"/>
        <w:rPr>
          <w:b/>
          <w:color w:val="auto"/>
          <w:sz w:val="48"/>
          <w:szCs w:val="48"/>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rPr>
          <w:rFonts w:eastAsia="黑体"/>
          <w:color w:val="auto"/>
          <w:sz w:val="20"/>
          <w:szCs w:val="20"/>
          <w:highlight w:val="none"/>
        </w:rPr>
      </w:pPr>
    </w:p>
    <w:p>
      <w:pPr>
        <w:jc w:val="center"/>
        <w:rPr>
          <w:rFonts w:eastAsia="黑体"/>
          <w:color w:val="auto"/>
          <w:sz w:val="28"/>
          <w:szCs w:val="28"/>
          <w:highlight w:val="none"/>
        </w:rPr>
      </w:pPr>
      <w:r>
        <w:rPr>
          <w:rFonts w:hint="eastAsia" w:eastAsia="黑体"/>
          <w:color w:val="auto"/>
          <w:sz w:val="52"/>
          <w:szCs w:val="52"/>
          <w:highlight w:val="none"/>
          <w:lang w:eastAsia="zh-CN"/>
        </w:rPr>
        <w:t>技术</w:t>
      </w:r>
      <w:r>
        <w:rPr>
          <w:rFonts w:hint="eastAsia" w:eastAsia="黑体"/>
          <w:color w:val="auto"/>
          <w:sz w:val="52"/>
          <w:szCs w:val="52"/>
          <w:highlight w:val="none"/>
        </w:rPr>
        <w:t>文件</w:t>
      </w: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rPr>
          <w:rFonts w:eastAsia="黑体"/>
          <w:color w:val="auto"/>
          <w:sz w:val="28"/>
          <w:szCs w:val="28"/>
          <w:highlight w:val="none"/>
        </w:rPr>
      </w:pPr>
    </w:p>
    <w:p>
      <w:pPr>
        <w:spacing w:line="720" w:lineRule="auto"/>
        <w:rPr>
          <w:rFonts w:eastAsia="黑体"/>
          <w:color w:val="auto"/>
          <w:sz w:val="28"/>
          <w:szCs w:val="28"/>
          <w:highlight w:val="none"/>
        </w:rPr>
      </w:pPr>
      <w:bookmarkStart w:id="48" w:name="_GoBack"/>
      <w:bookmarkEnd w:id="48"/>
    </w:p>
    <w:p>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spacing w:line="240" w:lineRule="auto"/>
        <w:rPr>
          <w:rFonts w:hint="eastAsia" w:ascii="宋体" w:hAnsi="宋体" w:eastAsia="宋体" w:cs="宋体"/>
          <w:color w:val="auto"/>
          <w:sz w:val="24"/>
          <w:highlight w:val="none"/>
        </w:rPr>
      </w:pPr>
      <w:r>
        <w:rPr>
          <w:b/>
          <w:color w:val="auto"/>
          <w:sz w:val="24"/>
          <w:highlight w:val="none"/>
        </w:rPr>
        <w:br w:type="page"/>
      </w:r>
    </w:p>
    <w:p>
      <w:pPr>
        <w:pStyle w:val="2"/>
      </w:pPr>
    </w:p>
    <w:p>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p>
    <w:p>
      <w:pPr>
        <w:pStyle w:val="3"/>
        <w:widowControl/>
        <w:spacing w:before="0" w:after="0" w:line="360" w:lineRule="auto"/>
        <w:jc w:val="center"/>
        <w:rPr>
          <w:rFonts w:ascii="黑体" w:hAnsi="宋体" w:cs="黑体"/>
          <w:b/>
          <w:color w:val="auto"/>
          <w:kern w:val="44"/>
          <w:sz w:val="44"/>
          <w:szCs w:val="44"/>
          <w:highlight w:val="none"/>
        </w:rPr>
      </w:pPr>
      <w:bookmarkStart w:id="44" w:name="_Toc1265"/>
      <w:r>
        <w:rPr>
          <w:rFonts w:hint="eastAsia" w:ascii="黑体" w:hAnsi="宋体" w:cs="黑体"/>
          <w:b/>
          <w:color w:val="auto"/>
          <w:kern w:val="44"/>
          <w:sz w:val="44"/>
          <w:szCs w:val="44"/>
          <w:highlight w:val="none"/>
        </w:rPr>
        <w:t>第3章 评标办法</w:t>
      </w:r>
      <w:bookmarkEnd w:id="44"/>
    </w:p>
    <w:p>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w:t>
      </w:r>
      <w:r>
        <w:rPr>
          <w:rFonts w:hint="eastAsia" w:ascii="仿宋" w:hAnsi="仿宋" w:eastAsia="仿宋" w:cs="仿宋"/>
          <w:color w:val="auto"/>
          <w:sz w:val="28"/>
          <w:szCs w:val="28"/>
          <w:highlight w:val="none"/>
          <w:lang w:eastAsia="zh-CN"/>
        </w:rPr>
        <w:t>方式</w:t>
      </w:r>
      <w:r>
        <w:rPr>
          <w:rFonts w:hint="eastAsia" w:ascii="仿宋" w:hAnsi="仿宋" w:eastAsia="仿宋" w:cs="仿宋"/>
          <w:color w:val="auto"/>
          <w:sz w:val="28"/>
          <w:szCs w:val="28"/>
          <w:highlight w:val="none"/>
        </w:rPr>
        <w:t>选择单位，为保证招标“公开、公平、公正”，根据国家有关工程建设招标投标的法律、法规和方针、政策，制定本评标细则，实行评标的规范化、标准化、科学化。</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7"/>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7"/>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pStyle w:val="7"/>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7"/>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 xml:space="preserve">  计算投标人总得分（满分为100分） </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4</w:t>
      </w:r>
      <w:r>
        <w:rPr>
          <w:rFonts w:hint="eastAsia" w:ascii="仿宋" w:hAnsi="仿宋" w:eastAsia="仿宋" w:cs="仿宋"/>
          <w:b/>
          <w:color w:val="auto"/>
          <w:sz w:val="28"/>
          <w:szCs w:val="28"/>
          <w:highlight w:val="none"/>
        </w:rPr>
        <w:t xml:space="preserve">  推荐中标候选人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.1按投标人总得分高低进行先后排序，取评分最高者为第一中标候选人，次高者为第二中标候选人，依次类推。</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w:t>
      </w: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rPr>
        <w:t xml:space="preserve"> 确定中标人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w:t>
      </w:r>
      <w:r>
        <w:rPr>
          <w:rFonts w:hint="eastAsia" w:ascii="仿宋" w:hAnsi="仿宋" w:eastAsia="仿宋" w:cs="仿宋"/>
          <w:b/>
          <w:bCs/>
          <w:color w:val="auto"/>
          <w:sz w:val="28"/>
          <w:szCs w:val="28"/>
          <w:highlight w:val="none"/>
          <w:lang w:val="en-US" w:eastAsia="zh-CN"/>
        </w:rPr>
        <w:t>6</w:t>
      </w:r>
      <w:r>
        <w:rPr>
          <w:rFonts w:hint="eastAsia" w:ascii="仿宋" w:hAnsi="仿宋" w:eastAsia="仿宋" w:cs="仿宋"/>
          <w:b/>
          <w:bCs/>
          <w:color w:val="auto"/>
          <w:sz w:val="28"/>
          <w:szCs w:val="28"/>
          <w:highlight w:val="none"/>
        </w:rPr>
        <w:t>招标人将参照以下原则进行本项目中标人的替换：</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若中标人在实际工作中服务质量存在问题，未能表现出符合要求的设计水平，经招标人研究确定，可解除与中标人的合同关系，并按照中标候选人顺序依次选取新的中标人。</w:t>
      </w:r>
    </w:p>
    <w:p>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p>
    <w:p>
      <w:pPr>
        <w:pStyle w:val="7"/>
        <w:rPr>
          <w:rFonts w:hint="default" w:ascii="仿宋" w:hAnsi="仿宋" w:eastAsia="仿宋" w:cs="仿宋"/>
          <w:color w:val="auto"/>
          <w:sz w:val="28"/>
          <w:szCs w:val="28"/>
          <w:highlight w:val="none"/>
        </w:rPr>
      </w:pPr>
    </w:p>
    <w:p>
      <w:pPr>
        <w:pStyle w:val="7"/>
        <w:rPr>
          <w:rFonts w:hint="default" w:ascii="仿宋" w:hAnsi="仿宋" w:eastAsia="仿宋" w:cs="仿宋"/>
          <w:color w:val="auto"/>
          <w:sz w:val="28"/>
          <w:szCs w:val="28"/>
          <w:highlight w:val="none"/>
        </w:rPr>
      </w:pPr>
    </w:p>
    <w:p>
      <w:pPr>
        <w:snapToGrid w:val="0"/>
        <w:spacing w:line="360" w:lineRule="auto"/>
        <w:rPr>
          <w:rFonts w:ascii="仿宋" w:hAnsi="仿宋" w:eastAsia="仿宋" w:cs="仿宋"/>
          <w:color w:val="auto"/>
          <w:sz w:val="24"/>
          <w:highlight w:val="none"/>
        </w:rPr>
      </w:pPr>
    </w:p>
    <w:p>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18"/>
        <w:widowControl/>
        <w:ind w:firstLine="562"/>
        <w:rPr>
          <w:rFonts w:hint="default" w:ascii="仿宋" w:hAnsi="仿宋" w:eastAsia="仿宋" w:cs="仿宋"/>
          <w:b/>
          <w:color w:val="auto"/>
          <w:sz w:val="28"/>
          <w:szCs w:val="28"/>
          <w:highlight w:val="none"/>
          <w:u w:val="single"/>
        </w:rPr>
      </w:pPr>
      <w:bookmarkStart w:id="45" w:name="OLE_LINK3"/>
      <w:bookmarkEnd w:id="45"/>
      <w:r>
        <w:rPr>
          <w:rFonts w:ascii="仿宋" w:hAnsi="仿宋" w:eastAsia="仿宋" w:cs="仿宋"/>
          <w:b/>
          <w:color w:val="auto"/>
          <w:sz w:val="28"/>
          <w:szCs w:val="28"/>
          <w:highlight w:val="none"/>
          <w:u w:val="single"/>
        </w:rPr>
        <w:t>附件2 综合评分表</w:t>
      </w:r>
    </w:p>
    <w:p>
      <w:pPr>
        <w:pStyle w:val="18"/>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6" w:name="_Toc14580"/>
      <w:r>
        <w:rPr>
          <w:rFonts w:hint="eastAsia" w:ascii="仿宋" w:hAnsi="仿宋" w:eastAsia="仿宋" w:cs="仿宋"/>
          <w:color w:val="auto"/>
          <w:sz w:val="28"/>
          <w:szCs w:val="28"/>
          <w:highlight w:val="none"/>
        </w:rPr>
        <w:t>附件1：符合性审查表</w:t>
      </w:r>
      <w:bookmarkEnd w:id="46"/>
      <w:r>
        <w:rPr>
          <w:rFonts w:hint="eastAsia" w:ascii="仿宋" w:hAnsi="仿宋" w:eastAsia="仿宋" w:cs="仿宋"/>
          <w:color w:val="auto"/>
          <w:sz w:val="28"/>
          <w:szCs w:val="28"/>
          <w:highlight w:val="none"/>
        </w:rPr>
        <w:t xml:space="preserve">  </w:t>
      </w:r>
    </w:p>
    <w:p>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spacing w:before="120" w:beforeLines="50" w:after="120" w:afterLines="50" w:line="240" w:lineRule="exact"/>
              <w:ind w:left="105" w:leftChars="50" w:right="105" w:rightChars="50"/>
              <w:jc w:val="center"/>
              <w:rPr>
                <w:rFonts w:ascii="仿宋" w:hAnsi="仿宋" w:eastAsia="仿宋" w:cs="仿宋"/>
                <w:b/>
                <w:color w:val="auto"/>
                <w:highlight w:val="none"/>
              </w:rPr>
            </w:pPr>
          </w:p>
          <w:p>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18" w:firstLineChars="9"/>
              <w:jc w:val="left"/>
              <w:rPr>
                <w:rFonts w:ascii="仿宋" w:hAnsi="仿宋" w:eastAsia="仿宋" w:cs="仿宋"/>
                <w:color w:val="auto"/>
                <w:highlight w:val="none"/>
              </w:rPr>
            </w:pPr>
            <w:r>
              <w:rPr>
                <w:rFonts w:hint="eastAsia" w:ascii="仿宋" w:hAnsi="仿宋" w:eastAsia="仿宋" w:cs="仿宋"/>
                <w:color w:val="auto"/>
                <w:szCs w:val="21"/>
                <w:highlight w:val="none"/>
              </w:rPr>
              <w:t>投标函签名并加盖公章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9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投标文件封面加盖投标人的法定印章</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5</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6</w:t>
            </w:r>
          </w:p>
        </w:tc>
        <w:tc>
          <w:tcPr>
            <w:tcW w:w="3533" w:type="dxa"/>
            <w:tcBorders>
              <w:top w:val="single" w:color="auto" w:sz="4" w:space="0"/>
              <w:left w:val="nil"/>
              <w:bottom w:val="single" w:color="auto" w:sz="4" w:space="0"/>
              <w:right w:val="single" w:color="auto" w:sz="4" w:space="0"/>
            </w:tcBorders>
            <w:shd w:val="clear" w:color="auto" w:fill="auto"/>
            <w:vAlign w:val="center"/>
          </w:tcPr>
          <w:p>
            <w:pPr>
              <w:ind w:right="105" w:rightChars="50"/>
              <w:jc w:val="left"/>
              <w:rPr>
                <w:rFonts w:hint="default" w:ascii="仿宋" w:hAnsi="仿宋" w:eastAsia="仿宋" w:cs="仿宋"/>
                <w:color w:val="auto"/>
                <w:highlight w:val="none"/>
                <w:lang w:val="en-US" w:eastAsia="zh-CN"/>
              </w:rPr>
            </w:pPr>
            <w:r>
              <w:rPr>
                <w:rFonts w:hint="eastAsia" w:ascii="仿宋" w:hAnsi="仿宋" w:eastAsia="仿宋" w:cs="仿宋"/>
                <w:color w:val="auto"/>
                <w:sz w:val="21"/>
                <w:szCs w:val="21"/>
                <w:highlight w:val="none"/>
                <w:lang w:val="en-US" w:eastAsia="zh-CN"/>
              </w:rPr>
              <w:t>投标报价不超过最高投标限价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snapToGrid w:val="0"/>
        <w:ind w:left="74"/>
        <w:rPr>
          <w:rFonts w:ascii="仿宋" w:hAnsi="仿宋" w:eastAsia="仿宋" w:cs="Courier New"/>
          <w:color w:val="auto"/>
          <w:sz w:val="28"/>
          <w:szCs w:val="28"/>
          <w:highlight w:val="none"/>
        </w:rPr>
      </w:pPr>
    </w:p>
    <w:p>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pPr>
        <w:snapToGrid w:val="0"/>
        <w:ind w:left="74"/>
        <w:outlineLvl w:val="0"/>
        <w:rPr>
          <w:rFonts w:ascii="仿宋" w:hAnsi="仿宋" w:eastAsia="仿宋" w:cs="仿宋"/>
          <w:color w:val="auto"/>
          <w:sz w:val="24"/>
          <w:highlight w:val="none"/>
        </w:rPr>
      </w:pPr>
      <w:bookmarkStart w:id="47"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47"/>
    </w:p>
    <w:tbl>
      <w:tblPr>
        <w:tblStyle w:val="13"/>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01"/>
        <w:gridCol w:w="735"/>
        <w:gridCol w:w="5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1127" w:type="dxa"/>
            <w:vAlign w:val="center"/>
          </w:tcPr>
          <w:p>
            <w:pPr>
              <w:spacing w:line="400" w:lineRule="exact"/>
              <w:jc w:val="center"/>
              <w:rPr>
                <w:rFonts w:ascii="宋体"/>
                <w:color w:val="auto"/>
                <w:szCs w:val="21"/>
                <w:highlight w:val="none"/>
              </w:rPr>
            </w:pPr>
            <w:r>
              <w:rPr>
                <w:rFonts w:hint="eastAsia" w:ascii="宋体"/>
                <w:color w:val="auto"/>
                <w:szCs w:val="21"/>
                <w:highlight w:val="none"/>
              </w:rPr>
              <w:t>评审内容</w:t>
            </w: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评分因素</w:t>
            </w:r>
          </w:p>
        </w:tc>
        <w:tc>
          <w:tcPr>
            <w:tcW w:w="735" w:type="dxa"/>
            <w:vAlign w:val="center"/>
          </w:tcPr>
          <w:p>
            <w:pPr>
              <w:spacing w:line="400" w:lineRule="exact"/>
              <w:jc w:val="center"/>
              <w:rPr>
                <w:rFonts w:ascii="宋体"/>
                <w:color w:val="auto"/>
                <w:szCs w:val="21"/>
                <w:highlight w:val="none"/>
              </w:rPr>
            </w:pPr>
            <w:r>
              <w:rPr>
                <w:rFonts w:hint="eastAsia" w:ascii="宋体"/>
                <w:color w:val="auto"/>
                <w:szCs w:val="21"/>
                <w:highlight w:val="none"/>
              </w:rPr>
              <w:t>得分</w:t>
            </w:r>
          </w:p>
        </w:tc>
        <w:tc>
          <w:tcPr>
            <w:tcW w:w="5428" w:type="dxa"/>
            <w:vAlign w:val="center"/>
          </w:tcPr>
          <w:p>
            <w:pPr>
              <w:spacing w:line="400" w:lineRule="exact"/>
              <w:jc w:val="center"/>
              <w:rPr>
                <w:rFonts w:ascii="宋体"/>
                <w:color w:val="auto"/>
                <w:szCs w:val="21"/>
                <w:highlight w:val="none"/>
              </w:rPr>
            </w:pPr>
            <w:r>
              <w:rPr>
                <w:rFonts w:hint="eastAsia" w:ascii="宋体"/>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pPr>
              <w:spacing w:line="400" w:lineRule="exact"/>
              <w:jc w:val="center"/>
              <w:rPr>
                <w:rFonts w:ascii="宋体"/>
                <w:color w:val="auto"/>
                <w:szCs w:val="21"/>
                <w:highlight w:val="none"/>
              </w:rPr>
            </w:pPr>
            <w:r>
              <w:rPr>
                <w:rFonts w:hint="eastAsia" w:ascii="宋体"/>
                <w:color w:val="auto"/>
                <w:szCs w:val="21"/>
                <w:highlight w:val="none"/>
              </w:rPr>
              <w:t>商务部分</w:t>
            </w:r>
          </w:p>
          <w:p>
            <w:pPr>
              <w:rPr>
                <w:color w:val="auto"/>
                <w:highlight w:val="none"/>
              </w:rPr>
            </w:pPr>
            <w:r>
              <w:rPr>
                <w:rFonts w:hint="eastAsia" w:ascii="宋体"/>
                <w:color w:val="auto"/>
                <w:szCs w:val="21"/>
                <w:highlight w:val="none"/>
              </w:rPr>
              <w:t>（</w:t>
            </w:r>
            <w:r>
              <w:rPr>
                <w:rFonts w:hint="eastAsia" w:ascii="宋体"/>
                <w:color w:val="auto"/>
                <w:szCs w:val="21"/>
                <w:highlight w:val="none"/>
                <w:lang w:val="en-US" w:eastAsia="zh-CN"/>
              </w:rPr>
              <w:t>20</w:t>
            </w:r>
            <w:r>
              <w:rPr>
                <w:rFonts w:hint="eastAsia" w:ascii="宋体"/>
                <w:color w:val="auto"/>
                <w:szCs w:val="21"/>
                <w:highlight w:val="none"/>
              </w:rPr>
              <w:t>分）</w:t>
            </w:r>
          </w:p>
        </w:tc>
        <w:tc>
          <w:tcPr>
            <w:tcW w:w="1101" w:type="dxa"/>
            <w:vAlign w:val="center"/>
          </w:tcPr>
          <w:p>
            <w:pPr>
              <w:spacing w:line="400" w:lineRule="exact"/>
              <w:jc w:val="center"/>
              <w:rPr>
                <w:rFonts w:ascii="宋体"/>
                <w:color w:val="auto"/>
                <w:szCs w:val="21"/>
                <w:highlight w:val="none"/>
              </w:rPr>
            </w:pPr>
            <w:r>
              <w:rPr>
                <w:rFonts w:hint="eastAsia" w:ascii="宋体" w:hAnsi="宋体" w:eastAsia="宋体" w:cs="宋体"/>
                <w:color w:val="auto"/>
                <w:kern w:val="0"/>
                <w:szCs w:val="21"/>
                <w:highlight w:val="none"/>
              </w:rPr>
              <w:t>企业综合实力</w:t>
            </w:r>
          </w:p>
        </w:tc>
        <w:tc>
          <w:tcPr>
            <w:tcW w:w="735" w:type="dxa"/>
            <w:vAlign w:val="center"/>
          </w:tcPr>
          <w:p>
            <w:pPr>
              <w:jc w:val="center"/>
              <w:rPr>
                <w:rFonts w:ascii="宋体" w:eastAsia="宋体"/>
                <w:color w:val="auto"/>
                <w:szCs w:val="21"/>
                <w:highlight w:val="none"/>
              </w:rPr>
            </w:pPr>
            <w:r>
              <w:rPr>
                <w:rFonts w:hint="eastAsia" w:ascii="宋体"/>
                <w:color w:val="auto"/>
                <w:szCs w:val="21"/>
                <w:highlight w:val="none"/>
                <w:lang w:val="en-US" w:eastAsia="zh-CN"/>
              </w:rPr>
              <w:t>6</w:t>
            </w:r>
          </w:p>
        </w:tc>
        <w:tc>
          <w:tcPr>
            <w:tcW w:w="5428" w:type="dxa"/>
            <w:vAlign w:val="center"/>
          </w:tcPr>
          <w:p>
            <w:pPr>
              <w:keepNext w:val="0"/>
              <w:keepLines w:val="0"/>
              <w:pageBreakBefore w:val="0"/>
              <w:widowControl w:val="0"/>
              <w:numPr>
                <w:ilvl w:val="0"/>
                <w:numId w:val="4"/>
              </w:numPr>
              <w:kinsoku/>
              <w:wordWrap/>
              <w:overflowPunct/>
              <w:topLinePunct w:val="0"/>
              <w:autoSpaceDE w:val="0"/>
              <w:autoSpaceDN w:val="0"/>
              <w:bidi w:val="0"/>
              <w:adjustRightInd w:val="0"/>
              <w:spacing w:line="264" w:lineRule="auto"/>
              <w:ind w:left="-50" w:leftChars="-24" w:right="-65" w:rightChars="-31"/>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具备建筑行业设计甲级资质</w:t>
            </w:r>
            <w:r>
              <w:rPr>
                <w:rFonts w:hint="eastAsia" w:ascii="宋体" w:hAnsi="宋体" w:eastAsia="宋体" w:cs="宋体"/>
                <w:color w:val="auto"/>
                <w:sz w:val="21"/>
                <w:szCs w:val="24"/>
                <w:highlight w:val="none"/>
              </w:rPr>
              <w:t>或建筑行业（建筑工程）专业</w:t>
            </w:r>
            <w:r>
              <w:rPr>
                <w:rFonts w:hint="eastAsia" w:ascii="宋体" w:hAnsi="宋体" w:eastAsia="宋体" w:cs="宋体"/>
                <w:color w:val="auto"/>
                <w:sz w:val="21"/>
                <w:szCs w:val="24"/>
                <w:highlight w:val="none"/>
                <w:lang w:eastAsia="zh-CN"/>
              </w:rPr>
              <w:t>设计甲级资质</w:t>
            </w:r>
            <w:r>
              <w:rPr>
                <w:rFonts w:hint="eastAsia" w:ascii="宋体" w:hAnsi="宋体" w:eastAsia="宋体" w:cs="宋体"/>
                <w:color w:val="auto"/>
                <w:highlight w:val="none"/>
                <w:lang w:val="en-US" w:eastAsia="zh-CN"/>
              </w:rPr>
              <w:t>的，得2分；</w:t>
            </w:r>
          </w:p>
          <w:p>
            <w:pPr>
              <w:keepNext w:val="0"/>
              <w:keepLines w:val="0"/>
              <w:pageBreakBefore w:val="0"/>
              <w:widowControl w:val="0"/>
              <w:numPr>
                <w:ilvl w:val="0"/>
                <w:numId w:val="4"/>
              </w:numPr>
              <w:kinsoku/>
              <w:wordWrap/>
              <w:overflowPunct/>
              <w:topLinePunct w:val="0"/>
              <w:autoSpaceDE w:val="0"/>
              <w:autoSpaceDN w:val="0"/>
              <w:bidi w:val="0"/>
              <w:adjustRightInd w:val="0"/>
              <w:spacing w:line="264" w:lineRule="auto"/>
              <w:ind w:left="-50" w:leftChars="-24" w:right="-65" w:rightChars="-31"/>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en-US" w:eastAsia="zh-CN"/>
              </w:rPr>
              <w:t>具备风景园林工程设计专项乙级或以上</w:t>
            </w:r>
            <w:r>
              <w:rPr>
                <w:rFonts w:hint="eastAsia" w:ascii="宋体" w:hAnsi="宋体" w:eastAsia="宋体" w:cs="宋体"/>
                <w:color w:val="auto"/>
                <w:sz w:val="21"/>
                <w:szCs w:val="24"/>
                <w:highlight w:val="none"/>
                <w:lang w:eastAsia="zh-CN"/>
              </w:rPr>
              <w:t>资质</w:t>
            </w:r>
            <w:r>
              <w:rPr>
                <w:rFonts w:hint="eastAsia" w:ascii="宋体" w:hAnsi="宋体" w:eastAsia="宋体" w:cs="宋体"/>
                <w:color w:val="auto"/>
                <w:highlight w:val="none"/>
                <w:lang w:val="en-US" w:eastAsia="zh-CN"/>
              </w:rPr>
              <w:t>的，得2分；</w:t>
            </w:r>
          </w:p>
          <w:p>
            <w:pPr>
              <w:rPr>
                <w:rFonts w:eastAsia="仿宋_GB2312"/>
                <w:color w:val="auto"/>
                <w:highlight w:val="none"/>
              </w:rPr>
            </w:pPr>
            <w:r>
              <w:rPr>
                <w:rFonts w:hint="eastAsia" w:ascii="宋体" w:hAnsi="宋体" w:eastAsia="宋体" w:cs="宋体"/>
                <w:color w:val="auto"/>
                <w:highlight w:val="none"/>
                <w:lang w:val="en-US" w:eastAsia="zh-CN"/>
              </w:rPr>
              <w:t>3）具备勘察设计企业信用AAA级等级证书的，得2分；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pPr>
              <w:rPr>
                <w:rFonts w:hint="eastAsia" w:ascii="宋体"/>
                <w:color w:val="auto"/>
                <w:szCs w:val="21"/>
                <w:highlight w:val="none"/>
              </w:rPr>
            </w:pPr>
          </w:p>
        </w:tc>
        <w:tc>
          <w:tcPr>
            <w:tcW w:w="1101" w:type="dxa"/>
            <w:vAlign w:val="center"/>
          </w:tcPr>
          <w:p>
            <w:pPr>
              <w:spacing w:line="400" w:lineRule="exact"/>
              <w:jc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企业业绩</w:t>
            </w:r>
          </w:p>
        </w:tc>
        <w:tc>
          <w:tcPr>
            <w:tcW w:w="735" w:type="dxa"/>
            <w:vAlign w:val="center"/>
          </w:tcPr>
          <w:p>
            <w:pPr>
              <w:jc w:val="center"/>
              <w:rPr>
                <w:rFonts w:hint="default" w:ascii="宋体"/>
                <w:color w:val="auto"/>
                <w:szCs w:val="21"/>
                <w:highlight w:val="none"/>
                <w:lang w:val="en-US" w:eastAsia="zh-CN"/>
              </w:rPr>
            </w:pPr>
            <w:r>
              <w:rPr>
                <w:rFonts w:hint="eastAsia" w:ascii="宋体"/>
                <w:color w:val="auto"/>
                <w:szCs w:val="21"/>
                <w:highlight w:val="none"/>
                <w:lang w:val="en-US" w:eastAsia="zh-CN"/>
              </w:rPr>
              <w:t>2</w:t>
            </w:r>
          </w:p>
        </w:tc>
        <w:tc>
          <w:tcPr>
            <w:tcW w:w="5428" w:type="dxa"/>
            <w:vAlign w:val="center"/>
          </w:tcPr>
          <w:p>
            <w:pPr>
              <w:rPr>
                <w:color w:val="auto"/>
                <w:highlight w:val="none"/>
              </w:rPr>
            </w:pPr>
            <w:r>
              <w:rPr>
                <w:rFonts w:hint="eastAsia"/>
                <w:color w:val="auto"/>
                <w:highlight w:val="none"/>
              </w:rPr>
              <w:t>2019年1月1日至今独立承担过面积2</w:t>
            </w:r>
            <w:r>
              <w:rPr>
                <w:rFonts w:hint="eastAsia"/>
                <w:color w:val="auto"/>
                <w:highlight w:val="none"/>
                <w:lang w:val="en-US" w:eastAsia="zh-CN"/>
              </w:rPr>
              <w:t>0</w:t>
            </w:r>
            <w:r>
              <w:rPr>
                <w:rFonts w:hint="eastAsia"/>
                <w:color w:val="auto"/>
                <w:highlight w:val="none"/>
              </w:rPr>
              <w:t>00平方米或以上的同类业绩，每项得</w:t>
            </w:r>
            <w:r>
              <w:rPr>
                <w:rFonts w:hint="eastAsia"/>
                <w:color w:val="auto"/>
                <w:highlight w:val="none"/>
                <w:lang w:val="en-US" w:eastAsia="zh-CN"/>
              </w:rPr>
              <w:t>0.5</w:t>
            </w:r>
            <w:r>
              <w:rPr>
                <w:rFonts w:hint="eastAsia"/>
                <w:color w:val="auto"/>
                <w:highlight w:val="none"/>
              </w:rPr>
              <w:t>分，最高得分为</w:t>
            </w:r>
            <w:r>
              <w:rPr>
                <w:rFonts w:hint="eastAsia"/>
                <w:color w:val="auto"/>
                <w:highlight w:val="none"/>
                <w:lang w:val="en-US" w:eastAsia="zh-CN"/>
              </w:rPr>
              <w:t>2</w:t>
            </w:r>
            <w:r>
              <w:rPr>
                <w:rFonts w:hint="eastAsia"/>
                <w:color w:val="auto"/>
                <w:highlight w:val="none"/>
              </w:rPr>
              <w:t>分。</w:t>
            </w:r>
          </w:p>
          <w:p>
            <w:pPr>
              <w:rPr>
                <w:rFonts w:hint="eastAsia"/>
                <w:color w:val="auto"/>
                <w:highlight w:val="none"/>
              </w:rPr>
            </w:pPr>
            <w:r>
              <w:rPr>
                <w:rFonts w:hint="eastAsia"/>
                <w:color w:val="auto"/>
                <w:highlight w:val="none"/>
              </w:rPr>
              <w:t>注：同类业绩指建筑工程类</w:t>
            </w:r>
            <w:r>
              <w:rPr>
                <w:rFonts w:hint="eastAsia"/>
                <w:color w:val="auto"/>
                <w:highlight w:val="none"/>
                <w:lang w:eastAsia="zh-CN"/>
              </w:rPr>
              <w:t>项目设计业绩</w:t>
            </w:r>
            <w:r>
              <w:rPr>
                <w:rFonts w:hint="eastAsia"/>
                <w:color w:val="auto"/>
                <w:highlight w:val="none"/>
              </w:rPr>
              <w:t>，</w:t>
            </w:r>
            <w:r>
              <w:rPr>
                <w:rFonts w:hint="eastAsia" w:ascii="宋体" w:hAnsi="宋体" w:cs="宋体"/>
                <w:color w:val="auto"/>
                <w:szCs w:val="18"/>
                <w:highlight w:val="none"/>
              </w:rPr>
              <w:t>企</w:t>
            </w:r>
            <w:r>
              <w:rPr>
                <w:rFonts w:hint="eastAsia" w:hAnsi="宋体" w:cs="宋体"/>
                <w:color w:val="auto"/>
                <w:szCs w:val="18"/>
                <w:highlight w:val="none"/>
              </w:rPr>
              <w:t>业业绩认定证明材料需提供设计合同复印件；业绩认定时间以设计合同签订时间为准。如业绩资料不能证明评标所需指标，须另提供经业主确认的证明资料复印件</w:t>
            </w:r>
            <w:r>
              <w:rPr>
                <w:rFonts w:hint="eastAsia" w:cs="Times New Roman"/>
                <w:color w:val="auto"/>
                <w:highlight w:val="none"/>
              </w:rPr>
              <w:t>，</w:t>
            </w:r>
            <w:r>
              <w:rPr>
                <w:rFonts w:hint="eastAsia" w:ascii="Times New Roman" w:hAnsi="Times New Roman" w:cs="Times New Roman"/>
                <w:color w:val="auto"/>
                <w:highlight w:val="none"/>
              </w:rPr>
              <w:t>无证明材料不计分</w:t>
            </w:r>
            <w:r>
              <w:rPr>
                <w:rFonts w:hint="eastAsia"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企业业绩获奖</w:t>
            </w:r>
          </w:p>
        </w:tc>
        <w:tc>
          <w:tcPr>
            <w:tcW w:w="735" w:type="dxa"/>
            <w:vAlign w:val="center"/>
          </w:tcPr>
          <w:p>
            <w:pPr>
              <w:jc w:val="center"/>
              <w:rPr>
                <w:rFonts w:hint="eastAsia" w:ascii="宋体" w:eastAsiaTheme="minorEastAsia"/>
                <w:color w:val="auto"/>
                <w:szCs w:val="21"/>
                <w:highlight w:val="none"/>
                <w:lang w:eastAsia="zh-CN"/>
              </w:rPr>
            </w:pPr>
            <w:r>
              <w:rPr>
                <w:rFonts w:hint="eastAsia" w:ascii="宋体"/>
                <w:color w:val="auto"/>
                <w:szCs w:val="21"/>
                <w:highlight w:val="none"/>
                <w:lang w:val="en-US" w:eastAsia="zh-CN"/>
              </w:rPr>
              <w:t>2</w:t>
            </w:r>
          </w:p>
        </w:tc>
        <w:tc>
          <w:tcPr>
            <w:tcW w:w="5428" w:type="dxa"/>
            <w:vAlign w:val="center"/>
          </w:tcPr>
          <w:p>
            <w:pPr>
              <w:widowControl/>
              <w:jc w:val="left"/>
              <w:rPr>
                <w:color w:val="auto"/>
                <w:highlight w:val="none"/>
              </w:rPr>
            </w:pPr>
            <w:r>
              <w:rPr>
                <w:rFonts w:hint="eastAsia"/>
                <w:color w:val="auto"/>
                <w:highlight w:val="none"/>
              </w:rPr>
              <w:t>2019年1月1日至今完成的建筑工程类设计项目作为独立获奖单位获得建设行政主管部门或行业协会颁发的工程设计奖项的，市级每项得</w:t>
            </w:r>
            <w:r>
              <w:rPr>
                <w:rFonts w:hint="eastAsia"/>
                <w:color w:val="auto"/>
                <w:highlight w:val="none"/>
                <w:lang w:val="en-US" w:eastAsia="zh-CN"/>
              </w:rPr>
              <w:t>0.5</w:t>
            </w:r>
            <w:r>
              <w:rPr>
                <w:rFonts w:hint="eastAsia"/>
                <w:color w:val="auto"/>
                <w:highlight w:val="none"/>
              </w:rPr>
              <w:t>分，省级每项得1分，国家级每项得</w:t>
            </w:r>
            <w:r>
              <w:rPr>
                <w:rFonts w:hint="eastAsia"/>
                <w:color w:val="auto"/>
                <w:highlight w:val="none"/>
                <w:lang w:val="en-US" w:eastAsia="zh-CN"/>
              </w:rPr>
              <w:t>2</w:t>
            </w:r>
            <w:r>
              <w:rPr>
                <w:rFonts w:hint="eastAsia"/>
                <w:color w:val="auto"/>
                <w:highlight w:val="none"/>
              </w:rPr>
              <w:t>分，最高得分为</w:t>
            </w:r>
            <w:r>
              <w:rPr>
                <w:rFonts w:hint="eastAsia"/>
                <w:color w:val="auto"/>
                <w:highlight w:val="none"/>
                <w:lang w:val="en-US" w:eastAsia="zh-CN"/>
              </w:rPr>
              <w:t>2</w:t>
            </w:r>
            <w:r>
              <w:rPr>
                <w:rFonts w:hint="eastAsia"/>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项目负责人</w:t>
            </w:r>
          </w:p>
        </w:tc>
        <w:tc>
          <w:tcPr>
            <w:tcW w:w="735" w:type="dxa"/>
            <w:vAlign w:val="center"/>
          </w:tcPr>
          <w:p>
            <w:pPr>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4</w:t>
            </w:r>
          </w:p>
        </w:tc>
        <w:tc>
          <w:tcPr>
            <w:tcW w:w="5428" w:type="dxa"/>
            <w:vAlign w:val="center"/>
          </w:tcPr>
          <w:p>
            <w:pPr>
              <w:widowControl/>
              <w:numPr>
                <w:ilvl w:val="-1"/>
                <w:numId w:val="0"/>
              </w:numPr>
              <w:jc w:val="left"/>
              <w:rPr>
                <w:rFonts w:ascii="宋体" w:hAnsi="宋体" w:eastAsia="宋体" w:cs="宋体"/>
                <w:color w:val="auto"/>
                <w:highlight w:val="none"/>
              </w:rPr>
            </w:pPr>
            <w:r>
              <w:rPr>
                <w:rFonts w:hint="eastAsia"/>
                <w:color w:val="auto"/>
                <w:highlight w:val="none"/>
                <w:lang w:val="en-US" w:eastAsia="zh-CN"/>
              </w:rPr>
              <w:t>1）</w:t>
            </w:r>
            <w:r>
              <w:rPr>
                <w:rFonts w:hint="eastAsia"/>
                <w:color w:val="auto"/>
                <w:highlight w:val="none"/>
              </w:rPr>
              <w:t>具有</w:t>
            </w:r>
            <w:r>
              <w:rPr>
                <w:rFonts w:hint="eastAsia"/>
                <w:color w:val="auto"/>
                <w:highlight w:val="none"/>
                <w:lang w:eastAsia="zh-CN"/>
              </w:rPr>
              <w:t>中</w:t>
            </w:r>
            <w:r>
              <w:rPr>
                <w:rFonts w:hint="eastAsia"/>
                <w:color w:val="auto"/>
                <w:highlight w:val="none"/>
              </w:rPr>
              <w:t>级</w:t>
            </w:r>
            <w:r>
              <w:rPr>
                <w:rFonts w:hint="eastAsia"/>
                <w:color w:val="auto"/>
                <w:highlight w:val="none"/>
                <w:lang w:eastAsia="zh-CN"/>
              </w:rPr>
              <w:t>或以上</w:t>
            </w:r>
            <w:r>
              <w:rPr>
                <w:rFonts w:hint="eastAsia"/>
                <w:color w:val="auto"/>
                <w:highlight w:val="none"/>
              </w:rPr>
              <w:t>工程师资质的，得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p>
          <w:p>
            <w:pPr>
              <w:widowControl/>
              <w:numPr>
                <w:ilvl w:val="-1"/>
                <w:numId w:val="0"/>
              </w:numPr>
              <w:jc w:val="left"/>
              <w:rPr>
                <w:color w:val="auto"/>
                <w:highlight w:val="none"/>
              </w:rPr>
            </w:pPr>
            <w:r>
              <w:rPr>
                <w:rFonts w:hint="eastAsia" w:cstheme="minorBidi"/>
                <w:color w:val="auto"/>
                <w:szCs w:val="24"/>
                <w:highlight w:val="none"/>
                <w:lang w:val="en-US" w:eastAsia="zh-CN"/>
              </w:rPr>
              <w:t>2）</w:t>
            </w:r>
            <w:r>
              <w:rPr>
                <w:rFonts w:hint="eastAsia" w:asciiTheme="minorHAnsi" w:hAnsiTheme="minorHAnsi" w:eastAsiaTheme="minorEastAsia" w:cstheme="minorBidi"/>
                <w:color w:val="auto"/>
                <w:szCs w:val="24"/>
                <w:highlight w:val="none"/>
              </w:rPr>
              <w:t>具有一级注册建筑师资格证书</w:t>
            </w:r>
            <w:r>
              <w:rPr>
                <w:rFonts w:hint="eastAsia" w:cstheme="minorBidi"/>
                <w:color w:val="auto"/>
                <w:szCs w:val="24"/>
                <w:highlight w:val="none"/>
                <w:lang w:eastAsia="zh-CN"/>
              </w:rPr>
              <w:t>的</w:t>
            </w:r>
            <w:r>
              <w:rPr>
                <w:rFonts w:hint="eastAsia"/>
                <w:color w:val="auto"/>
                <w:highlight w:val="none"/>
              </w:rPr>
              <w:t>，得</w:t>
            </w:r>
            <w:r>
              <w:rPr>
                <w:rFonts w:hint="eastAsia"/>
                <w:color w:val="auto"/>
                <w:highlight w:val="none"/>
                <w:lang w:val="en-US" w:eastAsia="zh-CN"/>
              </w:rPr>
              <w:t>2</w:t>
            </w:r>
            <w:r>
              <w:rPr>
                <w:rFonts w:hint="eastAsia"/>
                <w:color w:val="auto"/>
                <w:highlight w:val="none"/>
              </w:rPr>
              <w:t>分</w:t>
            </w:r>
            <w:r>
              <w:rPr>
                <w:rFonts w:hint="eastAsia"/>
                <w:color w:val="auto"/>
                <w:highlight w:val="none"/>
                <w:lang w:eastAsia="zh-CN"/>
              </w:rPr>
              <w:t>。</w:t>
            </w:r>
          </w:p>
          <w:p>
            <w:pPr>
              <w:widowControl/>
              <w:jc w:val="left"/>
              <w:rPr>
                <w:rFonts w:eastAsia="仿宋_GB2312"/>
                <w:color w:val="auto"/>
                <w:highlight w:val="none"/>
              </w:rPr>
            </w:pPr>
            <w:r>
              <w:rPr>
                <w:rFonts w:hint="eastAsia"/>
                <w:color w:val="auto"/>
                <w:highlight w:val="none"/>
              </w:rPr>
              <w:t>注：提供职称证、注册证书等证明材料，无证明材料则不计分。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hint="eastAsia" w:ascii="宋体" w:hAnsi="宋体" w:eastAsiaTheme="minorEastAsia"/>
                <w:color w:val="auto"/>
                <w:szCs w:val="21"/>
                <w:highlight w:val="none"/>
                <w:lang w:eastAsia="zh-CN"/>
              </w:rPr>
            </w:pPr>
            <w:r>
              <w:rPr>
                <w:rFonts w:hint="eastAsia" w:ascii="宋体"/>
                <w:color w:val="auto"/>
                <w:szCs w:val="21"/>
                <w:highlight w:val="none"/>
              </w:rPr>
              <w:t>各专业</w:t>
            </w:r>
            <w:r>
              <w:rPr>
                <w:rFonts w:hint="eastAsia" w:ascii="宋体"/>
                <w:color w:val="auto"/>
                <w:szCs w:val="21"/>
                <w:highlight w:val="none"/>
                <w:lang w:eastAsia="zh-CN"/>
              </w:rPr>
              <w:t>负责人</w:t>
            </w:r>
          </w:p>
        </w:tc>
        <w:tc>
          <w:tcPr>
            <w:tcW w:w="735" w:type="dxa"/>
            <w:vAlign w:val="center"/>
          </w:tcPr>
          <w:p>
            <w:pPr>
              <w:jc w:val="center"/>
              <w:rPr>
                <w:rFonts w:hint="eastAsia" w:ascii="宋体" w:eastAsiaTheme="minorEastAsia"/>
                <w:color w:val="auto"/>
                <w:szCs w:val="21"/>
                <w:highlight w:val="none"/>
                <w:lang w:eastAsia="zh-CN"/>
              </w:rPr>
            </w:pPr>
            <w:r>
              <w:rPr>
                <w:rFonts w:hint="eastAsia" w:ascii="宋体"/>
                <w:color w:val="auto"/>
                <w:szCs w:val="21"/>
                <w:highlight w:val="none"/>
                <w:lang w:val="en-US" w:eastAsia="zh-CN"/>
              </w:rPr>
              <w:t>3</w:t>
            </w:r>
          </w:p>
        </w:tc>
        <w:tc>
          <w:tcPr>
            <w:tcW w:w="5428" w:type="dxa"/>
            <w:vAlign w:val="center"/>
          </w:tcPr>
          <w:p>
            <w:pPr>
              <w:widowControl/>
              <w:jc w:val="left"/>
              <w:rPr>
                <w:color w:val="auto"/>
                <w:highlight w:val="none"/>
              </w:rPr>
            </w:pPr>
            <w:r>
              <w:rPr>
                <w:rFonts w:hint="eastAsia"/>
                <w:color w:val="auto"/>
                <w:highlight w:val="none"/>
              </w:rPr>
              <w:t>建筑、结构、给排水、暖通空调、电气各专业</w:t>
            </w:r>
            <w:r>
              <w:rPr>
                <w:rFonts w:hint="eastAsia"/>
                <w:color w:val="auto"/>
                <w:highlight w:val="none"/>
                <w:lang w:eastAsia="zh-CN"/>
              </w:rPr>
              <w:t>负责人</w:t>
            </w:r>
            <w:r>
              <w:rPr>
                <w:rFonts w:hint="eastAsia"/>
                <w:color w:val="auto"/>
                <w:highlight w:val="none"/>
              </w:rPr>
              <w:t>具有相关专业高级职称或以上，每人得</w:t>
            </w:r>
            <w:r>
              <w:rPr>
                <w:rFonts w:hint="eastAsia"/>
                <w:color w:val="auto"/>
                <w:highlight w:val="none"/>
                <w:lang w:val="en-US" w:eastAsia="zh-CN"/>
              </w:rPr>
              <w:t>1</w:t>
            </w:r>
            <w:r>
              <w:rPr>
                <w:rFonts w:hint="eastAsia"/>
                <w:color w:val="auto"/>
                <w:highlight w:val="none"/>
              </w:rPr>
              <w:t>分，本项最高得</w:t>
            </w:r>
            <w:r>
              <w:rPr>
                <w:rFonts w:hint="eastAsia"/>
                <w:color w:val="auto"/>
                <w:highlight w:val="none"/>
                <w:lang w:val="en-US" w:eastAsia="zh-CN"/>
              </w:rPr>
              <w:t>3</w:t>
            </w:r>
            <w:r>
              <w:rPr>
                <w:rFonts w:hint="eastAsia"/>
                <w:color w:val="auto"/>
                <w:highlight w:val="none"/>
              </w:rPr>
              <w:t>分。</w:t>
            </w:r>
          </w:p>
          <w:p>
            <w:pPr>
              <w:widowControl/>
              <w:snapToGrid w:val="0"/>
              <w:jc w:val="left"/>
              <w:rPr>
                <w:rFonts w:ascii="宋体"/>
                <w:b/>
                <w:color w:val="auto"/>
                <w:szCs w:val="21"/>
                <w:highlight w:val="none"/>
                <w:u w:val="single"/>
              </w:rPr>
            </w:pPr>
            <w:r>
              <w:rPr>
                <w:rFonts w:hint="eastAsia"/>
                <w:color w:val="auto"/>
                <w:highlight w:val="none"/>
              </w:rPr>
              <w:t>注：提供职称证、注册证书等证明材料，无证明材料则不计分。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rPr>
                <w:color w:val="auto"/>
                <w:highlight w:val="none"/>
              </w:rPr>
            </w:pPr>
          </w:p>
        </w:tc>
        <w:tc>
          <w:tcPr>
            <w:tcW w:w="1101" w:type="dxa"/>
            <w:vAlign w:val="center"/>
          </w:tcPr>
          <w:p>
            <w:pPr>
              <w:spacing w:line="400" w:lineRule="exact"/>
              <w:jc w:val="center"/>
              <w:rPr>
                <w:rFonts w:ascii="宋体" w:hAnsi="宋体"/>
                <w:color w:val="auto"/>
                <w:szCs w:val="21"/>
                <w:highlight w:val="none"/>
              </w:rPr>
            </w:pPr>
            <w:r>
              <w:rPr>
                <w:rFonts w:hint="eastAsia" w:ascii="宋体" w:hAnsi="宋体"/>
                <w:color w:val="auto"/>
                <w:szCs w:val="21"/>
                <w:highlight w:val="none"/>
              </w:rPr>
              <w:t>企业实力</w:t>
            </w:r>
          </w:p>
        </w:tc>
        <w:tc>
          <w:tcPr>
            <w:tcW w:w="735" w:type="dxa"/>
            <w:vAlign w:val="center"/>
          </w:tcPr>
          <w:p>
            <w:pPr>
              <w:jc w:val="center"/>
              <w:rPr>
                <w:rFonts w:hint="eastAsia" w:ascii="宋体" w:eastAsiaTheme="minorEastAsia"/>
                <w:color w:val="auto"/>
                <w:szCs w:val="21"/>
                <w:highlight w:val="none"/>
                <w:lang w:eastAsia="zh-CN"/>
              </w:rPr>
            </w:pPr>
            <w:r>
              <w:rPr>
                <w:rFonts w:hint="eastAsia" w:ascii="宋体"/>
                <w:color w:val="auto"/>
                <w:szCs w:val="21"/>
                <w:highlight w:val="none"/>
                <w:lang w:val="en-US" w:eastAsia="zh-CN"/>
              </w:rPr>
              <w:t>3</w:t>
            </w:r>
          </w:p>
        </w:tc>
        <w:tc>
          <w:tcPr>
            <w:tcW w:w="5428" w:type="dxa"/>
            <w:vAlign w:val="center"/>
          </w:tcPr>
          <w:p>
            <w:pPr>
              <w:widowControl/>
              <w:snapToGrid w:val="0"/>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具有</w:t>
            </w:r>
            <w:r>
              <w:rPr>
                <w:rFonts w:hint="eastAsia" w:ascii="宋体" w:hAnsi="宋体" w:eastAsia="宋体" w:cs="宋体"/>
                <w:color w:val="auto"/>
                <w:szCs w:val="21"/>
                <w:highlight w:val="none"/>
                <w:lang w:val="en-US" w:eastAsia="zh-CN" w:bidi="ar"/>
              </w:rPr>
              <w:t>ISO的</w:t>
            </w:r>
            <w:r>
              <w:rPr>
                <w:rFonts w:hint="eastAsia" w:ascii="宋体" w:hAnsi="宋体" w:eastAsia="宋体" w:cs="宋体"/>
                <w:color w:val="auto"/>
                <w:szCs w:val="21"/>
                <w:highlight w:val="none"/>
                <w:lang w:eastAsia="zh-CN" w:bidi="ar"/>
              </w:rPr>
              <w:t>国际</w:t>
            </w:r>
            <w:r>
              <w:rPr>
                <w:rFonts w:hint="eastAsia" w:ascii="宋体" w:hAnsi="宋体" w:eastAsia="宋体" w:cs="宋体"/>
                <w:color w:val="auto"/>
                <w:szCs w:val="21"/>
                <w:highlight w:val="none"/>
                <w:lang w:bidi="ar"/>
              </w:rPr>
              <w:t>质量管理体系认证、环境管理体系认证、职业健康安全管理体系认证的，每</w:t>
            </w:r>
            <w:r>
              <w:rPr>
                <w:rFonts w:hint="eastAsia" w:ascii="宋体" w:hAnsi="宋体" w:eastAsia="宋体" w:cs="宋体"/>
                <w:color w:val="auto"/>
                <w:szCs w:val="21"/>
                <w:highlight w:val="none"/>
                <w:lang w:eastAsia="zh-CN" w:bidi="ar"/>
              </w:rPr>
              <w:t>有一项体系认证</w:t>
            </w:r>
            <w:r>
              <w:rPr>
                <w:rFonts w:hint="eastAsia" w:ascii="宋体" w:hAnsi="宋体" w:eastAsia="宋体" w:cs="宋体"/>
                <w:color w:val="auto"/>
                <w:szCs w:val="21"/>
                <w:highlight w:val="none"/>
                <w:lang w:bidi="ar"/>
              </w:rPr>
              <w:t>得</w:t>
            </w:r>
            <w:r>
              <w:rPr>
                <w:rFonts w:hint="eastAsia" w:ascii="宋体" w:hAnsi="宋体" w:eastAsia="宋体" w:cs="宋体"/>
                <w:color w:val="auto"/>
                <w:szCs w:val="21"/>
                <w:highlight w:val="none"/>
                <w:lang w:val="en-US" w:eastAsia="zh-CN" w:bidi="ar"/>
              </w:rPr>
              <w:t>1</w:t>
            </w:r>
            <w:r>
              <w:rPr>
                <w:rFonts w:hint="eastAsia" w:ascii="宋体" w:hAnsi="宋体" w:eastAsia="宋体" w:cs="宋体"/>
                <w:color w:val="auto"/>
                <w:szCs w:val="21"/>
                <w:highlight w:val="none"/>
                <w:lang w:bidi="ar"/>
              </w:rPr>
              <w:t>分，最高</w:t>
            </w:r>
            <w:r>
              <w:rPr>
                <w:rFonts w:hint="eastAsia" w:ascii="宋体" w:hAnsi="宋体" w:eastAsia="宋体" w:cs="宋体"/>
                <w:color w:val="auto"/>
                <w:szCs w:val="21"/>
                <w:highlight w:val="none"/>
                <w:lang w:eastAsia="zh-CN" w:bidi="ar"/>
              </w:rPr>
              <w:t>得</w:t>
            </w:r>
            <w:r>
              <w:rPr>
                <w:rFonts w:hint="eastAsia" w:ascii="宋体" w:hAnsi="宋体" w:eastAsia="宋体" w:cs="宋体"/>
                <w:color w:val="auto"/>
                <w:szCs w:val="21"/>
                <w:highlight w:val="none"/>
                <w:lang w:val="en-US" w:eastAsia="zh-CN" w:bidi="ar"/>
              </w:rPr>
              <w:t>3</w:t>
            </w:r>
            <w:r>
              <w:rPr>
                <w:rFonts w:hint="eastAsia" w:ascii="宋体" w:hAnsi="宋体" w:eastAsia="宋体" w:cs="宋体"/>
                <w:color w:val="auto"/>
                <w:szCs w:val="21"/>
                <w:highlight w:val="none"/>
                <w:lang w:bidi="ar"/>
              </w:rPr>
              <w:t>分。</w:t>
            </w:r>
          </w:p>
          <w:p>
            <w:pPr>
              <w:widowControl/>
              <w:snapToGrid w:val="0"/>
              <w:jc w:val="left"/>
              <w:rPr>
                <w:rFonts w:ascii="宋体" w:hAnsi="宋体" w:eastAsia="宋体" w:cs="宋体"/>
                <w:color w:val="auto"/>
                <w:szCs w:val="21"/>
                <w:highlight w:val="none"/>
                <w:lang w:bidi="ar"/>
              </w:rPr>
            </w:pPr>
            <w:r>
              <w:rPr>
                <w:rFonts w:hint="eastAsia" w:ascii="宋体" w:hAnsi="宋体" w:eastAsia="宋体" w:cs="宋体"/>
                <w:color w:val="auto"/>
                <w:szCs w:val="21"/>
                <w:highlight w:val="none"/>
                <w:lang w:bidi="ar"/>
              </w:rPr>
              <w:t>注：提供证书原件扫描件</w:t>
            </w:r>
            <w:r>
              <w:rPr>
                <w:rFonts w:hint="eastAsia"/>
                <w:color w:val="auto"/>
                <w:highlight w:val="none"/>
              </w:rPr>
              <w:t>，无证明材料则不计分</w:t>
            </w:r>
            <w:r>
              <w:rPr>
                <w:rFonts w:hint="eastAsia" w:ascii="宋体" w:hAnsi="宋体" w:eastAsia="宋体" w:cs="宋体"/>
                <w:color w:val="auto"/>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restart"/>
            <w:vAlign w:val="center"/>
          </w:tcPr>
          <w:p>
            <w:pPr>
              <w:rPr>
                <w:rFonts w:hint="eastAsia" w:eastAsiaTheme="minorEastAsia"/>
                <w:color w:val="auto"/>
                <w:highlight w:val="none"/>
                <w:lang w:eastAsia="zh-CN"/>
              </w:rPr>
            </w:pPr>
            <w:r>
              <w:rPr>
                <w:rFonts w:hint="eastAsia"/>
                <w:color w:val="auto"/>
                <w:highlight w:val="none"/>
                <w:lang w:eastAsia="zh-CN"/>
              </w:rPr>
              <w:t>技术部分（</w:t>
            </w:r>
            <w:r>
              <w:rPr>
                <w:rFonts w:hint="eastAsia"/>
                <w:color w:val="auto"/>
                <w:highlight w:val="none"/>
                <w:lang w:val="en-US" w:eastAsia="zh-CN"/>
              </w:rPr>
              <w:t>60分</w:t>
            </w:r>
            <w:r>
              <w:rPr>
                <w:rFonts w:hint="eastAsia"/>
                <w:color w:val="auto"/>
                <w:highlight w:val="none"/>
                <w:lang w:eastAsia="zh-CN"/>
              </w:rPr>
              <w:t>）</w:t>
            </w:r>
          </w:p>
        </w:tc>
        <w:tc>
          <w:tcPr>
            <w:tcW w:w="1101" w:type="dxa"/>
            <w:vAlign w:val="center"/>
          </w:tcPr>
          <w:p>
            <w:pPr>
              <w:spacing w:line="320" w:lineRule="exact"/>
              <w:jc w:val="center"/>
              <w:rPr>
                <w:rFonts w:hint="eastAsia" w:ascii="宋体" w:hAnsiTheme="minorHAnsi" w:eastAsiaTheme="minorEastAsia" w:cstheme="minorBidi"/>
                <w:bCs/>
                <w:color w:val="auto"/>
                <w:kern w:val="2"/>
                <w:sz w:val="21"/>
                <w:szCs w:val="21"/>
                <w:highlight w:val="none"/>
                <w:lang w:val="en-US" w:eastAsia="zh-CN" w:bidi="ar-SA"/>
              </w:rPr>
            </w:pPr>
            <w:r>
              <w:rPr>
                <w:rFonts w:hint="eastAsia" w:ascii="宋体" w:hAnsi="宋体" w:cs="宋体"/>
                <w:color w:val="auto"/>
                <w:szCs w:val="21"/>
                <w:highlight w:val="none"/>
              </w:rPr>
              <w:t>项目理解</w:t>
            </w:r>
          </w:p>
        </w:tc>
        <w:tc>
          <w:tcPr>
            <w:tcW w:w="735" w:type="dxa"/>
            <w:vAlign w:val="center"/>
          </w:tcPr>
          <w:p>
            <w:pPr>
              <w:spacing w:line="400" w:lineRule="exact"/>
              <w:jc w:val="center"/>
              <w:rPr>
                <w:rFonts w:hint="eastAsia" w:ascii="宋体" w:eastAsia="宋体" w:hAnsiTheme="minorHAnsi" w:cstheme="minorBidi"/>
                <w:color w:val="auto"/>
                <w:kern w:val="2"/>
                <w:sz w:val="21"/>
                <w:szCs w:val="21"/>
                <w:highlight w:val="none"/>
                <w:lang w:val="en-US" w:eastAsia="zh-CN" w:bidi="ar-SA"/>
              </w:rPr>
            </w:pPr>
            <w:r>
              <w:rPr>
                <w:rFonts w:hint="eastAsia" w:ascii="宋体"/>
                <w:bCs/>
                <w:color w:val="auto"/>
                <w:szCs w:val="21"/>
                <w:highlight w:val="none"/>
                <w:lang w:val="en-US" w:eastAsia="zh-CN"/>
              </w:rPr>
              <w:t>15</w:t>
            </w:r>
          </w:p>
        </w:tc>
        <w:tc>
          <w:tcPr>
            <w:tcW w:w="5428" w:type="dxa"/>
            <w:vAlign w:val="center"/>
          </w:tcPr>
          <w:p>
            <w:pPr>
              <w:spacing w:line="320" w:lineRule="exact"/>
              <w:rPr>
                <w:rFonts w:ascii="宋体" w:hAnsi="宋体" w:cs="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w:t>
            </w:r>
            <w:r>
              <w:rPr>
                <w:rFonts w:hint="eastAsia" w:ascii="宋体" w:hAnsi="宋体" w:cs="宋体"/>
                <w:color w:val="auto"/>
                <w:szCs w:val="21"/>
                <w:highlight w:val="none"/>
              </w:rPr>
              <w:t>全面、准确的理解项目服务范围及内容，对项目重难点理解清晰、把握准确，</w:t>
            </w:r>
            <w:r>
              <w:rPr>
                <w:rFonts w:hint="eastAsia" w:ascii="宋体" w:hAnsi="宋体"/>
                <w:color w:val="auto"/>
                <w:szCs w:val="21"/>
                <w:highlight w:val="none"/>
              </w:rPr>
              <w:t>措施具体，针对性强</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10-15</w:t>
            </w:r>
            <w:r>
              <w:rPr>
                <w:rFonts w:hint="eastAsia" w:ascii="宋体" w:hAnsi="宋体" w:cs="宋体"/>
                <w:color w:val="auto"/>
                <w:szCs w:val="21"/>
                <w:highlight w:val="none"/>
              </w:rPr>
              <w:t>分；</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（中）：基本理解项目服务范围及内容，对项目重难点</w:t>
            </w:r>
            <w:r>
              <w:rPr>
                <w:rFonts w:hint="eastAsia" w:ascii="宋体" w:hAnsi="宋体"/>
                <w:color w:val="auto"/>
                <w:szCs w:val="21"/>
                <w:highlight w:val="none"/>
              </w:rPr>
              <w:t>有认识，措施有针对性但不具体；得</w:t>
            </w:r>
            <w:r>
              <w:rPr>
                <w:rFonts w:hint="eastAsia" w:ascii="宋体" w:hAnsi="宋体"/>
                <w:color w:val="auto"/>
                <w:szCs w:val="21"/>
                <w:highlight w:val="none"/>
                <w:lang w:val="en-US" w:eastAsia="zh-CN"/>
              </w:rPr>
              <w:t>5-9</w:t>
            </w:r>
            <w:r>
              <w:rPr>
                <w:rFonts w:hint="eastAsia" w:ascii="宋体" w:hAnsi="宋体"/>
                <w:color w:val="auto"/>
                <w:szCs w:val="21"/>
                <w:highlight w:val="none"/>
              </w:rPr>
              <w:t>分；</w:t>
            </w:r>
          </w:p>
          <w:p>
            <w:pPr>
              <w:spacing w:line="320" w:lineRule="exact"/>
              <w:rPr>
                <w:rFonts w:hint="eastAsia" w:ascii="宋体" w:hAnsiTheme="minorHAnsi" w:eastAsiaTheme="minorEastAsia" w:cstheme="minorBidi"/>
                <w:color w:val="auto"/>
                <w:kern w:val="2"/>
                <w:sz w:val="21"/>
                <w:szCs w:val="21"/>
                <w:highlight w:val="none"/>
                <w:lang w:val="en-US" w:eastAsia="zh-CN" w:bidi="ar-SA"/>
              </w:rPr>
            </w:pPr>
            <w:r>
              <w:rPr>
                <w:rFonts w:hint="eastAsia" w:ascii="宋体" w:hAnsi="宋体" w:cs="宋体"/>
                <w:color w:val="auto"/>
                <w:szCs w:val="21"/>
                <w:highlight w:val="none"/>
              </w:rPr>
              <w:t>（差）：不理解项目服务范围及内容，对项目重难点没有充分的认识</w:t>
            </w:r>
            <w:r>
              <w:rPr>
                <w:rFonts w:hint="eastAsia" w:ascii="宋体" w:hAnsi="宋体"/>
                <w:color w:val="auto"/>
                <w:szCs w:val="21"/>
                <w:highlight w:val="none"/>
              </w:rPr>
              <w:t>；得</w:t>
            </w:r>
            <w:r>
              <w:rPr>
                <w:rFonts w:hint="eastAsia" w:ascii="宋体" w:hAnsi="宋体"/>
                <w:color w:val="auto"/>
                <w:szCs w:val="21"/>
                <w:highlight w:val="none"/>
                <w:lang w:val="en-US" w:eastAsia="zh-CN"/>
              </w:rPr>
              <w:t>0-4</w:t>
            </w:r>
            <w:r>
              <w:rPr>
                <w:rFonts w:hint="eastAsia" w:ascii="宋体" w:hAnsi="宋体"/>
                <w:color w:val="auto"/>
                <w:szCs w:val="21"/>
                <w:highlight w:val="none"/>
              </w:rPr>
              <w:t>分</w:t>
            </w:r>
            <w:r>
              <w:rPr>
                <w:rFonts w:hint="eastAsia" w:ascii="宋体" w:hAnsi="宋体" w:cs="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rPr>
                <w:color w:val="auto"/>
                <w:highlight w:val="none"/>
              </w:rPr>
            </w:pPr>
          </w:p>
        </w:tc>
        <w:tc>
          <w:tcPr>
            <w:tcW w:w="1101" w:type="dxa"/>
            <w:vAlign w:val="center"/>
          </w:tcPr>
          <w:p>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设计服务实施方案</w:t>
            </w:r>
          </w:p>
        </w:tc>
        <w:tc>
          <w:tcPr>
            <w:tcW w:w="735" w:type="dxa"/>
            <w:vAlign w:val="center"/>
          </w:tcPr>
          <w:p>
            <w:pPr>
              <w:spacing w:line="400" w:lineRule="exact"/>
              <w:jc w:val="center"/>
              <w:rPr>
                <w:rFonts w:hint="eastAsia" w:ascii="宋体"/>
                <w:color w:val="auto"/>
                <w:szCs w:val="21"/>
                <w:highlight w:val="none"/>
              </w:rPr>
            </w:pPr>
            <w:r>
              <w:rPr>
                <w:rFonts w:hint="eastAsia" w:ascii="宋体"/>
                <w:color w:val="auto"/>
                <w:szCs w:val="21"/>
                <w:highlight w:val="none"/>
                <w:lang w:val="en-US" w:eastAsia="zh-CN"/>
              </w:rPr>
              <w:t>15</w:t>
            </w:r>
          </w:p>
        </w:tc>
        <w:tc>
          <w:tcPr>
            <w:tcW w:w="5428" w:type="dxa"/>
            <w:vAlign w:val="center"/>
          </w:tcPr>
          <w:p>
            <w:pPr>
              <w:spacing w:line="320" w:lineRule="exact"/>
              <w:rPr>
                <w:rFonts w:ascii="宋体" w:hAnsi="宋体" w:cs="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）：准确理解项目需求内容，方案重点明确，特点突出，提供的项目咨询服务实施方案详细清晰、合理可行。</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10-15</w:t>
            </w:r>
            <w:r>
              <w:rPr>
                <w:rFonts w:hint="eastAsia" w:ascii="宋体" w:hAnsi="宋体" w:cs="宋体"/>
                <w:color w:val="auto"/>
                <w:szCs w:val="21"/>
                <w:highlight w:val="none"/>
              </w:rPr>
              <w:t>分；</w:t>
            </w:r>
          </w:p>
          <w:p>
            <w:pPr>
              <w:spacing w:line="320" w:lineRule="exact"/>
              <w:rPr>
                <w:rFonts w:ascii="宋体" w:hAnsi="宋体" w:cs="宋体"/>
                <w:color w:val="auto"/>
                <w:szCs w:val="21"/>
                <w:highlight w:val="none"/>
              </w:rPr>
            </w:pPr>
            <w:r>
              <w:rPr>
                <w:rFonts w:hint="eastAsia" w:ascii="宋体" w:hAnsi="宋体"/>
                <w:color w:val="auto"/>
                <w:szCs w:val="21"/>
                <w:highlight w:val="none"/>
              </w:rPr>
              <w:t>（中）：基本理解项目需求内容，方案重点较明确，特点较突出，提供的项目咨询服务实施方案较详细清晰、较合理可行。</w:t>
            </w:r>
            <w:r>
              <w:rPr>
                <w:rFonts w:hint="eastAsia" w:ascii="宋体" w:hAnsi="宋体" w:cs="宋体"/>
                <w:color w:val="auto"/>
                <w:szCs w:val="21"/>
                <w:highlight w:val="none"/>
              </w:rPr>
              <w:t>得</w:t>
            </w:r>
            <w:r>
              <w:rPr>
                <w:rFonts w:hint="eastAsia" w:ascii="宋体" w:hAnsi="宋体"/>
                <w:color w:val="auto"/>
                <w:szCs w:val="21"/>
                <w:highlight w:val="none"/>
                <w:lang w:val="en-US" w:eastAsia="zh-CN"/>
              </w:rPr>
              <w:t>5-9</w:t>
            </w:r>
            <w:r>
              <w:rPr>
                <w:rFonts w:hint="eastAsia" w:ascii="宋体" w:hAnsi="宋体" w:cs="宋体"/>
                <w:color w:val="auto"/>
                <w:szCs w:val="21"/>
                <w:highlight w:val="none"/>
              </w:rPr>
              <w:t>分；</w:t>
            </w:r>
          </w:p>
          <w:p>
            <w:pPr>
              <w:spacing w:line="320" w:lineRule="exact"/>
              <w:rPr>
                <w:rFonts w:hint="eastAsia" w:ascii="宋体" w:hAnsi="宋体" w:eastAsia="宋体" w:cs="宋体"/>
                <w:color w:val="auto"/>
                <w:szCs w:val="21"/>
                <w:highlight w:val="none"/>
                <w:lang w:bidi="ar"/>
              </w:rPr>
            </w:pPr>
            <w:r>
              <w:rPr>
                <w:rFonts w:hint="eastAsia" w:ascii="宋体" w:hAnsi="宋体"/>
                <w:color w:val="auto"/>
                <w:szCs w:val="21"/>
                <w:highlight w:val="none"/>
              </w:rPr>
              <w:t>（</w:t>
            </w:r>
            <w:r>
              <w:rPr>
                <w:rFonts w:hint="eastAsia" w:ascii="宋体" w:hAnsi="宋体"/>
                <w:color w:val="auto"/>
                <w:szCs w:val="21"/>
                <w:highlight w:val="none"/>
                <w:lang w:eastAsia="zh-CN"/>
              </w:rPr>
              <w:t>差</w:t>
            </w:r>
            <w:r>
              <w:rPr>
                <w:rFonts w:hint="eastAsia" w:ascii="宋体" w:hAnsi="宋体"/>
                <w:color w:val="auto"/>
                <w:szCs w:val="21"/>
                <w:highlight w:val="none"/>
              </w:rPr>
              <w:t>）：不理解项目需求内容，方案重点不明确，特点不突出，提供的设计咨询服务实施方案不详细清晰、不合理可行。</w:t>
            </w:r>
            <w:r>
              <w:rPr>
                <w:rFonts w:hint="eastAsia" w:ascii="宋体" w:hAnsi="宋体" w:cs="宋体"/>
                <w:color w:val="auto"/>
                <w:szCs w:val="21"/>
                <w:highlight w:val="none"/>
              </w:rPr>
              <w:t>得</w:t>
            </w:r>
            <w:r>
              <w:rPr>
                <w:rFonts w:hint="eastAsia" w:ascii="宋体" w:hAnsi="宋体"/>
                <w:color w:val="auto"/>
                <w:szCs w:val="21"/>
                <w:highlight w:val="none"/>
                <w:lang w:val="en-US" w:eastAsia="zh-CN"/>
              </w:rPr>
              <w:t>0-4</w:t>
            </w:r>
            <w:r>
              <w:rPr>
                <w:rFonts w:hint="eastAsia" w:ascii="宋体" w:hAnsi="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Merge w:val="continue"/>
            <w:vAlign w:val="center"/>
          </w:tcPr>
          <w:p>
            <w:pPr>
              <w:rPr>
                <w:color w:val="auto"/>
                <w:highlight w:val="none"/>
              </w:rPr>
            </w:pPr>
          </w:p>
        </w:tc>
        <w:tc>
          <w:tcPr>
            <w:tcW w:w="1101" w:type="dxa"/>
            <w:vAlign w:val="center"/>
          </w:tcPr>
          <w:p>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项目进度控制</w:t>
            </w:r>
          </w:p>
        </w:tc>
        <w:tc>
          <w:tcPr>
            <w:tcW w:w="735" w:type="dxa"/>
            <w:vAlign w:val="center"/>
          </w:tcPr>
          <w:p>
            <w:pPr>
              <w:spacing w:line="400" w:lineRule="exact"/>
              <w:jc w:val="center"/>
              <w:rPr>
                <w:rFonts w:hint="eastAsia" w:ascii="宋体"/>
                <w:color w:val="auto"/>
                <w:szCs w:val="21"/>
                <w:highlight w:val="none"/>
              </w:rPr>
            </w:pPr>
            <w:r>
              <w:rPr>
                <w:rFonts w:hint="eastAsia" w:ascii="宋体"/>
                <w:color w:val="auto"/>
                <w:szCs w:val="21"/>
                <w:highlight w:val="none"/>
                <w:lang w:val="en-US" w:eastAsia="zh-CN"/>
              </w:rPr>
              <w:t>15</w:t>
            </w:r>
          </w:p>
        </w:tc>
        <w:tc>
          <w:tcPr>
            <w:tcW w:w="5428" w:type="dxa"/>
            <w:vAlign w:val="center"/>
          </w:tcPr>
          <w:p>
            <w:pPr>
              <w:spacing w:line="32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）投标人制定的工作计划安排合理，进度控制措施准确、合理，能在规定的时间内按要求高质量、高效地完成项目服务。得</w:t>
            </w:r>
            <w:r>
              <w:rPr>
                <w:rFonts w:hint="eastAsia" w:ascii="宋体" w:hAnsi="宋体" w:cs="宋体"/>
                <w:color w:val="auto"/>
                <w:szCs w:val="21"/>
                <w:highlight w:val="none"/>
                <w:lang w:val="en-US" w:eastAsia="zh-CN"/>
              </w:rPr>
              <w:t>10-15</w:t>
            </w:r>
            <w:r>
              <w:rPr>
                <w:rFonts w:hint="eastAsia" w:ascii="宋体" w:hAnsi="宋体"/>
                <w:color w:val="auto"/>
                <w:szCs w:val="21"/>
                <w:highlight w:val="none"/>
              </w:rPr>
              <w:t>分；</w:t>
            </w:r>
          </w:p>
          <w:p>
            <w:pPr>
              <w:spacing w:line="320" w:lineRule="exact"/>
              <w:rPr>
                <w:rFonts w:ascii="宋体" w:hAnsi="宋体"/>
                <w:color w:val="auto"/>
                <w:szCs w:val="21"/>
                <w:highlight w:val="none"/>
              </w:rPr>
            </w:pPr>
            <w:r>
              <w:rPr>
                <w:rFonts w:hint="eastAsia" w:ascii="宋体" w:hAnsi="宋体"/>
                <w:color w:val="auto"/>
                <w:szCs w:val="21"/>
                <w:highlight w:val="none"/>
              </w:rPr>
              <w:t>（中）投标人制定的工作计划安排基本合理，进度控制措施基本准确、基本合理，基本能在规定的时间内按要求高质量、高效地完成项目服务。得</w:t>
            </w:r>
            <w:r>
              <w:rPr>
                <w:rFonts w:hint="eastAsia" w:ascii="宋体" w:hAnsi="宋体"/>
                <w:color w:val="auto"/>
                <w:szCs w:val="21"/>
                <w:highlight w:val="none"/>
                <w:lang w:val="en-US" w:eastAsia="zh-CN"/>
              </w:rPr>
              <w:t>5-9</w:t>
            </w:r>
            <w:r>
              <w:rPr>
                <w:rFonts w:hint="eastAsia" w:ascii="宋体" w:hAnsi="宋体"/>
                <w:color w:val="auto"/>
                <w:szCs w:val="21"/>
                <w:highlight w:val="none"/>
              </w:rPr>
              <w:t>分；</w:t>
            </w:r>
          </w:p>
          <w:p>
            <w:pPr>
              <w:spacing w:line="320" w:lineRule="exact"/>
              <w:rPr>
                <w:rFonts w:hint="eastAsia" w:ascii="宋体" w:hAnsi="宋体" w:eastAsia="宋体" w:cs="宋体"/>
                <w:color w:val="auto"/>
                <w:szCs w:val="21"/>
                <w:highlight w:val="none"/>
                <w:lang w:bidi="ar"/>
              </w:rPr>
            </w:pPr>
            <w:r>
              <w:rPr>
                <w:rFonts w:hint="eastAsia" w:ascii="宋体" w:hAnsi="宋体"/>
                <w:color w:val="auto"/>
                <w:szCs w:val="21"/>
                <w:highlight w:val="none"/>
              </w:rPr>
              <w:t>（差）投标人制定的工作计划安排不合理，进度控制措施不准确、不合理，不能在规定的时间内按要求高质量、高效地完成项目服务。得</w:t>
            </w:r>
            <w:r>
              <w:rPr>
                <w:rFonts w:hint="eastAsia" w:ascii="宋体" w:hAnsi="宋体"/>
                <w:color w:val="auto"/>
                <w:szCs w:val="21"/>
                <w:highlight w:val="none"/>
                <w:lang w:val="en-US" w:eastAsia="zh-CN"/>
              </w:rPr>
              <w:t>0-4</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127" w:type="dxa"/>
            <w:vAlign w:val="center"/>
          </w:tcPr>
          <w:p>
            <w:pPr>
              <w:rPr>
                <w:color w:val="auto"/>
                <w:highlight w:val="none"/>
              </w:rPr>
            </w:pPr>
          </w:p>
        </w:tc>
        <w:tc>
          <w:tcPr>
            <w:tcW w:w="1101" w:type="dxa"/>
            <w:vAlign w:val="center"/>
          </w:tcPr>
          <w:p>
            <w:pPr>
              <w:spacing w:line="320" w:lineRule="exact"/>
              <w:jc w:val="center"/>
              <w:rPr>
                <w:rFonts w:hint="eastAsia" w:ascii="宋体" w:hAnsi="宋体"/>
                <w:color w:val="auto"/>
                <w:szCs w:val="21"/>
                <w:highlight w:val="none"/>
              </w:rPr>
            </w:pPr>
            <w:r>
              <w:rPr>
                <w:rFonts w:hint="eastAsia" w:ascii="宋体" w:hAnsi="宋体" w:cs="宋体"/>
                <w:color w:val="auto"/>
                <w:szCs w:val="21"/>
                <w:highlight w:val="none"/>
              </w:rPr>
              <w:t>质量保证</w:t>
            </w:r>
          </w:p>
        </w:tc>
        <w:tc>
          <w:tcPr>
            <w:tcW w:w="735" w:type="dxa"/>
            <w:vAlign w:val="center"/>
          </w:tcPr>
          <w:p>
            <w:pPr>
              <w:spacing w:line="400" w:lineRule="exact"/>
              <w:jc w:val="center"/>
              <w:rPr>
                <w:rFonts w:hint="default" w:ascii="宋体"/>
                <w:color w:val="auto"/>
                <w:szCs w:val="21"/>
                <w:highlight w:val="none"/>
                <w:lang w:val="en-US" w:eastAsia="zh-CN"/>
              </w:rPr>
            </w:pPr>
            <w:r>
              <w:rPr>
                <w:rFonts w:hint="eastAsia" w:ascii="宋体"/>
                <w:color w:val="auto"/>
                <w:szCs w:val="21"/>
                <w:highlight w:val="none"/>
                <w:lang w:val="en-US" w:eastAsia="zh-CN"/>
              </w:rPr>
              <w:t>15</w:t>
            </w:r>
          </w:p>
        </w:tc>
        <w:tc>
          <w:tcPr>
            <w:tcW w:w="5428" w:type="dxa"/>
            <w:vAlign w:val="center"/>
          </w:tcPr>
          <w:p>
            <w:pPr>
              <w:spacing w:line="320" w:lineRule="exact"/>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eastAsia="zh-CN"/>
              </w:rPr>
              <w:t>优</w:t>
            </w:r>
            <w:r>
              <w:rPr>
                <w:rFonts w:hint="eastAsia" w:ascii="宋体" w:hAnsi="宋体"/>
                <w:color w:val="auto"/>
                <w:szCs w:val="21"/>
                <w:highlight w:val="none"/>
              </w:rPr>
              <w:t>）投标人制定的服务质量控制措施齐全、体系完整、保障方法到位、目标明确、有针对性。得</w:t>
            </w:r>
            <w:r>
              <w:rPr>
                <w:rFonts w:hint="eastAsia" w:ascii="宋体" w:hAnsi="宋体" w:cs="宋体"/>
                <w:color w:val="auto"/>
                <w:szCs w:val="21"/>
                <w:highlight w:val="none"/>
                <w:lang w:val="en-US" w:eastAsia="zh-CN"/>
              </w:rPr>
              <w:t>10-15</w:t>
            </w:r>
            <w:r>
              <w:rPr>
                <w:rFonts w:hint="eastAsia" w:ascii="宋体" w:hAnsi="宋体"/>
                <w:color w:val="auto"/>
                <w:szCs w:val="21"/>
                <w:highlight w:val="none"/>
              </w:rPr>
              <w:t>分；</w:t>
            </w:r>
          </w:p>
          <w:p>
            <w:pPr>
              <w:spacing w:line="320" w:lineRule="exact"/>
              <w:rPr>
                <w:rFonts w:ascii="宋体" w:hAnsi="宋体"/>
                <w:color w:val="auto"/>
                <w:szCs w:val="21"/>
                <w:highlight w:val="none"/>
              </w:rPr>
            </w:pPr>
            <w:r>
              <w:rPr>
                <w:rFonts w:hint="eastAsia" w:ascii="宋体" w:hAnsi="宋体"/>
                <w:color w:val="auto"/>
                <w:szCs w:val="21"/>
                <w:highlight w:val="none"/>
              </w:rPr>
              <w:t>（中）投标人制定的服务质量控制措施基本齐全、体系基本完整、保障方法基本到位、目标基本明确、有一定针对性。得</w:t>
            </w:r>
            <w:r>
              <w:rPr>
                <w:rFonts w:hint="eastAsia" w:ascii="宋体" w:hAnsi="宋体"/>
                <w:color w:val="auto"/>
                <w:szCs w:val="21"/>
                <w:highlight w:val="none"/>
                <w:lang w:val="en-US" w:eastAsia="zh-CN"/>
              </w:rPr>
              <w:t>5-9</w:t>
            </w:r>
            <w:r>
              <w:rPr>
                <w:rFonts w:hint="eastAsia" w:ascii="宋体" w:hAnsi="宋体"/>
                <w:color w:val="auto"/>
                <w:szCs w:val="21"/>
                <w:highlight w:val="none"/>
              </w:rPr>
              <w:t>分；</w:t>
            </w:r>
          </w:p>
          <w:p>
            <w:pPr>
              <w:spacing w:line="320" w:lineRule="exact"/>
              <w:rPr>
                <w:rFonts w:hint="eastAsia" w:ascii="宋体" w:hAnsi="宋体"/>
                <w:color w:val="auto"/>
                <w:szCs w:val="21"/>
                <w:highlight w:val="none"/>
              </w:rPr>
            </w:pPr>
            <w:r>
              <w:rPr>
                <w:rFonts w:hint="eastAsia" w:ascii="宋体" w:hAnsi="宋体"/>
                <w:color w:val="auto"/>
                <w:szCs w:val="21"/>
                <w:highlight w:val="none"/>
              </w:rPr>
              <w:t>（差）投标人制定的服务质量控制措施不齐全、体系不完整、保障方法不到位、目标不明确、没有针对性。得</w:t>
            </w:r>
            <w:r>
              <w:rPr>
                <w:rFonts w:hint="eastAsia" w:ascii="宋体" w:hAnsi="宋体"/>
                <w:color w:val="auto"/>
                <w:szCs w:val="21"/>
                <w:highlight w:val="none"/>
                <w:lang w:val="en-US" w:eastAsia="zh-CN"/>
              </w:rPr>
              <w:t>0-4</w:t>
            </w:r>
            <w:r>
              <w:rPr>
                <w:rFonts w:hint="eastAsia" w:ascii="宋体" w:hAnsi="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pPr>
              <w:spacing w:line="400" w:lineRule="exact"/>
              <w:jc w:val="center"/>
              <w:rPr>
                <w:rFonts w:ascii="宋体"/>
                <w:color w:val="auto"/>
                <w:szCs w:val="21"/>
                <w:highlight w:val="none"/>
              </w:rPr>
            </w:pPr>
            <w:r>
              <w:rPr>
                <w:rFonts w:hint="eastAsia" w:ascii="宋体"/>
                <w:color w:val="auto"/>
                <w:szCs w:val="21"/>
                <w:highlight w:val="none"/>
              </w:rPr>
              <w:t>价格部分</w:t>
            </w:r>
          </w:p>
          <w:p>
            <w:pPr>
              <w:spacing w:line="400" w:lineRule="exact"/>
              <w:jc w:val="center"/>
              <w:rPr>
                <w:rFonts w:ascii="宋体"/>
                <w:color w:val="auto"/>
                <w:szCs w:val="21"/>
                <w:highlight w:val="none"/>
              </w:rPr>
            </w:pPr>
            <w:r>
              <w:rPr>
                <w:rFonts w:hint="eastAsia" w:ascii="宋体"/>
                <w:color w:val="auto"/>
                <w:szCs w:val="21"/>
                <w:highlight w:val="none"/>
              </w:rPr>
              <w:t>（</w:t>
            </w:r>
            <w:r>
              <w:rPr>
                <w:rFonts w:hint="eastAsia" w:ascii="宋体"/>
                <w:color w:val="auto"/>
                <w:szCs w:val="21"/>
                <w:highlight w:val="none"/>
                <w:lang w:val="en-US" w:eastAsia="zh-CN"/>
              </w:rPr>
              <w:t>20</w:t>
            </w:r>
            <w:r>
              <w:rPr>
                <w:rFonts w:hint="eastAsia" w:ascii="宋体"/>
                <w:color w:val="auto"/>
                <w:szCs w:val="21"/>
                <w:highlight w:val="none"/>
              </w:rPr>
              <w:t>分）</w:t>
            </w:r>
          </w:p>
        </w:tc>
        <w:tc>
          <w:tcPr>
            <w:tcW w:w="1101" w:type="dxa"/>
            <w:vAlign w:val="center"/>
          </w:tcPr>
          <w:p>
            <w:pPr>
              <w:spacing w:line="400" w:lineRule="exact"/>
              <w:jc w:val="center"/>
              <w:rPr>
                <w:rFonts w:ascii="宋体"/>
                <w:color w:val="auto"/>
                <w:szCs w:val="21"/>
                <w:highlight w:val="none"/>
              </w:rPr>
            </w:pPr>
            <w:r>
              <w:rPr>
                <w:rFonts w:hint="eastAsia" w:ascii="宋体"/>
                <w:color w:val="auto"/>
                <w:szCs w:val="21"/>
                <w:highlight w:val="none"/>
              </w:rPr>
              <w:t>投标报价</w:t>
            </w:r>
          </w:p>
        </w:tc>
        <w:tc>
          <w:tcPr>
            <w:tcW w:w="735" w:type="dxa"/>
            <w:vAlign w:val="center"/>
          </w:tcPr>
          <w:p>
            <w:pPr>
              <w:spacing w:line="400" w:lineRule="exact"/>
              <w:jc w:val="center"/>
              <w:rPr>
                <w:rFonts w:hint="default" w:ascii="宋体" w:eastAsiaTheme="minorEastAsia"/>
                <w:color w:val="auto"/>
                <w:szCs w:val="21"/>
                <w:highlight w:val="none"/>
                <w:lang w:val="en-US" w:eastAsia="zh-CN"/>
              </w:rPr>
            </w:pPr>
            <w:r>
              <w:rPr>
                <w:rFonts w:hint="eastAsia" w:ascii="宋体"/>
                <w:color w:val="auto"/>
                <w:szCs w:val="21"/>
                <w:highlight w:val="none"/>
                <w:lang w:val="en-US" w:eastAsia="zh-CN"/>
              </w:rPr>
              <w:t>20</w:t>
            </w:r>
          </w:p>
        </w:tc>
        <w:tc>
          <w:tcPr>
            <w:tcW w:w="5428" w:type="dxa"/>
          </w:tcPr>
          <w:p>
            <w:pPr>
              <w:rPr>
                <w:rFonts w:ascii="宋体" w:hAnsi="宋体" w:eastAsia="宋体" w:cs="宋体"/>
                <w:color w:val="auto"/>
                <w:szCs w:val="21"/>
                <w:highlight w:val="none"/>
              </w:rPr>
            </w:pPr>
            <w:r>
              <w:rPr>
                <w:rFonts w:hint="eastAsia" w:ascii="宋体" w:hAnsi="宋体" w:eastAsia="宋体" w:cs="宋体"/>
                <w:color w:val="auto"/>
                <w:szCs w:val="21"/>
                <w:highlight w:val="none"/>
              </w:rPr>
              <w:t>报价得分：M＝N-100 ×</w:t>
            </w:r>
            <w:r>
              <w:rPr>
                <w:rFonts w:hint="eastAsia" w:ascii="宋体" w:hAnsi="宋体" w:eastAsia="宋体" w:cs="宋体"/>
                <w:color w:val="auto"/>
                <w:position w:val="-30"/>
                <w:szCs w:val="21"/>
                <w:highlight w:val="none"/>
              </w:rPr>
              <w:object>
                <v:shape id="_x0000_i1025" o:spt="75" type="#_x0000_t75" style="height:32.6pt;width:45.95pt;" o:ole="t" filled="f" o:preferrelative="t" stroked="f" coordsize="21600,21600">
                  <v:path/>
                  <v:fill on="f" focussize="0,0"/>
                  <v:stroke on="f" joinstyle="miter"/>
                  <v:imagedata r:id="rId11" o:title=""/>
                  <o:lock v:ext="edit" aspectratio="t"/>
                  <w10:wrap type="none"/>
                  <w10:anchorlock/>
                </v:shape>
                <o:OLEObject Type="Embed" ProgID="Equation.3" ShapeID="_x0000_i1025" DrawAspect="Content" ObjectID="_1468075725" r:id="rId10">
                  <o:LockedField>false</o:LockedField>
                </o:OLEObject>
              </w:object>
            </w:r>
            <w:r>
              <w:rPr>
                <w:rFonts w:hint="eastAsia" w:ascii="宋体" w:hAnsi="宋体" w:eastAsia="宋体" w:cs="宋体"/>
                <w:color w:val="auto"/>
                <w:szCs w:val="21"/>
                <w:highlight w:val="none"/>
              </w:rPr>
              <w:t>×F</w:t>
            </w:r>
          </w:p>
          <w:p>
            <w:pPr>
              <w:spacing w:line="30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其中 N（分）：投标报价权重分值，为</w:t>
            </w:r>
            <w:r>
              <w:rPr>
                <w:rFonts w:hint="eastAsia" w:ascii="宋体" w:hAnsi="宋体" w:cs="宋体"/>
                <w:color w:val="auto"/>
                <w:szCs w:val="21"/>
                <w:highlight w:val="none"/>
                <w:u w:val="single"/>
                <w:lang w:val="en-US" w:eastAsia="zh-CN"/>
              </w:rPr>
              <w:t>20</w:t>
            </w:r>
            <w:r>
              <w:rPr>
                <w:rFonts w:hint="eastAsia" w:ascii="宋体" w:hAnsi="宋体" w:eastAsia="宋体" w:cs="宋体"/>
                <w:color w:val="auto"/>
                <w:szCs w:val="21"/>
                <w:highlight w:val="none"/>
              </w:rPr>
              <w:t>分；</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P（元）：投标文件通过初步评审的有效投标报价；</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Q（元）：评标基准价；</w:t>
            </w:r>
          </w:p>
          <w:p>
            <w:pPr>
              <w:spacing w:line="300" w:lineRule="exact"/>
              <w:ind w:firstLine="525" w:firstLineChars="250"/>
              <w:rPr>
                <w:rFonts w:ascii="宋体" w:hAnsi="宋体" w:eastAsia="宋体" w:cs="宋体"/>
                <w:color w:val="auto"/>
                <w:szCs w:val="21"/>
                <w:highlight w:val="none"/>
              </w:rPr>
            </w:pPr>
            <w:r>
              <w:rPr>
                <w:rFonts w:hint="eastAsia" w:ascii="宋体" w:hAnsi="宋体" w:eastAsia="宋体" w:cs="宋体"/>
                <w:color w:val="auto"/>
                <w:szCs w:val="21"/>
                <w:highlight w:val="none"/>
              </w:rPr>
              <w:t>F：偏离扣分分值，当P≥Q，F=</w:t>
            </w:r>
            <w:r>
              <w:rPr>
                <w:rFonts w:hint="eastAsia" w:ascii="宋体" w:hAnsi="宋体" w:cs="宋体"/>
                <w:color w:val="auto"/>
                <w:szCs w:val="21"/>
                <w:highlight w:val="none"/>
              </w:rPr>
              <w:t>0.4</w:t>
            </w:r>
            <w:r>
              <w:rPr>
                <w:rFonts w:hint="eastAsia" w:ascii="宋体" w:hAnsi="宋体" w:eastAsia="宋体" w:cs="宋体"/>
                <w:color w:val="auto"/>
                <w:szCs w:val="21"/>
                <w:highlight w:val="none"/>
              </w:rPr>
              <w:t>；当P＜Q，F=</w:t>
            </w:r>
            <w:r>
              <w:rPr>
                <w:rFonts w:hint="eastAsia" w:ascii="宋体" w:hAnsi="宋体" w:cs="宋体"/>
                <w:color w:val="auto"/>
                <w:szCs w:val="21"/>
                <w:highlight w:val="none"/>
              </w:rPr>
              <w:t>0.2</w:t>
            </w:r>
            <w:r>
              <w:rPr>
                <w:rFonts w:hint="eastAsia" w:ascii="宋体" w:hAnsi="宋体" w:eastAsia="宋体" w:cs="宋体"/>
                <w:color w:val="auto"/>
                <w:szCs w:val="21"/>
                <w:highlight w:val="none"/>
              </w:rPr>
              <w:t>。</w:t>
            </w:r>
          </w:p>
          <w:p>
            <w:pPr>
              <w:rPr>
                <w:rFonts w:ascii="宋体" w:eastAsia="宋体"/>
                <w:color w:val="auto"/>
                <w:szCs w:val="21"/>
                <w:highlight w:val="none"/>
              </w:rPr>
            </w:pPr>
            <w:r>
              <w:rPr>
                <w:rFonts w:hint="eastAsia" w:ascii="宋体" w:hAnsi="宋体" w:eastAsia="宋体" w:cs="宋体"/>
                <w:b/>
                <w:color w:val="auto"/>
                <w:szCs w:val="21"/>
                <w:highlight w:val="none"/>
              </w:rPr>
              <w:t>注：</w:t>
            </w:r>
            <w:r>
              <w:rPr>
                <w:rFonts w:hint="eastAsia" w:ascii="宋体" w:hAnsi="宋体" w:cs="微软雅黑"/>
                <w:b/>
                <w:color w:val="auto"/>
                <w:position w:val="-1"/>
                <w:szCs w:val="21"/>
                <w:highlight w:val="none"/>
              </w:rPr>
              <w:t>①以所有通过初步评审的投标文件的有效报价作为依据，（当有效报价大于或等于5家时，去掉一个最高报价和一个最低报价后进行算术平均；当有效报价不超过5家时，则对全部有效报价进行算术平均），并以此算术平均值为评标基准价确定其他投标人的投标报价得分。②计算值按四舍五入法保留两位有效小数，本项最低得分为0分。③除计算错误外，评标基准价不因招投标当事人质疑、投诉、复议以及其它任何情形而改变。</w:t>
            </w:r>
          </w:p>
        </w:tc>
      </w:tr>
    </w:tbl>
    <w:p>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1</w:t>
      </w:r>
      <w:r>
        <w:rPr>
          <w:rFonts w:hint="eastAsia" w:ascii="宋体" w:hAnsi="宋体" w:cs="宋体"/>
          <w:color w:val="auto"/>
          <w:szCs w:val="18"/>
          <w:highlight w:val="none"/>
        </w:rPr>
        <w:t>、国家级奖项指国家协会、国家建设行政主管部门颁发的设计奖项，省级（含副省级）奖指省级（含副省级）协会或省级（含副省级）行政主管部门颁发的设计奖项。</w:t>
      </w:r>
      <w:r>
        <w:rPr>
          <w:rFonts w:hint="eastAsia" w:ascii="宋体" w:hAnsi="宋体"/>
          <w:color w:val="auto"/>
          <w:szCs w:val="21"/>
          <w:highlight w:val="none"/>
          <w:lang w:val="zh-CN"/>
        </w:rPr>
        <w:t>业绩获奖的按最高奖项只计算一次，不重复计算。业绩获奖确认时间以证书发证日期为准。</w:t>
      </w:r>
    </w:p>
    <w:p>
      <w:pPr>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18"/>
          <w:highlight w:val="none"/>
          <w:lang w:val="en-US" w:eastAsia="zh-CN"/>
        </w:rPr>
        <w:t>2</w:t>
      </w:r>
      <w:r>
        <w:rPr>
          <w:rFonts w:hint="eastAsia" w:ascii="宋体" w:hAnsi="宋体" w:cs="宋体"/>
          <w:color w:val="auto"/>
          <w:szCs w:val="18"/>
          <w:highlight w:val="none"/>
        </w:rPr>
        <w:t>、</w:t>
      </w:r>
      <w:r>
        <w:rPr>
          <w:rFonts w:ascii="宋体" w:hAnsi="宋体" w:cs="宋体"/>
          <w:color w:val="auto"/>
          <w:szCs w:val="18"/>
          <w:highlight w:val="none"/>
        </w:rPr>
        <w:t>所提供的投入人员必须为投标单位人员，以提供投标人为其购买的</w:t>
      </w:r>
      <w:r>
        <w:rPr>
          <w:rFonts w:hint="eastAsia" w:ascii="宋体" w:hAnsi="宋体" w:cs="宋体"/>
          <w:color w:val="auto"/>
          <w:szCs w:val="18"/>
          <w:highlight w:val="none"/>
        </w:rPr>
        <w:t>投标截止日前一个月（2022年</w:t>
      </w:r>
      <w:r>
        <w:rPr>
          <w:rFonts w:hint="eastAsia" w:ascii="宋体" w:hAnsi="宋体" w:cs="宋体"/>
          <w:color w:val="auto"/>
          <w:szCs w:val="18"/>
          <w:highlight w:val="none"/>
          <w:lang w:val="en-US" w:eastAsia="zh-CN"/>
        </w:rPr>
        <w:t>7</w:t>
      </w:r>
      <w:r>
        <w:rPr>
          <w:rFonts w:hint="eastAsia" w:ascii="宋体" w:hAnsi="宋体" w:cs="宋体"/>
          <w:color w:val="auto"/>
          <w:szCs w:val="18"/>
          <w:highlight w:val="none"/>
        </w:rPr>
        <w:t>月）的</w:t>
      </w:r>
      <w:r>
        <w:rPr>
          <w:rFonts w:ascii="宋体" w:hAnsi="宋体" w:cs="宋体"/>
          <w:color w:val="auto"/>
          <w:szCs w:val="18"/>
          <w:highlight w:val="none"/>
        </w:rPr>
        <w:t>社保证明为准。</w:t>
      </w:r>
      <w:r>
        <w:rPr>
          <w:rFonts w:hint="eastAsia" w:ascii="宋体" w:hAnsi="宋体" w:cs="宋体"/>
          <w:color w:val="auto"/>
          <w:szCs w:val="18"/>
          <w:highlight w:val="none"/>
        </w:rPr>
        <w:t>项目负责人、各专业负责人注册关系必须在本单位，以上注册及职称均需提供相应证明材料。</w:t>
      </w:r>
    </w:p>
    <w:p>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lang w:val="en-US" w:eastAsia="zh-CN"/>
        </w:rPr>
        <w:t>3</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pPr>
        <w:snapToGrid w:val="0"/>
        <w:ind w:left="74"/>
        <w:rPr>
          <w:rFonts w:ascii="仿宋" w:hAnsi="仿宋" w:eastAsia="仿宋" w:cs="仿宋"/>
          <w:color w:val="auto"/>
          <w:szCs w:val="21"/>
          <w:highlight w:val="none"/>
        </w:rPr>
      </w:pPr>
    </w:p>
    <w:p>
      <w:pPr>
        <w:rPr>
          <w:color w:val="auto"/>
          <w:highlight w:val="none"/>
        </w:rPr>
      </w:pPr>
      <w:r>
        <w:rPr>
          <w:rFonts w:hint="eastAsia"/>
          <w:color w:val="auto"/>
          <w:highlight w:val="none"/>
        </w:rPr>
        <w:br w:type="page"/>
      </w:r>
    </w:p>
    <w:p>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2"/>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广州南沙湿地旅游发展有限公司</w:t>
      </w:r>
      <w:r>
        <w:rPr>
          <w:rFonts w:hint="eastAsia" w:ascii="宋体" w:hAnsi="宋体" w:eastAsia="宋体"/>
          <w:color w:val="auto"/>
          <w:sz w:val="24"/>
          <w:szCs w:val="24"/>
          <w:highlight w:val="none"/>
          <w:u w:val="single"/>
        </w:rPr>
        <w:t xml:space="preserve">、广州南沙建设维护管理有限公司 </w:t>
      </w:r>
    </w:p>
    <w:p>
      <w:pPr>
        <w:pStyle w:val="32"/>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南沙湿地“渔唱晚主题酒店及疍家水岸广场”项目设计服务</w:t>
      </w:r>
      <w:r>
        <w:rPr>
          <w:rFonts w:hint="eastAsia" w:ascii="宋体" w:hAnsi="宋体" w:eastAsia="宋体"/>
          <w:color w:val="auto"/>
          <w:sz w:val="24"/>
          <w:szCs w:val="24"/>
          <w:highlight w:val="none"/>
        </w:rPr>
        <w:t>投标工作，做出郑重声明：</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四、本公司及其有隶属关系的机构没有参加本项目的招标文件编写、监理工作；本公司与承担本招标项目监理业务的单位没有隶属关系或其他利害关系。</w:t>
      </w:r>
    </w:p>
    <w:p>
      <w:pPr>
        <w:pStyle w:val="32"/>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2"/>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3"/>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2"/>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2"/>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32"/>
        <w:snapToGrid w:val="0"/>
        <w:ind w:firstLine="4080" w:firstLineChars="1700"/>
        <w:jc w:val="right"/>
        <w:rPr>
          <w:color w:val="auto"/>
          <w:sz w:val="24"/>
          <w:szCs w:val="24"/>
          <w:highlight w:val="none"/>
        </w:rPr>
      </w:pPr>
    </w:p>
    <w:p>
      <w:pPr>
        <w:snapToGrid w:val="0"/>
        <w:spacing w:line="360" w:lineRule="auto"/>
        <w:jc w:val="left"/>
        <w:rPr>
          <w:rFonts w:ascii="宋体" w:hAnsi="宋体"/>
          <w:color w:val="auto"/>
          <w:sz w:val="24"/>
          <w:highlight w:val="none"/>
        </w:rPr>
      </w:pPr>
    </w:p>
    <w:p>
      <w:pPr>
        <w:pStyle w:val="7"/>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1998262B"/>
    <w:multiLevelType w:val="singleLevel"/>
    <w:tmpl w:val="1998262B"/>
    <w:lvl w:ilvl="0" w:tentative="0">
      <w:start w:val="1"/>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6F6986"/>
    <w:rsid w:val="02F7533D"/>
    <w:rsid w:val="03562994"/>
    <w:rsid w:val="035A0EDE"/>
    <w:rsid w:val="03CB6D70"/>
    <w:rsid w:val="03D5206B"/>
    <w:rsid w:val="04364A4F"/>
    <w:rsid w:val="043A0F20"/>
    <w:rsid w:val="04754D24"/>
    <w:rsid w:val="04A60B94"/>
    <w:rsid w:val="04E40895"/>
    <w:rsid w:val="050B0AD1"/>
    <w:rsid w:val="051B7598"/>
    <w:rsid w:val="05577B55"/>
    <w:rsid w:val="06EA58D8"/>
    <w:rsid w:val="080F2686"/>
    <w:rsid w:val="083B43B1"/>
    <w:rsid w:val="08757A2C"/>
    <w:rsid w:val="08A86F0A"/>
    <w:rsid w:val="08BE0C1E"/>
    <w:rsid w:val="09A667E8"/>
    <w:rsid w:val="09C053E7"/>
    <w:rsid w:val="0B093D1A"/>
    <w:rsid w:val="0B372B92"/>
    <w:rsid w:val="0B3B76F5"/>
    <w:rsid w:val="0B6E5C7D"/>
    <w:rsid w:val="0C855B7E"/>
    <w:rsid w:val="0C87037B"/>
    <w:rsid w:val="0CEF0CD8"/>
    <w:rsid w:val="0D4F2C69"/>
    <w:rsid w:val="0E1B10A8"/>
    <w:rsid w:val="0E80564C"/>
    <w:rsid w:val="0EA03B8A"/>
    <w:rsid w:val="0EAC0C18"/>
    <w:rsid w:val="0EB25F9A"/>
    <w:rsid w:val="0F0E1360"/>
    <w:rsid w:val="0F8D0176"/>
    <w:rsid w:val="115626A3"/>
    <w:rsid w:val="12E86716"/>
    <w:rsid w:val="14082F52"/>
    <w:rsid w:val="14085DAD"/>
    <w:rsid w:val="14233C6D"/>
    <w:rsid w:val="14452035"/>
    <w:rsid w:val="145B3800"/>
    <w:rsid w:val="147E4E1C"/>
    <w:rsid w:val="16007AF5"/>
    <w:rsid w:val="163A203A"/>
    <w:rsid w:val="17BF20B0"/>
    <w:rsid w:val="17E977C8"/>
    <w:rsid w:val="1873680D"/>
    <w:rsid w:val="18AF3306"/>
    <w:rsid w:val="18F12637"/>
    <w:rsid w:val="1922150A"/>
    <w:rsid w:val="19880595"/>
    <w:rsid w:val="1AB46DAB"/>
    <w:rsid w:val="1B6C2995"/>
    <w:rsid w:val="1BC44893"/>
    <w:rsid w:val="1BC65F54"/>
    <w:rsid w:val="1BDF2274"/>
    <w:rsid w:val="1C05708F"/>
    <w:rsid w:val="1C307374"/>
    <w:rsid w:val="1C9203A6"/>
    <w:rsid w:val="1E8832A2"/>
    <w:rsid w:val="1F1C5732"/>
    <w:rsid w:val="1FC2316E"/>
    <w:rsid w:val="1FF32F87"/>
    <w:rsid w:val="20336A96"/>
    <w:rsid w:val="21424D60"/>
    <w:rsid w:val="220D3E3F"/>
    <w:rsid w:val="224A02E7"/>
    <w:rsid w:val="227411DF"/>
    <w:rsid w:val="22803312"/>
    <w:rsid w:val="238E7B64"/>
    <w:rsid w:val="24856237"/>
    <w:rsid w:val="24FE116D"/>
    <w:rsid w:val="25053D8A"/>
    <w:rsid w:val="25791876"/>
    <w:rsid w:val="26B94C66"/>
    <w:rsid w:val="26FF6942"/>
    <w:rsid w:val="272B74FA"/>
    <w:rsid w:val="2865301D"/>
    <w:rsid w:val="28732366"/>
    <w:rsid w:val="28C86C87"/>
    <w:rsid w:val="28FB65E3"/>
    <w:rsid w:val="296119D7"/>
    <w:rsid w:val="297D19A3"/>
    <w:rsid w:val="2A97100B"/>
    <w:rsid w:val="2B401296"/>
    <w:rsid w:val="2B9F277C"/>
    <w:rsid w:val="2D0635AD"/>
    <w:rsid w:val="2D0E0BB5"/>
    <w:rsid w:val="2DCC5B6B"/>
    <w:rsid w:val="2DDB1EBF"/>
    <w:rsid w:val="2DF963B5"/>
    <w:rsid w:val="2E6961DD"/>
    <w:rsid w:val="2EA67F31"/>
    <w:rsid w:val="2EC40C57"/>
    <w:rsid w:val="2EE433BF"/>
    <w:rsid w:val="30334755"/>
    <w:rsid w:val="309A6C96"/>
    <w:rsid w:val="311233CC"/>
    <w:rsid w:val="332E1E50"/>
    <w:rsid w:val="34375C94"/>
    <w:rsid w:val="34935BA4"/>
    <w:rsid w:val="34A264CA"/>
    <w:rsid w:val="36BA638E"/>
    <w:rsid w:val="36F76710"/>
    <w:rsid w:val="3703456E"/>
    <w:rsid w:val="37A26BD4"/>
    <w:rsid w:val="386E2C1B"/>
    <w:rsid w:val="39FC703A"/>
    <w:rsid w:val="3A4968CA"/>
    <w:rsid w:val="3B352BB2"/>
    <w:rsid w:val="3B57188A"/>
    <w:rsid w:val="3B6D4312"/>
    <w:rsid w:val="3B7D5E2D"/>
    <w:rsid w:val="3BB466CB"/>
    <w:rsid w:val="3BB9179A"/>
    <w:rsid w:val="3C536A33"/>
    <w:rsid w:val="3CB7521C"/>
    <w:rsid w:val="3CE76215"/>
    <w:rsid w:val="3CFF0303"/>
    <w:rsid w:val="3D7619F9"/>
    <w:rsid w:val="3D96007A"/>
    <w:rsid w:val="3E512B11"/>
    <w:rsid w:val="3E9F1660"/>
    <w:rsid w:val="3F5F332B"/>
    <w:rsid w:val="3F8502F8"/>
    <w:rsid w:val="3FD704B2"/>
    <w:rsid w:val="3FE0447A"/>
    <w:rsid w:val="405854B3"/>
    <w:rsid w:val="409313F9"/>
    <w:rsid w:val="40CA2819"/>
    <w:rsid w:val="40CC6241"/>
    <w:rsid w:val="40DE71F5"/>
    <w:rsid w:val="40F706D6"/>
    <w:rsid w:val="418C72E5"/>
    <w:rsid w:val="41EC3A6C"/>
    <w:rsid w:val="42A2655E"/>
    <w:rsid w:val="42E71D47"/>
    <w:rsid w:val="436C5E0D"/>
    <w:rsid w:val="440F6ACF"/>
    <w:rsid w:val="44631084"/>
    <w:rsid w:val="446A549B"/>
    <w:rsid w:val="44800368"/>
    <w:rsid w:val="45C40D74"/>
    <w:rsid w:val="46871AD6"/>
    <w:rsid w:val="46AE0CE1"/>
    <w:rsid w:val="46E31443"/>
    <w:rsid w:val="4735560E"/>
    <w:rsid w:val="47413F22"/>
    <w:rsid w:val="47D55FFA"/>
    <w:rsid w:val="481D5A38"/>
    <w:rsid w:val="487975A7"/>
    <w:rsid w:val="48E72086"/>
    <w:rsid w:val="494D5092"/>
    <w:rsid w:val="49732ED5"/>
    <w:rsid w:val="4A1079FD"/>
    <w:rsid w:val="4A1D620C"/>
    <w:rsid w:val="4AE21D6F"/>
    <w:rsid w:val="4AEE0F2F"/>
    <w:rsid w:val="4BC136D0"/>
    <w:rsid w:val="4C2E17B4"/>
    <w:rsid w:val="4D904DD7"/>
    <w:rsid w:val="4D9C287D"/>
    <w:rsid w:val="4DC53F66"/>
    <w:rsid w:val="4E4F4497"/>
    <w:rsid w:val="50932EAD"/>
    <w:rsid w:val="51552F81"/>
    <w:rsid w:val="5174053C"/>
    <w:rsid w:val="51AB2104"/>
    <w:rsid w:val="525C5CD6"/>
    <w:rsid w:val="52840C61"/>
    <w:rsid w:val="53427976"/>
    <w:rsid w:val="53A63423"/>
    <w:rsid w:val="53CE29C2"/>
    <w:rsid w:val="54386D63"/>
    <w:rsid w:val="54A36172"/>
    <w:rsid w:val="54B0714A"/>
    <w:rsid w:val="54BC0EE8"/>
    <w:rsid w:val="55D41C4B"/>
    <w:rsid w:val="562E1696"/>
    <w:rsid w:val="594F1692"/>
    <w:rsid w:val="59566C52"/>
    <w:rsid w:val="5AAF5CCA"/>
    <w:rsid w:val="5AD32383"/>
    <w:rsid w:val="5AD75A27"/>
    <w:rsid w:val="5B6E68B8"/>
    <w:rsid w:val="5B8D6C19"/>
    <w:rsid w:val="5BCE61FA"/>
    <w:rsid w:val="5C9B134E"/>
    <w:rsid w:val="5CE91666"/>
    <w:rsid w:val="5D580334"/>
    <w:rsid w:val="5DAA1580"/>
    <w:rsid w:val="5E1A6FB5"/>
    <w:rsid w:val="5E3329AB"/>
    <w:rsid w:val="5E7A3CE2"/>
    <w:rsid w:val="5F355496"/>
    <w:rsid w:val="5F857532"/>
    <w:rsid w:val="60083F26"/>
    <w:rsid w:val="613C2115"/>
    <w:rsid w:val="61A7533B"/>
    <w:rsid w:val="62B2296D"/>
    <w:rsid w:val="62C266BA"/>
    <w:rsid w:val="636147EE"/>
    <w:rsid w:val="63677EFB"/>
    <w:rsid w:val="63DB6B9E"/>
    <w:rsid w:val="63F47577"/>
    <w:rsid w:val="65B441A4"/>
    <w:rsid w:val="66373494"/>
    <w:rsid w:val="66591B82"/>
    <w:rsid w:val="66790C75"/>
    <w:rsid w:val="67110541"/>
    <w:rsid w:val="674F15EA"/>
    <w:rsid w:val="67A63985"/>
    <w:rsid w:val="686731DA"/>
    <w:rsid w:val="6898637C"/>
    <w:rsid w:val="68B16D7B"/>
    <w:rsid w:val="68BA7003"/>
    <w:rsid w:val="68C057C9"/>
    <w:rsid w:val="6A364F93"/>
    <w:rsid w:val="6BE11926"/>
    <w:rsid w:val="6C450EF0"/>
    <w:rsid w:val="6C920572"/>
    <w:rsid w:val="6D7E6398"/>
    <w:rsid w:val="6D827B87"/>
    <w:rsid w:val="6DC31ECB"/>
    <w:rsid w:val="6E656845"/>
    <w:rsid w:val="6EA64B45"/>
    <w:rsid w:val="6F471F5D"/>
    <w:rsid w:val="70D42DED"/>
    <w:rsid w:val="710F157A"/>
    <w:rsid w:val="718C3480"/>
    <w:rsid w:val="726F354B"/>
    <w:rsid w:val="72B9765A"/>
    <w:rsid w:val="72F3401B"/>
    <w:rsid w:val="731416B4"/>
    <w:rsid w:val="73712518"/>
    <w:rsid w:val="738E7AB2"/>
    <w:rsid w:val="73A54F01"/>
    <w:rsid w:val="73DF2037"/>
    <w:rsid w:val="73F47C56"/>
    <w:rsid w:val="74624F7D"/>
    <w:rsid w:val="7546516B"/>
    <w:rsid w:val="758F20BE"/>
    <w:rsid w:val="75AF555B"/>
    <w:rsid w:val="76F3488A"/>
    <w:rsid w:val="77281C38"/>
    <w:rsid w:val="781828A1"/>
    <w:rsid w:val="78780B98"/>
    <w:rsid w:val="788E06C1"/>
    <w:rsid w:val="78D76423"/>
    <w:rsid w:val="79E02BD8"/>
    <w:rsid w:val="7A3458D0"/>
    <w:rsid w:val="7A4B048B"/>
    <w:rsid w:val="7A635363"/>
    <w:rsid w:val="7A96669D"/>
    <w:rsid w:val="7B4F6DFC"/>
    <w:rsid w:val="7B667A30"/>
    <w:rsid w:val="7B672810"/>
    <w:rsid w:val="7B681B66"/>
    <w:rsid w:val="7C6B2EC5"/>
    <w:rsid w:val="7E300909"/>
    <w:rsid w:val="7EC84C80"/>
    <w:rsid w:val="7ED83F50"/>
    <w:rsid w:val="7EF55FF4"/>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5">
    <w:name w:val="annotation text"/>
    <w:basedOn w:val="1"/>
    <w:semiHidden/>
    <w:unhideWhenUsed/>
    <w:qFormat/>
    <w:uiPriority w:val="0"/>
    <w:pPr>
      <w:jc w:val="left"/>
    </w:pPr>
  </w:style>
  <w:style w:type="paragraph" w:styleId="6">
    <w:name w:val="Body Text"/>
    <w:basedOn w:val="1"/>
    <w:next w:val="1"/>
    <w:qFormat/>
    <w:uiPriority w:val="0"/>
  </w:style>
  <w:style w:type="paragraph" w:styleId="7">
    <w:name w:val="Plain Text"/>
    <w:basedOn w:val="1"/>
    <w:link w:val="29"/>
    <w:qFormat/>
    <w:uiPriority w:val="0"/>
    <w:rPr>
      <w:rFonts w:hint="eastAsia" w:ascii="宋体" w:hAnsi="Courier New" w:eastAsia="宋体" w:cs="Times New Roman"/>
      <w:szCs w:val="21"/>
    </w:rPr>
  </w:style>
  <w:style w:type="paragraph" w:styleId="8">
    <w:name w:val="Balloon Text"/>
    <w:basedOn w:val="1"/>
    <w:link w:val="27"/>
    <w:qFormat/>
    <w:uiPriority w:val="0"/>
    <w:rPr>
      <w:sz w:val="18"/>
      <w:szCs w:val="18"/>
    </w:rPr>
  </w:style>
  <w:style w:type="paragraph" w:styleId="9">
    <w:name w:val="footer"/>
    <w:basedOn w:val="1"/>
    <w:link w:val="26"/>
    <w:qFormat/>
    <w:uiPriority w:val="0"/>
    <w:pPr>
      <w:tabs>
        <w:tab w:val="center" w:pos="4153"/>
        <w:tab w:val="right" w:pos="8306"/>
      </w:tabs>
      <w:snapToGrid w:val="0"/>
      <w:jc w:val="left"/>
    </w:pPr>
    <w:rPr>
      <w:sz w:val="18"/>
      <w:szCs w:val="18"/>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6"/>
    <w:link w:val="30"/>
    <w:qFormat/>
    <w:uiPriority w:val="0"/>
    <w:pPr>
      <w:spacing w:beforeAutospacing="1" w:after="120"/>
      <w:ind w:firstLine="420"/>
    </w:pPr>
    <w:rPr>
      <w:rFonts w:ascii="Times New Roman" w:hAnsi="Times New Roman" w:eastAsia="宋体" w:cs="Times New Roman"/>
      <w:szCs w:val="21"/>
    </w:rPr>
  </w:style>
  <w:style w:type="character" w:styleId="15">
    <w:name w:val="page number"/>
    <w:basedOn w:val="14"/>
    <w:qFormat/>
    <w:uiPriority w:val="0"/>
  </w:style>
  <w:style w:type="character" w:styleId="16">
    <w:name w:val="FollowedHyperlink"/>
    <w:basedOn w:val="14"/>
    <w:qFormat/>
    <w:uiPriority w:val="0"/>
    <w:rPr>
      <w:color w:val="0000FF"/>
      <w:u w:val="single"/>
    </w:rPr>
  </w:style>
  <w:style w:type="character" w:styleId="17">
    <w:name w:val="Hyperlink"/>
    <w:basedOn w:val="14"/>
    <w:qFormat/>
    <w:uiPriority w:val="0"/>
    <w:rPr>
      <w:color w:val="0000FF"/>
      <w:u w:val="single"/>
    </w:rPr>
  </w:style>
  <w:style w:type="paragraph" w:customStyle="1" w:styleId="18">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19">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0">
    <w:name w:val="列出段落1"/>
    <w:basedOn w:val="1"/>
    <w:qFormat/>
    <w:uiPriority w:val="0"/>
    <w:pPr>
      <w:ind w:firstLine="420" w:firstLineChars="200"/>
    </w:pPr>
    <w:rPr>
      <w:rFonts w:ascii="Calibri" w:hAnsi="Calibri" w:eastAsia="宋体" w:cs="Times New Roman"/>
      <w:szCs w:val="21"/>
    </w:rPr>
  </w:style>
  <w:style w:type="paragraph" w:customStyle="1" w:styleId="21">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2">
    <w:name w:val="10"/>
    <w:basedOn w:val="14"/>
    <w:qFormat/>
    <w:uiPriority w:val="0"/>
    <w:rPr>
      <w:rFonts w:hint="default" w:ascii="Times New Roman" w:hAnsi="Times New Roman" w:cs="Times New Roman"/>
    </w:rPr>
  </w:style>
  <w:style w:type="character" w:customStyle="1" w:styleId="23">
    <w:name w:val="15"/>
    <w:basedOn w:val="14"/>
    <w:qFormat/>
    <w:uiPriority w:val="0"/>
    <w:rPr>
      <w:rFonts w:hint="default" w:ascii="Times New Roman" w:hAnsi="Times New Roman" w:cs="Times New Roman"/>
    </w:rPr>
  </w:style>
  <w:style w:type="character" w:customStyle="1" w:styleId="24">
    <w:name w:val="16"/>
    <w:basedOn w:val="14"/>
    <w:qFormat/>
    <w:uiPriority w:val="0"/>
    <w:rPr>
      <w:rFonts w:hint="default" w:ascii="Times New Roman" w:hAnsi="Times New Roman" w:cs="Times New Roman"/>
      <w:color w:val="0000FF"/>
      <w:u w:val="single"/>
    </w:rPr>
  </w:style>
  <w:style w:type="character" w:customStyle="1" w:styleId="25">
    <w:name w:val="页眉 Char"/>
    <w:basedOn w:val="14"/>
    <w:link w:val="10"/>
    <w:qFormat/>
    <w:uiPriority w:val="0"/>
    <w:rPr>
      <w:rFonts w:asciiTheme="minorHAnsi" w:hAnsiTheme="minorHAnsi" w:eastAsiaTheme="minorEastAsia" w:cstheme="minorBidi"/>
      <w:kern w:val="2"/>
      <w:sz w:val="18"/>
      <w:szCs w:val="18"/>
    </w:rPr>
  </w:style>
  <w:style w:type="character" w:customStyle="1" w:styleId="26">
    <w:name w:val="页脚 Char"/>
    <w:basedOn w:val="14"/>
    <w:link w:val="9"/>
    <w:qFormat/>
    <w:uiPriority w:val="0"/>
    <w:rPr>
      <w:rFonts w:asciiTheme="minorHAnsi" w:hAnsiTheme="minorHAnsi" w:eastAsiaTheme="minorEastAsia" w:cstheme="minorBidi"/>
      <w:kern w:val="2"/>
      <w:sz w:val="18"/>
      <w:szCs w:val="18"/>
    </w:rPr>
  </w:style>
  <w:style w:type="character" w:customStyle="1" w:styleId="27">
    <w:name w:val="批注框文本 Char"/>
    <w:basedOn w:val="14"/>
    <w:link w:val="8"/>
    <w:qFormat/>
    <w:uiPriority w:val="0"/>
    <w:rPr>
      <w:rFonts w:asciiTheme="minorHAnsi" w:hAnsiTheme="minorHAnsi" w:eastAsiaTheme="minorEastAsia" w:cstheme="minorBidi"/>
      <w:kern w:val="2"/>
      <w:sz w:val="18"/>
      <w:szCs w:val="18"/>
    </w:rPr>
  </w:style>
  <w:style w:type="paragraph" w:customStyle="1" w:styleId="28">
    <w:name w:val="WPSOffice手动目录 1"/>
    <w:qFormat/>
    <w:uiPriority w:val="0"/>
    <w:rPr>
      <w:rFonts w:ascii="Times New Roman" w:hAnsi="Times New Roman" w:eastAsia="宋体" w:cs="Times New Roman"/>
      <w:lang w:val="en-US" w:eastAsia="zh-CN" w:bidi="ar-SA"/>
    </w:rPr>
  </w:style>
  <w:style w:type="character" w:customStyle="1" w:styleId="29">
    <w:name w:val="纯文本 Char"/>
    <w:link w:val="7"/>
    <w:qFormat/>
    <w:uiPriority w:val="0"/>
    <w:rPr>
      <w:rFonts w:ascii="宋体" w:hAnsi="Courier New"/>
      <w:kern w:val="2"/>
      <w:sz w:val="21"/>
      <w:szCs w:val="21"/>
    </w:rPr>
  </w:style>
  <w:style w:type="character" w:customStyle="1" w:styleId="30">
    <w:name w:val="正文首行缩进 Char"/>
    <w:basedOn w:val="14"/>
    <w:link w:val="12"/>
    <w:qFormat/>
    <w:uiPriority w:val="0"/>
    <w:rPr>
      <w:kern w:val="2"/>
      <w:sz w:val="21"/>
      <w:szCs w:val="21"/>
    </w:rPr>
  </w:style>
  <w:style w:type="paragraph" w:styleId="31">
    <w:name w:val="List Paragraph"/>
    <w:basedOn w:val="1"/>
    <w:unhideWhenUsed/>
    <w:qFormat/>
    <w:uiPriority w:val="99"/>
    <w:pPr>
      <w:ind w:firstLine="420" w:firstLineChars="200"/>
    </w:pPr>
  </w:style>
  <w:style w:type="paragraph" w:customStyle="1" w:styleId="32">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3">
    <w:name w:val="发文落款"/>
    <w:basedOn w:val="32"/>
    <w:qFormat/>
    <w:uiPriority w:val="0"/>
    <w:pPr>
      <w:ind w:left="4094" w:right="607" w:firstLine="0"/>
      <w:jc w:val="center"/>
    </w:pPr>
  </w:style>
  <w:style w:type="paragraph" w:customStyle="1" w:styleId="34">
    <w:name w:val="样式 小四 行距: 1.5 倍行距"/>
    <w:basedOn w:val="1"/>
    <w:qFormat/>
    <w:uiPriority w:val="0"/>
    <w:pPr>
      <w:ind w:firstLine="480"/>
    </w:pPr>
    <w:rPr>
      <w:rFonts w:cs="宋体"/>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EE305-43BA-46E1-85F4-564A5F93B7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40</Pages>
  <Words>15657</Words>
  <Characters>16468</Characters>
  <Lines>139</Lines>
  <Paragraphs>39</Paragraphs>
  <TotalTime>0</TotalTime>
  <ScaleCrop>false</ScaleCrop>
  <LinksUpToDate>false</LinksUpToDate>
  <CharactersWithSpaces>17320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2022-09-02T07:26:03Z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34A582031BBD4A8392FE98AAD5F97DA6</vt:lpwstr>
  </property>
</Properties>
</file>