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海湾小区N地块项目（领航科技大楼）</w:t>
      </w: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val="en-US" w:eastAsia="zh-CN"/>
        </w:rPr>
        <w:t>树</w:t>
      </w:r>
      <w:r>
        <w:rPr>
          <w:rFonts w:hint="eastAsia" w:ascii="宋体" w:hAnsi="宋体" w:eastAsia="宋体" w:cs="宋体"/>
          <w:b/>
          <w:color w:val="auto"/>
          <w:sz w:val="44"/>
          <w:szCs w:val="44"/>
          <w:highlight w:val="none"/>
          <w:lang w:eastAsia="zh-CN"/>
        </w:rPr>
        <w:t>木迁移</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left="0" w:leftChars="0" w:firstLine="964" w:firstLineChars="300"/>
        <w:jc w:val="both"/>
        <w:rPr>
          <w:rFonts w:hint="eastAsia" w:ascii="宋体" w:hAnsi="宋体" w:eastAsia="宋体" w:cs="宋体"/>
          <w:b/>
          <w:color w:val="auto"/>
          <w:sz w:val="32"/>
          <w:szCs w:val="32"/>
          <w:highlight w:val="none"/>
          <w:lang w:eastAsia="zh-CN"/>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广州南沙经济技术开发区港宏房地产开发有限公司</w:t>
      </w:r>
    </w:p>
    <w:p>
      <w:pPr>
        <w:spacing w:line="520" w:lineRule="exact"/>
        <w:ind w:right="-101" w:rightChars="-48" w:firstLine="964" w:firstLineChars="3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期：2022年</w:t>
      </w:r>
      <w:r>
        <w:rPr>
          <w:rFonts w:hint="eastAsia" w:ascii="宋体" w:hAnsi="宋体" w:eastAsia="宋体" w:cs="宋体"/>
          <w:b/>
          <w:color w:val="auto"/>
          <w:sz w:val="32"/>
          <w:szCs w:val="32"/>
          <w:highlight w:val="none"/>
          <w:lang w:val="en-US" w:eastAsia="zh-CN"/>
        </w:rPr>
        <w:t>9月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26</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1" w:name="_Toc13302"/>
      <w:bookmarkStart w:id="2" w:name="_Toc374128472"/>
      <w:r>
        <w:rPr>
          <w:rFonts w:hint="eastAsia" w:ascii="黑体" w:hAnsi="宋体" w:cs="黑体"/>
          <w:b/>
          <w:color w:val="auto"/>
          <w:kern w:val="44"/>
          <w:sz w:val="44"/>
          <w:szCs w:val="44"/>
          <w:highlight w:val="none"/>
        </w:rPr>
        <w:t>第1章 投标须知及前附表</w:t>
      </w:r>
      <w:bookmarkEnd w:id="1"/>
      <w:bookmarkEnd w:id="2"/>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海湾小区N地块项目（领航科技大楼）</w:t>
            </w:r>
            <w:r>
              <w:rPr>
                <w:rFonts w:hint="eastAsia" w:ascii="宋体" w:hAnsi="宋体" w:cs="宋体"/>
                <w:color w:val="auto"/>
                <w:highlight w:val="none"/>
                <w:u w:val="none"/>
                <w:lang w:val="en-US" w:eastAsia="zh-CN"/>
              </w:rPr>
              <w:t>树</w:t>
            </w:r>
            <w:r>
              <w:rPr>
                <w:rFonts w:hint="eastAsia" w:ascii="宋体" w:hAnsi="宋体" w:cs="宋体"/>
                <w:color w:val="auto"/>
                <w:highlight w:val="none"/>
                <w:u w:val="none"/>
                <w:lang w:eastAsia="zh-CN"/>
              </w:rPr>
              <w:t>木迁移</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w:t>
            </w:r>
          </w:p>
          <w:p>
            <w:pPr>
              <w:pStyle w:val="13"/>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eastAsia="zh-CN"/>
              </w:rPr>
              <w:t>广州市</w:t>
            </w:r>
            <w:r>
              <w:rPr>
                <w:rFonts w:hint="eastAsia" w:ascii="宋体" w:hAnsi="宋体" w:eastAsia="宋体" w:cs="宋体"/>
                <w:color w:val="auto"/>
                <w:kern w:val="0"/>
                <w:sz w:val="21"/>
                <w:szCs w:val="21"/>
                <w:highlight w:val="none"/>
              </w:rPr>
              <w:t>南沙区南沙街进港大道与港前大道交叉口西北部</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u w:val="none"/>
                <w:lang w:eastAsia="zh-CN"/>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bookmarkStart w:id="3" w:name="_Toc260515944"/>
            <w:r>
              <w:rPr>
                <w:rFonts w:hint="eastAsia" w:ascii="宋体" w:hAnsi="宋体" w:eastAsia="宋体" w:cs="宋体"/>
                <w:bCs w:val="0"/>
                <w:color w:val="auto"/>
                <w:kern w:val="0"/>
                <w:sz w:val="21"/>
                <w:szCs w:val="21"/>
                <w:highlight w:val="none"/>
                <w:u w:val="none"/>
                <w:lang w:bidi="zh-CN"/>
              </w:rPr>
              <w:t>本项目</w:t>
            </w:r>
            <w:r>
              <w:rPr>
                <w:rFonts w:hint="eastAsia" w:ascii="宋体" w:hAnsi="宋体" w:eastAsia="宋体" w:cs="宋体"/>
                <w:bCs w:val="0"/>
                <w:color w:val="auto"/>
                <w:kern w:val="0"/>
                <w:sz w:val="21"/>
                <w:szCs w:val="21"/>
                <w:highlight w:val="none"/>
                <w:u w:val="none"/>
                <w:lang w:eastAsia="zh-CN" w:bidi="zh-CN"/>
              </w:rPr>
              <w:t>地块位于</w:t>
            </w:r>
            <w:r>
              <w:rPr>
                <w:rFonts w:hint="eastAsia" w:ascii="宋体" w:hAnsi="宋体" w:eastAsia="宋体" w:cs="宋体"/>
                <w:color w:val="auto"/>
                <w:kern w:val="0"/>
                <w:sz w:val="21"/>
                <w:szCs w:val="21"/>
                <w:highlight w:val="none"/>
                <w:u w:val="none"/>
                <w:lang w:bidi="zh-CN"/>
              </w:rPr>
              <w:t>广州市南沙区南沙街东部进港大道与港前大道交叉口西北部</w:t>
            </w:r>
            <w:r>
              <w:rPr>
                <w:rFonts w:hint="eastAsia" w:ascii="宋体" w:hAnsi="宋体" w:eastAsia="宋体" w:cs="宋体"/>
                <w:bCs w:val="0"/>
                <w:color w:val="auto"/>
                <w:kern w:val="0"/>
                <w:sz w:val="21"/>
                <w:szCs w:val="21"/>
                <w:highlight w:val="none"/>
                <w:u w:val="none"/>
                <w:lang w:eastAsia="zh-CN" w:bidi="zh-CN"/>
              </w:rPr>
              <w:t>，</w:t>
            </w:r>
            <w:r>
              <w:rPr>
                <w:rFonts w:hint="eastAsia" w:ascii="宋体" w:hAnsi="宋体" w:eastAsia="宋体" w:cs="宋体"/>
                <w:bCs w:val="0"/>
                <w:color w:val="auto"/>
                <w:kern w:val="0"/>
                <w:sz w:val="21"/>
                <w:szCs w:val="21"/>
                <w:highlight w:val="none"/>
                <w:u w:val="none"/>
                <w:lang w:bidi="zh-CN"/>
              </w:rPr>
              <w:t>计划建设</w:t>
            </w:r>
            <w:r>
              <w:rPr>
                <w:rFonts w:hint="eastAsia" w:ascii="宋体" w:hAnsi="宋体" w:eastAsia="宋体" w:cs="宋体"/>
                <w:bCs w:val="0"/>
                <w:color w:val="auto"/>
                <w:kern w:val="0"/>
                <w:sz w:val="21"/>
                <w:szCs w:val="21"/>
                <w:highlight w:val="none"/>
                <w:u w:val="none"/>
                <w:lang w:eastAsia="zh-CN" w:bidi="zh-CN"/>
              </w:rPr>
              <w:t>项目</w:t>
            </w:r>
            <w:r>
              <w:rPr>
                <w:rFonts w:hint="eastAsia" w:ascii="宋体" w:hAnsi="宋体" w:eastAsia="宋体" w:cs="宋体"/>
                <w:bCs w:val="0"/>
                <w:color w:val="auto"/>
                <w:kern w:val="0"/>
                <w:sz w:val="21"/>
                <w:szCs w:val="21"/>
                <w:highlight w:val="none"/>
                <w:u w:val="none"/>
                <w:lang w:bidi="zh-CN"/>
              </w:rPr>
              <w:t>总建筑面积</w:t>
            </w:r>
            <w:r>
              <w:rPr>
                <w:rFonts w:hint="eastAsia" w:ascii="宋体" w:hAnsi="宋体" w:eastAsia="宋体" w:cs="宋体"/>
                <w:bCs w:val="0"/>
                <w:color w:val="auto"/>
                <w:kern w:val="0"/>
                <w:sz w:val="21"/>
                <w:szCs w:val="21"/>
                <w:highlight w:val="none"/>
                <w:u w:val="none"/>
                <w:lang w:val="en-US" w:eastAsia="zh-CN" w:bidi="zh-CN"/>
              </w:rPr>
              <w:t>24569.44</w:t>
            </w:r>
            <w:r>
              <w:rPr>
                <w:rFonts w:hint="eastAsia" w:ascii="宋体" w:hAnsi="宋体" w:eastAsia="宋体" w:cs="宋体"/>
                <w:bCs w:val="0"/>
                <w:color w:val="auto"/>
                <w:kern w:val="0"/>
                <w:sz w:val="21"/>
                <w:szCs w:val="21"/>
                <w:highlight w:val="none"/>
                <w:u w:val="none"/>
                <w:lang w:bidi="zh-CN"/>
              </w:rPr>
              <w:t>平方米，总计容面积14903.</w:t>
            </w:r>
            <w:r>
              <w:rPr>
                <w:rFonts w:hint="eastAsia" w:ascii="宋体" w:hAnsi="宋体" w:eastAsia="宋体" w:cs="宋体"/>
                <w:bCs w:val="0"/>
                <w:color w:val="auto"/>
                <w:kern w:val="0"/>
                <w:sz w:val="21"/>
                <w:szCs w:val="21"/>
                <w:highlight w:val="none"/>
                <w:u w:val="none"/>
                <w:lang w:val="en-US" w:eastAsia="zh-CN" w:bidi="zh-CN"/>
              </w:rPr>
              <w:t>55</w:t>
            </w:r>
            <w:r>
              <w:rPr>
                <w:rFonts w:hint="eastAsia" w:ascii="宋体" w:hAnsi="宋体" w:eastAsia="宋体" w:cs="宋体"/>
                <w:bCs w:val="0"/>
                <w:color w:val="auto"/>
                <w:kern w:val="0"/>
                <w:sz w:val="21"/>
                <w:szCs w:val="21"/>
                <w:highlight w:val="none"/>
                <w:u w:val="none"/>
                <w:lang w:bidi="zh-CN"/>
              </w:rPr>
              <w:t>平方米。建设1幢14层办公</w:t>
            </w:r>
            <w:r>
              <w:rPr>
                <w:rFonts w:hint="eastAsia" w:ascii="宋体" w:hAnsi="宋体" w:eastAsia="宋体" w:cs="宋体"/>
                <w:bCs w:val="0"/>
                <w:color w:val="auto"/>
                <w:kern w:val="0"/>
                <w:sz w:val="21"/>
                <w:szCs w:val="21"/>
                <w:highlight w:val="none"/>
                <w:u w:val="none"/>
                <w:lang w:eastAsia="zh-CN" w:bidi="zh-CN"/>
              </w:rPr>
              <w:t>及商业</w:t>
            </w:r>
            <w:r>
              <w:rPr>
                <w:rFonts w:hint="eastAsia" w:ascii="宋体" w:hAnsi="宋体" w:eastAsia="宋体" w:cs="宋体"/>
                <w:bCs w:val="0"/>
                <w:color w:val="auto"/>
                <w:kern w:val="0"/>
                <w:sz w:val="21"/>
                <w:szCs w:val="21"/>
                <w:highlight w:val="none"/>
                <w:u w:val="none"/>
                <w:lang w:bidi="zh-CN"/>
              </w:rPr>
              <w:t>塔楼（高度59</w:t>
            </w:r>
            <w:r>
              <w:rPr>
                <w:rFonts w:hint="eastAsia" w:ascii="宋体" w:hAnsi="宋体" w:eastAsia="宋体" w:cs="宋体"/>
                <w:bCs w:val="0"/>
                <w:color w:val="auto"/>
                <w:kern w:val="0"/>
                <w:sz w:val="21"/>
                <w:szCs w:val="21"/>
                <w:highlight w:val="none"/>
                <w:u w:val="none"/>
                <w:lang w:val="en-US" w:eastAsia="zh-CN" w:bidi="zh-CN"/>
              </w:rPr>
              <w:t>.75</w:t>
            </w:r>
            <w:r>
              <w:rPr>
                <w:rFonts w:hint="eastAsia" w:ascii="宋体" w:hAnsi="宋体" w:eastAsia="宋体" w:cs="宋体"/>
                <w:bCs w:val="0"/>
                <w:color w:val="auto"/>
                <w:kern w:val="0"/>
                <w:sz w:val="21"/>
                <w:szCs w:val="21"/>
                <w:highlight w:val="none"/>
                <w:u w:val="none"/>
                <w:lang w:bidi="zh-CN"/>
              </w:rPr>
              <w:t>米）配备3幢独栋商业裙楼（高度</w:t>
            </w:r>
            <w:r>
              <w:rPr>
                <w:rFonts w:hint="eastAsia" w:ascii="宋体" w:hAnsi="宋体" w:eastAsia="宋体" w:cs="宋体"/>
                <w:bCs w:val="0"/>
                <w:color w:val="auto"/>
                <w:kern w:val="0"/>
                <w:sz w:val="21"/>
                <w:szCs w:val="21"/>
                <w:highlight w:val="none"/>
                <w:u w:val="none"/>
                <w:lang w:val="en-US" w:eastAsia="zh-CN" w:bidi="zh-CN"/>
              </w:rPr>
              <w:t>20.60</w:t>
            </w:r>
            <w:r>
              <w:rPr>
                <w:rFonts w:hint="eastAsia" w:ascii="宋体" w:hAnsi="宋体" w:eastAsia="宋体" w:cs="宋体"/>
                <w:bCs w:val="0"/>
                <w:color w:val="auto"/>
                <w:kern w:val="0"/>
                <w:sz w:val="21"/>
                <w:szCs w:val="21"/>
                <w:highlight w:val="none"/>
                <w:u w:val="none"/>
                <w:lang w:bidi="zh-CN"/>
              </w:rPr>
              <w:t>米）</w:t>
            </w:r>
            <w:r>
              <w:rPr>
                <w:rFonts w:hint="eastAsia" w:ascii="宋体" w:hAnsi="宋体" w:eastAsia="宋体" w:cs="宋体"/>
                <w:color w:val="auto"/>
                <w:kern w:val="0"/>
                <w:sz w:val="21"/>
                <w:szCs w:val="21"/>
                <w:highlight w:val="none"/>
                <w:lang w:eastAsia="zh-CN" w:bidi="zh-CN"/>
              </w:rPr>
              <w:t>。</w:t>
            </w:r>
            <w:r>
              <w:rPr>
                <w:rFonts w:hint="eastAsia" w:ascii="宋体" w:hAnsi="宋体" w:eastAsia="宋体" w:cs="宋体"/>
                <w:color w:val="auto"/>
                <w:kern w:val="0"/>
                <w:sz w:val="21"/>
                <w:szCs w:val="21"/>
                <w:highlight w:val="none"/>
                <w:lang w:val="en-US" w:eastAsia="zh-CN" w:bidi="zh-CN"/>
              </w:rPr>
              <w:t>本项目地块内共有树木336株，其中：（1）古树名木：0株；（2）古树后续资源（胸径80cm（含）以上）：共计3株；（3）大树资源（胸径在20cm（含）至80cm（不含））：共计101株（其中包括红线范围外3株小叶榕因在项目开设的出入口范围内无法避让，需纳入调查范围）；（4）其他树木资源（胸径在20cm（不含）以下）：共计232株。</w:t>
            </w:r>
            <w:bookmarkEnd w:id="3"/>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color w:val="auto"/>
                <w:sz w:val="21"/>
                <w:szCs w:val="21"/>
                <w:highlight w:val="none"/>
                <w:u w:val="none"/>
                <w:lang w:val="en-US" w:eastAsia="zh-CN"/>
              </w:rPr>
              <w:t>固定</w:t>
            </w:r>
            <w:r>
              <w:rPr>
                <w:rFonts w:hint="eastAsia" w:ascii="宋体" w:hAnsi="宋体" w:eastAsia="宋体" w:cs="宋体"/>
                <w:bCs/>
                <w:color w:val="auto"/>
                <w:sz w:val="21"/>
                <w:szCs w:val="21"/>
                <w:highlight w:val="none"/>
                <w:u w:val="none"/>
              </w:rPr>
              <w:t>综合单价包干，工程量按实结算</w:t>
            </w:r>
            <w:r>
              <w:rPr>
                <w:rFonts w:hint="eastAsia" w:ascii="宋体" w:hAnsi="宋体" w:eastAsia="宋体" w:cs="宋体"/>
                <w:bCs/>
                <w:color w:val="auto"/>
                <w:sz w:val="21"/>
                <w:szCs w:val="21"/>
                <w:highlight w:val="none"/>
                <w:u w:val="none"/>
                <w:lang w:eastAsia="zh-CN"/>
              </w:rPr>
              <w:t>，</w:t>
            </w:r>
            <w:r>
              <w:rPr>
                <w:rFonts w:hint="eastAsia" w:ascii="宋体" w:hAnsi="宋体" w:cs="宋体"/>
                <w:bCs/>
                <w:color w:val="auto"/>
                <w:sz w:val="21"/>
                <w:szCs w:val="21"/>
                <w:highlight w:val="none"/>
                <w:u w:val="none"/>
                <w:lang w:val="en-US" w:eastAsia="zh-CN"/>
              </w:rPr>
              <w:t>绿色施工安全防护措施费固定总价包干</w:t>
            </w:r>
            <w:r>
              <w:rPr>
                <w:rFonts w:hint="eastAsia" w:ascii="宋体" w:hAnsi="宋体" w:eastAsia="宋体" w:cs="宋体"/>
                <w:bCs/>
                <w:color w:val="auto"/>
                <w:sz w:val="21"/>
                <w:szCs w:val="21"/>
                <w:highlight w:val="none"/>
                <w:u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sz w:val="21"/>
                <w:szCs w:val="21"/>
                <w:highlight w:val="none"/>
                <w:u w:val="none"/>
                <w:shd w:val="clear"/>
                <w:lang w:eastAsia="zh-CN"/>
              </w:rPr>
              <w:t>详见项目</w:t>
            </w:r>
            <w:r>
              <w:rPr>
                <w:rFonts w:hint="eastAsia" w:ascii="宋体" w:hAnsi="宋体" w:eastAsia="宋体" w:cs="宋体"/>
                <w:color w:val="auto"/>
                <w:kern w:val="0"/>
                <w:sz w:val="21"/>
                <w:szCs w:val="21"/>
                <w:highlight w:val="none"/>
                <w:lang w:bidi="zh-CN"/>
              </w:rPr>
              <w:t>最高限价</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0"/>
                <w:sz w:val="21"/>
                <w:szCs w:val="21"/>
                <w:highlight w:val="none"/>
                <w:lang w:bidi="zh-CN"/>
              </w:rPr>
              <w:t>工程质量符合国家验收规范，达到合格标准</w:t>
            </w:r>
            <w:r>
              <w:rPr>
                <w:rFonts w:hint="eastAsia" w:ascii="宋体" w:hAnsi="宋体" w:eastAsia="宋体" w:cs="宋体"/>
                <w:bCs w:val="0"/>
                <w:color w:val="auto"/>
                <w:kern w:val="0"/>
                <w:sz w:val="21"/>
                <w:szCs w:val="21"/>
                <w:highlight w:val="none"/>
                <w:lang w:eastAsia="zh-CN" w:bidi="zh-CN"/>
              </w:rPr>
              <w:t>。</w:t>
            </w:r>
            <w:r>
              <w:rPr>
                <w:rFonts w:hint="eastAsia" w:ascii="宋体" w:hAnsi="宋体" w:eastAsia="宋体" w:cs="宋体"/>
                <w:i w:val="0"/>
                <w:iCs w:val="0"/>
                <w:caps w:val="0"/>
                <w:color w:val="auto"/>
                <w:spacing w:val="0"/>
                <w:kern w:val="0"/>
                <w:sz w:val="21"/>
                <w:szCs w:val="21"/>
                <w:highlight w:val="none"/>
                <w:shd w:val="clear"/>
                <w:lang w:bidi="zh-CN"/>
              </w:rPr>
              <w:t>种植质量必须严格按照绿化种植规范</w:t>
            </w:r>
            <w:r>
              <w:rPr>
                <w:rFonts w:hint="eastAsia" w:ascii="宋体" w:hAnsi="宋体" w:eastAsia="宋体" w:cs="宋体"/>
                <w:i w:val="0"/>
                <w:iCs w:val="0"/>
                <w:caps w:val="0"/>
                <w:color w:val="auto"/>
                <w:spacing w:val="0"/>
                <w:kern w:val="0"/>
                <w:sz w:val="21"/>
                <w:szCs w:val="21"/>
                <w:highlight w:val="none"/>
                <w:shd w:val="clear"/>
                <w:lang w:eastAsia="zh-CN" w:bidi="zh-CN"/>
              </w:rPr>
              <w:t>，养护成活率达到</w:t>
            </w:r>
            <w:r>
              <w:rPr>
                <w:rFonts w:hint="eastAsia" w:ascii="宋体" w:hAnsi="宋体" w:eastAsia="宋体" w:cs="宋体"/>
                <w:i w:val="0"/>
                <w:iCs w:val="0"/>
                <w:caps w:val="0"/>
                <w:color w:val="auto"/>
                <w:spacing w:val="0"/>
                <w:kern w:val="0"/>
                <w:sz w:val="21"/>
                <w:szCs w:val="21"/>
                <w:highlight w:val="none"/>
                <w:shd w:val="clear"/>
                <w:lang w:val="en-US" w:eastAsia="zh-CN" w:bidi="zh-CN"/>
              </w:rPr>
              <w:t>100%。</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招标内容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spacing w:line="240" w:lineRule="auto"/>
              <w:ind w:firstLine="0" w:firstLineChars="0"/>
              <w:rPr>
                <w:rFonts w:hint="eastAsia" w:ascii="宋体" w:hAnsi="宋体" w:eastAsia="宋体" w:cs="宋体"/>
                <w:color w:val="auto"/>
                <w:kern w:val="0"/>
                <w:sz w:val="21"/>
                <w:szCs w:val="21"/>
                <w:highlight w:val="none"/>
                <w:u w:val="none"/>
                <w:lang w:val="en-US" w:eastAsia="zh-CN" w:bidi="zh-CN"/>
              </w:rPr>
            </w:pPr>
            <w:r>
              <w:rPr>
                <w:rFonts w:hint="eastAsia" w:ascii="宋体" w:hAnsi="宋体" w:eastAsia="宋体" w:cs="宋体"/>
                <w:color w:val="auto"/>
                <w:kern w:val="0"/>
                <w:sz w:val="21"/>
                <w:szCs w:val="21"/>
                <w:highlight w:val="none"/>
                <w:lang w:val="en-US" w:eastAsia="zh-CN" w:bidi="zh-CN"/>
              </w:rPr>
              <w:t>暂定</w:t>
            </w:r>
            <w:r>
              <w:rPr>
                <w:rFonts w:hint="eastAsia" w:ascii="宋体" w:hAnsi="宋体" w:eastAsia="宋体" w:cs="宋体"/>
                <w:b w:val="0"/>
                <w:bCs w:val="0"/>
                <w:color w:val="auto"/>
                <w:kern w:val="0"/>
                <w:sz w:val="21"/>
                <w:szCs w:val="21"/>
                <w:highlight w:val="none"/>
                <w:lang w:val="en-US" w:eastAsia="zh-CN" w:bidi="zh-CN"/>
              </w:rPr>
              <w:t>迁移树木328株</w:t>
            </w:r>
            <w:r>
              <w:rPr>
                <w:rFonts w:hint="eastAsia" w:ascii="宋体" w:hAnsi="宋体" w:eastAsia="宋体" w:cs="宋体"/>
                <w:color w:val="auto"/>
                <w:kern w:val="0"/>
                <w:sz w:val="21"/>
                <w:szCs w:val="21"/>
                <w:highlight w:val="none"/>
                <w:lang w:bidi="zh-CN"/>
              </w:rPr>
              <w:t>（</w:t>
            </w:r>
            <w:r>
              <w:rPr>
                <w:rFonts w:hint="eastAsia" w:ascii="宋体" w:hAnsi="宋体" w:eastAsia="宋体" w:cs="宋体"/>
                <w:color w:val="auto"/>
                <w:kern w:val="0"/>
                <w:sz w:val="21"/>
                <w:szCs w:val="21"/>
                <w:highlight w:val="none"/>
                <w:lang w:val="en-US" w:bidi="zh-CN"/>
              </w:rPr>
              <w:t>具体以招标人书面通知为准</w:t>
            </w:r>
            <w:r>
              <w:rPr>
                <w:rFonts w:hint="eastAsia" w:ascii="宋体" w:hAnsi="宋体" w:eastAsia="宋体" w:cs="宋体"/>
                <w:color w:val="auto"/>
                <w:kern w:val="0"/>
                <w:sz w:val="21"/>
                <w:szCs w:val="21"/>
                <w:highlight w:val="none"/>
                <w:lang w:bidi="zh-CN"/>
              </w:rPr>
              <w:t>）</w:t>
            </w:r>
            <w:r>
              <w:rPr>
                <w:rFonts w:hint="eastAsia" w:ascii="宋体" w:hAnsi="宋体" w:eastAsia="宋体" w:cs="宋体"/>
                <w:b w:val="0"/>
                <w:bCs w:val="0"/>
                <w:color w:val="auto"/>
                <w:kern w:val="0"/>
                <w:sz w:val="21"/>
                <w:szCs w:val="21"/>
                <w:highlight w:val="none"/>
                <w:lang w:val="en-US" w:eastAsia="zh-CN" w:bidi="zh-CN"/>
              </w:rPr>
              <w:t>，迁移至南沙湿地公园内，树木养护期12个月。砍伐树木5株。</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0"/>
                <w:sz w:val="21"/>
                <w:szCs w:val="21"/>
                <w:highlight w:val="none"/>
                <w:u w:val="none"/>
                <w:lang w:val="en-US" w:eastAsia="zh-CN" w:bidi="zh-CN"/>
              </w:rPr>
            </w:pPr>
            <w:r>
              <w:rPr>
                <w:rFonts w:hint="eastAsia" w:ascii="宋体" w:hAnsi="宋体" w:eastAsia="宋体" w:cs="宋体"/>
                <w:color w:val="auto"/>
                <w:kern w:val="0"/>
                <w:sz w:val="21"/>
                <w:szCs w:val="21"/>
                <w:highlight w:val="none"/>
                <w:lang w:bidi="zh-CN"/>
              </w:rPr>
              <w:t>迁移工期为15个日历天</w:t>
            </w:r>
            <w:r>
              <w:rPr>
                <w:rFonts w:hint="eastAsia" w:ascii="宋体" w:hAnsi="宋体" w:eastAsia="宋体" w:cs="宋体"/>
                <w:color w:val="auto"/>
                <w:kern w:val="0"/>
                <w:sz w:val="21"/>
                <w:szCs w:val="21"/>
                <w:highlight w:val="none"/>
                <w:lang w:eastAsia="zh-CN" w:bidi="zh-CN"/>
              </w:rPr>
              <w:t>，起始时间以招标人书面通知为准。</w:t>
            </w:r>
            <w:r>
              <w:rPr>
                <w:rFonts w:hint="eastAsia" w:ascii="宋体" w:hAnsi="宋体" w:eastAsia="宋体" w:cs="宋体"/>
                <w:color w:val="auto"/>
                <w:kern w:val="0"/>
                <w:sz w:val="21"/>
                <w:szCs w:val="21"/>
                <w:highlight w:val="none"/>
                <w:lang w:val="en-US" w:eastAsia="zh-CN" w:bidi="zh-CN"/>
              </w:rPr>
              <w:t>树木</w:t>
            </w:r>
            <w:r>
              <w:rPr>
                <w:rFonts w:hint="eastAsia" w:ascii="宋体" w:hAnsi="宋体" w:eastAsia="宋体" w:cs="宋体"/>
                <w:color w:val="auto"/>
                <w:kern w:val="0"/>
                <w:sz w:val="21"/>
                <w:szCs w:val="21"/>
                <w:highlight w:val="none"/>
                <w:lang w:eastAsia="zh-CN" w:bidi="zh-CN"/>
              </w:rPr>
              <w:t>养护期1</w:t>
            </w:r>
            <w:r>
              <w:rPr>
                <w:rFonts w:hint="eastAsia" w:ascii="宋体" w:hAnsi="宋体" w:eastAsia="宋体" w:cs="宋体"/>
                <w:color w:val="auto"/>
                <w:kern w:val="0"/>
                <w:sz w:val="21"/>
                <w:szCs w:val="21"/>
                <w:highlight w:val="none"/>
                <w:lang w:val="en-US" w:eastAsia="zh-CN" w:bidi="zh-CN"/>
              </w:rPr>
              <w:t>2</w:t>
            </w:r>
            <w:r>
              <w:rPr>
                <w:rFonts w:hint="eastAsia" w:ascii="宋体" w:hAnsi="宋体" w:eastAsia="宋体" w:cs="宋体"/>
                <w:color w:val="auto"/>
                <w:kern w:val="0"/>
                <w:sz w:val="21"/>
                <w:szCs w:val="21"/>
                <w:highlight w:val="none"/>
                <w:lang w:eastAsia="zh-CN" w:bidi="zh-CN"/>
              </w:rPr>
              <w:t>个月（竣工验收合格之日起计）。</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营业执照范围包含园林绿化相关内容</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具有工程类或园林绿化类工程师中级或以上职称。</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widowControl/>
              <w:spacing w:line="360" w:lineRule="auto"/>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spacing w:line="360" w:lineRule="auto"/>
              <w:ind w:firstLine="0" w:firstLineChars="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2"/>
                <w:sz w:val="21"/>
                <w:szCs w:val="21"/>
                <w:highlight w:val="none"/>
                <w:u w:val="none"/>
                <w:lang w:bidi="zh-CN"/>
              </w:rPr>
              <w:t>本项目最高限价为¥</w:t>
            </w:r>
            <w:r>
              <w:rPr>
                <w:rFonts w:hint="eastAsia" w:ascii="宋体" w:hAnsi="宋体" w:eastAsia="宋体" w:cs="宋体"/>
                <w:b w:val="0"/>
                <w:bCs w:val="0"/>
                <w:color w:val="auto"/>
                <w:sz w:val="21"/>
                <w:szCs w:val="21"/>
                <w:highlight w:val="none"/>
                <w:u w:val="none"/>
                <w:lang w:val="en-US" w:eastAsia="zh-CN"/>
              </w:rPr>
              <w:t>457548.35</w:t>
            </w:r>
            <w:r>
              <w:rPr>
                <w:rFonts w:hint="eastAsia" w:ascii="宋体" w:hAnsi="宋体" w:eastAsia="宋体" w:cs="宋体"/>
                <w:color w:val="auto"/>
                <w:kern w:val="2"/>
                <w:sz w:val="21"/>
                <w:szCs w:val="21"/>
                <w:highlight w:val="none"/>
                <w:u w:val="none"/>
                <w:lang w:bidi="zh-CN"/>
              </w:rPr>
              <w:t>元（大写：人民币肆拾伍万柒仟伍佰肆拾捌元叁角伍分），其中绿色施工安全防护措施费为¥</w:t>
            </w:r>
            <w:r>
              <w:rPr>
                <w:rFonts w:hint="eastAsia" w:ascii="宋体" w:hAnsi="宋体" w:eastAsia="宋体" w:cs="宋体"/>
                <w:b w:val="0"/>
                <w:bCs w:val="0"/>
                <w:color w:val="auto"/>
                <w:sz w:val="21"/>
                <w:szCs w:val="21"/>
                <w:highlight w:val="none"/>
                <w:u w:val="none"/>
                <w:lang w:val="en-US" w:eastAsia="zh-CN"/>
              </w:rPr>
              <w:t>26491.09</w:t>
            </w:r>
            <w:r>
              <w:rPr>
                <w:rFonts w:hint="eastAsia" w:ascii="宋体" w:hAnsi="宋体" w:eastAsia="宋体" w:cs="宋体"/>
                <w:color w:val="auto"/>
                <w:kern w:val="2"/>
                <w:sz w:val="21"/>
                <w:szCs w:val="21"/>
                <w:highlight w:val="none"/>
                <w:u w:val="none"/>
                <w:lang w:val="en-US" w:bidi="zh-CN"/>
              </w:rPr>
              <w:t>元（固定值）。</w:t>
            </w:r>
            <w:r>
              <w:rPr>
                <w:rFonts w:hint="eastAsia" w:ascii="宋体" w:hAnsi="宋体" w:eastAsia="宋体" w:cs="宋体"/>
                <w:color w:val="auto"/>
                <w:kern w:val="2"/>
                <w:sz w:val="21"/>
                <w:szCs w:val="21"/>
                <w:highlight w:val="none"/>
                <w:u w:val="none"/>
              </w:rPr>
              <w:t>包含</w:t>
            </w:r>
            <w:r>
              <w:rPr>
                <w:rFonts w:hint="eastAsia" w:ascii="宋体" w:hAnsi="宋体" w:eastAsia="宋体" w:cs="宋体"/>
                <w:color w:val="auto"/>
                <w:kern w:val="2"/>
                <w:sz w:val="21"/>
                <w:szCs w:val="21"/>
                <w:highlight w:val="none"/>
                <w:u w:val="none"/>
                <w:lang w:val="en-US" w:eastAsia="zh-CN"/>
              </w:rPr>
              <w:t>但不限于</w:t>
            </w:r>
            <w:r>
              <w:rPr>
                <w:rFonts w:hint="eastAsia" w:ascii="宋体" w:hAnsi="宋体" w:eastAsia="宋体" w:cs="宋体"/>
                <w:color w:val="auto"/>
                <w:kern w:val="2"/>
                <w:sz w:val="21"/>
                <w:szCs w:val="21"/>
                <w:highlight w:val="none"/>
                <w:u w:val="none"/>
              </w:rPr>
              <w:t>完成合同约定服务内容的人工、物料及机械设备费用</w:t>
            </w:r>
            <w:r>
              <w:rPr>
                <w:rFonts w:hint="eastAsia" w:ascii="宋体" w:hAnsi="宋体" w:eastAsia="宋体" w:cs="宋体"/>
                <w:color w:val="auto"/>
                <w:kern w:val="2"/>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rPr>
              <w:t>含运输</w:t>
            </w:r>
            <w:r>
              <w:rPr>
                <w:rFonts w:hint="eastAsia" w:ascii="宋体" w:hAnsi="宋体" w:eastAsia="宋体" w:cs="宋体"/>
                <w:color w:val="auto"/>
                <w:kern w:val="2"/>
                <w:sz w:val="21"/>
                <w:szCs w:val="21"/>
                <w:highlight w:val="none"/>
                <w:u w:val="none"/>
                <w:lang w:eastAsia="zh-CN"/>
              </w:rPr>
              <w:t>）</w:t>
            </w:r>
            <w:r>
              <w:rPr>
                <w:rFonts w:hint="eastAsia" w:ascii="宋体" w:hAnsi="宋体" w:eastAsia="宋体" w:cs="宋体"/>
                <w:color w:val="auto"/>
                <w:kern w:val="2"/>
                <w:sz w:val="21"/>
                <w:szCs w:val="21"/>
                <w:highlight w:val="none"/>
                <w:u w:val="none"/>
              </w:rPr>
              <w:t>、</w:t>
            </w:r>
            <w:r>
              <w:rPr>
                <w:rFonts w:hint="eastAsia" w:ascii="宋体" w:hAnsi="宋体" w:eastAsia="宋体" w:cs="宋体"/>
                <w:color w:val="auto"/>
                <w:kern w:val="2"/>
                <w:sz w:val="21"/>
                <w:szCs w:val="21"/>
                <w:highlight w:val="none"/>
                <w:u w:val="none"/>
                <w:lang w:val="en-US" w:eastAsia="zh-CN"/>
              </w:rPr>
              <w:t>树木养护费、</w:t>
            </w:r>
            <w:r>
              <w:rPr>
                <w:rFonts w:hint="eastAsia" w:ascii="宋体" w:hAnsi="宋体" w:eastAsia="宋体" w:cs="宋体"/>
                <w:color w:val="auto"/>
                <w:kern w:val="2"/>
                <w:sz w:val="21"/>
                <w:szCs w:val="21"/>
                <w:highlight w:val="none"/>
                <w:u w:val="none"/>
              </w:rPr>
              <w:t>措施费用、管理费用、检测费用、协调费用、保险费用、利润及税费，履约期间可能出现的不可预见费、赶工费及政策性调整等全部费用。</w:t>
            </w:r>
            <w:r>
              <w:rPr>
                <w:rFonts w:hint="eastAsia" w:ascii="宋体" w:hAnsi="宋体" w:eastAsia="宋体" w:cs="宋体"/>
                <w:color w:val="auto"/>
                <w:kern w:val="0"/>
                <w:sz w:val="21"/>
                <w:szCs w:val="21"/>
                <w:highlight w:val="none"/>
                <w:lang w:val="en-US" w:eastAsia="zh-CN"/>
              </w:rPr>
              <w:t>投标人自行报价，报价不得超过最高限价，否则按废标处理。</w:t>
            </w:r>
          </w:p>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u w:val="single"/>
                <w:lang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w:t>
            </w:r>
            <w:r>
              <w:rPr>
                <w:rFonts w:hint="eastAsia" w:ascii="宋体" w:hAnsi="宋体" w:eastAsia="宋体" w:cs="宋体"/>
                <w:color w:val="auto"/>
                <w:sz w:val="21"/>
                <w:szCs w:val="21"/>
                <w:highlight w:val="none"/>
                <w:lang w:eastAsia="zh-CN"/>
              </w:rPr>
              <w:t>南沙经济技术开发区港宏房地产开发有限公司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lang w:eastAsia="zh-CN"/>
              </w:rPr>
              <w:t>广州农村商业银行南沙金洲支行</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lang w:val="en-US" w:eastAsia="zh-CN"/>
              </w:rPr>
              <w:t>369609001000004724</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海湾小区N地块项目（领航科技大楼）</w:t>
            </w:r>
            <w:r>
              <w:rPr>
                <w:rFonts w:hint="eastAsia" w:ascii="宋体" w:hAnsi="宋体" w:eastAsia="宋体" w:cs="宋体"/>
                <w:color w:val="auto"/>
                <w:szCs w:val="21"/>
                <w:highlight w:val="none"/>
                <w:u w:val="none"/>
                <w:lang w:val="en-US" w:eastAsia="zh-CN"/>
              </w:rPr>
              <w:t>树</w:t>
            </w:r>
            <w:r>
              <w:rPr>
                <w:rFonts w:hint="eastAsia" w:ascii="宋体" w:hAnsi="宋体" w:eastAsia="宋体" w:cs="宋体"/>
                <w:color w:val="auto"/>
                <w:szCs w:val="21"/>
                <w:highlight w:val="none"/>
                <w:u w:val="none"/>
                <w:lang w:eastAsia="zh-CN"/>
              </w:rPr>
              <w:t>木迁移</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）上午</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）上午</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）上午</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eastAsia="zh-CN"/>
        </w:rPr>
        <w:t>招标内容</w:t>
      </w:r>
      <w:r>
        <w:rPr>
          <w:rFonts w:hint="eastAsia" w:ascii="宋体" w:hAnsi="宋体" w:eastAsia="宋体" w:cs="宋体"/>
          <w:color w:val="auto"/>
          <w:sz w:val="24"/>
          <w:highlight w:val="none"/>
        </w:rPr>
        <w:t>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w:t>
      </w:r>
      <w:r>
        <w:rPr>
          <w:rFonts w:hint="eastAsia" w:ascii="宋体" w:hAnsi="宋体" w:eastAsia="宋体" w:cs="宋体"/>
          <w:color w:val="auto"/>
          <w:sz w:val="24"/>
          <w:highlight w:val="none"/>
          <w:lang w:eastAsia="zh-CN"/>
        </w:rPr>
        <w:t>招标内容</w:t>
      </w:r>
      <w:r>
        <w:rPr>
          <w:rFonts w:hint="eastAsia" w:ascii="宋体" w:hAnsi="宋体" w:eastAsia="宋体" w:cs="宋体"/>
          <w:color w:val="auto"/>
          <w:sz w:val="24"/>
          <w:highlight w:val="none"/>
        </w:rPr>
        <w:t>：见投标须知前附表第6项。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2"/>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2"/>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2"/>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11.15迁移及养护方案。</w:t>
      </w:r>
    </w:p>
    <w:p>
      <w:pPr>
        <w:pStyle w:val="2"/>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val="en-US"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val="en-US"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pStyle w:val="2"/>
        <w:widowControl/>
        <w:ind w:firstLine="640" w:firstLineChars="200"/>
        <w:rPr>
          <w:rFonts w:hint="default" w:ascii="仿宋_GB2312" w:hAnsi="宋体" w:eastAsia="仿宋_GB2312" w:cs="宋体"/>
          <w:color w:val="auto"/>
          <w:kern w:val="0"/>
          <w:sz w:val="32"/>
          <w:szCs w:val="32"/>
          <w:highlight w:val="none"/>
          <w:lang w:val="en-US" w:eastAsia="zh-CN"/>
        </w:rPr>
      </w:pPr>
      <w:r>
        <w:rPr>
          <w:rFonts w:hint="eastAsia" w:ascii="仿宋_GB2312" w:hAnsi="仿宋_GB2312" w:eastAsia="仿宋_GB2312" w:cs="仿宋_GB2312"/>
          <w:bCs w:val="0"/>
          <w:color w:val="auto"/>
          <w:sz w:val="32"/>
          <w:szCs w:val="32"/>
          <w:highlight w:val="none"/>
          <w:u w:val="none"/>
        </w:rPr>
        <w:t>本项目</w:t>
      </w:r>
      <w:r>
        <w:rPr>
          <w:rFonts w:hint="eastAsia" w:ascii="仿宋_GB2312" w:hAnsi="仿宋_GB2312" w:eastAsia="仿宋_GB2312" w:cs="仿宋_GB2312"/>
          <w:bCs w:val="0"/>
          <w:color w:val="auto"/>
          <w:sz w:val="32"/>
          <w:szCs w:val="32"/>
          <w:highlight w:val="none"/>
          <w:u w:val="none"/>
          <w:lang w:eastAsia="zh-CN"/>
        </w:rPr>
        <w:t>地块位于</w:t>
      </w:r>
      <w:r>
        <w:rPr>
          <w:rFonts w:hint="eastAsia" w:ascii="仿宋_GB2312" w:hAnsi="仿宋_GB2312" w:eastAsia="仿宋_GB2312" w:cs="仿宋_GB2312"/>
          <w:color w:val="auto"/>
          <w:sz w:val="32"/>
          <w:szCs w:val="32"/>
          <w:highlight w:val="none"/>
          <w:u w:val="none"/>
        </w:rPr>
        <w:t>广州市南沙区南沙街东部进港大道与港前大道交叉口西北部</w:t>
      </w:r>
      <w:r>
        <w:rPr>
          <w:rFonts w:hint="eastAsia" w:ascii="仿宋_GB2312" w:hAnsi="仿宋_GB2312" w:eastAsia="仿宋_GB2312" w:cs="仿宋_GB2312"/>
          <w:bCs w:val="0"/>
          <w:color w:val="auto"/>
          <w:sz w:val="32"/>
          <w:szCs w:val="32"/>
          <w:highlight w:val="none"/>
          <w:u w:val="none"/>
          <w:lang w:eastAsia="zh-CN"/>
        </w:rPr>
        <w:t>，</w:t>
      </w:r>
      <w:r>
        <w:rPr>
          <w:rFonts w:hint="eastAsia" w:ascii="仿宋_GB2312" w:hAnsi="仿宋_GB2312" w:eastAsia="仿宋_GB2312" w:cs="仿宋_GB2312"/>
          <w:bCs w:val="0"/>
          <w:color w:val="auto"/>
          <w:sz w:val="32"/>
          <w:szCs w:val="32"/>
          <w:highlight w:val="none"/>
          <w:u w:val="none"/>
        </w:rPr>
        <w:t>计划建设</w:t>
      </w:r>
      <w:r>
        <w:rPr>
          <w:rFonts w:hint="eastAsia" w:ascii="仿宋_GB2312" w:hAnsi="仿宋_GB2312" w:eastAsia="仿宋_GB2312" w:cs="仿宋_GB2312"/>
          <w:bCs w:val="0"/>
          <w:color w:val="auto"/>
          <w:sz w:val="32"/>
          <w:szCs w:val="32"/>
          <w:highlight w:val="none"/>
          <w:u w:val="none"/>
          <w:lang w:eastAsia="zh-CN"/>
        </w:rPr>
        <w:t>项目</w:t>
      </w:r>
      <w:r>
        <w:rPr>
          <w:rFonts w:hint="eastAsia" w:ascii="仿宋_GB2312" w:hAnsi="仿宋_GB2312" w:eastAsia="仿宋_GB2312" w:cs="仿宋_GB2312"/>
          <w:bCs w:val="0"/>
          <w:color w:val="auto"/>
          <w:sz w:val="32"/>
          <w:szCs w:val="32"/>
          <w:highlight w:val="none"/>
          <w:u w:val="none"/>
        </w:rPr>
        <w:t>总建筑面积</w:t>
      </w:r>
      <w:r>
        <w:rPr>
          <w:rFonts w:hint="eastAsia" w:ascii="仿宋_GB2312" w:hAnsi="仿宋_GB2312" w:eastAsia="仿宋_GB2312" w:cs="仿宋_GB2312"/>
          <w:bCs w:val="0"/>
          <w:color w:val="auto"/>
          <w:sz w:val="32"/>
          <w:szCs w:val="32"/>
          <w:highlight w:val="none"/>
          <w:u w:val="none"/>
          <w:lang w:val="en-US" w:eastAsia="zh-CN"/>
        </w:rPr>
        <w:t>24569.44</w:t>
      </w:r>
      <w:r>
        <w:rPr>
          <w:rFonts w:hint="eastAsia" w:ascii="仿宋_GB2312" w:hAnsi="仿宋_GB2312" w:eastAsia="仿宋_GB2312" w:cs="仿宋_GB2312"/>
          <w:bCs w:val="0"/>
          <w:color w:val="auto"/>
          <w:sz w:val="32"/>
          <w:szCs w:val="32"/>
          <w:highlight w:val="none"/>
          <w:u w:val="none"/>
        </w:rPr>
        <w:t>平方米，总计容面积14903.</w:t>
      </w:r>
      <w:r>
        <w:rPr>
          <w:rFonts w:hint="eastAsia" w:ascii="仿宋_GB2312" w:hAnsi="仿宋_GB2312" w:eastAsia="仿宋_GB2312" w:cs="仿宋_GB2312"/>
          <w:bCs w:val="0"/>
          <w:color w:val="auto"/>
          <w:sz w:val="32"/>
          <w:szCs w:val="32"/>
          <w:highlight w:val="none"/>
          <w:u w:val="none"/>
          <w:lang w:val="en-US" w:eastAsia="zh-CN"/>
        </w:rPr>
        <w:t>55</w:t>
      </w:r>
      <w:r>
        <w:rPr>
          <w:rFonts w:hint="eastAsia" w:ascii="仿宋_GB2312" w:hAnsi="仿宋_GB2312" w:eastAsia="仿宋_GB2312" w:cs="仿宋_GB2312"/>
          <w:bCs w:val="0"/>
          <w:color w:val="auto"/>
          <w:sz w:val="32"/>
          <w:szCs w:val="32"/>
          <w:highlight w:val="none"/>
          <w:u w:val="none"/>
        </w:rPr>
        <w:t>平方米。建设1幢14层办公</w:t>
      </w:r>
      <w:r>
        <w:rPr>
          <w:rFonts w:hint="eastAsia" w:ascii="仿宋_GB2312" w:hAnsi="仿宋_GB2312" w:eastAsia="仿宋_GB2312" w:cs="仿宋_GB2312"/>
          <w:bCs w:val="0"/>
          <w:color w:val="auto"/>
          <w:sz w:val="32"/>
          <w:szCs w:val="32"/>
          <w:highlight w:val="none"/>
          <w:u w:val="none"/>
          <w:lang w:eastAsia="zh-CN"/>
        </w:rPr>
        <w:t>及商业</w:t>
      </w:r>
      <w:r>
        <w:rPr>
          <w:rFonts w:hint="eastAsia" w:ascii="仿宋_GB2312" w:hAnsi="仿宋_GB2312" w:eastAsia="仿宋_GB2312" w:cs="仿宋_GB2312"/>
          <w:bCs w:val="0"/>
          <w:color w:val="auto"/>
          <w:sz w:val="32"/>
          <w:szCs w:val="32"/>
          <w:highlight w:val="none"/>
          <w:u w:val="none"/>
        </w:rPr>
        <w:t>塔楼（高度59</w:t>
      </w:r>
      <w:r>
        <w:rPr>
          <w:rFonts w:hint="eastAsia" w:ascii="仿宋_GB2312" w:hAnsi="仿宋_GB2312" w:eastAsia="仿宋_GB2312" w:cs="仿宋_GB2312"/>
          <w:bCs w:val="0"/>
          <w:color w:val="auto"/>
          <w:sz w:val="32"/>
          <w:szCs w:val="32"/>
          <w:highlight w:val="none"/>
          <w:u w:val="none"/>
          <w:lang w:val="en-US" w:eastAsia="zh-CN"/>
        </w:rPr>
        <w:t>.75</w:t>
      </w:r>
      <w:r>
        <w:rPr>
          <w:rFonts w:hint="eastAsia" w:ascii="仿宋_GB2312" w:hAnsi="仿宋_GB2312" w:eastAsia="仿宋_GB2312" w:cs="仿宋_GB2312"/>
          <w:bCs w:val="0"/>
          <w:color w:val="auto"/>
          <w:sz w:val="32"/>
          <w:szCs w:val="32"/>
          <w:highlight w:val="none"/>
          <w:u w:val="none"/>
        </w:rPr>
        <w:t>米）配备3幢独栋商业裙楼（高度</w:t>
      </w:r>
      <w:r>
        <w:rPr>
          <w:rFonts w:hint="eastAsia" w:ascii="仿宋_GB2312" w:hAnsi="仿宋_GB2312" w:eastAsia="仿宋_GB2312" w:cs="仿宋_GB2312"/>
          <w:bCs w:val="0"/>
          <w:color w:val="auto"/>
          <w:sz w:val="32"/>
          <w:szCs w:val="32"/>
          <w:highlight w:val="none"/>
          <w:u w:val="none"/>
          <w:lang w:val="en-US" w:eastAsia="zh-CN"/>
        </w:rPr>
        <w:t>20.60</w:t>
      </w:r>
      <w:r>
        <w:rPr>
          <w:rFonts w:hint="eastAsia" w:ascii="仿宋_GB2312" w:hAnsi="仿宋_GB2312" w:eastAsia="仿宋_GB2312" w:cs="仿宋_GB2312"/>
          <w:bCs w:val="0"/>
          <w:color w:val="auto"/>
          <w:sz w:val="32"/>
          <w:szCs w:val="32"/>
          <w:highlight w:val="none"/>
          <w:u w:val="none"/>
        </w:rPr>
        <w:t>米）</w:t>
      </w:r>
      <w:r>
        <w:rPr>
          <w:rFonts w:hint="eastAsia" w:ascii="仿宋_GB2312" w:hAnsi="仿宋_GB2312" w:eastAsia="仿宋_GB2312" w:cs="仿宋_GB2312"/>
          <w:color w:val="auto"/>
          <w:sz w:val="32"/>
          <w:szCs w:val="32"/>
          <w:highlight w:val="none"/>
          <w:lang w:eastAsia="zh-CN"/>
        </w:rPr>
        <w:t>。</w:t>
      </w:r>
      <w:r>
        <w:rPr>
          <w:rFonts w:hint="eastAsia" w:ascii="仿宋_GB2312" w:hAnsi="宋体" w:eastAsia="仿宋_GB2312" w:cs="宋体"/>
          <w:color w:val="auto"/>
          <w:kern w:val="0"/>
          <w:sz w:val="32"/>
          <w:szCs w:val="32"/>
          <w:highlight w:val="none"/>
          <w:lang w:val="en-US" w:eastAsia="zh-CN"/>
        </w:rPr>
        <w:t>本项目共有树木336株，其中：（1）古树名木：0株；（2）古树后续资源（胸径80cm（含）以上）：共计3株；（3）大树资源（胸径在20cm（含）至80cm（不含））：共计101株（其中包括红线范围外3株小叶榕因在项目开设的出入口范围内无法避让，需纳入调查范围）；（4）其他树木资源（胸径在20cm（不含）以下）：共计232株。</w:t>
      </w:r>
    </w:p>
    <w:p>
      <w:pPr>
        <w:numPr>
          <w:ilvl w:val="0"/>
          <w:numId w:val="0"/>
        </w:numPr>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二、招标内容</w:t>
      </w:r>
    </w:p>
    <w:p>
      <w:pPr>
        <w:pStyle w:val="2"/>
        <w:widowControl/>
        <w:ind w:firstLine="640" w:firstLineChars="20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lang w:val="en-US" w:eastAsia="zh-CN"/>
        </w:rPr>
        <w:t>暂定</w:t>
      </w:r>
      <w:r>
        <w:rPr>
          <w:rFonts w:hint="eastAsia" w:ascii="仿宋_GB2312" w:hAnsi="仿宋_GB2312" w:eastAsia="仿宋_GB2312" w:cs="仿宋_GB2312"/>
          <w:b w:val="0"/>
          <w:bCs w:val="0"/>
          <w:color w:val="auto"/>
          <w:sz w:val="32"/>
          <w:szCs w:val="32"/>
          <w:highlight w:val="none"/>
          <w:lang w:val="en-US" w:eastAsia="zh-CN"/>
        </w:rPr>
        <w:t>迁移树木328株</w:t>
      </w:r>
      <w:r>
        <w:rPr>
          <w:rFonts w:hint="eastAsia" w:ascii="仿宋_GB2312" w:hAnsi="宋体" w:eastAsia="仿宋_GB2312" w:cs="宋体"/>
          <w:color w:val="auto"/>
          <w:kern w:val="0"/>
          <w:sz w:val="32"/>
          <w:szCs w:val="32"/>
          <w:highlight w:val="none"/>
          <w:lang w:bidi="zh-CN"/>
        </w:rPr>
        <w:t>（</w:t>
      </w:r>
      <w:r>
        <w:rPr>
          <w:rFonts w:hint="eastAsia" w:ascii="仿宋_GB2312" w:hAnsi="宋体" w:eastAsia="仿宋_GB2312" w:cs="宋体"/>
          <w:color w:val="auto"/>
          <w:kern w:val="0"/>
          <w:sz w:val="32"/>
          <w:szCs w:val="32"/>
          <w:highlight w:val="none"/>
          <w:lang w:val="en-US" w:bidi="zh-CN"/>
        </w:rPr>
        <w:t>具体以招标人书面通知为准</w:t>
      </w:r>
      <w:r>
        <w:rPr>
          <w:rFonts w:hint="eastAsia" w:ascii="仿宋_GB2312" w:hAnsi="宋体" w:eastAsia="仿宋_GB2312" w:cs="宋体"/>
          <w:color w:val="auto"/>
          <w:kern w:val="0"/>
          <w:sz w:val="32"/>
          <w:szCs w:val="32"/>
          <w:highlight w:val="none"/>
          <w:lang w:bidi="zh-CN"/>
        </w:rPr>
        <w:t>）</w:t>
      </w:r>
      <w:r>
        <w:rPr>
          <w:rFonts w:hint="eastAsia" w:ascii="仿宋_GB2312" w:hAnsi="仿宋_GB2312" w:eastAsia="仿宋_GB2312" w:cs="仿宋_GB2312"/>
          <w:b w:val="0"/>
          <w:bCs w:val="0"/>
          <w:color w:val="auto"/>
          <w:sz w:val="32"/>
          <w:szCs w:val="32"/>
          <w:highlight w:val="none"/>
          <w:lang w:val="en-US" w:eastAsia="zh-CN"/>
        </w:rPr>
        <w:t>，迁移至南沙湿地公园内，树木养护期12个月。砍伐树木5株。</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广州南沙经济技术开发区港宏房地产开发有限公司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树</w:t>
      </w:r>
      <w:r>
        <w:rPr>
          <w:rFonts w:hint="eastAsia" w:ascii="宋体" w:hAnsi="宋体" w:eastAsia="宋体" w:cs="Times New Roman"/>
          <w:color w:val="auto"/>
          <w:spacing w:val="20"/>
          <w:sz w:val="24"/>
          <w:highlight w:val="none"/>
          <w:u w:val="single"/>
          <w:lang w:eastAsia="zh-CN"/>
        </w:rPr>
        <w:t>木迁移</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树</w:t>
      </w:r>
      <w:r>
        <w:rPr>
          <w:rFonts w:hint="eastAsia" w:ascii="宋体" w:hAnsi="宋体" w:eastAsia="宋体" w:cs="Times New Roman"/>
          <w:color w:val="auto"/>
          <w:spacing w:val="20"/>
          <w:sz w:val="24"/>
          <w:highlight w:val="none"/>
          <w:u w:val="single"/>
          <w:lang w:eastAsia="zh-CN"/>
        </w:rPr>
        <w:t>木迁移</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广州南沙经济技术开发区港宏房地产开发有限公司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widowControl/>
        <w:spacing w:before="142"/>
        <w:jc w:val="both"/>
        <w:rPr>
          <w:rFonts w:hint="eastAsia" w:ascii="宋体" w:hAnsi="宋体" w:eastAsia="宋体" w:cs="黑体"/>
          <w:color w:val="auto"/>
          <w:sz w:val="28"/>
          <w:szCs w:val="28"/>
          <w:highlight w:val="none"/>
        </w:rPr>
      </w:pPr>
      <w:r>
        <w:rPr>
          <w:rFonts w:hint="eastAsia" w:ascii="黑体" w:hAnsi="宋体" w:eastAsia="黑体" w:cs="黑体"/>
          <w:b/>
          <w:color w:val="auto"/>
          <w:spacing w:val="20"/>
          <w:sz w:val="28"/>
          <w:szCs w:val="28"/>
          <w:highlight w:val="none"/>
        </w:rPr>
        <w:t xml:space="preserve"> </w:t>
      </w:r>
      <w:bookmarkStart w:id="6" w:name="_Toc223342668"/>
      <w:bookmarkEnd w:id="6"/>
      <w:bookmarkStart w:id="7" w:name="_Toc216145749"/>
      <w:bookmarkEnd w:id="7"/>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4"/>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广州南沙经济技术开发区港宏房地产开发有限公司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树</w:t>
      </w:r>
      <w:r>
        <w:rPr>
          <w:rFonts w:hint="eastAsia" w:ascii="宋体" w:hAnsi="宋体" w:eastAsia="宋体" w:cs="Times New Roman"/>
          <w:color w:val="auto"/>
          <w:spacing w:val="20"/>
          <w:sz w:val="24"/>
          <w:highlight w:val="none"/>
          <w:u w:val="single"/>
          <w:lang w:eastAsia="zh-CN"/>
        </w:rPr>
        <w:t>木迁移</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110"/>
      <w:bookmarkEnd w:id="11"/>
      <w:bookmarkStart w:id="12" w:name="_Toc199647675"/>
      <w:bookmarkEnd w:id="12"/>
      <w:bookmarkStart w:id="13" w:name="_Toc415728297"/>
      <w:bookmarkEnd w:id="13"/>
      <w:bookmarkStart w:id="14" w:name="_Toc326909213"/>
      <w:bookmarkEnd w:id="14"/>
      <w:bookmarkStart w:id="15" w:name="_Toc196130013"/>
      <w:bookmarkEnd w:id="15"/>
      <w:bookmarkStart w:id="16" w:name="_Toc415833503"/>
      <w:bookmarkEnd w:id="16"/>
      <w:bookmarkStart w:id="17" w:name="_Toc41822703"/>
      <w:bookmarkEnd w:id="17"/>
      <w:bookmarkStart w:id="18" w:name="_Toc196036941"/>
      <w:bookmarkEnd w:id="18"/>
      <w:bookmarkStart w:id="19" w:name="_Toc459403394"/>
      <w:bookmarkEnd w:id="19"/>
      <w:bookmarkStart w:id="20" w:name="_Toc196037097"/>
      <w:bookmarkEnd w:id="20"/>
      <w:bookmarkStart w:id="21" w:name="_Toc197235848"/>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014"/>
      <w:bookmarkEnd w:id="24"/>
      <w:bookmarkStart w:id="25" w:name="_Toc196037098"/>
      <w:bookmarkEnd w:id="25"/>
      <w:bookmarkStart w:id="26" w:name="_Toc197235849"/>
      <w:bookmarkEnd w:id="26"/>
      <w:bookmarkStart w:id="27" w:name="_Toc196130111"/>
      <w:bookmarkEnd w:id="27"/>
      <w:bookmarkStart w:id="28" w:name="_Toc415833504"/>
      <w:bookmarkEnd w:id="28"/>
      <w:bookmarkStart w:id="29" w:name="_Toc199647676"/>
      <w:bookmarkEnd w:id="29"/>
      <w:bookmarkStart w:id="30" w:name="_Toc415728298"/>
      <w:bookmarkEnd w:id="30"/>
      <w:bookmarkStart w:id="31" w:name="_Toc326909214"/>
      <w:bookmarkEnd w:id="31"/>
      <w:bookmarkStart w:id="32" w:name="_Toc459403395"/>
      <w:bookmarkEnd w:id="32"/>
      <w:bookmarkStart w:id="33" w:name="_Toc196036942"/>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4"/>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海湾小区N地块项目（领航科技大楼）</w:t>
            </w:r>
            <w:r>
              <w:rPr>
                <w:rFonts w:hint="eastAsia" w:ascii="宋体" w:hAnsi="宋体" w:cs="宋体"/>
                <w:bCs/>
                <w:color w:val="auto"/>
                <w:szCs w:val="21"/>
                <w:highlight w:val="none"/>
                <w:lang w:val="en-US" w:eastAsia="zh-CN"/>
              </w:rPr>
              <w:t>树</w:t>
            </w:r>
            <w:r>
              <w:rPr>
                <w:rFonts w:hint="eastAsia" w:ascii="宋体" w:hAnsi="宋体" w:cs="宋体"/>
                <w:bCs/>
                <w:color w:val="auto"/>
                <w:szCs w:val="21"/>
                <w:highlight w:val="none"/>
                <w:lang w:eastAsia="zh-CN"/>
              </w:rPr>
              <w:t>木迁移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下浮率为：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树木迁移</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树木迁移</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w:t>
      </w:r>
      <w:r>
        <w:rPr>
          <w:rFonts w:hint="eastAsia" w:ascii="仿宋" w:hAnsi="仿宋" w:eastAsia="仿宋" w:cs="仿宋"/>
          <w:color w:val="auto"/>
          <w:sz w:val="28"/>
          <w:szCs w:val="28"/>
          <w:highlight w:val="none"/>
          <w:lang w:val="en-US" w:eastAsia="zh-CN"/>
        </w:rPr>
        <w:t>第三高者为第三中标候选人</w:t>
      </w:r>
      <w:r>
        <w:rPr>
          <w:rFonts w:hint="eastAsia" w:ascii="仿宋" w:hAnsi="仿宋" w:eastAsia="仿宋" w:cs="仿宋"/>
          <w:color w:val="auto"/>
          <w:sz w:val="28"/>
          <w:szCs w:val="28"/>
          <w:highlight w:val="none"/>
        </w:rPr>
        <w:t>。</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w:t>
      </w:r>
      <w:r>
        <w:rPr>
          <w:rFonts w:hint="eastAsia" w:ascii="仿宋" w:hAnsi="仿宋" w:eastAsia="仿宋" w:cs="仿宋"/>
          <w:color w:val="auto"/>
          <w:sz w:val="28"/>
          <w:szCs w:val="28"/>
          <w:highlight w:val="none"/>
          <w:lang w:eastAsia="zh-CN"/>
        </w:rPr>
        <w:t>若服务</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部分得分也</w:t>
      </w:r>
      <w:r>
        <w:rPr>
          <w:rFonts w:hint="eastAsia" w:ascii="仿宋" w:hAnsi="仿宋" w:eastAsia="仿宋" w:cs="仿宋"/>
          <w:color w:val="auto"/>
          <w:sz w:val="28"/>
          <w:szCs w:val="28"/>
          <w:highlight w:val="none"/>
          <w:lang w:eastAsia="zh-CN"/>
        </w:rPr>
        <w:t>相同</w:t>
      </w:r>
      <w:r>
        <w:rPr>
          <w:rFonts w:hint="eastAsia" w:ascii="仿宋" w:hAnsi="仿宋" w:eastAsia="仿宋" w:cs="仿宋"/>
          <w:color w:val="auto"/>
          <w:sz w:val="28"/>
          <w:szCs w:val="28"/>
          <w:highlight w:val="none"/>
        </w:rPr>
        <w:t>的，以</w:t>
      </w:r>
      <w:r>
        <w:rPr>
          <w:rFonts w:hint="eastAsia" w:ascii="仿宋" w:hAnsi="仿宋" w:eastAsia="仿宋" w:cs="仿宋"/>
          <w:color w:val="auto"/>
          <w:sz w:val="28"/>
          <w:szCs w:val="28"/>
          <w:highlight w:val="none"/>
          <w:lang w:val="en-US" w:eastAsia="zh-CN"/>
        </w:rPr>
        <w:t>技术</w:t>
      </w:r>
      <w:r>
        <w:rPr>
          <w:rFonts w:hint="eastAsia" w:ascii="仿宋" w:hAnsi="仿宋" w:eastAsia="仿宋" w:cs="仿宋"/>
          <w:color w:val="auto"/>
          <w:sz w:val="28"/>
          <w:szCs w:val="28"/>
          <w:highlight w:val="none"/>
        </w:rPr>
        <w:t>部分得分</w:t>
      </w:r>
      <w:r>
        <w:rPr>
          <w:rFonts w:hint="eastAsia" w:ascii="仿宋" w:hAnsi="仿宋" w:eastAsia="仿宋" w:cs="仿宋"/>
          <w:color w:val="auto"/>
          <w:sz w:val="28"/>
          <w:szCs w:val="28"/>
          <w:highlight w:val="none"/>
          <w:lang w:eastAsia="zh-CN"/>
        </w:rPr>
        <w:t>较</w:t>
      </w:r>
      <w:r>
        <w:rPr>
          <w:rFonts w:hint="eastAsia" w:ascii="仿宋" w:hAnsi="仿宋" w:eastAsia="仿宋" w:cs="仿宋"/>
          <w:color w:val="auto"/>
          <w:sz w:val="28"/>
          <w:szCs w:val="28"/>
          <w:highlight w:val="none"/>
        </w:rPr>
        <w:t>高的</w:t>
      </w:r>
      <w:r>
        <w:rPr>
          <w:rFonts w:hint="eastAsia" w:ascii="仿宋" w:hAnsi="仿宋" w:eastAsia="仿宋" w:cs="仿宋"/>
          <w:color w:val="auto"/>
          <w:sz w:val="28"/>
          <w:szCs w:val="28"/>
          <w:highlight w:val="none"/>
          <w:lang w:eastAsia="zh-CN"/>
        </w:rPr>
        <w:t>排名</w:t>
      </w:r>
      <w:r>
        <w:rPr>
          <w:rFonts w:hint="eastAsia" w:ascii="仿宋" w:hAnsi="仿宋" w:eastAsia="仿宋" w:cs="仿宋"/>
          <w:color w:val="auto"/>
          <w:sz w:val="28"/>
          <w:szCs w:val="28"/>
          <w:highlight w:val="none"/>
        </w:rPr>
        <w:t>优先；如果仍存在相同情况，由评标小组采用记名投票方式，以得票多的优先。</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1"/>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工程量清单（含编制说明）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投标文件封面加盖投标人的法定印章并经投标人代表签字（或盖签章）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val="en-US" w:eastAsia="zh-CN"/>
              </w:rPr>
              <w:t>营业执照范围</w:t>
            </w:r>
            <w:r>
              <w:rPr>
                <w:rFonts w:hint="eastAsia" w:ascii="仿宋" w:hAnsi="仿宋" w:eastAsia="仿宋" w:cs="仿宋"/>
                <w:color w:val="auto"/>
                <w:szCs w:val="21"/>
                <w:highlight w:val="none"/>
              </w:rPr>
              <w:t>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投标工期满足招标文件要求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834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779"/>
        <w:gridCol w:w="1050"/>
        <w:gridCol w:w="6050"/>
        <w:gridCol w:w="46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40" w:hRule="atLeast"/>
          <w:tblHeader/>
          <w:jc w:val="center"/>
        </w:trPr>
        <w:tc>
          <w:tcPr>
            <w:tcW w:w="779" w:type="dxa"/>
            <w:tcBorders>
              <w:top w:val="single" w:color="000000" w:sz="4" w:space="0"/>
              <w:left w:val="single" w:color="000000"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color w:val="auto"/>
                <w:sz w:val="24"/>
                <w:szCs w:val="24"/>
                <w:highlight w:val="none"/>
                <w:lang w:val="zh-TW"/>
              </w:rPr>
            </w:pPr>
            <w:r>
              <w:rPr>
                <w:rFonts w:asciiTheme="minorEastAsia" w:hAnsiTheme="minorEastAsia" w:eastAsiaTheme="minorEastAsia" w:cstheme="minorEastAsia"/>
                <w:b/>
                <w:bCs/>
                <w:color w:val="auto"/>
                <w:sz w:val="24"/>
                <w:szCs w:val="24"/>
                <w:highlight w:val="none"/>
                <w:lang w:val="zh-TW" w:eastAsia="zh-TW"/>
              </w:rPr>
              <w:t>评审</w:t>
            </w:r>
            <w:r>
              <w:rPr>
                <w:rFonts w:asciiTheme="minorEastAsia" w:hAnsiTheme="minorEastAsia" w:eastAsiaTheme="minorEastAsia" w:cstheme="minorEastAsia"/>
                <w:b/>
                <w:bCs/>
                <w:color w:val="auto"/>
                <w:sz w:val="24"/>
                <w:szCs w:val="24"/>
                <w:highlight w:val="none"/>
                <w:lang w:val="zh-TW"/>
              </w:rPr>
              <w:t>类别</w:t>
            </w:r>
          </w:p>
        </w:tc>
        <w:tc>
          <w:tcPr>
            <w:tcW w:w="1050" w:type="dxa"/>
            <w:tcBorders>
              <w:top w:val="single" w:color="000000" w:sz="4" w:space="0"/>
              <w:left w:val="single" w:color="000000"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b/>
                <w:bCs/>
                <w:color w:val="auto"/>
                <w:sz w:val="24"/>
                <w:szCs w:val="24"/>
                <w:highlight w:val="none"/>
                <w:lang w:val="zh-TW" w:eastAsia="zh-TW"/>
              </w:rPr>
            </w:pPr>
            <w:r>
              <w:rPr>
                <w:rFonts w:asciiTheme="minorEastAsia" w:hAnsiTheme="minorEastAsia" w:eastAsiaTheme="minorEastAsia" w:cstheme="minorEastAsia"/>
                <w:b/>
                <w:bCs/>
                <w:color w:val="auto"/>
                <w:sz w:val="24"/>
                <w:szCs w:val="24"/>
                <w:highlight w:val="none"/>
                <w:lang w:val="zh-TW" w:eastAsia="zh-TW"/>
              </w:rPr>
              <w:t>评审内容</w:t>
            </w:r>
          </w:p>
        </w:tc>
        <w:tc>
          <w:tcPr>
            <w:tcW w:w="6050" w:type="dxa"/>
            <w:tcBorders>
              <w:top w:val="single" w:color="000000" w:sz="4" w:space="0"/>
              <w:left w:val="single" w:color="000000"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color w:val="auto"/>
                <w:sz w:val="24"/>
                <w:szCs w:val="24"/>
                <w:highlight w:val="none"/>
              </w:rPr>
            </w:pPr>
            <w:r>
              <w:rPr>
                <w:rFonts w:asciiTheme="minorEastAsia" w:hAnsiTheme="minorEastAsia" w:eastAsiaTheme="minorEastAsia" w:cstheme="minorEastAsia"/>
                <w:b/>
                <w:bCs/>
                <w:color w:val="auto"/>
                <w:sz w:val="24"/>
                <w:szCs w:val="24"/>
                <w:highlight w:val="none"/>
                <w:lang w:val="zh-TW" w:eastAsia="zh-TW"/>
              </w:rPr>
              <w:t>评审细则</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color w:val="auto"/>
                <w:sz w:val="24"/>
                <w:szCs w:val="24"/>
                <w:highlight w:val="none"/>
              </w:rPr>
            </w:pPr>
            <w:r>
              <w:rPr>
                <w:rFonts w:asciiTheme="minorEastAsia" w:hAnsiTheme="minorEastAsia" w:eastAsiaTheme="minorEastAsia" w:cstheme="minorEastAsia"/>
                <w:b/>
                <w:bCs/>
                <w:color w:val="auto"/>
                <w:sz w:val="24"/>
                <w:szCs w:val="24"/>
                <w:highlight w:val="none"/>
                <w:lang w:val="zh-TW"/>
              </w:rPr>
              <w:t>分项得分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1099" w:hRule="atLeast"/>
          <w:jc w:val="center"/>
        </w:trPr>
        <w:tc>
          <w:tcPr>
            <w:tcW w:w="779" w:type="dxa"/>
            <w:vMerge w:val="restart"/>
            <w:tcBorders>
              <w:top w:val="single" w:color="auto" w:sz="4" w:space="0"/>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商务部分（</w:t>
            </w:r>
            <w:r>
              <w:rPr>
                <w:rFonts w:hint="eastAsia" w:asciiTheme="minorEastAsia" w:hAnsi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分）</w:t>
            </w: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lang w:val="zh-TW" w:eastAsia="zh-TW"/>
              </w:rPr>
            </w:pPr>
            <w:r>
              <w:rPr>
                <w:rFonts w:hint="eastAsia" w:asciiTheme="minorEastAsia" w:hAnsiTheme="minorEastAsia" w:cstheme="minorEastAsia"/>
                <w:color w:val="auto"/>
                <w:sz w:val="24"/>
                <w:highlight w:val="none"/>
                <w:lang w:val="zh-TW" w:eastAsia="zh-TW"/>
              </w:rPr>
              <w:t>同类业绩</w:t>
            </w:r>
          </w:p>
          <w:p>
            <w:pPr>
              <w:widowControl/>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szCs w:val="24"/>
                <w:highlight w:val="none"/>
                <w:lang w:val="zh-TW" w:eastAsia="zh-CN"/>
              </w:rPr>
              <w:t>（</w:t>
            </w: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val="zh-CN" w:bidi="ar"/>
              </w:rPr>
              <w:t>201</w:t>
            </w:r>
            <w:r>
              <w:rPr>
                <w:rFonts w:hint="eastAsia" w:asciiTheme="minorEastAsia" w:hAnsiTheme="minorEastAsia" w:eastAsiaTheme="minorEastAsia" w:cstheme="minorEastAsia"/>
                <w:color w:val="auto"/>
                <w:kern w:val="0"/>
                <w:sz w:val="24"/>
                <w:szCs w:val="24"/>
                <w:highlight w:val="none"/>
                <w:lang w:bidi="ar"/>
              </w:rPr>
              <w:t>7</w:t>
            </w:r>
            <w:r>
              <w:rPr>
                <w:rFonts w:hint="eastAsia" w:asciiTheme="minorEastAsia" w:hAnsiTheme="minorEastAsia" w:eastAsiaTheme="minorEastAsia" w:cstheme="minorEastAsia"/>
                <w:color w:val="auto"/>
                <w:kern w:val="0"/>
                <w:sz w:val="24"/>
                <w:szCs w:val="24"/>
                <w:highlight w:val="none"/>
                <w:lang w:val="zh-CN" w:bidi="ar"/>
              </w:rPr>
              <w:t>年</w:t>
            </w:r>
            <w:r>
              <w:rPr>
                <w:rFonts w:hint="eastAsia" w:asciiTheme="minorEastAsia" w:hAnsiTheme="minorEastAsia" w:eastAsiaTheme="minorEastAsia" w:cstheme="minorEastAsia"/>
                <w:color w:val="auto"/>
                <w:kern w:val="0"/>
                <w:sz w:val="24"/>
                <w:szCs w:val="24"/>
                <w:highlight w:val="none"/>
                <w:lang w:bidi="ar"/>
              </w:rPr>
              <w:t>1</w:t>
            </w:r>
            <w:r>
              <w:rPr>
                <w:rFonts w:hint="eastAsia" w:asciiTheme="minorEastAsia" w:hAnsiTheme="minorEastAsia" w:eastAsiaTheme="minorEastAsia" w:cstheme="minorEastAsia"/>
                <w:color w:val="auto"/>
                <w:kern w:val="0"/>
                <w:sz w:val="24"/>
                <w:szCs w:val="24"/>
                <w:highlight w:val="none"/>
                <w:lang w:val="zh-CN" w:bidi="ar"/>
              </w:rPr>
              <w:t>月</w:t>
            </w:r>
            <w:r>
              <w:rPr>
                <w:rFonts w:hint="eastAsia" w:asciiTheme="minorEastAsia" w:hAnsiTheme="minorEastAsia" w:eastAsiaTheme="minorEastAsia" w:cstheme="minorEastAsia"/>
                <w:color w:val="auto"/>
                <w:kern w:val="0"/>
                <w:sz w:val="24"/>
                <w:szCs w:val="24"/>
                <w:highlight w:val="none"/>
                <w:lang w:bidi="ar"/>
              </w:rPr>
              <w:t>1日</w:t>
            </w:r>
            <w:r>
              <w:rPr>
                <w:rFonts w:hint="eastAsia" w:asciiTheme="minorEastAsia" w:hAnsiTheme="minorEastAsia" w:eastAsiaTheme="minorEastAsia" w:cstheme="minorEastAsia"/>
                <w:color w:val="auto"/>
                <w:kern w:val="0"/>
                <w:sz w:val="24"/>
                <w:szCs w:val="24"/>
                <w:highlight w:val="none"/>
                <w:lang w:val="zh-CN" w:bidi="ar"/>
              </w:rPr>
              <w:t>至今独立承担类似项目业绩的，每个得</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val="zh-CN" w:bidi="ar"/>
              </w:rPr>
              <w:t>分，最多得</w:t>
            </w:r>
            <w:r>
              <w:rPr>
                <w:rFonts w:hint="eastAsia" w:asciiTheme="minorEastAsia" w:hAnsiTheme="minorEastAsia" w:cstheme="minorEastAsia"/>
                <w:color w:val="auto"/>
                <w:kern w:val="0"/>
                <w:sz w:val="24"/>
                <w:szCs w:val="24"/>
                <w:highlight w:val="none"/>
                <w:lang w:val="en-US" w:eastAsia="zh-CN" w:bidi="ar"/>
              </w:rPr>
              <w:t>7</w:t>
            </w:r>
            <w:r>
              <w:rPr>
                <w:rFonts w:hint="eastAsia" w:asciiTheme="minorEastAsia" w:hAnsiTheme="minorEastAsia" w:eastAsiaTheme="minorEastAsia" w:cstheme="minorEastAsia"/>
                <w:color w:val="auto"/>
                <w:kern w:val="0"/>
                <w:sz w:val="24"/>
                <w:szCs w:val="24"/>
                <w:highlight w:val="none"/>
                <w:lang w:val="zh-CN" w:bidi="ar"/>
              </w:rPr>
              <w:t>分</w:t>
            </w:r>
            <w:r>
              <w:rPr>
                <w:rFonts w:hint="eastAsia" w:asciiTheme="minorEastAsia" w:hAnsiTheme="minorEastAsia" w:eastAsiaTheme="minorEastAsia" w:cstheme="minorEastAsia"/>
                <w:color w:val="auto"/>
                <w:kern w:val="0"/>
                <w:sz w:val="24"/>
                <w:szCs w:val="24"/>
                <w:highlight w:val="none"/>
                <w:lang w:bidi="ar"/>
              </w:rPr>
              <w:t>。</w:t>
            </w:r>
          </w:p>
          <w:p>
            <w:pPr>
              <w:widowControl/>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备注：须提供中标通知书或合同复印件（加盖公章），否则不得分。</w:t>
            </w:r>
          </w:p>
          <w:p>
            <w:pPr>
              <w:widowControl/>
              <w:jc w:val="left"/>
              <w:rPr>
                <w:color w:val="auto"/>
                <w:highlight w:val="none"/>
              </w:rPr>
            </w:pPr>
            <w:r>
              <w:rPr>
                <w:rFonts w:hint="eastAsia" w:asciiTheme="minorEastAsia" w:hAnsiTheme="minorEastAsia" w:eastAsiaTheme="minorEastAsia" w:cstheme="minorEastAsia"/>
                <w:color w:val="auto"/>
                <w:kern w:val="0"/>
                <w:sz w:val="24"/>
                <w:szCs w:val="24"/>
                <w:highlight w:val="none"/>
                <w:lang w:bidi="ar"/>
              </w:rPr>
              <w:t>类似</w:t>
            </w:r>
            <w:r>
              <w:rPr>
                <w:rFonts w:hint="eastAsia" w:asciiTheme="minorEastAsia" w:hAnsiTheme="minorEastAsia" w:cstheme="minorEastAsia"/>
                <w:color w:val="auto"/>
                <w:kern w:val="0"/>
                <w:sz w:val="24"/>
                <w:szCs w:val="24"/>
                <w:highlight w:val="none"/>
                <w:lang w:eastAsia="zh-CN" w:bidi="ar"/>
              </w:rPr>
              <w:t>项目</w:t>
            </w:r>
            <w:r>
              <w:rPr>
                <w:rFonts w:hint="eastAsia" w:asciiTheme="minorEastAsia" w:hAnsiTheme="minorEastAsia" w:eastAsiaTheme="minorEastAsia" w:cstheme="minorEastAsia"/>
                <w:color w:val="auto"/>
                <w:kern w:val="0"/>
                <w:sz w:val="24"/>
                <w:szCs w:val="24"/>
                <w:highlight w:val="none"/>
                <w:lang w:bidi="ar"/>
              </w:rPr>
              <w:t>业绩是指</w:t>
            </w:r>
            <w:r>
              <w:rPr>
                <w:rFonts w:hint="eastAsia" w:asciiTheme="minorEastAsia" w:hAnsiTheme="minorEastAsia" w:cstheme="minorEastAsia"/>
                <w:color w:val="auto"/>
                <w:kern w:val="0"/>
                <w:sz w:val="24"/>
                <w:szCs w:val="24"/>
                <w:highlight w:val="none"/>
                <w:lang w:eastAsia="zh-CN" w:bidi="ar"/>
              </w:rPr>
              <w:t>树木</w:t>
            </w:r>
            <w:r>
              <w:rPr>
                <w:rFonts w:hint="eastAsia" w:asciiTheme="minorEastAsia" w:hAnsiTheme="minorEastAsia" w:eastAsiaTheme="minorEastAsia" w:cstheme="minorEastAsia"/>
                <w:color w:val="auto"/>
                <w:kern w:val="0"/>
                <w:sz w:val="24"/>
                <w:szCs w:val="24"/>
                <w:highlight w:val="none"/>
                <w:lang w:bidi="ar"/>
              </w:rPr>
              <w:t>迁移、种植、养护等绿化相关专业工程。</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660" w:hRule="atLeast"/>
          <w:jc w:val="center"/>
        </w:trPr>
        <w:tc>
          <w:tcPr>
            <w:tcW w:w="779" w:type="dxa"/>
            <w:vMerge w:val="continue"/>
            <w:tcBorders>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企业认证</w:t>
            </w:r>
          </w:p>
          <w:p>
            <w:pPr>
              <w:widowControl/>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投标人具有质量管理体系认证、职业健康安全管理体系认证、环境管理体系认证每提供一个得</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分，本项最高得</w:t>
            </w: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 xml:space="preserve">分。 </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提供证书复印件及在国家认证认可监督管理委员会官网查询页面截图。</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120" w:hRule="atLeast"/>
          <w:jc w:val="center"/>
        </w:trPr>
        <w:tc>
          <w:tcPr>
            <w:tcW w:w="779" w:type="dxa"/>
            <w:vMerge w:val="continue"/>
            <w:tcBorders>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color w:val="auto"/>
                <w:highlight w:val="none"/>
                <w:lang w:val="en-US" w:eastAsia="zh-CN"/>
              </w:rPr>
            </w:pPr>
            <w:r>
              <w:rPr>
                <w:rFonts w:hint="eastAsia" w:asciiTheme="minorEastAsia" w:hAnsiTheme="minorEastAsia" w:cstheme="minorEastAsia"/>
                <w:color w:val="auto"/>
                <w:sz w:val="24"/>
                <w:highlight w:val="none"/>
                <w:lang w:val="en-US" w:eastAsia="zh-CN"/>
              </w:rPr>
              <w:t>企业资信</w:t>
            </w:r>
          </w:p>
          <w:p>
            <w:pPr>
              <w:pStyle w:val="19"/>
              <w:ind w:firstLine="0" w:firstLineChars="0"/>
              <w:jc w:val="center"/>
              <w:rPr>
                <w:rFonts w:hint="default"/>
                <w:color w:val="auto"/>
                <w:highlight w:val="none"/>
                <w:lang w:val="en-US" w:eastAsia="zh-CN"/>
              </w:rPr>
            </w:pPr>
            <w:r>
              <w:rPr>
                <w:rFonts w:hint="eastAsia" w:asciiTheme="minorEastAsia" w:hAnsiTheme="minorEastAsia" w:cstheme="minorEastAsia"/>
                <w:color w:val="auto"/>
                <w:sz w:val="24"/>
                <w:szCs w:val="24"/>
                <w:highlight w:val="none"/>
                <w:lang w:val="en-US" w:eastAsia="zh-CN"/>
              </w:rPr>
              <w:t>（5分）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eastAsiaTheme="minorEastAsia" w:cstheme="minorEastAsia"/>
                <w:color w:val="auto"/>
                <w:kern w:val="0"/>
                <w:sz w:val="24"/>
                <w:szCs w:val="24"/>
                <w:highlight w:val="none"/>
                <w:lang w:val="zh-CN" w:bidi="ar"/>
              </w:rPr>
              <w:t>投标人(不含分支机构)至今：</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eastAsiaTheme="minorEastAsia" w:cstheme="minorEastAsia"/>
                <w:color w:val="auto"/>
                <w:kern w:val="0"/>
                <w:sz w:val="24"/>
                <w:szCs w:val="24"/>
                <w:highlight w:val="none"/>
                <w:lang w:val="zh-CN" w:bidi="ar"/>
              </w:rPr>
              <w:t>1、连续获得</w:t>
            </w:r>
            <w:r>
              <w:rPr>
                <w:rFonts w:hint="eastAsia" w:asciiTheme="minorEastAsia" w:hAnsi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val="zh-CN" w:bidi="ar"/>
              </w:rPr>
              <w:t>年或以上被税务主管部门评为年度纳税信用A级或以上等级的，得</w:t>
            </w:r>
            <w:r>
              <w:rPr>
                <w:rFonts w:hint="eastAsia" w:asciiTheme="minorEastAsia" w:hAnsiTheme="minorEastAsia" w:eastAsiaTheme="minorEastAsia" w:cstheme="minorEastAsia"/>
                <w:color w:val="auto"/>
                <w:kern w:val="0"/>
                <w:sz w:val="24"/>
                <w:szCs w:val="24"/>
                <w:highlight w:val="none"/>
                <w:lang w:val="zh-CN" w:eastAsia="zh-CN" w:bidi="ar"/>
              </w:rPr>
              <w:t>5</w:t>
            </w:r>
            <w:r>
              <w:rPr>
                <w:rFonts w:hint="eastAsia" w:asciiTheme="minorEastAsia" w:hAnsiTheme="minorEastAsia" w:eastAsiaTheme="minorEastAsia" w:cstheme="minorEastAsia"/>
                <w:color w:val="auto"/>
                <w:kern w:val="0"/>
                <w:sz w:val="24"/>
                <w:szCs w:val="24"/>
                <w:highlight w:val="none"/>
                <w:lang w:val="zh-CN" w:bidi="ar"/>
              </w:rPr>
              <w:t>分；</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eastAsiaTheme="minorEastAsia" w:cstheme="minorEastAsia"/>
                <w:color w:val="auto"/>
                <w:kern w:val="0"/>
                <w:sz w:val="24"/>
                <w:szCs w:val="24"/>
                <w:highlight w:val="none"/>
                <w:lang w:val="zh-CN" w:bidi="ar"/>
              </w:rPr>
              <w:t>2、获得</w:t>
            </w:r>
            <w:r>
              <w:rPr>
                <w:rFonts w:hint="eastAsia" w:asciiTheme="minorEastAsia" w:hAnsi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val="zh-CN" w:bidi="ar"/>
              </w:rPr>
              <w:t>年被税务主管部门评为年度纳税信用A级或以上等级的，得</w:t>
            </w: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val="zh-CN" w:bidi="ar"/>
              </w:rPr>
              <w:t>分；</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val="zh-CN" w:bidi="ar"/>
              </w:rPr>
              <w:t>、</w:t>
            </w:r>
            <w:r>
              <w:rPr>
                <w:rFonts w:hint="eastAsia" w:asciiTheme="minorEastAsia" w:hAnsiTheme="minorEastAsia" w:eastAsiaTheme="minorEastAsia" w:cstheme="minorEastAsia"/>
                <w:color w:val="auto"/>
                <w:kern w:val="0"/>
                <w:sz w:val="24"/>
                <w:szCs w:val="24"/>
                <w:highlight w:val="none"/>
                <w:lang w:val="zh-CN" w:eastAsia="zh-CN" w:bidi="ar"/>
              </w:rPr>
              <w:t>其他情况不得分</w:t>
            </w:r>
            <w:r>
              <w:rPr>
                <w:rFonts w:hint="eastAsia" w:asciiTheme="minorEastAsia" w:hAnsiTheme="minorEastAsia" w:eastAsiaTheme="minorEastAsia" w:cstheme="minorEastAsia"/>
                <w:color w:val="auto"/>
                <w:kern w:val="0"/>
                <w:sz w:val="24"/>
                <w:szCs w:val="24"/>
                <w:highlight w:val="none"/>
                <w:lang w:val="zh-CN" w:bidi="ar"/>
              </w:rPr>
              <w:t>。</w:t>
            </w:r>
          </w:p>
          <w:p>
            <w:pPr>
              <w:widowControl/>
              <w:jc w:val="left"/>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val="zh-CN" w:bidi="ar"/>
              </w:rPr>
              <w:t>注：符合多项情况的，按最高档次只计取一次得分；需提供税务部门官网查询截图或相关证书扫描件。提供证书扫描件的需加盖投标单位电子印章。本项最高得</w:t>
            </w:r>
            <w:r>
              <w:rPr>
                <w:rFonts w:hint="eastAsia" w:asciiTheme="minorEastAsia" w:hAnsiTheme="minorEastAsia" w:cstheme="minorEastAsia"/>
                <w:color w:val="auto"/>
                <w:kern w:val="0"/>
                <w:sz w:val="24"/>
                <w:szCs w:val="24"/>
                <w:highlight w:val="none"/>
                <w:lang w:val="en-US" w:eastAsia="zh-CN" w:bidi="ar"/>
              </w:rPr>
              <w:t>5</w:t>
            </w:r>
            <w:r>
              <w:rPr>
                <w:rFonts w:hint="eastAsia" w:asciiTheme="minorEastAsia" w:hAnsiTheme="minorEastAsia" w:eastAsiaTheme="minorEastAsia" w:cstheme="minorEastAsia"/>
                <w:color w:val="auto"/>
                <w:kern w:val="0"/>
                <w:sz w:val="24"/>
                <w:szCs w:val="24"/>
                <w:highlight w:val="none"/>
                <w:lang w:val="zh-CN" w:bidi="ar"/>
              </w:rPr>
              <w:t>分。</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val="en-US"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120" w:hRule="atLeast"/>
          <w:jc w:val="center"/>
        </w:trPr>
        <w:tc>
          <w:tcPr>
            <w:tcW w:w="779" w:type="dxa"/>
            <w:vMerge w:val="continue"/>
            <w:tcBorders>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19"/>
              <w:ind w:firstLine="0" w:firstLineChars="0"/>
              <w:jc w:val="cente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项目负责人</w:t>
            </w:r>
          </w:p>
          <w:p>
            <w:pPr>
              <w:pStyle w:val="19"/>
              <w:ind w:firstLine="0" w:firstLineChars="0"/>
              <w:jc w:val="cente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（5分）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拟派的项目负责人为</w:t>
            </w:r>
            <w:r>
              <w:rPr>
                <w:rFonts w:hint="eastAsia" w:ascii="宋体" w:hAnsi="宋体" w:eastAsia="宋体" w:cs="宋体"/>
                <w:color w:val="auto"/>
                <w:kern w:val="0"/>
                <w:sz w:val="24"/>
                <w:szCs w:val="24"/>
                <w:highlight w:val="none"/>
                <w:lang w:eastAsia="zh-CN" w:bidi="ar"/>
              </w:rPr>
              <w:t>工程类或园林绿化类</w:t>
            </w:r>
            <w:r>
              <w:rPr>
                <w:rFonts w:hint="eastAsia" w:ascii="宋体" w:hAnsi="宋体" w:eastAsia="宋体" w:cs="宋体"/>
                <w:color w:val="auto"/>
                <w:kern w:val="0"/>
                <w:sz w:val="24"/>
                <w:szCs w:val="24"/>
                <w:highlight w:val="none"/>
                <w:lang w:bidi="ar"/>
              </w:rPr>
              <w:t>高级工程师或以上职称</w:t>
            </w:r>
            <w:r>
              <w:rPr>
                <w:rFonts w:hint="eastAsia" w:ascii="宋体" w:hAnsi="宋体" w:eastAsia="宋体" w:cs="宋体"/>
                <w:color w:val="auto"/>
                <w:kern w:val="0"/>
                <w:sz w:val="24"/>
                <w:szCs w:val="24"/>
                <w:highlight w:val="none"/>
                <w:lang w:val="en-US" w:eastAsia="zh-CN" w:bidi="ar"/>
              </w:rPr>
              <w:t>的</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eastAsia="zh-CN" w:bidi="ar"/>
              </w:rPr>
              <w:t>得</w:t>
            </w:r>
            <w:r>
              <w:rPr>
                <w:rFonts w:hint="eastAsia" w:ascii="宋体" w:hAnsi="宋体" w:eastAsia="宋体" w:cs="宋体"/>
                <w:color w:val="auto"/>
                <w:kern w:val="0"/>
                <w:sz w:val="24"/>
                <w:szCs w:val="24"/>
                <w:highlight w:val="none"/>
                <w:lang w:val="en-US" w:eastAsia="zh-CN" w:bidi="ar"/>
              </w:rPr>
              <w:t xml:space="preserve">2分。     </w:t>
            </w:r>
          </w:p>
          <w:p>
            <w:pPr>
              <w:widowControl/>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2017年1月1日至今担任过</w:t>
            </w:r>
            <w:r>
              <w:rPr>
                <w:rFonts w:hint="eastAsia" w:ascii="宋体" w:hAnsi="宋体" w:eastAsia="宋体" w:cs="宋体"/>
                <w:color w:val="auto"/>
                <w:kern w:val="0"/>
                <w:sz w:val="24"/>
                <w:szCs w:val="24"/>
                <w:highlight w:val="none"/>
                <w:lang w:val="en-US" w:eastAsia="zh-CN" w:bidi="ar"/>
              </w:rPr>
              <w:t>类似项目</w:t>
            </w:r>
            <w:r>
              <w:rPr>
                <w:rFonts w:hint="eastAsia" w:ascii="宋体" w:hAnsi="宋体" w:eastAsia="宋体" w:cs="宋体"/>
                <w:color w:val="auto"/>
                <w:kern w:val="0"/>
                <w:sz w:val="24"/>
                <w:szCs w:val="24"/>
                <w:highlight w:val="none"/>
                <w:lang w:bidi="ar"/>
              </w:rPr>
              <w:t>负责人，</w:t>
            </w:r>
            <w:r>
              <w:rPr>
                <w:rFonts w:hint="eastAsia" w:ascii="宋体" w:hAnsi="宋体" w:eastAsia="宋体" w:cs="宋体"/>
                <w:color w:val="auto"/>
                <w:kern w:val="0"/>
                <w:sz w:val="24"/>
                <w:szCs w:val="24"/>
                <w:highlight w:val="none"/>
                <w:lang w:val="en-US" w:eastAsia="zh-CN" w:bidi="ar"/>
              </w:rPr>
              <w:t>每个项目业绩</w:t>
            </w:r>
            <w:r>
              <w:rPr>
                <w:rFonts w:hint="eastAsia" w:ascii="宋体" w:hAnsi="宋体" w:eastAsia="宋体" w:cs="宋体"/>
                <w:color w:val="auto"/>
                <w:kern w:val="0"/>
                <w:sz w:val="24"/>
                <w:szCs w:val="24"/>
                <w:highlight w:val="none"/>
                <w:lang w:bidi="ar"/>
              </w:rPr>
              <w:t>得</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分</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最多得3分</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 xml:space="preserve"> </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宋体" w:hAnsi="宋体" w:eastAsia="宋体" w:cs="宋体"/>
                <w:color w:val="auto"/>
                <w:kern w:val="0"/>
                <w:sz w:val="24"/>
                <w:szCs w:val="24"/>
                <w:highlight w:val="none"/>
                <w:lang w:val="en-US" w:eastAsia="zh-CN"/>
              </w:rPr>
              <w:t>注：1）</w:t>
            </w:r>
            <w:r>
              <w:rPr>
                <w:rFonts w:hint="eastAsia" w:asciiTheme="minorEastAsia" w:hAnsiTheme="minorEastAsia" w:eastAsiaTheme="minorEastAsia" w:cstheme="minorEastAsia"/>
                <w:color w:val="auto"/>
                <w:kern w:val="0"/>
                <w:sz w:val="24"/>
                <w:szCs w:val="24"/>
                <w:highlight w:val="none"/>
                <w:lang w:bidi="ar"/>
              </w:rPr>
              <w:t>类似</w:t>
            </w:r>
            <w:r>
              <w:rPr>
                <w:rFonts w:hint="eastAsia" w:asciiTheme="minorEastAsia" w:hAnsiTheme="minorEastAsia" w:cstheme="minorEastAsia"/>
                <w:color w:val="auto"/>
                <w:kern w:val="0"/>
                <w:sz w:val="24"/>
                <w:szCs w:val="24"/>
                <w:highlight w:val="none"/>
                <w:lang w:eastAsia="zh-CN" w:bidi="ar"/>
              </w:rPr>
              <w:t>项目</w:t>
            </w:r>
            <w:r>
              <w:rPr>
                <w:rFonts w:hint="eastAsia" w:asciiTheme="minorEastAsia" w:hAnsiTheme="minorEastAsia" w:eastAsiaTheme="minorEastAsia" w:cstheme="minorEastAsia"/>
                <w:color w:val="auto"/>
                <w:kern w:val="0"/>
                <w:sz w:val="24"/>
                <w:szCs w:val="24"/>
                <w:highlight w:val="none"/>
                <w:lang w:bidi="ar"/>
              </w:rPr>
              <w:t>业绩是指</w:t>
            </w:r>
            <w:r>
              <w:rPr>
                <w:rFonts w:hint="eastAsia" w:asciiTheme="minorEastAsia" w:hAnsiTheme="minorEastAsia" w:cstheme="minorEastAsia"/>
                <w:color w:val="auto"/>
                <w:kern w:val="0"/>
                <w:sz w:val="24"/>
                <w:szCs w:val="24"/>
                <w:highlight w:val="none"/>
                <w:lang w:eastAsia="zh-CN" w:bidi="ar"/>
              </w:rPr>
              <w:t>树木</w:t>
            </w:r>
            <w:r>
              <w:rPr>
                <w:rFonts w:hint="eastAsia" w:asciiTheme="minorEastAsia" w:hAnsiTheme="minorEastAsia" w:eastAsiaTheme="minorEastAsia" w:cstheme="minorEastAsia"/>
                <w:color w:val="auto"/>
                <w:kern w:val="0"/>
                <w:sz w:val="24"/>
                <w:szCs w:val="24"/>
                <w:highlight w:val="none"/>
                <w:lang w:bidi="ar"/>
              </w:rPr>
              <w:t>迁移、种植、养护等绿化相关专业工程</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项目负责人</w:t>
            </w:r>
            <w:r>
              <w:rPr>
                <w:rFonts w:hint="eastAsia" w:ascii="宋体" w:hAnsi="宋体" w:eastAsia="宋体" w:cs="宋体"/>
                <w:color w:val="auto"/>
                <w:kern w:val="0"/>
                <w:sz w:val="24"/>
                <w:szCs w:val="24"/>
                <w:highlight w:val="none"/>
                <w:lang w:bidi="ar"/>
              </w:rPr>
              <w:t>职称证、身份证</w:t>
            </w:r>
            <w:r>
              <w:rPr>
                <w:rFonts w:hint="eastAsia" w:ascii="宋体" w:hAnsi="宋体" w:eastAsia="宋体" w:cs="宋体"/>
                <w:color w:val="auto"/>
                <w:kern w:val="0"/>
                <w:sz w:val="24"/>
                <w:szCs w:val="24"/>
                <w:highlight w:val="none"/>
              </w:rPr>
              <w:t>及</w:t>
            </w:r>
            <w:r>
              <w:rPr>
                <w:rFonts w:hint="eastAsia" w:ascii="宋体" w:hAnsi="宋体" w:eastAsia="宋体" w:cs="宋体"/>
                <w:color w:val="auto"/>
                <w:kern w:val="0"/>
                <w:sz w:val="24"/>
                <w:szCs w:val="24"/>
                <w:highlight w:val="none"/>
                <w:lang w:eastAsia="zh-CN"/>
              </w:rPr>
              <w:t>投标人为其购买的</w:t>
            </w:r>
            <w:r>
              <w:rPr>
                <w:rFonts w:hint="eastAsia" w:ascii="宋体" w:hAnsi="宋体" w:eastAsia="宋体" w:cs="宋体"/>
                <w:color w:val="auto"/>
                <w:kern w:val="0"/>
                <w:sz w:val="24"/>
                <w:szCs w:val="24"/>
                <w:highlight w:val="none"/>
              </w:rPr>
              <w:t>投标截止时间近</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个月（2022年</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月）的社保证明文件扫描件</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项目经验</w:t>
            </w:r>
            <w:r>
              <w:rPr>
                <w:rFonts w:hint="eastAsia" w:ascii="宋体" w:hAnsi="宋体" w:eastAsia="宋体" w:cs="宋体"/>
                <w:color w:val="auto"/>
                <w:kern w:val="2"/>
                <w:sz w:val="24"/>
                <w:szCs w:val="24"/>
                <w:highlight w:val="none"/>
                <w:lang w:val="en-US" w:eastAsia="zh-CN" w:bidi="ar"/>
              </w:rPr>
              <w:t>需提供任职文件、合同协议书关键页</w:t>
            </w:r>
            <w:r>
              <w:rPr>
                <w:rFonts w:hint="eastAsia" w:ascii="宋体" w:hAnsi="宋体" w:cs="宋体"/>
                <w:color w:val="auto"/>
                <w:kern w:val="2"/>
                <w:sz w:val="24"/>
                <w:szCs w:val="24"/>
                <w:highlight w:val="none"/>
                <w:lang w:val="en-US" w:eastAsia="zh-CN" w:bidi="ar"/>
              </w:rPr>
              <w:t>（业绩的金额以合同为准，不含补充合同）</w:t>
            </w:r>
            <w:r>
              <w:rPr>
                <w:rFonts w:hint="eastAsia" w:ascii="宋体" w:hAnsi="宋体" w:eastAsia="宋体" w:cs="宋体"/>
                <w:color w:val="auto"/>
                <w:kern w:val="2"/>
                <w:sz w:val="24"/>
                <w:szCs w:val="24"/>
                <w:highlight w:val="none"/>
                <w:lang w:val="en-US" w:eastAsia="zh-CN" w:bidi="ar"/>
              </w:rPr>
              <w:t>、验收文件复印件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kern w:val="0"/>
                <w:sz w:val="24"/>
                <w:szCs w:val="24"/>
                <w:highlight w:val="none"/>
              </w:rPr>
              <w:t>所有证明材料扫描件均须加盖公章，未按上述要求提供证明材料的，本小项不得分。</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val="en-US"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设施配备情况</w:t>
            </w:r>
          </w:p>
          <w:p>
            <w:pPr>
              <w:widowControl/>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kern w:val="2"/>
                <w:sz w:val="24"/>
                <w:szCs w:val="24"/>
                <w:highlight w:val="none"/>
                <w:lang w:eastAsia="zh-CN" w:bidi="ar"/>
              </w:rPr>
              <w:t>（</w:t>
            </w:r>
            <w:r>
              <w:rPr>
                <w:rFonts w:hint="eastAsia" w:asciiTheme="minorEastAsia" w:hAnsiTheme="minorEastAsia" w:cstheme="minorEastAsia"/>
                <w:color w:val="auto"/>
                <w:kern w:val="2"/>
                <w:sz w:val="24"/>
                <w:szCs w:val="24"/>
                <w:highlight w:val="none"/>
                <w:lang w:val="en-US" w:eastAsia="zh-CN" w:bidi="ar"/>
              </w:rPr>
              <w:t>10</w:t>
            </w:r>
            <w:r>
              <w:rPr>
                <w:rFonts w:hint="eastAsia" w:asciiTheme="minorEastAsia" w:hAnsiTheme="minorEastAsia" w:eastAsiaTheme="minorEastAsia" w:cstheme="minorEastAsia"/>
                <w:color w:val="auto"/>
                <w:kern w:val="2"/>
                <w:sz w:val="24"/>
                <w:szCs w:val="24"/>
                <w:highlight w:val="none"/>
                <w:lang w:val="en-US" w:eastAsia="zh-CN" w:bidi="ar"/>
              </w:rPr>
              <w:t>分）</w:t>
            </w:r>
          </w:p>
          <w:p>
            <w:pPr>
              <w:widowControl/>
              <w:jc w:val="center"/>
              <w:rPr>
                <w:rFonts w:hint="eastAsia" w:asciiTheme="minorEastAsia" w:hAnsiTheme="minorEastAsia" w:cstheme="minorEastAsia"/>
                <w:color w:val="auto"/>
                <w:sz w:val="24"/>
                <w:highlight w:val="none"/>
              </w:rPr>
            </w:pPr>
          </w:p>
          <w:p>
            <w:pPr>
              <w:widowControl/>
              <w:jc w:val="center"/>
              <w:rPr>
                <w:rFonts w:hint="eastAsia" w:asciiTheme="minorEastAsia" w:hAnsiTheme="minorEastAsia" w:eastAsiaTheme="minorEastAsia" w:cstheme="minorEastAsia"/>
                <w:color w:val="auto"/>
                <w:sz w:val="24"/>
                <w:szCs w:val="24"/>
                <w:highlight w:val="none"/>
              </w:rPr>
            </w:pP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 xml:space="preserve">拟投入的机械设备（自有或租赁）：  </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1、货车：每辆得</w:t>
            </w:r>
            <w:r>
              <w:rPr>
                <w:rFonts w:hint="eastAsia" w:asciiTheme="minorEastAsia" w:hAnsiTheme="minorEastAsia" w:eastAsiaTheme="minorEastAsia" w:cstheme="minorEastAsia"/>
                <w:color w:val="auto"/>
                <w:kern w:val="0"/>
                <w:sz w:val="24"/>
                <w:szCs w:val="24"/>
                <w:highlight w:val="none"/>
                <w:lang w:val="en-US" w:eastAsia="zh-CN" w:bidi="ar"/>
              </w:rPr>
              <w:t>0.5</w:t>
            </w:r>
            <w:r>
              <w:rPr>
                <w:rFonts w:hint="eastAsia" w:asciiTheme="minorEastAsia" w:hAnsiTheme="minorEastAsia" w:eastAsiaTheme="minorEastAsia" w:cstheme="minorEastAsia"/>
                <w:color w:val="auto"/>
                <w:kern w:val="0"/>
                <w:sz w:val="24"/>
                <w:szCs w:val="24"/>
                <w:highlight w:val="none"/>
                <w:lang w:bidi="ar"/>
              </w:rPr>
              <w:t xml:space="preserve">分，本小项最高得 </w:t>
            </w:r>
            <w:r>
              <w:rPr>
                <w:rFonts w:hint="eastAsia" w:asciiTheme="minorEastAsia" w:hAnsiTheme="minorEastAsia" w:cstheme="minorEastAsia"/>
                <w:color w:val="auto"/>
                <w:kern w:val="0"/>
                <w:sz w:val="24"/>
                <w:szCs w:val="24"/>
                <w:highlight w:val="none"/>
                <w:lang w:val="en-US" w:eastAsia="zh-CN" w:bidi="ar"/>
              </w:rPr>
              <w:t>4</w:t>
            </w:r>
            <w:r>
              <w:rPr>
                <w:rFonts w:hint="eastAsia" w:asciiTheme="minorEastAsia" w:hAnsiTheme="minorEastAsia" w:eastAsiaTheme="minorEastAsia" w:cstheme="minorEastAsia"/>
                <w:color w:val="auto"/>
                <w:kern w:val="0"/>
                <w:sz w:val="24"/>
                <w:szCs w:val="24"/>
                <w:highlight w:val="none"/>
                <w:lang w:bidi="ar"/>
              </w:rPr>
              <w:t xml:space="preserve">分； </w:t>
            </w:r>
          </w:p>
          <w:p>
            <w:pPr>
              <w:widowControl/>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2、高空作业车：每辆得</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分，本小项最高得</w:t>
            </w: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分；</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3、水车：每辆得1分，本小项最高得</w:t>
            </w: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 xml:space="preserve">分。 </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注：投标人自有车辆须提供购买发票及有效的车辆行驶证复印件加盖公章；租赁车辆须提供租赁合同及有效的车辆行驶证复印件加盖公章。上述证明材料必须清晰可辨,否则不予认可。</w:t>
            </w: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restart"/>
            <w:tcBorders>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技术部分（</w:t>
            </w:r>
            <w:r>
              <w:rPr>
                <w:rFonts w:hint="eastAsia" w:asciiTheme="minorEastAsia" w:hAnsi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分）</w:t>
            </w: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迁移</w:t>
            </w:r>
            <w:r>
              <w:rPr>
                <w:rFonts w:hint="eastAsia" w:asciiTheme="minorEastAsia" w:hAnsiTheme="minorEastAsia" w:cstheme="minorEastAsia"/>
                <w:color w:val="auto"/>
                <w:sz w:val="24"/>
                <w:highlight w:val="none"/>
                <w:lang w:eastAsia="zh-CN"/>
              </w:rPr>
              <w:t>及养护</w:t>
            </w:r>
            <w:r>
              <w:rPr>
                <w:rFonts w:hint="eastAsia" w:asciiTheme="minorEastAsia" w:hAnsiTheme="minorEastAsia" w:cstheme="minorEastAsia"/>
                <w:color w:val="auto"/>
                <w:sz w:val="24"/>
                <w:highlight w:val="none"/>
              </w:rPr>
              <w:t>方案</w:t>
            </w:r>
          </w:p>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sz w:val="24"/>
                <w:szCs w:val="24"/>
                <w:highlight w:val="none"/>
              </w:rPr>
              <w:t>迁移</w:t>
            </w:r>
            <w:r>
              <w:rPr>
                <w:rFonts w:hint="eastAsia" w:asciiTheme="minorEastAsia" w:hAnsiTheme="minorEastAsia" w:cstheme="minorEastAsia"/>
                <w:color w:val="auto"/>
                <w:sz w:val="24"/>
                <w:szCs w:val="24"/>
                <w:highlight w:val="none"/>
                <w:lang w:eastAsia="zh-CN"/>
              </w:rPr>
              <w:t>及养护</w:t>
            </w:r>
            <w:r>
              <w:rPr>
                <w:rFonts w:hint="eastAsia" w:asciiTheme="minorEastAsia" w:hAnsiTheme="minorEastAsia" w:eastAsiaTheme="minorEastAsia" w:cstheme="minorEastAsia"/>
                <w:color w:val="auto"/>
                <w:sz w:val="24"/>
                <w:szCs w:val="24"/>
                <w:highlight w:val="none"/>
              </w:rPr>
              <w:t>方案</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迁改工艺内容齐全合理，满足项目质量要求，有切实可行的应急措施，得</w:t>
            </w: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 xml:space="preserve">分； </w:t>
            </w:r>
          </w:p>
          <w:p>
            <w:pP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sz w:val="24"/>
                <w:szCs w:val="24"/>
                <w:highlight w:val="none"/>
              </w:rPr>
              <w:t>迁移</w:t>
            </w:r>
            <w:r>
              <w:rPr>
                <w:rFonts w:hint="eastAsia" w:asciiTheme="minorEastAsia" w:hAnsiTheme="minorEastAsia" w:cstheme="minorEastAsia"/>
                <w:color w:val="auto"/>
                <w:sz w:val="24"/>
                <w:szCs w:val="24"/>
                <w:highlight w:val="none"/>
                <w:lang w:eastAsia="zh-CN"/>
              </w:rPr>
              <w:t>及养护</w:t>
            </w:r>
            <w:r>
              <w:rPr>
                <w:rFonts w:hint="eastAsia" w:asciiTheme="minorEastAsia" w:hAnsiTheme="minorEastAsia" w:eastAsiaTheme="minorEastAsia" w:cstheme="minorEastAsia"/>
                <w:color w:val="auto"/>
                <w:sz w:val="24"/>
                <w:szCs w:val="24"/>
                <w:highlight w:val="none"/>
              </w:rPr>
              <w:t>方案内容较齐全，迁改工艺合理较满足项目要求，且符合相关规定，应急措施可行，得</w:t>
            </w:r>
            <w:r>
              <w:rPr>
                <w:rFonts w:hint="eastAsia" w:asciiTheme="minorEastAsia" w:hAnsiTheme="minorEastAsia" w:cstheme="minorEastAsia"/>
                <w:color w:val="auto"/>
                <w:sz w:val="24"/>
                <w:szCs w:val="24"/>
                <w:highlight w:val="none"/>
                <w:lang w:val="en-US" w:eastAsia="zh-CN"/>
              </w:rPr>
              <w:t>2-3</w:t>
            </w:r>
            <w:r>
              <w:rPr>
                <w:rFonts w:hint="eastAsia" w:asciiTheme="minorEastAsia" w:hAnsiTheme="minorEastAsia" w:eastAsiaTheme="minorEastAsia" w:cstheme="minorEastAsia"/>
                <w:color w:val="auto"/>
                <w:sz w:val="24"/>
                <w:szCs w:val="24"/>
                <w:highlight w:val="none"/>
              </w:rPr>
              <w:t xml:space="preserve">分； </w:t>
            </w:r>
          </w:p>
          <w:p>
            <w:pPr>
              <w:rPr>
                <w:color w:val="auto"/>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sz w:val="24"/>
                <w:szCs w:val="24"/>
                <w:highlight w:val="none"/>
              </w:rPr>
              <w:t>迁移</w:t>
            </w:r>
            <w:r>
              <w:rPr>
                <w:rFonts w:hint="eastAsia" w:asciiTheme="minorEastAsia" w:hAnsiTheme="minorEastAsia" w:cstheme="minorEastAsia"/>
                <w:color w:val="auto"/>
                <w:sz w:val="24"/>
                <w:szCs w:val="24"/>
                <w:highlight w:val="none"/>
                <w:lang w:eastAsia="zh-CN"/>
              </w:rPr>
              <w:t>及养护</w:t>
            </w:r>
            <w:r>
              <w:rPr>
                <w:rFonts w:hint="eastAsia" w:asciiTheme="minorEastAsia" w:hAnsiTheme="minorEastAsia" w:eastAsiaTheme="minorEastAsia" w:cstheme="minorEastAsia"/>
                <w:color w:val="auto"/>
                <w:sz w:val="24"/>
                <w:szCs w:val="24"/>
                <w:highlight w:val="none"/>
              </w:rPr>
              <w:t>方案内容一般，有简要迁改工艺，应急措施一般，得</w:t>
            </w:r>
            <w:r>
              <w:rPr>
                <w:rFonts w:hint="eastAsia" w:asciiTheme="minorEastAsia" w:hAnsiTheme="minorEastAsia" w:cstheme="minorEastAsia"/>
                <w:color w:val="auto"/>
                <w:sz w:val="24"/>
                <w:szCs w:val="24"/>
                <w:highlight w:val="none"/>
                <w:lang w:val="en-US" w:eastAsia="zh-CN"/>
              </w:rPr>
              <w:t>0-1</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 </w:t>
            </w:r>
          </w:p>
          <w:p>
            <w:pPr>
              <w:rPr>
                <w:rFonts w:hint="eastAsia" w:asciiTheme="minorEastAsia" w:hAnsiTheme="minorEastAsia" w:eastAsiaTheme="minorEastAsia" w:cstheme="minorEastAsia"/>
                <w:color w:val="auto"/>
                <w:kern w:val="0"/>
                <w:sz w:val="24"/>
                <w:szCs w:val="24"/>
                <w:highlight w:val="none"/>
                <w:lang w:bidi="ar"/>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40"/>
              <w:ind w:right="78" w:rightChars="0"/>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项目质量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cstheme="minorEastAsia"/>
                <w:color w:val="auto"/>
                <w:sz w:val="24"/>
                <w:highlight w:val="none"/>
              </w:rPr>
              <w:t>管理办法及质量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cstheme="minorEastAsia"/>
                <w:color w:val="auto"/>
                <w:sz w:val="24"/>
                <w:highlight w:val="none"/>
              </w:rPr>
              <w:t>保证措施</w:t>
            </w:r>
          </w:p>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cstheme="minorEastAsia"/>
                <w:color w:val="auto"/>
                <w:spacing w:val="0"/>
                <w:sz w:val="24"/>
                <w:szCs w:val="24"/>
                <w:highlight w:val="none"/>
                <w:lang w:val="en-US" w:eastAsia="zh-CN"/>
              </w:rPr>
              <w:t>5</w:t>
            </w:r>
            <w:r>
              <w:rPr>
                <w:rFonts w:hint="eastAsia" w:asciiTheme="minorEastAsia" w:hAnsiTheme="minorEastAsia" w:eastAsiaTheme="minorEastAsia" w:cstheme="minorEastAsia"/>
                <w:color w:val="auto"/>
                <w:spacing w:val="0"/>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snapToGrid w:val="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sz w:val="24"/>
                <w:szCs w:val="24"/>
                <w:highlight w:val="none"/>
              </w:rPr>
              <w:t>工作质量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管理具体可行，质量高、可实施性强及质量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保证措施合理、可行的，得</w:t>
            </w:r>
            <w:r>
              <w:rPr>
                <w:rFonts w:hint="eastAsia" w:asciiTheme="minorEastAsia" w:hAnsiTheme="minorEastAsia" w:cstheme="minorEastAsia"/>
                <w:color w:val="auto"/>
                <w:sz w:val="24"/>
                <w:szCs w:val="24"/>
                <w:highlight w:val="none"/>
                <w:lang w:val="en-US" w:eastAsia="zh-CN"/>
              </w:rPr>
              <w:t>4-5</w:t>
            </w:r>
            <w:r>
              <w:rPr>
                <w:rFonts w:hint="eastAsia" w:asciiTheme="minorEastAsia" w:hAnsiTheme="minorEastAsia" w:eastAsiaTheme="minorEastAsia" w:cstheme="minorEastAsia"/>
                <w:color w:val="auto"/>
                <w:sz w:val="24"/>
                <w:szCs w:val="24"/>
                <w:highlight w:val="none"/>
              </w:rPr>
              <w:t>分；</w:t>
            </w:r>
          </w:p>
          <w:p>
            <w:pPr>
              <w:snapToGrid w:val="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sz w:val="24"/>
                <w:szCs w:val="24"/>
                <w:highlight w:val="none"/>
              </w:rPr>
              <w:t>工作质量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管理基本可行，质量较高、可实施性一般及质量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保证措施比较合理、可行的，得</w:t>
            </w:r>
            <w:r>
              <w:rPr>
                <w:rFonts w:hint="eastAsia" w:asciiTheme="minorEastAsia" w:hAnsiTheme="minorEastAsia" w:cstheme="minorEastAsia"/>
                <w:color w:val="auto"/>
                <w:sz w:val="24"/>
                <w:szCs w:val="24"/>
                <w:highlight w:val="none"/>
                <w:lang w:val="en-US" w:eastAsia="zh-CN"/>
              </w:rPr>
              <w:t>2-3</w:t>
            </w:r>
            <w:r>
              <w:rPr>
                <w:rFonts w:hint="eastAsia" w:asciiTheme="minorEastAsia" w:hAnsiTheme="minorEastAsia" w:eastAsiaTheme="minorEastAsia" w:cstheme="minorEastAsia"/>
                <w:color w:val="auto"/>
                <w:sz w:val="24"/>
                <w:szCs w:val="24"/>
                <w:highlight w:val="none"/>
              </w:rPr>
              <w:t>分；</w:t>
            </w:r>
          </w:p>
          <w:p>
            <w:pPr>
              <w:rPr>
                <w:color w:val="auto"/>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sz w:val="24"/>
                <w:szCs w:val="24"/>
                <w:highlight w:val="none"/>
              </w:rPr>
              <w:t>工作质量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管理一般，质量较差、可实施性差及质量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保证措施不够合理的，得</w:t>
            </w:r>
            <w:r>
              <w:rPr>
                <w:rFonts w:hint="eastAsia" w:asciiTheme="minorEastAsia" w:hAnsiTheme="minorEastAsia" w:cstheme="minorEastAsia"/>
                <w:color w:val="auto"/>
                <w:sz w:val="24"/>
                <w:szCs w:val="24"/>
                <w:highlight w:val="none"/>
                <w:lang w:val="en-US" w:eastAsia="zh-CN"/>
              </w:rPr>
              <w:t>0-1</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cstheme="minorEastAsia"/>
                <w:color w:val="auto"/>
                <w:sz w:val="24"/>
                <w:szCs w:val="24"/>
                <w:highlight w:val="none"/>
                <w:lang w:eastAsia="zh-CN"/>
              </w:rPr>
              <w:t>。</w:t>
            </w:r>
          </w:p>
          <w:p>
            <w:pPr>
              <w:rPr>
                <w:rFonts w:hint="eastAsia" w:asciiTheme="minorEastAsia" w:hAnsiTheme="minorEastAsia" w:eastAsiaTheme="minorEastAsia" w:cstheme="minorEastAsia"/>
                <w:color w:val="auto"/>
                <w:kern w:val="0"/>
                <w:sz w:val="24"/>
                <w:szCs w:val="24"/>
                <w:highlight w:val="none"/>
                <w:lang w:bidi="ar"/>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pacing w:val="0"/>
                <w:sz w:val="24"/>
                <w:szCs w:val="24"/>
                <w:highlight w:val="none"/>
                <w:lang w:val="en-US" w:eastAsia="zh-CN"/>
              </w:rPr>
              <w:t>进度保证措施</w:t>
            </w: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cstheme="minorEastAsia"/>
                <w:color w:val="auto"/>
                <w:spacing w:val="0"/>
                <w:sz w:val="24"/>
                <w:szCs w:val="24"/>
                <w:highlight w:val="none"/>
                <w:lang w:val="en-US" w:eastAsia="zh-CN"/>
              </w:rPr>
              <w:t>5</w:t>
            </w:r>
            <w:r>
              <w:rPr>
                <w:rFonts w:hint="eastAsia" w:asciiTheme="minorEastAsia" w:hAnsiTheme="minorEastAsia" w:eastAsiaTheme="minorEastAsia" w:cstheme="minorEastAsia"/>
                <w:color w:val="auto"/>
                <w:spacing w:val="0"/>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7"/>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kern w:val="0"/>
                <w:sz w:val="24"/>
                <w:szCs w:val="24"/>
                <w:highlight w:val="none"/>
                <w:lang w:val="zh-CN" w:eastAsia="zh-CN" w:bidi="ar"/>
              </w:rPr>
              <w:t>有明确的项目实施进度，保证</w:t>
            </w:r>
            <w:r>
              <w:rPr>
                <w:rFonts w:hint="eastAsia" w:asciiTheme="minorEastAsia" w:hAnsiTheme="minorEastAsia" w:eastAsiaTheme="minorEastAsia" w:cstheme="minorEastAsia"/>
                <w:color w:val="auto"/>
                <w:kern w:val="0"/>
                <w:sz w:val="24"/>
                <w:szCs w:val="24"/>
                <w:highlight w:val="none"/>
                <w:lang w:val="zh-CN" w:bidi="ar"/>
              </w:rPr>
              <w:t>措施</w:t>
            </w:r>
            <w:r>
              <w:rPr>
                <w:rFonts w:hint="eastAsia" w:asciiTheme="minorEastAsia" w:hAnsiTheme="minorEastAsia" w:eastAsiaTheme="minorEastAsia" w:cstheme="minorEastAsia"/>
                <w:color w:val="auto"/>
                <w:kern w:val="0"/>
                <w:sz w:val="24"/>
                <w:szCs w:val="24"/>
                <w:highlight w:val="none"/>
                <w:lang w:val="zh-CN" w:eastAsia="zh-CN" w:bidi="ar"/>
              </w:rPr>
              <w:t>合理、具体，得4-5分</w:t>
            </w:r>
            <w:r>
              <w:rPr>
                <w:rFonts w:hint="eastAsia" w:asciiTheme="minorEastAsia" w:hAnsiTheme="minorEastAsia" w:eastAsiaTheme="minorEastAsia" w:cstheme="minorEastAsia"/>
                <w:color w:val="auto"/>
                <w:kern w:val="0"/>
                <w:sz w:val="24"/>
                <w:szCs w:val="24"/>
                <w:highlight w:val="none"/>
                <w:lang w:val="zh-CN" w:bidi="ar"/>
              </w:rPr>
              <w:t>。</w:t>
            </w:r>
          </w:p>
          <w:p>
            <w:pPr>
              <w:pStyle w:val="7"/>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kern w:val="0"/>
                <w:sz w:val="24"/>
                <w:szCs w:val="24"/>
                <w:highlight w:val="none"/>
                <w:lang w:val="zh-CN" w:eastAsia="zh-CN" w:bidi="ar"/>
              </w:rPr>
              <w:t>有较明确的项目实施进度，保证</w:t>
            </w:r>
            <w:r>
              <w:rPr>
                <w:rFonts w:hint="eastAsia" w:asciiTheme="minorEastAsia" w:hAnsiTheme="minorEastAsia" w:eastAsiaTheme="minorEastAsia" w:cstheme="minorEastAsia"/>
                <w:color w:val="auto"/>
                <w:kern w:val="0"/>
                <w:sz w:val="24"/>
                <w:szCs w:val="24"/>
                <w:highlight w:val="none"/>
                <w:lang w:val="zh-CN" w:bidi="ar"/>
              </w:rPr>
              <w:t>措施</w:t>
            </w:r>
            <w:r>
              <w:rPr>
                <w:rFonts w:hint="eastAsia" w:asciiTheme="minorEastAsia" w:hAnsiTheme="minorEastAsia" w:eastAsiaTheme="minorEastAsia" w:cstheme="minorEastAsia"/>
                <w:color w:val="auto"/>
                <w:kern w:val="0"/>
                <w:sz w:val="24"/>
                <w:szCs w:val="24"/>
                <w:highlight w:val="none"/>
                <w:lang w:val="zh-CN" w:eastAsia="zh-CN" w:bidi="ar"/>
              </w:rPr>
              <w:t>较合理、具体，得2-3分</w:t>
            </w:r>
            <w:r>
              <w:rPr>
                <w:rFonts w:hint="eastAsia" w:asciiTheme="minorEastAsia" w:hAnsiTheme="minorEastAsia" w:eastAsiaTheme="minorEastAsia" w:cstheme="minorEastAsia"/>
                <w:color w:val="auto"/>
                <w:kern w:val="0"/>
                <w:sz w:val="24"/>
                <w:szCs w:val="24"/>
                <w:highlight w:val="none"/>
                <w:lang w:val="zh-CN" w:bidi="ar"/>
              </w:rPr>
              <w:t>。</w:t>
            </w:r>
          </w:p>
          <w:p>
            <w:pPr>
              <w:pStyle w:val="7"/>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kern w:val="0"/>
                <w:sz w:val="24"/>
                <w:szCs w:val="24"/>
                <w:highlight w:val="none"/>
                <w:lang w:val="zh-CN" w:eastAsia="zh-CN" w:bidi="ar"/>
              </w:rPr>
              <w:t>项目实施进度不够明确，保证</w:t>
            </w:r>
            <w:r>
              <w:rPr>
                <w:rFonts w:hint="eastAsia" w:asciiTheme="minorEastAsia" w:hAnsiTheme="minorEastAsia" w:eastAsiaTheme="minorEastAsia" w:cstheme="minorEastAsia"/>
                <w:color w:val="auto"/>
                <w:kern w:val="0"/>
                <w:sz w:val="24"/>
                <w:szCs w:val="24"/>
                <w:highlight w:val="none"/>
                <w:lang w:val="zh-CN" w:bidi="ar"/>
              </w:rPr>
              <w:t>措施</w:t>
            </w:r>
            <w:r>
              <w:rPr>
                <w:rFonts w:hint="eastAsia" w:asciiTheme="minorEastAsia" w:hAnsiTheme="minorEastAsia" w:eastAsiaTheme="minorEastAsia" w:cstheme="minorEastAsia"/>
                <w:color w:val="auto"/>
                <w:kern w:val="0"/>
                <w:sz w:val="24"/>
                <w:szCs w:val="24"/>
                <w:highlight w:val="none"/>
                <w:lang w:val="zh-CN" w:eastAsia="zh-CN" w:bidi="ar"/>
              </w:rPr>
              <w:t>不够合理、具体，得0-1分</w:t>
            </w:r>
            <w:r>
              <w:rPr>
                <w:rFonts w:hint="eastAsia" w:asciiTheme="minorEastAsia" w:hAnsiTheme="minorEastAsia" w:eastAsiaTheme="minorEastAsia" w:cstheme="minorEastAsia"/>
                <w:color w:val="auto"/>
                <w:kern w:val="0"/>
                <w:sz w:val="24"/>
                <w:szCs w:val="24"/>
                <w:highlight w:val="none"/>
                <w:lang w:val="zh-CN" w:bidi="ar"/>
              </w:rPr>
              <w:t>。</w:t>
            </w: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pacing w:val="0"/>
                <w:sz w:val="24"/>
                <w:szCs w:val="24"/>
                <w:highlight w:val="none"/>
                <w:lang w:val="en-US" w:eastAsia="zh-CN"/>
              </w:rPr>
            </w:pPr>
            <w:r>
              <w:rPr>
                <w:rFonts w:hint="eastAsia" w:asciiTheme="minorEastAsia" w:hAnsiTheme="minorEastAsia" w:cstheme="minorEastAsia"/>
                <w:color w:val="auto"/>
                <w:spacing w:val="0"/>
                <w:sz w:val="24"/>
                <w:szCs w:val="24"/>
                <w:highlight w:val="none"/>
                <w:lang w:val="en-US" w:eastAsia="zh-CN"/>
              </w:rPr>
              <w:t>重难点分析及应对措施</w:t>
            </w:r>
          </w:p>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cstheme="minorEastAsia"/>
                <w:color w:val="auto"/>
                <w:spacing w:val="0"/>
                <w:sz w:val="24"/>
                <w:szCs w:val="24"/>
                <w:highlight w:val="none"/>
                <w:lang w:val="en-US" w:eastAsia="zh-CN"/>
              </w:rPr>
              <w:t>5</w:t>
            </w:r>
            <w:r>
              <w:rPr>
                <w:rFonts w:hint="eastAsia" w:asciiTheme="minorEastAsia" w:hAnsiTheme="minorEastAsia" w:eastAsiaTheme="minorEastAsia" w:cstheme="minorEastAsia"/>
                <w:color w:val="auto"/>
                <w:spacing w:val="0"/>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7"/>
              <w:rPr>
                <w:rFonts w:hint="default" w:asciiTheme="minorEastAsia" w:hAnsiTheme="minorEastAsia" w:eastAsiaTheme="minorEastAsia" w:cstheme="minorEastAsia"/>
                <w:color w:val="auto"/>
                <w:kern w:val="0"/>
                <w:sz w:val="24"/>
                <w:szCs w:val="24"/>
                <w:highlight w:val="none"/>
                <w:lang w:val="en-US" w:bidi="ar"/>
              </w:rPr>
            </w:pPr>
            <w:r>
              <w:rPr>
                <w:rFonts w:hint="eastAsia" w:asciiTheme="minorEastAsia" w:hAnsiTheme="minorEastAsia" w:cstheme="minorEastAsia"/>
                <w:color w:val="auto"/>
                <w:kern w:val="0"/>
                <w:sz w:val="24"/>
                <w:szCs w:val="24"/>
                <w:highlight w:val="none"/>
                <w:lang w:val="en-US" w:eastAsia="zh-CN" w:bidi="ar"/>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kern w:val="0"/>
                <w:sz w:val="24"/>
                <w:szCs w:val="24"/>
                <w:highlight w:val="none"/>
                <w:lang w:val="zh-CN" w:bidi="ar"/>
              </w:rPr>
              <w:t>对</w:t>
            </w:r>
            <w:r>
              <w:rPr>
                <w:rFonts w:hint="eastAsia" w:asciiTheme="minorEastAsia" w:hAnsiTheme="minorEastAsia" w:eastAsiaTheme="minorEastAsia" w:cstheme="minorEastAsia"/>
                <w:color w:val="auto"/>
                <w:kern w:val="0"/>
                <w:sz w:val="24"/>
                <w:szCs w:val="24"/>
                <w:highlight w:val="none"/>
                <w:lang w:val="zh-CN" w:eastAsia="zh-CN" w:bidi="ar"/>
              </w:rPr>
              <w:t>项目树木迁移工作</w:t>
            </w:r>
            <w:r>
              <w:rPr>
                <w:rFonts w:hint="eastAsia" w:asciiTheme="minorEastAsia" w:hAnsiTheme="minorEastAsia" w:eastAsiaTheme="minorEastAsia" w:cstheme="minorEastAsia"/>
                <w:color w:val="auto"/>
                <w:kern w:val="0"/>
                <w:sz w:val="24"/>
                <w:szCs w:val="24"/>
                <w:highlight w:val="none"/>
                <w:lang w:val="zh-CN" w:bidi="ar"/>
              </w:rPr>
              <w:t>的理解准确、深入，重点难点剖析到位</w:t>
            </w:r>
            <w:r>
              <w:rPr>
                <w:rFonts w:hint="eastAsia" w:asciiTheme="minorEastAsia" w:hAnsiTheme="minorEastAsia" w:eastAsiaTheme="minorEastAsia" w:cstheme="minorEastAsia"/>
                <w:color w:val="auto"/>
                <w:kern w:val="0"/>
                <w:sz w:val="24"/>
                <w:szCs w:val="24"/>
                <w:highlight w:val="none"/>
                <w:lang w:val="zh-CN" w:eastAsia="zh-CN" w:bidi="ar"/>
              </w:rPr>
              <w:t>，应对措施</w:t>
            </w:r>
            <w:r>
              <w:rPr>
                <w:rFonts w:hint="eastAsia" w:asciiTheme="minorEastAsia" w:hAnsiTheme="minorEastAsia" w:eastAsiaTheme="minorEastAsia" w:cstheme="minorEastAsia"/>
                <w:color w:val="auto"/>
                <w:kern w:val="0"/>
                <w:sz w:val="24"/>
                <w:szCs w:val="24"/>
                <w:highlight w:val="none"/>
                <w:lang w:val="zh-CN" w:bidi="ar"/>
              </w:rPr>
              <w:t>合理</w:t>
            </w:r>
            <w:r>
              <w:rPr>
                <w:rFonts w:hint="eastAsia" w:asciiTheme="minorEastAsia" w:hAnsiTheme="minorEastAsia" w:eastAsiaTheme="minorEastAsia" w:cstheme="minorEastAsia"/>
                <w:color w:val="auto"/>
                <w:kern w:val="0"/>
                <w:sz w:val="24"/>
                <w:szCs w:val="24"/>
                <w:highlight w:val="none"/>
                <w:lang w:val="zh-CN" w:eastAsia="zh-CN" w:bidi="ar"/>
              </w:rPr>
              <w:t>，得4-5分</w:t>
            </w:r>
            <w:r>
              <w:rPr>
                <w:rFonts w:hint="eastAsia" w:asciiTheme="minorEastAsia" w:hAnsiTheme="minorEastAsia" w:cstheme="minorEastAsia"/>
                <w:color w:val="auto"/>
                <w:kern w:val="0"/>
                <w:sz w:val="24"/>
                <w:szCs w:val="24"/>
                <w:highlight w:val="none"/>
                <w:lang w:val="zh-CN" w:eastAsia="zh-CN" w:bidi="ar"/>
              </w:rPr>
              <w:t>。</w:t>
            </w:r>
          </w:p>
          <w:p>
            <w:pPr>
              <w:pStyle w:val="7"/>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kern w:val="0"/>
                <w:sz w:val="24"/>
                <w:szCs w:val="24"/>
                <w:highlight w:val="none"/>
                <w:lang w:val="zh-CN" w:bidi="ar"/>
              </w:rPr>
              <w:t>对</w:t>
            </w:r>
            <w:r>
              <w:rPr>
                <w:rFonts w:hint="eastAsia" w:asciiTheme="minorEastAsia" w:hAnsiTheme="minorEastAsia" w:eastAsiaTheme="minorEastAsia" w:cstheme="minorEastAsia"/>
                <w:color w:val="auto"/>
                <w:kern w:val="0"/>
                <w:sz w:val="24"/>
                <w:szCs w:val="24"/>
                <w:highlight w:val="none"/>
                <w:lang w:val="zh-CN" w:eastAsia="zh-CN" w:bidi="ar"/>
              </w:rPr>
              <w:t>项目树木迁移工作</w:t>
            </w:r>
            <w:r>
              <w:rPr>
                <w:rFonts w:hint="eastAsia" w:asciiTheme="minorEastAsia" w:hAnsiTheme="minorEastAsia" w:eastAsiaTheme="minorEastAsia" w:cstheme="minorEastAsia"/>
                <w:color w:val="auto"/>
                <w:kern w:val="0"/>
                <w:sz w:val="24"/>
                <w:szCs w:val="24"/>
                <w:highlight w:val="none"/>
                <w:lang w:val="zh-CN" w:bidi="ar"/>
              </w:rPr>
              <w:t>的理解较准确、较深入，重点难点剖析较到位</w:t>
            </w:r>
            <w:r>
              <w:rPr>
                <w:rFonts w:hint="eastAsia" w:asciiTheme="minorEastAsia" w:hAnsiTheme="minorEastAsia" w:eastAsiaTheme="minorEastAsia" w:cstheme="minorEastAsia"/>
                <w:color w:val="auto"/>
                <w:kern w:val="0"/>
                <w:sz w:val="24"/>
                <w:szCs w:val="24"/>
                <w:highlight w:val="none"/>
                <w:lang w:val="zh-CN" w:eastAsia="zh-CN" w:bidi="ar"/>
              </w:rPr>
              <w:t>，应对措施</w:t>
            </w:r>
            <w:r>
              <w:rPr>
                <w:rFonts w:hint="eastAsia" w:asciiTheme="minorEastAsia" w:hAnsiTheme="minorEastAsia" w:eastAsiaTheme="minorEastAsia" w:cstheme="minorEastAsia"/>
                <w:color w:val="auto"/>
                <w:kern w:val="0"/>
                <w:sz w:val="24"/>
                <w:szCs w:val="24"/>
                <w:highlight w:val="none"/>
                <w:lang w:val="zh-CN" w:bidi="ar"/>
              </w:rPr>
              <w:t>较合理</w:t>
            </w:r>
            <w:r>
              <w:rPr>
                <w:rFonts w:hint="eastAsia" w:asciiTheme="minorEastAsia" w:hAnsiTheme="minorEastAsia" w:eastAsiaTheme="minorEastAsia" w:cstheme="minorEastAsia"/>
                <w:color w:val="auto"/>
                <w:kern w:val="0"/>
                <w:sz w:val="24"/>
                <w:szCs w:val="24"/>
                <w:highlight w:val="none"/>
                <w:lang w:val="zh-CN" w:eastAsia="zh-CN" w:bidi="ar"/>
              </w:rPr>
              <w:t>，得2-3分</w:t>
            </w:r>
            <w:r>
              <w:rPr>
                <w:rFonts w:hint="eastAsia" w:asciiTheme="minorEastAsia" w:hAnsiTheme="minorEastAsia" w:cstheme="minorEastAsia"/>
                <w:color w:val="auto"/>
                <w:kern w:val="0"/>
                <w:sz w:val="24"/>
                <w:szCs w:val="24"/>
                <w:highlight w:val="none"/>
                <w:lang w:val="zh-CN" w:eastAsia="zh-CN" w:bidi="ar"/>
              </w:rPr>
              <w:t>。</w:t>
            </w:r>
          </w:p>
          <w:p>
            <w:pPr>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kern w:val="0"/>
                <w:sz w:val="24"/>
                <w:szCs w:val="24"/>
                <w:highlight w:val="none"/>
                <w:lang w:val="zh-CN" w:eastAsia="zh-CN" w:bidi="ar"/>
              </w:rPr>
              <w:t>对项目树木迁移工作的理解不够准确、不够深入，重点难点剖析不够到位，应对措施不够合理，得0-1分</w:t>
            </w:r>
            <w:r>
              <w:rPr>
                <w:rFonts w:hint="eastAsia" w:asciiTheme="minorEastAsia" w:hAnsiTheme="minorEastAsia" w:cstheme="minorEastAsia"/>
                <w:color w:val="auto"/>
                <w:kern w:val="0"/>
                <w:sz w:val="24"/>
                <w:szCs w:val="24"/>
                <w:highlight w:val="none"/>
                <w:lang w:val="zh-CN" w:eastAsia="zh-CN" w:bidi="ar"/>
              </w:rPr>
              <w:t>。</w:t>
            </w: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652" w:hRule="atLeast"/>
          <w:jc w:val="center"/>
        </w:trPr>
        <w:tc>
          <w:tcPr>
            <w:tcW w:w="1829" w:type="dxa"/>
            <w:gridSpan w:val="2"/>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投标报价（</w:t>
            </w: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0分）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eastAsia="zh-CN" w:bidi="ar"/>
              </w:rPr>
              <w:t>以通过符合性审查的投标单位所有</w:t>
            </w:r>
            <w:r>
              <w:rPr>
                <w:rFonts w:hint="eastAsia" w:asciiTheme="minorEastAsia" w:hAnsiTheme="minorEastAsia" w:eastAsiaTheme="minorEastAsia" w:cstheme="minorEastAsia"/>
                <w:color w:val="auto"/>
                <w:kern w:val="0"/>
                <w:sz w:val="24"/>
                <w:szCs w:val="24"/>
                <w:highlight w:val="none"/>
                <w:lang w:bidi="ar"/>
              </w:rPr>
              <w:t>投标报价</w:t>
            </w:r>
            <w:r>
              <w:rPr>
                <w:rFonts w:hint="eastAsia" w:asciiTheme="minorEastAsia" w:hAnsiTheme="minorEastAsia" w:eastAsiaTheme="minorEastAsia" w:cstheme="minorEastAsia"/>
                <w:color w:val="auto"/>
                <w:kern w:val="0"/>
                <w:sz w:val="24"/>
                <w:szCs w:val="24"/>
                <w:highlight w:val="none"/>
                <w:lang w:eastAsia="zh-CN" w:bidi="ar"/>
              </w:rPr>
              <w:t>的</w:t>
            </w:r>
            <w:r>
              <w:rPr>
                <w:rFonts w:hint="eastAsia" w:asciiTheme="minorEastAsia" w:hAnsiTheme="minorEastAsia" w:eastAsiaTheme="minorEastAsia" w:cstheme="minorEastAsia"/>
                <w:color w:val="auto"/>
                <w:kern w:val="0"/>
                <w:sz w:val="24"/>
                <w:szCs w:val="24"/>
                <w:highlight w:val="none"/>
                <w:lang w:bidi="ar"/>
              </w:rPr>
              <w:t>平均值作为基准价。</w:t>
            </w:r>
          </w:p>
          <w:p>
            <w:pPr>
              <w:rPr>
                <w:color w:val="auto"/>
                <w:highlight w:val="none"/>
              </w:rPr>
            </w:pPr>
          </w:p>
          <w:p>
            <w:pPr>
              <w:ind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投标报价</w:t>
            </w:r>
            <w:r>
              <w:rPr>
                <w:rFonts w:hint="eastAsia" w:ascii="宋体" w:hAnsi="宋体" w:eastAsia="宋体" w:cs="宋体"/>
                <w:color w:val="auto"/>
                <w:sz w:val="24"/>
                <w:szCs w:val="24"/>
                <w:highlight w:val="none"/>
              </w:rPr>
              <w:t>等于基准价为满分</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分，高于基准价的1%扣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分，低于基准价的1%扣</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分，以此类推。最低得分0分。得分保留两位小数。</w:t>
            </w:r>
            <w:r>
              <w:rPr>
                <w:rFonts w:hint="eastAsia" w:ascii="宋体" w:hAnsi="宋体" w:eastAsia="宋体" w:cs="宋体"/>
                <w:color w:val="auto"/>
                <w:sz w:val="24"/>
                <w:szCs w:val="24"/>
                <w:highlight w:val="none"/>
                <w:lang w:eastAsia="zh-CN"/>
              </w:rPr>
              <w:t>计算公式如下：</w:t>
            </w:r>
          </w:p>
          <w:p>
            <w:pPr>
              <w:pStyle w:val="2"/>
              <w:numPr>
                <w:ilvl w:val="0"/>
                <w:numId w:val="5"/>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报价等于基准价的，得分=</w:t>
            </w:r>
            <w:r>
              <w:rPr>
                <w:rFonts w:hint="eastAsia" w:hAnsi="宋体" w:cs="宋体"/>
                <w:color w:val="auto"/>
                <w:sz w:val="24"/>
                <w:szCs w:val="24"/>
                <w:highlight w:val="none"/>
                <w:lang w:val="en-US" w:eastAsia="zh-CN"/>
              </w:rPr>
              <w:t>50。</w:t>
            </w:r>
          </w:p>
          <w:p>
            <w:pPr>
              <w:pStyle w:val="2"/>
              <w:numPr>
                <w:ilvl w:val="0"/>
                <w:numId w:val="5"/>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报价高于基准价的，得分=</w:t>
            </w:r>
            <w:r>
              <w:rPr>
                <w:rFonts w:hint="eastAsia" w:hAnsi="宋体" w:cs="宋体"/>
                <w:color w:val="auto"/>
                <w:sz w:val="24"/>
                <w:szCs w:val="24"/>
                <w:highlight w:val="none"/>
                <w:lang w:val="en-US" w:eastAsia="zh-CN"/>
              </w:rPr>
              <w:t>50</w:t>
            </w:r>
            <w:r>
              <w:rPr>
                <w:rFonts w:hint="eastAsia" w:ascii="宋体" w:hAnsi="宋体" w:eastAsia="宋体" w:cs="宋体"/>
                <w:color w:val="auto"/>
                <w:sz w:val="24"/>
                <w:szCs w:val="24"/>
                <w:highlight w:val="none"/>
                <w:lang w:val="en-US" w:eastAsia="zh-CN"/>
              </w:rPr>
              <w:t>-[（报价-基准价）/基准价]×100×1</w:t>
            </w:r>
          </w:p>
          <w:p>
            <w:pPr>
              <w:rPr>
                <w:color w:val="auto"/>
                <w:highlight w:val="none"/>
              </w:rPr>
            </w:pPr>
            <w:r>
              <w:rPr>
                <w:rFonts w:hint="eastAsia" w:ascii="宋体" w:hAnsi="宋体" w:eastAsia="宋体" w:cs="宋体"/>
                <w:color w:val="auto"/>
                <w:sz w:val="24"/>
                <w:szCs w:val="24"/>
                <w:highlight w:val="none"/>
                <w:lang w:val="en-US" w:eastAsia="zh-CN"/>
              </w:rPr>
              <w:t>报价低于基准价的，得分=</w:t>
            </w:r>
            <w:r>
              <w:rPr>
                <w:rFonts w:hint="eastAsia" w:hAnsi="宋体" w:cs="宋体"/>
                <w:color w:val="auto"/>
                <w:sz w:val="24"/>
                <w:szCs w:val="24"/>
                <w:highlight w:val="none"/>
                <w:lang w:val="en-US" w:eastAsia="zh-CN"/>
              </w:rPr>
              <w:t>50</w:t>
            </w:r>
            <w:r>
              <w:rPr>
                <w:rFonts w:hint="eastAsia" w:ascii="宋体" w:hAnsi="宋体" w:eastAsia="宋体" w:cs="宋体"/>
                <w:color w:val="auto"/>
                <w:sz w:val="24"/>
                <w:szCs w:val="24"/>
                <w:highlight w:val="none"/>
                <w:lang w:val="en-US" w:eastAsia="zh-CN"/>
              </w:rPr>
              <w:t>-[（基准价-报价）/基准价]×100×0.5</w:t>
            </w:r>
          </w:p>
          <w:p>
            <w:pPr>
              <w:rPr>
                <w:color w:val="auto"/>
                <w:highlight w:val="none"/>
              </w:rPr>
            </w:pPr>
          </w:p>
          <w:p>
            <w:pPr>
              <w:jc w:val="left"/>
              <w:rPr>
                <w:rFonts w:asciiTheme="minorEastAsia" w:hAnsiTheme="minorEastAsia" w:eastAsiaTheme="minorEastAsia" w:cstheme="minorEastAsia"/>
                <w:color w:val="auto"/>
                <w:sz w:val="24"/>
                <w:szCs w:val="24"/>
                <w:highlight w:val="none"/>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napToGrid/>
        <w:spacing w:line="320" w:lineRule="exact"/>
        <w:ind w:firstLine="0" w:firstLineChars="0"/>
        <w:jc w:val="left"/>
        <w:rPr>
          <w:rFonts w:hint="eastAsia" w:ascii="宋体" w:hAnsi="宋体" w:cs="宋体"/>
          <w:color w:val="auto"/>
          <w:szCs w:val="18"/>
          <w:highlight w:val="none"/>
          <w:lang w:eastAsia="zh-CN"/>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广州南沙经济技术开发区港宏房地产开发有限公司</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海湾小区N地块项目（领航科技大楼）</w:t>
      </w:r>
      <w:r>
        <w:rPr>
          <w:rFonts w:hint="eastAsia" w:ascii="宋体" w:hAnsi="宋体" w:eastAsia="宋体"/>
          <w:color w:val="auto"/>
          <w:spacing w:val="20"/>
          <w:sz w:val="24"/>
          <w:szCs w:val="24"/>
          <w:highlight w:val="none"/>
          <w:u w:val="single"/>
          <w:lang w:val="en-US" w:eastAsia="zh-CN"/>
        </w:rPr>
        <w:t>树</w:t>
      </w:r>
      <w:r>
        <w:rPr>
          <w:rFonts w:hint="eastAsia" w:ascii="宋体" w:hAnsi="宋体" w:eastAsia="宋体"/>
          <w:color w:val="auto"/>
          <w:spacing w:val="20"/>
          <w:sz w:val="24"/>
          <w:szCs w:val="24"/>
          <w:highlight w:val="none"/>
          <w:u w:val="single"/>
          <w:lang w:eastAsia="zh-CN"/>
        </w:rPr>
        <w:t>木迁移</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rPr>
          <w:rFonts w:hint="default"/>
          <w:color w:val="auto"/>
          <w:highlight w:val="none"/>
        </w:rPr>
      </w:pPr>
      <w:r>
        <w:rPr>
          <w:rFonts w:hint="default"/>
          <w:color w:val="auto"/>
          <w:highlight w:val="none"/>
        </w:rPr>
        <w:br w:type="page"/>
      </w:r>
    </w:p>
    <w:p>
      <w:pPr>
        <w:rPr>
          <w:rFonts w:hint="default" w:eastAsiaTheme="minor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4 工程量清单（含编制说明）</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3E8B"/>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9D504E"/>
    <w:rsid w:val="01E200EE"/>
    <w:rsid w:val="025A13E2"/>
    <w:rsid w:val="02E9680F"/>
    <w:rsid w:val="02F7533D"/>
    <w:rsid w:val="030457ED"/>
    <w:rsid w:val="0325568D"/>
    <w:rsid w:val="03562994"/>
    <w:rsid w:val="03CB6D70"/>
    <w:rsid w:val="04364A4F"/>
    <w:rsid w:val="04376975"/>
    <w:rsid w:val="04E40895"/>
    <w:rsid w:val="051B7598"/>
    <w:rsid w:val="052E78DA"/>
    <w:rsid w:val="059A4101"/>
    <w:rsid w:val="07F66A4C"/>
    <w:rsid w:val="083B43B1"/>
    <w:rsid w:val="08757A2C"/>
    <w:rsid w:val="08A9464F"/>
    <w:rsid w:val="08D505E6"/>
    <w:rsid w:val="09062DA7"/>
    <w:rsid w:val="09A667E8"/>
    <w:rsid w:val="0A621C44"/>
    <w:rsid w:val="0B372B92"/>
    <w:rsid w:val="0BFF40FB"/>
    <w:rsid w:val="0C855B7E"/>
    <w:rsid w:val="0C87037B"/>
    <w:rsid w:val="0CF74903"/>
    <w:rsid w:val="0E1B10A8"/>
    <w:rsid w:val="0E2F0BDD"/>
    <w:rsid w:val="0E80564C"/>
    <w:rsid w:val="0EA03B8A"/>
    <w:rsid w:val="0EAC0C18"/>
    <w:rsid w:val="0EB25F9A"/>
    <w:rsid w:val="0F8D0176"/>
    <w:rsid w:val="0F8F0FD3"/>
    <w:rsid w:val="0FB618AA"/>
    <w:rsid w:val="0FD73768"/>
    <w:rsid w:val="0FE4361B"/>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5B036FB"/>
    <w:rsid w:val="16007AF5"/>
    <w:rsid w:val="17463991"/>
    <w:rsid w:val="179E3273"/>
    <w:rsid w:val="17E977C8"/>
    <w:rsid w:val="1873680D"/>
    <w:rsid w:val="18E67433"/>
    <w:rsid w:val="18F12637"/>
    <w:rsid w:val="19095239"/>
    <w:rsid w:val="192D2531"/>
    <w:rsid w:val="19F77B19"/>
    <w:rsid w:val="1AB46DAB"/>
    <w:rsid w:val="1B6C2995"/>
    <w:rsid w:val="1BB630ED"/>
    <w:rsid w:val="1BC44893"/>
    <w:rsid w:val="1BE136FF"/>
    <w:rsid w:val="1BFE2CE6"/>
    <w:rsid w:val="1C05708F"/>
    <w:rsid w:val="1C307374"/>
    <w:rsid w:val="1C9203A6"/>
    <w:rsid w:val="1D362614"/>
    <w:rsid w:val="1E032835"/>
    <w:rsid w:val="1E562810"/>
    <w:rsid w:val="1EBD45C4"/>
    <w:rsid w:val="1F1C5732"/>
    <w:rsid w:val="1F584BD1"/>
    <w:rsid w:val="205D447F"/>
    <w:rsid w:val="206E043A"/>
    <w:rsid w:val="20AD4C4C"/>
    <w:rsid w:val="21424D60"/>
    <w:rsid w:val="215321ED"/>
    <w:rsid w:val="224A02E7"/>
    <w:rsid w:val="227411DF"/>
    <w:rsid w:val="24856237"/>
    <w:rsid w:val="2491579A"/>
    <w:rsid w:val="25053D8A"/>
    <w:rsid w:val="25687B33"/>
    <w:rsid w:val="25791876"/>
    <w:rsid w:val="26236584"/>
    <w:rsid w:val="26B94C66"/>
    <w:rsid w:val="26C6622E"/>
    <w:rsid w:val="26FF6942"/>
    <w:rsid w:val="272101A5"/>
    <w:rsid w:val="272B74FA"/>
    <w:rsid w:val="2751149E"/>
    <w:rsid w:val="2837076A"/>
    <w:rsid w:val="2865301D"/>
    <w:rsid w:val="286808EB"/>
    <w:rsid w:val="28C86C87"/>
    <w:rsid w:val="29051210"/>
    <w:rsid w:val="296119D7"/>
    <w:rsid w:val="2A97100B"/>
    <w:rsid w:val="2B401296"/>
    <w:rsid w:val="2BEC17AE"/>
    <w:rsid w:val="2C1B0D4A"/>
    <w:rsid w:val="2C5357E2"/>
    <w:rsid w:val="2D0635AD"/>
    <w:rsid w:val="2DDB1EBF"/>
    <w:rsid w:val="2DE71DA9"/>
    <w:rsid w:val="2DF963B5"/>
    <w:rsid w:val="2E6C5CB5"/>
    <w:rsid w:val="2EC40C57"/>
    <w:rsid w:val="2EE433BF"/>
    <w:rsid w:val="2F9B6BBA"/>
    <w:rsid w:val="2FEA73B1"/>
    <w:rsid w:val="30136E93"/>
    <w:rsid w:val="30334755"/>
    <w:rsid w:val="30EC6390"/>
    <w:rsid w:val="311233CC"/>
    <w:rsid w:val="31691908"/>
    <w:rsid w:val="31B57180"/>
    <w:rsid w:val="34935BA4"/>
    <w:rsid w:val="34A264CA"/>
    <w:rsid w:val="35830B03"/>
    <w:rsid w:val="3700775A"/>
    <w:rsid w:val="37A26BD4"/>
    <w:rsid w:val="37AE7FE3"/>
    <w:rsid w:val="37BE081B"/>
    <w:rsid w:val="37CA01F4"/>
    <w:rsid w:val="38417D8A"/>
    <w:rsid w:val="39731517"/>
    <w:rsid w:val="39F52602"/>
    <w:rsid w:val="39FC703A"/>
    <w:rsid w:val="3AC802EF"/>
    <w:rsid w:val="3B183024"/>
    <w:rsid w:val="3B6D4312"/>
    <w:rsid w:val="3BB718A6"/>
    <w:rsid w:val="3BC04127"/>
    <w:rsid w:val="3BFD2AF3"/>
    <w:rsid w:val="3C88543E"/>
    <w:rsid w:val="3CB7521C"/>
    <w:rsid w:val="3CDC7147"/>
    <w:rsid w:val="3CE76215"/>
    <w:rsid w:val="3CFF0303"/>
    <w:rsid w:val="3D7619F9"/>
    <w:rsid w:val="3D957982"/>
    <w:rsid w:val="3D96007A"/>
    <w:rsid w:val="3E71447D"/>
    <w:rsid w:val="3F4915A0"/>
    <w:rsid w:val="3F5F332B"/>
    <w:rsid w:val="3F641BC2"/>
    <w:rsid w:val="3F8502F8"/>
    <w:rsid w:val="3FD704B2"/>
    <w:rsid w:val="405854B3"/>
    <w:rsid w:val="408D1DBF"/>
    <w:rsid w:val="409313F9"/>
    <w:rsid w:val="40B7508E"/>
    <w:rsid w:val="40CA2819"/>
    <w:rsid w:val="41EC3A6C"/>
    <w:rsid w:val="42A2655E"/>
    <w:rsid w:val="43420D2F"/>
    <w:rsid w:val="436C5E0D"/>
    <w:rsid w:val="44631084"/>
    <w:rsid w:val="446A549B"/>
    <w:rsid w:val="44800368"/>
    <w:rsid w:val="44E811C0"/>
    <w:rsid w:val="46871AD6"/>
    <w:rsid w:val="47025D0E"/>
    <w:rsid w:val="4735560E"/>
    <w:rsid w:val="47413F22"/>
    <w:rsid w:val="4792678F"/>
    <w:rsid w:val="47E03B89"/>
    <w:rsid w:val="481D5A38"/>
    <w:rsid w:val="486D7A2B"/>
    <w:rsid w:val="487975A7"/>
    <w:rsid w:val="48E72086"/>
    <w:rsid w:val="49732ED5"/>
    <w:rsid w:val="499C01CA"/>
    <w:rsid w:val="49EF5898"/>
    <w:rsid w:val="4A1079FD"/>
    <w:rsid w:val="4A1D620C"/>
    <w:rsid w:val="4A6B3B16"/>
    <w:rsid w:val="4ADD3061"/>
    <w:rsid w:val="4AED722D"/>
    <w:rsid w:val="4B3D40BA"/>
    <w:rsid w:val="4BC136D0"/>
    <w:rsid w:val="4BF328A0"/>
    <w:rsid w:val="4C2E17B4"/>
    <w:rsid w:val="4C81677F"/>
    <w:rsid w:val="4CC56D84"/>
    <w:rsid w:val="4D195C1E"/>
    <w:rsid w:val="4D904DD7"/>
    <w:rsid w:val="4D9C287D"/>
    <w:rsid w:val="4DC04FA6"/>
    <w:rsid w:val="4DC53F66"/>
    <w:rsid w:val="4E2A0E48"/>
    <w:rsid w:val="4FC91A1A"/>
    <w:rsid w:val="50DB6247"/>
    <w:rsid w:val="51531E87"/>
    <w:rsid w:val="51552F81"/>
    <w:rsid w:val="51AB2104"/>
    <w:rsid w:val="525A7F6F"/>
    <w:rsid w:val="52760C06"/>
    <w:rsid w:val="530E35F9"/>
    <w:rsid w:val="53427976"/>
    <w:rsid w:val="53A07C03"/>
    <w:rsid w:val="53A63423"/>
    <w:rsid w:val="53B638D1"/>
    <w:rsid w:val="54386D63"/>
    <w:rsid w:val="54A36172"/>
    <w:rsid w:val="54BC0EE8"/>
    <w:rsid w:val="55D41C4B"/>
    <w:rsid w:val="56446F6C"/>
    <w:rsid w:val="5702252D"/>
    <w:rsid w:val="572444C0"/>
    <w:rsid w:val="576D49E8"/>
    <w:rsid w:val="58047E04"/>
    <w:rsid w:val="594F1692"/>
    <w:rsid w:val="59566C52"/>
    <w:rsid w:val="597674DD"/>
    <w:rsid w:val="5A416E84"/>
    <w:rsid w:val="5AAF5CCA"/>
    <w:rsid w:val="5B2D32C9"/>
    <w:rsid w:val="5B6E68B8"/>
    <w:rsid w:val="5B8D6C19"/>
    <w:rsid w:val="5BAA698D"/>
    <w:rsid w:val="5BCE61FA"/>
    <w:rsid w:val="5C9B134E"/>
    <w:rsid w:val="5DAA1580"/>
    <w:rsid w:val="5DF14932"/>
    <w:rsid w:val="5DFF04E8"/>
    <w:rsid w:val="5E1A6FB5"/>
    <w:rsid w:val="5E7A3CE2"/>
    <w:rsid w:val="5E960581"/>
    <w:rsid w:val="5F1D6F91"/>
    <w:rsid w:val="5F355496"/>
    <w:rsid w:val="5F8349F8"/>
    <w:rsid w:val="5F865CD7"/>
    <w:rsid w:val="5FDC4484"/>
    <w:rsid w:val="60BA0556"/>
    <w:rsid w:val="60F61E20"/>
    <w:rsid w:val="61A7533B"/>
    <w:rsid w:val="621244D5"/>
    <w:rsid w:val="6220088D"/>
    <w:rsid w:val="62B2296D"/>
    <w:rsid w:val="62B247EF"/>
    <w:rsid w:val="636147EE"/>
    <w:rsid w:val="63DB6B9E"/>
    <w:rsid w:val="652625DB"/>
    <w:rsid w:val="65B441A4"/>
    <w:rsid w:val="65D8147F"/>
    <w:rsid w:val="66373494"/>
    <w:rsid w:val="66591B82"/>
    <w:rsid w:val="68550B65"/>
    <w:rsid w:val="6898637C"/>
    <w:rsid w:val="68B16D7B"/>
    <w:rsid w:val="68BA7003"/>
    <w:rsid w:val="6B06551D"/>
    <w:rsid w:val="6C281E78"/>
    <w:rsid w:val="6C307E68"/>
    <w:rsid w:val="6C920572"/>
    <w:rsid w:val="6DB227E4"/>
    <w:rsid w:val="6DBE1759"/>
    <w:rsid w:val="6DC31ECB"/>
    <w:rsid w:val="6E307289"/>
    <w:rsid w:val="6E656845"/>
    <w:rsid w:val="6F471F5D"/>
    <w:rsid w:val="6F8E74DB"/>
    <w:rsid w:val="70836CF8"/>
    <w:rsid w:val="70CF07C8"/>
    <w:rsid w:val="710F157A"/>
    <w:rsid w:val="71840FD7"/>
    <w:rsid w:val="718C3480"/>
    <w:rsid w:val="721D56A4"/>
    <w:rsid w:val="72F3401B"/>
    <w:rsid w:val="731416B4"/>
    <w:rsid w:val="73712518"/>
    <w:rsid w:val="738A0204"/>
    <w:rsid w:val="738E7AB2"/>
    <w:rsid w:val="73EF0074"/>
    <w:rsid w:val="74624F7D"/>
    <w:rsid w:val="74B72A06"/>
    <w:rsid w:val="7546516B"/>
    <w:rsid w:val="75AF555B"/>
    <w:rsid w:val="763204BA"/>
    <w:rsid w:val="767D2F83"/>
    <w:rsid w:val="769534B1"/>
    <w:rsid w:val="76F3488A"/>
    <w:rsid w:val="77281C38"/>
    <w:rsid w:val="7741229E"/>
    <w:rsid w:val="77ED040B"/>
    <w:rsid w:val="781828A1"/>
    <w:rsid w:val="781C3DC0"/>
    <w:rsid w:val="78780B98"/>
    <w:rsid w:val="788E06C1"/>
    <w:rsid w:val="78D76423"/>
    <w:rsid w:val="78D86E43"/>
    <w:rsid w:val="79566D81"/>
    <w:rsid w:val="79E02BD8"/>
    <w:rsid w:val="7A102859"/>
    <w:rsid w:val="7A216207"/>
    <w:rsid w:val="7A2B55F9"/>
    <w:rsid w:val="7A3458D0"/>
    <w:rsid w:val="7A4B048B"/>
    <w:rsid w:val="7A7C35B8"/>
    <w:rsid w:val="7A96669D"/>
    <w:rsid w:val="7AC70013"/>
    <w:rsid w:val="7B672810"/>
    <w:rsid w:val="7B681B66"/>
    <w:rsid w:val="7B974C80"/>
    <w:rsid w:val="7C561F60"/>
    <w:rsid w:val="7C6B2EC5"/>
    <w:rsid w:val="7C831CEC"/>
    <w:rsid w:val="7DDF7DDD"/>
    <w:rsid w:val="7E300909"/>
    <w:rsid w:val="7E71278A"/>
    <w:rsid w:val="7EC84C80"/>
    <w:rsid w:val="7EF55FF4"/>
    <w:rsid w:val="7F0627ED"/>
    <w:rsid w:val="7FA92DB9"/>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2"/>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0"/>
    <w:qFormat/>
    <w:uiPriority w:val="0"/>
    <w:rPr>
      <w:sz w:val="18"/>
      <w:szCs w:val="18"/>
    </w:rPr>
  </w:style>
  <w:style w:type="paragraph" w:styleId="10">
    <w:name w:val="footer"/>
    <w:basedOn w:val="1"/>
    <w:link w:val="29"/>
    <w:qFormat/>
    <w:uiPriority w:val="0"/>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3"/>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Char"/>
    <w:basedOn w:val="15"/>
    <w:link w:val="11"/>
    <w:qFormat/>
    <w:uiPriority w:val="0"/>
    <w:rPr>
      <w:rFonts w:asciiTheme="minorHAnsi" w:hAnsiTheme="minorHAnsi" w:eastAsiaTheme="minorEastAsia" w:cstheme="minorBidi"/>
      <w:kern w:val="2"/>
      <w:sz w:val="18"/>
      <w:szCs w:val="18"/>
    </w:rPr>
  </w:style>
  <w:style w:type="character" w:customStyle="1" w:styleId="29">
    <w:name w:val="页脚 Char"/>
    <w:basedOn w:val="15"/>
    <w:link w:val="10"/>
    <w:qFormat/>
    <w:uiPriority w:val="0"/>
    <w:rPr>
      <w:rFonts w:asciiTheme="minorHAnsi" w:hAnsiTheme="minorHAnsi" w:eastAsiaTheme="minorEastAsia" w:cstheme="minorBidi"/>
      <w:kern w:val="2"/>
      <w:sz w:val="18"/>
      <w:szCs w:val="18"/>
    </w:rPr>
  </w:style>
  <w:style w:type="character" w:customStyle="1" w:styleId="30">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2"/>
    <w:qFormat/>
    <w:uiPriority w:val="0"/>
    <w:rPr>
      <w:rFonts w:ascii="宋体" w:hAnsi="Courier New"/>
      <w:kern w:val="2"/>
      <w:sz w:val="21"/>
      <w:szCs w:val="21"/>
    </w:rPr>
  </w:style>
  <w:style w:type="character" w:customStyle="1" w:styleId="33">
    <w:name w:val="正文首行缩进 Char"/>
    <w:basedOn w:val="15"/>
    <w:link w:val="13"/>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39">
    <w:name w:val="题注4"/>
    <w:qFormat/>
    <w:uiPriority w:val="0"/>
    <w:pPr>
      <w:framePr w:wrap="around" w:vAnchor="margin" w:hAnchor="text" w:yAlign="top"/>
      <w:widowControl w:val="0"/>
      <w:jc w:val="center"/>
    </w:pPr>
    <w:rPr>
      <w:rFonts w:hint="eastAsia" w:ascii="Arial Unicode MS" w:hAnsi="Arial Unicode MS" w:eastAsia="Arial Unicode MS" w:cs="Arial Unicode MS"/>
      <w:color w:val="000000"/>
      <w:kern w:val="2"/>
      <w:sz w:val="18"/>
      <w:szCs w:val="18"/>
      <w:u w:color="000000"/>
      <w:lang w:val="en-US" w:eastAsia="zh-CN" w:bidi="ar-SA"/>
    </w:rPr>
  </w:style>
  <w:style w:type="paragraph" w:customStyle="1" w:styleId="40">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15615</Words>
  <Characters>16480</Characters>
  <Lines>131</Lines>
  <Paragraphs>37</Paragraphs>
  <TotalTime>9</TotalTime>
  <ScaleCrop>false</ScaleCrop>
  <LinksUpToDate>false</LinksUpToDate>
  <CharactersWithSpaces>17493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2022-09-15T08:05:00Z</cp:lastPrinted>
  <dcterms:modified xsi:type="dcterms:W3CDTF">2022-09-20T05:35:45Z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6F8842E353744852BDC4E3C1A0BD38D3</vt:lpwstr>
  </property>
</Properties>
</file>