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eastAsia="zh-CN"/>
        </w:rPr>
        <w:t>南沙湿地景区竹构项目（观鸟塔、观鸟亭、湿地之眼）施工总承包</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广州南沙湿地旅游发展有限公司</w:t>
      </w:r>
      <w:r>
        <w:rPr>
          <w:rFonts w:hint="eastAsia" w:ascii="宋体" w:hAnsi="宋体" w:eastAsia="宋体" w:cs="宋体"/>
          <w:b/>
          <w:color w:val="auto"/>
          <w:sz w:val="32"/>
          <w:szCs w:val="32"/>
          <w:highlight w:val="none"/>
        </w:rPr>
        <w:t>（业主单位）</w:t>
      </w:r>
    </w:p>
    <w:p>
      <w:pPr>
        <w:spacing w:line="360" w:lineRule="auto"/>
        <w:ind w:firstLine="2445" w:firstLineChars="761"/>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rPr>
        <w:t>广州南沙建设维护管理有限公司（建设管理单位）</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期：2022年</w:t>
      </w:r>
      <w:r>
        <w:rPr>
          <w:rFonts w:hint="eastAsia" w:ascii="宋体" w:hAnsi="宋体" w:eastAsia="宋体" w:cs="宋体"/>
          <w:b/>
          <w:color w:val="auto"/>
          <w:sz w:val="32"/>
          <w:szCs w:val="32"/>
          <w:highlight w:val="none"/>
          <w:lang w:val="en-US" w:eastAsia="zh-CN"/>
        </w:rPr>
        <w:t>9月</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3"/>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28</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35</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rPr>
              <w:color w:val="auto"/>
              <w:highlight w:val="none"/>
            </w:rPr>
          </w:pPr>
          <w:r>
            <w:rPr>
              <w:rFonts w:hint="eastAsia" w:asciiTheme="minorEastAsia" w:hAnsiTheme="minorEastAsia" w:cstheme="minorEastAsia"/>
              <w:color w:val="auto"/>
              <w:sz w:val="24"/>
              <w:highlight w:val="none"/>
            </w:rPr>
            <w:fldChar w:fldCharType="end"/>
          </w:r>
        </w:p>
      </w:sdtContent>
    </w:sdt>
    <w:p>
      <w:pPr>
        <w:pStyle w:val="14"/>
        <w:widowControl/>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13302"/>
      <w:r>
        <w:rPr>
          <w:rFonts w:hint="eastAsia" w:ascii="黑体" w:hAnsi="宋体" w:cs="黑体"/>
          <w:b/>
          <w:color w:val="auto"/>
          <w:kern w:val="44"/>
          <w:sz w:val="44"/>
          <w:szCs w:val="44"/>
          <w:highlight w:val="none"/>
        </w:rPr>
        <w:t>第1章 投标须知及前附表</w:t>
      </w:r>
      <w:bookmarkEnd w:id="2"/>
      <w:bookmarkEnd w:id="3"/>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5"/>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cs="宋体"/>
                <w:color w:val="auto"/>
                <w:highlight w:val="none"/>
                <w:u w:val="none"/>
                <w:lang w:eastAsia="zh-CN"/>
              </w:rPr>
              <w:t>南沙湿地景区竹构项目（观鸟塔、观鸟亭、湿地之眼）</w:t>
            </w:r>
            <w:r>
              <w:rPr>
                <w:rFonts w:hint="eastAsia" w:ascii="宋体" w:hAnsi="宋体" w:eastAsia="宋体" w:cs="宋体"/>
                <w:color w:val="auto"/>
                <w:highlight w:val="none"/>
                <w:u w:val="none"/>
                <w:lang w:eastAsia="zh-CN"/>
              </w:rPr>
              <w:t>施工总承包</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cs="宋体"/>
                <w:color w:val="auto"/>
                <w:highlight w:val="none"/>
              </w:rPr>
            </w:pPr>
            <w:r>
              <w:rPr>
                <w:rFonts w:hint="eastAsia" w:ascii="宋体" w:hAnsi="宋体" w:cs="宋体"/>
                <w:color w:val="auto"/>
                <w:highlight w:val="none"/>
              </w:rPr>
              <w:t>2</w:t>
            </w:r>
          </w:p>
          <w:p>
            <w:pPr>
              <w:pStyle w:val="14"/>
              <w:widowControl/>
              <w:spacing w:after="0" w:line="440" w:lineRule="exact"/>
              <w:ind w:firstLine="0"/>
              <w:jc w:val="center"/>
              <w:rPr>
                <w:rFonts w:ascii="宋体" w:hAnsi="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rPr>
              <w:t>广州市南沙区</w:t>
            </w:r>
            <w:r>
              <w:rPr>
                <w:rFonts w:hint="eastAsia" w:ascii="宋体" w:hAnsi="宋体" w:eastAsia="宋体" w:cs="宋体"/>
                <w:color w:val="auto"/>
                <w:sz w:val="21"/>
                <w:szCs w:val="21"/>
                <w:highlight w:val="none"/>
                <w:u w:val="none"/>
                <w:lang w:eastAsia="zh-CN"/>
              </w:rPr>
              <w:t>湿地公园景区</w:t>
            </w:r>
            <w:r>
              <w:rPr>
                <w:rFonts w:hint="eastAsia" w:ascii="宋体" w:hAnsi="宋体" w:cs="宋体"/>
                <w:color w:val="auto"/>
                <w:sz w:val="21"/>
                <w:szCs w:val="21"/>
                <w:highlight w:val="none"/>
                <w:u w:val="none"/>
                <w:lang w:val="en-US" w:eastAsia="zh-CN"/>
              </w:rPr>
              <w:t>一</w:t>
            </w:r>
            <w:r>
              <w:rPr>
                <w:rFonts w:hint="eastAsia" w:ascii="宋体" w:hAnsi="宋体" w:eastAsia="宋体" w:cs="宋体"/>
                <w:color w:val="auto"/>
                <w:sz w:val="21"/>
                <w:szCs w:val="21"/>
                <w:highlight w:val="none"/>
                <w:u w:val="none"/>
                <w:lang w:eastAsia="zh-CN"/>
              </w:rPr>
              <w:t>期内</w:t>
            </w:r>
          </w:p>
        </w:tc>
      </w:tr>
      <w:tr>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cs="宋体"/>
                <w:color w:val="auto"/>
                <w:highlight w:val="none"/>
                <w:u w:val="none"/>
                <w:lang w:eastAsia="zh-CN"/>
              </w:rPr>
            </w:pPr>
            <w:r>
              <w:rPr>
                <w:rFonts w:hint="eastAsia" w:ascii="宋体" w:hAnsi="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bCs w:val="0"/>
                <w:color w:val="auto"/>
                <w:sz w:val="21"/>
                <w:szCs w:val="21"/>
                <w:highlight w:val="none"/>
                <w:u w:val="none"/>
              </w:rPr>
              <w:t>项目</w:t>
            </w:r>
            <w:r>
              <w:rPr>
                <w:rFonts w:hint="eastAsia" w:ascii="宋体" w:hAnsi="宋体" w:eastAsia="宋体" w:cs="宋体"/>
                <w:bCs w:val="0"/>
                <w:color w:val="auto"/>
                <w:sz w:val="21"/>
                <w:szCs w:val="21"/>
                <w:highlight w:val="none"/>
                <w:u w:val="none"/>
                <w:lang w:eastAsia="zh-CN"/>
              </w:rPr>
              <w:t>拟在湿地公园景区内</w:t>
            </w:r>
            <w:r>
              <w:rPr>
                <w:rFonts w:hint="eastAsia" w:ascii="宋体" w:hAnsi="宋体" w:eastAsia="宋体" w:cs="宋体"/>
                <w:bCs w:val="0"/>
                <w:color w:val="auto"/>
                <w:sz w:val="21"/>
                <w:szCs w:val="21"/>
                <w:highlight w:val="none"/>
                <w:u w:val="none"/>
              </w:rPr>
              <w:t>建设</w:t>
            </w:r>
            <w:r>
              <w:rPr>
                <w:rFonts w:hint="eastAsia" w:ascii="宋体" w:hAnsi="宋体" w:eastAsia="宋体" w:cs="宋体"/>
                <w:bCs w:val="0"/>
                <w:color w:val="auto"/>
                <w:sz w:val="21"/>
                <w:szCs w:val="21"/>
                <w:highlight w:val="none"/>
                <w:u w:val="none"/>
                <w:lang w:val="en-US" w:eastAsia="zh-CN"/>
              </w:rPr>
              <w:t>景观节点，包括</w:t>
            </w:r>
            <w:r>
              <w:rPr>
                <w:rFonts w:hint="eastAsia" w:ascii="宋体" w:hAnsi="宋体" w:eastAsia="宋体" w:cs="宋体"/>
                <w:bCs w:val="0"/>
                <w:color w:val="auto"/>
                <w:sz w:val="21"/>
                <w:szCs w:val="21"/>
                <w:highlight w:val="none"/>
                <w:u w:val="none"/>
                <w:lang w:eastAsia="zh-CN"/>
              </w:rPr>
              <w:t>观鸟塔</w:t>
            </w:r>
            <w:r>
              <w:rPr>
                <w:rFonts w:hint="eastAsia" w:ascii="宋体" w:hAnsi="宋体" w:eastAsia="宋体" w:cs="宋体"/>
                <w:bCs w:val="0"/>
                <w:color w:val="auto"/>
                <w:sz w:val="21"/>
                <w:szCs w:val="21"/>
                <w:highlight w:val="none"/>
                <w:u w:val="none"/>
                <w:lang w:val="en-US" w:eastAsia="zh-CN"/>
              </w:rPr>
              <w:t>1座含配套栈道、</w:t>
            </w:r>
            <w:r>
              <w:rPr>
                <w:rFonts w:hint="eastAsia" w:ascii="宋体" w:hAnsi="宋体" w:eastAsia="宋体" w:cs="宋体"/>
                <w:bCs w:val="0"/>
                <w:color w:val="auto"/>
                <w:sz w:val="21"/>
                <w:szCs w:val="21"/>
                <w:highlight w:val="none"/>
                <w:u w:val="none"/>
                <w:lang w:eastAsia="zh-CN"/>
              </w:rPr>
              <w:t>观鸟亭</w:t>
            </w:r>
            <w:r>
              <w:rPr>
                <w:rFonts w:hint="eastAsia" w:ascii="宋体" w:hAnsi="宋体" w:eastAsia="宋体" w:cs="宋体"/>
                <w:bCs w:val="0"/>
                <w:color w:val="auto"/>
                <w:sz w:val="21"/>
                <w:szCs w:val="21"/>
                <w:highlight w:val="none"/>
                <w:u w:val="none"/>
                <w:lang w:val="en-US" w:eastAsia="zh-CN"/>
              </w:rPr>
              <w:t>1座及湿地之眼1座（均为</w:t>
            </w:r>
            <w:r>
              <w:rPr>
                <w:rFonts w:hint="eastAsia" w:ascii="宋体" w:hAnsi="宋体" w:cs="宋体"/>
                <w:bCs w:val="0"/>
                <w:color w:val="auto"/>
                <w:sz w:val="21"/>
                <w:szCs w:val="21"/>
                <w:highlight w:val="none"/>
                <w:u w:val="none"/>
                <w:lang w:val="en-US" w:eastAsia="zh-CN"/>
              </w:rPr>
              <w:t>竹</w:t>
            </w:r>
            <w:r>
              <w:rPr>
                <w:rFonts w:hint="eastAsia" w:ascii="宋体" w:hAnsi="宋体" w:eastAsia="宋体" w:cs="宋体"/>
                <w:bCs w:val="0"/>
                <w:color w:val="auto"/>
                <w:sz w:val="21"/>
                <w:szCs w:val="21"/>
                <w:highlight w:val="none"/>
                <w:u w:val="none"/>
                <w:lang w:val="en-US" w:eastAsia="zh-CN"/>
              </w:rPr>
              <w:t>结构建筑），提升湿地景区景观，丰富游客体验感，打造湿地特色网红景观点</w:t>
            </w:r>
            <w:r>
              <w:rPr>
                <w:rFonts w:hint="eastAsia" w:ascii="宋体" w:hAnsi="宋体" w:eastAsia="宋体" w:cs="宋体"/>
                <w:b w:val="0"/>
                <w:bCs w:val="0"/>
                <w:color w:val="auto"/>
                <w:sz w:val="21"/>
                <w:szCs w:val="21"/>
                <w:highlight w:val="none"/>
                <w:u w:val="none"/>
                <w:lang w:val="en-US" w:eastAsia="zh-CN"/>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highlight w:val="none"/>
                <w:u w:val="none"/>
                <w:lang w:eastAsia="zh-CN"/>
              </w:rPr>
            </w:pPr>
            <w:r>
              <w:rPr>
                <w:rFonts w:hint="eastAsia" w:hAnsi="宋体" w:cs="宋体"/>
                <w:color w:val="auto"/>
                <w:kern w:val="2"/>
                <w:sz w:val="21"/>
                <w:szCs w:val="21"/>
                <w:highlight w:val="none"/>
                <w:u w:val="none"/>
                <w:lang w:val="en-US" w:eastAsia="zh-CN" w:bidi="ar-SA"/>
              </w:rPr>
              <w:t>综合单价包干，绿色施工安全防护措施费总价包干</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shd w:val="clear"/>
                <w:lang w:eastAsia="zh-CN"/>
              </w:rPr>
              <w:t>总投资约</w:t>
            </w:r>
            <w:r>
              <w:rPr>
                <w:rFonts w:hint="eastAsia" w:ascii="宋体" w:hAnsi="宋体" w:cs="宋体"/>
                <w:color w:val="auto"/>
                <w:sz w:val="21"/>
                <w:szCs w:val="21"/>
                <w:highlight w:val="none"/>
                <w:u w:val="none"/>
                <w:lang w:val="en-US" w:eastAsia="zh-CN"/>
              </w:rPr>
              <w:t>393</w:t>
            </w:r>
            <w:r>
              <w:rPr>
                <w:rFonts w:hint="eastAsia" w:ascii="宋体" w:hAnsi="宋体" w:eastAsia="宋体" w:cs="宋体"/>
                <w:color w:val="auto"/>
                <w:sz w:val="21"/>
                <w:szCs w:val="21"/>
                <w:highlight w:val="none"/>
                <w:u w:val="none"/>
              </w:rPr>
              <w:t>万元</w:t>
            </w:r>
            <w:r>
              <w:rPr>
                <w:rFonts w:hint="eastAsia" w:ascii="宋体" w:hAnsi="宋体" w:eastAsia="宋体" w:cs="宋体"/>
                <w:color w:val="auto"/>
                <w:sz w:val="21"/>
                <w:szCs w:val="21"/>
                <w:highlight w:val="none"/>
                <w:u w:val="none"/>
                <w:lang w:eastAsia="zh-CN"/>
              </w:rPr>
              <w:t>。</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shd w:val="clear" w:color="auto" w:fill="auto"/>
                <w:lang w:bidi="ar-SA"/>
              </w:rPr>
              <w:t>工程质量符合国家验收规范，达到合格标准</w:t>
            </w:r>
            <w:r>
              <w:rPr>
                <w:rFonts w:hint="eastAsia" w:ascii="宋体" w:hAnsi="宋体" w:eastAsia="宋体" w:cs="宋体"/>
                <w:bCs w:val="0"/>
                <w:color w:val="auto"/>
                <w:kern w:val="2"/>
                <w:sz w:val="21"/>
                <w:szCs w:val="21"/>
                <w:highlight w:val="none"/>
                <w:shd w:val="clear" w:color="auto" w:fill="auto"/>
                <w:lang w:eastAsia="zh-CN" w:bidi="ar-SA"/>
              </w:rPr>
              <w:t>。</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20" w:lineRule="exact"/>
              <w:ind w:firstLine="0"/>
              <w:jc w:val="center"/>
              <w:rPr>
                <w:rFonts w:hint="eastAsia" w:ascii="宋体" w:hAnsi="宋体" w:cs="宋体"/>
                <w:color w:val="auto"/>
                <w:highlight w:val="none"/>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20" w:lineRule="exact"/>
              <w:ind w:firstLine="0"/>
              <w:jc w:val="center"/>
              <w:rPr>
                <w:rFonts w:hint="eastAsia" w:ascii="宋体" w:hAnsi="宋体" w:cs="宋体"/>
                <w:color w:val="auto"/>
                <w:highlight w:val="none"/>
              </w:rPr>
            </w:pPr>
            <w:r>
              <w:rPr>
                <w:rFonts w:hint="eastAsia" w:ascii="宋体" w:hAnsi="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line="320" w:lineRule="exact"/>
              <w:ind w:firstLine="0"/>
              <w:rPr>
                <w:rFonts w:hint="eastAsia" w:ascii="宋体" w:hAnsi="宋体" w:eastAsia="宋体" w:cs="宋体"/>
                <w:color w:val="auto"/>
                <w:kern w:val="2"/>
                <w:sz w:val="21"/>
                <w:szCs w:val="21"/>
                <w:highlight w:val="none"/>
                <w:u w:val="none"/>
                <w:shd w:val="clear" w:color="auto" w:fill="auto"/>
                <w:lang w:val="en-US" w:eastAsia="zh-CN" w:bidi="ar-SA"/>
              </w:rPr>
            </w:pPr>
            <w:r>
              <w:rPr>
                <w:rFonts w:hint="eastAsia" w:ascii="宋体" w:hAnsi="宋体" w:eastAsia="宋体" w:cs="宋体"/>
                <w:color w:val="auto"/>
                <w:kern w:val="2"/>
                <w:sz w:val="21"/>
                <w:szCs w:val="21"/>
                <w:highlight w:val="none"/>
                <w:shd w:val="clear" w:color="auto" w:fill="auto"/>
              </w:rPr>
              <w:t>招标图纸及工程量清单范围内施工专业承包（承包人需按发包人要求施工，根据现场实际情况施工，设计图纸有调整时，必须服从要求调整）</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shd w:val="clear" w:color="auto" w:fill="auto"/>
                <w:lang w:val="en-US" w:eastAsia="zh-CN" w:bidi="ar-SA"/>
              </w:rPr>
            </w:pPr>
            <w:r>
              <w:rPr>
                <w:rFonts w:hint="eastAsia" w:ascii="宋体" w:hAnsi="宋体" w:eastAsia="宋体" w:cs="宋体"/>
                <w:color w:val="auto"/>
                <w:sz w:val="21"/>
                <w:szCs w:val="21"/>
                <w:highlight w:val="none"/>
                <w:shd w:val="clear" w:color="auto" w:fill="auto"/>
              </w:rPr>
              <w:t>2022年</w:t>
            </w:r>
            <w:r>
              <w:rPr>
                <w:rFonts w:hint="eastAsia" w:ascii="宋体" w:hAnsi="宋体" w:eastAsia="宋体" w:cs="宋体"/>
                <w:color w:val="auto"/>
                <w:sz w:val="21"/>
                <w:szCs w:val="21"/>
                <w:highlight w:val="none"/>
                <w:shd w:val="clear" w:color="auto" w:fill="auto"/>
                <w:lang w:val="en-US" w:eastAsia="zh-CN"/>
              </w:rPr>
              <w:t>12月25日</w:t>
            </w:r>
            <w:r>
              <w:rPr>
                <w:rFonts w:hint="eastAsia" w:ascii="宋体" w:hAnsi="宋体" w:eastAsia="宋体" w:cs="宋体"/>
                <w:color w:val="auto"/>
                <w:sz w:val="21"/>
                <w:szCs w:val="21"/>
                <w:highlight w:val="none"/>
                <w:shd w:val="clear" w:color="auto" w:fill="auto"/>
              </w:rPr>
              <w:t>前完工</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kern w:val="2"/>
                <w:sz w:val="21"/>
                <w:szCs w:val="21"/>
                <w:highlight w:val="none"/>
                <w:u w:val="none"/>
                <w:shd w:val="clear" w:color="auto" w:fill="auto"/>
                <w:lang w:val="en-US" w:eastAsia="zh-CN" w:bidi="ar-SA"/>
              </w:rPr>
            </w:pPr>
            <w:r>
              <w:rPr>
                <w:rFonts w:hint="eastAsia" w:ascii="宋体" w:hAnsi="宋体" w:eastAsia="宋体" w:cs="宋体"/>
                <w:color w:val="auto"/>
                <w:kern w:val="2"/>
                <w:sz w:val="21"/>
                <w:szCs w:val="21"/>
                <w:highlight w:val="none"/>
                <w:u w:val="none"/>
                <w:shd w:val="clear" w:color="auto" w:fill="auto"/>
                <w:lang w:val="en-US" w:eastAsia="zh-CN" w:bidi="ar-SA"/>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kern w:val="2"/>
                <w:sz w:val="21"/>
                <w:szCs w:val="21"/>
                <w:highlight w:val="none"/>
                <w:u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rPr>
              <w:t>投标人</w:t>
            </w:r>
            <w:r>
              <w:rPr>
                <w:rFonts w:hint="eastAsia" w:ascii="宋体" w:hAnsi="宋体" w:eastAsia="宋体" w:cs="宋体"/>
                <w:bCs w:val="0"/>
                <w:color w:val="auto"/>
                <w:kern w:val="2"/>
                <w:sz w:val="21"/>
                <w:szCs w:val="21"/>
                <w:highlight w:val="none"/>
                <w:shd w:val="clear" w:color="auto" w:fill="auto"/>
                <w:lang w:eastAsia="zh-CN"/>
              </w:rPr>
              <w:t>具有</w:t>
            </w:r>
            <w:r>
              <w:rPr>
                <w:rFonts w:hint="eastAsia" w:ascii="宋体" w:hAnsi="宋体" w:eastAsia="宋体" w:cs="宋体"/>
                <w:color w:val="auto"/>
                <w:sz w:val="21"/>
                <w:szCs w:val="21"/>
                <w:highlight w:val="none"/>
                <w:u w:val="none"/>
                <w:shd w:val="clear" w:color="auto" w:fill="auto"/>
              </w:rPr>
              <w:t>建筑工程专业承包</w:t>
            </w:r>
            <w:r>
              <w:rPr>
                <w:rFonts w:hint="eastAsia" w:ascii="宋体" w:hAnsi="宋体" w:cs="宋体"/>
                <w:color w:val="auto"/>
                <w:sz w:val="21"/>
                <w:szCs w:val="21"/>
                <w:highlight w:val="none"/>
                <w:u w:val="none"/>
                <w:shd w:val="clear" w:color="auto" w:fill="auto"/>
                <w:lang w:eastAsia="zh-CN"/>
              </w:rPr>
              <w:t>三</w:t>
            </w:r>
            <w:r>
              <w:rPr>
                <w:rFonts w:hint="eastAsia" w:ascii="宋体" w:hAnsi="宋体" w:eastAsia="宋体" w:cs="宋体"/>
                <w:color w:val="auto"/>
                <w:sz w:val="21"/>
                <w:szCs w:val="21"/>
                <w:highlight w:val="none"/>
                <w:u w:val="none"/>
                <w:shd w:val="clear" w:color="auto" w:fill="auto"/>
              </w:rPr>
              <w:t>级或以上资质（以资质证书许可范围为准，须在有效期内），并具有建设行政主管部门颁发的安全生产许可证</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rPr>
                <w:rFonts w:hint="eastAsia" w:ascii="宋体" w:hAnsi="宋体" w:eastAsia="宋体" w:cs="宋体"/>
                <w:color w:val="auto"/>
                <w:kern w:val="2"/>
                <w:sz w:val="21"/>
                <w:szCs w:val="21"/>
                <w:highlight w:val="none"/>
                <w:u w:val="none"/>
                <w:shd w:val="clear" w:color="auto" w:fill="auto"/>
                <w:lang w:val="en-US" w:eastAsia="zh-CN" w:bidi="ar-SA"/>
              </w:rPr>
            </w:pPr>
            <w:r>
              <w:rPr>
                <w:rFonts w:hint="eastAsia" w:ascii="宋体" w:hAnsi="宋体" w:eastAsia="宋体" w:cs="宋体"/>
                <w:color w:val="auto"/>
                <w:kern w:val="2"/>
                <w:sz w:val="21"/>
                <w:szCs w:val="21"/>
                <w:highlight w:val="none"/>
                <w:u w:val="none"/>
                <w:shd w:val="clear" w:color="auto" w:fill="auto"/>
                <w:lang w:val="en-US" w:eastAsia="zh-CN" w:bidi="ar-SA"/>
              </w:rPr>
              <w:t>不接受联合体投标。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服务人员的专业配套要求</w:t>
            </w:r>
          </w:p>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20" w:lineRule="exact"/>
              <w:ind w:firstLine="0" w:firstLineChars="0"/>
              <w:rPr>
                <w:rFonts w:hint="eastAsia" w:ascii="宋体" w:hAnsi="宋体" w:eastAsia="宋体" w:cs="宋体"/>
                <w:b w:val="0"/>
                <w:bCs w:val="0"/>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1、</w:t>
            </w:r>
            <w:r>
              <w:rPr>
                <w:rFonts w:hint="eastAsia" w:ascii="宋体" w:hAnsi="宋体" w:eastAsia="宋体" w:cs="宋体"/>
                <w:color w:val="auto"/>
                <w:sz w:val="21"/>
                <w:szCs w:val="21"/>
                <w:highlight w:val="none"/>
                <w:shd w:val="clear" w:color="auto" w:fill="auto"/>
              </w:rPr>
              <w:t>投标</w:t>
            </w:r>
            <w:r>
              <w:rPr>
                <w:rFonts w:hint="eastAsia" w:ascii="宋体" w:hAnsi="宋体" w:eastAsia="宋体" w:cs="宋体"/>
                <w:color w:val="auto"/>
                <w:sz w:val="21"/>
                <w:szCs w:val="21"/>
                <w:highlight w:val="none"/>
                <w:shd w:val="clear" w:color="auto" w:fill="auto"/>
                <w:lang w:eastAsia="zh-CN"/>
              </w:rPr>
              <w:t>人</w:t>
            </w:r>
            <w:r>
              <w:rPr>
                <w:rFonts w:hint="eastAsia" w:ascii="宋体" w:hAnsi="宋体" w:eastAsia="宋体" w:cs="宋体"/>
                <w:color w:val="auto"/>
                <w:sz w:val="21"/>
                <w:szCs w:val="21"/>
                <w:highlight w:val="none"/>
                <w:shd w:val="clear" w:color="auto" w:fill="auto"/>
              </w:rPr>
              <w:t>委派的项目负责人</w:t>
            </w:r>
            <w:r>
              <w:rPr>
                <w:rFonts w:hint="eastAsia" w:ascii="宋体" w:hAnsi="宋体" w:eastAsia="宋体" w:cs="宋体"/>
                <w:color w:val="auto"/>
                <w:sz w:val="21"/>
                <w:szCs w:val="21"/>
                <w:highlight w:val="none"/>
                <w:shd w:val="clear" w:color="auto" w:fill="auto"/>
                <w:lang w:eastAsia="zh-CN"/>
              </w:rPr>
              <w:t>为</w:t>
            </w:r>
            <w:r>
              <w:rPr>
                <w:rFonts w:hint="eastAsia" w:ascii="宋体" w:hAnsi="宋体" w:eastAsia="宋体" w:cs="宋体"/>
                <w:color w:val="auto"/>
                <w:sz w:val="21"/>
                <w:szCs w:val="21"/>
                <w:highlight w:val="none"/>
                <w:u w:val="none"/>
                <w:shd w:val="clear" w:color="auto" w:fill="auto"/>
              </w:rPr>
              <w:t>建筑工程专业二级（或以上）注册建造师，且在投标人单位注册</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b w:val="0"/>
                <w:bCs w:val="0"/>
                <w:color w:val="auto"/>
                <w:sz w:val="21"/>
                <w:szCs w:val="21"/>
                <w:highlight w:val="none"/>
                <w:shd w:val="clear" w:color="auto" w:fill="auto"/>
              </w:rPr>
              <w:t>项目负责人</w:t>
            </w:r>
            <w:r>
              <w:rPr>
                <w:rFonts w:hint="eastAsia" w:ascii="宋体" w:hAnsi="宋体" w:eastAsia="宋体" w:cs="宋体"/>
                <w:color w:val="auto"/>
                <w:sz w:val="21"/>
                <w:szCs w:val="21"/>
                <w:highlight w:val="none"/>
                <w:u w:val="none"/>
                <w:shd w:val="clear" w:color="auto" w:fill="auto"/>
              </w:rPr>
              <w:t>持有安全培训考核合格证（B类）或建筑施工企业项目负责人安全生产考核合格证书</w:t>
            </w:r>
            <w:r>
              <w:rPr>
                <w:rFonts w:hint="eastAsia" w:ascii="宋体" w:hAnsi="宋体" w:eastAsia="宋体" w:cs="宋体"/>
                <w:b w:val="0"/>
                <w:bCs w:val="0"/>
                <w:color w:val="auto"/>
                <w:sz w:val="21"/>
                <w:szCs w:val="21"/>
                <w:highlight w:val="none"/>
                <w:shd w:val="clear" w:color="auto" w:fill="auto"/>
              </w:rPr>
              <w:t>。</w:t>
            </w:r>
          </w:p>
          <w:p>
            <w:pPr>
              <w:widowControl/>
              <w:spacing w:line="320" w:lineRule="exact"/>
              <w:ind w:firstLine="0" w:firstLineChars="0"/>
              <w:rPr>
                <w:rFonts w:hint="eastAsia"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2、</w:t>
            </w:r>
            <w:r>
              <w:rPr>
                <w:rFonts w:hint="eastAsia" w:ascii="宋体" w:hAnsi="宋体" w:eastAsia="宋体" w:cs="宋体"/>
                <w:color w:val="auto"/>
                <w:sz w:val="21"/>
                <w:szCs w:val="21"/>
                <w:highlight w:val="none"/>
                <w:shd w:val="clear" w:color="auto" w:fill="auto"/>
              </w:rPr>
              <w:t>投标</w:t>
            </w:r>
            <w:r>
              <w:rPr>
                <w:rFonts w:hint="eastAsia" w:ascii="宋体" w:hAnsi="宋体" w:eastAsia="宋体" w:cs="宋体"/>
                <w:color w:val="auto"/>
                <w:sz w:val="21"/>
                <w:szCs w:val="21"/>
                <w:highlight w:val="none"/>
                <w:shd w:val="clear" w:color="auto" w:fill="auto"/>
                <w:lang w:eastAsia="zh-CN"/>
              </w:rPr>
              <w:t>人</w:t>
            </w:r>
            <w:r>
              <w:rPr>
                <w:rFonts w:hint="eastAsia" w:ascii="宋体" w:hAnsi="宋体" w:eastAsia="宋体" w:cs="宋体"/>
                <w:color w:val="auto"/>
                <w:sz w:val="21"/>
                <w:szCs w:val="21"/>
                <w:highlight w:val="none"/>
                <w:shd w:val="clear" w:color="auto" w:fill="auto"/>
              </w:rPr>
              <w:t>委派的</w:t>
            </w:r>
            <w:r>
              <w:rPr>
                <w:rFonts w:hint="eastAsia" w:ascii="宋体" w:hAnsi="宋体" w:eastAsia="宋体" w:cs="宋体"/>
                <w:color w:val="auto"/>
                <w:sz w:val="21"/>
                <w:szCs w:val="21"/>
                <w:highlight w:val="none"/>
                <w:shd w:val="clear" w:color="auto" w:fill="auto"/>
                <w:lang w:eastAsia="zh-CN"/>
              </w:rPr>
              <w:t>技术</w:t>
            </w:r>
            <w:r>
              <w:rPr>
                <w:rFonts w:hint="eastAsia" w:ascii="宋体" w:hAnsi="宋体" w:eastAsia="宋体" w:cs="宋体"/>
                <w:color w:val="auto"/>
                <w:sz w:val="21"/>
                <w:szCs w:val="21"/>
                <w:highlight w:val="none"/>
                <w:shd w:val="clear" w:color="auto" w:fill="auto"/>
              </w:rPr>
              <w:t>负责人</w:t>
            </w:r>
            <w:r>
              <w:rPr>
                <w:rFonts w:hint="eastAsia" w:ascii="宋体" w:hAnsi="宋体" w:eastAsia="宋体" w:cs="宋体"/>
                <w:color w:val="auto"/>
                <w:sz w:val="21"/>
                <w:szCs w:val="21"/>
                <w:highlight w:val="none"/>
                <w:shd w:val="clear" w:color="auto" w:fill="auto"/>
                <w:lang w:eastAsia="zh-CN"/>
              </w:rPr>
              <w:t>具有</w:t>
            </w:r>
            <w:r>
              <w:rPr>
                <w:rFonts w:hint="eastAsia" w:ascii="宋体" w:hAnsi="宋体" w:eastAsia="宋体" w:cs="宋体"/>
                <w:color w:val="auto"/>
                <w:sz w:val="21"/>
                <w:szCs w:val="21"/>
                <w:highlight w:val="none"/>
                <w:u w:val="none"/>
                <w:shd w:val="clear" w:color="auto" w:fill="auto"/>
              </w:rPr>
              <w:t>具备建筑工程相关专业中级工程师或以上职称</w:t>
            </w:r>
            <w:r>
              <w:rPr>
                <w:rFonts w:hint="eastAsia" w:ascii="宋体" w:hAnsi="宋体" w:eastAsia="宋体" w:cs="宋体"/>
                <w:color w:val="auto"/>
                <w:sz w:val="21"/>
                <w:szCs w:val="21"/>
                <w:highlight w:val="none"/>
                <w:shd w:val="clear" w:color="auto" w:fill="auto"/>
                <w:lang w:eastAsia="zh-CN"/>
              </w:rPr>
              <w:t>。项目负责人和技术负责人不能为同一人。</w:t>
            </w:r>
          </w:p>
          <w:p>
            <w:pPr>
              <w:widowControl/>
              <w:spacing w:line="320" w:lineRule="exact"/>
              <w:ind w:firstLine="0" w:firstLineChars="0"/>
              <w:rPr>
                <w:rFonts w:hint="eastAsia" w:ascii="宋体" w:hAnsi="宋体" w:eastAsia="宋体" w:cs="宋体"/>
                <w:color w:val="auto"/>
                <w:szCs w:val="21"/>
                <w:highlight w:val="none"/>
                <w:u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3、</w:t>
            </w:r>
            <w:r>
              <w:rPr>
                <w:rFonts w:hint="eastAsia" w:ascii="宋体" w:hAnsi="宋体" w:eastAsia="宋体" w:cs="宋体"/>
                <w:b w:val="0"/>
                <w:bCs w:val="0"/>
                <w:color w:val="auto"/>
                <w:sz w:val="21"/>
                <w:szCs w:val="21"/>
                <w:highlight w:val="none"/>
                <w:shd w:val="clear" w:color="auto" w:fill="auto"/>
              </w:rPr>
              <w:t>专职安全员须具有</w:t>
            </w:r>
            <w:r>
              <w:rPr>
                <w:rFonts w:hint="eastAsia" w:ascii="宋体" w:hAnsi="宋体" w:eastAsia="宋体" w:cs="宋体"/>
                <w:color w:val="auto"/>
                <w:sz w:val="21"/>
                <w:szCs w:val="21"/>
                <w:highlight w:val="none"/>
                <w:u w:val="none"/>
                <w:shd w:val="clear" w:color="auto" w:fill="auto"/>
              </w:rPr>
              <w:t>安全生产考核合格证（C类）</w:t>
            </w:r>
            <w:r>
              <w:rPr>
                <w:rFonts w:hint="eastAsia" w:ascii="宋体" w:hAnsi="宋体" w:eastAsia="宋体" w:cs="宋体"/>
                <w:color w:val="auto"/>
                <w:kern w:val="2"/>
                <w:sz w:val="21"/>
                <w:szCs w:val="21"/>
                <w:highlight w:val="none"/>
                <w:u w:val="none"/>
                <w:shd w:val="clear" w:color="auto" w:fill="auto"/>
              </w:rPr>
              <w:t>或建筑施工企业专职安全生产管理人员安全生产考核合格证书</w:t>
            </w:r>
            <w:r>
              <w:rPr>
                <w:rFonts w:hint="eastAsia" w:ascii="宋体" w:hAnsi="宋体" w:eastAsia="宋体" w:cs="宋体"/>
                <w:b w:val="0"/>
                <w:bCs w:val="0"/>
                <w:color w:val="auto"/>
                <w:sz w:val="21"/>
                <w:szCs w:val="21"/>
                <w:highlight w:val="none"/>
                <w:shd w:val="clear" w:color="auto" w:fill="auto"/>
                <w:lang w:eastAsia="zh-CN"/>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Autospacing="0" w:after="0"/>
              <w:ind w:firstLine="0"/>
              <w:jc w:val="center"/>
              <w:rPr>
                <w:rFonts w:ascii="宋体" w:hAnsi="宋体" w:cs="宋体"/>
                <w:color w:val="auto"/>
                <w:highlight w:val="none"/>
              </w:rPr>
            </w:pPr>
            <w:r>
              <w:rPr>
                <w:rFonts w:hint="eastAsia" w:ascii="宋体" w:hAnsi="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Autospacing="0" w:after="0"/>
              <w:ind w:left="-59" w:leftChars="-28" w:right="-59" w:rightChars="-28" w:firstLine="0"/>
              <w:jc w:val="center"/>
              <w:rPr>
                <w:rFonts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440" w:lineRule="exact"/>
              <w:ind w:left="-59" w:leftChars="-28" w:right="-44" w:rightChars="-21" w:firstLine="0"/>
              <w:jc w:val="center"/>
              <w:rPr>
                <w:rFonts w:ascii="宋体" w:hAnsi="宋体" w:cs="宋体"/>
                <w:color w:val="auto"/>
                <w:highlight w:val="none"/>
              </w:rPr>
            </w:pPr>
            <w:r>
              <w:rPr>
                <w:rFonts w:hint="eastAsia" w:ascii="宋体" w:hAnsi="宋体" w:cs="宋体"/>
                <w:color w:val="auto"/>
                <w:highlight w:val="none"/>
                <w:lang w:val="en-US" w:eastAsia="zh-CN"/>
              </w:rPr>
              <w:t>招标控制价及承包</w:t>
            </w:r>
            <w:r>
              <w:rPr>
                <w:rFonts w:hint="eastAsia" w:ascii="宋体" w:hAnsi="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widowControl/>
              <w:numPr>
                <w:ilvl w:val="0"/>
                <w:numId w:val="1"/>
              </w:numPr>
              <w:spacing w:line="360" w:lineRule="auto"/>
              <w:ind w:firstLine="0" w:firstLineChars="0"/>
              <w:rPr>
                <w:rFonts w:hint="eastAsia"/>
                <w:color w:val="auto"/>
                <w:highlight w:val="none"/>
                <w:lang w:val="en-US" w:eastAsia="zh-CN"/>
              </w:rPr>
            </w:pPr>
            <w:r>
              <w:rPr>
                <w:rFonts w:hint="eastAsia" w:ascii="宋体" w:hAnsi="Courier New" w:eastAsia="宋体" w:cs="Times New Roman"/>
                <w:color w:val="auto"/>
                <w:sz w:val="21"/>
                <w:szCs w:val="21"/>
                <w:highlight w:val="none"/>
              </w:rPr>
              <w:t>招标控制价为</w:t>
            </w:r>
            <w:r>
              <w:rPr>
                <w:rFonts w:hint="eastAsia" w:ascii="宋体" w:hAnsi="Courier New" w:eastAsia="宋体" w:cs="Times New Roman"/>
                <w:color w:val="auto"/>
                <w:sz w:val="21"/>
                <w:szCs w:val="21"/>
                <w:highlight w:val="none"/>
                <w:lang w:val="en-US" w:eastAsia="zh-CN"/>
              </w:rPr>
              <w:t>¥</w:t>
            </w:r>
            <w:r>
              <w:rPr>
                <w:rFonts w:hint="eastAsia" w:ascii="宋体" w:hAnsi="Courier New" w:eastAsia="宋体" w:cs="Times New Roman"/>
                <w:b w:val="0"/>
                <w:bCs w:val="0"/>
                <w:color w:val="auto"/>
                <w:sz w:val="21"/>
                <w:szCs w:val="21"/>
                <w:highlight w:val="none"/>
                <w:lang w:val="en-US" w:eastAsia="zh-CN"/>
              </w:rPr>
              <w:t>2452841.62</w:t>
            </w:r>
            <w:r>
              <w:rPr>
                <w:rFonts w:hint="eastAsia" w:ascii="宋体" w:hAnsi="Courier New" w:eastAsia="宋体" w:cs="Times New Roman"/>
                <w:color w:val="auto"/>
                <w:sz w:val="21"/>
                <w:szCs w:val="21"/>
                <w:highlight w:val="none"/>
              </w:rPr>
              <w:t>元</w:t>
            </w:r>
            <w:r>
              <w:rPr>
                <w:rFonts w:hint="eastAsia" w:ascii="宋体" w:hAnsi="Courier New" w:eastAsia="宋体" w:cs="Times New Roman"/>
                <w:color w:val="auto"/>
                <w:sz w:val="21"/>
                <w:szCs w:val="21"/>
                <w:highlight w:val="none"/>
                <w:lang w:eastAsia="zh-CN"/>
              </w:rPr>
              <w:t>（大写：人民币</w:t>
            </w:r>
            <w:r>
              <w:rPr>
                <w:rFonts w:hint="eastAsia" w:ascii="宋体" w:hAnsi="Courier New" w:eastAsia="宋体" w:cs="Times New Roman"/>
                <w:color w:val="auto"/>
                <w:sz w:val="21"/>
                <w:szCs w:val="21"/>
                <w:highlight w:val="none"/>
                <w:lang w:val="en-US" w:eastAsia="zh-CN"/>
              </w:rPr>
              <w:t>贰佰肆拾伍万贰仟捌佰肆拾壹元陆角贰分</w:t>
            </w:r>
            <w:r>
              <w:rPr>
                <w:rFonts w:hint="eastAsia" w:ascii="宋体" w:hAnsi="Courier New" w:eastAsia="宋体" w:cs="Times New Roman"/>
                <w:color w:val="auto"/>
                <w:sz w:val="21"/>
                <w:szCs w:val="21"/>
                <w:highlight w:val="none"/>
                <w:lang w:eastAsia="zh-CN"/>
              </w:rPr>
              <w:t>），其中，</w:t>
            </w:r>
            <w:r>
              <w:rPr>
                <w:rFonts w:hint="eastAsia" w:ascii="宋体" w:hAnsi="Courier New" w:eastAsia="宋体" w:cs="Times New Roman"/>
                <w:bCs w:val="0"/>
                <w:color w:val="auto"/>
                <w:sz w:val="21"/>
                <w:szCs w:val="21"/>
                <w:highlight w:val="none"/>
                <w:u w:val="none"/>
                <w:lang w:eastAsia="zh-CN"/>
              </w:rPr>
              <w:t>绿色施工安全防护措施费为</w:t>
            </w:r>
            <w:r>
              <w:rPr>
                <w:rFonts w:hint="eastAsia" w:ascii="宋体" w:hAnsi="Courier New" w:eastAsia="宋体" w:cs="Times New Roman"/>
                <w:color w:val="auto"/>
                <w:sz w:val="21"/>
                <w:szCs w:val="21"/>
                <w:highlight w:val="none"/>
                <w:lang w:val="en-US" w:eastAsia="zh-CN"/>
              </w:rPr>
              <w:t>¥</w:t>
            </w:r>
            <w:r>
              <w:rPr>
                <w:rFonts w:hint="eastAsia" w:ascii="宋体" w:hAnsi="Courier New" w:eastAsia="宋体" w:cs="Times New Roman"/>
                <w:bCs w:val="0"/>
                <w:color w:val="auto"/>
                <w:sz w:val="21"/>
                <w:szCs w:val="21"/>
                <w:highlight w:val="none"/>
                <w:u w:val="none"/>
                <w:lang w:val="en-US" w:eastAsia="zh-CN"/>
              </w:rPr>
              <w:t>169070.46元（固定值），其他项目费中的专业工程暂估价为</w:t>
            </w:r>
            <w:r>
              <w:rPr>
                <w:rFonts w:hint="eastAsia" w:ascii="宋体" w:hAnsi="Courier New" w:eastAsia="宋体" w:cs="Times New Roman"/>
                <w:color w:val="auto"/>
                <w:sz w:val="21"/>
                <w:szCs w:val="21"/>
                <w:highlight w:val="none"/>
                <w:lang w:val="en-US" w:eastAsia="zh-CN"/>
              </w:rPr>
              <w:t>¥</w:t>
            </w:r>
            <w:r>
              <w:rPr>
                <w:rFonts w:hint="eastAsia" w:ascii="宋体" w:hAnsi="Courier New" w:eastAsia="宋体" w:cs="Times New Roman"/>
                <w:bCs w:val="0"/>
                <w:color w:val="auto"/>
                <w:sz w:val="21"/>
                <w:szCs w:val="21"/>
                <w:highlight w:val="none"/>
                <w:u w:val="none"/>
                <w:lang w:val="en-US" w:eastAsia="zh-CN"/>
              </w:rPr>
              <w:t>110000.00元（固定值）</w:t>
            </w:r>
            <w:r>
              <w:rPr>
                <w:rFonts w:hint="eastAsia" w:ascii="宋体" w:hAnsi="Courier New" w:eastAsia="宋体" w:cs="Times New Roman"/>
                <w:color w:val="auto"/>
                <w:sz w:val="21"/>
                <w:szCs w:val="21"/>
                <w:highlight w:val="none"/>
                <w:lang w:eastAsia="zh-CN"/>
              </w:rPr>
              <w:t>。</w:t>
            </w:r>
            <w:r>
              <w:rPr>
                <w:rFonts w:hint="eastAsia"/>
                <w:color w:val="auto"/>
                <w:highlight w:val="none"/>
                <w:lang w:val="en-US" w:eastAsia="zh-CN"/>
              </w:rPr>
              <w:t>投标单位自行报价，投标报价不能超过招标控制价，否则按废标处理）。（小数点后保留二位小数，第三位小数四舍五入）</w:t>
            </w:r>
          </w:p>
          <w:p>
            <w:pPr>
              <w:numPr>
                <w:ilvl w:val="0"/>
                <w:numId w:val="1"/>
              </w:numPr>
              <w:rPr>
                <w:rFonts w:hint="eastAsia"/>
                <w:color w:val="auto"/>
                <w:highlight w:val="none"/>
                <w:lang w:val="en-US" w:eastAsia="zh-CN"/>
              </w:rPr>
            </w:pPr>
            <w:r>
              <w:rPr>
                <w:rFonts w:hint="eastAsia" w:hAnsi="宋体" w:cs="宋体"/>
                <w:color w:val="auto"/>
                <w:kern w:val="2"/>
                <w:sz w:val="21"/>
                <w:szCs w:val="21"/>
                <w:highlight w:val="none"/>
                <w:u w:val="none"/>
                <w:lang w:val="en-US" w:eastAsia="zh-CN" w:bidi="ar-SA"/>
              </w:rPr>
              <w:t>项目采取综合单价包干，绿色施工安全防护措施费总价包干形式。</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spacing w:val="-4"/>
                <w:highlight w:val="none"/>
              </w:rPr>
            </w:pPr>
            <w:r>
              <w:rPr>
                <w:rFonts w:hint="eastAsia" w:ascii="宋体" w:hAnsi="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1、金额：人民币</w:t>
            </w:r>
            <w:r>
              <w:rPr>
                <w:rFonts w:hint="eastAsia" w:ascii="宋体" w:hAnsi="宋体" w:eastAsia="宋体" w:cs="宋体"/>
                <w:color w:val="auto"/>
                <w:sz w:val="21"/>
                <w:szCs w:val="21"/>
                <w:highlight w:val="none"/>
                <w:lang w:val="en-US" w:eastAsia="zh-CN"/>
              </w:rPr>
              <w:t>壹万</w:t>
            </w:r>
            <w:r>
              <w:rPr>
                <w:rFonts w:hint="eastAsia" w:ascii="宋体" w:hAnsi="宋体" w:eastAsia="宋体" w:cs="宋体"/>
                <w:color w:val="auto"/>
                <w:sz w:val="21"/>
                <w:szCs w:val="21"/>
                <w:highlight w:val="none"/>
              </w:rPr>
              <w:t>元。</w:t>
            </w:r>
          </w:p>
          <w:p>
            <w:pPr>
              <w:numPr>
                <w:ilvl w:val="-1"/>
                <w:numId w:val="0"/>
              </w:numPr>
              <w:adjustRightInd w:val="0"/>
              <w:snapToGri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2、缴纳方式：</w:t>
            </w:r>
            <w:r>
              <w:rPr>
                <w:rFonts w:hint="eastAsia" w:ascii="宋体" w:hAnsi="宋体" w:eastAsia="宋体" w:cs="宋体"/>
                <w:color w:val="auto"/>
                <w:sz w:val="21"/>
                <w:szCs w:val="21"/>
                <w:highlight w:val="none"/>
                <w:lang w:eastAsia="zh-CN"/>
              </w:rPr>
              <w:t>银行转账。</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账户名称：广州南沙建设维护管理有限公司</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开户银行：中国工商银行广东自由贸易试验区南沙分行</w:t>
            </w:r>
            <w:r>
              <w:rPr>
                <w:rFonts w:hint="eastAsia" w:ascii="宋体" w:hAnsi="宋体" w:eastAsia="宋体" w:cs="宋体"/>
                <w:color w:val="auto"/>
                <w:sz w:val="21"/>
                <w:szCs w:val="21"/>
                <w:highlight w:val="none"/>
                <w:lang w:val="en-US" w:eastAsia="zh-CN"/>
              </w:rPr>
              <w:t xml:space="preserve"> </w:t>
            </w:r>
          </w:p>
          <w:p>
            <w:pPr>
              <w:numPr>
                <w:ilvl w:val="-1"/>
                <w:numId w:val="0"/>
              </w:numPr>
              <w:adjustRightInd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账号：3602056909200030855</w:t>
            </w:r>
          </w:p>
          <w:p>
            <w:pPr>
              <w:numPr>
                <w:ilvl w:val="0"/>
                <w:numId w:val="2"/>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rPr>
              <w:t>缴纳时间：投标单位须在</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9月28</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12</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前</w:t>
            </w:r>
            <w:r>
              <w:rPr>
                <w:rFonts w:hint="eastAsia" w:ascii="宋体" w:hAnsi="宋体" w:eastAsia="宋体" w:cs="宋体"/>
                <w:color w:val="auto"/>
                <w:sz w:val="21"/>
                <w:szCs w:val="21"/>
                <w:highlight w:val="none"/>
              </w:rPr>
              <w:t>以投标人转出【以招标单位查询的信息为准，汇款时备注：</w:t>
            </w:r>
            <w:r>
              <w:rPr>
                <w:rFonts w:hint="eastAsia" w:ascii="宋体" w:hAnsi="宋体" w:eastAsia="宋体" w:cs="宋体"/>
                <w:color w:val="auto"/>
                <w:szCs w:val="21"/>
                <w:highlight w:val="none"/>
                <w:u w:val="none"/>
                <w:lang w:eastAsia="zh-CN"/>
              </w:rPr>
              <w:t>南沙湿地景区竹构项目（观鸟塔、观鸟亭、湿地之眼）施工总承包</w:t>
            </w:r>
            <w:r>
              <w:rPr>
                <w:rFonts w:hint="eastAsia" w:ascii="宋体" w:hAnsi="宋体" w:eastAsia="宋体" w:cs="宋体"/>
                <w:color w:val="auto"/>
                <w:sz w:val="21"/>
                <w:szCs w:val="21"/>
                <w:highlight w:val="none"/>
              </w:rPr>
              <w:t>投标保证金】</w:t>
            </w:r>
          </w:p>
          <w:p>
            <w:pPr>
              <w:numPr>
                <w:ilvl w:val="-1"/>
                <w:numId w:val="0"/>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440" w:lineRule="exact"/>
              <w:ind w:left="-46" w:leftChars="-22" w:right="-59" w:rightChars="-28" w:firstLine="0"/>
              <w:jc w:val="center"/>
              <w:rPr>
                <w:rFonts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1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1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收件人：李工，66806279</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提交地点：广州市南沙区金融大厦1807会议室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9月29</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上午09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9月29</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上午09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r>
              <w:rPr>
                <w:rFonts w:hint="eastAsia" w:ascii="宋体" w:hAnsi="宋体" w:eastAsia="宋体" w:cs="宋体"/>
                <w:color w:val="auto"/>
                <w:kern w:val="2"/>
                <w:sz w:val="21"/>
                <w:szCs w:val="21"/>
                <w:highlight w:val="none"/>
                <w:u w:val="none"/>
                <w:lang w:val="en-US" w:eastAsia="zh-CN" w:bidi="ar-SA"/>
              </w:rPr>
              <w:t>前。</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9月29</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上午09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地点：广州市南沙区金融大厦1807会议室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4"/>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综合评分法</w:t>
            </w:r>
          </w:p>
        </w:tc>
      </w:tr>
    </w:tbl>
    <w:p>
      <w:pPr>
        <w:spacing w:line="240" w:lineRule="auto"/>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spacing w:line="240" w:lineRule="auto"/>
        <w:jc w:val="left"/>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广州南沙湿地旅游发展有限公司</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南沙建设维护管理有限公司。</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 xml:space="preserve">南沙建设维护管理有限公司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14"/>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val="en-US"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4"/>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日前，招标人可对招标文件进行必要的澄清或修改。</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4"/>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11.6项目负责人职称证</w:t>
      </w:r>
      <w:r>
        <w:rPr>
          <w:rFonts w:hint="eastAsia" w:ascii="宋体" w:hAnsi="宋体" w:eastAsia="宋体" w:cs="宋体"/>
          <w:color w:val="auto"/>
          <w:sz w:val="24"/>
          <w:highlight w:val="none"/>
          <w:lang w:eastAsia="zh-CN"/>
        </w:rPr>
        <w:t>、资格证</w:t>
      </w:r>
      <w:r>
        <w:rPr>
          <w:rFonts w:hint="eastAsia" w:ascii="宋体" w:hAnsi="宋体" w:eastAsia="宋体" w:cs="宋体"/>
          <w:color w:val="auto"/>
          <w:sz w:val="24"/>
          <w:highlight w:val="none"/>
        </w:rPr>
        <w:t>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项目负责人相关经验及业绩（按招标文件第3章格式填写）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报价表。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技术标文件（独立成册）。</w:t>
      </w:r>
    </w:p>
    <w:p>
      <w:pPr>
        <w:pStyle w:val="9"/>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3</w:t>
      </w:r>
      <w:r>
        <w:rPr>
          <w:rFonts w:hAnsi="宋体" w:cs="宋体"/>
          <w:color w:val="auto"/>
          <w:sz w:val="24"/>
          <w:highlight w:val="none"/>
        </w:rPr>
        <w:t xml:space="preserve"> 投标文件电子版（刻录光盘</w:t>
      </w:r>
      <w:r>
        <w:rPr>
          <w:rFonts w:hint="eastAsia" w:hAnsi="宋体" w:cs="宋体"/>
          <w:color w:val="auto"/>
          <w:sz w:val="24"/>
          <w:highlight w:val="none"/>
          <w:lang w:eastAsia="zh-CN"/>
        </w:rPr>
        <w:t>或提供</w:t>
      </w:r>
      <w:r>
        <w:rPr>
          <w:rFonts w:hint="eastAsia" w:hAnsi="宋体" w:cs="宋体"/>
          <w:color w:val="auto"/>
          <w:sz w:val="24"/>
          <w:highlight w:val="none"/>
          <w:lang w:val="en-US" w:eastAsia="zh-CN"/>
        </w:rPr>
        <w:t>U盘</w:t>
      </w:r>
      <w:r>
        <w:rPr>
          <w:rFonts w:hAnsi="宋体" w:cs="宋体"/>
          <w:color w:val="auto"/>
          <w:sz w:val="24"/>
          <w:highlight w:val="none"/>
        </w:rPr>
        <w:t>）</w:t>
      </w:r>
      <w:r>
        <w:rPr>
          <w:rFonts w:hint="eastAsia" w:hAnsi="宋体" w:cs="宋体"/>
          <w:color w:val="auto"/>
          <w:sz w:val="24"/>
          <w:highlight w:val="none"/>
          <w:lang w:eastAsia="zh-CN"/>
        </w:rPr>
        <w:t>。</w:t>
      </w:r>
    </w:p>
    <w:p>
      <w:pPr>
        <w:pStyle w:val="9"/>
        <w:ind w:firstLine="480" w:firstLineChars="200"/>
        <w:rPr>
          <w:rFonts w:hint="eastAsia" w:hAnsi="宋体" w:cs="宋体"/>
          <w:color w:val="auto"/>
          <w:sz w:val="24"/>
          <w:highlight w:val="none"/>
          <w:lang w:val="en-US" w:eastAsia="zh-CN"/>
        </w:rPr>
      </w:pPr>
      <w:r>
        <w:rPr>
          <w:rFonts w:hint="eastAsia" w:hAnsi="宋体" w:cs="宋体"/>
          <w:color w:val="auto"/>
          <w:sz w:val="24"/>
          <w:highlight w:val="none"/>
          <w:lang w:val="en-US" w:eastAsia="zh-CN"/>
        </w:rPr>
        <w:t>11.14投标申请人声明。</w:t>
      </w:r>
    </w:p>
    <w:p>
      <w:pPr>
        <w:pStyle w:val="9"/>
        <w:ind w:firstLine="480" w:firstLineChars="200"/>
        <w:rPr>
          <w:rFonts w:hint="eastAsia" w:ascii="宋体" w:hAnsi="宋体" w:cs="宋体"/>
          <w:color w:val="auto"/>
          <w:sz w:val="24"/>
          <w:highlight w:val="none"/>
          <w:lang w:eastAsia="zh-CN"/>
        </w:rPr>
      </w:pPr>
      <w:r>
        <w:rPr>
          <w:rFonts w:hint="eastAsia" w:hAnsi="宋体" w:cs="宋体"/>
          <w:color w:val="auto"/>
          <w:sz w:val="24"/>
          <w:highlight w:val="none"/>
          <w:lang w:val="en-US" w:eastAsia="zh-CN"/>
        </w:rPr>
        <w:t>11.15</w:t>
      </w:r>
      <w:r>
        <w:rPr>
          <w:rFonts w:hint="eastAsia" w:ascii="宋体" w:hAnsi="宋体" w:cs="宋体"/>
          <w:color w:val="auto"/>
          <w:sz w:val="24"/>
          <w:highlight w:val="none"/>
          <w:lang w:eastAsia="zh-CN"/>
        </w:rPr>
        <w:t>施工组织方案</w:t>
      </w:r>
      <w:r>
        <w:rPr>
          <w:rFonts w:hint="eastAsia" w:hAnsi="宋体" w:cs="宋体"/>
          <w:color w:val="auto"/>
          <w:sz w:val="24"/>
          <w:highlight w:val="none"/>
          <w:lang w:eastAsia="zh-CN"/>
        </w:rPr>
        <w:t>。</w:t>
      </w:r>
    </w:p>
    <w:p>
      <w:pPr>
        <w:pStyle w:val="9"/>
        <w:ind w:firstLine="480" w:firstLineChars="200"/>
        <w:rPr>
          <w:rFonts w:hint="default" w:hAnsi="宋体" w:eastAsia="宋体" w:cs="宋体"/>
          <w:color w:val="auto"/>
          <w:sz w:val="24"/>
          <w:highlight w:val="none"/>
          <w:lang w:val="en-US" w:eastAsia="zh-CN"/>
        </w:rPr>
      </w:pPr>
      <w:r>
        <w:rPr>
          <w:rFonts w:hint="eastAsia" w:hAnsi="宋体" w:cs="宋体"/>
          <w:color w:val="auto"/>
          <w:sz w:val="24"/>
          <w:highlight w:val="none"/>
          <w:lang w:val="en-US" w:eastAsia="zh-CN"/>
        </w:rPr>
        <w:t>11.16投标人认为需要提供的其他文件。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招标控制价，否则按废标处理</w:t>
      </w:r>
      <w:r>
        <w:rPr>
          <w:rFonts w:hint="eastAsia" w:ascii="宋体" w:hAnsi="宋体" w:cs="宋体"/>
          <w:color w:val="auto"/>
          <w:sz w:val="24"/>
          <w:szCs w:val="24"/>
          <w:highlight w:val="none"/>
        </w:rPr>
        <w:t>。（小数点后保留二位小数，第三位小数四舍五入）</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4"/>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4"/>
        <w:widowControl/>
        <w:numPr>
          <w:ilvl w:val="0"/>
          <w:numId w:val="3"/>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14"/>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4" w:name="_Toc1632"/>
      <w:bookmarkStart w:id="5" w:name="_Toc27492"/>
      <w:bookmarkStart w:id="41" w:name="_GoBack"/>
      <w:bookmarkEnd w:id="41"/>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rPr>
          <w:color w:val="auto"/>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第2章 项目需求书</w:t>
      </w:r>
      <w:bookmarkEnd w:id="4"/>
    </w:p>
    <w:p>
      <w:pPr>
        <w:rPr>
          <w:rFonts w:ascii="宋体" w:hAnsi="宋体" w:eastAsia="宋体" w:cs="宋体"/>
          <w:b/>
          <w:color w:val="auto"/>
          <w:sz w:val="30"/>
          <w:szCs w:val="30"/>
          <w:highlight w:val="none"/>
        </w:rPr>
      </w:pPr>
    </w:p>
    <w:p>
      <w:pPr>
        <w:numPr>
          <w:ilvl w:val="0"/>
          <w:numId w:val="4"/>
        </w:numPr>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项目概况</w:t>
      </w:r>
    </w:p>
    <w:p>
      <w:pPr>
        <w:numPr>
          <w:ilvl w:val="0"/>
          <w:numId w:val="0"/>
        </w:numPr>
        <w:ind w:firstLine="640" w:firstLineChars="200"/>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bCs/>
          <w:color w:val="auto"/>
          <w:sz w:val="32"/>
          <w:szCs w:val="32"/>
          <w:highlight w:val="none"/>
        </w:rPr>
        <w:t>项目</w:t>
      </w:r>
      <w:r>
        <w:rPr>
          <w:rFonts w:hint="eastAsia" w:ascii="仿宋_GB2312" w:hAnsi="仿宋_GB2312" w:eastAsia="仿宋_GB2312" w:cs="仿宋_GB2312"/>
          <w:bCs/>
          <w:color w:val="auto"/>
          <w:sz w:val="32"/>
          <w:szCs w:val="32"/>
          <w:highlight w:val="none"/>
          <w:lang w:eastAsia="zh-CN"/>
        </w:rPr>
        <w:t>拟在湿地公园景区内</w:t>
      </w:r>
      <w:r>
        <w:rPr>
          <w:rFonts w:hint="eastAsia" w:ascii="仿宋_GB2312" w:hAnsi="仿宋_GB2312" w:eastAsia="仿宋_GB2312" w:cs="仿宋_GB2312"/>
          <w:bCs/>
          <w:color w:val="auto"/>
          <w:sz w:val="32"/>
          <w:szCs w:val="32"/>
          <w:highlight w:val="none"/>
        </w:rPr>
        <w:t>建设</w:t>
      </w:r>
      <w:r>
        <w:rPr>
          <w:rFonts w:hint="eastAsia" w:ascii="仿宋_GB2312" w:hAnsi="仿宋_GB2312" w:eastAsia="仿宋_GB2312" w:cs="仿宋_GB2312"/>
          <w:bCs/>
          <w:color w:val="auto"/>
          <w:sz w:val="32"/>
          <w:szCs w:val="32"/>
          <w:highlight w:val="none"/>
          <w:lang w:val="en-US" w:eastAsia="zh-CN"/>
        </w:rPr>
        <w:t>景观节点，包括</w:t>
      </w:r>
      <w:r>
        <w:rPr>
          <w:rFonts w:hint="eastAsia" w:ascii="仿宋_GB2312" w:hAnsi="仿宋_GB2312" w:eastAsia="仿宋_GB2312" w:cs="仿宋_GB2312"/>
          <w:bCs/>
          <w:color w:val="auto"/>
          <w:sz w:val="32"/>
          <w:szCs w:val="32"/>
          <w:highlight w:val="none"/>
          <w:lang w:eastAsia="zh-CN"/>
        </w:rPr>
        <w:t>观鸟塔</w:t>
      </w:r>
      <w:r>
        <w:rPr>
          <w:rFonts w:hint="eastAsia" w:ascii="仿宋_GB2312" w:hAnsi="仿宋_GB2312" w:eastAsia="仿宋_GB2312" w:cs="仿宋_GB2312"/>
          <w:bCs/>
          <w:color w:val="auto"/>
          <w:sz w:val="32"/>
          <w:szCs w:val="32"/>
          <w:highlight w:val="none"/>
          <w:lang w:val="en-US" w:eastAsia="zh-CN"/>
        </w:rPr>
        <w:t>1座含配套栈道、</w:t>
      </w:r>
      <w:r>
        <w:rPr>
          <w:rFonts w:hint="eastAsia" w:ascii="仿宋_GB2312" w:hAnsi="仿宋_GB2312" w:eastAsia="仿宋_GB2312" w:cs="仿宋_GB2312"/>
          <w:bCs/>
          <w:color w:val="auto"/>
          <w:sz w:val="32"/>
          <w:szCs w:val="32"/>
          <w:highlight w:val="none"/>
          <w:lang w:eastAsia="zh-CN"/>
        </w:rPr>
        <w:t>观鸟亭</w:t>
      </w:r>
      <w:r>
        <w:rPr>
          <w:rFonts w:hint="eastAsia" w:ascii="仿宋_GB2312" w:hAnsi="仿宋_GB2312" w:eastAsia="仿宋_GB2312" w:cs="仿宋_GB2312"/>
          <w:bCs/>
          <w:color w:val="auto"/>
          <w:sz w:val="32"/>
          <w:szCs w:val="32"/>
          <w:highlight w:val="none"/>
          <w:lang w:val="en-US" w:eastAsia="zh-CN"/>
        </w:rPr>
        <w:t>1座及湿地之眼1座（均为竹结构建筑），提升湿地景区景观，丰富游客体验感，打造湿地特色网红景观点</w:t>
      </w:r>
      <w:r>
        <w:rPr>
          <w:rFonts w:hint="eastAsia" w:ascii="仿宋_GB2312" w:hAnsi="仿宋_GB2312" w:eastAsia="仿宋_GB2312" w:cs="仿宋_GB2312"/>
          <w:b w:val="0"/>
          <w:bCs/>
          <w:color w:val="auto"/>
          <w:sz w:val="32"/>
          <w:szCs w:val="32"/>
          <w:highlight w:val="none"/>
          <w:lang w:val="en-US" w:eastAsia="zh-CN"/>
        </w:rPr>
        <w:t>。项目总投资</w:t>
      </w:r>
      <w:r>
        <w:rPr>
          <w:rFonts w:hint="eastAsia" w:ascii="仿宋_GB2312" w:hAnsi="仿宋_GB2312" w:eastAsia="仿宋_GB2312" w:cs="仿宋_GB2312"/>
          <w:bCs/>
          <w:color w:val="auto"/>
          <w:sz w:val="32"/>
          <w:szCs w:val="32"/>
          <w:highlight w:val="none"/>
          <w:lang w:val="en-US" w:eastAsia="zh-CN"/>
        </w:rPr>
        <w:t>约人民币393</w:t>
      </w:r>
      <w:r>
        <w:rPr>
          <w:rFonts w:hint="eastAsia" w:ascii="仿宋_GB2312" w:hAnsi="仿宋_GB2312" w:eastAsia="仿宋_GB2312" w:cs="仿宋_GB2312"/>
          <w:bCs/>
          <w:color w:val="auto"/>
          <w:sz w:val="32"/>
          <w:szCs w:val="32"/>
          <w:highlight w:val="none"/>
        </w:rPr>
        <w:t>万元</w:t>
      </w:r>
      <w:r>
        <w:rPr>
          <w:rFonts w:hint="eastAsia" w:ascii="仿宋_GB2312" w:hAnsi="仿宋_GB2312" w:eastAsia="仿宋_GB2312" w:cs="仿宋_GB2312"/>
          <w:bCs/>
          <w:color w:val="auto"/>
          <w:sz w:val="32"/>
          <w:szCs w:val="32"/>
          <w:highlight w:val="none"/>
          <w:lang w:eastAsia="zh-CN"/>
        </w:rPr>
        <w:t>。</w:t>
      </w:r>
    </w:p>
    <w:p>
      <w:pPr>
        <w:numPr>
          <w:ilvl w:val="0"/>
          <w:numId w:val="0"/>
        </w:numPr>
        <w:ind w:firstLine="0" w:firstLineChars="0"/>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二、招标范围</w:t>
      </w:r>
    </w:p>
    <w:p>
      <w:pPr>
        <w:pStyle w:val="9"/>
        <w:ind w:firstLine="640" w:firstLineChars="200"/>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招标图纸及工程量清单范围内施工专业承包（承包人需按发包人要求施工，根据现场实际情况施工，设计图纸有调整时，必须服从要求调整）。</w:t>
      </w:r>
    </w:p>
    <w:p>
      <w:pPr>
        <w:numPr>
          <w:ilvl w:val="0"/>
          <w:numId w:val="0"/>
        </w:numPr>
        <w:rPr>
          <w:rFonts w:hint="eastAsia" w:ascii="仿宋_GB2312" w:hAnsi="仿宋_GB2312" w:eastAsia="仿宋_GB2312" w:cs="仿宋_GB2312"/>
          <w:b/>
          <w:color w:val="auto"/>
          <w:kern w:val="0"/>
          <w:sz w:val="32"/>
          <w:szCs w:val="32"/>
          <w:highlight w:val="none"/>
          <w:lang w:eastAsia="zh-CN"/>
        </w:rPr>
      </w:pPr>
      <w:r>
        <w:rPr>
          <w:rFonts w:hint="eastAsia" w:ascii="仿宋_GB2312" w:hAnsi="仿宋_GB2312" w:eastAsia="仿宋_GB2312" w:cs="仿宋_GB2312"/>
          <w:b/>
          <w:color w:val="auto"/>
          <w:kern w:val="0"/>
          <w:sz w:val="32"/>
          <w:szCs w:val="32"/>
          <w:highlight w:val="none"/>
          <w:lang w:eastAsia="zh-CN"/>
        </w:rPr>
        <w:t>三、技术要求</w:t>
      </w:r>
    </w:p>
    <w:p>
      <w:pPr>
        <w:pStyle w:val="2"/>
        <w:numPr>
          <w:ilvl w:val="0"/>
          <w:numId w:val="5"/>
        </w:numPr>
        <w:spacing w:before="0" w:after="0" w:line="360" w:lineRule="auto"/>
        <w:ind w:firstLine="0" w:firstLineChars="0"/>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所用竹材采用毛竹或材性相近的竹种，并应符合下列规定：</w:t>
      </w:r>
    </w:p>
    <w:p>
      <w:pPr>
        <w:pStyle w:val="2"/>
        <w:numPr>
          <w:ilvl w:val="0"/>
          <w:numId w:val="6"/>
        </w:numPr>
        <w:spacing w:line="360" w:lineRule="auto"/>
        <w:ind w:firstLine="0" w:firstLineChars="0"/>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主要承重构件应采用平直、无开裂、无腐朽和</w:t>
      </w:r>
      <w:r>
        <w:rPr>
          <w:rFonts w:hint="eastAsia" w:ascii="仿宋_GB2312" w:hAnsi="仿宋_GB2312" w:eastAsia="仿宋_GB2312" w:cs="仿宋_GB2312"/>
          <w:b w:val="0"/>
          <w:bCs/>
          <w:color w:val="auto"/>
          <w:kern w:val="2"/>
          <w:sz w:val="32"/>
          <w:szCs w:val="32"/>
          <w:highlight w:val="none"/>
          <w:lang w:val="en-US" w:eastAsia="zh-CN" w:bidi="ar"/>
        </w:rPr>
        <w:t>无其他缺陷（如表面虫蛀和虫眼）的圆竹。</w:t>
      </w:r>
    </w:p>
    <w:p>
      <w:pPr>
        <w:pStyle w:val="2"/>
        <w:numPr>
          <w:ilvl w:val="0"/>
          <w:numId w:val="6"/>
        </w:numPr>
        <w:spacing w:before="0" w:after="0" w:line="360" w:lineRule="auto"/>
        <w:ind w:firstLine="0" w:firstLineChars="0"/>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主要承重构件应采取竹材中上段，竹龄不得小于4年，平均直径为50mm，上下端直径偏差不得超过10mm，竹壳厚度5mm以上的圆竹，并应经过防腐处理，自然晾干；</w:t>
      </w:r>
    </w:p>
    <w:p>
      <w:pPr>
        <w:pStyle w:val="2"/>
        <w:numPr>
          <w:ilvl w:val="0"/>
          <w:numId w:val="6"/>
        </w:numPr>
        <w:spacing w:before="0" w:after="0" w:line="360" w:lineRule="auto"/>
        <w:ind w:firstLine="0" w:firstLineChars="0"/>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圆竹的含水率宜为8%～12%，与当地气候带年平均平衡含水率规定的偏差不应超过+3%；</w:t>
      </w:r>
    </w:p>
    <w:p>
      <w:pPr>
        <w:pStyle w:val="2"/>
        <w:numPr>
          <w:ilvl w:val="0"/>
          <w:numId w:val="6"/>
        </w:numPr>
        <w:spacing w:before="0" w:after="0" w:line="360" w:lineRule="auto"/>
        <w:ind w:firstLine="0" w:firstLineChars="0"/>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圆竹应按设计要求进行防虫、防腐和脱糖处理，并提供处理证明材料；</w:t>
      </w:r>
    </w:p>
    <w:p>
      <w:pPr>
        <w:pStyle w:val="2"/>
        <w:numPr>
          <w:ilvl w:val="0"/>
          <w:numId w:val="5"/>
        </w:numPr>
        <w:spacing w:before="0" w:after="0" w:line="360" w:lineRule="auto"/>
        <w:ind w:firstLine="0" w:firstLineChars="0"/>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建（构）筑物的所有竹材除图纸中另有注明外，统一按下述处理：</w:t>
      </w:r>
    </w:p>
    <w:p>
      <w:pPr>
        <w:pStyle w:val="2"/>
        <w:numPr>
          <w:ilvl w:val="0"/>
          <w:numId w:val="7"/>
        </w:numPr>
        <w:spacing w:before="0" w:after="0" w:line="360" w:lineRule="auto"/>
        <w:ind w:firstLine="0" w:firstLineChars="0"/>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以水、浓度30%双氧水、水玻璃混合搅拌成药液，倒入竹材（竹材数量以全浸入溶液中为原则），加热煮沸45分钟；</w:t>
      </w:r>
    </w:p>
    <w:p>
      <w:pPr>
        <w:pStyle w:val="2"/>
        <w:numPr>
          <w:ilvl w:val="0"/>
          <w:numId w:val="7"/>
        </w:numPr>
        <w:spacing w:before="0" w:after="0" w:line="360" w:lineRule="auto"/>
        <w:ind w:firstLine="0" w:firstLineChars="0"/>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捞起后洗净晾干；</w:t>
      </w:r>
    </w:p>
    <w:p>
      <w:pPr>
        <w:pStyle w:val="2"/>
        <w:numPr>
          <w:ilvl w:val="0"/>
          <w:numId w:val="7"/>
        </w:numPr>
        <w:spacing w:before="0" w:after="0" w:line="360" w:lineRule="auto"/>
        <w:ind w:firstLine="0" w:firstLineChars="0"/>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药液连续使用时每次需增添双氧水溶液，使用5次后此液作废液处理；</w:t>
      </w:r>
    </w:p>
    <w:p>
      <w:pPr>
        <w:pStyle w:val="2"/>
        <w:numPr>
          <w:ilvl w:val="0"/>
          <w:numId w:val="7"/>
        </w:numPr>
        <w:spacing w:before="0" w:after="0" w:line="360" w:lineRule="auto"/>
        <w:ind w:firstLine="0" w:firstLineChars="0"/>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晒干后涂上清漆、熟桐油；</w:t>
      </w:r>
    </w:p>
    <w:p>
      <w:pPr>
        <w:pStyle w:val="2"/>
        <w:numPr>
          <w:ilvl w:val="0"/>
          <w:numId w:val="7"/>
        </w:numPr>
        <w:spacing w:before="0" w:after="0" w:line="360" w:lineRule="auto"/>
        <w:ind w:firstLine="0" w:firstLineChars="0"/>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经处理后竹材按正常建筑材料使用，做法按园建/结构详图处理。</w:t>
      </w:r>
    </w:p>
    <w:p>
      <w:pPr>
        <w:pStyle w:val="2"/>
        <w:numPr>
          <w:ilvl w:val="0"/>
          <w:numId w:val="5"/>
        </w:numPr>
        <w:spacing w:before="0" w:after="0" w:line="360" w:lineRule="auto"/>
        <w:ind w:firstLine="0" w:firstLineChars="0"/>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建（构）筑物的所有棕榈树皮除图纸中另有注明外，统一按下述处理：</w:t>
      </w:r>
    </w:p>
    <w:p>
      <w:pPr>
        <w:pStyle w:val="2"/>
        <w:numPr>
          <w:ilvl w:val="0"/>
          <w:numId w:val="8"/>
        </w:numPr>
        <w:spacing w:before="0" w:after="0" w:line="360" w:lineRule="auto"/>
        <w:ind w:firstLine="0" w:firstLineChars="0"/>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挑选完整无虫蛀单位，每个单元大小基本一致；</w:t>
      </w:r>
    </w:p>
    <w:p>
      <w:pPr>
        <w:pStyle w:val="2"/>
        <w:numPr>
          <w:ilvl w:val="0"/>
          <w:numId w:val="8"/>
        </w:numPr>
        <w:spacing w:before="0" w:after="0" w:line="360" w:lineRule="auto"/>
        <w:ind w:firstLine="0" w:firstLineChars="0"/>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清理树皮上异物；</w:t>
      </w:r>
    </w:p>
    <w:p>
      <w:pPr>
        <w:pStyle w:val="2"/>
        <w:numPr>
          <w:ilvl w:val="0"/>
          <w:numId w:val="8"/>
        </w:numPr>
        <w:spacing w:before="0" w:after="0" w:line="360" w:lineRule="auto"/>
        <w:ind w:firstLine="0" w:firstLineChars="0"/>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晒干后修剪成方形；</w:t>
      </w:r>
    </w:p>
    <w:p>
      <w:pPr>
        <w:pStyle w:val="2"/>
        <w:numPr>
          <w:ilvl w:val="0"/>
          <w:numId w:val="8"/>
        </w:numPr>
        <w:spacing w:before="0" w:after="0" w:line="360" w:lineRule="auto"/>
        <w:ind w:firstLine="0" w:firstLineChars="0"/>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涂上清漆、熟桐油（棕绳需桐油浸泡处理）；</w:t>
      </w:r>
    </w:p>
    <w:p>
      <w:pPr>
        <w:pStyle w:val="2"/>
        <w:numPr>
          <w:ilvl w:val="0"/>
          <w:numId w:val="8"/>
        </w:numPr>
        <w:spacing w:before="0" w:after="0" w:line="360" w:lineRule="auto"/>
        <w:ind w:firstLine="0" w:firstLineChars="0"/>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经处理后竹材按正常建筑材料使用，做法应符合相关国家及行业规范，并按园建/结构详图处理。</w:t>
      </w:r>
    </w:p>
    <w:p>
      <w:pPr>
        <w:pStyle w:val="2"/>
        <w:numPr>
          <w:ilvl w:val="0"/>
          <w:numId w:val="9"/>
        </w:numPr>
        <w:spacing w:line="360" w:lineRule="auto"/>
        <w:ind w:firstLine="0" w:firstLineChars="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质保要求</w:t>
      </w:r>
    </w:p>
    <w:p>
      <w:pPr>
        <w:pStyle w:val="2"/>
        <w:numPr>
          <w:ilvl w:val="0"/>
          <w:numId w:val="10"/>
        </w:numPr>
        <w:spacing w:line="360" w:lineRule="auto"/>
        <w:ind w:firstLine="0" w:firstLineChars="0"/>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质量保修期</w:t>
      </w:r>
      <w:r>
        <w:rPr>
          <w:rFonts w:hint="eastAsia" w:ascii="仿宋_GB2312" w:hAnsi="仿宋_GB2312" w:eastAsia="仿宋_GB2312" w:cs="仿宋_GB2312"/>
          <w:b w:val="0"/>
          <w:bCs/>
          <w:color w:val="auto"/>
          <w:sz w:val="32"/>
          <w:szCs w:val="32"/>
          <w:highlight w:val="none"/>
          <w:lang w:eastAsia="zh-CN"/>
        </w:rPr>
        <w:t>为</w:t>
      </w:r>
      <w:r>
        <w:rPr>
          <w:rFonts w:hint="eastAsia" w:ascii="仿宋_GB2312" w:hAnsi="仿宋_GB2312" w:eastAsia="仿宋_GB2312" w:cs="仿宋_GB2312"/>
          <w:b w:val="0"/>
          <w:bCs/>
          <w:color w:val="auto"/>
          <w:sz w:val="32"/>
          <w:szCs w:val="32"/>
          <w:highlight w:val="none"/>
          <w:lang w:val="en-US" w:eastAsia="zh-CN"/>
        </w:rPr>
        <w:t>2年，</w:t>
      </w:r>
      <w:r>
        <w:rPr>
          <w:rFonts w:hint="eastAsia" w:ascii="仿宋_GB2312" w:hAnsi="仿宋_GB2312" w:eastAsia="仿宋_GB2312" w:cs="仿宋_GB2312"/>
          <w:b w:val="0"/>
          <w:bCs/>
          <w:color w:val="auto"/>
          <w:sz w:val="32"/>
          <w:szCs w:val="32"/>
          <w:highlight w:val="none"/>
        </w:rPr>
        <w:t>从工程竣工验收合格之日算起。</w:t>
      </w:r>
    </w:p>
    <w:p>
      <w:pPr>
        <w:pStyle w:val="2"/>
        <w:numPr>
          <w:ilvl w:val="0"/>
          <w:numId w:val="10"/>
        </w:numPr>
        <w:spacing w:line="360" w:lineRule="auto"/>
        <w:ind w:firstLine="0" w:firstLineChars="0"/>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eastAsia="zh-CN"/>
        </w:rPr>
        <w:t>保修期内</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lang w:eastAsia="zh-CN"/>
        </w:rPr>
        <w:t>若竹结构出现霉变、变形、虫蛀、开裂等情况，</w:t>
      </w:r>
      <w:r>
        <w:rPr>
          <w:rFonts w:hint="eastAsia" w:ascii="仿宋_GB2312" w:hAnsi="仿宋_GB2312" w:eastAsia="仿宋_GB2312" w:cs="仿宋_GB2312"/>
          <w:b w:val="0"/>
          <w:bCs/>
          <w:color w:val="auto"/>
          <w:sz w:val="32"/>
          <w:szCs w:val="32"/>
          <w:highlight w:val="none"/>
        </w:rPr>
        <w:t>承包人应当在接到保修通知之日起</w:t>
      </w:r>
      <w:r>
        <w:rPr>
          <w:rFonts w:hint="eastAsia" w:ascii="仿宋_GB2312" w:hAnsi="仿宋_GB2312" w:eastAsia="仿宋_GB2312" w:cs="仿宋_GB2312"/>
          <w:b w:val="0"/>
          <w:bCs/>
          <w:color w:val="auto"/>
          <w:sz w:val="32"/>
          <w:szCs w:val="32"/>
          <w:highlight w:val="none"/>
          <w:lang w:eastAsia="zh-CN"/>
        </w:rPr>
        <w:t>1</w:t>
      </w:r>
      <w:r>
        <w:rPr>
          <w:rFonts w:hint="eastAsia" w:ascii="仿宋_GB2312" w:hAnsi="仿宋_GB2312" w:eastAsia="仿宋_GB2312" w:cs="仿宋_GB2312"/>
          <w:b w:val="0"/>
          <w:bCs/>
          <w:color w:val="auto"/>
          <w:sz w:val="32"/>
          <w:szCs w:val="32"/>
          <w:highlight w:val="none"/>
          <w:lang w:val="en-US" w:eastAsia="zh-CN"/>
        </w:rPr>
        <w:t>5</w:t>
      </w:r>
      <w:r>
        <w:rPr>
          <w:rFonts w:hint="eastAsia" w:ascii="仿宋_GB2312" w:hAnsi="仿宋_GB2312" w:eastAsia="仿宋_GB2312" w:cs="仿宋_GB2312"/>
          <w:b w:val="0"/>
          <w:bCs/>
          <w:color w:val="auto"/>
          <w:sz w:val="32"/>
          <w:szCs w:val="32"/>
          <w:highlight w:val="none"/>
        </w:rPr>
        <w:t>天内派人修理</w:t>
      </w:r>
      <w:r>
        <w:rPr>
          <w:rFonts w:hint="eastAsia" w:ascii="仿宋_GB2312" w:hAnsi="仿宋_GB2312" w:eastAsia="仿宋_GB2312" w:cs="仿宋_GB2312"/>
          <w:b w:val="0"/>
          <w:bCs/>
          <w:color w:val="auto"/>
          <w:sz w:val="32"/>
          <w:szCs w:val="32"/>
          <w:highlight w:val="none"/>
          <w:lang w:eastAsia="zh-CN"/>
        </w:rPr>
        <w:t>并更换</w:t>
      </w:r>
      <w:r>
        <w:rPr>
          <w:rFonts w:hint="eastAsia" w:ascii="仿宋_GB2312" w:hAnsi="仿宋_GB2312" w:eastAsia="仿宋_GB2312" w:cs="仿宋_GB2312"/>
          <w:b w:val="0"/>
          <w:bCs/>
          <w:color w:val="auto"/>
          <w:sz w:val="32"/>
          <w:szCs w:val="32"/>
          <w:highlight w:val="none"/>
        </w:rPr>
        <w:t>。承包人未能在约定期限内派人修理</w:t>
      </w:r>
      <w:r>
        <w:rPr>
          <w:rFonts w:hint="eastAsia" w:ascii="仿宋_GB2312" w:hAnsi="仿宋_GB2312" w:eastAsia="仿宋_GB2312" w:cs="仿宋_GB2312"/>
          <w:b w:val="0"/>
          <w:bCs/>
          <w:color w:val="auto"/>
          <w:sz w:val="32"/>
          <w:szCs w:val="32"/>
          <w:highlight w:val="none"/>
          <w:lang w:eastAsia="zh-CN"/>
        </w:rPr>
        <w:t>并更换竹结构</w:t>
      </w:r>
      <w:r>
        <w:rPr>
          <w:rFonts w:hint="eastAsia" w:ascii="仿宋_GB2312" w:hAnsi="仿宋_GB2312" w:eastAsia="仿宋_GB2312" w:cs="仿宋_GB2312"/>
          <w:b w:val="0"/>
          <w:bCs/>
          <w:color w:val="auto"/>
          <w:sz w:val="32"/>
          <w:szCs w:val="32"/>
          <w:highlight w:val="none"/>
        </w:rPr>
        <w:t>，发包人可以委托其他</w:t>
      </w:r>
      <w:r>
        <w:rPr>
          <w:rFonts w:hint="eastAsia" w:ascii="仿宋_GB2312" w:hAnsi="仿宋_GB2312" w:eastAsia="仿宋_GB2312" w:cs="仿宋_GB2312"/>
          <w:b w:val="0"/>
          <w:bCs/>
          <w:color w:val="auto"/>
          <w:sz w:val="32"/>
          <w:szCs w:val="32"/>
          <w:highlight w:val="none"/>
          <w:lang w:eastAsia="zh-CN"/>
        </w:rPr>
        <w:t>公司或</w:t>
      </w:r>
      <w:r>
        <w:rPr>
          <w:rFonts w:hint="eastAsia" w:ascii="仿宋_GB2312" w:hAnsi="仿宋_GB2312" w:eastAsia="仿宋_GB2312" w:cs="仿宋_GB2312"/>
          <w:b w:val="0"/>
          <w:bCs/>
          <w:color w:val="auto"/>
          <w:sz w:val="32"/>
          <w:szCs w:val="32"/>
          <w:highlight w:val="none"/>
        </w:rPr>
        <w:t>人员修理</w:t>
      </w:r>
      <w:r>
        <w:rPr>
          <w:rFonts w:hint="eastAsia" w:ascii="仿宋_GB2312" w:hAnsi="仿宋_GB2312" w:eastAsia="仿宋_GB2312" w:cs="仿宋_GB2312"/>
          <w:b w:val="0"/>
          <w:bCs/>
          <w:color w:val="auto"/>
          <w:sz w:val="32"/>
          <w:szCs w:val="32"/>
          <w:highlight w:val="none"/>
          <w:lang w:eastAsia="zh-CN"/>
        </w:rPr>
        <w:t>并更换竹结构，费用从质量保证金中扣除。</w:t>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widowControl/>
        <w:spacing w:before="0" w:after="0" w:line="360" w:lineRule="auto"/>
        <w:jc w:val="cente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rPr>
          <w:color w:val="auto"/>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广州南沙湿地旅游发展有限公司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南沙湿地景区竹构项目（观鸟塔、观鸟亭、湿地之眼）施工总承包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南沙湿地景区竹构项目（观鸟塔、观鸟亭、湿地之眼）施工总承包</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广州南沙湿地旅游发展有限公司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3"/>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16145749"/>
      <w:bookmarkEnd w:id="6"/>
      <w:bookmarkStart w:id="7" w:name="_Toc223342668"/>
      <w:bookmarkEnd w:id="7"/>
      <w:r>
        <w:rPr>
          <w:rFonts w:hint="eastAsia" w:ascii="宋体" w:hAnsi="宋体" w:eastAsia="宋体" w:cs="黑体"/>
          <w:color w:val="auto"/>
          <w:sz w:val="28"/>
          <w:szCs w:val="28"/>
          <w:highlight w:val="none"/>
        </w:rPr>
        <w:t>格式三：</w:t>
      </w:r>
    </w:p>
    <w:p>
      <w:pPr>
        <w:pStyle w:val="25"/>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5"/>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5"/>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5"/>
        <w:widowControl/>
        <w:ind w:firstLine="618"/>
        <w:rPr>
          <w:b/>
          <w:color w:val="auto"/>
          <w:sz w:val="30"/>
          <w:szCs w:val="30"/>
          <w:highlight w:val="none"/>
        </w:rPr>
      </w:pPr>
      <w:r>
        <w:rPr>
          <w:b/>
          <w:color w:val="auto"/>
          <w:sz w:val="30"/>
          <w:szCs w:val="30"/>
          <w:highlight w:val="none"/>
        </w:rPr>
        <w:t xml:space="preserve"> </w:t>
      </w:r>
    </w:p>
    <w:p>
      <w:pPr>
        <w:pStyle w:val="25"/>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5"/>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5"/>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3"/>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3"/>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5"/>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广州南沙湿地旅游发展有限公司</w:t>
      </w:r>
      <w:r>
        <w:rPr>
          <w:rFonts w:hint="eastAsia" w:ascii="宋体" w:hAnsi="宋体" w:eastAsia="宋体" w:cs="宋体"/>
          <w:color w:val="auto"/>
          <w:sz w:val="24"/>
          <w:highlight w:val="none"/>
          <w:u w:val="single"/>
        </w:rPr>
        <w:t>、广州南沙建设维护管理有限公司</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南沙湿地景区竹构项目（观鸟塔、观鸟亭、湿地之眼）施工总承包</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196130013"/>
      <w:bookmarkEnd w:id="11"/>
      <w:bookmarkStart w:id="12" w:name="_Toc415833503"/>
      <w:bookmarkEnd w:id="12"/>
      <w:bookmarkStart w:id="13" w:name="_Toc459403394"/>
      <w:bookmarkEnd w:id="13"/>
      <w:bookmarkStart w:id="14" w:name="_Toc326909213"/>
      <w:bookmarkEnd w:id="14"/>
      <w:bookmarkStart w:id="15" w:name="_Toc196037097"/>
      <w:bookmarkEnd w:id="15"/>
      <w:bookmarkStart w:id="16" w:name="_Toc415728297"/>
      <w:bookmarkEnd w:id="16"/>
      <w:bookmarkStart w:id="17" w:name="_Toc196130110"/>
      <w:bookmarkEnd w:id="17"/>
      <w:bookmarkStart w:id="18" w:name="_Toc197235848"/>
      <w:bookmarkEnd w:id="18"/>
      <w:bookmarkStart w:id="19" w:name="_Toc199647675"/>
      <w:bookmarkEnd w:id="19"/>
      <w:bookmarkStart w:id="20" w:name="_Toc41822703"/>
      <w:bookmarkEnd w:id="20"/>
      <w:bookmarkStart w:id="21" w:name="_Toc196036941"/>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5"/>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196036942"/>
      <w:bookmarkEnd w:id="24"/>
      <w:bookmarkStart w:id="25" w:name="_Toc196130111"/>
      <w:bookmarkEnd w:id="25"/>
      <w:bookmarkStart w:id="26" w:name="_Toc326909214"/>
      <w:bookmarkEnd w:id="26"/>
      <w:bookmarkStart w:id="27" w:name="_Toc197235849"/>
      <w:bookmarkEnd w:id="27"/>
      <w:bookmarkStart w:id="28" w:name="_Toc415728298"/>
      <w:bookmarkEnd w:id="28"/>
      <w:bookmarkStart w:id="29" w:name="_Toc459403395"/>
      <w:bookmarkEnd w:id="29"/>
      <w:bookmarkStart w:id="30" w:name="_Toc196037098"/>
      <w:bookmarkEnd w:id="30"/>
      <w:bookmarkStart w:id="31" w:name="_Toc415833504"/>
      <w:bookmarkEnd w:id="31"/>
      <w:bookmarkStart w:id="32" w:name="_Toc196130014"/>
      <w:bookmarkEnd w:id="32"/>
      <w:bookmarkStart w:id="33" w:name="_Toc199647676"/>
      <w:bookmarkEnd w:id="33"/>
      <w:bookmarkStart w:id="34" w:name="_Toc462911099"/>
    </w:p>
    <w:bookmarkEnd w:id="34"/>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六</w:t>
      </w:r>
      <w:r>
        <w:rPr>
          <w:rFonts w:hint="eastAsia" w:ascii="仿宋" w:hAnsi="仿宋" w:eastAsia="仿宋" w:cs="宋体"/>
          <w:color w:val="auto"/>
          <w:sz w:val="28"/>
          <w:szCs w:val="28"/>
          <w:highlight w:val="none"/>
        </w:rPr>
        <w:t>：</w:t>
      </w: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5"/>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w:t>
      </w:r>
      <w:r>
        <w:rPr>
          <w:rFonts w:hint="eastAsia" w:ascii="仿宋" w:hAnsi="仿宋" w:eastAsia="仿宋" w:cs="仿宋"/>
          <w:color w:val="auto"/>
          <w:szCs w:val="21"/>
          <w:highlight w:val="none"/>
          <w:lang w:eastAsia="zh-CN"/>
        </w:rPr>
        <w:t>技术负责人、</w:t>
      </w:r>
      <w:r>
        <w:rPr>
          <w:rFonts w:hint="eastAsia" w:ascii="仿宋" w:hAnsi="仿宋" w:eastAsia="仿宋" w:cs="仿宋"/>
          <w:color w:val="auto"/>
          <w:szCs w:val="21"/>
          <w:highlight w:val="none"/>
        </w:rPr>
        <w:t>各专业负责人）等。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七</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2、项目负责人必须附执业证书及资格证书、身份证、职称证书及业绩等证明材料（复印件，加盖单位公章）。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5"/>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八</w:t>
      </w:r>
      <w:r>
        <w:rPr>
          <w:rFonts w:hint="eastAsia" w:ascii="宋体" w:hAnsi="宋体" w:eastAsia="宋体" w:cs="黑体"/>
          <w:b/>
          <w:color w:val="auto"/>
          <w:spacing w:val="4"/>
          <w:kern w:val="0"/>
          <w:sz w:val="28"/>
          <w:szCs w:val="28"/>
          <w:highlight w:val="none"/>
        </w:rPr>
        <w:t>：</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en-US" w:eastAsia="zh-CN"/>
        </w:rPr>
        <w:t>投标</w:t>
      </w: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5"/>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eastAsia="zh-CN"/>
              </w:rPr>
              <w:t>南沙湿地景区竹构项目（观鸟塔、观鸟亭、湿地之眼）施工总承包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autoSpaceDE w:val="0"/>
              <w:autoSpaceDN w:val="0"/>
              <w:adjustRightInd w:val="0"/>
              <w:snapToGrid w:val="0"/>
              <w:spacing w:line="360" w:lineRule="auto"/>
              <w:jc w:val="center"/>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color w:val="auto"/>
                <w:highlight w:val="none"/>
                <w:lang w:val="en-US" w:eastAsia="zh-CN"/>
              </w:rPr>
            </w:pPr>
            <w:r>
              <w:rPr>
                <w:rFonts w:hint="eastAsia"/>
                <w:color w:val="auto"/>
                <w:highlight w:val="none"/>
                <w:lang w:eastAsia="zh-CN"/>
              </w:rPr>
              <w:t>下浮率：</w:t>
            </w:r>
            <w:r>
              <w:rPr>
                <w:rFonts w:hint="eastAsia"/>
                <w:color w:val="auto"/>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p>
        </w:tc>
        <w:tc>
          <w:tcPr>
            <w:tcW w:w="6699" w:type="dxa"/>
            <w:vAlign w:val="center"/>
          </w:tcPr>
          <w:p>
            <w:pPr>
              <w:autoSpaceDE w:val="0"/>
              <w:autoSpaceDN w:val="0"/>
              <w:adjustRightInd w:val="0"/>
              <w:snapToGrid w:val="0"/>
              <w:spacing w:line="360" w:lineRule="auto"/>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其中：</w:t>
            </w:r>
            <w:r>
              <w:rPr>
                <w:rFonts w:hint="eastAsia" w:ascii="宋体" w:hAnsi="宋体" w:cs="宋体"/>
                <w:bCs/>
                <w:color w:val="auto"/>
                <w:sz w:val="21"/>
                <w:szCs w:val="21"/>
                <w:highlight w:val="none"/>
                <w:u w:val="none"/>
                <w:lang w:val="en-US" w:eastAsia="zh-CN"/>
              </w:rPr>
              <w:t>绿色施工安全防护措施费</w:t>
            </w:r>
            <w:r>
              <w:rPr>
                <w:rFonts w:hint="eastAsia" w:ascii="宋体" w:hAnsi="宋体" w:cs="宋体" w:eastAsiaTheme="minorEastAsia"/>
                <w:bCs/>
                <w:color w:val="auto"/>
                <w:sz w:val="21"/>
                <w:szCs w:val="21"/>
                <w:highlight w:val="none"/>
                <w:u w:val="none"/>
                <w:lang w:val="en-US" w:eastAsia="zh-CN"/>
              </w:rPr>
              <w:t>为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2711" w:type="dxa"/>
            <w:vAlign w:val="center"/>
          </w:tcPr>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bCs/>
                <w:color w:val="auto"/>
                <w:szCs w:val="21"/>
                <w:highlight w:val="none"/>
                <w:lang w:val="en-US" w:eastAsia="zh-CN"/>
              </w:rPr>
              <w:t>工期</w:t>
            </w:r>
          </w:p>
        </w:tc>
        <w:tc>
          <w:tcPr>
            <w:tcW w:w="6699" w:type="dxa"/>
            <w:vAlign w:val="center"/>
          </w:tcPr>
          <w:p>
            <w:pPr>
              <w:autoSpaceDE w:val="0"/>
              <w:autoSpaceDN w:val="0"/>
              <w:adjustRightInd w:val="0"/>
              <w:snapToGrid w:val="0"/>
              <w:spacing w:line="360" w:lineRule="auto"/>
              <w:jc w:val="left"/>
              <w:rPr>
                <w:rFonts w:hint="eastAsia" w:ascii="宋体" w:hAnsi="宋体" w:cs="宋体"/>
                <w:bCs/>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9"/>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9"/>
        <w:spacing w:line="360" w:lineRule="auto"/>
        <w:ind w:firstLine="210" w:firstLineChars="100"/>
        <w:rPr>
          <w:rFonts w:hint="eastAsia" w:ascii="宋体" w:hAnsi="宋体" w:eastAsia="宋体" w:cs="宋体"/>
          <w:color w:val="auto"/>
          <w:sz w:val="21"/>
          <w:szCs w:val="21"/>
          <w:highlight w:val="none"/>
        </w:rPr>
      </w:pPr>
      <w:r>
        <w:rPr>
          <w:rFonts w:hint="eastAsia" w:hAnsi="宋体" w:cs="宋体"/>
          <w:bCs/>
          <w:color w:val="auto"/>
          <w:highlight w:val="none"/>
          <w:lang w:eastAsia="zh-CN"/>
        </w:rPr>
        <w:t>（</w:t>
      </w:r>
      <w:r>
        <w:rPr>
          <w:rFonts w:hint="eastAsia" w:hAnsi="宋体" w:cs="宋体"/>
          <w:bCs/>
          <w:color w:val="auto"/>
          <w:highlight w:val="none"/>
          <w:lang w:val="en-US" w:eastAsia="zh-CN"/>
        </w:rPr>
        <w:t>2</w:t>
      </w:r>
      <w:r>
        <w:rPr>
          <w:rFonts w:hint="eastAsia" w:hAnsi="宋体" w:cs="宋体"/>
          <w:bCs/>
          <w:color w:val="auto"/>
          <w:highlight w:val="none"/>
          <w:lang w:eastAsia="zh-CN"/>
        </w:rPr>
        <w:t>）</w:t>
      </w:r>
      <w:r>
        <w:rPr>
          <w:rFonts w:hint="eastAsia" w:ascii="宋体" w:hAnsi="宋体" w:eastAsia="宋体" w:cs="宋体"/>
          <w:color w:val="auto"/>
          <w:sz w:val="21"/>
          <w:szCs w:val="21"/>
          <w:highlight w:val="none"/>
        </w:rPr>
        <w:t>本项目</w:t>
      </w:r>
      <w:r>
        <w:rPr>
          <w:rFonts w:hint="eastAsia" w:hAnsi="宋体" w:cs="宋体"/>
          <w:color w:val="auto"/>
          <w:sz w:val="21"/>
          <w:szCs w:val="21"/>
          <w:highlight w:val="none"/>
          <w:lang w:eastAsia="zh-CN"/>
        </w:rPr>
        <w:t>招标控制价详见投标须知前附表约定。</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9"/>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w:t>
      </w:r>
      <w:r>
        <w:rPr>
          <w:rFonts w:hint="eastAsia" w:ascii="仿宋" w:hAnsi="仿宋" w:eastAsia="仿宋" w:cs="仿宋"/>
          <w:color w:val="auto"/>
          <w:sz w:val="28"/>
          <w:szCs w:val="28"/>
          <w:highlight w:val="none"/>
          <w:lang w:eastAsia="zh-CN"/>
        </w:rPr>
        <w:t>施工总承包</w:t>
      </w:r>
      <w:r>
        <w:rPr>
          <w:rFonts w:hint="eastAsia" w:ascii="仿宋" w:hAnsi="仿宋" w:eastAsia="仿宋" w:cs="仿宋"/>
          <w:color w:val="auto"/>
          <w:sz w:val="28"/>
          <w:szCs w:val="28"/>
          <w:highlight w:val="none"/>
        </w:rPr>
        <w:t>单位，为保证招标“公开、公平、公正”，根据国家有关工程建设招标投标的法律、法规和方针、政策，制定本评标细则，实行评标的规范化、标准化、科学化。</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w:t>
      </w:r>
      <w:r>
        <w:rPr>
          <w:rFonts w:hint="eastAsia" w:ascii="仿宋" w:hAnsi="仿宋" w:eastAsia="仿宋" w:cs="仿宋"/>
          <w:color w:val="auto"/>
          <w:sz w:val="28"/>
          <w:szCs w:val="28"/>
          <w:highlight w:val="none"/>
          <w:lang w:eastAsia="zh-CN"/>
        </w:rPr>
        <w:t>施工总承包</w:t>
      </w:r>
      <w:r>
        <w:rPr>
          <w:rFonts w:hint="eastAsia" w:ascii="仿宋" w:hAnsi="仿宋" w:eastAsia="仿宋" w:cs="仿宋"/>
          <w:color w:val="auto"/>
          <w:sz w:val="28"/>
          <w:szCs w:val="28"/>
          <w:highlight w:val="none"/>
        </w:rPr>
        <w:t>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11"/>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11"/>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11"/>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11"/>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11"/>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11"/>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9"/>
        <w:widowControl/>
        <w:spacing w:line="360" w:lineRule="auto"/>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9"/>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9"/>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360" w:lineRule="auto"/>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专家首先按附件1《符合性审查表》对各投标文件进行评审，只有通过符合性审查的投标文件方可进入下一阶段的评审。如果有符合性审查不通过提议，则</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成员共同表决，按照少数服从多数的原则决定是否通过符合性审查。</w:t>
      </w:r>
    </w:p>
    <w:p>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360" w:lineRule="auto"/>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360" w:lineRule="auto"/>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w:t>
      </w:r>
      <w:r>
        <w:rPr>
          <w:rFonts w:hint="eastAsia" w:ascii="仿宋" w:hAnsi="仿宋" w:eastAsia="仿宋" w:cs="仿宋"/>
          <w:color w:val="auto"/>
          <w:sz w:val="28"/>
          <w:szCs w:val="28"/>
          <w:highlight w:val="none"/>
          <w:u w:val="none"/>
        </w:rPr>
        <w:t>，也可以重新招标</w:t>
      </w:r>
      <w:r>
        <w:rPr>
          <w:rFonts w:hint="eastAsia" w:ascii="仿宋" w:hAnsi="仿宋" w:eastAsia="仿宋" w:cs="仿宋"/>
          <w:color w:val="auto"/>
          <w:sz w:val="28"/>
          <w:szCs w:val="28"/>
          <w:highlight w:val="none"/>
        </w:rPr>
        <w:t>。以此类推，如所有中标候选人均出现前款所列的情形，为招标失败，招标人依法重新招标。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9"/>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9"/>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9"/>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a、投标人名称；b、标书密封情况；c、法定代表人证明及授权委托；d、项目负责人名称；e、投标报价等主要内容以及开标记录表中的其他必要内容，并予以记录，记录提交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w:t>
      </w:r>
      <w:r>
        <w:rPr>
          <w:rFonts w:hint="eastAsia" w:ascii="仿宋" w:hAnsi="仿宋" w:eastAsia="仿宋" w:cs="仿宋"/>
          <w:color w:val="auto"/>
          <w:sz w:val="28"/>
          <w:szCs w:val="28"/>
          <w:highlight w:val="none"/>
          <w:u w:val="none"/>
        </w:rPr>
        <w:t>若出现得分相同的单位，按报价低者排前的原则，若报价亦一致的，由评标</w:t>
      </w:r>
      <w:r>
        <w:rPr>
          <w:rFonts w:hint="eastAsia" w:ascii="仿宋" w:hAnsi="仿宋" w:eastAsia="仿宋" w:cs="仿宋"/>
          <w:color w:val="auto"/>
          <w:sz w:val="28"/>
          <w:szCs w:val="28"/>
          <w:highlight w:val="none"/>
          <w:u w:val="none"/>
          <w:lang w:eastAsia="zh-CN"/>
        </w:rPr>
        <w:t>小组</w:t>
      </w:r>
      <w:r>
        <w:rPr>
          <w:rFonts w:hint="eastAsia" w:ascii="仿宋" w:hAnsi="仿宋" w:eastAsia="仿宋" w:cs="仿宋"/>
          <w:color w:val="auto"/>
          <w:sz w:val="28"/>
          <w:szCs w:val="28"/>
          <w:highlight w:val="none"/>
          <w:u w:val="none"/>
        </w:rPr>
        <w:t>采用记名投票方式，确定其排序</w:t>
      </w:r>
      <w:r>
        <w:rPr>
          <w:rFonts w:hint="eastAsia" w:ascii="仿宋" w:hAnsi="仿宋" w:eastAsia="仿宋" w:cs="仿宋"/>
          <w:color w:val="auto"/>
          <w:sz w:val="28"/>
          <w:szCs w:val="28"/>
          <w:highlight w:val="none"/>
        </w:rPr>
        <w:t>。</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p>
    <w:p>
      <w:pPr>
        <w:snapToGrid/>
        <w:spacing w:line="240" w:lineRule="auto"/>
        <w:ind w:firstLine="0" w:firstLineChars="0"/>
        <w:jc w:val="left"/>
        <w:rPr>
          <w:rFonts w:hint="eastAsia"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pPr>
        <w:pStyle w:val="22"/>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2"/>
        <w:widowControl/>
        <w:ind w:firstLine="562"/>
        <w:rPr>
          <w:rFonts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附件2 综合评分表</w:t>
      </w:r>
    </w:p>
    <w:p>
      <w:pPr>
        <w:pStyle w:val="22"/>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pPr>
        <w:pStyle w:val="22"/>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t>附件4 图纸（另附）</w:t>
      </w:r>
    </w:p>
    <w:p>
      <w:pPr>
        <w:pStyle w:val="22"/>
        <w:widowControl/>
        <w:ind w:firstLine="562"/>
        <w:rPr>
          <w:rFonts w:hint="default"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t>附件5 工程量清单（另附）</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5"/>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ascii="仿宋" w:hAnsi="仿宋" w:eastAsia="仿宋" w:cs="仿宋"/>
                <w:color w:val="auto"/>
                <w:highlight w:val="none"/>
              </w:rPr>
            </w:pPr>
            <w:r>
              <w:rPr>
                <w:rFonts w:hint="eastAsia" w:ascii="仿宋" w:hAnsi="仿宋" w:eastAsia="仿宋" w:cs="仿宋"/>
                <w:color w:val="auto"/>
                <w:szCs w:val="21"/>
                <w:highlight w:val="none"/>
              </w:rPr>
              <w:t>投标函签名、并加盖公章有效，且内容与招标文件相同</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0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投标文件封面加盖投标人的法定印章并经投标人代表签字（或盖签章）</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6</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7</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投标工期满足招标文件要求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pPr>
        <w:snapToGrid w:val="0"/>
        <w:ind w:left="74"/>
        <w:outlineLvl w:val="0"/>
        <w:rPr>
          <w:rFonts w:ascii="仿宋" w:hAnsi="仿宋" w:eastAsia="仿宋" w:cs="仿宋"/>
          <w:color w:val="auto"/>
          <w:sz w:val="24"/>
          <w:highlight w:val="none"/>
        </w:rPr>
      </w:pPr>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p>
    <w:tbl>
      <w:tblPr>
        <w:tblStyle w:val="15"/>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797"/>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43" w:type="dxa"/>
            <w:shd w:val="clear" w:color="auto" w:fill="auto"/>
            <w:vAlign w:val="center"/>
          </w:tcPr>
          <w:p>
            <w:pPr>
              <w:snapToGrid w:val="0"/>
              <w:spacing w:line="360" w:lineRule="auto"/>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6" w:type="dxa"/>
            <w:shd w:val="clear" w:color="auto" w:fill="auto"/>
            <w:vAlign w:val="center"/>
          </w:tcPr>
          <w:p>
            <w:pPr>
              <w:snapToGrid w:val="0"/>
              <w:spacing w:line="360" w:lineRule="auto"/>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09" w:type="dxa"/>
            <w:shd w:val="clear" w:color="auto" w:fill="auto"/>
            <w:vAlign w:val="center"/>
          </w:tcPr>
          <w:p>
            <w:pPr>
              <w:snapToGrid w:val="0"/>
              <w:spacing w:line="360" w:lineRule="auto"/>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spacing w:line="360" w:lineRule="auto"/>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9797" w:type="dxa"/>
            <w:shd w:val="clear" w:color="auto" w:fill="auto"/>
            <w:vAlign w:val="center"/>
          </w:tcPr>
          <w:p>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240" w:type="dxa"/>
            <w:shd w:val="clear" w:color="auto" w:fill="auto"/>
            <w:vAlign w:val="center"/>
          </w:tcPr>
          <w:p>
            <w:pPr>
              <w:snapToGrid w:val="0"/>
              <w:spacing w:line="360" w:lineRule="auto"/>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643" w:type="dxa"/>
            <w:vMerge w:val="restart"/>
            <w:shd w:val="clear" w:color="auto" w:fill="auto"/>
            <w:vAlign w:val="center"/>
          </w:tcPr>
          <w:p>
            <w:pPr>
              <w:snapToGrid w:val="0"/>
              <w:spacing w:line="360" w:lineRule="auto"/>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p>
          <w:p>
            <w:pPr>
              <w:pStyle w:val="2"/>
              <w:spacing w:line="360" w:lineRule="auto"/>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ascii="宋体" w:hAnsi="宋体" w:eastAsia="宋体" w:cs="宋体"/>
                <w:b w:val="0"/>
                <w:bCs/>
                <w:color w:val="auto"/>
                <w:szCs w:val="21"/>
                <w:highlight w:val="none"/>
                <w:lang w:val="en-US" w:eastAsia="zh-CN"/>
              </w:rPr>
              <w:t>25分</w:t>
            </w:r>
            <w:r>
              <w:rPr>
                <w:rFonts w:hint="eastAsia" w:ascii="宋体" w:hAnsi="宋体" w:eastAsia="宋体" w:cs="宋体"/>
                <w:b w:val="0"/>
                <w:bCs/>
                <w:color w:val="auto"/>
                <w:szCs w:val="21"/>
                <w:highlight w:val="none"/>
                <w:lang w:eastAsia="zh-CN"/>
              </w:rPr>
              <w:t>）</w:t>
            </w:r>
          </w:p>
          <w:p>
            <w:pPr>
              <w:snapToGrid w:val="0"/>
              <w:spacing w:line="360" w:lineRule="auto"/>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snapToGrid w:val="0"/>
              <w:spacing w:line="360" w:lineRule="auto"/>
              <w:ind w:left="-2" w:leftChars="-1"/>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认证体系</w:t>
            </w:r>
          </w:p>
        </w:tc>
        <w:tc>
          <w:tcPr>
            <w:tcW w:w="709" w:type="dxa"/>
            <w:shd w:val="clear" w:color="auto" w:fill="auto"/>
            <w:vAlign w:val="center"/>
          </w:tcPr>
          <w:p>
            <w:pPr>
              <w:spacing w:line="360" w:lineRule="auto"/>
              <w:ind w:left="-2" w:leftChars="-1"/>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3</w:t>
            </w:r>
          </w:p>
        </w:tc>
        <w:tc>
          <w:tcPr>
            <w:tcW w:w="9797" w:type="dxa"/>
            <w:shd w:val="clear" w:color="auto" w:fill="auto"/>
            <w:vAlign w:val="center"/>
          </w:tcPr>
          <w:p>
            <w:pPr>
              <w:pStyle w:val="9"/>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具有有效的质量管理体系认证证书、环境管理体系认证证书、职业健康安全管理体系认证证书的，</w:t>
            </w:r>
            <w:r>
              <w:rPr>
                <w:rFonts w:hint="eastAsia" w:ascii="宋体" w:hAnsi="宋体" w:eastAsia="宋体" w:cs="宋体"/>
                <w:color w:val="auto"/>
                <w:szCs w:val="21"/>
                <w:highlight w:val="none"/>
                <w:lang w:eastAsia="zh-CN"/>
              </w:rPr>
              <w:t>每</w:t>
            </w:r>
            <w:r>
              <w:rPr>
                <w:rFonts w:hint="eastAsia" w:ascii="宋体" w:hAnsi="宋体" w:eastAsia="宋体" w:cs="宋体"/>
                <w:color w:val="auto"/>
                <w:szCs w:val="21"/>
                <w:highlight w:val="none"/>
                <w:lang w:val="en-US" w:eastAsia="zh-CN"/>
              </w:rPr>
              <w:t>有一项得1分，最多得3分</w:t>
            </w:r>
            <w:r>
              <w:rPr>
                <w:rFonts w:hint="eastAsia" w:ascii="宋体" w:hAnsi="宋体" w:eastAsia="宋体" w:cs="宋体"/>
                <w:color w:val="auto"/>
                <w:szCs w:val="21"/>
                <w:highlight w:val="none"/>
              </w:rPr>
              <w:t>。</w:t>
            </w:r>
          </w:p>
        </w:tc>
        <w:tc>
          <w:tcPr>
            <w:tcW w:w="240" w:type="dxa"/>
            <w:shd w:val="clear" w:color="auto" w:fill="auto"/>
            <w:vAlign w:val="center"/>
          </w:tcPr>
          <w:p>
            <w:pPr>
              <w:spacing w:line="360" w:lineRule="auto"/>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643" w:type="dxa"/>
            <w:vMerge w:val="continue"/>
            <w:shd w:val="clear" w:color="auto" w:fill="auto"/>
            <w:vAlign w:val="center"/>
          </w:tcPr>
          <w:p>
            <w:pPr>
              <w:snapToGrid w:val="0"/>
              <w:spacing w:line="360" w:lineRule="auto"/>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snapToGrid w:val="0"/>
              <w:spacing w:line="360" w:lineRule="auto"/>
              <w:ind w:left="-2" w:leftChars="-1"/>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企业信誉</w:t>
            </w:r>
          </w:p>
        </w:tc>
        <w:tc>
          <w:tcPr>
            <w:tcW w:w="709" w:type="dxa"/>
            <w:shd w:val="clear" w:color="auto" w:fill="auto"/>
            <w:vAlign w:val="center"/>
          </w:tcPr>
          <w:p>
            <w:pPr>
              <w:spacing w:line="360" w:lineRule="auto"/>
              <w:ind w:left="-2" w:leftChars="-1"/>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p>
        </w:tc>
        <w:tc>
          <w:tcPr>
            <w:tcW w:w="9797" w:type="dxa"/>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kern w:val="2"/>
                <w:sz w:val="21"/>
                <w:szCs w:val="21"/>
                <w:highlight w:val="none"/>
                <w:lang w:val="en-US" w:eastAsia="zh-CN" w:bidi="ar-SA"/>
              </w:rPr>
              <w:t>投标人</w:t>
            </w:r>
            <w:r>
              <w:rPr>
                <w:rFonts w:hint="eastAsia" w:ascii="宋体" w:hAnsi="宋体" w:eastAsia="宋体" w:cs="Times New Roman"/>
                <w:color w:val="auto"/>
                <w:szCs w:val="21"/>
                <w:highlight w:val="none"/>
              </w:rPr>
              <w:t>201</w:t>
            </w:r>
            <w:r>
              <w:rPr>
                <w:rFonts w:hint="eastAsia" w:ascii="宋体" w:hAnsi="宋体" w:eastAsia="宋体" w:cs="Times New Roman"/>
                <w:color w:val="auto"/>
                <w:szCs w:val="21"/>
                <w:highlight w:val="none"/>
                <w:lang w:val="en-US" w:eastAsia="zh-CN"/>
              </w:rPr>
              <w:t>7</w:t>
            </w:r>
            <w:r>
              <w:rPr>
                <w:rFonts w:hint="eastAsia" w:ascii="宋体" w:hAnsi="宋体" w:eastAsia="宋体" w:cs="Times New Roman"/>
                <w:color w:val="auto"/>
                <w:szCs w:val="21"/>
                <w:highlight w:val="none"/>
              </w:rPr>
              <w:t>年1月1日至今</w:t>
            </w:r>
            <w:r>
              <w:rPr>
                <w:rFonts w:hint="eastAsia" w:ascii="宋体" w:hAnsi="宋体" w:eastAsia="宋体" w:cs="Times New Roman"/>
                <w:color w:val="auto"/>
                <w:szCs w:val="21"/>
                <w:highlight w:val="none"/>
                <w:lang w:val="en-US" w:eastAsia="zh-CN"/>
              </w:rPr>
              <w:t>连续三年或以上</w:t>
            </w:r>
            <w:r>
              <w:rPr>
                <w:rFonts w:hint="eastAsia" w:ascii="宋体" w:hAnsi="宋体" w:eastAsia="宋体" w:cs="Times New Roman"/>
                <w:color w:val="auto"/>
                <w:szCs w:val="21"/>
                <w:highlight w:val="none"/>
              </w:rPr>
              <w:t>获得纳税信用等级A级称号</w:t>
            </w:r>
            <w:r>
              <w:rPr>
                <w:rFonts w:hint="eastAsia" w:ascii="宋体" w:hAnsi="宋体" w:eastAsia="宋体" w:cs="Times New Roman"/>
                <w:color w:val="auto"/>
                <w:szCs w:val="21"/>
                <w:highlight w:val="none"/>
                <w:lang w:eastAsia="zh-CN"/>
              </w:rPr>
              <w:t>的</w:t>
            </w:r>
            <w:r>
              <w:rPr>
                <w:rFonts w:hint="eastAsia" w:ascii="宋体" w:hAnsi="宋体" w:eastAsia="宋体" w:cs="Times New Roman"/>
                <w:color w:val="auto"/>
                <w:szCs w:val="21"/>
                <w:highlight w:val="none"/>
              </w:rPr>
              <w:t>，得</w:t>
            </w:r>
            <w:r>
              <w:rPr>
                <w:rFonts w:hint="eastAsia" w:ascii="宋体" w:hAnsi="宋体" w:eastAsia="宋体" w:cs="Times New Roman"/>
                <w:color w:val="auto"/>
                <w:szCs w:val="21"/>
                <w:highlight w:val="none"/>
                <w:lang w:val="en-US" w:eastAsia="zh-CN"/>
              </w:rPr>
              <w:t>2</w:t>
            </w:r>
            <w:r>
              <w:rPr>
                <w:rFonts w:hint="eastAsia" w:ascii="宋体" w:hAnsi="宋体" w:eastAsia="宋体" w:cs="Times New Roman"/>
                <w:color w:val="auto"/>
                <w:szCs w:val="21"/>
                <w:highlight w:val="none"/>
              </w:rPr>
              <w:t>分；</w:t>
            </w:r>
          </w:p>
          <w:p>
            <w:pPr>
              <w:pStyle w:val="9"/>
              <w:spacing w:line="360" w:lineRule="auto"/>
              <w:rPr>
                <w:rFonts w:hint="eastAsia" w:ascii="宋体" w:hAnsi="宋体" w:eastAsia="宋体" w:cs="宋体"/>
                <w:color w:val="auto"/>
                <w:szCs w:val="21"/>
                <w:highlight w:val="none"/>
                <w:lang w:eastAsia="zh-CN"/>
              </w:rPr>
            </w:pP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rPr>
              <w:t>注：“A级纳税人称号”以“国家税务总局”官网（http://www.chinatax.gov.cn/index.html）查询结果为准，纳税人等级只计算投标人自身（不计算投标人的分公司和子公司）。投标人须提供在上述官网网站的有效查询路径及查询结果网页截图（不符合条件或未提交截图的不计分）。时间以国家税务总局官网公布的获奖年度（评价年度）为准</w:t>
            </w:r>
            <w:r>
              <w:rPr>
                <w:rFonts w:hint="eastAsia" w:ascii="宋体" w:hAnsi="宋体" w:cs="仿宋_GB2312"/>
                <w:color w:val="auto"/>
                <w:szCs w:val="21"/>
                <w:highlight w:val="none"/>
              </w:rPr>
              <w:t>，没有提供或不符合要求的不得分</w:t>
            </w:r>
            <w:r>
              <w:rPr>
                <w:rFonts w:hint="eastAsia" w:ascii="宋体" w:hAnsi="宋体" w:eastAsia="宋体" w:cs="Times New Roman"/>
                <w:color w:val="auto"/>
                <w:szCs w:val="21"/>
                <w:highlight w:val="none"/>
                <w:lang w:eastAsia="zh-CN"/>
              </w:rPr>
              <w:t>。】</w:t>
            </w:r>
          </w:p>
        </w:tc>
        <w:tc>
          <w:tcPr>
            <w:tcW w:w="240" w:type="dxa"/>
            <w:shd w:val="clear" w:color="auto" w:fill="auto"/>
            <w:vAlign w:val="center"/>
          </w:tcPr>
          <w:p>
            <w:pPr>
              <w:spacing w:line="360" w:lineRule="auto"/>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43" w:type="dxa"/>
            <w:vMerge w:val="continue"/>
            <w:shd w:val="clear" w:color="auto" w:fill="auto"/>
            <w:vAlign w:val="center"/>
          </w:tcPr>
          <w:p>
            <w:pPr>
              <w:snapToGrid w:val="0"/>
              <w:spacing w:line="360" w:lineRule="auto"/>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spacing w:line="360" w:lineRule="auto"/>
              <w:ind w:left="42" w:leftChars="20" w:right="42" w:rightChars="2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eastAsia="zh-CN"/>
              </w:rPr>
              <w:t>业绩情况</w:t>
            </w:r>
          </w:p>
        </w:tc>
        <w:tc>
          <w:tcPr>
            <w:tcW w:w="709" w:type="dxa"/>
            <w:shd w:val="clear" w:color="auto" w:fill="auto"/>
            <w:vAlign w:val="center"/>
          </w:tcPr>
          <w:p>
            <w:pPr>
              <w:spacing w:line="360" w:lineRule="auto"/>
              <w:jc w:val="center"/>
              <w:rPr>
                <w:rFonts w:hint="default"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position w:val="8"/>
                <w:szCs w:val="21"/>
                <w:highlight w:val="none"/>
                <w:lang w:val="en-US" w:eastAsia="zh-CN"/>
              </w:rPr>
              <w:t>10</w:t>
            </w:r>
          </w:p>
        </w:tc>
        <w:tc>
          <w:tcPr>
            <w:tcW w:w="9797" w:type="dxa"/>
            <w:shd w:val="clear" w:color="auto" w:fill="auto"/>
            <w:vAlign w:val="center"/>
          </w:tcPr>
          <w:p>
            <w:pPr>
              <w:pStyle w:val="40"/>
              <w:wordWrap w:val="0"/>
              <w:topLinePunct/>
              <w:autoSpaceDE w:val="0"/>
              <w:autoSpaceDN w:val="0"/>
              <w:adjustRightInd w:val="0"/>
              <w:spacing w:line="360" w:lineRule="auto"/>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投标人自 2017 年 1 月 1 日至今承接过类似业绩的，</w:t>
            </w:r>
            <w:r>
              <w:rPr>
                <w:rFonts w:hint="eastAsia" w:ascii="宋体" w:hAnsi="宋体" w:eastAsia="宋体" w:cs="宋体"/>
                <w:color w:val="auto"/>
                <w:kern w:val="2"/>
                <w:szCs w:val="21"/>
                <w:highlight w:val="none"/>
                <w:lang w:eastAsia="zh-CN"/>
              </w:rPr>
              <w:t>每项得</w:t>
            </w:r>
            <w:r>
              <w:rPr>
                <w:rFonts w:hint="eastAsia" w:ascii="宋体" w:hAnsi="宋体" w:cs="宋体"/>
                <w:color w:val="auto"/>
                <w:kern w:val="2"/>
                <w:szCs w:val="21"/>
                <w:highlight w:val="none"/>
                <w:lang w:val="en-US" w:eastAsia="zh-CN"/>
              </w:rPr>
              <w:t>2</w:t>
            </w:r>
            <w:r>
              <w:rPr>
                <w:rFonts w:hint="eastAsia" w:ascii="宋体" w:hAnsi="宋体" w:eastAsia="宋体" w:cs="宋体"/>
                <w:color w:val="auto"/>
                <w:kern w:val="2"/>
                <w:szCs w:val="21"/>
                <w:highlight w:val="none"/>
                <w:lang w:val="en-US" w:eastAsia="zh-CN"/>
              </w:rPr>
              <w:t>分，最多</w:t>
            </w:r>
            <w:r>
              <w:rPr>
                <w:rFonts w:hint="eastAsia" w:ascii="宋体" w:hAnsi="宋体" w:eastAsia="宋体" w:cs="宋体"/>
                <w:color w:val="auto"/>
                <w:kern w:val="2"/>
                <w:szCs w:val="21"/>
                <w:highlight w:val="none"/>
              </w:rPr>
              <w:t>得</w:t>
            </w:r>
            <w:r>
              <w:rPr>
                <w:rFonts w:hint="eastAsia" w:ascii="宋体" w:hAnsi="宋体" w:cs="宋体"/>
                <w:color w:val="auto"/>
                <w:kern w:val="2"/>
                <w:szCs w:val="21"/>
                <w:highlight w:val="none"/>
                <w:lang w:val="en-US" w:eastAsia="zh-CN"/>
              </w:rPr>
              <w:t>10</w:t>
            </w:r>
            <w:r>
              <w:rPr>
                <w:rFonts w:hint="eastAsia" w:ascii="宋体" w:hAnsi="宋体" w:eastAsia="宋体" w:cs="宋体"/>
                <w:color w:val="auto"/>
                <w:kern w:val="2"/>
                <w:szCs w:val="21"/>
                <w:highlight w:val="none"/>
              </w:rPr>
              <w:t>分。</w:t>
            </w:r>
          </w:p>
          <w:p>
            <w:pPr>
              <w:pStyle w:val="40"/>
              <w:wordWrap w:val="0"/>
              <w:topLinePunct/>
              <w:autoSpaceDE w:val="0"/>
              <w:autoSpaceDN w:val="0"/>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kern w:val="2"/>
                <w:szCs w:val="21"/>
                <w:highlight w:val="none"/>
              </w:rPr>
              <w:t>注：①类似业绩是指竹结构建筑类工程业绩；②有效业绩时间以</w:t>
            </w:r>
            <w:r>
              <w:rPr>
                <w:rFonts w:hint="eastAsia" w:ascii="宋体" w:hAnsi="宋体" w:cs="宋体"/>
                <w:color w:val="auto"/>
                <w:kern w:val="2"/>
                <w:szCs w:val="21"/>
                <w:highlight w:val="none"/>
                <w:lang w:val="en-US" w:eastAsia="zh-CN"/>
              </w:rPr>
              <w:t>合同</w:t>
            </w:r>
            <w:r>
              <w:rPr>
                <w:rFonts w:hint="eastAsia" w:ascii="宋体" w:hAnsi="宋体" w:eastAsia="宋体" w:cs="宋体"/>
                <w:color w:val="auto"/>
                <w:kern w:val="2"/>
                <w:szCs w:val="21"/>
                <w:highlight w:val="none"/>
              </w:rPr>
              <w:t xml:space="preserve">为准；③若投标人提供的业绩是以联合体形式承接的，投标人须为该业绩的牵头人，并提供作为牵头人的证明材料（如：中标通知书、合同等材料中能体现出牵头人身份的内容），否则不得分。④业绩证明材料包括：施工合同复印件（提供合同协议书等能反映合同金额、施工内容和合同双方盖章页）。 </w:t>
            </w:r>
          </w:p>
        </w:tc>
        <w:tc>
          <w:tcPr>
            <w:tcW w:w="240" w:type="dxa"/>
            <w:shd w:val="clear" w:color="auto" w:fill="auto"/>
            <w:vAlign w:val="center"/>
          </w:tcPr>
          <w:p>
            <w:pPr>
              <w:spacing w:line="360" w:lineRule="auto"/>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9" w:hRule="atLeast"/>
          <w:jc w:val="center"/>
        </w:trPr>
        <w:tc>
          <w:tcPr>
            <w:tcW w:w="643" w:type="dxa"/>
            <w:vMerge w:val="continue"/>
            <w:shd w:val="clear" w:color="auto" w:fill="auto"/>
            <w:vAlign w:val="center"/>
          </w:tcPr>
          <w:p>
            <w:pPr>
              <w:snapToGrid w:val="0"/>
              <w:spacing w:line="360" w:lineRule="auto"/>
              <w:ind w:left="-2" w:leftChars="-1"/>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或</w:t>
            </w:r>
          </w:p>
        </w:tc>
        <w:tc>
          <w:tcPr>
            <w:tcW w:w="1406" w:type="dxa"/>
            <w:shd w:val="clear" w:color="auto" w:fill="auto"/>
            <w:vAlign w:val="center"/>
          </w:tcPr>
          <w:p>
            <w:pPr>
              <w:spacing w:line="360" w:lineRule="auto"/>
              <w:ind w:left="42" w:leftChars="20" w:right="42" w:rightChars="2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获奖情况</w:t>
            </w:r>
          </w:p>
        </w:tc>
        <w:tc>
          <w:tcPr>
            <w:tcW w:w="709" w:type="dxa"/>
            <w:shd w:val="clear" w:color="auto" w:fill="auto"/>
            <w:vAlign w:val="center"/>
          </w:tcPr>
          <w:p>
            <w:pPr>
              <w:spacing w:line="360" w:lineRule="auto"/>
              <w:jc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position w:val="8"/>
                <w:szCs w:val="21"/>
                <w:highlight w:val="none"/>
                <w:lang w:val="en-US" w:eastAsia="zh-CN"/>
              </w:rPr>
              <w:t>6</w:t>
            </w:r>
          </w:p>
        </w:tc>
        <w:tc>
          <w:tcPr>
            <w:tcW w:w="9797" w:type="dxa"/>
            <w:shd w:val="clear" w:color="auto" w:fill="auto"/>
            <w:vAlign w:val="center"/>
          </w:tcPr>
          <w:p>
            <w:pPr>
              <w:adjustRightInd w:val="0"/>
              <w:snapToGrid w:val="0"/>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kern w:val="2"/>
                <w:szCs w:val="21"/>
                <w:highlight w:val="none"/>
              </w:rPr>
              <w:t>投标人自 201</w:t>
            </w:r>
            <w:r>
              <w:rPr>
                <w:rFonts w:hint="eastAsia" w:ascii="宋体" w:hAnsi="宋体" w:eastAsia="宋体" w:cs="宋体"/>
                <w:color w:val="auto"/>
                <w:kern w:val="2"/>
                <w:szCs w:val="21"/>
                <w:highlight w:val="none"/>
                <w:lang w:val="en-US" w:eastAsia="zh-CN"/>
              </w:rPr>
              <w:t>7</w:t>
            </w:r>
            <w:r>
              <w:rPr>
                <w:rFonts w:hint="eastAsia" w:ascii="宋体" w:hAnsi="宋体" w:eastAsia="宋体" w:cs="宋体"/>
                <w:color w:val="auto"/>
                <w:kern w:val="2"/>
                <w:szCs w:val="21"/>
                <w:highlight w:val="none"/>
              </w:rPr>
              <w:t xml:space="preserve"> 年 1 月 1 日至今</w:t>
            </w:r>
            <w:r>
              <w:rPr>
                <w:rFonts w:hint="eastAsia" w:ascii="宋体" w:hAnsi="宋体" w:eastAsia="宋体" w:cs="宋体"/>
                <w:color w:val="auto"/>
                <w:kern w:val="2"/>
                <w:szCs w:val="21"/>
                <w:highlight w:val="none"/>
                <w:lang w:eastAsia="zh-CN"/>
              </w:rPr>
              <w:t>，</w:t>
            </w:r>
            <w:r>
              <w:rPr>
                <w:rFonts w:hint="eastAsia" w:ascii="宋体" w:hAnsi="宋体" w:eastAsia="宋体" w:cs="宋体"/>
                <w:color w:val="auto"/>
                <w:kern w:val="2"/>
                <w:szCs w:val="21"/>
                <w:highlight w:val="none"/>
              </w:rPr>
              <w:t>获得</w:t>
            </w:r>
            <w:r>
              <w:rPr>
                <w:rFonts w:hint="eastAsia" w:ascii="宋体" w:hAnsi="宋体" w:eastAsia="宋体" w:cs="宋体"/>
                <w:color w:val="auto"/>
                <w:kern w:val="2"/>
                <w:szCs w:val="21"/>
                <w:highlight w:val="none"/>
                <w:lang w:eastAsia="zh-CN"/>
              </w:rPr>
              <w:t>国家级、</w:t>
            </w:r>
            <w:r>
              <w:rPr>
                <w:rFonts w:hint="eastAsia" w:ascii="宋体" w:hAnsi="宋体" w:eastAsia="宋体" w:cs="宋体"/>
                <w:color w:val="auto"/>
                <w:kern w:val="2"/>
                <w:szCs w:val="21"/>
                <w:highlight w:val="none"/>
              </w:rPr>
              <w:t>省级</w:t>
            </w:r>
            <w:r>
              <w:rPr>
                <w:rFonts w:hint="eastAsia" w:ascii="宋体" w:hAnsi="宋体" w:eastAsia="宋体" w:cs="宋体"/>
                <w:color w:val="auto"/>
                <w:kern w:val="2"/>
                <w:szCs w:val="21"/>
                <w:highlight w:val="none"/>
                <w:lang w:eastAsia="zh-CN"/>
              </w:rPr>
              <w:t>、</w:t>
            </w:r>
            <w:r>
              <w:rPr>
                <w:rFonts w:hint="eastAsia" w:ascii="宋体" w:hAnsi="宋体" w:eastAsia="宋体" w:cs="宋体"/>
                <w:color w:val="auto"/>
                <w:kern w:val="2"/>
                <w:szCs w:val="21"/>
                <w:highlight w:val="none"/>
              </w:rPr>
              <w:t>市级建设行政主管部门或行业协会颁发奖项的（包含各类 QC、工法），</w:t>
            </w:r>
            <w:r>
              <w:rPr>
                <w:rFonts w:hint="eastAsia" w:ascii="宋体" w:hAnsi="宋体" w:eastAsia="宋体" w:cs="宋体"/>
                <w:color w:val="auto"/>
                <w:kern w:val="2"/>
                <w:szCs w:val="21"/>
                <w:highlight w:val="none"/>
                <w:lang w:eastAsia="zh-CN"/>
              </w:rPr>
              <w:t>国家级的</w:t>
            </w:r>
            <w:r>
              <w:rPr>
                <w:rFonts w:hint="eastAsia" w:ascii="宋体" w:hAnsi="宋体" w:eastAsia="宋体" w:cs="宋体"/>
                <w:color w:val="auto"/>
                <w:kern w:val="2"/>
                <w:szCs w:val="21"/>
                <w:highlight w:val="none"/>
              </w:rPr>
              <w:t>每项得</w:t>
            </w:r>
            <w:r>
              <w:rPr>
                <w:rFonts w:hint="eastAsia" w:ascii="宋体" w:hAnsi="宋体" w:eastAsia="宋体" w:cs="宋体"/>
                <w:color w:val="auto"/>
                <w:kern w:val="2"/>
                <w:szCs w:val="21"/>
                <w:highlight w:val="none"/>
                <w:lang w:val="en-US" w:eastAsia="zh-CN"/>
              </w:rPr>
              <w:t>3</w:t>
            </w:r>
            <w:r>
              <w:rPr>
                <w:rFonts w:hint="eastAsia" w:ascii="宋体" w:hAnsi="宋体" w:eastAsia="宋体" w:cs="宋体"/>
                <w:color w:val="auto"/>
                <w:kern w:val="2"/>
                <w:szCs w:val="21"/>
                <w:highlight w:val="none"/>
              </w:rPr>
              <w:t>分，</w:t>
            </w:r>
            <w:r>
              <w:rPr>
                <w:rFonts w:hint="eastAsia" w:ascii="宋体" w:hAnsi="宋体" w:eastAsia="宋体" w:cs="宋体"/>
                <w:color w:val="auto"/>
                <w:kern w:val="2"/>
                <w:szCs w:val="21"/>
                <w:highlight w:val="none"/>
                <w:lang w:eastAsia="zh-CN"/>
              </w:rPr>
              <w:t>省级的每项得</w:t>
            </w:r>
            <w:r>
              <w:rPr>
                <w:rFonts w:hint="eastAsia" w:ascii="宋体" w:hAnsi="宋体" w:eastAsia="宋体" w:cs="宋体"/>
                <w:color w:val="auto"/>
                <w:kern w:val="2"/>
                <w:szCs w:val="21"/>
                <w:highlight w:val="none"/>
                <w:lang w:val="en-US" w:eastAsia="zh-CN"/>
              </w:rPr>
              <w:t>2分，市级的每项得1分，</w:t>
            </w:r>
            <w:r>
              <w:rPr>
                <w:rFonts w:hint="eastAsia" w:ascii="宋体" w:hAnsi="宋体" w:eastAsia="宋体" w:cs="宋体"/>
                <w:color w:val="auto"/>
                <w:kern w:val="2"/>
                <w:szCs w:val="21"/>
                <w:highlight w:val="none"/>
              </w:rPr>
              <w:t>本项最高得</w:t>
            </w:r>
            <w:r>
              <w:rPr>
                <w:rFonts w:hint="eastAsia" w:ascii="宋体" w:hAnsi="宋体" w:eastAsia="宋体" w:cs="宋体"/>
                <w:color w:val="auto"/>
                <w:kern w:val="2"/>
                <w:szCs w:val="21"/>
                <w:highlight w:val="none"/>
                <w:lang w:val="en-US" w:eastAsia="zh-CN"/>
              </w:rPr>
              <w:t>6</w:t>
            </w:r>
            <w:r>
              <w:rPr>
                <w:rFonts w:hint="eastAsia" w:ascii="宋体" w:hAnsi="宋体" w:eastAsia="宋体" w:cs="宋体"/>
                <w:color w:val="auto"/>
                <w:kern w:val="2"/>
                <w:szCs w:val="21"/>
                <w:highlight w:val="none"/>
              </w:rPr>
              <w:t xml:space="preserve">分。注：①颁发单位包括行政区政府、建设行政主管部门或行业协会；②获奖时间以获奖证书颁发时间或网上公示获奖时间为准；③需提供获奖证书复印件或网上公示获奖页面截图凭证、得奖项目不重复记分。 </w:t>
            </w:r>
          </w:p>
        </w:tc>
        <w:tc>
          <w:tcPr>
            <w:tcW w:w="240" w:type="dxa"/>
            <w:shd w:val="clear" w:color="auto" w:fill="auto"/>
            <w:vAlign w:val="center"/>
          </w:tcPr>
          <w:p>
            <w:pPr>
              <w:spacing w:line="360" w:lineRule="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snapToGrid w:val="0"/>
              <w:spacing w:line="360" w:lineRule="auto"/>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snapToGrid w:val="0"/>
              <w:spacing w:line="360" w:lineRule="auto"/>
              <w:ind w:left="-2" w:leftChars="-1"/>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人员</w:t>
            </w:r>
            <w:r>
              <w:rPr>
                <w:rFonts w:hint="eastAsia" w:ascii="宋体" w:hAnsi="宋体" w:eastAsia="宋体" w:cs="宋体"/>
                <w:color w:val="auto"/>
                <w:sz w:val="21"/>
                <w:szCs w:val="21"/>
                <w:highlight w:val="none"/>
                <w:lang w:eastAsia="zh-CN"/>
              </w:rPr>
              <w:t>配置</w:t>
            </w:r>
          </w:p>
        </w:tc>
        <w:tc>
          <w:tcPr>
            <w:tcW w:w="709" w:type="dxa"/>
            <w:shd w:val="clear" w:color="auto" w:fill="auto"/>
            <w:vAlign w:val="center"/>
          </w:tcPr>
          <w:p>
            <w:pPr>
              <w:spacing w:line="360" w:lineRule="auto"/>
              <w:ind w:left="-2" w:leftChars="-1"/>
              <w:jc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szCs w:val="21"/>
                <w:highlight w:val="none"/>
                <w:lang w:val="en-US" w:eastAsia="zh-CN"/>
              </w:rPr>
              <w:t>4</w:t>
            </w:r>
          </w:p>
        </w:tc>
        <w:tc>
          <w:tcPr>
            <w:tcW w:w="9797" w:type="dxa"/>
            <w:shd w:val="clear" w:color="auto" w:fill="auto"/>
            <w:vAlign w:val="center"/>
          </w:tcPr>
          <w:p>
            <w:pPr>
              <w:numPr>
                <w:ilvl w:val="-1"/>
                <w:numId w:val="0"/>
              </w:numPr>
              <w:spacing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1、项目负责人具有</w:t>
            </w:r>
            <w:r>
              <w:rPr>
                <w:rFonts w:hint="eastAsia" w:ascii="宋体" w:hAnsi="宋体" w:eastAsia="宋体" w:cs="宋体"/>
                <w:color w:val="auto"/>
                <w:sz w:val="21"/>
                <w:szCs w:val="21"/>
                <w:highlight w:val="none"/>
                <w:u w:val="none"/>
              </w:rPr>
              <w:t>建筑工程专业</w:t>
            </w:r>
            <w:r>
              <w:rPr>
                <w:rFonts w:hint="eastAsia" w:ascii="宋体" w:hAnsi="宋体" w:eastAsia="宋体" w:cs="宋体"/>
                <w:color w:val="auto"/>
                <w:sz w:val="21"/>
                <w:szCs w:val="21"/>
                <w:highlight w:val="none"/>
                <w:u w:val="none"/>
                <w:lang w:eastAsia="zh-CN"/>
              </w:rPr>
              <w:t>一</w:t>
            </w:r>
            <w:r>
              <w:rPr>
                <w:rFonts w:hint="eastAsia" w:ascii="宋体" w:hAnsi="宋体" w:eastAsia="宋体" w:cs="宋体"/>
                <w:color w:val="auto"/>
                <w:sz w:val="21"/>
                <w:szCs w:val="21"/>
                <w:highlight w:val="none"/>
                <w:u w:val="none"/>
              </w:rPr>
              <w:t>级注册建造师</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lang w:val="en-US" w:eastAsia="zh-CN"/>
              </w:rPr>
              <w:t>得2分。</w:t>
            </w:r>
          </w:p>
          <w:p>
            <w:pPr>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技术负责人</w:t>
            </w:r>
            <w:r>
              <w:rPr>
                <w:rFonts w:hint="eastAsia" w:ascii="宋体" w:hAnsi="宋体" w:eastAsia="宋体" w:cs="宋体"/>
                <w:color w:val="auto"/>
                <w:sz w:val="21"/>
                <w:szCs w:val="21"/>
                <w:highlight w:val="none"/>
                <w:lang w:eastAsia="zh-CN"/>
              </w:rPr>
              <w:t>具有</w:t>
            </w:r>
            <w:r>
              <w:rPr>
                <w:rFonts w:hint="eastAsia" w:ascii="宋体" w:hAnsi="宋体" w:eastAsia="宋体" w:cs="宋体"/>
                <w:color w:val="auto"/>
                <w:sz w:val="21"/>
                <w:szCs w:val="21"/>
                <w:highlight w:val="none"/>
                <w:u w:val="none"/>
              </w:rPr>
              <w:t>建筑工程相关专业</w:t>
            </w:r>
            <w:r>
              <w:rPr>
                <w:rFonts w:hint="eastAsia" w:ascii="宋体" w:hAnsi="宋体" w:eastAsia="宋体" w:cs="宋体"/>
                <w:color w:val="auto"/>
                <w:sz w:val="21"/>
                <w:szCs w:val="21"/>
                <w:highlight w:val="none"/>
                <w:u w:val="none"/>
                <w:lang w:val="en-US" w:eastAsia="zh-CN"/>
              </w:rPr>
              <w:t>高</w:t>
            </w:r>
            <w:r>
              <w:rPr>
                <w:rFonts w:hint="eastAsia" w:ascii="宋体" w:hAnsi="宋体" w:eastAsia="宋体" w:cs="宋体"/>
                <w:color w:val="auto"/>
                <w:sz w:val="21"/>
                <w:szCs w:val="21"/>
                <w:highlight w:val="none"/>
                <w:u w:val="none"/>
              </w:rPr>
              <w:t>级工程师或以上职称</w:t>
            </w:r>
            <w:r>
              <w:rPr>
                <w:rFonts w:hint="eastAsia" w:ascii="宋体" w:hAnsi="宋体" w:eastAsia="宋体" w:cs="宋体"/>
                <w:color w:val="auto"/>
                <w:sz w:val="21"/>
                <w:szCs w:val="21"/>
                <w:highlight w:val="none"/>
                <w:lang w:val="en-US" w:eastAsia="zh-CN"/>
              </w:rPr>
              <w:t>的，得2分。</w:t>
            </w:r>
          </w:p>
          <w:p>
            <w:pPr>
              <w:spacing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本项最多得4分。</w:t>
            </w:r>
          </w:p>
        </w:tc>
        <w:tc>
          <w:tcPr>
            <w:tcW w:w="240" w:type="dxa"/>
            <w:shd w:val="clear" w:color="auto" w:fill="auto"/>
            <w:vAlign w:val="center"/>
          </w:tcPr>
          <w:p>
            <w:pPr>
              <w:spacing w:line="360" w:lineRule="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9" w:hRule="atLeast"/>
          <w:jc w:val="center"/>
        </w:trPr>
        <w:tc>
          <w:tcPr>
            <w:tcW w:w="643" w:type="dxa"/>
            <w:vMerge w:val="restart"/>
            <w:shd w:val="clear" w:color="auto" w:fill="auto"/>
            <w:vAlign w:val="center"/>
          </w:tcPr>
          <w:p>
            <w:pPr>
              <w:snapToGrid w:val="0"/>
              <w:spacing w:line="360" w:lineRule="auto"/>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pStyle w:val="2"/>
              <w:spacing w:line="360" w:lineRule="auto"/>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ascii="宋体" w:hAnsi="宋体" w:eastAsia="宋体" w:cs="宋体"/>
                <w:b w:val="0"/>
                <w:bCs/>
                <w:color w:val="auto"/>
                <w:szCs w:val="21"/>
                <w:highlight w:val="none"/>
                <w:lang w:val="en-US" w:eastAsia="zh-CN"/>
              </w:rPr>
              <w:t>25分</w:t>
            </w:r>
            <w:r>
              <w:rPr>
                <w:rFonts w:hint="eastAsia" w:ascii="宋体" w:hAnsi="宋体" w:eastAsia="宋体" w:cs="宋体"/>
                <w:b w:val="0"/>
                <w:bCs/>
                <w:color w:val="auto"/>
                <w:szCs w:val="21"/>
                <w:highlight w:val="none"/>
                <w:lang w:eastAsia="zh-CN"/>
              </w:rPr>
              <w:t>）</w:t>
            </w:r>
          </w:p>
          <w:p>
            <w:pPr>
              <w:snapToGrid w:val="0"/>
              <w:spacing w:line="360" w:lineRule="auto"/>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autoSpaceDE w:val="0"/>
              <w:autoSpaceDN w:val="0"/>
              <w:adjustRightInd w:val="0"/>
              <w:spacing w:line="360" w:lineRule="auto"/>
              <w:jc w:val="center"/>
              <w:rPr>
                <w:rFonts w:hint="eastAsia" w:ascii="宋体" w:hAnsi="宋体" w:eastAsia="宋体" w:cs="宋体"/>
                <w:strike/>
                <w:color w:val="auto"/>
                <w:kern w:val="2"/>
                <w:sz w:val="21"/>
                <w:szCs w:val="21"/>
                <w:highlight w:val="none"/>
                <w:lang w:val="en-US" w:eastAsia="zh-CN" w:bidi="ar-SA"/>
              </w:rPr>
            </w:pPr>
            <w:r>
              <w:rPr>
                <w:rFonts w:hint="eastAsia" w:ascii="宋体" w:hAnsi="宋体"/>
                <w:color w:val="auto"/>
                <w:highlight w:val="none"/>
                <w:lang w:eastAsia="zh-CN"/>
              </w:rPr>
              <w:t>施工组织方案</w:t>
            </w:r>
          </w:p>
        </w:tc>
        <w:tc>
          <w:tcPr>
            <w:tcW w:w="709" w:type="dxa"/>
            <w:shd w:val="clear" w:color="auto" w:fill="auto"/>
            <w:vAlign w:val="center"/>
          </w:tcPr>
          <w:p>
            <w:pPr>
              <w:spacing w:line="360" w:lineRule="auto"/>
              <w:jc w:val="center"/>
              <w:rPr>
                <w:rFonts w:hint="eastAsia" w:ascii="宋体" w:hAnsi="宋体" w:eastAsia="宋体" w:cs="宋体"/>
                <w:strike/>
                <w:color w:val="auto"/>
                <w:kern w:val="2"/>
                <w:position w:val="8"/>
                <w:sz w:val="21"/>
                <w:szCs w:val="21"/>
                <w:highlight w:val="none"/>
                <w:lang w:val="en-US" w:eastAsia="zh-CN" w:bidi="ar-SA"/>
              </w:rPr>
            </w:pPr>
            <w:r>
              <w:rPr>
                <w:rFonts w:hint="eastAsia" w:ascii="宋体" w:hAnsi="宋体" w:eastAsia="宋体" w:cs="宋体"/>
                <w:strike/>
                <w:color w:val="auto"/>
                <w:position w:val="8"/>
                <w:szCs w:val="21"/>
                <w:highlight w:val="none"/>
                <w:lang w:val="en-US" w:eastAsia="zh-CN"/>
              </w:rPr>
              <w:t>25</w:t>
            </w:r>
          </w:p>
        </w:tc>
        <w:tc>
          <w:tcPr>
            <w:tcW w:w="9797" w:type="dxa"/>
            <w:shd w:val="clear" w:color="auto" w:fill="auto"/>
            <w:vAlign w:val="center"/>
          </w:tcPr>
          <w:p>
            <w:pPr>
              <w:adjustRightInd/>
              <w:snapToGrid/>
              <w:spacing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对施工组织方案进行评价，内容包括人员架构、质量控制措施、进度计划及保证措施、安全文明施工管理措施、疫情防控措施等方面。</w:t>
            </w:r>
          </w:p>
          <w:p>
            <w:pPr>
              <w:adjustRightInd/>
              <w:snapToGrid/>
              <w:spacing w:line="360" w:lineRule="auto"/>
              <w:rPr>
                <w:rFonts w:hint="eastAsia" w:ascii="宋体" w:hAnsi="宋体"/>
                <w:color w:val="auto"/>
                <w:highlight w:val="none"/>
              </w:rPr>
            </w:pPr>
            <w:r>
              <w:rPr>
                <w:rFonts w:hint="eastAsia" w:ascii="宋体" w:hAnsi="宋体"/>
                <w:color w:val="auto"/>
                <w:highlight w:val="none"/>
                <w:lang w:val="en-US" w:eastAsia="zh-CN"/>
              </w:rPr>
              <w:t>优：</w:t>
            </w:r>
            <w:r>
              <w:rPr>
                <w:rFonts w:hint="eastAsia" w:ascii="宋体" w:hAnsi="宋体"/>
                <w:color w:val="auto"/>
                <w:highlight w:val="none"/>
                <w:lang w:eastAsia="zh-CN"/>
              </w:rPr>
              <w:t>方案</w:t>
            </w:r>
            <w:r>
              <w:rPr>
                <w:rFonts w:hint="eastAsia" w:ascii="宋体" w:hAnsi="宋体"/>
                <w:color w:val="auto"/>
                <w:highlight w:val="none"/>
              </w:rPr>
              <w:t>内容详细完整，计划安排合理，得</w:t>
            </w:r>
            <w:r>
              <w:rPr>
                <w:rFonts w:hint="eastAsia" w:ascii="宋体" w:hAnsi="宋体"/>
                <w:color w:val="auto"/>
                <w:highlight w:val="none"/>
                <w:lang w:val="en-US" w:eastAsia="zh-CN"/>
              </w:rPr>
              <w:t>20-25分</w:t>
            </w:r>
            <w:r>
              <w:rPr>
                <w:rFonts w:hint="eastAsia" w:ascii="宋体" w:hAnsi="宋体"/>
                <w:color w:val="auto"/>
                <w:highlight w:val="none"/>
              </w:rPr>
              <w:t>；</w:t>
            </w:r>
          </w:p>
          <w:p>
            <w:pPr>
              <w:adjustRightInd/>
              <w:snapToGrid/>
              <w:spacing w:line="360" w:lineRule="auto"/>
              <w:rPr>
                <w:rFonts w:hint="eastAsia" w:ascii="宋体" w:hAnsi="宋体"/>
                <w:color w:val="auto"/>
                <w:highlight w:val="none"/>
              </w:rPr>
            </w:pPr>
            <w:r>
              <w:rPr>
                <w:rFonts w:hint="eastAsia" w:ascii="宋体" w:hAnsi="宋体"/>
                <w:color w:val="auto"/>
                <w:highlight w:val="none"/>
                <w:lang w:val="en-US" w:eastAsia="zh-CN"/>
              </w:rPr>
              <w:t>中：</w:t>
            </w:r>
            <w:r>
              <w:rPr>
                <w:rFonts w:hint="eastAsia" w:ascii="宋体" w:hAnsi="宋体"/>
                <w:color w:val="auto"/>
                <w:highlight w:val="none"/>
                <w:lang w:eastAsia="zh-CN"/>
              </w:rPr>
              <w:t>方案</w:t>
            </w:r>
            <w:r>
              <w:rPr>
                <w:rFonts w:hint="eastAsia" w:ascii="宋体" w:hAnsi="宋体"/>
                <w:color w:val="auto"/>
                <w:highlight w:val="none"/>
              </w:rPr>
              <w:t>内容基本详细完整，计划安排基本合理，得</w:t>
            </w:r>
            <w:r>
              <w:rPr>
                <w:rFonts w:hint="eastAsia" w:ascii="宋体" w:hAnsi="宋体"/>
                <w:color w:val="auto"/>
                <w:highlight w:val="none"/>
                <w:lang w:val="en-US" w:eastAsia="zh-CN"/>
              </w:rPr>
              <w:t>12-19分</w:t>
            </w:r>
            <w:r>
              <w:rPr>
                <w:rFonts w:hint="eastAsia" w:ascii="宋体" w:hAnsi="宋体"/>
                <w:color w:val="auto"/>
                <w:highlight w:val="none"/>
              </w:rPr>
              <w:t>；</w:t>
            </w:r>
          </w:p>
          <w:p>
            <w:pPr>
              <w:adjustRightInd/>
              <w:snapToGrid/>
              <w:spacing w:line="360" w:lineRule="auto"/>
              <w:rPr>
                <w:rFonts w:hint="eastAsia" w:ascii="宋体" w:hAnsi="宋体"/>
                <w:color w:val="auto"/>
                <w:highlight w:val="none"/>
              </w:rPr>
            </w:pPr>
            <w:r>
              <w:rPr>
                <w:rFonts w:hint="eastAsia" w:ascii="宋体" w:hAnsi="宋体"/>
                <w:color w:val="auto"/>
                <w:highlight w:val="none"/>
                <w:lang w:val="en-US" w:eastAsia="zh-CN"/>
              </w:rPr>
              <w:t>差：</w:t>
            </w:r>
            <w:r>
              <w:rPr>
                <w:rFonts w:hint="eastAsia" w:ascii="宋体" w:hAnsi="宋体"/>
                <w:color w:val="auto"/>
                <w:highlight w:val="none"/>
                <w:lang w:eastAsia="zh-CN"/>
              </w:rPr>
              <w:t>方案</w:t>
            </w:r>
            <w:r>
              <w:rPr>
                <w:rFonts w:hint="eastAsia" w:ascii="宋体" w:hAnsi="宋体"/>
                <w:color w:val="auto"/>
                <w:highlight w:val="none"/>
              </w:rPr>
              <w:t>内容</w:t>
            </w:r>
            <w:r>
              <w:rPr>
                <w:rFonts w:hint="eastAsia" w:ascii="宋体" w:hAnsi="宋体"/>
                <w:color w:val="auto"/>
                <w:highlight w:val="none"/>
                <w:lang w:val="en-US" w:eastAsia="zh-CN"/>
              </w:rPr>
              <w:t>不详细</w:t>
            </w:r>
            <w:r>
              <w:rPr>
                <w:rFonts w:hint="eastAsia" w:ascii="宋体" w:hAnsi="宋体"/>
                <w:color w:val="auto"/>
                <w:highlight w:val="none"/>
              </w:rPr>
              <w:t>，计划安排</w:t>
            </w:r>
            <w:r>
              <w:rPr>
                <w:rFonts w:hint="eastAsia" w:ascii="宋体" w:hAnsi="宋体"/>
                <w:color w:val="auto"/>
                <w:highlight w:val="none"/>
                <w:lang w:val="en-US" w:eastAsia="zh-CN"/>
              </w:rPr>
              <w:t>较差</w:t>
            </w:r>
            <w:r>
              <w:rPr>
                <w:rFonts w:hint="eastAsia" w:ascii="宋体" w:hAnsi="宋体"/>
                <w:color w:val="auto"/>
                <w:highlight w:val="none"/>
              </w:rPr>
              <w:t>，得</w:t>
            </w:r>
            <w:r>
              <w:rPr>
                <w:rFonts w:hint="eastAsia" w:ascii="宋体" w:hAnsi="宋体"/>
                <w:color w:val="auto"/>
                <w:highlight w:val="none"/>
                <w:lang w:val="en-US" w:eastAsia="zh-CN"/>
              </w:rPr>
              <w:t>0-11分</w:t>
            </w:r>
            <w:r>
              <w:rPr>
                <w:rFonts w:hint="eastAsia" w:ascii="宋体" w:hAnsi="宋体"/>
                <w:color w:val="auto"/>
                <w:highlight w:val="none"/>
              </w:rPr>
              <w:t>；</w:t>
            </w:r>
          </w:p>
          <w:p>
            <w:pPr>
              <w:spacing w:line="360" w:lineRule="auto"/>
              <w:rPr>
                <w:rFonts w:hint="eastAsia" w:ascii="宋体" w:hAnsi="宋体" w:eastAsia="宋体" w:cs="宋体"/>
                <w:strike/>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本项最多得25分。</w:t>
            </w:r>
          </w:p>
        </w:tc>
        <w:tc>
          <w:tcPr>
            <w:tcW w:w="240" w:type="dxa"/>
            <w:shd w:val="clear" w:color="auto" w:fill="auto"/>
            <w:vAlign w:val="center"/>
          </w:tcPr>
          <w:p>
            <w:pPr>
              <w:spacing w:line="360" w:lineRule="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jc w:val="center"/>
        </w:trPr>
        <w:tc>
          <w:tcPr>
            <w:tcW w:w="643" w:type="dxa"/>
            <w:shd w:val="clear" w:color="auto" w:fill="auto"/>
            <w:vAlign w:val="center"/>
          </w:tcPr>
          <w:p>
            <w:pPr>
              <w:snapToGrid w:val="0"/>
              <w:spacing w:line="360" w:lineRule="auto"/>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经济部分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50分</w:t>
            </w:r>
            <w:r>
              <w:rPr>
                <w:rFonts w:hint="eastAsia" w:ascii="宋体" w:hAnsi="宋体" w:eastAsia="宋体" w:cs="宋体"/>
                <w:color w:val="auto"/>
                <w:szCs w:val="21"/>
                <w:highlight w:val="none"/>
                <w:lang w:eastAsia="zh-CN"/>
              </w:rPr>
              <w:t>）</w:t>
            </w:r>
          </w:p>
        </w:tc>
        <w:tc>
          <w:tcPr>
            <w:tcW w:w="1406" w:type="dxa"/>
            <w:shd w:val="clear" w:color="auto" w:fill="auto"/>
            <w:vAlign w:val="center"/>
          </w:tcPr>
          <w:p>
            <w:pPr>
              <w:snapToGrid w:val="0"/>
              <w:spacing w:line="360" w:lineRule="auto"/>
              <w:ind w:left="-2" w:leftChars="-1"/>
              <w:jc w:val="center"/>
              <w:rPr>
                <w:rFonts w:hint="eastAsia" w:ascii="宋体" w:hAnsi="宋体" w:eastAsia="宋体" w:cs="宋体"/>
                <w:color w:val="auto"/>
                <w:szCs w:val="21"/>
                <w:highlight w:val="none"/>
              </w:rPr>
            </w:pPr>
          </w:p>
          <w:p>
            <w:pPr>
              <w:snapToGrid w:val="0"/>
              <w:spacing w:line="360" w:lineRule="auto"/>
              <w:ind w:left="-2" w:leftChars="-1"/>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50分</w:t>
            </w:r>
            <w:r>
              <w:rPr>
                <w:rFonts w:hint="eastAsia" w:ascii="宋体" w:hAnsi="宋体" w:eastAsia="宋体" w:cs="宋体"/>
                <w:color w:val="auto"/>
                <w:szCs w:val="21"/>
                <w:highlight w:val="none"/>
                <w:lang w:eastAsia="zh-CN"/>
              </w:rPr>
              <w:t>）</w:t>
            </w:r>
          </w:p>
        </w:tc>
        <w:tc>
          <w:tcPr>
            <w:tcW w:w="709" w:type="dxa"/>
            <w:shd w:val="clear" w:color="auto" w:fill="auto"/>
            <w:vAlign w:val="center"/>
          </w:tcPr>
          <w:p>
            <w:pPr>
              <w:spacing w:line="360" w:lineRule="auto"/>
              <w:ind w:left="-2" w:leftChars="-1"/>
              <w:jc w:val="center"/>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50</w:t>
            </w:r>
          </w:p>
        </w:tc>
        <w:tc>
          <w:tcPr>
            <w:tcW w:w="9797" w:type="dxa"/>
            <w:shd w:val="clear" w:color="auto" w:fill="auto"/>
          </w:tcPr>
          <w:p>
            <w:pPr>
              <w:spacing w:line="360" w:lineRule="auto"/>
              <w:ind w:firstLine="315" w:firstLineChars="1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若经过符合性审查，（</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3至5家的，则</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单位的有效报价的</w:t>
            </w:r>
            <w:r>
              <w:rPr>
                <w:rFonts w:hint="eastAsia" w:ascii="宋体" w:hAnsi="宋体" w:eastAsia="宋体" w:cs="宋体"/>
                <w:color w:val="auto"/>
                <w:szCs w:val="21"/>
                <w:highlight w:val="none"/>
                <w:lang w:eastAsia="zh-CN"/>
              </w:rPr>
              <w:t>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6家或以上的，则去掉有效</w:t>
            </w:r>
            <w:r>
              <w:rPr>
                <w:rFonts w:hint="eastAsia" w:ascii="宋体" w:hAnsi="宋体" w:eastAsia="宋体" w:cs="宋体"/>
                <w:color w:val="auto"/>
                <w:szCs w:val="21"/>
                <w:highlight w:val="none"/>
                <w:lang w:eastAsia="zh-CN"/>
              </w:rPr>
              <w:t>报价最高及最低的</w:t>
            </w:r>
            <w:r>
              <w:rPr>
                <w:rFonts w:hint="eastAsia" w:ascii="宋体" w:hAnsi="宋体" w:eastAsia="宋体" w:cs="宋体"/>
                <w:color w:val="auto"/>
                <w:szCs w:val="21"/>
                <w:highlight w:val="none"/>
                <w:lang w:val="en-US" w:eastAsia="zh-CN"/>
              </w:rPr>
              <w:t>2家单位后，以其他</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w:t>
            </w:r>
            <w:r>
              <w:rPr>
                <w:rFonts w:hint="eastAsia" w:ascii="宋体" w:hAnsi="宋体" w:eastAsia="宋体" w:cs="宋体"/>
                <w:color w:val="auto"/>
                <w:szCs w:val="21"/>
                <w:highlight w:val="none"/>
                <w:lang w:eastAsia="zh-CN"/>
              </w:rPr>
              <w:t>有效报价的算术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p>
          <w:p>
            <w:pPr>
              <w:spacing w:line="360" w:lineRule="auto"/>
              <w:ind w:firstLine="315" w:firstLineChars="1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等于基准价为满分</w:t>
            </w:r>
            <w:r>
              <w:rPr>
                <w:rFonts w:hint="eastAsia" w:ascii="宋体" w:hAnsi="宋体" w:eastAsia="宋体" w:cs="宋体"/>
                <w:color w:val="auto"/>
                <w:szCs w:val="21"/>
                <w:highlight w:val="none"/>
                <w:lang w:val="en-US" w:eastAsia="zh-CN"/>
              </w:rPr>
              <w:t>50</w:t>
            </w:r>
            <w:r>
              <w:rPr>
                <w:rFonts w:hint="eastAsia" w:ascii="宋体" w:hAnsi="宋体" w:eastAsia="宋体" w:cs="宋体"/>
                <w:color w:val="auto"/>
                <w:szCs w:val="21"/>
                <w:highlight w:val="none"/>
              </w:rPr>
              <w:t>分，高于基准价的1%扣</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分，低于基准价的1%扣</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分，以此类推。最低得分0分。得分保留两位小数。</w:t>
            </w:r>
            <w:r>
              <w:rPr>
                <w:rFonts w:hint="eastAsia" w:ascii="宋体" w:hAnsi="宋体" w:eastAsia="宋体" w:cs="宋体"/>
                <w:color w:val="auto"/>
                <w:szCs w:val="21"/>
                <w:highlight w:val="none"/>
                <w:lang w:eastAsia="zh-CN"/>
              </w:rPr>
              <w:t>计算公式如下：</w:t>
            </w:r>
          </w:p>
          <w:p>
            <w:pPr>
              <w:pStyle w:val="9"/>
              <w:numPr>
                <w:ilvl w:val="0"/>
                <w:numId w:val="12"/>
              </w:num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报价等于基准价的，得分=50。</w:t>
            </w:r>
          </w:p>
          <w:p>
            <w:pPr>
              <w:pStyle w:val="9"/>
              <w:numPr>
                <w:ilvl w:val="0"/>
                <w:numId w:val="12"/>
              </w:num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报价高于基准价的，得分=50-[（报价-基准价）/基准价]×100×1</w:t>
            </w:r>
          </w:p>
          <w:p>
            <w:pPr>
              <w:pStyle w:val="9"/>
              <w:numPr>
                <w:ilvl w:val="0"/>
                <w:numId w:val="12"/>
              </w:num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报价低于基准价的，得分=50-[（基准价-报价）/基准价]×100×0.5</w:t>
            </w:r>
          </w:p>
        </w:tc>
        <w:tc>
          <w:tcPr>
            <w:tcW w:w="240" w:type="dxa"/>
            <w:shd w:val="clear" w:color="auto" w:fill="auto"/>
            <w:vAlign w:val="center"/>
          </w:tcPr>
          <w:p>
            <w:pPr>
              <w:spacing w:line="360" w:lineRule="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shd w:val="clear" w:color="auto" w:fill="auto"/>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09" w:type="dxa"/>
            <w:shd w:val="clear" w:color="auto" w:fill="auto"/>
            <w:vAlign w:val="center"/>
          </w:tcPr>
          <w:p>
            <w:pPr>
              <w:spacing w:line="360" w:lineRule="auto"/>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9797" w:type="dxa"/>
            <w:shd w:val="clear" w:color="auto" w:fill="auto"/>
            <w:vAlign w:val="center"/>
          </w:tcPr>
          <w:p>
            <w:pPr>
              <w:spacing w:line="360" w:lineRule="auto"/>
              <w:ind w:left="-2" w:leftChars="-1"/>
              <w:rPr>
                <w:rFonts w:hint="eastAsia" w:ascii="宋体" w:hAnsi="宋体" w:eastAsia="宋体" w:cs="宋体"/>
                <w:color w:val="auto"/>
                <w:sz w:val="21"/>
                <w:szCs w:val="21"/>
                <w:highlight w:val="none"/>
              </w:rPr>
            </w:pPr>
          </w:p>
        </w:tc>
        <w:tc>
          <w:tcPr>
            <w:tcW w:w="240" w:type="dxa"/>
            <w:shd w:val="clear" w:color="auto" w:fill="auto"/>
            <w:vAlign w:val="center"/>
          </w:tcPr>
          <w:p>
            <w:pPr>
              <w:spacing w:line="360" w:lineRule="auto"/>
              <w:ind w:left="-2" w:leftChars="-1"/>
              <w:rPr>
                <w:rFonts w:hint="eastAsia" w:ascii="宋体" w:hAnsi="宋体" w:eastAsia="宋体" w:cs="宋体"/>
                <w:color w:val="auto"/>
                <w:sz w:val="21"/>
                <w:szCs w:val="21"/>
                <w:highlight w:val="none"/>
              </w:rPr>
            </w:pP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18"/>
          <w:highlight w:val="none"/>
          <w:lang w:val="en-US" w:eastAsia="zh-CN"/>
        </w:rPr>
        <w:t>1</w:t>
      </w:r>
      <w:r>
        <w:rPr>
          <w:rFonts w:hint="eastAsia" w:ascii="宋体" w:hAnsi="宋体" w:cs="宋体"/>
          <w:color w:val="auto"/>
          <w:szCs w:val="18"/>
          <w:highlight w:val="none"/>
        </w:rPr>
        <w:t>、项目负责人、</w:t>
      </w:r>
      <w:r>
        <w:rPr>
          <w:rFonts w:hint="eastAsia" w:ascii="宋体" w:hAnsi="宋体" w:cs="宋体"/>
          <w:color w:val="auto"/>
          <w:szCs w:val="18"/>
          <w:highlight w:val="none"/>
          <w:lang w:eastAsia="zh-CN"/>
        </w:rPr>
        <w:t>技术</w:t>
      </w:r>
      <w:r>
        <w:rPr>
          <w:rFonts w:hint="eastAsia" w:ascii="宋体" w:hAnsi="宋体" w:cs="宋体"/>
          <w:color w:val="auto"/>
          <w:szCs w:val="18"/>
          <w:highlight w:val="none"/>
        </w:rPr>
        <w:t>负责人注册关系必须在本单位，以上注册及职称均需提供相应证明材料。</w:t>
      </w:r>
    </w:p>
    <w:p>
      <w:pPr>
        <w:snapToGrid w:val="0"/>
        <w:ind w:firstLine="420" w:firstLineChars="200"/>
        <w:rPr>
          <w:rFonts w:hint="eastAsia" w:ascii="宋体" w:hAnsi="宋体" w:cs="宋体"/>
          <w:color w:val="auto"/>
          <w:szCs w:val="18"/>
          <w:highlight w:val="none"/>
          <w:lang w:eastAsia="zh-CN"/>
        </w:rPr>
      </w:pPr>
      <w:r>
        <w:rPr>
          <w:rFonts w:hint="eastAsia" w:ascii="宋体" w:hAnsi="宋体" w:cs="宋体"/>
          <w:color w:val="auto"/>
          <w:szCs w:val="18"/>
          <w:highlight w:val="none"/>
          <w:lang w:val="en-US" w:eastAsia="zh-CN"/>
        </w:rPr>
        <w:t>2</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cs="宋体"/>
          <w:color w:val="auto"/>
          <w:szCs w:val="18"/>
          <w:highlight w:val="none"/>
          <w:lang w:eastAsia="zh-CN"/>
        </w:rPr>
        <w:t>。</w:t>
      </w:r>
    </w:p>
    <w:p>
      <w:pPr>
        <w:pStyle w:val="21"/>
        <w:ind w:firstLine="0" w:firstLineChars="0"/>
        <w:rPr>
          <w:rFonts w:hint="eastAsia" w:ascii="宋体" w:hAnsi="宋体" w:eastAsia="宋体" w:cs="宋体"/>
          <w:color w:val="auto"/>
          <w:szCs w:val="21"/>
          <w:highlight w:val="none"/>
          <w:lang w:val="en-US" w:eastAsia="zh-CN"/>
        </w:rPr>
        <w:sectPr>
          <w:pgSz w:w="15840" w:h="12240" w:orient="landscape"/>
          <w:pgMar w:top="1797" w:right="1440" w:bottom="1797" w:left="1440" w:header="720" w:footer="720" w:gutter="0"/>
          <w:cols w:space="425" w:num="1"/>
          <w:docGrid w:linePitch="312" w:charSpace="0"/>
        </w:sectPr>
      </w:pPr>
      <w:r>
        <w:rPr>
          <w:rFonts w:hint="eastAsia" w:ascii="宋体" w:hAnsi="宋体" w:cs="宋体"/>
          <w:color w:val="auto"/>
          <w:szCs w:val="21"/>
          <w:highlight w:val="none"/>
          <w:lang w:val="en-US" w:eastAsia="zh-CN"/>
        </w:rPr>
        <w:t xml:space="preserve">    3、项目负责人、技术负责人需</w:t>
      </w:r>
      <w:r>
        <w:rPr>
          <w:rFonts w:hint="eastAsia" w:ascii="宋体" w:hAnsi="宋体" w:eastAsia="宋体" w:cs="宋体"/>
          <w:color w:val="auto"/>
          <w:sz w:val="21"/>
          <w:szCs w:val="21"/>
          <w:highlight w:val="none"/>
        </w:rPr>
        <w:t>提供</w:t>
      </w:r>
      <w:r>
        <w:rPr>
          <w:rFonts w:hint="eastAsia" w:ascii="宋体" w:hAnsi="宋体" w:cs="宋体"/>
          <w:color w:val="auto"/>
          <w:sz w:val="21"/>
          <w:szCs w:val="21"/>
          <w:highlight w:val="none"/>
          <w:lang w:eastAsia="zh-CN"/>
        </w:rPr>
        <w:t>相关</w:t>
      </w:r>
      <w:r>
        <w:rPr>
          <w:rFonts w:hint="eastAsia" w:ascii="宋体" w:hAnsi="宋体" w:eastAsia="宋体" w:cs="宋体"/>
          <w:color w:val="auto"/>
          <w:kern w:val="0"/>
          <w:sz w:val="21"/>
          <w:szCs w:val="21"/>
          <w:highlight w:val="none"/>
          <w:lang w:val="en-US" w:eastAsia="zh-CN"/>
        </w:rPr>
        <w:t>资格证、</w:t>
      </w:r>
      <w:r>
        <w:rPr>
          <w:rFonts w:hint="eastAsia" w:ascii="宋体" w:hAnsi="宋体" w:eastAsia="宋体" w:cs="宋体"/>
          <w:color w:val="auto"/>
          <w:sz w:val="21"/>
          <w:szCs w:val="21"/>
          <w:highlight w:val="none"/>
        </w:rPr>
        <w:t>职称证书</w:t>
      </w:r>
      <w:r>
        <w:rPr>
          <w:rFonts w:hint="eastAsia" w:ascii="宋体" w:hAnsi="宋体" w:cs="宋体"/>
          <w:color w:val="auto"/>
          <w:sz w:val="21"/>
          <w:szCs w:val="21"/>
          <w:highlight w:val="none"/>
          <w:lang w:val="en-US" w:eastAsia="zh-CN"/>
        </w:rPr>
        <w:t>复印件</w:t>
      </w:r>
      <w:r>
        <w:rPr>
          <w:rFonts w:hint="eastAsia" w:ascii="宋体" w:hAnsi="宋体" w:eastAsia="宋体" w:cs="宋体"/>
          <w:color w:val="auto"/>
          <w:sz w:val="21"/>
          <w:szCs w:val="21"/>
          <w:highlight w:val="none"/>
        </w:rPr>
        <w:t>，需提供上述人员在本单位购买的近</w:t>
      </w:r>
      <w:r>
        <w:rPr>
          <w:rFonts w:hint="eastAsia" w:ascii="宋体" w:hAnsi="宋体" w:cs="宋体"/>
          <w:color w:val="auto"/>
          <w:sz w:val="21"/>
          <w:szCs w:val="21"/>
          <w:highlight w:val="none"/>
          <w:lang w:eastAsia="zh-CN"/>
        </w:rPr>
        <w:t>一</w:t>
      </w:r>
      <w:r>
        <w:rPr>
          <w:rFonts w:hint="eastAsia" w:ascii="宋体" w:hAnsi="宋体" w:eastAsia="宋体" w:cs="宋体"/>
          <w:color w:val="auto"/>
          <w:sz w:val="21"/>
          <w:szCs w:val="21"/>
          <w:highlight w:val="none"/>
        </w:rPr>
        <w:t>个月</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2022年8月</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的社保证明</w:t>
      </w:r>
      <w:r>
        <w:rPr>
          <w:rFonts w:hint="eastAsia" w:ascii="宋体" w:hAnsi="宋体" w:cs="宋体"/>
          <w:color w:val="auto"/>
          <w:sz w:val="21"/>
          <w:szCs w:val="21"/>
          <w:highlight w:val="none"/>
          <w:lang w:eastAsia="zh-CN"/>
        </w:rPr>
        <w:t>复印件</w:t>
      </w:r>
      <w:r>
        <w:rPr>
          <w:rFonts w:hint="eastAsia" w:ascii="宋体" w:hAnsi="宋体" w:eastAsia="宋体" w:cs="宋体"/>
          <w:color w:val="auto"/>
          <w:sz w:val="21"/>
          <w:szCs w:val="21"/>
          <w:highlight w:val="none"/>
        </w:rPr>
        <w:t>，本项目社保缴纳期限包含疫情期，若当地政府部门允许企业在疫情期间缓缴社会保险费且投标人未缴纳的，投标人可提供当地政府部门允许缓缴社保的相关文件作为疫情期缴纳社保的证明。</w:t>
      </w:r>
      <w:r>
        <w:rPr>
          <w:rFonts w:hint="eastAsia" w:ascii="宋体" w:hAnsi="宋体" w:eastAsia="宋体" w:cs="宋体"/>
          <w:color w:val="auto"/>
          <w:kern w:val="0"/>
          <w:sz w:val="21"/>
          <w:szCs w:val="21"/>
          <w:highlight w:val="none"/>
        </w:rPr>
        <w:t>所有证明材料均须加盖公章</w:t>
      </w:r>
      <w:r>
        <w:rPr>
          <w:rFonts w:hint="eastAsia" w:ascii="宋体" w:hAnsi="宋体" w:cs="宋体"/>
          <w:color w:val="auto"/>
          <w:kern w:val="0"/>
          <w:sz w:val="21"/>
          <w:szCs w:val="21"/>
          <w:highlight w:val="none"/>
          <w:lang w:eastAsia="zh-CN"/>
        </w:rPr>
        <w:t>。</w:t>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3</w:t>
      </w:r>
      <w:r>
        <w:rPr>
          <w:rFonts w:hint="eastAsia" w:ascii="宋体" w:hAnsi="宋体"/>
          <w:color w:val="auto"/>
          <w:sz w:val="24"/>
          <w:highlight w:val="none"/>
        </w:rPr>
        <w:t>：</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36"/>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广州南沙湿地旅游发展有限公司</w:t>
      </w:r>
      <w:r>
        <w:rPr>
          <w:rFonts w:hint="eastAsia" w:ascii="宋体" w:hAnsi="宋体" w:eastAsia="宋体"/>
          <w:color w:val="auto"/>
          <w:sz w:val="24"/>
          <w:szCs w:val="24"/>
          <w:highlight w:val="none"/>
          <w:u w:val="single"/>
        </w:rPr>
        <w:t xml:space="preserve">、广州南沙建设维护管理有限公司 </w:t>
      </w:r>
    </w:p>
    <w:p>
      <w:pPr>
        <w:pStyle w:val="36"/>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pacing w:val="20"/>
          <w:sz w:val="24"/>
          <w:szCs w:val="24"/>
          <w:highlight w:val="none"/>
          <w:u w:val="single"/>
          <w:lang w:eastAsia="zh-CN"/>
        </w:rPr>
        <w:t>南沙湿地景区竹构项目（观鸟塔、观鸟亭、湿地之眼）施工总承包</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6"/>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7"/>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6"/>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6"/>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9"/>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979B9C2"/>
    <w:multiLevelType w:val="singleLevel"/>
    <w:tmpl w:val="C979B9C2"/>
    <w:lvl w:ilvl="0" w:tentative="0">
      <w:start w:val="1"/>
      <w:numFmt w:val="decimal"/>
      <w:suff w:val="nothing"/>
      <w:lvlText w:val="（%1）"/>
      <w:lvlJc w:val="left"/>
    </w:lvl>
  </w:abstractNum>
  <w:abstractNum w:abstractNumId="2">
    <w:nsid w:val="CB8718C6"/>
    <w:multiLevelType w:val="singleLevel"/>
    <w:tmpl w:val="CB8718C6"/>
    <w:lvl w:ilvl="0" w:tentative="0">
      <w:start w:val="3"/>
      <w:numFmt w:val="decimal"/>
      <w:suff w:val="nothing"/>
      <w:lvlText w:val="%1、"/>
      <w:lvlJc w:val="left"/>
    </w:lvl>
  </w:abstractNum>
  <w:abstractNum w:abstractNumId="3">
    <w:nsid w:val="DDE55ED8"/>
    <w:multiLevelType w:val="singleLevel"/>
    <w:tmpl w:val="DDE55ED8"/>
    <w:lvl w:ilvl="0" w:tentative="0">
      <w:start w:val="1"/>
      <w:numFmt w:val="decimal"/>
      <w:suff w:val="nothing"/>
      <w:lvlText w:val="（%1）"/>
      <w:lvlJc w:val="left"/>
    </w:lvl>
  </w:abstractNum>
  <w:abstractNum w:abstractNumId="4">
    <w:nsid w:val="F9153F42"/>
    <w:multiLevelType w:val="singleLevel"/>
    <w:tmpl w:val="F9153F42"/>
    <w:lvl w:ilvl="0" w:tentative="0">
      <w:start w:val="1"/>
      <w:numFmt w:val="decimal"/>
      <w:suff w:val="nothing"/>
      <w:lvlText w:val="%1、"/>
      <w:lvlJc w:val="left"/>
    </w:lvl>
  </w:abstractNum>
  <w:abstractNum w:abstractNumId="5">
    <w:nsid w:val="0D1BE669"/>
    <w:multiLevelType w:val="singleLevel"/>
    <w:tmpl w:val="0D1BE669"/>
    <w:lvl w:ilvl="0" w:tentative="0">
      <w:start w:val="1"/>
      <w:numFmt w:val="decimal"/>
      <w:suff w:val="nothing"/>
      <w:lvlText w:val="（%1）"/>
      <w:lvlJc w:val="left"/>
    </w:lvl>
  </w:abstractNum>
  <w:abstractNum w:abstractNumId="6">
    <w:nsid w:val="383DB360"/>
    <w:multiLevelType w:val="singleLevel"/>
    <w:tmpl w:val="383DB360"/>
    <w:lvl w:ilvl="0" w:tentative="0">
      <w:start w:val="1"/>
      <w:numFmt w:val="decimal"/>
      <w:suff w:val="nothing"/>
      <w:lvlText w:val="%1、"/>
      <w:lvlJc w:val="left"/>
    </w:lvl>
  </w:abstractNum>
  <w:abstractNum w:abstractNumId="7">
    <w:nsid w:val="5B6EC61D"/>
    <w:multiLevelType w:val="singleLevel"/>
    <w:tmpl w:val="5B6EC61D"/>
    <w:lvl w:ilvl="0" w:tentative="0">
      <w:start w:val="1"/>
      <w:numFmt w:val="decimal"/>
      <w:suff w:val="nothing"/>
      <w:lvlText w:val="%1、"/>
      <w:lvlJc w:val="left"/>
    </w:lvl>
  </w:abstractNum>
  <w:abstractNum w:abstractNumId="8">
    <w:nsid w:val="633C1E7E"/>
    <w:multiLevelType w:val="singleLevel"/>
    <w:tmpl w:val="633C1E7E"/>
    <w:lvl w:ilvl="0" w:tentative="0">
      <w:start w:val="4"/>
      <w:numFmt w:val="chineseCounting"/>
      <w:suff w:val="nothing"/>
      <w:lvlText w:val="%1、"/>
      <w:lvlJc w:val="left"/>
      <w:rPr>
        <w:rFonts w:hint="eastAsia"/>
      </w:rPr>
    </w:lvl>
  </w:abstractNum>
  <w:abstractNum w:abstractNumId="9">
    <w:nsid w:val="6E90CDAA"/>
    <w:multiLevelType w:val="singleLevel"/>
    <w:tmpl w:val="6E90CDAA"/>
    <w:lvl w:ilvl="0" w:tentative="0">
      <w:start w:val="1"/>
      <w:numFmt w:val="decimal"/>
      <w:suff w:val="nothing"/>
      <w:lvlText w:val="%1、"/>
      <w:lvlJc w:val="left"/>
    </w:lvl>
  </w:abstractNum>
  <w:abstractNum w:abstractNumId="10">
    <w:nsid w:val="71BD1A65"/>
    <w:multiLevelType w:val="singleLevel"/>
    <w:tmpl w:val="71BD1A65"/>
    <w:lvl w:ilvl="0" w:tentative="0">
      <w:start w:val="1"/>
      <w:numFmt w:val="chineseCounting"/>
      <w:suff w:val="nothing"/>
      <w:lvlText w:val="%1、"/>
      <w:lvlJc w:val="left"/>
      <w:rPr>
        <w:rFonts w:hint="eastAsia"/>
      </w:rPr>
    </w:lvl>
  </w:abstractNum>
  <w:abstractNum w:abstractNumId="11">
    <w:nsid w:val="7A7B36A8"/>
    <w:multiLevelType w:val="singleLevel"/>
    <w:tmpl w:val="7A7B36A8"/>
    <w:lvl w:ilvl="0" w:tentative="0">
      <w:start w:val="33"/>
      <w:numFmt w:val="decimal"/>
      <w:suff w:val="nothing"/>
      <w:lvlText w:val="%1．"/>
      <w:lvlJc w:val="left"/>
    </w:lvl>
  </w:abstractNum>
  <w:num w:numId="1">
    <w:abstractNumId w:val="7"/>
  </w:num>
  <w:num w:numId="2">
    <w:abstractNumId w:val="2"/>
  </w:num>
  <w:num w:numId="3">
    <w:abstractNumId w:val="11"/>
  </w:num>
  <w:num w:numId="4">
    <w:abstractNumId w:val="10"/>
  </w:num>
  <w:num w:numId="5">
    <w:abstractNumId w:val="6"/>
  </w:num>
  <w:num w:numId="6">
    <w:abstractNumId w:val="3"/>
  </w:num>
  <w:num w:numId="7">
    <w:abstractNumId w:val="1"/>
  </w:num>
  <w:num w:numId="8">
    <w:abstractNumId w:val="5"/>
  </w:num>
  <w:num w:numId="9">
    <w:abstractNumId w:val="8"/>
  </w:num>
  <w:num w:numId="10">
    <w:abstractNumId w:val="9"/>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jMjg4NjNjMGQ5OWQxMjU2NzFkNWEwMzQxMDU5MzI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E9680F"/>
    <w:rsid w:val="02F7533D"/>
    <w:rsid w:val="030457ED"/>
    <w:rsid w:val="03562994"/>
    <w:rsid w:val="03CB6D70"/>
    <w:rsid w:val="04364A4F"/>
    <w:rsid w:val="04376975"/>
    <w:rsid w:val="044C08C6"/>
    <w:rsid w:val="04E40895"/>
    <w:rsid w:val="051B7598"/>
    <w:rsid w:val="052E78DA"/>
    <w:rsid w:val="059A4101"/>
    <w:rsid w:val="07F66A4C"/>
    <w:rsid w:val="083B43B1"/>
    <w:rsid w:val="08757A2C"/>
    <w:rsid w:val="08A9464F"/>
    <w:rsid w:val="08D505E6"/>
    <w:rsid w:val="09062DA7"/>
    <w:rsid w:val="09577D3C"/>
    <w:rsid w:val="09A667E8"/>
    <w:rsid w:val="0A31358E"/>
    <w:rsid w:val="0A621C44"/>
    <w:rsid w:val="0B372B92"/>
    <w:rsid w:val="0B9510F4"/>
    <w:rsid w:val="0BFF40FB"/>
    <w:rsid w:val="0C855B7E"/>
    <w:rsid w:val="0C87037B"/>
    <w:rsid w:val="0CF74903"/>
    <w:rsid w:val="0DAC0CE6"/>
    <w:rsid w:val="0E1B10A8"/>
    <w:rsid w:val="0E80564C"/>
    <w:rsid w:val="0EA03B8A"/>
    <w:rsid w:val="0EAC0C18"/>
    <w:rsid w:val="0EB25F9A"/>
    <w:rsid w:val="0F263AB3"/>
    <w:rsid w:val="0F587445"/>
    <w:rsid w:val="0F8D0176"/>
    <w:rsid w:val="0FD73768"/>
    <w:rsid w:val="10A4638E"/>
    <w:rsid w:val="10D83B3D"/>
    <w:rsid w:val="110579E2"/>
    <w:rsid w:val="11135DC8"/>
    <w:rsid w:val="11D31BC3"/>
    <w:rsid w:val="11F528ED"/>
    <w:rsid w:val="12E86716"/>
    <w:rsid w:val="130F5872"/>
    <w:rsid w:val="134A310C"/>
    <w:rsid w:val="13E640E2"/>
    <w:rsid w:val="13E744B7"/>
    <w:rsid w:val="14082F52"/>
    <w:rsid w:val="14085DAD"/>
    <w:rsid w:val="14233C6D"/>
    <w:rsid w:val="14452035"/>
    <w:rsid w:val="1448567A"/>
    <w:rsid w:val="145B3800"/>
    <w:rsid w:val="15B036FB"/>
    <w:rsid w:val="16007AF5"/>
    <w:rsid w:val="17463991"/>
    <w:rsid w:val="179E3273"/>
    <w:rsid w:val="17B90BF7"/>
    <w:rsid w:val="17E977C8"/>
    <w:rsid w:val="1873680D"/>
    <w:rsid w:val="18E67433"/>
    <w:rsid w:val="18F12637"/>
    <w:rsid w:val="19095239"/>
    <w:rsid w:val="19314303"/>
    <w:rsid w:val="19A846E9"/>
    <w:rsid w:val="19BE3F0C"/>
    <w:rsid w:val="1A6525DA"/>
    <w:rsid w:val="1AB46DAB"/>
    <w:rsid w:val="1B6C2995"/>
    <w:rsid w:val="1BB630ED"/>
    <w:rsid w:val="1BC44893"/>
    <w:rsid w:val="1BE136FF"/>
    <w:rsid w:val="1C05708F"/>
    <w:rsid w:val="1C307374"/>
    <w:rsid w:val="1C9203A6"/>
    <w:rsid w:val="1E032835"/>
    <w:rsid w:val="1E562810"/>
    <w:rsid w:val="1E684B7F"/>
    <w:rsid w:val="1EBD45C4"/>
    <w:rsid w:val="1F1C5732"/>
    <w:rsid w:val="1F584BD1"/>
    <w:rsid w:val="205D447F"/>
    <w:rsid w:val="206E043A"/>
    <w:rsid w:val="20AD4C4C"/>
    <w:rsid w:val="21424D60"/>
    <w:rsid w:val="215321ED"/>
    <w:rsid w:val="224A02E7"/>
    <w:rsid w:val="227411DF"/>
    <w:rsid w:val="23EE6B47"/>
    <w:rsid w:val="24856237"/>
    <w:rsid w:val="25053D8A"/>
    <w:rsid w:val="25687B33"/>
    <w:rsid w:val="25791876"/>
    <w:rsid w:val="26236584"/>
    <w:rsid w:val="26826F29"/>
    <w:rsid w:val="26B94C66"/>
    <w:rsid w:val="26E679AD"/>
    <w:rsid w:val="26FF6942"/>
    <w:rsid w:val="272101A5"/>
    <w:rsid w:val="272B74FA"/>
    <w:rsid w:val="2751149E"/>
    <w:rsid w:val="2837076A"/>
    <w:rsid w:val="2865301D"/>
    <w:rsid w:val="28C86C87"/>
    <w:rsid w:val="29051210"/>
    <w:rsid w:val="294854D4"/>
    <w:rsid w:val="296119D7"/>
    <w:rsid w:val="2A97100B"/>
    <w:rsid w:val="2B401296"/>
    <w:rsid w:val="2BAE6875"/>
    <w:rsid w:val="2BB15108"/>
    <w:rsid w:val="2BEC17AE"/>
    <w:rsid w:val="2C0B6D4E"/>
    <w:rsid w:val="2C1B0D4A"/>
    <w:rsid w:val="2C5357E2"/>
    <w:rsid w:val="2D0635AD"/>
    <w:rsid w:val="2D691CC1"/>
    <w:rsid w:val="2D907150"/>
    <w:rsid w:val="2DDB1EBF"/>
    <w:rsid w:val="2DE71DA9"/>
    <w:rsid w:val="2DF963B5"/>
    <w:rsid w:val="2E516CA5"/>
    <w:rsid w:val="2E6C5CB5"/>
    <w:rsid w:val="2EC40C57"/>
    <w:rsid w:val="2EE433BF"/>
    <w:rsid w:val="2F9B6BBA"/>
    <w:rsid w:val="2FEA73B1"/>
    <w:rsid w:val="30136E93"/>
    <w:rsid w:val="30334755"/>
    <w:rsid w:val="30EC6390"/>
    <w:rsid w:val="311233CC"/>
    <w:rsid w:val="313B3F35"/>
    <w:rsid w:val="31B57180"/>
    <w:rsid w:val="33113670"/>
    <w:rsid w:val="34935BA4"/>
    <w:rsid w:val="34A264CA"/>
    <w:rsid w:val="34D4418C"/>
    <w:rsid w:val="357117E5"/>
    <w:rsid w:val="35830B03"/>
    <w:rsid w:val="3700775A"/>
    <w:rsid w:val="37A26BD4"/>
    <w:rsid w:val="37AE7FE3"/>
    <w:rsid w:val="37B54749"/>
    <w:rsid w:val="38417D8A"/>
    <w:rsid w:val="390B4D39"/>
    <w:rsid w:val="396E2E01"/>
    <w:rsid w:val="39731517"/>
    <w:rsid w:val="39F52602"/>
    <w:rsid w:val="39FC703A"/>
    <w:rsid w:val="3AC802EF"/>
    <w:rsid w:val="3B183024"/>
    <w:rsid w:val="3B6D4312"/>
    <w:rsid w:val="3BB718A6"/>
    <w:rsid w:val="3BC04127"/>
    <w:rsid w:val="3C1D67D7"/>
    <w:rsid w:val="3C3C7FF9"/>
    <w:rsid w:val="3C88543E"/>
    <w:rsid w:val="3CB7521C"/>
    <w:rsid w:val="3CE76215"/>
    <w:rsid w:val="3CFF0303"/>
    <w:rsid w:val="3D7619F9"/>
    <w:rsid w:val="3D957982"/>
    <w:rsid w:val="3D96007A"/>
    <w:rsid w:val="3F4915A0"/>
    <w:rsid w:val="3F5F332B"/>
    <w:rsid w:val="3F641BC2"/>
    <w:rsid w:val="3F8502F8"/>
    <w:rsid w:val="3FBE56FE"/>
    <w:rsid w:val="3FD704B2"/>
    <w:rsid w:val="403B7AF1"/>
    <w:rsid w:val="40531E6B"/>
    <w:rsid w:val="405854B3"/>
    <w:rsid w:val="40856110"/>
    <w:rsid w:val="408D1DBF"/>
    <w:rsid w:val="409313F9"/>
    <w:rsid w:val="40B7508E"/>
    <w:rsid w:val="40CA2819"/>
    <w:rsid w:val="41EC3A6C"/>
    <w:rsid w:val="42A2655E"/>
    <w:rsid w:val="43420D2F"/>
    <w:rsid w:val="436C5E0D"/>
    <w:rsid w:val="43F36E83"/>
    <w:rsid w:val="44631084"/>
    <w:rsid w:val="446A549B"/>
    <w:rsid w:val="44800368"/>
    <w:rsid w:val="44E811C0"/>
    <w:rsid w:val="45E74C1B"/>
    <w:rsid w:val="46871AD6"/>
    <w:rsid w:val="47025D0E"/>
    <w:rsid w:val="4735560E"/>
    <w:rsid w:val="47413F22"/>
    <w:rsid w:val="4792678F"/>
    <w:rsid w:val="47E03B89"/>
    <w:rsid w:val="481D5A38"/>
    <w:rsid w:val="487975A7"/>
    <w:rsid w:val="48E17BF2"/>
    <w:rsid w:val="48E72086"/>
    <w:rsid w:val="490B41C9"/>
    <w:rsid w:val="49732ED5"/>
    <w:rsid w:val="499C01CA"/>
    <w:rsid w:val="49EF5898"/>
    <w:rsid w:val="4A1079FD"/>
    <w:rsid w:val="4A1D620C"/>
    <w:rsid w:val="4AED722D"/>
    <w:rsid w:val="4B3D40BA"/>
    <w:rsid w:val="4BC136D0"/>
    <w:rsid w:val="4BF328A0"/>
    <w:rsid w:val="4C2E17B4"/>
    <w:rsid w:val="4C81677F"/>
    <w:rsid w:val="4D195C1E"/>
    <w:rsid w:val="4D904DD7"/>
    <w:rsid w:val="4D9C287D"/>
    <w:rsid w:val="4DC04FA6"/>
    <w:rsid w:val="4DC53F66"/>
    <w:rsid w:val="4E2A0E48"/>
    <w:rsid w:val="4FC91A1A"/>
    <w:rsid w:val="5049448C"/>
    <w:rsid w:val="50DB6247"/>
    <w:rsid w:val="51531E87"/>
    <w:rsid w:val="51552F81"/>
    <w:rsid w:val="51653245"/>
    <w:rsid w:val="51AB2104"/>
    <w:rsid w:val="525A7F6F"/>
    <w:rsid w:val="52760C06"/>
    <w:rsid w:val="530E35F9"/>
    <w:rsid w:val="53427976"/>
    <w:rsid w:val="534F55FA"/>
    <w:rsid w:val="53A07C03"/>
    <w:rsid w:val="53A63423"/>
    <w:rsid w:val="53B638D1"/>
    <w:rsid w:val="54386D63"/>
    <w:rsid w:val="54A36172"/>
    <w:rsid w:val="54BC0EE8"/>
    <w:rsid w:val="55D41C4B"/>
    <w:rsid w:val="55EF6A29"/>
    <w:rsid w:val="5702252D"/>
    <w:rsid w:val="572444C0"/>
    <w:rsid w:val="576D49E8"/>
    <w:rsid w:val="57B957CF"/>
    <w:rsid w:val="594F1692"/>
    <w:rsid w:val="59566C52"/>
    <w:rsid w:val="597674DD"/>
    <w:rsid w:val="5A416E84"/>
    <w:rsid w:val="5AAF5CCA"/>
    <w:rsid w:val="5B6E68B8"/>
    <w:rsid w:val="5B6F6839"/>
    <w:rsid w:val="5B8D6C19"/>
    <w:rsid w:val="5BAA698D"/>
    <w:rsid w:val="5BCE61FA"/>
    <w:rsid w:val="5C9B134E"/>
    <w:rsid w:val="5D5E6B65"/>
    <w:rsid w:val="5DAA1580"/>
    <w:rsid w:val="5DF14932"/>
    <w:rsid w:val="5DFF04E8"/>
    <w:rsid w:val="5E1A6FB5"/>
    <w:rsid w:val="5E7A3CE2"/>
    <w:rsid w:val="5E960581"/>
    <w:rsid w:val="5F355496"/>
    <w:rsid w:val="5F8349F8"/>
    <w:rsid w:val="5F865CD7"/>
    <w:rsid w:val="5F925D77"/>
    <w:rsid w:val="5FDC4484"/>
    <w:rsid w:val="60940C89"/>
    <w:rsid w:val="60BA0556"/>
    <w:rsid w:val="60F61E20"/>
    <w:rsid w:val="61A7533B"/>
    <w:rsid w:val="621244D5"/>
    <w:rsid w:val="62B2296D"/>
    <w:rsid w:val="62B247EF"/>
    <w:rsid w:val="62C07765"/>
    <w:rsid w:val="636147EE"/>
    <w:rsid w:val="63DB6B9E"/>
    <w:rsid w:val="64D4770D"/>
    <w:rsid w:val="65B441A4"/>
    <w:rsid w:val="65D8147F"/>
    <w:rsid w:val="66373494"/>
    <w:rsid w:val="66591B82"/>
    <w:rsid w:val="68550B65"/>
    <w:rsid w:val="6898637C"/>
    <w:rsid w:val="68B16D7B"/>
    <w:rsid w:val="68BA7003"/>
    <w:rsid w:val="691C25EA"/>
    <w:rsid w:val="698555C7"/>
    <w:rsid w:val="6A066DEA"/>
    <w:rsid w:val="6C281E78"/>
    <w:rsid w:val="6C307E68"/>
    <w:rsid w:val="6C920572"/>
    <w:rsid w:val="6DB227E4"/>
    <w:rsid w:val="6DBE1759"/>
    <w:rsid w:val="6DC31ECB"/>
    <w:rsid w:val="6E307289"/>
    <w:rsid w:val="6E656845"/>
    <w:rsid w:val="6F471F5D"/>
    <w:rsid w:val="6F891280"/>
    <w:rsid w:val="6F8E74DB"/>
    <w:rsid w:val="70727FF1"/>
    <w:rsid w:val="70836CF8"/>
    <w:rsid w:val="70CF07C8"/>
    <w:rsid w:val="710F157A"/>
    <w:rsid w:val="71840FD7"/>
    <w:rsid w:val="718C3480"/>
    <w:rsid w:val="721D56A4"/>
    <w:rsid w:val="72BF7C4E"/>
    <w:rsid w:val="72F3401B"/>
    <w:rsid w:val="731416B4"/>
    <w:rsid w:val="73712518"/>
    <w:rsid w:val="738A0204"/>
    <w:rsid w:val="738E7AB2"/>
    <w:rsid w:val="73EF0074"/>
    <w:rsid w:val="74624F7D"/>
    <w:rsid w:val="74B72A06"/>
    <w:rsid w:val="7546516B"/>
    <w:rsid w:val="75AF555B"/>
    <w:rsid w:val="763204BA"/>
    <w:rsid w:val="767D2F83"/>
    <w:rsid w:val="76F3488A"/>
    <w:rsid w:val="77281C38"/>
    <w:rsid w:val="7741229E"/>
    <w:rsid w:val="781828A1"/>
    <w:rsid w:val="781C3DC0"/>
    <w:rsid w:val="78780B98"/>
    <w:rsid w:val="788E06C1"/>
    <w:rsid w:val="78D76423"/>
    <w:rsid w:val="78D86E43"/>
    <w:rsid w:val="79566D81"/>
    <w:rsid w:val="79B10E72"/>
    <w:rsid w:val="79E02BD8"/>
    <w:rsid w:val="7A2B55F9"/>
    <w:rsid w:val="7A3458D0"/>
    <w:rsid w:val="7A4B048B"/>
    <w:rsid w:val="7A7C35B8"/>
    <w:rsid w:val="7A96669D"/>
    <w:rsid w:val="7AC70013"/>
    <w:rsid w:val="7B672810"/>
    <w:rsid w:val="7B681B66"/>
    <w:rsid w:val="7C561F60"/>
    <w:rsid w:val="7C6B2EC5"/>
    <w:rsid w:val="7C831CEC"/>
    <w:rsid w:val="7DDF7DDD"/>
    <w:rsid w:val="7E300909"/>
    <w:rsid w:val="7EC84C80"/>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5">
    <w:name w:val="Normal Indent"/>
    <w:basedOn w:val="1"/>
    <w:qFormat/>
    <w:uiPriority w:val="0"/>
    <w:pPr>
      <w:ind w:firstLine="420"/>
    </w:pPr>
    <w:rPr>
      <w:rFonts w:ascii="Times New Roman" w:hAnsi="Times New Roman" w:eastAsia="宋体" w:cs="Times New Roman"/>
      <w:szCs w:val="20"/>
    </w:rPr>
  </w:style>
  <w:style w:type="paragraph" w:styleId="6">
    <w:name w:val="annotation text"/>
    <w:basedOn w:val="1"/>
    <w:semiHidden/>
    <w:unhideWhenUsed/>
    <w:qFormat/>
    <w:uiPriority w:val="0"/>
    <w:pPr>
      <w:jc w:val="left"/>
    </w:pPr>
  </w:style>
  <w:style w:type="paragraph" w:styleId="7">
    <w:name w:val="Body Text"/>
    <w:basedOn w:val="1"/>
    <w:qFormat/>
    <w:uiPriority w:val="0"/>
  </w:style>
  <w:style w:type="paragraph" w:styleId="8">
    <w:name w:val="index 4"/>
    <w:basedOn w:val="1"/>
    <w:next w:val="1"/>
    <w:unhideWhenUsed/>
    <w:qFormat/>
    <w:uiPriority w:val="99"/>
    <w:pPr>
      <w:ind w:left="600" w:leftChars="600"/>
    </w:pPr>
  </w:style>
  <w:style w:type="paragraph" w:styleId="9">
    <w:name w:val="Plain Text"/>
    <w:basedOn w:val="1"/>
    <w:next w:val="1"/>
    <w:link w:val="33"/>
    <w:qFormat/>
    <w:uiPriority w:val="0"/>
    <w:rPr>
      <w:rFonts w:hint="eastAsia" w:ascii="宋体" w:hAnsi="Courier New" w:eastAsia="宋体" w:cs="Times New Roman"/>
      <w:szCs w:val="21"/>
    </w:rPr>
  </w:style>
  <w:style w:type="paragraph" w:styleId="10">
    <w:name w:val="Balloon Text"/>
    <w:basedOn w:val="1"/>
    <w:link w:val="31"/>
    <w:qFormat/>
    <w:uiPriority w:val="0"/>
    <w:rPr>
      <w:sz w:val="18"/>
      <w:szCs w:val="18"/>
    </w:rPr>
  </w:style>
  <w:style w:type="paragraph" w:styleId="11">
    <w:name w:val="footer"/>
    <w:basedOn w:val="1"/>
    <w:link w:val="30"/>
    <w:qFormat/>
    <w:uiPriority w:val="0"/>
    <w:pPr>
      <w:tabs>
        <w:tab w:val="center" w:pos="4153"/>
        <w:tab w:val="right" w:pos="8306"/>
      </w:tabs>
      <w:snapToGrid w:val="0"/>
      <w:jc w:val="left"/>
    </w:pPr>
    <w:rPr>
      <w:sz w:val="18"/>
      <w:szCs w:val="18"/>
    </w:rPr>
  </w:style>
  <w:style w:type="paragraph" w:styleId="12">
    <w:name w:val="header"/>
    <w:basedOn w:val="1"/>
    <w:link w:val="29"/>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eastAsia="宋体" w:cs="Times New Roman"/>
      <w:szCs w:val="21"/>
    </w:rPr>
  </w:style>
  <w:style w:type="paragraph" w:styleId="14">
    <w:name w:val="Body Text First Indent"/>
    <w:basedOn w:val="7"/>
    <w:link w:val="34"/>
    <w:qFormat/>
    <w:uiPriority w:val="0"/>
    <w:pPr>
      <w:spacing w:beforeAutospacing="1" w:after="120"/>
      <w:ind w:firstLine="420"/>
    </w:pPr>
    <w:rPr>
      <w:rFonts w:ascii="Times New Roman" w:hAnsi="Times New Roman" w:eastAsia="宋体" w:cs="Times New Roman"/>
      <w:szCs w:val="21"/>
    </w:rPr>
  </w:style>
  <w:style w:type="character" w:styleId="17">
    <w:name w:val="page number"/>
    <w:basedOn w:val="16"/>
    <w:qFormat/>
    <w:uiPriority w:val="0"/>
  </w:style>
  <w:style w:type="character" w:styleId="18">
    <w:name w:val="FollowedHyperlink"/>
    <w:basedOn w:val="16"/>
    <w:qFormat/>
    <w:uiPriority w:val="0"/>
    <w:rPr>
      <w:color w:val="0000FF"/>
      <w:u w:val="single"/>
    </w:rPr>
  </w:style>
  <w:style w:type="character" w:styleId="19">
    <w:name w:val="Hyperlink"/>
    <w:basedOn w:val="16"/>
    <w:qFormat/>
    <w:uiPriority w:val="0"/>
    <w:rPr>
      <w:color w:val="0000FF"/>
      <w:u w:val="single"/>
    </w:rPr>
  </w:style>
  <w:style w:type="paragraph" w:customStyle="1" w:styleId="20">
    <w:name w:val="样式 小四 行距: 1.5 倍行距"/>
    <w:basedOn w:val="1"/>
    <w:qFormat/>
    <w:uiPriority w:val="0"/>
    <w:pPr>
      <w:ind w:firstLine="480"/>
    </w:pPr>
    <w:rPr>
      <w:rFonts w:cs="宋体"/>
    </w:rPr>
  </w:style>
  <w:style w:type="paragraph" w:customStyle="1" w:styleId="21">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2">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3">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4">
    <w:name w:val="列出段落1"/>
    <w:basedOn w:val="1"/>
    <w:qFormat/>
    <w:uiPriority w:val="0"/>
    <w:pPr>
      <w:ind w:firstLine="420" w:firstLineChars="200"/>
    </w:pPr>
    <w:rPr>
      <w:rFonts w:ascii="Calibri" w:hAnsi="Calibri" w:eastAsia="宋体" w:cs="Times New Roman"/>
      <w:szCs w:val="21"/>
    </w:rPr>
  </w:style>
  <w:style w:type="paragraph" w:customStyle="1" w:styleId="25">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6">
    <w:name w:val="10"/>
    <w:basedOn w:val="16"/>
    <w:qFormat/>
    <w:uiPriority w:val="0"/>
    <w:rPr>
      <w:rFonts w:hint="default" w:ascii="Times New Roman" w:hAnsi="Times New Roman" w:cs="Times New Roman"/>
    </w:rPr>
  </w:style>
  <w:style w:type="character" w:customStyle="1" w:styleId="27">
    <w:name w:val="15"/>
    <w:basedOn w:val="16"/>
    <w:qFormat/>
    <w:uiPriority w:val="0"/>
    <w:rPr>
      <w:rFonts w:hint="default" w:ascii="Times New Roman" w:hAnsi="Times New Roman" w:cs="Times New Roman"/>
    </w:rPr>
  </w:style>
  <w:style w:type="character" w:customStyle="1" w:styleId="28">
    <w:name w:val="16"/>
    <w:basedOn w:val="16"/>
    <w:qFormat/>
    <w:uiPriority w:val="0"/>
    <w:rPr>
      <w:rFonts w:hint="default" w:ascii="Times New Roman" w:hAnsi="Times New Roman" w:cs="Times New Roman"/>
      <w:color w:val="0000FF"/>
      <w:u w:val="single"/>
    </w:rPr>
  </w:style>
  <w:style w:type="character" w:customStyle="1" w:styleId="29">
    <w:name w:val="页眉 Char"/>
    <w:basedOn w:val="16"/>
    <w:link w:val="12"/>
    <w:qFormat/>
    <w:uiPriority w:val="0"/>
    <w:rPr>
      <w:rFonts w:asciiTheme="minorHAnsi" w:hAnsiTheme="minorHAnsi" w:eastAsiaTheme="minorEastAsia" w:cstheme="minorBidi"/>
      <w:kern w:val="2"/>
      <w:sz w:val="18"/>
      <w:szCs w:val="18"/>
    </w:rPr>
  </w:style>
  <w:style w:type="character" w:customStyle="1" w:styleId="30">
    <w:name w:val="页脚 Char"/>
    <w:basedOn w:val="16"/>
    <w:link w:val="11"/>
    <w:qFormat/>
    <w:uiPriority w:val="0"/>
    <w:rPr>
      <w:rFonts w:asciiTheme="minorHAnsi" w:hAnsiTheme="minorHAnsi" w:eastAsiaTheme="minorEastAsia" w:cstheme="minorBidi"/>
      <w:kern w:val="2"/>
      <w:sz w:val="18"/>
      <w:szCs w:val="18"/>
    </w:rPr>
  </w:style>
  <w:style w:type="character" w:customStyle="1" w:styleId="31">
    <w:name w:val="批注框文本 Char"/>
    <w:basedOn w:val="16"/>
    <w:link w:val="10"/>
    <w:qFormat/>
    <w:uiPriority w:val="0"/>
    <w:rPr>
      <w:rFonts w:asciiTheme="minorHAnsi" w:hAnsiTheme="minorHAnsi" w:eastAsiaTheme="minorEastAsia" w:cstheme="minorBidi"/>
      <w:kern w:val="2"/>
      <w:sz w:val="18"/>
      <w:szCs w:val="18"/>
    </w:rPr>
  </w:style>
  <w:style w:type="paragraph" w:customStyle="1" w:styleId="32">
    <w:name w:val="WPSOffice手动目录 1"/>
    <w:qFormat/>
    <w:uiPriority w:val="0"/>
    <w:rPr>
      <w:rFonts w:ascii="Times New Roman" w:hAnsi="Times New Roman" w:eastAsia="宋体" w:cs="Times New Roman"/>
      <w:lang w:val="en-US" w:eastAsia="zh-CN" w:bidi="ar-SA"/>
    </w:rPr>
  </w:style>
  <w:style w:type="character" w:customStyle="1" w:styleId="33">
    <w:name w:val="纯文本 Char"/>
    <w:link w:val="9"/>
    <w:qFormat/>
    <w:uiPriority w:val="0"/>
    <w:rPr>
      <w:rFonts w:ascii="宋体" w:hAnsi="Courier New"/>
      <w:kern w:val="2"/>
      <w:sz w:val="21"/>
      <w:szCs w:val="21"/>
    </w:rPr>
  </w:style>
  <w:style w:type="character" w:customStyle="1" w:styleId="34">
    <w:name w:val="正文首行缩进 Char"/>
    <w:basedOn w:val="16"/>
    <w:link w:val="14"/>
    <w:qFormat/>
    <w:uiPriority w:val="0"/>
    <w:rPr>
      <w:kern w:val="2"/>
      <w:sz w:val="21"/>
      <w:szCs w:val="21"/>
    </w:rPr>
  </w:style>
  <w:style w:type="paragraph" w:styleId="35">
    <w:name w:val="List Paragraph"/>
    <w:basedOn w:val="1"/>
    <w:unhideWhenUsed/>
    <w:qFormat/>
    <w:uiPriority w:val="99"/>
    <w:pPr>
      <w:ind w:firstLine="420" w:firstLineChars="200"/>
    </w:pPr>
  </w:style>
  <w:style w:type="paragraph" w:customStyle="1" w:styleId="36">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7">
    <w:name w:val="发文落款"/>
    <w:basedOn w:val="36"/>
    <w:qFormat/>
    <w:uiPriority w:val="0"/>
    <w:pPr>
      <w:ind w:left="4094" w:right="607" w:firstLine="0"/>
      <w:jc w:val="center"/>
    </w:pPr>
  </w:style>
  <w:style w:type="character" w:customStyle="1" w:styleId="38">
    <w:name w:val="c Char1"/>
    <w:link w:val="39"/>
    <w:qFormat/>
    <w:uiPriority w:val="0"/>
    <w:rPr>
      <w:rFonts w:eastAsia="仿宋_GB2312" w:cs="宋体"/>
      <w:sz w:val="28"/>
    </w:rPr>
  </w:style>
  <w:style w:type="paragraph" w:customStyle="1" w:styleId="39">
    <w:name w:val="c"/>
    <w:basedOn w:val="1"/>
    <w:link w:val="38"/>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paragraph" w:customStyle="1" w:styleId="40">
    <w:name w:val="正文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41">
    <w:name w:val="BodyText"/>
    <w:basedOn w:val="1"/>
    <w:qFormat/>
    <w:uiPriority w:val="0"/>
    <w:pPr>
      <w:spacing w:after="120"/>
    </w:pPr>
    <w:rPr>
      <w:rFonts w:ascii="Times New Roman" w:hAnsi="Times New Roman"/>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42</Pages>
  <Words>15878</Words>
  <Characters>16723</Characters>
  <Lines>131</Lines>
  <Paragraphs>37</Paragraphs>
  <TotalTime>7</TotalTime>
  <ScaleCrop>false</ScaleCrop>
  <LinksUpToDate>false</LinksUpToDate>
  <CharactersWithSpaces>17737</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Lenovo</cp:lastModifiedBy>
  <cp:lastPrinted>2022-09-21T09:44:00Z</cp:lastPrinted>
  <dcterms:modified xsi:type="dcterms:W3CDTF">2022-09-22T08:49:53Z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B2AE60A911A343988CD39B428E2F6DEC</vt:lpwstr>
  </property>
</Properties>
</file>