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spacing w:before="0" w:beforeLines="-2147483648" w:line="360" w:lineRule="auto"/>
        <w:jc w:val="center"/>
        <w:rPr>
          <w:rFonts w:hint="eastAsia" w:ascii="宋体" w:hAnsi="宋体" w:eastAsia="黑体"/>
          <w:color w:val="auto"/>
          <w:sz w:val="48"/>
          <w:szCs w:val="48"/>
          <w:highlight w:val="none"/>
          <w:lang w:eastAsia="zh-CN"/>
        </w:rPr>
      </w:pPr>
      <w:r>
        <w:rPr>
          <w:rFonts w:hint="eastAsia" w:ascii="宋体" w:hAnsi="宋体" w:eastAsia="黑体"/>
          <w:color w:val="auto"/>
          <w:sz w:val="48"/>
          <w:szCs w:val="48"/>
          <w:highlight w:val="none"/>
          <w:lang w:eastAsia="zh-CN"/>
        </w:rPr>
        <w:t>广州市海防教育基地项目交通渡口码头工程</w:t>
      </w:r>
    </w:p>
    <w:p>
      <w:pPr>
        <w:spacing w:before="0" w:beforeLines="-2147483648" w:line="360" w:lineRule="auto"/>
        <w:jc w:val="center"/>
        <w:rPr>
          <w:rFonts w:ascii="宋体" w:hAnsi="宋体" w:eastAsia="黑体" w:cs="宋体"/>
          <w:b/>
          <w:color w:val="auto"/>
          <w:sz w:val="44"/>
          <w:szCs w:val="44"/>
          <w:highlight w:val="none"/>
        </w:rPr>
      </w:pPr>
      <w:r>
        <w:rPr>
          <w:rFonts w:hint="eastAsia" w:ascii="宋体" w:hAnsi="宋体" w:eastAsia="黑体"/>
          <w:color w:val="auto"/>
          <w:sz w:val="48"/>
          <w:szCs w:val="48"/>
          <w:highlight w:val="none"/>
          <w:lang w:eastAsia="zh-CN"/>
        </w:rPr>
        <w:t>施工监理</w:t>
      </w:r>
    </w:p>
    <w:p>
      <w:pPr>
        <w:jc w:val="center"/>
        <w:rPr>
          <w:rFonts w:ascii="宋体" w:hAnsi="宋体" w:eastAsia="宋体" w:cs="宋体"/>
          <w:color w:val="auto"/>
          <w:sz w:val="72"/>
          <w:szCs w:val="72"/>
          <w:highlight w:val="none"/>
        </w:rPr>
      </w:pPr>
      <w:r>
        <w:rPr>
          <w:rFonts w:hint="eastAsia" w:ascii="宋体" w:hAnsi="宋体" w:eastAsia="宋体" w:cs="宋体"/>
          <w:color w:val="auto"/>
          <w:sz w:val="44"/>
          <w:szCs w:val="44"/>
          <w:highlight w:val="none"/>
        </w:rPr>
        <w:t xml:space="preserve"> </w:t>
      </w:r>
    </w:p>
    <w:p>
      <w:pP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spacing w:line="520" w:lineRule="exact"/>
        <w:ind w:right="-101" w:rightChars="-48" w:firstLine="640" w:firstLineChars="200"/>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广州南沙旅游发展有限公司</w:t>
      </w:r>
      <w:r>
        <w:rPr>
          <w:rFonts w:hint="eastAsia" w:ascii="宋体" w:hAnsi="宋体" w:eastAsia="宋体" w:cs="宋体"/>
          <w:b/>
          <w:color w:val="auto"/>
          <w:sz w:val="32"/>
          <w:szCs w:val="32"/>
          <w:highlight w:val="none"/>
        </w:rPr>
        <w:t>（业主单位）</w:t>
      </w:r>
    </w:p>
    <w:p>
      <w:pPr>
        <w:spacing w:line="360" w:lineRule="auto"/>
        <w:ind w:firstLine="2123" w:firstLineChars="661"/>
        <w:rPr>
          <w:rFonts w:ascii="宋体" w:hAnsi="宋体" w:eastAsia="宋体" w:cs="宋体"/>
          <w:b/>
          <w:color w:val="auto"/>
          <w:sz w:val="32"/>
          <w:szCs w:val="32"/>
          <w:highlight w:val="none"/>
        </w:rPr>
      </w:pPr>
      <w:bookmarkStart w:id="0" w:name="OLE_LINK4"/>
      <w:bookmarkEnd w:id="0"/>
      <w:r>
        <w:rPr>
          <w:rFonts w:hint="eastAsia" w:ascii="宋体" w:hAnsi="宋体" w:eastAsia="宋体" w:cs="宋体"/>
          <w:b/>
          <w:color w:val="auto"/>
          <w:sz w:val="32"/>
          <w:szCs w:val="32"/>
          <w:highlight w:val="none"/>
        </w:rPr>
        <w:t>广州南沙建设维护管理有限公司（建设管理单位）</w:t>
      </w:r>
    </w:p>
    <w:p>
      <w:pPr>
        <w:spacing w:line="520" w:lineRule="exact"/>
        <w:ind w:right="-101" w:rightChars="-48" w:firstLine="1928" w:firstLineChars="600"/>
        <w:rPr>
          <w:rFonts w:ascii="宋体" w:hAnsi="宋体" w:eastAsia="宋体" w:cs="宋体"/>
          <w:color w:val="auto"/>
          <w:spacing w:val="28"/>
          <w:position w:val="8"/>
          <w:sz w:val="28"/>
          <w:szCs w:val="28"/>
          <w:highlight w:val="none"/>
        </w:rPr>
      </w:pPr>
      <w:r>
        <w:rPr>
          <w:rFonts w:hint="eastAsia" w:ascii="宋体" w:hAnsi="宋体" w:eastAsia="宋体" w:cs="宋体"/>
          <w:b/>
          <w:color w:val="auto"/>
          <w:sz w:val="32"/>
          <w:szCs w:val="32"/>
          <w:highlight w:val="none"/>
        </w:rPr>
        <w:t>日    期：2022年</w:t>
      </w:r>
      <w:r>
        <w:rPr>
          <w:rFonts w:hint="eastAsia" w:ascii="宋体" w:hAnsi="宋体" w:eastAsia="宋体" w:cs="宋体"/>
          <w:b/>
          <w:color w:val="auto"/>
          <w:sz w:val="32"/>
          <w:szCs w:val="32"/>
          <w:highlight w:val="none"/>
          <w:lang w:val="en-US" w:eastAsia="zh-CN"/>
        </w:rPr>
        <w:t>10</w:t>
      </w:r>
      <w:r>
        <w:rPr>
          <w:rFonts w:hint="eastAsia" w:ascii="宋体" w:hAnsi="宋体" w:eastAsia="宋体" w:cs="宋体"/>
          <w:b/>
          <w:color w:val="auto"/>
          <w:sz w:val="32"/>
          <w:szCs w:val="32"/>
          <w:highlight w:val="none"/>
          <w:lang w:eastAsia="zh-CN"/>
        </w:rPr>
        <w:t>月</w:t>
      </w:r>
      <w:r>
        <w:rPr>
          <w:rFonts w:hint="eastAsia" w:ascii="宋体" w:hAnsi="宋体" w:eastAsia="宋体" w:cs="宋体"/>
          <w:b/>
          <w:color w:val="auto"/>
          <w:sz w:val="32"/>
          <w:szCs w:val="32"/>
          <w:highlight w:val="none"/>
        </w:rPr>
        <w:t xml:space="preserve">  </w:t>
      </w:r>
    </w:p>
    <w:p>
      <w:pPr>
        <w:rPr>
          <w:rFonts w:ascii="黑体" w:hAnsi="宋体" w:eastAsia="黑体" w:cs="黑体"/>
          <w:color w:val="auto"/>
          <w:sz w:val="36"/>
          <w:szCs w:val="36"/>
          <w:highlight w:val="none"/>
        </w:rPr>
        <w:sectPr>
          <w:pgSz w:w="11915" w:h="16840"/>
          <w:pgMar w:top="1247" w:right="1135" w:bottom="1247" w:left="1361" w:header="720" w:footer="720" w:gutter="0"/>
          <w:cols w:space="425" w:num="1"/>
          <w:docGrid w:type="lines" w:linePitch="285" w:charSpace="0"/>
        </w:sectPr>
      </w:pPr>
      <w:bookmarkStart w:id="1" w:name="_Toc29976"/>
    </w:p>
    <w:p>
      <w:pPr>
        <w:rPr>
          <w:rFonts w:ascii="黑体" w:hAnsi="宋体" w:eastAsia="黑体" w:cs="黑体"/>
          <w:color w:val="auto"/>
          <w:sz w:val="36"/>
          <w:szCs w:val="36"/>
          <w:highlight w:val="none"/>
        </w:rPr>
      </w:pPr>
    </w:p>
    <w:bookmarkEnd w:id="1"/>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highlight w:val="none"/>
        </w:rPr>
      </w:sdtEndPr>
      <w:sdtContent>
        <w:p>
          <w:pPr>
            <w:spacing w:line="360" w:lineRule="auto"/>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pPr>
            <w:pStyle w:val="11"/>
            <w:tabs>
              <w:tab w:val="right" w:leader="dot" w:pos="9419"/>
            </w:tabs>
            <w:spacing w:line="360" w:lineRule="auto"/>
            <w:rPr>
              <w:color w:val="auto"/>
              <w:sz w:val="32"/>
              <w:szCs w:val="32"/>
              <w:highlight w:val="none"/>
            </w:rPr>
          </w:pPr>
          <w:r>
            <w:rPr>
              <w:rFonts w:hint="eastAsia" w:asciiTheme="minorEastAsia" w:hAnsiTheme="minorEastAsia" w:eastAsiaTheme="minorEastAsia" w:cstheme="minorEastAsia"/>
              <w:color w:val="auto"/>
              <w:sz w:val="32"/>
              <w:szCs w:val="32"/>
              <w:highlight w:val="none"/>
            </w:rPr>
            <w:fldChar w:fldCharType="begin"/>
          </w:r>
          <w:r>
            <w:rPr>
              <w:rFonts w:hint="eastAsia" w:asciiTheme="minorEastAsia" w:hAnsiTheme="minorEastAsia" w:eastAsiaTheme="minorEastAsia" w:cstheme="minorEastAsia"/>
              <w:color w:val="auto"/>
              <w:sz w:val="32"/>
              <w:szCs w:val="32"/>
              <w:highlight w:val="none"/>
            </w:rPr>
            <w:instrText xml:space="preserve">TOC \o "1-1" \h \u </w:instrText>
          </w:r>
          <w:r>
            <w:rPr>
              <w:rFonts w:hint="eastAsia" w:asciiTheme="minorEastAsia" w:hAnsiTheme="minorEastAsia" w:eastAsiaTheme="minorEastAsia" w:cstheme="minorEastAsia"/>
              <w:color w:val="auto"/>
              <w:sz w:val="32"/>
              <w:szCs w:val="32"/>
              <w:highlight w:val="none"/>
            </w:rPr>
            <w:fldChar w:fldCharType="separate"/>
          </w:r>
          <w:r>
            <w:rPr>
              <w:color w:val="auto"/>
              <w:highlight w:val="none"/>
            </w:rPr>
            <w:fldChar w:fldCharType="begin"/>
          </w:r>
          <w:r>
            <w:rPr>
              <w:color w:val="auto"/>
              <w:highlight w:val="none"/>
            </w:rPr>
            <w:instrText xml:space="preserve"> HYPERLINK \l "_Toc17710" </w:instrText>
          </w:r>
          <w:r>
            <w:rPr>
              <w:color w:val="auto"/>
              <w:highlight w:val="none"/>
            </w:rPr>
            <w:fldChar w:fldCharType="separate"/>
          </w:r>
          <w:r>
            <w:rPr>
              <w:rFonts w:hint="eastAsia" w:ascii="黑体" w:hAnsi="宋体" w:cs="黑体"/>
              <w:color w:val="auto"/>
              <w:kern w:val="44"/>
              <w:sz w:val="32"/>
              <w:szCs w:val="32"/>
              <w:highlight w:val="none"/>
            </w:rPr>
            <w:t>第1章 投标须知及前附表</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_Toc17710 \h </w:instrText>
          </w:r>
          <w:r>
            <w:rPr>
              <w:color w:val="auto"/>
              <w:sz w:val="32"/>
              <w:szCs w:val="32"/>
              <w:highlight w:val="none"/>
            </w:rPr>
            <w:fldChar w:fldCharType="separate"/>
          </w:r>
          <w:r>
            <w:rPr>
              <w:color w:val="auto"/>
              <w:sz w:val="32"/>
              <w:szCs w:val="32"/>
              <w:highlight w:val="none"/>
            </w:rPr>
            <w:t>1</w:t>
          </w:r>
          <w:r>
            <w:rPr>
              <w:color w:val="auto"/>
              <w:sz w:val="32"/>
              <w:szCs w:val="32"/>
              <w:highlight w:val="none"/>
            </w:rPr>
            <w:fldChar w:fldCharType="end"/>
          </w:r>
          <w:r>
            <w:rPr>
              <w:color w:val="auto"/>
              <w:sz w:val="32"/>
              <w:szCs w:val="32"/>
              <w:highlight w:val="none"/>
            </w:rPr>
            <w:fldChar w:fldCharType="end"/>
          </w:r>
        </w:p>
        <w:p>
          <w:pPr>
            <w:pStyle w:val="11"/>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"_Toc32057" </w:instrText>
          </w:r>
          <w:r>
            <w:rPr>
              <w:color w:val="auto"/>
              <w:highlight w:val="none"/>
            </w:rPr>
            <w:fldChar w:fldCharType="separate"/>
          </w:r>
          <w:r>
            <w:rPr>
              <w:rFonts w:hint="eastAsia" w:ascii="黑体" w:hAnsi="宋体" w:cs="黑体"/>
              <w:color w:val="auto"/>
              <w:kern w:val="44"/>
              <w:sz w:val="32"/>
              <w:szCs w:val="32"/>
              <w:highlight w:val="none"/>
            </w:rPr>
            <w:t>第2章  投标格式文件</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_Toc32057 \h </w:instrText>
          </w:r>
          <w:r>
            <w:rPr>
              <w:color w:val="auto"/>
              <w:sz w:val="32"/>
              <w:szCs w:val="32"/>
              <w:highlight w:val="none"/>
            </w:rPr>
            <w:fldChar w:fldCharType="separate"/>
          </w:r>
          <w:r>
            <w:rPr>
              <w:color w:val="auto"/>
              <w:sz w:val="32"/>
              <w:szCs w:val="32"/>
              <w:highlight w:val="none"/>
            </w:rPr>
            <w:t>14</w:t>
          </w:r>
          <w:r>
            <w:rPr>
              <w:color w:val="auto"/>
              <w:sz w:val="32"/>
              <w:szCs w:val="32"/>
              <w:highlight w:val="none"/>
            </w:rPr>
            <w:fldChar w:fldCharType="end"/>
          </w:r>
          <w:r>
            <w:rPr>
              <w:color w:val="auto"/>
              <w:sz w:val="32"/>
              <w:szCs w:val="32"/>
              <w:highlight w:val="none"/>
            </w:rPr>
            <w:fldChar w:fldCharType="end"/>
          </w:r>
        </w:p>
        <w:p>
          <w:pPr>
            <w:pStyle w:val="11"/>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"_Toc1265" </w:instrText>
          </w:r>
          <w:r>
            <w:rPr>
              <w:color w:val="auto"/>
              <w:highlight w:val="none"/>
            </w:rPr>
            <w:fldChar w:fldCharType="separate"/>
          </w:r>
          <w:r>
            <w:rPr>
              <w:rFonts w:hint="eastAsia" w:ascii="黑体" w:hAnsi="宋体" w:cs="黑体"/>
              <w:color w:val="auto"/>
              <w:kern w:val="44"/>
              <w:sz w:val="32"/>
              <w:szCs w:val="32"/>
              <w:highlight w:val="none"/>
            </w:rPr>
            <w:t>第3章 评标办法</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_Toc1265 \h </w:instrText>
          </w:r>
          <w:r>
            <w:rPr>
              <w:color w:val="auto"/>
              <w:sz w:val="32"/>
              <w:szCs w:val="32"/>
              <w:highlight w:val="none"/>
            </w:rPr>
            <w:fldChar w:fldCharType="separate"/>
          </w:r>
          <w:r>
            <w:rPr>
              <w:color w:val="auto"/>
              <w:sz w:val="32"/>
              <w:szCs w:val="32"/>
              <w:highlight w:val="none"/>
            </w:rPr>
            <w:t>26</w:t>
          </w:r>
          <w:r>
            <w:rPr>
              <w:color w:val="auto"/>
              <w:sz w:val="32"/>
              <w:szCs w:val="32"/>
              <w:highlight w:val="none"/>
            </w:rPr>
            <w:fldChar w:fldCharType="end"/>
          </w:r>
          <w:r>
            <w:rPr>
              <w:color w:val="auto"/>
              <w:sz w:val="32"/>
              <w:szCs w:val="32"/>
              <w:highlight w:val="none"/>
            </w:rPr>
            <w:fldChar w:fldCharType="end"/>
          </w:r>
        </w:p>
        <w:p>
          <w:pPr>
            <w:pStyle w:val="11"/>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"_Toc14580" </w:instrText>
          </w:r>
          <w:r>
            <w:rPr>
              <w:color w:val="auto"/>
              <w:highlight w:val="none"/>
            </w:rPr>
            <w:fldChar w:fldCharType="separate"/>
          </w:r>
          <w:r>
            <w:rPr>
              <w:rFonts w:hint="eastAsia" w:ascii="仿宋" w:hAnsi="仿宋" w:eastAsia="仿宋" w:cs="仿宋"/>
              <w:color w:val="auto"/>
              <w:sz w:val="32"/>
              <w:szCs w:val="32"/>
              <w:highlight w:val="none"/>
            </w:rPr>
            <w:t>附件1：符合性审查表</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_Toc14580 \h </w:instrText>
          </w:r>
          <w:r>
            <w:rPr>
              <w:color w:val="auto"/>
              <w:sz w:val="32"/>
              <w:szCs w:val="32"/>
              <w:highlight w:val="none"/>
            </w:rPr>
            <w:fldChar w:fldCharType="separate"/>
          </w:r>
          <w:r>
            <w:rPr>
              <w:color w:val="auto"/>
              <w:sz w:val="32"/>
              <w:szCs w:val="32"/>
              <w:highlight w:val="none"/>
            </w:rPr>
            <w:t>34</w:t>
          </w:r>
          <w:r>
            <w:rPr>
              <w:color w:val="auto"/>
              <w:sz w:val="32"/>
              <w:szCs w:val="32"/>
              <w:highlight w:val="none"/>
            </w:rPr>
            <w:fldChar w:fldCharType="end"/>
          </w:r>
          <w:r>
            <w:rPr>
              <w:color w:val="auto"/>
              <w:sz w:val="32"/>
              <w:szCs w:val="32"/>
              <w:highlight w:val="none"/>
            </w:rPr>
            <w:fldChar w:fldCharType="end"/>
          </w:r>
        </w:p>
        <w:p>
          <w:pPr>
            <w:pStyle w:val="11"/>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"_Toc27480" </w:instrText>
          </w:r>
          <w:r>
            <w:rPr>
              <w:color w:val="auto"/>
              <w:highlight w:val="none"/>
            </w:rPr>
            <w:fldChar w:fldCharType="separate"/>
          </w:r>
          <w:r>
            <w:rPr>
              <w:rFonts w:hint="eastAsia" w:ascii="仿宋" w:hAnsi="仿宋" w:eastAsia="仿宋" w:cs="仿宋"/>
              <w:color w:val="auto"/>
              <w:sz w:val="32"/>
              <w:szCs w:val="32"/>
              <w:highlight w:val="none"/>
            </w:rPr>
            <w:t>附件2综合评分表（100分）</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_Toc27480 \h </w:instrText>
          </w:r>
          <w:r>
            <w:rPr>
              <w:color w:val="auto"/>
              <w:sz w:val="32"/>
              <w:szCs w:val="32"/>
              <w:highlight w:val="none"/>
            </w:rPr>
            <w:fldChar w:fldCharType="separate"/>
          </w:r>
          <w:r>
            <w:rPr>
              <w:color w:val="auto"/>
              <w:sz w:val="32"/>
              <w:szCs w:val="32"/>
              <w:highlight w:val="none"/>
            </w:rPr>
            <w:t>35</w:t>
          </w:r>
          <w:r>
            <w:rPr>
              <w:color w:val="auto"/>
              <w:sz w:val="32"/>
              <w:szCs w:val="32"/>
              <w:highlight w:val="none"/>
            </w:rPr>
            <w:fldChar w:fldCharType="end"/>
          </w:r>
          <w:r>
            <w:rPr>
              <w:color w:val="auto"/>
              <w:sz w:val="32"/>
              <w:szCs w:val="32"/>
              <w:highlight w:val="none"/>
            </w:rPr>
            <w:fldChar w:fldCharType="end"/>
          </w:r>
        </w:p>
        <w:p>
          <w:pPr>
            <w:spacing w:line="360" w:lineRule="auto"/>
            <w:rPr>
              <w:color w:val="auto"/>
              <w:highlight w:val="none"/>
            </w:rPr>
          </w:pPr>
          <w:r>
            <w:rPr>
              <w:rFonts w:hint="eastAsia" w:asciiTheme="minorEastAsia" w:hAnsiTheme="minorEastAsia" w:cstheme="minorEastAsia"/>
              <w:color w:val="auto"/>
              <w:sz w:val="32"/>
              <w:szCs w:val="32"/>
              <w:highlight w:val="none"/>
            </w:rPr>
            <w:fldChar w:fldCharType="end"/>
          </w:r>
        </w:p>
      </w:sdtContent>
    </w:sdt>
    <w:p>
      <w:pPr>
        <w:pStyle w:val="12"/>
        <w:widowControl/>
        <w:spacing w:after="0" w:line="360" w:lineRule="auto"/>
        <w:ind w:firstLine="0"/>
        <w:rPr>
          <w:rFonts w:ascii="宋体" w:hAnsi="宋体" w:cs="宋体"/>
          <w:color w:val="auto"/>
          <w:highlight w:val="none"/>
        </w:rPr>
        <w:sectPr>
          <w:pgSz w:w="11915" w:h="16840"/>
          <w:pgMar w:top="1247" w:right="1135" w:bottom="1247" w:left="1361" w:header="720" w:footer="720" w:gutter="0"/>
          <w:cols w:space="425" w:num="1"/>
          <w:docGrid w:type="lines" w:linePitch="285" w:charSpace="0"/>
        </w:sectPr>
      </w:pPr>
      <w:r>
        <w:rPr>
          <w:rFonts w:hint="eastAsia" w:ascii="宋体" w:hAnsi="宋体" w:cs="宋体"/>
          <w:color w:val="auto"/>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2" w:name="_Toc374128472"/>
      <w:bookmarkStart w:id="3" w:name="_Toc17710"/>
      <w:r>
        <w:rPr>
          <w:rFonts w:hint="eastAsia" w:ascii="黑体" w:hAnsi="宋体" w:cs="黑体"/>
          <w:b/>
          <w:color w:val="auto"/>
          <w:kern w:val="44"/>
          <w:sz w:val="44"/>
          <w:szCs w:val="44"/>
          <w:highlight w:val="none"/>
        </w:rPr>
        <w:t>第1章 投标须知及前附表</w:t>
      </w:r>
      <w:bookmarkEnd w:id="2"/>
      <w:bookmarkEnd w:id="3"/>
    </w:p>
    <w:p>
      <w:pPr>
        <w:spacing w:after="142"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3"/>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12"/>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60" w:lineRule="auto"/>
              <w:ind w:firstLine="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广州市海防教育基地项目交通渡口码头工程施工监理</w:t>
            </w:r>
          </w:p>
        </w:tc>
      </w:tr>
      <w:tr>
        <w:tblPrEx>
          <w:tblCellMar>
            <w:top w:w="0" w:type="dxa"/>
            <w:left w:w="108" w:type="dxa"/>
            <w:bottom w:w="0" w:type="dxa"/>
            <w:right w:w="108" w:type="dxa"/>
          </w:tblCellMar>
        </w:tblPrEx>
        <w:trPr>
          <w:trHeight w:val="4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广州市南沙区</w:t>
            </w:r>
            <w:r>
              <w:rPr>
                <w:rFonts w:hint="eastAsia" w:ascii="宋体" w:hAnsi="宋体" w:eastAsia="宋体" w:cs="宋体"/>
                <w:color w:val="auto"/>
                <w:sz w:val="21"/>
                <w:szCs w:val="21"/>
                <w:highlight w:val="none"/>
              </w:rPr>
              <w:t>上横档岛西岸、下横档岛北岸</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天后宫（大角山）沿岸</w:t>
            </w:r>
          </w:p>
        </w:tc>
      </w:tr>
      <w:tr>
        <w:tblPrEx>
          <w:tblCellMar>
            <w:top w:w="0" w:type="dxa"/>
            <w:left w:w="108" w:type="dxa"/>
            <w:bottom w:w="0" w:type="dxa"/>
            <w:right w:w="108" w:type="dxa"/>
          </w:tblCellMar>
        </w:tblPrEx>
        <w:trPr>
          <w:trHeight w:val="96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sz w:val="21"/>
                <w:szCs w:val="21"/>
                <w:highlight w:val="none"/>
              </w:rPr>
              <w:t>本工程共三个港点，分别位于上横档岛西岸、下横档岛北岸</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天后宫（大角山）沿岸。工程主要内容为建设3座渡口码头及其附属设施，上横档岛、下横档岛、天后宫（大角山）各建设</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00GT渡轮泊位1个，设计通过能力36万人次/年。</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项目预算</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sz w:val="21"/>
                <w:szCs w:val="21"/>
                <w:highlight w:val="none"/>
                <w:u w:val="none"/>
                <w:lang w:eastAsia="zh-CN"/>
              </w:rPr>
              <w:t>暂定项目建安工程费为</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none"/>
                <w:lang w:eastAsia="zh-CN"/>
              </w:rPr>
              <w:t>1</w:t>
            </w:r>
            <w:r>
              <w:rPr>
                <w:rFonts w:hint="eastAsia" w:ascii="宋体" w:hAnsi="宋体" w:eastAsia="宋体" w:cs="宋体"/>
                <w:color w:val="auto"/>
                <w:sz w:val="21"/>
                <w:szCs w:val="21"/>
                <w:highlight w:val="none"/>
                <w:u w:val="none"/>
                <w:lang w:val="en-US" w:eastAsia="zh-CN"/>
              </w:rPr>
              <w:t>040.329932</w:t>
            </w:r>
            <w:r>
              <w:rPr>
                <w:rFonts w:hint="eastAsia" w:ascii="宋体" w:hAnsi="宋体" w:eastAsia="宋体" w:cs="宋体"/>
                <w:color w:val="auto"/>
                <w:sz w:val="21"/>
                <w:szCs w:val="21"/>
                <w:highlight w:val="none"/>
                <w:u w:val="none"/>
              </w:rPr>
              <w:t>万元</w:t>
            </w:r>
          </w:p>
        </w:tc>
      </w:tr>
      <w:tr>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符合现行相关工程施工质量验收规范合格标准</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7"/>
              <w:spacing w:line="360" w:lineRule="auto"/>
              <w:rPr>
                <w:rFonts w:hint="eastAsia" w:ascii="宋体" w:hAnsi="宋体" w:eastAsia="宋体" w:cs="宋体"/>
                <w:color w:val="auto"/>
                <w:kern w:val="2"/>
                <w:sz w:val="21"/>
                <w:szCs w:val="21"/>
                <w:highlight w:val="none"/>
                <w:u w:val="none"/>
              </w:rPr>
            </w:pPr>
            <w:r>
              <w:rPr>
                <w:rFonts w:hint="eastAsia" w:ascii="宋体" w:hAnsi="宋体" w:eastAsia="宋体" w:cs="宋体"/>
                <w:color w:val="auto"/>
                <w:kern w:val="2"/>
                <w:sz w:val="21"/>
                <w:szCs w:val="21"/>
                <w:highlight w:val="none"/>
                <w:u w:val="none"/>
                <w:lang w:val="en-US" w:eastAsia="zh-CN"/>
              </w:rPr>
              <w:t>1、</w:t>
            </w:r>
            <w:r>
              <w:rPr>
                <w:rFonts w:hint="eastAsia" w:ascii="宋体" w:hAnsi="宋体" w:eastAsia="宋体" w:cs="宋体"/>
                <w:color w:val="auto"/>
                <w:kern w:val="2"/>
                <w:sz w:val="21"/>
                <w:szCs w:val="21"/>
                <w:highlight w:val="none"/>
                <w:u w:val="none"/>
                <w:lang w:eastAsia="zh-CN"/>
              </w:rPr>
              <w:t>监理范围：</w:t>
            </w:r>
            <w:r>
              <w:rPr>
                <w:rFonts w:hint="eastAsia" w:ascii="宋体" w:hAnsi="宋体" w:eastAsia="宋体" w:cs="宋体"/>
                <w:color w:val="auto"/>
                <w:kern w:val="2"/>
                <w:sz w:val="21"/>
                <w:szCs w:val="21"/>
                <w:highlight w:val="none"/>
                <w:u w:val="none"/>
              </w:rPr>
              <w:t>包括项目施工前期准备、施工管理、投资控制、竣工验收、工程结算审核、资产移交、质量保修等工作，并对工程项目进行质量、进度、投资、合同、信息、安全、环保等方面进行有效管理和控制，直至办理竣工验收手续</w:t>
            </w:r>
            <w:r>
              <w:rPr>
                <w:rFonts w:hint="eastAsia" w:ascii="宋体" w:hAnsi="宋体" w:eastAsia="宋体" w:cs="宋体"/>
                <w:color w:val="auto"/>
                <w:kern w:val="2"/>
                <w:sz w:val="21"/>
                <w:szCs w:val="21"/>
                <w:highlight w:val="none"/>
                <w:u w:val="none"/>
                <w:lang w:eastAsia="zh-CN"/>
              </w:rPr>
              <w:t>、</w:t>
            </w:r>
            <w:r>
              <w:rPr>
                <w:rFonts w:hint="eastAsia" w:ascii="宋体" w:hAnsi="宋体" w:eastAsia="宋体" w:cs="宋体"/>
                <w:color w:val="auto"/>
                <w:kern w:val="2"/>
                <w:sz w:val="21"/>
                <w:szCs w:val="21"/>
                <w:highlight w:val="none"/>
                <w:u w:val="none"/>
                <w:lang w:val="en-US" w:eastAsia="zh-CN"/>
              </w:rPr>
              <w:t>工程资料</w:t>
            </w:r>
            <w:r>
              <w:rPr>
                <w:rFonts w:hint="eastAsia" w:ascii="宋体" w:hAnsi="宋体" w:eastAsia="宋体" w:cs="宋体"/>
                <w:color w:val="auto"/>
                <w:kern w:val="2"/>
                <w:sz w:val="21"/>
                <w:szCs w:val="21"/>
                <w:highlight w:val="none"/>
                <w:u w:val="none"/>
              </w:rPr>
              <w:t>和工程结算、质量保修期满等的全过程监理服务和工程相关协调工作。</w:t>
            </w:r>
          </w:p>
          <w:p>
            <w:pPr>
              <w:pStyle w:val="7"/>
              <w:spacing w:line="360" w:lineRule="auto"/>
              <w:rPr>
                <w:rFonts w:hint="eastAsia" w:ascii="宋体" w:hAnsi="宋体" w:eastAsia="宋体" w:cs="宋体"/>
                <w:color w:val="auto"/>
                <w:highlight w:val="none"/>
              </w:rPr>
            </w:pPr>
            <w:r>
              <w:rPr>
                <w:rFonts w:hint="eastAsia" w:ascii="宋体" w:hAnsi="宋体" w:eastAsia="宋体" w:cs="宋体"/>
                <w:color w:val="auto"/>
                <w:kern w:val="2"/>
                <w:sz w:val="21"/>
                <w:szCs w:val="21"/>
                <w:highlight w:val="none"/>
                <w:u w:val="none"/>
                <w:lang w:val="en-US" w:eastAsia="zh-CN"/>
              </w:rPr>
              <w:t>2、</w:t>
            </w:r>
            <w:r>
              <w:rPr>
                <w:rFonts w:hint="eastAsia" w:ascii="宋体" w:hAnsi="宋体" w:eastAsia="宋体" w:cs="宋体"/>
                <w:color w:val="auto"/>
                <w:kern w:val="2"/>
                <w:sz w:val="21"/>
                <w:szCs w:val="21"/>
                <w:highlight w:val="none"/>
                <w:u w:val="none"/>
              </w:rPr>
              <w:t>监理工作内容：本项目工程全过程施工监理及工程</w:t>
            </w:r>
            <w:r>
              <w:rPr>
                <w:rFonts w:hint="eastAsia" w:ascii="宋体" w:hAnsi="宋体" w:eastAsia="宋体" w:cs="宋体"/>
                <w:color w:val="auto"/>
                <w:kern w:val="2"/>
                <w:sz w:val="21"/>
                <w:szCs w:val="21"/>
                <w:highlight w:val="none"/>
                <w:u w:val="none"/>
                <w:lang w:val="en-US" w:eastAsia="zh-CN"/>
              </w:rPr>
              <w:t>保修</w:t>
            </w:r>
            <w:r>
              <w:rPr>
                <w:rFonts w:hint="eastAsia" w:ascii="宋体" w:hAnsi="宋体" w:eastAsia="宋体" w:cs="宋体"/>
                <w:color w:val="auto"/>
                <w:kern w:val="2"/>
                <w:sz w:val="21"/>
                <w:szCs w:val="21"/>
                <w:highlight w:val="none"/>
                <w:u w:val="none"/>
              </w:rPr>
              <w:t>阶段的监理。协助</w:t>
            </w:r>
            <w:r>
              <w:rPr>
                <w:rFonts w:hint="eastAsia" w:ascii="宋体" w:hAnsi="宋体" w:eastAsia="宋体" w:cs="宋体"/>
                <w:color w:val="auto"/>
                <w:kern w:val="2"/>
                <w:sz w:val="21"/>
                <w:szCs w:val="21"/>
                <w:highlight w:val="none"/>
                <w:u w:val="none"/>
                <w:lang w:eastAsia="zh-CN"/>
              </w:rPr>
              <w:t>委托人</w:t>
            </w:r>
            <w:r>
              <w:rPr>
                <w:rFonts w:hint="eastAsia" w:ascii="宋体" w:hAnsi="宋体" w:eastAsia="宋体" w:cs="宋体"/>
                <w:color w:val="auto"/>
                <w:kern w:val="2"/>
                <w:sz w:val="21"/>
                <w:szCs w:val="21"/>
                <w:highlight w:val="none"/>
                <w:u w:val="none"/>
              </w:rPr>
              <w:t>做好开工前准备工作、负责单价和工程计量审查、工程进度款审核、工程进度计划审查、工程施工质量监督、工程施工安全监督、审核竣工资料和工程结算工作，做好施工、保修阶段监理应做的各项工作。</w:t>
            </w:r>
          </w:p>
        </w:tc>
      </w:tr>
      <w:tr>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服务任务期限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u w:val="none"/>
              </w:rPr>
              <w:t>施工准备期、施工期和质量保修期的监理服务期之和</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sz w:val="21"/>
                <w:szCs w:val="21"/>
                <w:highlight w:val="none"/>
                <w:u w:val="none"/>
                <w:lang w:eastAsia="zh-CN"/>
              </w:rPr>
              <w:t>具有</w:t>
            </w:r>
            <w:r>
              <w:rPr>
                <w:rFonts w:hint="eastAsia" w:ascii="宋体" w:hAnsi="宋体" w:eastAsia="宋体" w:cs="宋体"/>
                <w:i w:val="0"/>
                <w:iCs w:val="0"/>
                <w:caps w:val="0"/>
                <w:color w:val="auto"/>
                <w:spacing w:val="0"/>
                <w:kern w:val="2"/>
                <w:sz w:val="21"/>
                <w:szCs w:val="21"/>
                <w:highlight w:val="none"/>
                <w:u w:val="none"/>
                <w:shd w:val="clear"/>
                <w:lang w:val="en-US" w:eastAsia="zh-CN" w:bidi="ar"/>
              </w:rPr>
              <w:t>水运工程监理乙级或以上资质</w:t>
            </w:r>
          </w:p>
        </w:tc>
      </w:tr>
      <w:tr>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p>
            <w:pPr>
              <w:pStyle w:val="12"/>
              <w:widowControl/>
              <w:spacing w:after="0"/>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60" w:lineRule="auto"/>
              <w:ind w:firstLine="0" w:firstLineChars="0"/>
              <w:jc w:val="left"/>
              <w:rPr>
                <w:rFonts w:hint="eastAsia" w:ascii="宋体" w:hAnsi="宋体" w:eastAsia="宋体" w:cs="宋体"/>
                <w:b w:val="0"/>
                <w:bCs w:val="0"/>
                <w:color w:val="auto"/>
                <w:kern w:val="0"/>
                <w:sz w:val="21"/>
                <w:szCs w:val="21"/>
                <w:highlight w:val="none"/>
                <w:u w:val="none"/>
                <w:lang w:bidi="ar-SA"/>
              </w:rPr>
            </w:pPr>
            <w:r>
              <w:rPr>
                <w:rFonts w:hint="eastAsia" w:ascii="宋体" w:hAnsi="宋体" w:eastAsia="宋体" w:cs="宋体"/>
                <w:b w:val="0"/>
                <w:bCs w:val="0"/>
                <w:color w:val="auto"/>
                <w:kern w:val="0"/>
                <w:sz w:val="21"/>
                <w:szCs w:val="21"/>
                <w:highlight w:val="none"/>
                <w:u w:val="none"/>
                <w:lang w:val="en-US" w:eastAsia="zh-CN" w:bidi="ar-SA"/>
              </w:rPr>
              <w:t>1</w:t>
            </w:r>
            <w:r>
              <w:rPr>
                <w:rFonts w:hint="eastAsia" w:ascii="宋体" w:hAnsi="宋体" w:eastAsia="宋体" w:cs="宋体"/>
                <w:b w:val="0"/>
                <w:bCs w:val="0"/>
                <w:color w:val="auto"/>
                <w:kern w:val="0"/>
                <w:sz w:val="21"/>
                <w:szCs w:val="21"/>
                <w:highlight w:val="none"/>
                <w:u w:val="none"/>
                <w:lang w:bidi="ar-SA"/>
              </w:rPr>
              <w:t>、总监理工程师</w:t>
            </w:r>
            <w:r>
              <w:rPr>
                <w:rFonts w:hint="eastAsia" w:ascii="宋体" w:hAnsi="宋体" w:eastAsia="宋体" w:cs="宋体"/>
                <w:b w:val="0"/>
                <w:bCs w:val="0"/>
                <w:i w:val="0"/>
                <w:iCs w:val="0"/>
                <w:caps w:val="0"/>
                <w:color w:val="auto"/>
                <w:spacing w:val="0"/>
                <w:kern w:val="0"/>
                <w:sz w:val="21"/>
                <w:szCs w:val="21"/>
                <w:highlight w:val="none"/>
                <w:u w:val="none"/>
                <w:shd w:val="clear"/>
                <w:lang w:val="en-US" w:eastAsia="zh-CN" w:bidi="ar-SA"/>
              </w:rPr>
              <w:t>具有水运工程类专业中级或以上职称，并</w:t>
            </w:r>
            <w:r>
              <w:rPr>
                <w:rFonts w:hint="eastAsia" w:ascii="宋体" w:hAnsi="宋体" w:eastAsia="宋体" w:cs="宋体"/>
                <w:b w:val="0"/>
                <w:bCs w:val="0"/>
                <w:color w:val="auto"/>
                <w:kern w:val="0"/>
                <w:sz w:val="21"/>
                <w:szCs w:val="21"/>
                <w:highlight w:val="none"/>
                <w:u w:val="none"/>
                <w:lang w:bidi="ar-SA"/>
              </w:rPr>
              <w:t>具有</w:t>
            </w:r>
            <w:r>
              <w:rPr>
                <w:rFonts w:hint="eastAsia" w:ascii="宋体" w:hAnsi="宋体" w:eastAsia="宋体" w:cs="宋体"/>
                <w:b w:val="0"/>
                <w:bCs w:val="0"/>
                <w:color w:val="auto"/>
                <w:kern w:val="0"/>
                <w:sz w:val="21"/>
                <w:szCs w:val="21"/>
                <w:highlight w:val="none"/>
                <w:u w:val="none"/>
                <w:lang w:eastAsia="zh-CN" w:bidi="ar-SA"/>
              </w:rPr>
              <w:t>交通部</w:t>
            </w:r>
            <w:r>
              <w:rPr>
                <w:rFonts w:hint="eastAsia" w:ascii="宋体" w:hAnsi="宋体" w:eastAsia="宋体" w:cs="宋体"/>
                <w:b w:val="0"/>
                <w:bCs w:val="0"/>
                <w:color w:val="auto"/>
                <w:kern w:val="0"/>
                <w:sz w:val="21"/>
                <w:szCs w:val="21"/>
                <w:highlight w:val="none"/>
                <w:u w:val="none"/>
                <w:lang w:bidi="ar-SA"/>
              </w:rPr>
              <w:t>颁发的注册监理工程师注册执业证书，且其注册证书专业为</w:t>
            </w:r>
            <w:r>
              <w:rPr>
                <w:rFonts w:hint="eastAsia" w:ascii="宋体" w:hAnsi="宋体" w:eastAsia="宋体" w:cs="宋体"/>
                <w:b w:val="0"/>
                <w:bCs w:val="0"/>
                <w:color w:val="auto"/>
                <w:kern w:val="0"/>
                <w:sz w:val="21"/>
                <w:szCs w:val="21"/>
                <w:highlight w:val="none"/>
                <w:u w:val="none"/>
                <w:lang w:eastAsia="zh-CN" w:bidi="ar-SA"/>
              </w:rPr>
              <w:t>水运工程类</w:t>
            </w:r>
            <w:r>
              <w:rPr>
                <w:rFonts w:hint="eastAsia" w:ascii="宋体" w:hAnsi="宋体" w:eastAsia="宋体" w:cs="宋体"/>
                <w:b w:val="0"/>
                <w:bCs w:val="0"/>
                <w:color w:val="auto"/>
                <w:kern w:val="0"/>
                <w:sz w:val="21"/>
                <w:szCs w:val="21"/>
                <w:highlight w:val="none"/>
                <w:u w:val="none"/>
                <w:lang w:bidi="ar-SA"/>
              </w:rPr>
              <w:t>，注册执业单位为</w:t>
            </w:r>
            <w:r>
              <w:rPr>
                <w:rFonts w:hint="eastAsia" w:ascii="宋体" w:hAnsi="宋体" w:eastAsia="宋体" w:cs="宋体"/>
                <w:b w:val="0"/>
                <w:bCs w:val="0"/>
                <w:color w:val="auto"/>
                <w:kern w:val="0"/>
                <w:sz w:val="21"/>
                <w:szCs w:val="21"/>
                <w:highlight w:val="none"/>
                <w:u w:val="none"/>
                <w:lang w:val="en-US" w:eastAsia="zh-CN" w:bidi="ar-SA"/>
              </w:rPr>
              <w:t>投标人</w:t>
            </w:r>
            <w:r>
              <w:rPr>
                <w:rFonts w:hint="eastAsia" w:ascii="宋体" w:hAnsi="宋体" w:eastAsia="宋体" w:cs="宋体"/>
                <w:b w:val="0"/>
                <w:bCs w:val="0"/>
                <w:color w:val="auto"/>
                <w:kern w:val="0"/>
                <w:sz w:val="21"/>
                <w:szCs w:val="21"/>
                <w:highlight w:val="none"/>
                <w:u w:val="none"/>
                <w:lang w:bidi="ar-SA"/>
              </w:rPr>
              <w:t>本公司。</w:t>
            </w:r>
          </w:p>
          <w:p>
            <w:pPr>
              <w:spacing w:line="360" w:lineRule="auto"/>
              <w:rPr>
                <w:rFonts w:hint="eastAsia" w:ascii="宋体" w:hAnsi="宋体" w:eastAsia="宋体" w:cs="宋体"/>
                <w:b w:val="0"/>
                <w:bCs w:val="0"/>
                <w:i w:val="0"/>
                <w:iCs w:val="0"/>
                <w:caps w:val="0"/>
                <w:color w:val="auto"/>
                <w:spacing w:val="0"/>
                <w:kern w:val="0"/>
                <w:sz w:val="21"/>
                <w:szCs w:val="21"/>
                <w:highlight w:val="none"/>
                <w:u w:val="none"/>
                <w:shd w:val="clear"/>
                <w:lang w:val="en-US" w:eastAsia="zh-CN" w:bidi="ar-SA"/>
              </w:rPr>
            </w:pPr>
            <w:r>
              <w:rPr>
                <w:rFonts w:hint="eastAsia" w:ascii="宋体" w:hAnsi="宋体" w:eastAsia="宋体" w:cs="宋体"/>
                <w:b w:val="0"/>
                <w:bCs w:val="0"/>
                <w:color w:val="auto"/>
                <w:kern w:val="0"/>
                <w:sz w:val="21"/>
                <w:szCs w:val="21"/>
                <w:highlight w:val="none"/>
                <w:u w:val="none"/>
                <w:shd w:val="clear"/>
                <w:lang w:val="en-US" w:eastAsia="zh-CN" w:bidi="ar-SA"/>
              </w:rPr>
              <w:t>2、总监代表1名，</w:t>
            </w:r>
            <w:r>
              <w:rPr>
                <w:rFonts w:hint="eastAsia" w:ascii="宋体" w:hAnsi="宋体" w:eastAsia="宋体" w:cs="宋体"/>
                <w:b w:val="0"/>
                <w:bCs w:val="0"/>
                <w:i w:val="0"/>
                <w:iCs w:val="0"/>
                <w:caps w:val="0"/>
                <w:color w:val="auto"/>
                <w:spacing w:val="0"/>
                <w:kern w:val="0"/>
                <w:sz w:val="21"/>
                <w:szCs w:val="21"/>
                <w:highlight w:val="none"/>
                <w:u w:val="none"/>
                <w:shd w:val="clear"/>
                <w:lang w:val="en-US" w:eastAsia="zh-CN" w:bidi="ar-SA"/>
              </w:rPr>
              <w:t>具有水运工程类专业中级或以上职称。</w:t>
            </w:r>
          </w:p>
          <w:p>
            <w:pPr>
              <w:spacing w:line="360" w:lineRule="auto"/>
              <w:ind w:firstLine="0"/>
              <w:rPr>
                <w:rFonts w:hint="eastAsia" w:ascii="宋体" w:hAnsi="宋体" w:eastAsia="宋体" w:cs="宋体"/>
                <w:b w:val="0"/>
                <w:bCs w:val="0"/>
                <w:color w:val="auto"/>
                <w:kern w:val="0"/>
                <w:sz w:val="21"/>
                <w:szCs w:val="21"/>
                <w:highlight w:val="none"/>
                <w:u w:val="none"/>
                <w:lang w:eastAsia="zh-CN" w:bidi="ar-SA"/>
              </w:rPr>
            </w:pPr>
            <w:r>
              <w:rPr>
                <w:rFonts w:hint="eastAsia" w:ascii="宋体" w:hAnsi="宋体" w:eastAsia="宋体" w:cs="宋体"/>
                <w:b w:val="0"/>
                <w:bCs w:val="0"/>
                <w:color w:val="auto"/>
                <w:kern w:val="0"/>
                <w:sz w:val="21"/>
                <w:szCs w:val="21"/>
                <w:highlight w:val="none"/>
                <w:u w:val="none"/>
                <w:lang w:val="en-US" w:eastAsia="zh-CN" w:bidi="ar-SA"/>
              </w:rPr>
              <w:t>3、</w:t>
            </w:r>
            <w:r>
              <w:rPr>
                <w:rFonts w:hint="eastAsia" w:ascii="宋体" w:hAnsi="宋体" w:eastAsia="宋体" w:cs="宋体"/>
                <w:b w:val="0"/>
                <w:bCs w:val="0"/>
                <w:color w:val="auto"/>
                <w:kern w:val="0"/>
                <w:sz w:val="21"/>
                <w:szCs w:val="21"/>
                <w:highlight w:val="none"/>
                <w:u w:val="none"/>
                <w:lang w:bidi="ar-SA"/>
              </w:rPr>
              <w:t>监理员</w:t>
            </w:r>
            <w:r>
              <w:rPr>
                <w:rFonts w:hint="eastAsia" w:ascii="宋体" w:hAnsi="宋体" w:eastAsia="宋体" w:cs="宋体"/>
                <w:b w:val="0"/>
                <w:bCs w:val="0"/>
                <w:color w:val="auto"/>
                <w:kern w:val="0"/>
                <w:sz w:val="21"/>
                <w:szCs w:val="21"/>
                <w:highlight w:val="none"/>
                <w:u w:val="none"/>
                <w:lang w:val="en-US" w:eastAsia="zh-CN" w:bidi="ar-SA"/>
              </w:rPr>
              <w:t>1</w:t>
            </w:r>
            <w:r>
              <w:rPr>
                <w:rFonts w:hint="eastAsia" w:ascii="宋体" w:hAnsi="宋体" w:eastAsia="宋体" w:cs="宋体"/>
                <w:b w:val="0"/>
                <w:bCs w:val="0"/>
                <w:color w:val="auto"/>
                <w:kern w:val="0"/>
                <w:sz w:val="21"/>
                <w:szCs w:val="21"/>
                <w:highlight w:val="none"/>
                <w:u w:val="none"/>
                <w:lang w:bidi="ar-SA"/>
              </w:rPr>
              <w:t>名，具有监理员岗位证书</w:t>
            </w:r>
            <w:r>
              <w:rPr>
                <w:rFonts w:hint="eastAsia" w:ascii="宋体" w:hAnsi="宋体" w:eastAsia="宋体" w:cs="宋体"/>
                <w:b w:val="0"/>
                <w:bCs w:val="0"/>
                <w:color w:val="auto"/>
                <w:kern w:val="0"/>
                <w:sz w:val="21"/>
                <w:szCs w:val="21"/>
                <w:highlight w:val="none"/>
                <w:u w:val="none"/>
                <w:lang w:eastAsia="zh-CN" w:bidi="ar-SA"/>
              </w:rPr>
              <w:t>。</w:t>
            </w:r>
          </w:p>
          <w:p>
            <w:pPr>
              <w:spacing w:line="240" w:lineRule="auto"/>
              <w:contextualSpacing w:val="0"/>
              <w:rPr>
                <w:rFonts w:hint="eastAsia" w:ascii="宋体" w:hAnsi="宋体" w:eastAsia="宋体" w:cs="宋体"/>
                <w:color w:val="auto"/>
                <w:szCs w:val="21"/>
                <w:highlight w:val="none"/>
              </w:rPr>
            </w:pPr>
            <w:r>
              <w:rPr>
                <w:rFonts w:hint="eastAsia" w:ascii="宋体" w:hAnsi="宋体" w:eastAsia="宋体" w:cs="宋体"/>
                <w:b w:val="0"/>
                <w:bCs w:val="0"/>
                <w:color w:val="auto"/>
                <w:kern w:val="0"/>
                <w:sz w:val="21"/>
                <w:szCs w:val="21"/>
                <w:highlight w:val="none"/>
                <w:u w:val="none"/>
                <w:lang w:val="en-US" w:eastAsia="zh-CN" w:bidi="ar-SA"/>
              </w:rPr>
              <w:t>4、</w:t>
            </w:r>
            <w:r>
              <w:rPr>
                <w:rFonts w:hint="eastAsia" w:ascii="宋体" w:hAnsi="宋体" w:eastAsia="宋体" w:cs="宋体"/>
                <w:b w:val="0"/>
                <w:bCs w:val="0"/>
                <w:color w:val="auto"/>
                <w:kern w:val="0"/>
                <w:sz w:val="21"/>
                <w:szCs w:val="21"/>
                <w:highlight w:val="none"/>
                <w:u w:val="none"/>
                <w:lang w:eastAsia="zh-CN" w:bidi="ar-SA"/>
              </w:rPr>
              <w:t>资料员</w:t>
            </w:r>
            <w:r>
              <w:rPr>
                <w:rFonts w:hint="eastAsia" w:ascii="宋体" w:hAnsi="宋体" w:eastAsia="宋体" w:cs="宋体"/>
                <w:b w:val="0"/>
                <w:bCs w:val="0"/>
                <w:color w:val="auto"/>
                <w:kern w:val="0"/>
                <w:sz w:val="21"/>
                <w:szCs w:val="21"/>
                <w:highlight w:val="none"/>
                <w:u w:val="none"/>
                <w:lang w:val="en-US" w:eastAsia="zh-CN" w:bidi="ar-SA"/>
              </w:rPr>
              <w:t>1名，具有本科或以上学历，</w:t>
            </w:r>
            <w:r>
              <w:rPr>
                <w:rFonts w:hint="eastAsia" w:ascii="宋体" w:hAnsi="宋体" w:eastAsia="宋体" w:cs="宋体"/>
                <w:b w:val="0"/>
                <w:bCs w:val="0"/>
                <w:color w:val="auto"/>
                <w:kern w:val="0"/>
                <w:sz w:val="21"/>
                <w:szCs w:val="21"/>
                <w:highlight w:val="none"/>
                <w:u w:val="none"/>
                <w:lang w:bidi="ar-SA"/>
              </w:rPr>
              <w:t>熟悉建设工程档案归档要求</w:t>
            </w:r>
            <w:r>
              <w:rPr>
                <w:rFonts w:hint="eastAsia" w:ascii="宋体" w:hAnsi="宋体" w:eastAsia="宋体" w:cs="宋体"/>
                <w:b w:val="0"/>
                <w:bCs w:val="0"/>
                <w:color w:val="auto"/>
                <w:kern w:val="0"/>
                <w:sz w:val="21"/>
                <w:szCs w:val="21"/>
                <w:highlight w:val="none"/>
                <w:u w:val="none"/>
                <w:lang w:eastAsia="zh-CN" w:bidi="ar-SA"/>
              </w:rPr>
              <w:t>。</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beforeAutospacing="0" w:after="0"/>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beforeAutospacing="0" w:after="0"/>
              <w:ind w:left="-59" w:leftChars="-28"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由投标人自行考察。</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r>
      <w:tr>
        <w:tblPrEx>
          <w:tblCellMar>
            <w:top w:w="0" w:type="dxa"/>
            <w:left w:w="108" w:type="dxa"/>
            <w:bottom w:w="0" w:type="dxa"/>
            <w:right w:w="108" w:type="dxa"/>
          </w:tblCellMar>
        </w:tblPrEx>
        <w:trPr>
          <w:trHeight w:val="6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before="100" w:beforeAutospacing="0" w:after="0" w:line="440" w:lineRule="exact"/>
              <w:ind w:left="-59" w:leftChars="-28" w:right="-44" w:rightChars="-21"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报价及结算方式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numPr>
                <w:ilvl w:val="0"/>
                <w:numId w:val="0"/>
              </w:numPr>
              <w:snapToGrid w:val="0"/>
              <w:spacing w:line="360" w:lineRule="auto"/>
              <w:ind w:firstLine="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招标控制价</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u w:val="none"/>
                <w:lang w:val="en-US" w:eastAsia="zh-CN"/>
              </w:rPr>
              <w:t>232388.02</w:t>
            </w:r>
            <w:r>
              <w:rPr>
                <w:rFonts w:hint="eastAsia" w:ascii="宋体" w:hAnsi="宋体" w:eastAsia="宋体" w:cs="宋体"/>
                <w:color w:val="auto"/>
                <w:sz w:val="21"/>
                <w:szCs w:val="21"/>
                <w:highlight w:val="none"/>
              </w:rPr>
              <w:t>元。</w:t>
            </w:r>
            <w:r>
              <w:rPr>
                <w:rFonts w:hint="eastAsia" w:ascii="宋体" w:hAnsi="宋体" w:eastAsia="宋体" w:cs="宋体"/>
                <w:color w:val="auto"/>
                <w:kern w:val="0"/>
                <w:sz w:val="21"/>
                <w:szCs w:val="21"/>
                <w:highlight w:val="none"/>
              </w:rPr>
              <w:t>投标</w:t>
            </w:r>
            <w:r>
              <w:rPr>
                <w:rFonts w:hint="eastAsia" w:ascii="宋体" w:hAnsi="宋体" w:eastAsia="宋体" w:cs="宋体"/>
                <w:color w:val="auto"/>
                <w:kern w:val="2"/>
                <w:sz w:val="21"/>
                <w:szCs w:val="21"/>
                <w:highlight w:val="none"/>
                <w:lang w:eastAsia="zh-CN"/>
              </w:rPr>
              <w:t>报价不得高于招标控制价，否则</w:t>
            </w:r>
            <w:r>
              <w:rPr>
                <w:rFonts w:hint="eastAsia" w:ascii="宋体" w:hAnsi="宋体" w:eastAsia="宋体" w:cs="宋体"/>
                <w:color w:val="auto"/>
                <w:kern w:val="2"/>
                <w:sz w:val="21"/>
                <w:szCs w:val="21"/>
                <w:highlight w:val="none"/>
              </w:rPr>
              <w:t>按废标处理。</w:t>
            </w:r>
            <w:r>
              <w:rPr>
                <w:rFonts w:hint="eastAsia" w:ascii="宋体" w:hAnsi="宋体" w:eastAsia="宋体" w:cs="宋体"/>
                <w:color w:val="auto"/>
                <w:sz w:val="21"/>
                <w:szCs w:val="21"/>
                <w:highlight w:val="none"/>
                <w:u w:val="none"/>
              </w:rPr>
              <w:t>本项目</w:t>
            </w:r>
            <w:r>
              <w:rPr>
                <w:rFonts w:hint="eastAsia" w:ascii="宋体" w:hAnsi="宋体" w:eastAsia="宋体" w:cs="宋体"/>
                <w:color w:val="auto"/>
                <w:sz w:val="21"/>
                <w:szCs w:val="21"/>
                <w:highlight w:val="none"/>
                <w:u w:val="none"/>
                <w:lang w:eastAsia="zh-CN"/>
              </w:rPr>
              <w:t>监理费招标控制价参照</w:t>
            </w:r>
            <w:r>
              <w:rPr>
                <w:rFonts w:hint="eastAsia" w:ascii="宋体" w:hAnsi="宋体" w:eastAsia="宋体" w:cs="宋体"/>
                <w:color w:val="auto"/>
                <w:sz w:val="21"/>
                <w:szCs w:val="21"/>
                <w:highlight w:val="none"/>
                <w:u w:val="none"/>
              </w:rPr>
              <w:t>发改办价格[2007]670号文件</w:t>
            </w:r>
            <w:r>
              <w:rPr>
                <w:rFonts w:hint="eastAsia" w:ascii="宋体" w:hAnsi="宋体" w:eastAsia="宋体" w:cs="宋体"/>
                <w:color w:val="auto"/>
                <w:sz w:val="21"/>
                <w:szCs w:val="21"/>
                <w:highlight w:val="none"/>
                <w:u w:val="none"/>
                <w:lang w:eastAsia="zh-CN"/>
              </w:rPr>
              <w:t>为计费标准，</w:t>
            </w:r>
            <w:r>
              <w:rPr>
                <w:rFonts w:hint="eastAsia" w:ascii="宋体" w:hAnsi="宋体" w:eastAsia="宋体" w:cs="宋体"/>
                <w:color w:val="auto"/>
                <w:sz w:val="21"/>
                <w:szCs w:val="21"/>
                <w:highlight w:val="none"/>
                <w:u w:val="none"/>
              </w:rPr>
              <w:t>暂按</w:t>
            </w:r>
            <w:r>
              <w:rPr>
                <w:rFonts w:hint="eastAsia" w:ascii="宋体" w:hAnsi="宋体" w:eastAsia="宋体" w:cs="宋体"/>
                <w:color w:val="auto"/>
                <w:sz w:val="21"/>
                <w:szCs w:val="21"/>
                <w:highlight w:val="none"/>
                <w:u w:val="none"/>
                <w:lang w:eastAsia="zh-CN"/>
              </w:rPr>
              <w:t>建安工程费</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none"/>
                <w:lang w:eastAsia="zh-CN"/>
              </w:rPr>
              <w:t>1</w:t>
            </w:r>
            <w:r>
              <w:rPr>
                <w:rFonts w:hint="eastAsia" w:ascii="宋体" w:hAnsi="宋体" w:eastAsia="宋体" w:cs="宋体"/>
                <w:color w:val="auto"/>
                <w:sz w:val="21"/>
                <w:szCs w:val="21"/>
                <w:highlight w:val="none"/>
                <w:u w:val="none"/>
                <w:lang w:val="en-US" w:eastAsia="zh-CN"/>
              </w:rPr>
              <w:t>040.329932</w:t>
            </w:r>
            <w:r>
              <w:rPr>
                <w:rFonts w:hint="eastAsia" w:ascii="宋体" w:hAnsi="宋体" w:eastAsia="宋体" w:cs="宋体"/>
                <w:color w:val="auto"/>
                <w:sz w:val="21"/>
                <w:szCs w:val="21"/>
                <w:highlight w:val="none"/>
                <w:u w:val="none"/>
              </w:rPr>
              <w:t>万元</w:t>
            </w:r>
            <w:r>
              <w:rPr>
                <w:rFonts w:hint="eastAsia" w:ascii="宋体" w:hAnsi="宋体" w:eastAsia="宋体" w:cs="宋体"/>
                <w:color w:val="auto"/>
                <w:sz w:val="21"/>
                <w:szCs w:val="21"/>
                <w:highlight w:val="none"/>
                <w:u w:val="none"/>
                <w:lang w:eastAsia="zh-CN"/>
              </w:rPr>
              <w:t>为基数</w:t>
            </w:r>
            <w:r>
              <w:rPr>
                <w:rFonts w:hint="eastAsia" w:ascii="宋体" w:hAnsi="宋体" w:eastAsia="宋体" w:cs="宋体"/>
                <w:color w:val="auto"/>
                <w:sz w:val="21"/>
                <w:szCs w:val="21"/>
                <w:highlight w:val="none"/>
                <w:u w:val="none"/>
              </w:rPr>
              <w:t>计算</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rPr>
              <w:t>专业调整系数取1.</w:t>
            </w:r>
            <w:r>
              <w:rPr>
                <w:rFonts w:hint="eastAsia" w:ascii="宋体" w:hAnsi="宋体" w:eastAsia="宋体" w:cs="宋体"/>
                <w:color w:val="auto"/>
                <w:sz w:val="21"/>
                <w:szCs w:val="21"/>
                <w:highlight w:val="none"/>
                <w:u w:val="none"/>
                <w:lang w:eastAsia="zh-CN"/>
              </w:rPr>
              <w:t>1</w:t>
            </w:r>
            <w:r>
              <w:rPr>
                <w:rFonts w:hint="eastAsia" w:ascii="宋体" w:hAnsi="宋体" w:eastAsia="宋体" w:cs="宋体"/>
                <w:color w:val="auto"/>
                <w:sz w:val="21"/>
                <w:szCs w:val="21"/>
                <w:highlight w:val="none"/>
                <w:u w:val="none"/>
              </w:rPr>
              <w:t>，工程复杂程度调整系数取</w:t>
            </w:r>
            <w:r>
              <w:rPr>
                <w:rFonts w:hint="eastAsia" w:ascii="宋体" w:hAnsi="宋体" w:eastAsia="宋体" w:cs="宋体"/>
                <w:color w:val="auto"/>
                <w:sz w:val="21"/>
                <w:szCs w:val="21"/>
                <w:highlight w:val="none"/>
                <w:u w:val="none"/>
                <w:lang w:eastAsia="zh-CN"/>
              </w:rPr>
              <w:t>0</w:t>
            </w:r>
            <w:r>
              <w:rPr>
                <w:rFonts w:hint="eastAsia" w:ascii="宋体" w:hAnsi="宋体" w:eastAsia="宋体" w:cs="宋体"/>
                <w:color w:val="auto"/>
                <w:sz w:val="21"/>
                <w:szCs w:val="21"/>
                <w:highlight w:val="none"/>
                <w:u w:val="none"/>
                <w:lang w:val="en-US" w:eastAsia="zh-CN"/>
              </w:rPr>
              <w:t>.85</w:t>
            </w:r>
            <w:r>
              <w:rPr>
                <w:rFonts w:hint="eastAsia" w:ascii="宋体" w:hAnsi="宋体" w:eastAsia="宋体" w:cs="宋体"/>
                <w:color w:val="auto"/>
                <w:sz w:val="21"/>
                <w:szCs w:val="21"/>
                <w:highlight w:val="none"/>
                <w:u w:val="none"/>
              </w:rPr>
              <w:t>，高程调整系数取1.0，下浮</w:t>
            </w:r>
            <w:r>
              <w:rPr>
                <w:rFonts w:hint="eastAsia" w:ascii="宋体" w:hAnsi="宋体" w:eastAsia="宋体" w:cs="宋体"/>
                <w:color w:val="auto"/>
                <w:sz w:val="21"/>
                <w:szCs w:val="21"/>
                <w:highlight w:val="none"/>
                <w:u w:val="none"/>
                <w:lang w:val="en-US" w:eastAsia="zh-CN"/>
              </w:rPr>
              <w:t>20</w:t>
            </w:r>
            <w:r>
              <w:rPr>
                <w:rFonts w:hint="eastAsia" w:ascii="宋体" w:hAnsi="宋体" w:eastAsia="宋体" w:cs="宋体"/>
                <w:color w:val="auto"/>
                <w:sz w:val="21"/>
                <w:szCs w:val="21"/>
                <w:highlight w:val="none"/>
                <w:u w:val="none"/>
              </w:rPr>
              <w:t>%后为</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none"/>
                <w:lang w:val="en-US" w:eastAsia="zh-CN"/>
              </w:rPr>
              <w:t>232388.02</w:t>
            </w:r>
            <w:r>
              <w:rPr>
                <w:rFonts w:hint="eastAsia" w:ascii="宋体" w:hAnsi="宋体" w:eastAsia="宋体" w:cs="宋体"/>
                <w:color w:val="auto"/>
                <w:sz w:val="21"/>
                <w:szCs w:val="21"/>
                <w:highlight w:val="none"/>
                <w:u w:val="none"/>
              </w:rPr>
              <w:t>元</w:t>
            </w:r>
            <w:r>
              <w:rPr>
                <w:rFonts w:hint="eastAsia" w:ascii="宋体" w:hAnsi="宋体" w:eastAsia="宋体" w:cs="宋体"/>
                <w:color w:val="auto"/>
                <w:sz w:val="21"/>
                <w:szCs w:val="21"/>
                <w:highlight w:val="none"/>
              </w:rPr>
              <w:t>。</w:t>
            </w:r>
          </w:p>
          <w:p>
            <w:pPr>
              <w:pStyle w:val="4"/>
              <w:widowControl/>
              <w:numPr>
                <w:ilvl w:val="0"/>
                <w:numId w:val="0"/>
              </w:numPr>
              <w:shd w:val="clear"/>
              <w:snapToGrid w:val="0"/>
              <w:spacing w:line="360" w:lineRule="auto"/>
              <w:ind w:firstLine="0" w:firstLineChars="0"/>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结算价参照发改办价格[2007]670号文件为计费标准，以经过审核确认的建安工程结算价为计算基数得出计费基价，乘以系数（专业调整系数取1.1，工程复杂程度调整系数取0.85，高程调整系数取1.0）得出施工监理收费基准价结合监理投标下浮率计算。</w:t>
            </w:r>
          </w:p>
          <w:p>
            <w:pPr>
              <w:pStyle w:val="4"/>
              <w:widowControl/>
              <w:spacing w:before="0" w:line="360" w:lineRule="auto"/>
              <w:ind w:right="0" w:rightChars="0" w:firstLine="0" w:firstLineChars="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0"/>
                <w:sz w:val="21"/>
                <w:szCs w:val="21"/>
                <w:highlight w:val="none"/>
                <w:lang w:val="en-US" w:eastAsia="zh-CN"/>
              </w:rPr>
              <w:t>计算公式：结算价=施工监理收费基准价✖（1-20%）✖（1-监理投标下浮率），其中，监理投标下浮率=1-（监理报价/招标控制价）✖100%。</w:t>
            </w: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90日历天（从投标截止之日算起）。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spacing w:val="-4"/>
                <w:highlight w:val="none"/>
              </w:rPr>
            </w:pPr>
            <w:r>
              <w:rPr>
                <w:rFonts w:hint="eastAsia" w:ascii="宋体" w:hAnsi="宋体" w:eastAsia="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beforeAutospacing="0" w:after="0" w:line="360" w:lineRule="auto"/>
              <w:ind w:firstLine="0"/>
              <w:rPr>
                <w:rFonts w:hint="eastAsia" w:ascii="宋体" w:hAnsi="宋体" w:eastAsia="宋体" w:cs="宋体"/>
                <w:color w:val="auto"/>
                <w:highlight w:val="none"/>
              </w:rPr>
            </w:pPr>
            <w:r>
              <w:rPr>
                <w:rFonts w:hint="eastAsia" w:ascii="宋体" w:hAnsi="宋体" w:eastAsia="宋体" w:cs="宋体"/>
                <w:color w:val="auto"/>
                <w:szCs w:val="21"/>
                <w:highlight w:val="none"/>
                <w:lang w:val="en-US" w:eastAsia="zh-CN"/>
              </w:rPr>
              <w:t>/</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before="100" w:beforeAutospacing="0" w:after="0" w:line="440" w:lineRule="exact"/>
              <w:ind w:left="-46" w:leftChars="-22"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w:t>
            </w:r>
          </w:p>
          <w:p>
            <w:pPr>
              <w:pStyle w:val="12"/>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提交地点及</w:t>
            </w:r>
          </w:p>
          <w:p>
            <w:pPr>
              <w:pStyle w:val="12"/>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收件人：李工</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提交地点：广州南沙区金融大厦1807室</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投标时间：</w:t>
            </w:r>
            <w:r>
              <w:rPr>
                <w:rFonts w:hint="eastAsia" w:ascii="宋体" w:hAnsi="宋体" w:eastAsia="宋体" w:cs="宋体"/>
                <w:color w:val="auto"/>
                <w:sz w:val="21"/>
                <w:szCs w:val="21"/>
                <w:highlight w:val="none"/>
              </w:rPr>
              <w:t>2022年</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24</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val="en-US" w:eastAsia="zh-CN"/>
              </w:rPr>
              <w:t>14</w:t>
            </w:r>
            <w:r>
              <w:rPr>
                <w:rFonts w:hint="eastAsia" w:ascii="宋体" w:hAnsi="宋体" w:eastAsia="宋体" w:cs="宋体"/>
                <w:color w:val="auto"/>
                <w:sz w:val="21"/>
                <w:szCs w:val="21"/>
                <w:highlight w:val="none"/>
              </w:rPr>
              <w:t>时</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0分至2022年</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24</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val="en-US" w:eastAsia="zh-CN"/>
              </w:rPr>
              <w:t>14</w:t>
            </w:r>
            <w:r>
              <w:rPr>
                <w:rFonts w:hint="eastAsia" w:ascii="宋体" w:hAnsi="宋体" w:eastAsia="宋体" w:cs="宋体"/>
                <w:color w:val="auto"/>
                <w:sz w:val="21"/>
                <w:szCs w:val="21"/>
                <w:highlight w:val="none"/>
              </w:rPr>
              <w:t>时</w:t>
            </w: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分前</w:t>
            </w:r>
          </w:p>
          <w:p>
            <w:pPr>
              <w:pStyle w:val="12"/>
              <w:widowControl/>
              <w:spacing w:after="0" w:line="360" w:lineRule="auto"/>
              <w:ind w:firstLine="0"/>
              <w:rPr>
                <w:rFonts w:hint="eastAsia" w:ascii="宋体" w:hAnsi="宋体" w:eastAsia="宋体" w:cs="宋体"/>
                <w:b/>
                <w:color w:val="auto"/>
                <w:highlight w:val="none"/>
              </w:rPr>
            </w:pPr>
            <w:r>
              <w:rPr>
                <w:rFonts w:hint="eastAsia" w:ascii="宋体" w:hAnsi="宋体" w:eastAsia="宋体" w:cs="宋体"/>
                <w:color w:val="auto"/>
                <w:highlight w:val="none"/>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开标时间：</w:t>
            </w:r>
            <w:r>
              <w:rPr>
                <w:rFonts w:hint="eastAsia" w:ascii="宋体" w:hAnsi="宋体" w:eastAsia="宋体" w:cs="宋体"/>
                <w:color w:val="auto"/>
                <w:sz w:val="21"/>
                <w:szCs w:val="21"/>
                <w:highlight w:val="none"/>
              </w:rPr>
              <w:t>2022年</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24</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val="en-US" w:eastAsia="zh-CN"/>
              </w:rPr>
              <w:t>14</w:t>
            </w:r>
            <w:r>
              <w:rPr>
                <w:rFonts w:hint="eastAsia" w:ascii="宋体" w:hAnsi="宋体" w:eastAsia="宋体" w:cs="宋体"/>
                <w:color w:val="auto"/>
                <w:sz w:val="21"/>
                <w:szCs w:val="21"/>
                <w:highlight w:val="none"/>
              </w:rPr>
              <w:t>时</w:t>
            </w: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分</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地点：广州南沙区金融大厦1807室</w:t>
            </w:r>
          </w:p>
          <w:p>
            <w:pPr>
              <w:spacing w:line="360" w:lineRule="auto"/>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20</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综合评分法</w:t>
            </w:r>
          </w:p>
        </w:tc>
      </w:tr>
    </w:tbl>
    <w:p>
      <w:pPr>
        <w:rPr>
          <w:rFonts w:ascii="宋体" w:hAnsi="宋体" w:eastAsia="宋体" w:cs="宋体"/>
          <w:color w:val="auto"/>
          <w:highlight w:val="none"/>
        </w:rPr>
      </w:pPr>
      <w:r>
        <w:rPr>
          <w:rFonts w:hint="eastAsia" w:ascii="宋体" w:hAnsi="宋体" w:eastAsia="宋体" w:cs="宋体"/>
          <w:color w:val="auto"/>
          <w:szCs w:val="21"/>
          <w:highlight w:val="none"/>
        </w:rPr>
        <w:t xml:space="preserve"> </w:t>
      </w:r>
    </w:p>
    <w:p>
      <w:pPr>
        <w:spacing w:line="360" w:lineRule="auto"/>
        <w:jc w:val="center"/>
        <w:rPr>
          <w:b/>
          <w:color w:val="auto"/>
          <w:highlight w:val="none"/>
        </w:rPr>
      </w:pPr>
      <w:r>
        <w:rPr>
          <w:b/>
          <w:color w:val="auto"/>
          <w:highlight w:val="none"/>
        </w:rPr>
        <w:t xml:space="preserve"> </w:t>
      </w:r>
    </w:p>
    <w:p>
      <w:pPr>
        <w:rPr>
          <w:b/>
          <w:color w:val="auto"/>
          <w:highlight w:val="none"/>
        </w:rPr>
      </w:pPr>
      <w:r>
        <w:rPr>
          <w:b/>
          <w:color w:val="auto"/>
          <w:highlight w:val="none"/>
        </w:rPr>
        <w:br w:type="page"/>
      </w:r>
    </w:p>
    <w:p>
      <w:pPr>
        <w:spacing w:line="360" w:lineRule="auto"/>
        <w:jc w:val="center"/>
        <w:outlineLvl w:val="1"/>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lang w:eastAsia="zh-CN"/>
        </w:rPr>
        <w:t>广州南沙旅游发展有限公司</w:t>
      </w:r>
      <w:r>
        <w:rPr>
          <w:rFonts w:hint="eastAsia" w:ascii="宋体" w:hAnsi="宋体" w:eastAsia="宋体" w:cs="宋体"/>
          <w:color w:val="auto"/>
          <w:sz w:val="24"/>
          <w:highlight w:val="none"/>
          <w:u w:val="single"/>
        </w:rPr>
        <w:t>、广州南沙建设维护管理有限公司。</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“项目建设管理单位”指</w:t>
      </w:r>
      <w:r>
        <w:rPr>
          <w:rFonts w:hint="eastAsia" w:ascii="宋体" w:hAnsi="宋体" w:eastAsia="宋体" w:cs="宋体"/>
          <w:color w:val="auto"/>
          <w:sz w:val="24"/>
          <w:highlight w:val="none"/>
          <w:u w:val="single"/>
        </w:rPr>
        <w:t xml:space="preserve">  广州南沙建设维护管理有限公司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 xml:space="preserve"> “招标文件”指由招标代理发出的本文件（包括全部章节、附件）及澄清补充文件。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 xml:space="preserve"> “投标文件”指投标人根据本招标文件向招标人提交的全部文件。</w:t>
      </w:r>
    </w:p>
    <w:p>
      <w:pPr>
        <w:pStyle w:val="1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9</w:t>
      </w:r>
      <w:r>
        <w:rPr>
          <w:rFonts w:hint="eastAsia" w:ascii="宋体" w:hAnsi="宋体" w:cs="宋体"/>
          <w:color w:val="auto"/>
          <w:sz w:val="24"/>
          <w:szCs w:val="24"/>
          <w:highlight w:val="none"/>
        </w:rPr>
        <w:t>“书面函件”指打字或印刷的函件，包括电传、电报和传真。</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2、招标说明</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w:t>
      </w:r>
      <w:r>
        <w:rPr>
          <w:rFonts w:hint="eastAsia" w:ascii="宋体" w:hAnsi="宋体" w:eastAsia="宋体" w:cs="宋体"/>
          <w:color w:val="auto"/>
          <w:sz w:val="24"/>
          <w:highlight w:val="none"/>
          <w:lang w:eastAsia="zh-CN"/>
        </w:rPr>
        <w:t>监理</w:t>
      </w:r>
      <w:r>
        <w:rPr>
          <w:rFonts w:hint="eastAsia" w:ascii="宋体" w:hAnsi="宋体" w:eastAsia="宋体" w:cs="宋体"/>
          <w:color w:val="auto"/>
          <w:sz w:val="24"/>
          <w:highlight w:val="none"/>
        </w:rPr>
        <w:t>单位承担</w:t>
      </w:r>
      <w:r>
        <w:rPr>
          <w:rFonts w:hint="eastAsia" w:ascii="宋体" w:hAnsi="宋体" w:eastAsia="宋体" w:cs="宋体"/>
          <w:color w:val="auto"/>
          <w:sz w:val="24"/>
          <w:highlight w:val="none"/>
          <w:lang w:eastAsia="zh-CN"/>
        </w:rPr>
        <w:t>监理</w:t>
      </w:r>
      <w:r>
        <w:rPr>
          <w:rFonts w:hint="eastAsia" w:ascii="宋体" w:hAnsi="宋体" w:eastAsia="宋体" w:cs="宋体"/>
          <w:color w:val="auto"/>
          <w:sz w:val="24"/>
          <w:highlight w:val="none"/>
        </w:rPr>
        <w:t>服务，确保本</w:t>
      </w:r>
      <w:r>
        <w:rPr>
          <w:rFonts w:hint="eastAsia" w:ascii="宋体" w:hAnsi="宋体" w:cs="宋体"/>
          <w:color w:val="auto"/>
          <w:highlight w:val="none"/>
        </w:rPr>
        <w:t>项目</w:t>
      </w:r>
      <w:r>
        <w:rPr>
          <w:rFonts w:hint="eastAsia" w:ascii="宋体" w:hAnsi="宋体" w:eastAsia="宋体" w:cs="宋体"/>
          <w:color w:val="auto"/>
          <w:sz w:val="24"/>
          <w:highlight w:val="none"/>
        </w:rPr>
        <w:t>能按期、优质、经济地完成。</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highlight w:val="none"/>
        </w:rPr>
        <w:t>项目</w:t>
      </w:r>
      <w:r>
        <w:rPr>
          <w:rFonts w:hint="eastAsia" w:ascii="宋体" w:hAnsi="宋体" w:eastAsia="宋体" w:cs="宋体"/>
          <w:color w:val="auto"/>
          <w:sz w:val="24"/>
          <w:highlight w:val="none"/>
        </w:rPr>
        <w:t>概况：</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highlight w:val="none"/>
        </w:rPr>
        <w:t>项目</w:t>
      </w:r>
      <w:r>
        <w:rPr>
          <w:rFonts w:hint="eastAsia" w:ascii="宋体" w:hAnsi="宋体" w:eastAsia="宋体" w:cs="宋体"/>
          <w:color w:val="auto"/>
          <w:sz w:val="24"/>
          <w:highlight w:val="none"/>
        </w:rPr>
        <w:t>名称：见投标须知前附表第1项。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w:t>
      </w:r>
      <w:r>
        <w:rPr>
          <w:rFonts w:hint="eastAsia" w:ascii="宋体" w:hAnsi="宋体" w:eastAsia="宋体" w:cs="宋体"/>
          <w:color w:val="auto"/>
          <w:sz w:val="24"/>
          <w:highlight w:val="none"/>
          <w:lang w:eastAsia="zh-CN"/>
        </w:rPr>
        <w:t>项目预算</w:t>
      </w:r>
      <w:r>
        <w:rPr>
          <w:rFonts w:hint="eastAsia" w:ascii="宋体" w:hAnsi="宋体" w:eastAsia="宋体" w:cs="宋体"/>
          <w:color w:val="auto"/>
          <w:sz w:val="24"/>
          <w:highlight w:val="none"/>
        </w:rPr>
        <w:t>：见投标须知前附表第4项。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w:t>
      </w:r>
      <w:r>
        <w:rPr>
          <w:rFonts w:hint="eastAsia" w:ascii="宋体" w:hAnsi="宋体" w:eastAsia="宋体" w:cs="宋体"/>
          <w:color w:val="auto"/>
          <w:sz w:val="24"/>
          <w:highlight w:val="none"/>
          <w:lang w:eastAsia="zh-CN"/>
        </w:rPr>
        <w:t>质量</w:t>
      </w:r>
      <w:r>
        <w:rPr>
          <w:rFonts w:hint="eastAsia" w:ascii="宋体" w:hAnsi="宋体" w:eastAsia="宋体" w:cs="宋体"/>
          <w:color w:val="auto"/>
          <w:sz w:val="24"/>
          <w:highlight w:val="none"/>
        </w:rPr>
        <w:t>目标：见投标须知前附表第5项。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w:t>
      </w:r>
      <w:r>
        <w:rPr>
          <w:rFonts w:hint="eastAsia" w:ascii="宋体" w:hAnsi="宋体" w:eastAsia="宋体" w:cs="宋体"/>
          <w:color w:val="auto"/>
          <w:sz w:val="24"/>
          <w:highlight w:val="none"/>
          <w:lang w:eastAsia="zh-CN"/>
        </w:rPr>
        <w:t>监理</w:t>
      </w:r>
      <w:r>
        <w:rPr>
          <w:rFonts w:hint="eastAsia" w:ascii="宋体" w:hAnsi="宋体" w:eastAsia="宋体" w:cs="宋体"/>
          <w:color w:val="auto"/>
          <w:sz w:val="24"/>
          <w:highlight w:val="none"/>
        </w:rPr>
        <w:t>服务期要求：见投标须知前附表第7项。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241" w:firstLineChars="1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12"/>
        <w:widowControl/>
        <w:spacing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2）投标文件格式</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3）服务合同（另附）</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5）附件</w:t>
      </w:r>
    </w:p>
    <w:p>
      <w:pPr>
        <w:pStyle w:val="1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rPr>
        <w:t>3</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1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rPr>
        <w:t>3</w:t>
      </w:r>
      <w:r>
        <w:rPr>
          <w:rFonts w:hint="eastAsia" w:ascii="宋体" w:hAnsi="宋体" w:cs="宋体"/>
          <w:color w:val="auto"/>
          <w:sz w:val="24"/>
          <w:szCs w:val="24"/>
          <w:highlight w:val="none"/>
        </w:rPr>
        <w:t>日前，招标人可对招标文件进行必要的澄清或修改。</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12"/>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（三）投标文件的编制</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11.4企业法定代表人证明书及法定代表人授权委托证明书（按招标文件第2章格式填写，或使用从工商管理部门购买的版本填写），法人身份证复印件、被授权人身份证复印件。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w:t>
      </w:r>
      <w:r>
        <w:rPr>
          <w:rFonts w:hint="eastAsia" w:ascii="宋体" w:hAnsi="宋体" w:eastAsia="宋体" w:cs="宋体"/>
          <w:color w:val="auto"/>
          <w:sz w:val="24"/>
          <w:highlight w:val="none"/>
          <w:lang w:eastAsia="zh-CN"/>
        </w:rPr>
        <w:t>总监理工程师</w:t>
      </w:r>
      <w:r>
        <w:rPr>
          <w:rFonts w:hint="eastAsia" w:ascii="宋体" w:hAnsi="宋体" w:eastAsia="宋体" w:cs="宋体"/>
          <w:color w:val="auto"/>
          <w:sz w:val="24"/>
          <w:highlight w:val="none"/>
        </w:rPr>
        <w:t>职称证复印件。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11.7人员到位承诺书（按招标文件第2章格式填写）；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11.8投标人综合概况（按招标文件第2章格式填写）；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11.9企业自</w:t>
      </w:r>
      <w:r>
        <w:rPr>
          <w:rFonts w:hint="eastAsia" w:ascii="宋体" w:hAnsi="宋体" w:eastAsia="宋体" w:cs="宋体"/>
          <w:color w:val="auto"/>
          <w:sz w:val="24"/>
          <w:highlight w:val="none"/>
          <w:lang w:eastAsia="zh-CN"/>
        </w:rPr>
        <w:t>2017年</w:t>
      </w:r>
      <w:r>
        <w:rPr>
          <w:rFonts w:hint="eastAsia" w:ascii="宋体" w:hAnsi="宋体" w:eastAsia="宋体" w:cs="宋体"/>
          <w:color w:val="auto"/>
          <w:sz w:val="24"/>
          <w:highlight w:val="none"/>
        </w:rPr>
        <w:t>1月1日至今企业承担的同类项目（按招标文件第2章格式填写）；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11.10参与本项目的人员一览表及证明文件（按招标文件第2章格式填写）；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11.11</w:t>
      </w:r>
      <w:r>
        <w:rPr>
          <w:rFonts w:hint="eastAsia" w:ascii="宋体" w:hAnsi="宋体" w:eastAsia="宋体" w:cs="宋体"/>
          <w:color w:val="auto"/>
          <w:sz w:val="24"/>
          <w:highlight w:val="none"/>
          <w:lang w:eastAsia="zh-CN"/>
        </w:rPr>
        <w:t>总监理工程师</w:t>
      </w:r>
      <w:r>
        <w:rPr>
          <w:rFonts w:hint="eastAsia" w:ascii="宋体" w:hAnsi="宋体" w:eastAsia="宋体" w:cs="宋体"/>
          <w:color w:val="auto"/>
          <w:sz w:val="24"/>
          <w:highlight w:val="none"/>
        </w:rPr>
        <w:t>相关经验及业绩（按招标文件第2章格式填写）；</w:t>
      </w:r>
    </w:p>
    <w:p>
      <w:pPr>
        <w:pStyle w:val="7"/>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11.12报价表</w:t>
      </w:r>
      <w:r>
        <w:rPr>
          <w:rFonts w:hint="eastAsia" w:hAnsi="宋体" w:cs="宋体"/>
          <w:color w:val="auto"/>
          <w:sz w:val="24"/>
          <w:highlight w:val="none"/>
          <w:lang w:eastAsia="zh-CN"/>
        </w:rPr>
        <w:t>；</w:t>
      </w:r>
    </w:p>
    <w:p>
      <w:pPr>
        <w:pStyle w:val="7"/>
        <w:ind w:firstLine="480" w:firstLineChars="200"/>
        <w:rPr>
          <w:rFonts w:hint="eastAsia" w:hAnsi="宋体" w:eastAsia="宋体" w:cs="宋体"/>
          <w:color w:val="auto"/>
          <w:sz w:val="24"/>
          <w:highlight w:val="none"/>
          <w:lang w:eastAsia="zh-CN"/>
        </w:rPr>
      </w:pPr>
      <w:r>
        <w:rPr>
          <w:rFonts w:hAnsi="宋体" w:cs="宋体"/>
          <w:color w:val="auto"/>
          <w:sz w:val="24"/>
          <w:highlight w:val="none"/>
        </w:rPr>
        <w:t xml:space="preserve">11.13 </w:t>
      </w:r>
      <w:r>
        <w:rPr>
          <w:rFonts w:hint="eastAsia" w:hAnsi="宋体" w:cs="宋体"/>
          <w:color w:val="auto"/>
          <w:sz w:val="24"/>
          <w:highlight w:val="none"/>
          <w:lang w:eastAsia="zh-CN"/>
        </w:rPr>
        <w:t>监理大纲（作为技术标单独成册）；</w:t>
      </w:r>
    </w:p>
    <w:p>
      <w:pPr>
        <w:pStyle w:val="7"/>
        <w:ind w:firstLine="480" w:firstLineChars="200"/>
        <w:rPr>
          <w:rFonts w:hint="eastAsia" w:hAnsi="宋体" w:eastAsia="宋体" w:cs="宋体"/>
          <w:color w:val="auto"/>
          <w:sz w:val="24"/>
          <w:highlight w:val="none"/>
          <w:lang w:eastAsia="zh-CN"/>
        </w:rPr>
      </w:pPr>
      <w:r>
        <w:rPr>
          <w:rFonts w:hAnsi="宋体" w:cs="宋体"/>
          <w:color w:val="auto"/>
          <w:sz w:val="24"/>
          <w:highlight w:val="none"/>
        </w:rPr>
        <w:t>11.1</w:t>
      </w:r>
      <w:r>
        <w:rPr>
          <w:rFonts w:hint="eastAsia" w:hAnsi="宋体" w:cs="宋体"/>
          <w:color w:val="auto"/>
          <w:sz w:val="24"/>
          <w:highlight w:val="none"/>
          <w:lang w:val="en-US" w:eastAsia="zh-CN"/>
        </w:rPr>
        <w:t>4</w:t>
      </w:r>
      <w:r>
        <w:rPr>
          <w:rFonts w:hAnsi="宋体" w:cs="宋体"/>
          <w:color w:val="auto"/>
          <w:sz w:val="24"/>
          <w:highlight w:val="none"/>
        </w:rPr>
        <w:t xml:space="preserve"> 投标文件电子版（刻录光盘或提供U盘）</w:t>
      </w:r>
      <w:r>
        <w:rPr>
          <w:rFonts w:hint="eastAsia" w:hAnsi="宋体" w:cs="宋体"/>
          <w:color w:val="auto"/>
          <w:sz w:val="24"/>
          <w:highlight w:val="none"/>
          <w:lang w:eastAsia="zh-CN"/>
        </w:rPr>
        <w:t>；</w:t>
      </w:r>
    </w:p>
    <w:p>
      <w:pPr>
        <w:pStyle w:val="7"/>
        <w:ind w:firstLine="480" w:firstLineChars="200"/>
        <w:rPr>
          <w:rFonts w:hint="default" w:hAnsi="宋体" w:cs="宋体"/>
          <w:color w:val="auto"/>
          <w:sz w:val="24"/>
          <w:highlight w:val="none"/>
        </w:rPr>
      </w:pPr>
      <w:r>
        <w:rPr>
          <w:rFonts w:hAnsi="宋体" w:cs="宋体"/>
          <w:color w:val="auto"/>
          <w:sz w:val="24"/>
          <w:highlight w:val="none"/>
        </w:rPr>
        <w:t>11.1</w:t>
      </w:r>
      <w:r>
        <w:rPr>
          <w:rFonts w:hint="eastAsia" w:hAnsi="宋体" w:cs="宋体"/>
          <w:color w:val="auto"/>
          <w:sz w:val="24"/>
          <w:highlight w:val="none"/>
          <w:lang w:val="en-US" w:eastAsia="zh-CN"/>
        </w:rPr>
        <w:t>5</w:t>
      </w:r>
      <w:r>
        <w:rPr>
          <w:rFonts w:hAnsi="宋体" w:cs="宋体"/>
          <w:color w:val="auto"/>
          <w:sz w:val="24"/>
          <w:highlight w:val="none"/>
        </w:rPr>
        <w:t>投标人认为需要提交的其他资料。</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13.3投标报价方式：投标单位自行报价（投标</w:t>
      </w:r>
      <w:r>
        <w:rPr>
          <w:rFonts w:hint="eastAsia" w:ascii="宋体" w:hAnsi="宋体" w:cs="宋体"/>
          <w:color w:val="auto"/>
          <w:sz w:val="24"/>
          <w:szCs w:val="24"/>
          <w:highlight w:val="none"/>
          <w:lang w:eastAsia="zh-CN"/>
        </w:rPr>
        <w:t>报</w:t>
      </w:r>
      <w:r>
        <w:rPr>
          <w:rFonts w:hint="eastAsia" w:ascii="宋体" w:hAnsi="宋体" w:cs="宋体"/>
          <w:color w:val="auto"/>
          <w:sz w:val="24"/>
          <w:szCs w:val="24"/>
          <w:highlight w:val="none"/>
        </w:rPr>
        <w:t>价不得超过最高投标限价，否则按废标处理）。（小数点后保留二位小数，第三位小数四舍五入）</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r>
        <w:rPr>
          <w:rFonts w:hint="eastAsia" w:ascii="宋体" w:hAnsi="宋体" w:cs="宋体"/>
          <w:color w:val="auto"/>
          <w:sz w:val="24"/>
          <w:szCs w:val="24"/>
          <w:highlight w:val="none"/>
          <w:lang w:eastAsia="zh-CN"/>
        </w:rPr>
        <w:t>，详见</w:t>
      </w:r>
      <w:r>
        <w:rPr>
          <w:rFonts w:hint="eastAsia" w:ascii="宋体" w:hAnsi="宋体" w:cs="宋体"/>
          <w:color w:val="auto"/>
          <w:sz w:val="24"/>
          <w:szCs w:val="24"/>
          <w:highlight w:val="none"/>
        </w:rPr>
        <w:t>投标须知前附表</w:t>
      </w:r>
      <w:r>
        <w:rPr>
          <w:rFonts w:hint="eastAsia" w:ascii="宋体" w:hAnsi="宋体" w:cs="宋体"/>
          <w:color w:val="auto"/>
          <w:sz w:val="24"/>
          <w:szCs w:val="24"/>
          <w:highlight w:val="none"/>
          <w:lang w:eastAsia="zh-CN"/>
        </w:rPr>
        <w:t>要求</w:t>
      </w:r>
      <w:r>
        <w:rPr>
          <w:rFonts w:hint="eastAsia" w:ascii="宋体" w:hAnsi="宋体" w:cs="宋体"/>
          <w:color w:val="auto"/>
          <w:sz w:val="24"/>
          <w:szCs w:val="24"/>
          <w:highlight w:val="none"/>
        </w:rPr>
        <w:t>。</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盖章签字后的复印件，字迹应清晰易于辨认，并应在投标文件封面的右上角清楚地注明“正本”或“副本”。正本和副本如有不一致之处，以正本为准。</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投标人、投标时间，右上角打上正本（或副本）。使用书式装订，装订时书订不外露；不能使用塑料面或塑料胶条装订。</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（四）投标文件的提交</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投标文件的包封要求：商务标一正四副、技术标一正四副及电子文件一起包封。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           </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广州市海防教育基地项目交通渡口码头工程</w:t>
      </w:r>
      <w:r>
        <w:rPr>
          <w:rFonts w:hint="eastAsia" w:ascii="宋体" w:hAnsi="宋体" w:eastAsia="宋体" w:cs="宋体"/>
          <w:color w:val="auto"/>
          <w:sz w:val="24"/>
          <w:highlight w:val="none"/>
          <w:u w:val="single"/>
        </w:rPr>
        <w:t>施工</w:t>
      </w:r>
      <w:r>
        <w:rPr>
          <w:rFonts w:hint="eastAsia" w:ascii="宋体" w:hAnsi="宋体" w:eastAsia="宋体" w:cs="宋体"/>
          <w:color w:val="auto"/>
          <w:sz w:val="24"/>
          <w:highlight w:val="none"/>
          <w:u w:val="single"/>
          <w:lang w:eastAsia="zh-CN"/>
        </w:rPr>
        <w:t>监理</w:t>
      </w:r>
      <w:r>
        <w:rPr>
          <w:rFonts w:hint="eastAsia" w:ascii="宋体" w:hAnsi="宋体" w:eastAsia="宋体" w:cs="宋体"/>
          <w:color w:val="auto"/>
          <w:sz w:val="24"/>
          <w:highlight w:val="none"/>
          <w:u w:val="single"/>
        </w:rPr>
        <w:t xml:space="preserve">   </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2022年X月X日X时X分  </w:t>
      </w:r>
      <w:r>
        <w:rPr>
          <w:rFonts w:hint="eastAsia" w:ascii="宋体" w:hAnsi="宋体" w:eastAsia="宋体" w:cs="宋体"/>
          <w:color w:val="auto"/>
          <w:sz w:val="24"/>
          <w:highlight w:val="none"/>
        </w:rPr>
        <w:t>前不得开封（填入前附表第19项所述日期及时间）</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12"/>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（五）开标</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w:t>
      </w:r>
      <w:r>
        <w:rPr>
          <w:rFonts w:hint="eastAsia" w:ascii="宋体" w:hAnsi="宋体" w:eastAsia="宋体" w:cs="宋体"/>
          <w:color w:val="auto"/>
          <w:sz w:val="24"/>
          <w:highlight w:val="none"/>
          <w:lang w:eastAsia="zh-CN"/>
        </w:rPr>
        <w:t>总监理工程师</w:t>
      </w:r>
      <w:r>
        <w:rPr>
          <w:rFonts w:hint="eastAsia" w:ascii="宋体" w:hAnsi="宋体" w:eastAsia="宋体" w:cs="宋体"/>
          <w:color w:val="auto"/>
          <w:sz w:val="24"/>
          <w:highlight w:val="none"/>
        </w:rPr>
        <w:t>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24.7招标人将上述符合要求的投标文件，送至评标小组进行评审的。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 评标</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在投标文件的评审和比较、中标候选人推荐以及授予合同的过程中，投标人向招标人和评标小组施加影响的任何行为，都将会导致其投标被拒绝。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中标人确定后，招标人不对未中标人就评标过程以及未能中标原因作出任何解释。未中标人不得向评标小组组成人员或其他有关人员索问评标过程的情况和材料。</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评标小组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如果投标文件实质上不响应招标文件的各项要求，评标小组将予以拒绝，并且不允许投标人通过修改或撤销其不符合要求的差异或保留，使之成为具有响应性的投标。</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27.1 评标小组将按照本须知第26条规定，仅对在实质上响应招标文件要求的投标文件进行评审和比较。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在评审过程中，评标小组可以以书面形式要求投标人就投标文件中含义不明确的内容进行书面说明并提供相关材料。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27.3 评标小组依据投标须知前附表第20项规定的评标标准和方法，详见本招标文件《评标办法》，对投标文件进行评审和比较，向招标人提出书面评标报告，并推荐经评审投标</w:t>
      </w:r>
      <w:r>
        <w:rPr>
          <w:rFonts w:hint="eastAsia" w:ascii="宋体" w:hAnsi="宋体" w:eastAsia="宋体" w:cs="宋体"/>
          <w:color w:val="auto"/>
          <w:sz w:val="24"/>
          <w:highlight w:val="none"/>
          <w:lang w:eastAsia="zh-CN"/>
        </w:rPr>
        <w:t>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排序的前一～三名为第一、第二和第三中标候选人。招标人根据评标小组提出的书面评标报告和推荐的中标候选人中，按排序依法确定中标人。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28．评标小组依据有关法律、法规和招标文件的规定对投标文件进行评审，经评定的有效投标人不足三名时，招标人应当依法重新组织招标。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（七）合同的授予</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招标人不承诺将合同授予报价最低的投标人。招标人在发出中标通知书前，有权依据评标小组的评标报告拒绝不合格的投标。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31.1中标通知书经招标人及招标代理机构</w:t>
      </w:r>
      <w:r>
        <w:rPr>
          <w:rFonts w:hint="eastAsia" w:ascii="宋体" w:hAnsi="宋体" w:eastAsia="宋体" w:cs="宋体"/>
          <w:color w:val="auto"/>
          <w:sz w:val="24"/>
          <w:highlight w:val="none"/>
          <w:lang w:eastAsia="zh-CN"/>
        </w:rPr>
        <w:t>（如有）</w:t>
      </w:r>
      <w:r>
        <w:rPr>
          <w:rFonts w:hint="eastAsia" w:ascii="宋体" w:hAnsi="宋体" w:eastAsia="宋体" w:cs="宋体"/>
          <w:color w:val="auto"/>
          <w:sz w:val="24"/>
          <w:highlight w:val="none"/>
        </w:rPr>
        <w:t>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33．合同生效</w:t>
      </w:r>
    </w:p>
    <w:p>
      <w:pPr>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p>
    <w:p>
      <w:pPr>
        <w:pStyle w:val="3"/>
        <w:widowControl/>
        <w:spacing w:before="0" w:after="0" w:line="360" w:lineRule="auto"/>
        <w:jc w:val="center"/>
        <w:rPr>
          <w:rFonts w:ascii="黑体" w:hAnsi="宋体" w:cs="黑体"/>
          <w:b/>
          <w:color w:val="auto"/>
          <w:kern w:val="44"/>
          <w:sz w:val="44"/>
          <w:szCs w:val="44"/>
          <w:highlight w:val="none"/>
        </w:rPr>
      </w:pPr>
      <w:bookmarkStart w:id="4" w:name="_Toc374128473"/>
      <w:bookmarkEnd w:id="4"/>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5" w:name="_Toc32057"/>
      <w:r>
        <w:rPr>
          <w:rFonts w:hint="eastAsia" w:ascii="黑体" w:hAnsi="宋体" w:cs="黑体"/>
          <w:b/>
          <w:color w:val="auto"/>
          <w:kern w:val="44"/>
          <w:sz w:val="44"/>
          <w:szCs w:val="44"/>
          <w:highlight w:val="none"/>
        </w:rPr>
        <w:t>第2章  投标格式文件</w:t>
      </w:r>
      <w:bookmarkEnd w:id="5"/>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广州南沙旅游发展有限公司</w:t>
      </w:r>
      <w:r>
        <w:rPr>
          <w:rFonts w:hint="eastAsia" w:ascii="宋体" w:hAnsi="宋体" w:eastAsia="宋体" w:cs="Times New Roman"/>
          <w:color w:val="auto"/>
          <w:spacing w:val="20"/>
          <w:sz w:val="24"/>
          <w:highlight w:val="none"/>
          <w:u w:val="single"/>
        </w:rPr>
        <w:t>、广州南沙建设维护管理有限公司：</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u w:val="single"/>
          <w:lang w:eastAsia="zh-CN"/>
        </w:rPr>
        <w:t>广州市海防教育基地项目交通渡口码头工程施工监理</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color w:val="auto"/>
          <w:spacing w:val="20"/>
          <w:sz w:val="24"/>
          <w:highlight w:val="none"/>
          <w:lang w:eastAsia="zh-CN"/>
        </w:rPr>
        <w:t>监理</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w:t>
      </w:r>
      <w:r>
        <w:rPr>
          <w:rFonts w:hint="eastAsia" w:ascii="宋体" w:hAnsi="宋体" w:eastAsia="宋体" w:cs="Times New Roman"/>
          <w:color w:val="auto"/>
          <w:spacing w:val="20"/>
          <w:sz w:val="24"/>
          <w:highlight w:val="none"/>
          <w:lang w:eastAsia="zh-CN"/>
        </w:rPr>
        <w:t>监理</w:t>
      </w:r>
      <w:r>
        <w:rPr>
          <w:rFonts w:hint="eastAsia" w:ascii="宋体" w:hAnsi="宋体" w:eastAsia="宋体" w:cs="Times New Roman"/>
          <w:color w:val="auto"/>
          <w:spacing w:val="20"/>
          <w:sz w:val="24"/>
          <w:highlight w:val="none"/>
        </w:rPr>
        <w:t>服务任务。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w:t>
      </w:r>
      <w:r>
        <w:rPr>
          <w:rFonts w:hint="eastAsia" w:ascii="宋体" w:hAnsi="宋体" w:eastAsia="宋体" w:cs="Times New Roman"/>
          <w:color w:val="auto"/>
          <w:spacing w:val="20"/>
          <w:sz w:val="24"/>
          <w:highlight w:val="none"/>
          <w:lang w:eastAsia="zh-CN"/>
        </w:rPr>
        <w:t>监理</w:t>
      </w:r>
      <w:r>
        <w:rPr>
          <w:rFonts w:hint="eastAsia" w:ascii="宋体" w:hAnsi="宋体" w:eastAsia="宋体" w:cs="Times New Roman"/>
          <w:color w:val="auto"/>
          <w:spacing w:val="20"/>
          <w:sz w:val="24"/>
          <w:highlight w:val="none"/>
        </w:rPr>
        <w:t>服务合同之前，本投标书连同贵方的中标通知书应成为约束贵、我双方的合同文件。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广州南沙旅游发展有限公司</w:t>
      </w:r>
      <w:r>
        <w:rPr>
          <w:rFonts w:hint="eastAsia" w:ascii="宋体" w:hAnsi="宋体" w:eastAsia="宋体" w:cs="Times New Roman"/>
          <w:color w:val="auto"/>
          <w:spacing w:val="20"/>
          <w:sz w:val="24"/>
          <w:highlight w:val="none"/>
          <w:u w:val="single"/>
        </w:rPr>
        <w:t>、广州南沙建设维护管理有限公司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如果我方投标文件中存在计算或表达错误的，我方理解并接受评标小组按照招标文件规定的原则进行修正，这种修正对我方具有约束力，且不需要我方确认。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1680" w:firstLineChars="70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1680" w:firstLineChars="600"/>
        <w:rPr>
          <w:rFonts w:ascii="宋体" w:hAnsi="宋体" w:eastAsia="宋体" w:cs="宋体"/>
          <w:color w:val="auto"/>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u w:val="single"/>
        </w:rPr>
        <w:t xml:space="preserve">              </w:t>
      </w:r>
    </w:p>
    <w:p>
      <w:pPr>
        <w:snapToGrid w:val="0"/>
        <w:spacing w:line="440" w:lineRule="exact"/>
        <w:ind w:right="26" w:firstLine="1680" w:firstLineChars="70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1680" w:firstLineChars="70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1680" w:firstLineChars="70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19"/>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6" w:name="_Toc216145749"/>
      <w:bookmarkEnd w:id="6"/>
      <w:bookmarkStart w:id="7" w:name="_Toc223342668"/>
      <w:bookmarkEnd w:id="7"/>
      <w:r>
        <w:rPr>
          <w:rFonts w:hint="eastAsia" w:ascii="宋体" w:hAnsi="宋体" w:eastAsia="宋体" w:cs="黑体"/>
          <w:color w:val="auto"/>
          <w:sz w:val="28"/>
          <w:szCs w:val="28"/>
          <w:highlight w:val="none"/>
        </w:rPr>
        <w:t>格式三：</w:t>
      </w:r>
    </w:p>
    <w:p>
      <w:pPr>
        <w:pStyle w:val="21"/>
        <w:widowControl/>
        <w:ind w:firstLine="0" w:firstLineChars="0"/>
        <w:jc w:val="center"/>
        <w:outlineLvl w:val="2"/>
        <w:rPr>
          <w:color w:val="auto"/>
          <w:kern w:val="44"/>
          <w:highlight w:val="none"/>
        </w:rPr>
      </w:pPr>
      <w:bookmarkStart w:id="8" w:name="_Toc172416501"/>
      <w:bookmarkEnd w:id="8"/>
      <w:r>
        <w:rPr>
          <w:rFonts w:hint="eastAsia" w:ascii="宋体" w:hAnsi="宋体" w:cs="宋体"/>
          <w:b/>
          <w:color w:val="auto"/>
          <w:sz w:val="30"/>
          <w:szCs w:val="30"/>
          <w:highlight w:val="none"/>
        </w:rPr>
        <w:t>法定代表人证明书</w:t>
      </w:r>
    </w:p>
    <w:p>
      <w:pPr>
        <w:pStyle w:val="21"/>
        <w:widowControl/>
        <w:ind w:firstLine="496"/>
        <w:jc w:val="right"/>
        <w:rPr>
          <w:b/>
          <w:color w:val="auto"/>
          <w:highlight w:val="none"/>
        </w:rPr>
      </w:pPr>
      <w:r>
        <w:rPr>
          <w:color w:val="auto"/>
          <w:highlight w:val="none"/>
        </w:rPr>
        <w:t xml:space="preserve">                                      </w:t>
      </w:r>
    </w:p>
    <w:p>
      <w:pPr>
        <w:pStyle w:val="21"/>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pPr>
        <w:pStyle w:val="21"/>
        <w:widowControl/>
        <w:ind w:firstLine="618"/>
        <w:rPr>
          <w:b/>
          <w:color w:val="auto"/>
          <w:sz w:val="30"/>
          <w:szCs w:val="30"/>
          <w:highlight w:val="none"/>
        </w:rPr>
      </w:pPr>
      <w:r>
        <w:rPr>
          <w:b/>
          <w:color w:val="auto"/>
          <w:sz w:val="30"/>
          <w:szCs w:val="30"/>
          <w:highlight w:val="none"/>
        </w:rPr>
        <w:t xml:space="preserve"> </w:t>
      </w:r>
    </w:p>
    <w:p>
      <w:pPr>
        <w:pStyle w:val="21"/>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1"/>
        <w:widowControl/>
        <w:ind w:firstLine="496"/>
        <w:jc w:val="right"/>
        <w:rPr>
          <w:color w:val="auto"/>
          <w:highlight w:val="none"/>
        </w:rPr>
      </w:pPr>
      <w:r>
        <w:rPr>
          <w:color w:val="auto"/>
          <w:highlight w:val="none"/>
        </w:rPr>
        <w:t xml:space="preserve">         </w:t>
      </w:r>
    </w:p>
    <w:p>
      <w:pPr>
        <w:pStyle w:val="21"/>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pPr>
        <w:pStyle w:val="19"/>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9" w:name="_Toc216145759"/>
      <w:bookmarkEnd w:id="9"/>
      <w:bookmarkStart w:id="10"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19"/>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0"/>
      <w:r>
        <w:rPr>
          <w:rFonts w:hint="eastAsia" w:ascii="宋体" w:hAnsi="宋体" w:eastAsia="宋体" w:cs="宋体"/>
          <w:color w:val="auto"/>
          <w:sz w:val="28"/>
          <w:szCs w:val="28"/>
          <w:highlight w:val="none"/>
        </w:rPr>
        <w:t xml:space="preserve"> </w:t>
      </w:r>
    </w:p>
    <w:p>
      <w:pPr>
        <w:pStyle w:val="21"/>
        <w:widowControl/>
        <w:ind w:firstLine="0" w:firstLineChars="0"/>
        <w:jc w:val="center"/>
        <w:rPr>
          <w:b/>
          <w:color w:val="auto"/>
          <w:sz w:val="28"/>
          <w:szCs w:val="28"/>
          <w:highlight w:val="none"/>
        </w:rPr>
      </w:pPr>
      <w:r>
        <w:rPr>
          <w:b/>
          <w:color w:val="auto"/>
          <w:sz w:val="28"/>
          <w:szCs w:val="28"/>
          <w:highlight w:val="none"/>
        </w:rPr>
        <w:t xml:space="preserve"> </w:t>
      </w:r>
    </w:p>
    <w:p>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服务人员到位承诺书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广州南沙旅游发展有限公司</w:t>
      </w:r>
      <w:r>
        <w:rPr>
          <w:rFonts w:hint="eastAsia" w:ascii="宋体" w:hAnsi="宋体" w:eastAsia="宋体" w:cs="宋体"/>
          <w:color w:val="auto"/>
          <w:sz w:val="24"/>
          <w:highlight w:val="none"/>
          <w:u w:val="single"/>
        </w:rPr>
        <w:t>、广州南沙建设维护管理有限公司</w:t>
      </w:r>
    </w:p>
    <w:p>
      <w:pPr>
        <w:spacing w:line="560" w:lineRule="exact"/>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投标项目名称：</w:t>
      </w:r>
      <w:r>
        <w:rPr>
          <w:rFonts w:hint="eastAsia" w:ascii="宋体" w:hAnsi="宋体" w:eastAsia="宋体" w:cs="Times New Roman"/>
          <w:color w:val="auto"/>
          <w:spacing w:val="20"/>
          <w:sz w:val="24"/>
          <w:highlight w:val="none"/>
          <w:u w:val="single"/>
          <w:lang w:eastAsia="zh-CN"/>
        </w:rPr>
        <w:t>广州市海防教育基地项目交通渡口码头工程施工监理</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我方如果中标，承诺服务人员的配备不得低于招标人要求</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各专业人员</w:t>
      </w:r>
      <w:r>
        <w:rPr>
          <w:rFonts w:hint="eastAsia" w:ascii="宋体" w:hAnsi="宋体" w:eastAsia="宋体" w:cs="宋体"/>
          <w:color w:val="auto"/>
          <w:sz w:val="24"/>
          <w:szCs w:val="24"/>
          <w:highlight w:val="none"/>
        </w:rPr>
        <w:t>随工程</w:t>
      </w:r>
      <w:r>
        <w:rPr>
          <w:rFonts w:hint="eastAsia" w:ascii="宋体" w:hAnsi="宋体" w:eastAsia="宋体" w:cs="宋体"/>
          <w:color w:val="auto"/>
          <w:sz w:val="24"/>
          <w:szCs w:val="24"/>
          <w:highlight w:val="none"/>
          <w:lang w:eastAsia="zh-CN"/>
        </w:rPr>
        <w:t>进展</w:t>
      </w:r>
      <w:r>
        <w:rPr>
          <w:rFonts w:hint="eastAsia" w:ascii="宋体" w:hAnsi="宋体" w:eastAsia="宋体" w:cs="宋体"/>
          <w:color w:val="auto"/>
          <w:sz w:val="24"/>
          <w:szCs w:val="24"/>
          <w:highlight w:val="none"/>
        </w:rPr>
        <w:t>情况按业主要求进行调配</w:t>
      </w:r>
      <w:r>
        <w:rPr>
          <w:rFonts w:hint="eastAsia" w:ascii="宋体" w:hAnsi="宋体" w:eastAsia="宋体" w:cs="宋体"/>
          <w:color w:val="auto"/>
          <w:sz w:val="24"/>
          <w:highlight w:val="none"/>
        </w:rPr>
        <w:t>。</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1" w:name="_Toc196036941"/>
      <w:bookmarkEnd w:id="11"/>
      <w:bookmarkStart w:id="12" w:name="_Toc197235848"/>
      <w:bookmarkEnd w:id="12"/>
      <w:bookmarkStart w:id="13" w:name="_Toc199647675"/>
      <w:bookmarkEnd w:id="13"/>
      <w:bookmarkStart w:id="14" w:name="_Toc415833503"/>
      <w:bookmarkEnd w:id="14"/>
      <w:bookmarkStart w:id="15" w:name="_Toc326909213"/>
      <w:bookmarkEnd w:id="15"/>
      <w:bookmarkStart w:id="16" w:name="_Toc459403394"/>
      <w:bookmarkEnd w:id="16"/>
      <w:bookmarkStart w:id="17" w:name="_Toc196130013"/>
      <w:bookmarkEnd w:id="17"/>
      <w:bookmarkStart w:id="18" w:name="_Toc196037097"/>
      <w:bookmarkEnd w:id="18"/>
      <w:bookmarkStart w:id="19" w:name="_Toc415728297"/>
      <w:bookmarkEnd w:id="19"/>
      <w:bookmarkStart w:id="20" w:name="_Toc41822703"/>
      <w:bookmarkEnd w:id="20"/>
      <w:bookmarkStart w:id="21" w:name="_Toc196130110"/>
      <w:bookmarkEnd w:id="21"/>
      <w:bookmarkStart w:id="22" w:name="_Toc462911098"/>
      <w:r>
        <w:rPr>
          <w:rFonts w:hint="eastAsia" w:ascii="宋体" w:hAnsi="宋体" w:eastAsia="宋体" w:cs="黑体"/>
          <w:b/>
          <w:color w:val="auto"/>
          <w:spacing w:val="4"/>
          <w:kern w:val="0"/>
          <w:sz w:val="28"/>
          <w:szCs w:val="28"/>
          <w:highlight w:val="none"/>
        </w:rPr>
        <w:t>格式五</w:t>
      </w:r>
      <w:bookmarkEnd w:id="22"/>
      <w:r>
        <w:rPr>
          <w:rFonts w:hint="eastAsia" w:ascii="宋体" w:hAnsi="宋体" w:eastAsia="宋体" w:cs="宋体"/>
          <w:color w:val="auto"/>
          <w:sz w:val="28"/>
          <w:szCs w:val="28"/>
          <w:highlight w:val="none"/>
        </w:rPr>
        <w:t>：</w:t>
      </w:r>
    </w:p>
    <w:p>
      <w:pPr>
        <w:spacing w:line="360" w:lineRule="auto"/>
        <w:jc w:val="center"/>
        <w:outlineLvl w:val="2"/>
        <w:rPr>
          <w:rFonts w:ascii="仿宋" w:hAnsi="仿宋" w:eastAsia="仿宋" w:cs="仿宋"/>
          <w:b/>
          <w:bCs/>
          <w:color w:val="auto"/>
          <w:sz w:val="36"/>
          <w:szCs w:val="36"/>
          <w:highlight w:val="none"/>
        </w:rPr>
      </w:pPr>
      <w:bookmarkStart w:id="23" w:name="_Toc41822704"/>
      <w:bookmarkEnd w:id="23"/>
      <w:r>
        <w:rPr>
          <w:rFonts w:hint="eastAsia" w:ascii="仿宋" w:hAnsi="仿宋" w:eastAsia="仿宋" w:cs="仿宋"/>
          <w:b/>
          <w:bCs/>
          <w:color w:val="auto"/>
          <w:sz w:val="36"/>
          <w:szCs w:val="36"/>
          <w:highlight w:val="none"/>
        </w:rPr>
        <w:t>投标人综合概况</w:t>
      </w:r>
    </w:p>
    <w:tbl>
      <w:tblPr>
        <w:tblStyle w:val="13"/>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67"/>
        <w:gridCol w:w="1553"/>
        <w:gridCol w:w="677"/>
        <w:gridCol w:w="21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统一社会信用代码</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6"/>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6"/>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8"/>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439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8"/>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06" w:hRule="atLeast"/>
          <w:jc w:val="center"/>
        </w:trPr>
        <w:tc>
          <w:tcPr>
            <w:tcW w:w="9332" w:type="dxa"/>
            <w:gridSpan w:val="8"/>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备注</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24" w:name="_Toc415728298"/>
      <w:bookmarkEnd w:id="24"/>
      <w:bookmarkStart w:id="25" w:name="_Toc199647676"/>
      <w:bookmarkEnd w:id="25"/>
      <w:bookmarkStart w:id="26" w:name="_Toc196036942"/>
      <w:bookmarkEnd w:id="26"/>
      <w:bookmarkStart w:id="27" w:name="_Toc196130111"/>
      <w:bookmarkEnd w:id="27"/>
      <w:bookmarkStart w:id="28" w:name="_Toc326909214"/>
      <w:bookmarkEnd w:id="28"/>
      <w:bookmarkStart w:id="29" w:name="_Toc197235849"/>
      <w:bookmarkEnd w:id="29"/>
      <w:bookmarkStart w:id="30" w:name="_Toc196037098"/>
      <w:bookmarkEnd w:id="30"/>
      <w:bookmarkStart w:id="31" w:name="_Toc196130014"/>
      <w:bookmarkEnd w:id="31"/>
      <w:bookmarkStart w:id="32" w:name="_Toc415833504"/>
      <w:bookmarkEnd w:id="32"/>
      <w:bookmarkStart w:id="33" w:name="_Toc459403395"/>
      <w:bookmarkEnd w:id="33"/>
      <w:bookmarkStart w:id="34" w:name="_Toc462911099"/>
    </w:p>
    <w:p>
      <w:pPr>
        <w:pStyle w:val="4"/>
        <w:rPr>
          <w:rFonts w:ascii="宋体" w:hAnsi="宋体" w:eastAsia="宋体" w:cs="黑体"/>
          <w:b/>
          <w:color w:val="auto"/>
          <w:spacing w:val="4"/>
          <w:sz w:val="28"/>
          <w:szCs w:val="28"/>
          <w:highlight w:val="none"/>
        </w:rPr>
      </w:pPr>
    </w:p>
    <w:p>
      <w:pPr>
        <w:pStyle w:val="4"/>
        <w:rPr>
          <w:rFonts w:ascii="宋体" w:hAnsi="宋体" w:eastAsia="宋体" w:cs="黑体"/>
          <w:b/>
          <w:color w:val="auto"/>
          <w:spacing w:val="4"/>
          <w:sz w:val="28"/>
          <w:szCs w:val="28"/>
          <w:highlight w:val="none"/>
        </w:rPr>
      </w:pPr>
    </w:p>
    <w:p>
      <w:pPr>
        <w:pStyle w:val="4"/>
        <w:rPr>
          <w:rFonts w:ascii="宋体" w:hAnsi="宋体" w:eastAsia="宋体" w:cs="黑体"/>
          <w:b/>
          <w:color w:val="auto"/>
          <w:spacing w:val="4"/>
          <w:sz w:val="28"/>
          <w:szCs w:val="28"/>
          <w:highlight w:val="none"/>
        </w:rPr>
      </w:pPr>
    </w:p>
    <w:p>
      <w:pPr>
        <w:pStyle w:val="4"/>
        <w:rPr>
          <w:rFonts w:ascii="宋体" w:hAnsi="宋体" w:eastAsia="宋体" w:cs="黑体"/>
          <w:b/>
          <w:color w:val="auto"/>
          <w:spacing w:val="4"/>
          <w:sz w:val="28"/>
          <w:szCs w:val="28"/>
          <w:highlight w:val="none"/>
        </w:rPr>
      </w:pPr>
    </w:p>
    <w:p>
      <w:pPr>
        <w:pStyle w:val="4"/>
        <w:rPr>
          <w:rFonts w:ascii="宋体" w:hAnsi="宋体" w:eastAsia="宋体" w:cs="黑体"/>
          <w:b/>
          <w:color w:val="auto"/>
          <w:spacing w:val="4"/>
          <w:sz w:val="28"/>
          <w:szCs w:val="28"/>
          <w:highlight w:val="none"/>
        </w:rPr>
      </w:pPr>
    </w:p>
    <w:p>
      <w:pPr>
        <w:pStyle w:val="4"/>
        <w:rPr>
          <w:rFonts w:ascii="宋体" w:hAnsi="宋体" w:eastAsia="宋体" w:cs="黑体"/>
          <w:b/>
          <w:color w:val="auto"/>
          <w:spacing w:val="4"/>
          <w:sz w:val="28"/>
          <w:szCs w:val="28"/>
          <w:highlight w:val="none"/>
        </w:rPr>
      </w:pPr>
    </w:p>
    <w:p>
      <w:pPr>
        <w:outlineLvl w:val="1"/>
        <w:rPr>
          <w:rFonts w:ascii="仿宋" w:hAnsi="仿宋" w:eastAsia="仿宋" w:cs="仿宋"/>
          <w:color w:val="auto"/>
          <w:kern w:val="24"/>
          <w:sz w:val="28"/>
          <w:szCs w:val="28"/>
          <w:highlight w:val="none"/>
        </w:rPr>
      </w:pPr>
      <w:r>
        <w:rPr>
          <w:rFonts w:hint="eastAsia" w:ascii="宋体" w:hAnsi="宋体" w:eastAsia="宋体" w:cs="黑体"/>
          <w:b/>
          <w:color w:val="auto"/>
          <w:spacing w:val="4"/>
          <w:kern w:val="0"/>
          <w:sz w:val="28"/>
          <w:szCs w:val="28"/>
          <w:highlight w:val="none"/>
        </w:rPr>
        <w:t>格式六</w:t>
      </w:r>
      <w:bookmarkEnd w:id="34"/>
      <w:r>
        <w:rPr>
          <w:rFonts w:hint="eastAsia" w:ascii="仿宋" w:hAnsi="仿宋" w:eastAsia="仿宋" w:cs="仿宋"/>
          <w:color w:val="auto"/>
          <w:kern w:val="24"/>
          <w:sz w:val="28"/>
          <w:szCs w:val="28"/>
          <w:highlight w:val="none"/>
        </w:rPr>
        <w:t>：</w:t>
      </w:r>
    </w:p>
    <w:p>
      <w:pPr>
        <w:ind w:firstLine="480" w:firstLineChars="200"/>
        <w:rPr>
          <w:rFonts w:ascii="仿宋" w:hAnsi="仿宋" w:eastAsia="仿宋" w:cs="仿宋"/>
          <w:color w:val="auto"/>
          <w:kern w:val="24"/>
          <w:sz w:val="24"/>
          <w:highlight w:val="none"/>
        </w:rPr>
      </w:pPr>
      <w:r>
        <w:rPr>
          <w:rFonts w:hint="eastAsia" w:ascii="仿宋" w:hAnsi="仿宋" w:eastAsia="仿宋" w:cs="仿宋"/>
          <w:color w:val="auto"/>
          <w:kern w:val="24"/>
          <w:sz w:val="24"/>
          <w:highlight w:val="none"/>
          <w:lang w:eastAsia="zh-CN"/>
        </w:rPr>
        <w:t>2017年</w:t>
      </w:r>
      <w:r>
        <w:rPr>
          <w:rFonts w:hint="eastAsia" w:ascii="仿宋" w:hAnsi="仿宋" w:eastAsia="仿宋" w:cs="仿宋"/>
          <w:color w:val="auto"/>
          <w:kern w:val="24"/>
          <w:sz w:val="24"/>
          <w:highlight w:val="none"/>
        </w:rPr>
        <w:t>1月1日至今企业承担的同类项目</w:t>
      </w:r>
    </w:p>
    <w:p>
      <w:pPr>
        <w:spacing w:before="85" w:beforeLines="30" w:line="360" w:lineRule="auto"/>
        <w:jc w:val="center"/>
        <w:outlineLvl w:val="2"/>
        <w:rPr>
          <w:rFonts w:ascii="仿宋" w:hAnsi="仿宋" w:eastAsia="仿宋" w:cs="仿宋"/>
          <w:color w:val="auto"/>
          <w:kern w:val="24"/>
          <w:sz w:val="28"/>
          <w:szCs w:val="28"/>
          <w:highlight w:val="none"/>
        </w:rPr>
      </w:pPr>
      <w:bookmarkStart w:id="35" w:name="_Toc196130112"/>
      <w:bookmarkEnd w:id="35"/>
      <w:bookmarkStart w:id="36" w:name="_Toc197235850"/>
      <w:bookmarkEnd w:id="36"/>
      <w:bookmarkStart w:id="37" w:name="_Toc196037099"/>
      <w:bookmarkEnd w:id="37"/>
      <w:bookmarkStart w:id="38" w:name="_Toc41822705"/>
      <w:bookmarkEnd w:id="38"/>
      <w:bookmarkStart w:id="39" w:name="_Toc199647677"/>
      <w:bookmarkEnd w:id="39"/>
      <w:bookmarkStart w:id="40" w:name="_Toc196036943"/>
      <w:bookmarkEnd w:id="40"/>
      <w:bookmarkStart w:id="41" w:name="_Toc196130015"/>
      <w:bookmarkEnd w:id="41"/>
      <w:bookmarkStart w:id="42" w:name="_Toc326909215"/>
      <w:r>
        <w:rPr>
          <w:rFonts w:hint="eastAsia" w:ascii="仿宋" w:hAnsi="仿宋" w:eastAsia="仿宋" w:cs="仿宋"/>
          <w:b/>
          <w:bCs/>
          <w:color w:val="auto"/>
          <w:kern w:val="24"/>
          <w:sz w:val="36"/>
          <w:szCs w:val="36"/>
          <w:highlight w:val="none"/>
        </w:rPr>
        <w:t>业绩一览表</w:t>
      </w:r>
      <w:bookmarkEnd w:id="42"/>
    </w:p>
    <w:p>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3"/>
        <w:tblW w:w="7926" w:type="dxa"/>
        <w:jc w:val="center"/>
        <w:tblLayout w:type="fixed"/>
        <w:tblCellMar>
          <w:top w:w="0" w:type="dxa"/>
          <w:left w:w="108" w:type="dxa"/>
          <w:bottom w:w="0" w:type="dxa"/>
          <w:right w:w="108" w:type="dxa"/>
        </w:tblCellMar>
      </w:tblPr>
      <w:tblGrid>
        <w:gridCol w:w="724"/>
        <w:gridCol w:w="2002"/>
        <w:gridCol w:w="2567"/>
        <w:gridCol w:w="1303"/>
        <w:gridCol w:w="1330"/>
      </w:tblGrid>
      <w:tr>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主要业绩名称</w:t>
            </w: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业绩简介</w:t>
            </w:r>
          </w:p>
        </w:tc>
        <w:tc>
          <w:tcPr>
            <w:tcW w:w="1303"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面积</w:t>
            </w: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完成时间</w:t>
            </w: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bl>
    <w:p>
      <w:pPr>
        <w:spacing w:line="360" w:lineRule="auto"/>
        <w:ind w:firstLine="359" w:firstLineChars="171"/>
        <w:rPr>
          <w:rFonts w:ascii="仿宋" w:hAnsi="仿宋" w:eastAsia="仿宋" w:cs="仿宋"/>
          <w:color w:val="auto"/>
          <w:highlight w:val="none"/>
        </w:rPr>
      </w:pPr>
      <w:r>
        <w:rPr>
          <w:rFonts w:hint="eastAsia" w:ascii="仿宋" w:hAnsi="仿宋" w:eastAsia="仿宋" w:cs="仿宋"/>
          <w:color w:val="auto"/>
          <w:szCs w:val="21"/>
          <w:highlight w:val="none"/>
        </w:rPr>
        <w:t>注：1、投标人提供的同类项目业绩证明资料附于该表后面。业绩证明资料须提供：</w:t>
      </w:r>
      <w:r>
        <w:rPr>
          <w:rFonts w:hint="eastAsia" w:ascii="仿宋" w:hAnsi="仿宋" w:eastAsia="仿宋" w:cs="仿宋"/>
          <w:color w:val="auto"/>
          <w:sz w:val="21"/>
          <w:szCs w:val="21"/>
          <w:highlight w:val="none"/>
          <w:u w:val="none"/>
        </w:rPr>
        <w:t>中标通知书或免招标的相关证明、监理服务合同、竣工验收报告或竣工验收证明，业绩时间以竣工验收报告或竣工验收证明出具时间为准</w:t>
      </w:r>
      <w:r>
        <w:rPr>
          <w:rFonts w:hint="eastAsia" w:ascii="仿宋" w:hAnsi="仿宋" w:eastAsia="仿宋" w:cs="仿宋"/>
          <w:color w:val="auto"/>
          <w:szCs w:val="21"/>
          <w:highlight w:val="none"/>
        </w:rPr>
        <w:t>。</w:t>
      </w:r>
    </w:p>
    <w:p>
      <w:pPr>
        <w:spacing w:line="360" w:lineRule="auto"/>
        <w:ind w:firstLine="779" w:firstLineChars="371"/>
        <w:rPr>
          <w:rFonts w:ascii="仿宋" w:hAnsi="仿宋" w:eastAsia="仿宋" w:cs="仿宋"/>
          <w:color w:val="auto"/>
          <w:sz w:val="24"/>
          <w:highlight w:val="none"/>
        </w:rPr>
      </w:pPr>
      <w:r>
        <w:rPr>
          <w:rFonts w:hint="eastAsia" w:ascii="仿宋" w:hAnsi="仿宋" w:eastAsia="仿宋" w:cs="仿宋"/>
          <w:color w:val="auto"/>
          <w:szCs w:val="21"/>
          <w:highlight w:val="none"/>
        </w:rPr>
        <w:t>2、如有获奖，请附获奖证书复印件。</w:t>
      </w:r>
    </w:p>
    <w:p>
      <w:pPr>
        <w:adjustRightInd w:val="0"/>
        <w:snapToGrid w:val="0"/>
        <w:spacing w:before="85" w:beforeLines="30" w:line="360" w:lineRule="auto"/>
        <w:rPr>
          <w:rFonts w:ascii="仿宋" w:hAnsi="仿宋" w:eastAsia="仿宋" w:cs="仿宋"/>
          <w:color w:val="auto"/>
          <w:sz w:val="24"/>
          <w:highlight w:val="none"/>
        </w:rPr>
      </w:pP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spacing w:line="600" w:lineRule="exact"/>
        <w:rPr>
          <w:rFonts w:ascii="仿宋" w:hAnsi="仿宋" w:eastAsia="仿宋" w:cs="宋体"/>
          <w:color w:val="auto"/>
          <w:sz w:val="28"/>
          <w:szCs w:val="28"/>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格式七</w:t>
      </w:r>
      <w:r>
        <w:rPr>
          <w:rFonts w:hint="eastAsia" w:ascii="仿宋" w:hAnsi="仿宋" w:eastAsia="仿宋" w:cs="宋体"/>
          <w:color w:val="auto"/>
          <w:sz w:val="28"/>
          <w:szCs w:val="28"/>
          <w:highlight w:val="none"/>
        </w:rPr>
        <w:t>：</w:t>
      </w:r>
    </w:p>
    <w:p>
      <w:pPr>
        <w:adjustRightInd w:val="0"/>
        <w:snapToGrid w:val="0"/>
        <w:spacing w:before="85"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3"/>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w:t>
      </w:r>
      <w:r>
        <w:rPr>
          <w:rFonts w:hint="eastAsia" w:ascii="仿宋" w:hAnsi="仿宋" w:eastAsia="仿宋" w:cs="仿宋"/>
          <w:color w:val="auto"/>
          <w:szCs w:val="21"/>
          <w:highlight w:val="none"/>
          <w:lang w:eastAsia="zh-CN"/>
        </w:rPr>
        <w:t>总监理工程师</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总监代表</w:t>
      </w:r>
      <w:r>
        <w:rPr>
          <w:rFonts w:hint="eastAsia" w:ascii="仿宋" w:hAnsi="仿宋" w:eastAsia="仿宋" w:cs="仿宋"/>
          <w:color w:val="auto"/>
          <w:szCs w:val="21"/>
          <w:highlight w:val="none"/>
        </w:rPr>
        <w:t>）等。</w:t>
      </w:r>
    </w:p>
    <w:p>
      <w:pPr>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eastAsia="zh-CN"/>
        </w:rPr>
        <w:t>总监理工程师</w:t>
      </w:r>
      <w:r>
        <w:rPr>
          <w:rFonts w:hint="eastAsia" w:ascii="仿宋" w:hAnsi="仿宋" w:eastAsia="仿宋" w:cs="仿宋"/>
          <w:color w:val="auto"/>
          <w:szCs w:val="21"/>
          <w:highlight w:val="none"/>
        </w:rPr>
        <w:t>应按格式八表格及备注的规定附相关证明文件，本表后不需重复附相关证件。</w:t>
      </w:r>
    </w:p>
    <w:p>
      <w:pPr>
        <w:adjustRightInd w:val="0"/>
        <w:snapToGrid w:val="0"/>
        <w:spacing w:before="85"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3、其他人员应附上个人注册执业资格证（如有）、身份证、职称证等文件（复印件，加盖单位公章）。</w:t>
      </w:r>
    </w:p>
    <w:p>
      <w:pPr>
        <w:adjustRightInd w:val="0"/>
        <w:snapToGrid w:val="0"/>
        <w:spacing w:before="85" w:beforeLines="30" w:line="360" w:lineRule="auto"/>
        <w:rPr>
          <w:rFonts w:ascii="仿宋" w:hAnsi="仿宋" w:eastAsia="仿宋" w:cs="仿宋"/>
          <w:color w:val="auto"/>
          <w:sz w:val="24"/>
          <w:highlight w:val="none"/>
        </w:rPr>
      </w:pP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格式八</w:t>
      </w:r>
      <w:r>
        <w:rPr>
          <w:rFonts w:hint="eastAsia" w:ascii="仿宋" w:hAnsi="仿宋" w:eastAsia="仿宋" w:cs="宋体"/>
          <w:color w:val="auto"/>
          <w:sz w:val="28"/>
          <w:szCs w:val="28"/>
          <w:highlight w:val="none"/>
        </w:rPr>
        <w:t>：</w:t>
      </w:r>
    </w:p>
    <w:p>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lang w:eastAsia="zh-CN"/>
        </w:rPr>
        <w:t>总监理工程师</w:t>
      </w:r>
      <w:r>
        <w:rPr>
          <w:rFonts w:hint="eastAsia" w:ascii="仿宋" w:hAnsi="仿宋" w:eastAsia="仿宋" w:cs="宋体"/>
          <w:b/>
          <w:color w:val="auto"/>
          <w:sz w:val="36"/>
          <w:szCs w:val="36"/>
          <w:highlight w:val="none"/>
        </w:rPr>
        <w:t>相关经验及业绩</w:t>
      </w:r>
    </w:p>
    <w:p>
      <w:pPr>
        <w:adjustRightInd w:val="0"/>
        <w:snapToGrid w:val="0"/>
        <w:spacing w:before="85"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拟在本合同任职</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p>
        </w:tc>
        <w:tc>
          <w:tcPr>
            <w:tcW w:w="3420" w:type="dxa"/>
            <w:gridSpan w:val="4"/>
            <w:vAlign w:val="center"/>
          </w:tcPr>
          <w:p>
            <w:pPr>
              <w:spacing w:line="460" w:lineRule="exact"/>
              <w:jc w:val="left"/>
              <w:rPr>
                <w:rFonts w:ascii="宋体" w:hAnsi="宋体" w:eastAsia="宋体" w:cs="宋体"/>
                <w:color w:val="auto"/>
                <w:szCs w:val="21"/>
                <w:highlight w:val="none"/>
              </w:rPr>
            </w:pPr>
          </w:p>
        </w:tc>
        <w:tc>
          <w:tcPr>
            <w:tcW w:w="1261" w:type="dxa"/>
            <w:vAlign w:val="center"/>
          </w:tcPr>
          <w:p>
            <w:pPr>
              <w:spacing w:line="460" w:lineRule="exact"/>
              <w:jc w:val="left"/>
              <w:rPr>
                <w:rFonts w:ascii="宋体" w:hAnsi="宋体" w:eastAsia="宋体" w:cs="宋体"/>
                <w:color w:val="auto"/>
                <w:szCs w:val="21"/>
                <w:highlight w:val="none"/>
              </w:rPr>
            </w:pPr>
          </w:p>
        </w:tc>
        <w:tc>
          <w:tcPr>
            <w:tcW w:w="2296" w:type="dxa"/>
            <w:gridSpan w:val="2"/>
            <w:vAlign w:val="center"/>
          </w:tcPr>
          <w:p>
            <w:pPr>
              <w:spacing w:line="460" w:lineRule="exact"/>
              <w:jc w:val="left"/>
              <w:rPr>
                <w:rFonts w:ascii="宋体" w:hAnsi="宋体" w:eastAsia="宋体" w:cs="宋体"/>
                <w:color w:val="auto"/>
                <w:szCs w:val="21"/>
                <w:highlight w:val="none"/>
              </w:rPr>
            </w:pPr>
          </w:p>
        </w:tc>
      </w:tr>
    </w:tbl>
    <w:p>
      <w:pPr>
        <w:rPr>
          <w:rFonts w:ascii="仿宋" w:hAnsi="仿宋" w:eastAsia="仿宋" w:cs="仿宋"/>
          <w:color w:val="auto"/>
          <w:szCs w:val="21"/>
          <w:highlight w:val="none"/>
        </w:rPr>
      </w:pPr>
    </w:p>
    <w:p>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2、须附执业证书及资格证书（如有）、身份证、职称证书及业绩（如有）等证明材料（复印件，加盖单位公章）。</w:t>
      </w:r>
    </w:p>
    <w:p>
      <w:pPr>
        <w:ind w:firstLine="424" w:firstLineChars="202"/>
        <w:rPr>
          <w:rFonts w:hint="eastAsia" w:ascii="仿宋" w:hAnsi="仿宋" w:eastAsia="仿宋" w:cs="仿宋"/>
          <w:color w:val="auto"/>
          <w:szCs w:val="21"/>
          <w:highlight w:val="none"/>
        </w:rPr>
      </w:pPr>
      <w:r>
        <w:rPr>
          <w:rFonts w:hint="eastAsia" w:ascii="仿宋" w:hAnsi="仿宋" w:eastAsia="仿宋" w:cs="仿宋"/>
          <w:color w:val="auto"/>
          <w:szCs w:val="21"/>
          <w:highlight w:val="none"/>
        </w:rPr>
        <w:t>3、业绩证明资料（如有）须提供：</w:t>
      </w:r>
      <w:r>
        <w:rPr>
          <w:rFonts w:hint="eastAsia" w:ascii="仿宋" w:hAnsi="仿宋" w:eastAsia="仿宋" w:cs="仿宋"/>
          <w:color w:val="auto"/>
          <w:sz w:val="21"/>
          <w:szCs w:val="21"/>
          <w:highlight w:val="none"/>
          <w:u w:val="none"/>
        </w:rPr>
        <w:t>中标通知书或免招标的相关证明、监理服务合同、竣工验收报告或竣工验收证明，业绩时间以竣工验收报告或竣工验收证明出具时间为准</w:t>
      </w:r>
      <w:r>
        <w:rPr>
          <w:rFonts w:hint="eastAsia" w:ascii="仿宋" w:hAnsi="仿宋" w:eastAsia="仿宋" w:cs="仿宋"/>
          <w:color w:val="auto"/>
          <w:szCs w:val="21"/>
          <w:highlight w:val="none"/>
        </w:rPr>
        <w:t>。</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1"/>
        <w:widowControl/>
        <w:ind w:firstLine="0" w:firstLineChars="0"/>
        <w:rPr>
          <w:color w:val="auto"/>
          <w:spacing w:val="18"/>
          <w:highlight w:val="none"/>
        </w:rPr>
      </w:pPr>
      <w:r>
        <w:rPr>
          <w:color w:val="auto"/>
          <w:spacing w:val="18"/>
          <w:highlight w:val="none"/>
        </w:rPr>
        <w:t xml:space="preserve"> </w:t>
      </w:r>
    </w:p>
    <w:p>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NumType w:start="1"/>
          <w:cols w:space="425" w:num="1"/>
          <w:docGrid w:type="lines" w:linePitch="285" w:charSpace="0"/>
        </w:sectPr>
      </w:pPr>
    </w:p>
    <w:p>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格式九：</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3"/>
        <w:tblW w:w="896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Layout w:type="fixed"/>
        <w:tblCellMar>
          <w:top w:w="0" w:type="dxa"/>
          <w:left w:w="0" w:type="dxa"/>
          <w:bottom w:w="0" w:type="dxa"/>
          <w:right w:w="0" w:type="dxa"/>
        </w:tblCellMar>
      </w:tblPr>
      <w:tblGrid>
        <w:gridCol w:w="1933"/>
        <w:gridCol w:w="2700"/>
        <w:gridCol w:w="1932"/>
        <w:gridCol w:w="2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994" w:hRule="atLeast"/>
          <w:jc w:val="center"/>
        </w:trPr>
        <w:tc>
          <w:tcPr>
            <w:tcW w:w="1933"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投标人名称</w:t>
            </w:r>
          </w:p>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（盖章）</w:t>
            </w:r>
          </w:p>
        </w:tc>
        <w:tc>
          <w:tcPr>
            <w:tcW w:w="2700"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p>
        </w:tc>
        <w:tc>
          <w:tcPr>
            <w:tcW w:w="1932"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资质等级</w:t>
            </w:r>
          </w:p>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及证书号</w:t>
            </w:r>
          </w:p>
        </w:tc>
        <w:tc>
          <w:tcPr>
            <w:tcW w:w="2402"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1283" w:hRule="atLeast"/>
          <w:jc w:val="center"/>
        </w:trPr>
        <w:tc>
          <w:tcPr>
            <w:tcW w:w="1933"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监理费报价</w:t>
            </w:r>
          </w:p>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w:t>
            </w:r>
          </w:p>
        </w:tc>
        <w:tc>
          <w:tcPr>
            <w:tcW w:w="7034" w:type="dxa"/>
            <w:gridSpan w:val="3"/>
            <w:noWrap w:val="0"/>
            <w:tcMar>
              <w:top w:w="0" w:type="dxa"/>
              <w:left w:w="108" w:type="dxa"/>
              <w:bottom w:w="0" w:type="dxa"/>
              <w:right w:w="108" w:type="dxa"/>
            </w:tcMar>
            <w:vAlign w:val="center"/>
          </w:tcPr>
          <w:p>
            <w:pPr>
              <w:widowControl/>
              <w:snapToGrid w:val="0"/>
              <w:spacing w:line="360" w:lineRule="auto"/>
              <w:ind w:right="-108"/>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大写：</w:t>
            </w:r>
          </w:p>
          <w:p>
            <w:pPr>
              <w:widowControl/>
              <w:snapToGrid w:val="0"/>
              <w:spacing w:line="360" w:lineRule="auto"/>
              <w:ind w:right="-108"/>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小写：</w:t>
            </w:r>
          </w:p>
          <w:p>
            <w:pPr>
              <w:widowControl/>
              <w:snapToGrid w:val="0"/>
              <w:spacing w:line="360" w:lineRule="auto"/>
              <w:ind w:right="-108"/>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下浮率：</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560" w:hRule="atLeast"/>
          <w:jc w:val="center"/>
        </w:trPr>
        <w:tc>
          <w:tcPr>
            <w:tcW w:w="1933"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监理服务期</w:t>
            </w:r>
          </w:p>
        </w:tc>
        <w:tc>
          <w:tcPr>
            <w:tcW w:w="2700"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按招标文件要求</w:t>
            </w:r>
          </w:p>
        </w:tc>
        <w:tc>
          <w:tcPr>
            <w:tcW w:w="1932"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监理质量目标</w:t>
            </w:r>
          </w:p>
        </w:tc>
        <w:tc>
          <w:tcPr>
            <w:tcW w:w="2402"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按招标文件要求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811" w:hRule="atLeast"/>
          <w:jc w:val="center"/>
        </w:trPr>
        <w:tc>
          <w:tcPr>
            <w:tcW w:w="1933" w:type="dxa"/>
            <w:vMerge w:val="restart"/>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拟委派的项目总监理工程师</w:t>
            </w:r>
          </w:p>
        </w:tc>
        <w:tc>
          <w:tcPr>
            <w:tcW w:w="2700"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姓    名</w:t>
            </w:r>
          </w:p>
        </w:tc>
        <w:tc>
          <w:tcPr>
            <w:tcW w:w="4334" w:type="dxa"/>
            <w:gridSpan w:val="2"/>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811" w:hRule="atLeast"/>
          <w:jc w:val="center"/>
        </w:trPr>
        <w:tc>
          <w:tcPr>
            <w:tcW w:w="1933" w:type="dxa"/>
            <w:vMerge w:val="continue"/>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p>
        </w:tc>
        <w:tc>
          <w:tcPr>
            <w:tcW w:w="2700"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技术职称</w:t>
            </w:r>
          </w:p>
        </w:tc>
        <w:tc>
          <w:tcPr>
            <w:tcW w:w="4334" w:type="dxa"/>
            <w:gridSpan w:val="2"/>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811" w:hRule="atLeast"/>
          <w:jc w:val="center"/>
        </w:trPr>
        <w:tc>
          <w:tcPr>
            <w:tcW w:w="1933" w:type="dxa"/>
            <w:vMerge w:val="continue"/>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p>
        </w:tc>
        <w:tc>
          <w:tcPr>
            <w:tcW w:w="2700"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注册证号</w:t>
            </w:r>
          </w:p>
        </w:tc>
        <w:tc>
          <w:tcPr>
            <w:tcW w:w="4334" w:type="dxa"/>
            <w:gridSpan w:val="2"/>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1680" w:hRule="atLeast"/>
          <w:jc w:val="center"/>
        </w:trPr>
        <w:tc>
          <w:tcPr>
            <w:tcW w:w="1933"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投标人法定</w:t>
            </w:r>
          </w:p>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代表人</w:t>
            </w:r>
          </w:p>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（签名或盖章）</w:t>
            </w:r>
          </w:p>
        </w:tc>
        <w:tc>
          <w:tcPr>
            <w:tcW w:w="2700"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p>
        </w:tc>
        <w:tc>
          <w:tcPr>
            <w:tcW w:w="1932"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本项目的授权</w:t>
            </w:r>
          </w:p>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委托代理人</w:t>
            </w:r>
          </w:p>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（签名或盖章）</w:t>
            </w:r>
          </w:p>
        </w:tc>
        <w:tc>
          <w:tcPr>
            <w:tcW w:w="2402"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p>
        </w:tc>
      </w:tr>
    </w:tbl>
    <w:p>
      <w:pPr>
        <w:pStyle w:val="7"/>
        <w:spacing w:line="360" w:lineRule="auto"/>
        <w:ind w:firstLine="210" w:firstLineChars="100"/>
        <w:rPr>
          <w:rFonts w:hint="default" w:hAnsi="宋体" w:cs="宋体"/>
          <w:bCs/>
          <w:color w:val="auto"/>
          <w:highlight w:val="none"/>
        </w:rPr>
      </w:pPr>
      <w:r>
        <w:rPr>
          <w:rFonts w:hAnsi="宋体" w:cs="宋体"/>
          <w:bCs/>
          <w:color w:val="auto"/>
          <w:highlight w:val="none"/>
        </w:rPr>
        <w:t>注：</w:t>
      </w:r>
    </w:p>
    <w:p>
      <w:pPr>
        <w:pStyle w:val="7"/>
        <w:spacing w:line="360" w:lineRule="auto"/>
        <w:rPr>
          <w:rFonts w:hint="default" w:hAnsi="宋体" w:cs="宋体"/>
          <w:bCs/>
          <w:color w:val="auto"/>
          <w:highlight w:val="none"/>
        </w:rPr>
      </w:pPr>
      <w:r>
        <w:rPr>
          <w:rFonts w:hAnsi="宋体" w:cs="宋体"/>
          <w:bCs/>
          <w:color w:val="auto"/>
          <w:highlight w:val="none"/>
        </w:rPr>
        <w:t>（1）投标总报价的大写金额和小写金额不一致的，以大写金额为准，投标报价精确到小数点后两位</w:t>
      </w:r>
      <w:r>
        <w:rPr>
          <w:rFonts w:hint="eastAsia" w:hAnsi="宋体" w:cs="宋体"/>
          <w:bCs/>
          <w:color w:val="auto"/>
          <w:highlight w:val="none"/>
          <w:lang w:eastAsia="zh-CN"/>
        </w:rPr>
        <w:t>（四舍五入）</w:t>
      </w:r>
      <w:r>
        <w:rPr>
          <w:rFonts w:hAnsi="宋体" w:cs="宋体"/>
          <w:bCs/>
          <w:color w:val="auto"/>
          <w:highlight w:val="none"/>
        </w:rPr>
        <w:t>。</w:t>
      </w:r>
    </w:p>
    <w:p>
      <w:pPr>
        <w:spacing w:line="360" w:lineRule="auto"/>
        <w:rPr>
          <w:rFonts w:hAnsi="宋体"/>
          <w:b/>
          <w:color w:val="auto"/>
          <w:highlight w:val="none"/>
        </w:rPr>
      </w:pPr>
      <w:r>
        <w:rPr>
          <w:rFonts w:hint="eastAsia" w:ascii="宋体" w:hAnsi="宋体" w:eastAsia="宋体" w:cs="宋体"/>
          <w:bCs/>
          <w:color w:val="auto"/>
          <w:szCs w:val="21"/>
          <w:highlight w:val="none"/>
        </w:rPr>
        <w:t>（2）</w:t>
      </w:r>
      <w:r>
        <w:rPr>
          <w:rFonts w:hint="eastAsia" w:ascii="宋体" w:hAnsi="宋体" w:eastAsia="宋体" w:cs="宋体"/>
          <w:color w:val="auto"/>
          <w:szCs w:val="21"/>
          <w:highlight w:val="none"/>
        </w:rPr>
        <w:t>投标报价不得超过最高投标限价</w:t>
      </w:r>
      <w:r>
        <w:rPr>
          <w:rFonts w:hint="eastAsia" w:ascii="宋体" w:hAnsi="宋体" w:cs="宋体"/>
          <w:bCs/>
          <w:color w:val="auto"/>
          <w:szCs w:val="21"/>
          <w:highlight w:val="none"/>
        </w:rPr>
        <w:t>，否则按废标处理。</w:t>
      </w:r>
      <w:r>
        <w:rPr>
          <w:rFonts w:hAnsi="宋体"/>
          <w:b/>
          <w:color w:val="auto"/>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52"/>
          <w:szCs w:val="52"/>
          <w:highlight w:val="none"/>
        </w:rPr>
      </w:pPr>
      <w:r>
        <w:rPr>
          <w:rFonts w:hint="eastAsia" w:eastAsia="黑体"/>
          <w:color w:val="auto"/>
          <w:sz w:val="52"/>
          <w:szCs w:val="52"/>
          <w:highlight w:val="none"/>
        </w:rPr>
        <w:t>技术文件</w:t>
      </w:r>
    </w:p>
    <w:p>
      <w:pPr>
        <w:spacing w:line="720" w:lineRule="auto"/>
        <w:rPr>
          <w:rFonts w:eastAsia="黑体"/>
          <w:color w:val="auto"/>
          <w:sz w:val="28"/>
          <w:szCs w:val="28"/>
          <w:highlight w:val="none"/>
        </w:rPr>
      </w:pPr>
    </w:p>
    <w:p>
      <w:pPr>
        <w:spacing w:line="720" w:lineRule="auto"/>
        <w:rPr>
          <w:rFonts w:eastAsia="黑体"/>
          <w:color w:val="auto"/>
          <w:sz w:val="28"/>
          <w:szCs w:val="28"/>
          <w:highlight w:val="none"/>
        </w:rPr>
      </w:pPr>
    </w:p>
    <w:p>
      <w:pPr>
        <w:spacing w:line="720" w:lineRule="auto"/>
        <w:rPr>
          <w:rFonts w:eastAsia="黑体"/>
          <w:color w:val="auto"/>
          <w:sz w:val="28"/>
          <w:szCs w:val="28"/>
          <w:highlight w:val="none"/>
        </w:rPr>
      </w:pPr>
    </w:p>
    <w:p>
      <w:pPr>
        <w:spacing w:line="72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pStyle w:val="7"/>
        <w:rPr>
          <w:rFonts w:hint="default"/>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43" w:name="_Toc374128477"/>
      <w:bookmarkEnd w:id="43"/>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44" w:name="_Toc1265"/>
      <w:r>
        <w:rPr>
          <w:rFonts w:hint="eastAsia" w:ascii="黑体" w:hAnsi="宋体" w:cs="黑体"/>
          <w:b/>
          <w:color w:val="auto"/>
          <w:kern w:val="44"/>
          <w:sz w:val="44"/>
          <w:szCs w:val="44"/>
          <w:highlight w:val="none"/>
        </w:rPr>
        <w:t>第3章 评标办法</w:t>
      </w:r>
      <w:bookmarkEnd w:id="44"/>
    </w:p>
    <w:p>
      <w:pPr>
        <w:spacing w:after="120"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cols w:space="425" w:num="1"/>
          <w:docGrid w:linePitch="285" w:charSpace="0"/>
        </w:sectPr>
      </w:pPr>
      <w:r>
        <w:rPr>
          <w:rFonts w:ascii="Times New Roman" w:hAnsi="Times New Roman" w:eastAsia="宋体" w:cs="Times New Roman"/>
          <w:color w:val="auto"/>
          <w:szCs w:val="21"/>
          <w:highlight w:val="none"/>
        </w:rPr>
        <w:br w:type="page"/>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1.1本项目采取邀请招标选择</w:t>
      </w:r>
      <w:r>
        <w:rPr>
          <w:rFonts w:hint="eastAsia" w:ascii="仿宋" w:hAnsi="仿宋" w:eastAsia="仿宋" w:cs="仿宋"/>
          <w:color w:val="auto"/>
          <w:sz w:val="28"/>
          <w:szCs w:val="28"/>
          <w:highlight w:val="none"/>
          <w:lang w:eastAsia="zh-CN"/>
        </w:rPr>
        <w:t>监理</w:t>
      </w:r>
      <w:r>
        <w:rPr>
          <w:rFonts w:hint="eastAsia" w:ascii="仿宋" w:hAnsi="仿宋" w:eastAsia="仿宋" w:cs="仿宋"/>
          <w:color w:val="auto"/>
          <w:sz w:val="28"/>
          <w:szCs w:val="28"/>
          <w:highlight w:val="none"/>
        </w:rPr>
        <w:t>单位，为保证招标“公开、公平、公正”，根据国家有关工程建设招标投标的法律、法规和方针、政策，制定本评标细则，实行评标的规范化、标准化、科学化。</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w:t>
      </w:r>
      <w:r>
        <w:rPr>
          <w:rFonts w:hint="eastAsia" w:ascii="仿宋" w:hAnsi="仿宋" w:eastAsia="仿宋" w:cs="仿宋"/>
          <w:color w:val="auto"/>
          <w:sz w:val="28"/>
          <w:szCs w:val="28"/>
          <w:highlight w:val="none"/>
          <w:lang w:eastAsia="zh-CN"/>
        </w:rPr>
        <w:t>监理</w:t>
      </w:r>
      <w:r>
        <w:rPr>
          <w:rFonts w:hint="eastAsia" w:ascii="仿宋" w:hAnsi="仿宋" w:eastAsia="仿宋" w:cs="仿宋"/>
          <w:color w:val="auto"/>
          <w:sz w:val="28"/>
          <w:szCs w:val="28"/>
          <w:highlight w:val="none"/>
        </w:rPr>
        <w:t>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2.1《中华人民共和国民法典》；</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2.3《中华人民共和国招标投标法实施条例》</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2.4七部委第12号令《评标小组和评标方法暂行规定》；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市公共资源交易中心备案；情节严重，构成犯罪的，由司法机关依法追究其刑事责任。</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1"/>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1"/>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1"/>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1"/>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1"/>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1"/>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招标人依法组建评标小组。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7"/>
        <w:widowControl/>
        <w:spacing w:line="500" w:lineRule="exact"/>
        <w:ind w:firstLine="562" w:firstLineChars="200"/>
        <w:rPr>
          <w:rFonts w:hint="default" w:ascii="仿宋" w:hAnsi="仿宋" w:eastAsia="仿宋" w:cs="仿宋"/>
          <w:b/>
          <w:color w:val="auto"/>
          <w:sz w:val="28"/>
          <w:szCs w:val="28"/>
          <w:highlight w:val="none"/>
        </w:rPr>
      </w:pPr>
      <w:r>
        <w:rPr>
          <w:rFonts w:ascii="仿宋" w:hAnsi="仿宋" w:eastAsia="仿宋" w:cs="仿宋"/>
          <w:b/>
          <w:color w:val="auto"/>
          <w:sz w:val="28"/>
          <w:szCs w:val="28"/>
          <w:highlight w:val="none"/>
        </w:rPr>
        <w:t>5.1评标小组</w:t>
      </w:r>
    </w:p>
    <w:p>
      <w:pPr>
        <w:pStyle w:val="7"/>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5.1.1  评标小组由招标人依法组建的5名专家组成。</w:t>
      </w:r>
    </w:p>
    <w:p>
      <w:pPr>
        <w:pStyle w:val="7"/>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5.1.2  评标小组推举产生1名评标组长，主持评审工作，评标组长与其他成员有同等表决权。</w:t>
      </w:r>
    </w:p>
    <w:p>
      <w:pPr>
        <w:pStyle w:val="7"/>
        <w:widowControl/>
        <w:spacing w:line="500" w:lineRule="exac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 </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5.2.1  评标小组根据招标文件规定的评标标准和方法，对投标文件进行评审和比较，招标文件中没有规定的标准和方法不得作为评标的依据。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在符合招标文件规定的前提下，评标小组主要对投标文件进行评议。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评标小组负责裁决。裁决前，评标小组应认真阅读招标文件的规定。投标文件中全部符合附件1《符合性审查表》中任一种情形的，为有效标书，否则其投标文件将被否决。若本项目通过符合性审查的投标人不足3名时，应重新招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评标小组成员应当对投标文件发表专业、客观、公正的意见，意见不一致的应作进一步核实和讨论。评标小组成员对任何一个投标文件的质疑，应当在讨论或现场讲解时提出，表决结果公布后才提出的质疑，不可作为改变表决结果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如果少数投标人超越招标文件要求提交了模型、演示动画、特殊规格展示图纸或发生其他特殊情况，评标小组对超越招标文件要求的内容不进行评审，只评审该投标文件符合要求的内容。</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 采用</w:t>
      </w:r>
      <w:r>
        <w:rPr>
          <w:rFonts w:hint="eastAsia" w:ascii="仿宋" w:hAnsi="仿宋" w:eastAsia="仿宋" w:cs="仿宋"/>
          <w:b/>
          <w:color w:val="auto"/>
          <w:sz w:val="28"/>
          <w:szCs w:val="28"/>
          <w:highlight w:val="none"/>
          <w:u w:val="single"/>
        </w:rPr>
        <w:t>综合评分法评标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500" w:lineRule="exact"/>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500" w:lineRule="exact"/>
        <w:ind w:left="779" w:leftChars="170" w:hanging="422" w:hangingChars="151"/>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(a) 评标小组专家首先按附件1《符合性审查表》对各投标文件进行评审，只有通过符合性审查的投标文件方可进入下一阶段的评审。如果有符合性审查不通过提议，则评标小组成员共同表决，按照少数服从多数的原则决定是否通过符合性审查。</w:t>
      </w:r>
    </w:p>
    <w:p>
      <w:pPr>
        <w:spacing w:line="500" w:lineRule="exact"/>
        <w:ind w:left="919" w:leftChars="171" w:hanging="560" w:hanging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(b) 评标小组专家计算各投标人的综合得分.</w:t>
      </w:r>
    </w:p>
    <w:p>
      <w:pPr>
        <w:spacing w:line="500" w:lineRule="exact"/>
        <w:ind w:left="919" w:leftChars="171" w:hanging="560" w:hanging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(c) 评标小组编写、签署评标报告，向招标人推荐综合得分最高的前三名中标候选方案（中标候选人）并标明排列顺序，评标报告由评标小组全体成员签名，对评标结论持有异议的评标小组成员可以书面方式阐述其不同意见和理由。</w:t>
      </w:r>
    </w:p>
    <w:p>
      <w:pPr>
        <w:spacing w:line="500" w:lineRule="exact"/>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招标人在评标小组推荐的候选方案中确定中标方案。但是，招标人认为评标小组推荐的候选方案不能最大限度满足招标文件规定的要求的，依法重新招标。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500" w:lineRule="exact"/>
        <w:ind w:left="958" w:hanging="957" w:hangingChars="3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□（a）招标人委托评标小组直接确定中标人；</w:t>
      </w:r>
    </w:p>
    <w:p>
      <w:pPr>
        <w:spacing w:line="500" w:lineRule="exact"/>
        <w:ind w:left="961" w:hanging="961" w:hangingChars="342"/>
        <w:jc w:val="left"/>
        <w:rPr>
          <w:rFonts w:ascii="仿宋" w:hAnsi="仿宋" w:eastAsia="仿宋" w:cs="仿宋"/>
          <w:color w:val="auto"/>
          <w:sz w:val="28"/>
          <w:szCs w:val="28"/>
          <w:highlight w:val="none"/>
        </w:rPr>
      </w:pPr>
      <w:r>
        <w:rPr>
          <w:rFonts w:hint="eastAsia" w:ascii="仿宋" w:hAnsi="仿宋" w:eastAsia="仿宋" w:cs="仿宋"/>
          <w:b/>
          <w:color w:val="auto"/>
          <w:kern w:val="0"/>
          <w:sz w:val="28"/>
          <w:szCs w:val="28"/>
          <w:highlight w:val="none"/>
        </w:rPr>
        <w:t>√</w:t>
      </w:r>
      <w:r>
        <w:rPr>
          <w:rFonts w:hint="eastAsia" w:ascii="仿宋" w:hAnsi="仿宋" w:eastAsia="仿宋" w:cs="仿宋"/>
          <w:color w:val="auto"/>
          <w:sz w:val="28"/>
          <w:szCs w:val="28"/>
          <w:highlight w:val="none"/>
        </w:rPr>
        <w:t>（b）确定评标小组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如排名第二的中标候选人也发生上述问题，则确定排名第三的中标候选人为中标人。</w:t>
      </w:r>
    </w:p>
    <w:p>
      <w:pPr>
        <w:spacing w:line="500" w:lineRule="exact"/>
        <w:ind w:left="958" w:hanging="957" w:hangingChars="3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7"/>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7"/>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7"/>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由招标人或其推选的代表检查投标文件的密封情况，也可以由招标人委托的公证机构检查并公证；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开标时，由招标人或招标代理机构在监督人员的见证下当众拆封，宣读a、投标人名称；b、标书密封情况；c、法定代表人证明及授权委托；d、</w:t>
      </w:r>
      <w:r>
        <w:rPr>
          <w:rFonts w:hint="eastAsia" w:ascii="仿宋" w:hAnsi="仿宋" w:eastAsia="仿宋" w:cs="仿宋"/>
          <w:color w:val="auto"/>
          <w:sz w:val="28"/>
          <w:szCs w:val="28"/>
          <w:highlight w:val="none"/>
          <w:lang w:eastAsia="zh-CN"/>
        </w:rPr>
        <w:t>总监理工程师</w:t>
      </w:r>
      <w:r>
        <w:rPr>
          <w:rFonts w:hint="eastAsia" w:ascii="仿宋" w:hAnsi="仿宋" w:eastAsia="仿宋" w:cs="仿宋"/>
          <w:color w:val="auto"/>
          <w:sz w:val="28"/>
          <w:szCs w:val="28"/>
          <w:highlight w:val="none"/>
        </w:rPr>
        <w:t>名称；e、投标报价等主要内容以及开标记录表中的其他必要内容，并予以记录，记录提交评标小组评审。</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招标人将上述符合要求的投标文件，送至评标小组进行评审。</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1）第一步：进行投标文件符合性审查；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评标小组依据有关法律、法规和招标文件的规定对投标文件进行评审，若本项目经评审有效的投标人不足3名时，本次招标失败，招标人应当依法重新组织招标。</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2）第二步：专家对综合评分表进行打分；</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3）第三步：评标小组完成评标报告，向招标人推荐中标候选人。</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根据附件1“符合性审查表”进行评审。投标文件全部列于附件1《符合性审查表》中情形的，为通过符合性审查。否则其投标文件将被否决。如评标小组成员的评审意见不一致时，以评标小组过半数成员的意见作为评标小组对该情形的认定结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评标小组对所有投标作否决处理的，招标人应当重新招标。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7.5.2如果有两个或两个以上的投标人总得分评分相同，则服务报价得分较高的投标人排名优先；如果总得分、服务报价得分均相同的投标文件，则由评标小组采用摇珠方式，确定中标候选人顺序。</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 招标人依据评标报告审定本项目的中标人。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pPr>
        <w:numPr>
          <w:ilvl w:val="0"/>
          <w:numId w:val="2"/>
        </w:numPr>
        <w:snapToGrid w:val="0"/>
        <w:spacing w:line="360" w:lineRule="auto"/>
        <w:ind w:left="0" w:firstLine="425"/>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若中标人在实际工作中服务质量存在问题，未能表现出符合要求的水平，经招标人研究确定，可解除与中标人的合同关系，并按照中标候选人顺序依次选取新的中标人。</w:t>
      </w:r>
    </w:p>
    <w:p>
      <w:pPr>
        <w:numPr>
          <w:ilvl w:val="0"/>
          <w:numId w:val="2"/>
        </w:numPr>
        <w:snapToGrid w:val="0"/>
        <w:spacing w:line="360" w:lineRule="auto"/>
        <w:ind w:left="0" w:firstLine="425"/>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p>
    <w:p>
      <w:pPr>
        <w:pStyle w:val="7"/>
        <w:rPr>
          <w:rFonts w:hint="default" w:ascii="仿宋" w:hAnsi="仿宋" w:eastAsia="仿宋" w:cs="仿宋"/>
          <w:color w:val="auto"/>
          <w:sz w:val="28"/>
          <w:szCs w:val="28"/>
          <w:highlight w:val="none"/>
        </w:rPr>
      </w:pPr>
    </w:p>
    <w:p>
      <w:pPr>
        <w:pStyle w:val="7"/>
        <w:rPr>
          <w:rFonts w:hint="default" w:ascii="仿宋" w:hAnsi="仿宋" w:eastAsia="仿宋" w:cs="仿宋"/>
          <w:color w:val="auto"/>
          <w:sz w:val="28"/>
          <w:szCs w:val="28"/>
          <w:highlight w:val="none"/>
        </w:rPr>
      </w:pPr>
    </w:p>
    <w:p>
      <w:pPr>
        <w:snapToGrid w:val="0"/>
        <w:spacing w:line="360" w:lineRule="auto"/>
        <w:rPr>
          <w:rFonts w:ascii="仿宋" w:hAnsi="仿宋" w:eastAsia="仿宋" w:cs="仿宋"/>
          <w:color w:val="auto"/>
          <w:sz w:val="2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附件</w:t>
      </w:r>
    </w:p>
    <w:p>
      <w:pPr>
        <w:pStyle w:val="18"/>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18"/>
        <w:widowControl/>
        <w:ind w:firstLine="562"/>
        <w:rPr>
          <w:rFonts w:hint="default" w:ascii="仿宋" w:hAnsi="仿宋" w:eastAsia="仿宋" w:cs="仿宋"/>
          <w:b/>
          <w:color w:val="auto"/>
          <w:sz w:val="28"/>
          <w:szCs w:val="28"/>
          <w:highlight w:val="none"/>
          <w:u w:val="single"/>
        </w:rPr>
      </w:pPr>
      <w:bookmarkStart w:id="45" w:name="OLE_LINK3"/>
      <w:bookmarkEnd w:id="45"/>
      <w:r>
        <w:rPr>
          <w:rFonts w:ascii="仿宋" w:hAnsi="仿宋" w:eastAsia="仿宋" w:cs="仿宋"/>
          <w:b/>
          <w:color w:val="auto"/>
          <w:sz w:val="28"/>
          <w:szCs w:val="28"/>
          <w:highlight w:val="none"/>
          <w:u w:val="single"/>
        </w:rPr>
        <w:t>附件2 综合评分表</w:t>
      </w:r>
    </w:p>
    <w:p>
      <w:pPr>
        <w:pStyle w:val="18"/>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附件3 投标申请人声明</w:t>
      </w: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46" w:name="_Toc14580"/>
      <w:r>
        <w:rPr>
          <w:rFonts w:hint="eastAsia" w:ascii="仿宋" w:hAnsi="仿宋" w:eastAsia="仿宋" w:cs="仿宋"/>
          <w:color w:val="auto"/>
          <w:sz w:val="28"/>
          <w:szCs w:val="28"/>
          <w:highlight w:val="none"/>
        </w:rPr>
        <w:t>附件1：符合性审查表</w:t>
      </w:r>
      <w:bookmarkEnd w:id="46"/>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3"/>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120" w:beforeLines="50" w:after="120" w:afterLines="50" w:line="240" w:lineRule="exact"/>
              <w:ind w:left="105" w:leftChars="50" w:right="105" w:rightChars="50"/>
              <w:jc w:val="center"/>
              <w:rPr>
                <w:rFonts w:ascii="仿宋" w:hAnsi="仿宋" w:eastAsia="仿宋" w:cs="仿宋"/>
                <w:b/>
                <w:color w:val="auto"/>
                <w:highlight w:val="none"/>
              </w:rPr>
            </w:pPr>
          </w:p>
          <w:p>
            <w:pPr>
              <w:spacing w:before="120" w:beforeLines="50" w:after="12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77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ind w:right="105" w:rightChars="50" w:firstLine="18" w:firstLineChars="9"/>
              <w:jc w:val="left"/>
              <w:rPr>
                <w:rFonts w:ascii="仿宋" w:hAnsi="仿宋" w:eastAsia="仿宋" w:cs="仿宋"/>
                <w:color w:val="auto"/>
                <w:highlight w:val="none"/>
              </w:rPr>
            </w:pPr>
            <w:r>
              <w:rPr>
                <w:rFonts w:hint="eastAsia" w:ascii="仿宋" w:hAnsi="仿宋" w:eastAsia="仿宋" w:cs="仿宋"/>
                <w:color w:val="auto"/>
                <w:szCs w:val="21"/>
                <w:highlight w:val="none"/>
              </w:rPr>
              <w:t>投标函签名并加盖公章</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86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ind w:right="105" w:rightChars="50" w:firstLine="18" w:firstLineChars="9"/>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ind w:right="105" w:rightChars="50" w:firstLine="18" w:firstLineChars="9"/>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总监理工程师、总监代表</w:t>
            </w:r>
            <w:r>
              <w:rPr>
                <w:rFonts w:hint="eastAsia" w:ascii="仿宋" w:hAnsi="仿宋" w:eastAsia="仿宋" w:cs="仿宋"/>
                <w:color w:val="auto"/>
                <w:szCs w:val="21"/>
                <w:highlight w:val="none"/>
              </w:rPr>
              <w:t>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963"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5</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ind w:right="105" w:rightChars="50" w:firstLine="18" w:firstLineChars="9"/>
              <w:jc w:val="left"/>
              <w:rPr>
                <w:rFonts w:hint="eastAsia" w:ascii="仿宋" w:hAnsi="仿宋" w:eastAsia="仿宋" w:cs="仿宋"/>
                <w:color w:val="auto"/>
                <w:szCs w:val="21"/>
                <w:highlight w:val="none"/>
              </w:rPr>
            </w:pPr>
            <w:r>
              <w:rPr>
                <w:rFonts w:hint="eastAsia" w:ascii="仿宋" w:hAnsi="仿宋" w:eastAsia="仿宋" w:cs="仿宋"/>
                <w:color w:val="auto"/>
                <w:sz w:val="21"/>
                <w:szCs w:val="21"/>
                <w:highlight w:val="none"/>
                <w:lang w:eastAsia="zh-CN"/>
              </w:rPr>
              <w:t>投标报价不超最高投标限价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78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w:t>
      </w:r>
      <w:bookmarkStart w:id="48" w:name="_GoBack"/>
      <w:bookmarkEnd w:id="48"/>
      <w:r>
        <w:rPr>
          <w:rFonts w:hint="eastAsia" w:ascii="仿宋" w:hAnsi="仿宋" w:eastAsia="仿宋" w:cs="Courier New"/>
          <w:color w:val="auto"/>
          <w:sz w:val="24"/>
          <w:highlight w:val="none"/>
        </w:rPr>
        <w:t>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cols w:space="425" w:num="1"/>
          <w:docGrid w:linePitch="312" w:charSpace="0"/>
        </w:sectPr>
      </w:pPr>
    </w:p>
    <w:p>
      <w:pPr>
        <w:snapToGrid w:val="0"/>
        <w:ind w:left="74"/>
        <w:outlineLvl w:val="0"/>
        <w:rPr>
          <w:rFonts w:ascii="仿宋" w:hAnsi="仿宋" w:eastAsia="仿宋" w:cs="仿宋"/>
          <w:color w:val="auto"/>
          <w:sz w:val="24"/>
          <w:highlight w:val="none"/>
        </w:rPr>
      </w:pPr>
      <w:bookmarkStart w:id="47" w:name="_Toc27480"/>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bookmarkEnd w:id="47"/>
    </w:p>
    <w:p>
      <w:pPr>
        <w:snapToGrid w:val="0"/>
        <w:ind w:left="74"/>
        <w:rPr>
          <w:rFonts w:ascii="仿宋" w:hAnsi="仿宋" w:eastAsia="仿宋" w:cs="宋体"/>
          <w:color w:val="auto"/>
          <w:sz w:val="24"/>
          <w:highlight w:val="none"/>
        </w:rPr>
      </w:pPr>
      <w:r>
        <w:rPr>
          <w:rFonts w:hint="eastAsia" w:ascii="仿宋" w:hAnsi="仿宋" w:eastAsia="仿宋" w:cs="宋体"/>
          <w:color w:val="auto"/>
          <w:sz w:val="24"/>
          <w:highlight w:val="none"/>
        </w:rPr>
        <w:t xml:space="preserve"> </w:t>
      </w:r>
    </w:p>
    <w:tbl>
      <w:tblPr>
        <w:tblStyle w:val="13"/>
        <w:tblW w:w="827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24"/>
        <w:gridCol w:w="1863"/>
        <w:gridCol w:w="52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After w:w="0" w:type="auto"/>
          <w:trHeight w:val="471" w:hRule="atLeast"/>
          <w:jc w:val="center"/>
        </w:trPr>
        <w:tc>
          <w:tcPr>
            <w:tcW w:w="298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auto"/>
                <w:sz w:val="21"/>
                <w:szCs w:val="21"/>
                <w:highlight w:val="none"/>
              </w:rPr>
            </w:pPr>
            <w:r>
              <w:rPr>
                <w:rFonts w:hint="eastAsia" w:ascii="宋体" w:hAnsi="宋体" w:cs="宋体"/>
                <w:b/>
                <w:color w:val="auto"/>
                <w:sz w:val="21"/>
                <w:szCs w:val="21"/>
                <w:highlight w:val="none"/>
              </w:rPr>
              <w:t>评分因素</w:t>
            </w:r>
          </w:p>
        </w:tc>
        <w:tc>
          <w:tcPr>
            <w:tcW w:w="529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auto"/>
                <w:sz w:val="21"/>
                <w:szCs w:val="21"/>
                <w:highlight w:val="none"/>
              </w:rPr>
            </w:pPr>
            <w:r>
              <w:rPr>
                <w:rFonts w:hint="eastAsia" w:ascii="宋体" w:hAnsi="宋体" w:cs="宋体"/>
                <w:b/>
                <w:color w:val="auto"/>
                <w:sz w:val="21"/>
                <w:szCs w:val="21"/>
                <w:highlight w:val="none"/>
              </w:rPr>
              <w:t>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5" w:hRule="atLeast"/>
          <w:jc w:val="center"/>
        </w:trPr>
        <w:tc>
          <w:tcPr>
            <w:tcW w:w="1124" w:type="dxa"/>
            <w:vMerge w:val="restart"/>
            <w:tcBorders>
              <w:right w:val="single" w:color="auto" w:sz="4" w:space="0"/>
            </w:tcBorders>
            <w:noWrap w:val="0"/>
            <w:vAlign w:val="center"/>
          </w:tcPr>
          <w:p>
            <w:pPr>
              <w:ind w:left="113" w:leftChars="54" w:right="141" w:rightChars="67" w:firstLine="1"/>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资信业绩评分标准（</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0分）</w:t>
            </w:r>
          </w:p>
        </w:tc>
        <w:tc>
          <w:tcPr>
            <w:tcW w:w="1863" w:type="dxa"/>
            <w:tcBorders>
              <w:left w:val="single" w:color="auto" w:sz="4" w:space="0"/>
              <w:right w:val="single" w:color="auto" w:sz="4" w:space="0"/>
            </w:tcBorders>
            <w:noWrap w:val="0"/>
            <w:vAlign w:val="center"/>
          </w:tcPr>
          <w:p>
            <w:pPr>
              <w:ind w:left="113" w:leftChars="54" w:right="141" w:rightChars="67" w:firstLine="1"/>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类似项目业绩</w:t>
            </w:r>
          </w:p>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（6分）</w:t>
            </w:r>
          </w:p>
        </w:tc>
        <w:tc>
          <w:tcPr>
            <w:tcW w:w="5290" w:type="dxa"/>
            <w:tcBorders>
              <w:top w:val="single" w:color="auto" w:sz="4" w:space="0"/>
              <w:left w:val="single" w:color="auto" w:sz="4" w:space="0"/>
              <w:bottom w:val="single" w:color="auto" w:sz="4" w:space="0"/>
              <w:right w:val="single" w:color="auto" w:sz="4" w:space="0"/>
            </w:tcBorders>
            <w:noWrap w:val="0"/>
            <w:vAlign w:val="center"/>
          </w:tcPr>
          <w:p>
            <w:pPr>
              <w:ind w:left="113" w:leftChars="54" w:right="141" w:rightChars="67" w:firstLine="1"/>
              <w:jc w:val="left"/>
              <w:rPr>
                <w:rFonts w:hint="eastAsia"/>
                <w:color w:val="auto"/>
                <w:highlight w:val="none"/>
              </w:rPr>
            </w:pPr>
            <w:r>
              <w:rPr>
                <w:rFonts w:hint="eastAsia" w:ascii="宋体" w:hAnsi="宋体" w:cs="宋体"/>
                <w:color w:val="auto"/>
                <w:szCs w:val="21"/>
                <w:highlight w:val="none"/>
                <w:lang w:eastAsia="zh-CN"/>
              </w:rPr>
              <w:t>2017年</w:t>
            </w:r>
            <w:r>
              <w:rPr>
                <w:rFonts w:hint="eastAsia" w:ascii="宋体" w:hAnsi="宋体" w:cs="宋体"/>
                <w:color w:val="auto"/>
                <w:szCs w:val="21"/>
                <w:highlight w:val="none"/>
              </w:rPr>
              <w:t>1月1日至今，每完成过一个质量合格的</w:t>
            </w:r>
            <w:r>
              <w:rPr>
                <w:rFonts w:hint="eastAsia" w:ascii="宋体" w:hAnsi="宋体" w:cs="宋体"/>
                <w:color w:val="auto"/>
                <w:szCs w:val="21"/>
                <w:highlight w:val="none"/>
                <w:lang w:eastAsia="zh-CN"/>
              </w:rPr>
              <w:t>总投资</w:t>
            </w:r>
            <w:r>
              <w:rPr>
                <w:rFonts w:hint="eastAsia" w:ascii="宋体" w:hAnsi="宋体" w:cs="宋体"/>
                <w:color w:val="auto"/>
                <w:szCs w:val="21"/>
                <w:highlight w:val="none"/>
                <w:lang w:val="en-US" w:eastAsia="zh-CN"/>
              </w:rPr>
              <w:t>600万元以上</w:t>
            </w:r>
            <w:r>
              <w:rPr>
                <w:rFonts w:hint="eastAsia" w:ascii="宋体" w:hAnsi="宋体" w:cs="宋体"/>
                <w:color w:val="auto"/>
                <w:szCs w:val="21"/>
                <w:highlight w:val="none"/>
              </w:rPr>
              <w:t>类似工程监理业绩得2分，最多得6分</w:t>
            </w:r>
            <w:r>
              <w:rPr>
                <w:rFonts w:hint="eastAsia" w:ascii="宋体" w:hAnsi="宋体" w:cs="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8" w:hRule="atLeast"/>
          <w:jc w:val="center"/>
        </w:trPr>
        <w:tc>
          <w:tcPr>
            <w:tcW w:w="1124" w:type="dxa"/>
            <w:vMerge w:val="continue"/>
            <w:tcBorders>
              <w:right w:val="single" w:color="auto" w:sz="4" w:space="0"/>
            </w:tcBorders>
            <w:noWrap w:val="0"/>
            <w:vAlign w:val="center"/>
          </w:tcPr>
          <w:p>
            <w:pPr>
              <w:ind w:left="113" w:leftChars="54" w:right="141" w:rightChars="67" w:firstLine="1"/>
              <w:jc w:val="center"/>
              <w:rPr>
                <w:rFonts w:hint="eastAsia" w:ascii="宋体" w:hAnsi="宋体" w:cs="宋体"/>
                <w:color w:val="auto"/>
                <w:sz w:val="21"/>
                <w:szCs w:val="21"/>
                <w:highlight w:val="none"/>
              </w:rPr>
            </w:pPr>
          </w:p>
        </w:tc>
        <w:tc>
          <w:tcPr>
            <w:tcW w:w="1863" w:type="dxa"/>
            <w:tcBorders>
              <w:top w:val="single" w:color="auto" w:sz="4" w:space="0"/>
              <w:left w:val="single" w:color="auto" w:sz="4" w:space="0"/>
              <w:right w:val="single" w:color="auto" w:sz="4" w:space="0"/>
            </w:tcBorders>
            <w:noWrap w:val="0"/>
            <w:vAlign w:val="center"/>
          </w:tcPr>
          <w:p>
            <w:pPr>
              <w:ind w:left="113" w:leftChars="54" w:right="141" w:rightChars="67" w:firstLine="1"/>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获奖监理业绩</w:t>
            </w:r>
          </w:p>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（6分）</w:t>
            </w:r>
          </w:p>
        </w:tc>
        <w:tc>
          <w:tcPr>
            <w:tcW w:w="5290" w:type="dxa"/>
            <w:tcBorders>
              <w:top w:val="single" w:color="auto" w:sz="4" w:space="0"/>
              <w:left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2017年</w:t>
            </w:r>
            <w:r>
              <w:rPr>
                <w:rFonts w:hint="eastAsia" w:ascii="宋体" w:hAnsi="宋体" w:cs="宋体"/>
                <w:color w:val="auto"/>
                <w:sz w:val="21"/>
                <w:szCs w:val="21"/>
                <w:highlight w:val="none"/>
              </w:rPr>
              <w:t>1月1日至今</w:t>
            </w:r>
            <w:r>
              <w:rPr>
                <w:rFonts w:hint="eastAsia" w:ascii="宋体" w:hAnsi="宋体" w:cs="宋体"/>
                <w:color w:val="auto"/>
                <w:sz w:val="21"/>
                <w:szCs w:val="21"/>
                <w:highlight w:val="none"/>
                <w:lang w:eastAsia="zh-CN"/>
              </w:rPr>
              <w:t>所监理的类似工程项目获得部级或以上奖项的，每项得</w:t>
            </w:r>
            <w:r>
              <w:rPr>
                <w:rFonts w:hint="eastAsia" w:ascii="宋体" w:hAnsi="宋体" w:cs="宋体"/>
                <w:color w:val="auto"/>
                <w:sz w:val="21"/>
                <w:szCs w:val="21"/>
                <w:highlight w:val="none"/>
                <w:lang w:val="en-US" w:eastAsia="zh-CN"/>
              </w:rPr>
              <w:t>3分；省级的每项得1分；市级的每项得0.5分。同一项目只取一项最高奖项计分，不重复计算，</w:t>
            </w:r>
            <w:r>
              <w:rPr>
                <w:rFonts w:hint="eastAsia" w:ascii="宋体" w:hAnsi="宋体" w:cs="宋体"/>
                <w:color w:val="auto"/>
                <w:sz w:val="21"/>
                <w:szCs w:val="21"/>
                <w:highlight w:val="none"/>
              </w:rPr>
              <w:t>本项最多得6分。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08" w:hRule="atLeast"/>
          <w:jc w:val="center"/>
        </w:trPr>
        <w:tc>
          <w:tcPr>
            <w:tcW w:w="1124" w:type="dxa"/>
            <w:vMerge w:val="continue"/>
            <w:tcBorders>
              <w:right w:val="single" w:color="auto" w:sz="4" w:space="0"/>
            </w:tcBorders>
            <w:noWrap w:val="0"/>
            <w:vAlign w:val="center"/>
          </w:tcPr>
          <w:p>
            <w:pPr>
              <w:ind w:left="113" w:leftChars="54" w:right="141" w:rightChars="67" w:firstLine="1"/>
              <w:jc w:val="center"/>
              <w:rPr>
                <w:rFonts w:hint="eastAsia" w:ascii="宋体" w:hAnsi="宋体" w:cs="宋体"/>
                <w:color w:val="auto"/>
                <w:sz w:val="21"/>
                <w:szCs w:val="21"/>
                <w:highlight w:val="none"/>
              </w:rPr>
            </w:pPr>
          </w:p>
        </w:tc>
        <w:tc>
          <w:tcPr>
            <w:tcW w:w="1863" w:type="dxa"/>
            <w:tcBorders>
              <w:top w:val="single" w:color="auto" w:sz="4" w:space="0"/>
              <w:left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总监理工程师资历（</w:t>
            </w:r>
            <w:r>
              <w:rPr>
                <w:rFonts w:hint="eastAsia" w:ascii="宋体" w:hAnsi="宋体" w:cs="宋体"/>
                <w:color w:val="auto"/>
                <w:sz w:val="21"/>
                <w:szCs w:val="21"/>
                <w:highlight w:val="none"/>
                <w:lang w:val="en-US" w:eastAsia="zh-CN"/>
              </w:rPr>
              <w:t>7</w:t>
            </w:r>
            <w:r>
              <w:rPr>
                <w:rFonts w:hint="eastAsia" w:ascii="宋体" w:hAnsi="宋体" w:cs="宋体"/>
                <w:color w:val="auto"/>
                <w:sz w:val="21"/>
                <w:szCs w:val="21"/>
                <w:highlight w:val="none"/>
              </w:rPr>
              <w:t>分）</w:t>
            </w:r>
          </w:p>
        </w:tc>
        <w:tc>
          <w:tcPr>
            <w:tcW w:w="5290" w:type="dxa"/>
            <w:tcBorders>
              <w:top w:val="single" w:color="auto" w:sz="4" w:space="0"/>
              <w:left w:val="single" w:color="auto" w:sz="4" w:space="0"/>
              <w:right w:val="single" w:color="auto" w:sz="4" w:space="0"/>
            </w:tcBorders>
            <w:noWrap w:val="0"/>
            <w:vAlign w:val="center"/>
          </w:tcPr>
          <w:p>
            <w:pPr>
              <w:numPr>
                <w:ilvl w:val="0"/>
                <w:numId w:val="0"/>
              </w:numPr>
              <w:ind w:left="109" w:leftChars="0" w:right="141" w:rightChars="67" w:firstLine="0" w:firstLineChars="0"/>
              <w:jc w:val="left"/>
              <w:rPr>
                <w:rFonts w:hint="eastAsia"/>
                <w:color w:val="auto"/>
                <w:highlight w:val="none"/>
                <w:lang w:val="en-US" w:eastAsia="zh-CN"/>
              </w:rPr>
            </w:pPr>
            <w:r>
              <w:rPr>
                <w:rFonts w:hint="eastAsia"/>
                <w:color w:val="auto"/>
                <w:highlight w:val="none"/>
                <w:lang w:val="en-US" w:eastAsia="zh-CN"/>
              </w:rPr>
              <w:t>1、</w:t>
            </w:r>
            <w:r>
              <w:rPr>
                <w:rFonts w:hint="eastAsia"/>
                <w:color w:val="auto"/>
                <w:highlight w:val="none"/>
              </w:rPr>
              <w:t>具有</w:t>
            </w:r>
            <w:r>
              <w:rPr>
                <w:rFonts w:hint="eastAsia"/>
                <w:color w:val="auto"/>
                <w:highlight w:val="none"/>
                <w:lang w:val="en-US" w:eastAsia="zh-CN"/>
              </w:rPr>
              <w:t>水运工程类专业高</w:t>
            </w:r>
            <w:r>
              <w:rPr>
                <w:rFonts w:hint="eastAsia"/>
                <w:color w:val="auto"/>
                <w:highlight w:val="none"/>
              </w:rPr>
              <w:t>级工程师</w:t>
            </w:r>
            <w:r>
              <w:rPr>
                <w:rFonts w:hint="eastAsia"/>
                <w:color w:val="auto"/>
                <w:highlight w:val="none"/>
                <w:lang w:eastAsia="zh-CN"/>
              </w:rPr>
              <w:t>或以上</w:t>
            </w:r>
            <w:r>
              <w:rPr>
                <w:rFonts w:hint="eastAsia"/>
                <w:color w:val="auto"/>
                <w:highlight w:val="none"/>
              </w:rPr>
              <w:t>职称得</w:t>
            </w:r>
            <w:r>
              <w:rPr>
                <w:rFonts w:hint="eastAsia"/>
                <w:color w:val="auto"/>
                <w:highlight w:val="none"/>
                <w:lang w:val="en-US" w:eastAsia="zh-CN"/>
              </w:rPr>
              <w:t>2</w:t>
            </w:r>
            <w:r>
              <w:rPr>
                <w:rFonts w:hint="eastAsia"/>
                <w:color w:val="auto"/>
                <w:highlight w:val="none"/>
              </w:rPr>
              <w:t>分</w:t>
            </w:r>
            <w:r>
              <w:rPr>
                <w:rFonts w:hint="eastAsia"/>
                <w:color w:val="auto"/>
                <w:highlight w:val="none"/>
                <w:lang w:val="en-US" w:eastAsia="zh-CN"/>
              </w:rPr>
              <w:t>。</w:t>
            </w:r>
          </w:p>
          <w:p>
            <w:pPr>
              <w:numPr>
                <w:ilvl w:val="0"/>
                <w:numId w:val="0"/>
              </w:numPr>
              <w:ind w:left="109" w:right="141" w:rightChars="67"/>
              <w:jc w:val="left"/>
              <w:rPr>
                <w:rFonts w:hint="default"/>
                <w:color w:val="auto"/>
                <w:highlight w:val="none"/>
                <w:lang w:val="en-US" w:eastAsia="zh-CN"/>
              </w:rPr>
            </w:pPr>
            <w:r>
              <w:rPr>
                <w:rFonts w:hint="eastAsia"/>
                <w:color w:val="auto"/>
                <w:highlight w:val="none"/>
                <w:lang w:val="en-US" w:eastAsia="zh-CN"/>
              </w:rPr>
              <w:t>2、</w:t>
            </w:r>
            <w:r>
              <w:rPr>
                <w:rFonts w:hint="eastAsia" w:ascii="宋体" w:hAnsi="宋体" w:cs="宋体"/>
                <w:color w:val="auto"/>
                <w:szCs w:val="21"/>
                <w:highlight w:val="none"/>
                <w:lang w:eastAsia="zh-CN"/>
              </w:rPr>
              <w:t>2017年</w:t>
            </w:r>
            <w:r>
              <w:rPr>
                <w:rFonts w:hint="eastAsia" w:ascii="宋体" w:hAnsi="宋体" w:cs="宋体"/>
                <w:color w:val="auto"/>
                <w:szCs w:val="21"/>
                <w:highlight w:val="none"/>
              </w:rPr>
              <w:t>1月1日至今，每完成过一个质量合格的</w:t>
            </w:r>
            <w:r>
              <w:rPr>
                <w:rFonts w:hint="eastAsia" w:ascii="宋体" w:hAnsi="宋体" w:cs="宋体"/>
                <w:color w:val="auto"/>
                <w:szCs w:val="21"/>
                <w:highlight w:val="none"/>
                <w:lang w:eastAsia="zh-CN"/>
              </w:rPr>
              <w:t>总投资</w:t>
            </w:r>
            <w:r>
              <w:rPr>
                <w:rFonts w:hint="eastAsia" w:ascii="宋体" w:hAnsi="宋体" w:cs="宋体"/>
                <w:color w:val="auto"/>
                <w:szCs w:val="21"/>
                <w:highlight w:val="none"/>
                <w:lang w:val="en-US" w:eastAsia="zh-CN"/>
              </w:rPr>
              <w:t>600万元以上的</w:t>
            </w:r>
            <w:r>
              <w:rPr>
                <w:rFonts w:hint="eastAsia" w:ascii="宋体" w:hAnsi="宋体" w:cs="宋体"/>
                <w:color w:val="auto"/>
                <w:szCs w:val="21"/>
                <w:highlight w:val="none"/>
              </w:rPr>
              <w:t>类似工程监理业绩</w:t>
            </w:r>
            <w:r>
              <w:rPr>
                <w:rFonts w:hint="eastAsia"/>
                <w:color w:val="auto"/>
                <w:highlight w:val="none"/>
                <w:lang w:eastAsia="zh-CN"/>
              </w:rPr>
              <w:t>，每</w:t>
            </w:r>
            <w:r>
              <w:rPr>
                <w:rFonts w:hint="default"/>
                <w:color w:val="auto"/>
                <w:highlight w:val="none"/>
              </w:rPr>
              <w:t>1</w:t>
            </w:r>
            <w:r>
              <w:rPr>
                <w:rFonts w:hint="eastAsia"/>
                <w:color w:val="auto"/>
                <w:highlight w:val="none"/>
                <w:lang w:eastAsia="zh-CN"/>
              </w:rPr>
              <w:t>项</w:t>
            </w:r>
            <w:r>
              <w:rPr>
                <w:rFonts w:hint="default"/>
                <w:color w:val="auto"/>
                <w:highlight w:val="none"/>
              </w:rPr>
              <w:t>得1分，最多得</w:t>
            </w:r>
            <w:r>
              <w:rPr>
                <w:rFonts w:hint="eastAsia"/>
                <w:color w:val="auto"/>
                <w:highlight w:val="none"/>
                <w:lang w:val="en-US" w:eastAsia="zh-CN"/>
              </w:rPr>
              <w:t>5</w:t>
            </w:r>
            <w:r>
              <w:rPr>
                <w:rFonts w:hint="default"/>
                <w:color w:val="auto"/>
                <w:highlight w:val="none"/>
              </w:rPr>
              <w:t>分</w:t>
            </w:r>
            <w:r>
              <w:rPr>
                <w:rFonts w:hint="eastAsia"/>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48" w:hRule="atLeast"/>
          <w:jc w:val="center"/>
        </w:trPr>
        <w:tc>
          <w:tcPr>
            <w:tcW w:w="1124" w:type="dxa"/>
            <w:vMerge w:val="continue"/>
            <w:tcBorders>
              <w:right w:val="single" w:color="auto" w:sz="4" w:space="0"/>
            </w:tcBorders>
            <w:noWrap w:val="0"/>
            <w:vAlign w:val="center"/>
          </w:tcPr>
          <w:p>
            <w:pPr>
              <w:ind w:left="113" w:leftChars="54" w:right="141" w:rightChars="67" w:firstLine="1"/>
              <w:jc w:val="center"/>
              <w:rPr>
                <w:rFonts w:hint="eastAsia" w:ascii="宋体" w:hAnsi="宋体" w:cs="宋体"/>
                <w:color w:val="auto"/>
                <w:sz w:val="21"/>
                <w:szCs w:val="21"/>
                <w:highlight w:val="none"/>
              </w:rPr>
            </w:pPr>
          </w:p>
        </w:tc>
        <w:tc>
          <w:tcPr>
            <w:tcW w:w="1863" w:type="dxa"/>
            <w:tcBorders>
              <w:top w:val="single" w:color="auto" w:sz="4" w:space="0"/>
              <w:left w:val="single" w:color="auto" w:sz="4" w:space="0"/>
              <w:right w:val="single" w:color="auto" w:sz="4" w:space="0"/>
            </w:tcBorders>
            <w:noWrap w:val="0"/>
            <w:vAlign w:val="center"/>
          </w:tcPr>
          <w:p>
            <w:pPr>
              <w:ind w:left="113" w:leftChars="54" w:right="141" w:rightChars="67" w:firstLine="1"/>
              <w:jc w:val="left"/>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总监代表</w:t>
            </w:r>
            <w:r>
              <w:rPr>
                <w:rFonts w:hint="eastAsia" w:ascii="宋体" w:hAnsi="宋体" w:cs="宋体"/>
                <w:color w:val="auto"/>
                <w:sz w:val="21"/>
                <w:szCs w:val="21"/>
                <w:highlight w:val="none"/>
              </w:rPr>
              <w:t>资历</w:t>
            </w:r>
          </w:p>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分）</w:t>
            </w:r>
          </w:p>
        </w:tc>
        <w:tc>
          <w:tcPr>
            <w:tcW w:w="5290" w:type="dxa"/>
            <w:tcBorders>
              <w:top w:val="single" w:color="auto" w:sz="4" w:space="0"/>
              <w:left w:val="single" w:color="auto" w:sz="4" w:space="0"/>
              <w:right w:val="single" w:color="auto" w:sz="4" w:space="0"/>
            </w:tcBorders>
            <w:noWrap w:val="0"/>
            <w:vAlign w:val="center"/>
          </w:tcPr>
          <w:p>
            <w:pPr>
              <w:numPr>
                <w:ilvl w:val="0"/>
                <w:numId w:val="0"/>
              </w:numPr>
              <w:ind w:left="109" w:leftChars="0" w:right="141" w:rightChars="67" w:firstLine="0"/>
              <w:jc w:val="left"/>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r>
              <w:rPr>
                <w:rFonts w:hint="eastAsia"/>
                <w:color w:val="auto"/>
                <w:highlight w:val="none"/>
              </w:rPr>
              <w:t>具有</w:t>
            </w:r>
            <w:r>
              <w:rPr>
                <w:rFonts w:hint="eastAsia"/>
                <w:color w:val="auto"/>
                <w:highlight w:val="none"/>
                <w:lang w:eastAsia="zh-CN"/>
              </w:rPr>
              <w:t>水运</w:t>
            </w:r>
            <w:r>
              <w:rPr>
                <w:rFonts w:hint="eastAsia"/>
                <w:color w:val="auto"/>
                <w:highlight w:val="none"/>
                <w:lang w:val="en-US" w:eastAsia="zh-CN"/>
              </w:rPr>
              <w:t>工程类专业高</w:t>
            </w:r>
            <w:r>
              <w:rPr>
                <w:rFonts w:hint="eastAsia"/>
                <w:color w:val="auto"/>
                <w:highlight w:val="none"/>
              </w:rPr>
              <w:t>级工程师</w:t>
            </w:r>
            <w:r>
              <w:rPr>
                <w:rFonts w:hint="eastAsia"/>
                <w:color w:val="auto"/>
                <w:highlight w:val="none"/>
                <w:lang w:eastAsia="zh-CN"/>
              </w:rPr>
              <w:t>或以上</w:t>
            </w:r>
            <w:r>
              <w:rPr>
                <w:rFonts w:hint="eastAsia"/>
                <w:color w:val="auto"/>
                <w:highlight w:val="none"/>
              </w:rPr>
              <w:t>职称得</w:t>
            </w:r>
            <w:r>
              <w:rPr>
                <w:rFonts w:hint="eastAsia"/>
                <w:color w:val="auto"/>
                <w:highlight w:val="none"/>
                <w:lang w:val="en-US" w:eastAsia="zh-CN"/>
              </w:rPr>
              <w:t>2</w:t>
            </w:r>
            <w:r>
              <w:rPr>
                <w:rFonts w:hint="eastAsia"/>
                <w:color w:val="auto"/>
                <w:highlight w:val="none"/>
              </w:rPr>
              <w:t>分</w:t>
            </w:r>
            <w:r>
              <w:rPr>
                <w:rFonts w:hint="eastAsia"/>
                <w:color w:val="auto"/>
                <w:highlight w:val="none"/>
                <w:lang w:val="en-US" w:eastAsia="zh-CN"/>
              </w:rPr>
              <w:t>。</w:t>
            </w:r>
          </w:p>
          <w:p>
            <w:pPr>
              <w:numPr>
                <w:ilvl w:val="0"/>
                <w:numId w:val="0"/>
              </w:numPr>
              <w:ind w:left="109" w:leftChars="0" w:right="141" w:rightChars="67" w:firstLine="0" w:firstLineChars="0"/>
              <w:jc w:val="left"/>
              <w:rPr>
                <w:rFonts w:hint="eastAsia" w:ascii="宋体" w:hAnsi="宋体" w:cs="宋体" w:eastAsiaTheme="minorEastAsia"/>
                <w:color w:val="auto"/>
                <w:sz w:val="21"/>
                <w:szCs w:val="21"/>
                <w:highlight w:val="none"/>
                <w:lang w:eastAsia="zh-CN"/>
              </w:rPr>
            </w:pPr>
            <w:r>
              <w:rPr>
                <w:rFonts w:hint="eastAsia" w:ascii="宋体" w:hAnsi="宋体" w:cs="宋体"/>
                <w:color w:val="auto"/>
                <w:sz w:val="21"/>
                <w:szCs w:val="21"/>
                <w:highlight w:val="none"/>
                <w:lang w:val="en-US" w:eastAsia="zh-CN"/>
              </w:rPr>
              <w:t>2、具备</w:t>
            </w:r>
            <w:r>
              <w:rPr>
                <w:rFonts w:hint="eastAsia" w:ascii="宋体" w:hAnsi="宋体" w:cs="宋体"/>
                <w:color w:val="auto"/>
                <w:sz w:val="21"/>
                <w:szCs w:val="21"/>
                <w:highlight w:val="none"/>
              </w:rPr>
              <w:t>注册监理工程师的</w:t>
            </w:r>
            <w:r>
              <w:rPr>
                <w:rFonts w:hint="eastAsia" w:ascii="宋体" w:hAnsi="宋体" w:cs="宋体"/>
                <w:color w:val="auto"/>
                <w:sz w:val="21"/>
                <w:szCs w:val="21"/>
                <w:highlight w:val="none"/>
                <w:lang w:eastAsia="zh-CN"/>
              </w:rPr>
              <w:t>得</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3" w:hRule="atLeast"/>
          <w:jc w:val="center"/>
        </w:trPr>
        <w:tc>
          <w:tcPr>
            <w:tcW w:w="1124" w:type="dxa"/>
            <w:vMerge w:val="continue"/>
            <w:tcBorders>
              <w:right w:val="single" w:color="auto" w:sz="4" w:space="0"/>
            </w:tcBorders>
            <w:noWrap w:val="0"/>
            <w:vAlign w:val="center"/>
          </w:tcPr>
          <w:p>
            <w:pPr>
              <w:ind w:left="113" w:leftChars="54" w:right="141" w:rightChars="67" w:firstLine="1"/>
              <w:jc w:val="center"/>
              <w:rPr>
                <w:rFonts w:hint="eastAsia" w:ascii="宋体" w:hAnsi="宋体" w:cs="宋体"/>
                <w:color w:val="auto"/>
                <w:sz w:val="21"/>
                <w:szCs w:val="21"/>
                <w:highlight w:val="none"/>
              </w:rPr>
            </w:pPr>
          </w:p>
        </w:tc>
        <w:tc>
          <w:tcPr>
            <w:tcW w:w="1863" w:type="dxa"/>
            <w:tcBorders>
              <w:top w:val="single" w:color="auto" w:sz="4" w:space="0"/>
              <w:left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体系认证（</w:t>
            </w:r>
            <w:r>
              <w:rPr>
                <w:rFonts w:ascii="宋体" w:hAnsi="宋体" w:cs="宋体"/>
                <w:color w:val="auto"/>
                <w:sz w:val="21"/>
                <w:szCs w:val="21"/>
                <w:highlight w:val="none"/>
              </w:rPr>
              <w:t>4</w:t>
            </w:r>
            <w:r>
              <w:rPr>
                <w:rFonts w:hint="eastAsia" w:ascii="宋体" w:hAnsi="宋体" w:cs="宋体"/>
                <w:color w:val="auto"/>
                <w:sz w:val="21"/>
                <w:szCs w:val="21"/>
                <w:highlight w:val="none"/>
              </w:rPr>
              <w:t>分）</w:t>
            </w:r>
          </w:p>
        </w:tc>
        <w:tc>
          <w:tcPr>
            <w:tcW w:w="5290" w:type="dxa"/>
            <w:tcBorders>
              <w:top w:val="single" w:color="auto" w:sz="4" w:space="0"/>
              <w:left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同时获得质量管理体系认证证书、环境管理体系认证证书、职业健康安全管理体系认证证书且在有效期内的得</w:t>
            </w:r>
            <w:r>
              <w:rPr>
                <w:rFonts w:ascii="宋体" w:hAnsi="宋体" w:cs="宋体"/>
                <w:color w:val="auto"/>
                <w:sz w:val="21"/>
                <w:szCs w:val="21"/>
                <w:highlight w:val="none"/>
              </w:rPr>
              <w:t>4</w:t>
            </w:r>
            <w:r>
              <w:rPr>
                <w:rFonts w:hint="eastAsia" w:ascii="宋体" w:hAnsi="宋体" w:cs="宋体"/>
                <w:color w:val="auto"/>
                <w:sz w:val="21"/>
                <w:szCs w:val="21"/>
                <w:highlight w:val="none"/>
              </w:rPr>
              <w:t>分，缺一项扣</w:t>
            </w:r>
            <w:r>
              <w:rPr>
                <w:rFonts w:ascii="宋体" w:hAnsi="宋体" w:cs="宋体"/>
                <w:color w:val="auto"/>
                <w:sz w:val="21"/>
                <w:szCs w:val="21"/>
                <w:highlight w:val="none"/>
              </w:rPr>
              <w:t>2</w:t>
            </w:r>
            <w:r>
              <w:rPr>
                <w:rFonts w:hint="eastAsia" w:ascii="宋体" w:hAnsi="宋体" w:cs="宋体"/>
                <w:color w:val="auto"/>
                <w:sz w:val="21"/>
                <w:szCs w:val="21"/>
                <w:highlight w:val="none"/>
              </w:rPr>
              <w:t>分，最多扣4分。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28" w:hRule="atLeast"/>
          <w:jc w:val="center"/>
        </w:trPr>
        <w:tc>
          <w:tcPr>
            <w:tcW w:w="1124" w:type="dxa"/>
            <w:vMerge w:val="continue"/>
            <w:tcBorders>
              <w:right w:val="single" w:color="auto" w:sz="4" w:space="0"/>
            </w:tcBorders>
            <w:noWrap w:val="0"/>
            <w:vAlign w:val="center"/>
          </w:tcPr>
          <w:p>
            <w:pPr>
              <w:ind w:left="113" w:leftChars="54" w:right="141" w:rightChars="67" w:firstLine="1"/>
              <w:jc w:val="center"/>
              <w:rPr>
                <w:rFonts w:hint="eastAsia" w:ascii="宋体" w:hAnsi="宋体" w:cs="宋体"/>
                <w:color w:val="auto"/>
                <w:sz w:val="21"/>
                <w:szCs w:val="21"/>
                <w:highlight w:val="none"/>
              </w:rPr>
            </w:pPr>
          </w:p>
        </w:tc>
        <w:tc>
          <w:tcPr>
            <w:tcW w:w="1863" w:type="dxa"/>
            <w:tcBorders>
              <w:top w:val="single" w:color="auto" w:sz="4" w:space="0"/>
              <w:left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A级纳税人称号（</w:t>
            </w:r>
            <w:r>
              <w:rPr>
                <w:rFonts w:ascii="宋体" w:hAnsi="宋体" w:cs="宋体"/>
                <w:color w:val="auto"/>
                <w:sz w:val="21"/>
                <w:szCs w:val="21"/>
                <w:highlight w:val="none"/>
              </w:rPr>
              <w:t>3</w:t>
            </w:r>
            <w:r>
              <w:rPr>
                <w:rFonts w:hint="eastAsia" w:ascii="宋体" w:hAnsi="宋体" w:cs="宋体"/>
                <w:color w:val="auto"/>
                <w:sz w:val="21"/>
                <w:szCs w:val="21"/>
                <w:highlight w:val="none"/>
              </w:rPr>
              <w:t>分）</w:t>
            </w:r>
          </w:p>
        </w:tc>
        <w:tc>
          <w:tcPr>
            <w:tcW w:w="5290" w:type="dxa"/>
            <w:tcBorders>
              <w:top w:val="single" w:color="auto" w:sz="4" w:space="0"/>
              <w:left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2017年</w:t>
            </w:r>
            <w:r>
              <w:rPr>
                <w:rFonts w:hint="eastAsia" w:ascii="宋体" w:hAnsi="宋体" w:cs="宋体"/>
                <w:color w:val="auto"/>
                <w:sz w:val="21"/>
                <w:szCs w:val="21"/>
                <w:highlight w:val="none"/>
              </w:rPr>
              <w:t>1月1日至今获得过“A级纳税人”称号</w:t>
            </w:r>
            <w:r>
              <w:rPr>
                <w:rFonts w:hint="eastAsia" w:ascii="宋体" w:hAnsi="宋体" w:cs="宋体"/>
                <w:color w:val="auto"/>
                <w:sz w:val="21"/>
                <w:szCs w:val="21"/>
                <w:highlight w:val="none"/>
                <w:lang w:val="en-US" w:eastAsia="zh-CN"/>
              </w:rPr>
              <w:t>3次或以上的得3分，获得过2次的得2分，获得过1次的得1分，没有获得过的不得分。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3" w:hRule="atLeast"/>
          <w:jc w:val="center"/>
        </w:trPr>
        <w:tc>
          <w:tcPr>
            <w:tcW w:w="1124" w:type="dxa"/>
            <w:vMerge w:val="continue"/>
            <w:tcBorders>
              <w:right w:val="single" w:color="auto" w:sz="4" w:space="0"/>
            </w:tcBorders>
            <w:noWrap w:val="0"/>
            <w:vAlign w:val="center"/>
          </w:tcPr>
          <w:p>
            <w:pPr>
              <w:ind w:left="113" w:leftChars="54" w:right="141" w:rightChars="67" w:firstLine="1"/>
              <w:jc w:val="center"/>
              <w:rPr>
                <w:rFonts w:hint="eastAsia" w:ascii="宋体" w:hAnsi="宋体" w:cs="宋体"/>
                <w:color w:val="auto"/>
                <w:sz w:val="21"/>
                <w:szCs w:val="21"/>
                <w:highlight w:val="none"/>
              </w:rPr>
            </w:pPr>
          </w:p>
        </w:tc>
        <w:tc>
          <w:tcPr>
            <w:tcW w:w="1863" w:type="dxa"/>
            <w:tcBorders>
              <w:top w:val="single" w:color="auto" w:sz="4" w:space="0"/>
              <w:left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企业获奖及企业创新能力（</w:t>
            </w:r>
            <w:r>
              <w:rPr>
                <w:rFonts w:ascii="宋体" w:hAnsi="宋体" w:cs="宋体"/>
                <w:color w:val="auto"/>
                <w:sz w:val="21"/>
                <w:szCs w:val="21"/>
                <w:highlight w:val="none"/>
              </w:rPr>
              <w:t>10</w:t>
            </w:r>
            <w:r>
              <w:rPr>
                <w:rFonts w:hint="eastAsia" w:ascii="宋体" w:hAnsi="宋体" w:cs="宋体"/>
                <w:color w:val="auto"/>
                <w:sz w:val="21"/>
                <w:szCs w:val="21"/>
                <w:highlight w:val="none"/>
              </w:rPr>
              <w:t>分）</w:t>
            </w:r>
          </w:p>
        </w:tc>
        <w:tc>
          <w:tcPr>
            <w:tcW w:w="5290" w:type="dxa"/>
            <w:tcBorders>
              <w:top w:val="single" w:color="auto" w:sz="4" w:space="0"/>
              <w:left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2017年</w:t>
            </w:r>
            <w:r>
              <w:rPr>
                <w:rFonts w:hint="eastAsia" w:ascii="宋体" w:hAnsi="宋体" w:cs="宋体"/>
                <w:color w:val="auto"/>
                <w:sz w:val="21"/>
                <w:szCs w:val="21"/>
                <w:highlight w:val="none"/>
              </w:rPr>
              <w:t>1月1日至今投标人：</w:t>
            </w:r>
            <w:r>
              <w:rPr>
                <w:rFonts w:ascii="宋体" w:hAnsi="宋体" w:cs="宋体"/>
                <w:color w:val="auto"/>
                <w:sz w:val="21"/>
                <w:szCs w:val="21"/>
                <w:highlight w:val="none"/>
              </w:rPr>
              <w:br w:type="textWrapping"/>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连续5年或以上获得省级或以上诚信示范企业称号的得</w:t>
            </w:r>
            <w:r>
              <w:rPr>
                <w:rFonts w:ascii="宋体" w:hAnsi="宋体" w:cs="宋体"/>
                <w:color w:val="auto"/>
                <w:sz w:val="21"/>
                <w:szCs w:val="21"/>
                <w:highlight w:val="none"/>
              </w:rPr>
              <w:t>3</w:t>
            </w:r>
            <w:r>
              <w:rPr>
                <w:rFonts w:hint="eastAsia" w:ascii="宋体" w:hAnsi="宋体" w:cs="宋体"/>
                <w:color w:val="auto"/>
                <w:sz w:val="21"/>
                <w:szCs w:val="21"/>
                <w:highlight w:val="none"/>
              </w:rPr>
              <w:t>分，4年或4年以下的得</w:t>
            </w:r>
            <w:r>
              <w:rPr>
                <w:rFonts w:ascii="宋体" w:hAnsi="宋体" w:cs="宋体"/>
                <w:color w:val="auto"/>
                <w:sz w:val="21"/>
                <w:szCs w:val="21"/>
                <w:highlight w:val="none"/>
              </w:rPr>
              <w:t>1</w:t>
            </w:r>
            <w:r>
              <w:rPr>
                <w:rFonts w:hint="eastAsia" w:ascii="宋体" w:hAnsi="宋体" w:cs="宋体"/>
                <w:color w:val="auto"/>
                <w:sz w:val="21"/>
                <w:szCs w:val="21"/>
                <w:highlight w:val="none"/>
              </w:rPr>
              <w:t>分，没有的不得分；</w:t>
            </w:r>
            <w:r>
              <w:rPr>
                <w:rFonts w:ascii="宋体" w:hAnsi="宋体" w:cs="宋体"/>
                <w:color w:val="auto"/>
                <w:sz w:val="21"/>
                <w:szCs w:val="21"/>
                <w:highlight w:val="none"/>
              </w:rPr>
              <w:br w:type="textWrapping"/>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获得市级或以上先进监理企业称号的每次得1分，最多得</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分，没有的不得分；</w:t>
            </w:r>
            <w:r>
              <w:rPr>
                <w:rFonts w:ascii="宋体" w:hAnsi="宋体" w:cs="宋体"/>
                <w:color w:val="auto"/>
                <w:sz w:val="21"/>
                <w:szCs w:val="21"/>
                <w:highlight w:val="none"/>
              </w:rPr>
              <w:br w:type="textWrapping"/>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获得过省级或以上人民政府（或行政部门或行业协会）颁发的科技创新先进企业的得</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分，没有的不得分。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6" w:hRule="atLeast"/>
          <w:jc w:val="center"/>
        </w:trPr>
        <w:tc>
          <w:tcPr>
            <w:tcW w:w="1124" w:type="dxa"/>
            <w:vMerge w:val="restart"/>
            <w:tcBorders>
              <w:top w:val="single" w:color="auto" w:sz="4" w:space="0"/>
              <w:right w:val="single" w:color="auto" w:sz="4" w:space="0"/>
            </w:tcBorders>
            <w:noWrap w:val="0"/>
            <w:vAlign w:val="center"/>
          </w:tcPr>
          <w:p>
            <w:pPr>
              <w:ind w:left="113" w:leftChars="54" w:right="141" w:rightChars="67" w:firstLine="1"/>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监理大纲评分标准（</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0分）</w:t>
            </w:r>
          </w:p>
        </w:tc>
        <w:tc>
          <w:tcPr>
            <w:tcW w:w="1863" w:type="dxa"/>
            <w:tcBorders>
              <w:top w:val="single" w:color="auto" w:sz="4" w:space="0"/>
              <w:left w:val="single" w:color="auto" w:sz="4" w:space="0"/>
              <w:bottom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投资控制措施（</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分）</w:t>
            </w:r>
          </w:p>
        </w:tc>
        <w:tc>
          <w:tcPr>
            <w:tcW w:w="5290" w:type="dxa"/>
            <w:tcBorders>
              <w:top w:val="single" w:color="auto" w:sz="4" w:space="0"/>
              <w:left w:val="single" w:color="auto" w:sz="4" w:space="0"/>
              <w:bottom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针对本项目的特点和招标内容，提出的投资控制目标明确、方法合理可行、措施具体、针对性强。措施为优得4</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分；措施为良得</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3分;措施为一般得</w:t>
            </w:r>
            <w:r>
              <w:rPr>
                <w:rFonts w:hint="eastAsia" w:ascii="宋体" w:hAnsi="宋体" w:cs="宋体"/>
                <w:color w:val="auto"/>
                <w:sz w:val="21"/>
                <w:szCs w:val="21"/>
                <w:highlight w:val="none"/>
                <w:lang w:val="en-US" w:eastAsia="zh-CN"/>
              </w:rPr>
              <w:t>0-1</w:t>
            </w:r>
            <w:r>
              <w:rPr>
                <w:rFonts w:hint="eastAsia" w:ascii="宋体" w:hAnsi="宋体" w:cs="宋体"/>
                <w:color w:val="auto"/>
                <w:sz w:val="21"/>
                <w:szCs w:val="21"/>
                <w:highlight w:val="none"/>
              </w:rPr>
              <w:t>分；没有措施得0分。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6" w:hRule="atLeast"/>
          <w:jc w:val="center"/>
        </w:trPr>
        <w:tc>
          <w:tcPr>
            <w:tcW w:w="1124" w:type="dxa"/>
            <w:vMerge w:val="continue"/>
            <w:tcBorders>
              <w:right w:val="single" w:color="auto" w:sz="4" w:space="0"/>
            </w:tcBorders>
            <w:noWrap w:val="0"/>
            <w:vAlign w:val="center"/>
          </w:tcPr>
          <w:p>
            <w:pPr>
              <w:ind w:left="113" w:leftChars="54" w:right="141" w:rightChars="67" w:firstLine="1"/>
              <w:jc w:val="left"/>
              <w:rPr>
                <w:rFonts w:hint="eastAsia" w:ascii="宋体" w:hAnsi="宋体" w:cs="宋体"/>
                <w:color w:val="auto"/>
                <w:sz w:val="21"/>
                <w:szCs w:val="21"/>
                <w:highlight w:val="none"/>
              </w:rPr>
            </w:pPr>
          </w:p>
        </w:tc>
        <w:tc>
          <w:tcPr>
            <w:tcW w:w="1863" w:type="dxa"/>
            <w:tcBorders>
              <w:top w:val="single" w:color="auto" w:sz="4" w:space="0"/>
              <w:left w:val="single" w:color="auto" w:sz="4" w:space="0"/>
              <w:bottom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进度控制措施（</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分）</w:t>
            </w:r>
          </w:p>
        </w:tc>
        <w:tc>
          <w:tcPr>
            <w:tcW w:w="5290" w:type="dxa"/>
            <w:tcBorders>
              <w:top w:val="single" w:color="auto" w:sz="4" w:space="0"/>
              <w:left w:val="single" w:color="auto" w:sz="4" w:space="0"/>
              <w:bottom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针对本项目的特点和招标内容，提出的进度控制目标明确、方法合理可行、措施具体、针对性强。措施为优得4</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分；措施为良得</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3分;措施为一般得</w:t>
            </w:r>
            <w:r>
              <w:rPr>
                <w:rFonts w:hint="eastAsia" w:ascii="宋体" w:hAnsi="宋体" w:cs="宋体"/>
                <w:color w:val="auto"/>
                <w:sz w:val="21"/>
                <w:szCs w:val="21"/>
                <w:highlight w:val="none"/>
                <w:lang w:val="en-US" w:eastAsia="zh-CN"/>
              </w:rPr>
              <w:t>0-1</w:t>
            </w:r>
            <w:r>
              <w:rPr>
                <w:rFonts w:hint="eastAsia" w:ascii="宋体" w:hAnsi="宋体" w:cs="宋体"/>
                <w:color w:val="auto"/>
                <w:sz w:val="21"/>
                <w:szCs w:val="21"/>
                <w:highlight w:val="none"/>
              </w:rPr>
              <w:t>分；没有措施得0分。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6" w:hRule="atLeast"/>
          <w:jc w:val="center"/>
        </w:trPr>
        <w:tc>
          <w:tcPr>
            <w:tcW w:w="1124" w:type="dxa"/>
            <w:vMerge w:val="continue"/>
            <w:tcBorders>
              <w:right w:val="single" w:color="auto" w:sz="4" w:space="0"/>
            </w:tcBorders>
            <w:noWrap w:val="0"/>
            <w:vAlign w:val="center"/>
          </w:tcPr>
          <w:p>
            <w:pPr>
              <w:ind w:left="113" w:leftChars="54" w:right="141" w:rightChars="67" w:firstLine="1"/>
              <w:jc w:val="left"/>
              <w:rPr>
                <w:rFonts w:hint="eastAsia" w:ascii="宋体" w:hAnsi="宋体" w:cs="宋体"/>
                <w:color w:val="auto"/>
                <w:sz w:val="21"/>
                <w:szCs w:val="21"/>
                <w:highlight w:val="none"/>
              </w:rPr>
            </w:pPr>
          </w:p>
        </w:tc>
        <w:tc>
          <w:tcPr>
            <w:tcW w:w="1863" w:type="dxa"/>
            <w:tcBorders>
              <w:top w:val="single" w:color="auto" w:sz="4" w:space="0"/>
              <w:left w:val="single" w:color="auto" w:sz="4" w:space="0"/>
              <w:bottom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质量控制措施（</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分）</w:t>
            </w:r>
          </w:p>
        </w:tc>
        <w:tc>
          <w:tcPr>
            <w:tcW w:w="5290" w:type="dxa"/>
            <w:tcBorders>
              <w:top w:val="single" w:color="auto" w:sz="4" w:space="0"/>
              <w:left w:val="single" w:color="auto" w:sz="4" w:space="0"/>
              <w:bottom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针对本项目的特点和招标内容，提出的质量控制目标明确、方法合理可行、措施具体、针对性强。措施为优得4</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分；措施为良得</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3分;措施为一般得</w:t>
            </w:r>
            <w:r>
              <w:rPr>
                <w:rFonts w:hint="eastAsia" w:ascii="宋体" w:hAnsi="宋体" w:cs="宋体"/>
                <w:color w:val="auto"/>
                <w:sz w:val="21"/>
                <w:szCs w:val="21"/>
                <w:highlight w:val="none"/>
                <w:lang w:val="en-US" w:eastAsia="zh-CN"/>
              </w:rPr>
              <w:t>0-1</w:t>
            </w:r>
            <w:r>
              <w:rPr>
                <w:rFonts w:hint="eastAsia" w:ascii="宋体" w:hAnsi="宋体" w:cs="宋体"/>
                <w:color w:val="auto"/>
                <w:sz w:val="21"/>
                <w:szCs w:val="21"/>
                <w:highlight w:val="none"/>
              </w:rPr>
              <w:t>分；没有措施得0分。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4" w:hRule="atLeast"/>
          <w:jc w:val="center"/>
        </w:trPr>
        <w:tc>
          <w:tcPr>
            <w:tcW w:w="1124" w:type="dxa"/>
            <w:vMerge w:val="continue"/>
            <w:tcBorders>
              <w:right w:val="single" w:color="auto" w:sz="4" w:space="0"/>
            </w:tcBorders>
            <w:noWrap w:val="0"/>
            <w:vAlign w:val="center"/>
          </w:tcPr>
          <w:p>
            <w:pPr>
              <w:ind w:left="113" w:leftChars="54" w:right="141" w:rightChars="67" w:firstLine="1"/>
              <w:jc w:val="left"/>
              <w:rPr>
                <w:rFonts w:hint="eastAsia" w:ascii="宋体" w:hAnsi="宋体" w:cs="宋体"/>
                <w:color w:val="auto"/>
                <w:sz w:val="21"/>
                <w:szCs w:val="21"/>
                <w:highlight w:val="none"/>
              </w:rPr>
            </w:pPr>
          </w:p>
        </w:tc>
        <w:tc>
          <w:tcPr>
            <w:tcW w:w="1863"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ind w:left="113" w:leftChars="54" w:right="141" w:rightChars="67" w:firstLine="1"/>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安全、文明施工管理</w:t>
            </w:r>
          </w:p>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分）</w:t>
            </w:r>
          </w:p>
        </w:tc>
        <w:tc>
          <w:tcPr>
            <w:tcW w:w="5290"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针对本项目的特点和招标内容，提出的</w:t>
            </w:r>
            <w:r>
              <w:rPr>
                <w:rFonts w:hint="eastAsia" w:ascii="宋体" w:hAnsi="宋体" w:cs="宋体"/>
                <w:color w:val="auto"/>
                <w:sz w:val="21"/>
                <w:szCs w:val="21"/>
                <w:highlight w:val="none"/>
                <w:lang w:eastAsia="zh-CN"/>
              </w:rPr>
              <w:t>安全、文明施工管理</w:t>
            </w:r>
            <w:r>
              <w:rPr>
                <w:rFonts w:hint="eastAsia" w:ascii="宋体" w:hAnsi="宋体" w:cs="宋体"/>
                <w:color w:val="auto"/>
                <w:sz w:val="21"/>
                <w:szCs w:val="21"/>
                <w:highlight w:val="none"/>
              </w:rPr>
              <w:t>目标明确、方法合理可行、措施具体、针对性强。措施为优得4</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分；措施为良得</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3分;措施为一般得</w:t>
            </w:r>
            <w:r>
              <w:rPr>
                <w:rFonts w:hint="eastAsia" w:ascii="宋体" w:hAnsi="宋体" w:cs="宋体"/>
                <w:color w:val="auto"/>
                <w:sz w:val="21"/>
                <w:szCs w:val="21"/>
                <w:highlight w:val="none"/>
                <w:lang w:val="en-US" w:eastAsia="zh-CN"/>
              </w:rPr>
              <w:t>0-1</w:t>
            </w:r>
            <w:r>
              <w:rPr>
                <w:rFonts w:hint="eastAsia" w:ascii="宋体" w:hAnsi="宋体" w:cs="宋体"/>
                <w:color w:val="auto"/>
                <w:sz w:val="21"/>
                <w:szCs w:val="21"/>
                <w:highlight w:val="none"/>
              </w:rPr>
              <w:t>分；没有措施得0分。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11" w:hRule="atLeast"/>
          <w:jc w:val="center"/>
        </w:trPr>
        <w:tc>
          <w:tcPr>
            <w:tcW w:w="1124" w:type="dxa"/>
            <w:vMerge w:val="continue"/>
            <w:tcBorders>
              <w:right w:val="single" w:color="auto" w:sz="4" w:space="0"/>
            </w:tcBorders>
            <w:noWrap w:val="0"/>
            <w:vAlign w:val="center"/>
          </w:tcPr>
          <w:p>
            <w:pPr>
              <w:ind w:left="113" w:leftChars="54" w:right="141" w:rightChars="67" w:firstLine="1"/>
              <w:jc w:val="left"/>
              <w:rPr>
                <w:rFonts w:hint="eastAsia" w:ascii="宋体" w:hAnsi="宋体" w:cs="宋体"/>
                <w:color w:val="auto"/>
                <w:sz w:val="21"/>
                <w:szCs w:val="21"/>
                <w:highlight w:val="none"/>
              </w:rPr>
            </w:pPr>
          </w:p>
        </w:tc>
        <w:tc>
          <w:tcPr>
            <w:tcW w:w="1863"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ind w:left="113" w:leftChars="54" w:right="141" w:rightChars="67" w:firstLine="1"/>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重点难点监控措施</w:t>
            </w:r>
          </w:p>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分）</w:t>
            </w:r>
          </w:p>
        </w:tc>
        <w:tc>
          <w:tcPr>
            <w:tcW w:w="5290"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针对本项目的特点和招标内容、要求，针对性强、措施具体、可操作。措施为优得4</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分；措施为良得</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3分;措施为一般得</w:t>
            </w:r>
            <w:r>
              <w:rPr>
                <w:rFonts w:hint="eastAsia" w:ascii="宋体" w:hAnsi="宋体" w:cs="宋体"/>
                <w:color w:val="auto"/>
                <w:sz w:val="21"/>
                <w:szCs w:val="21"/>
                <w:highlight w:val="none"/>
                <w:lang w:val="en-US" w:eastAsia="zh-CN"/>
              </w:rPr>
              <w:t>0-1</w:t>
            </w:r>
            <w:r>
              <w:rPr>
                <w:rFonts w:hint="eastAsia" w:ascii="宋体" w:hAnsi="宋体" w:cs="宋体"/>
                <w:color w:val="auto"/>
                <w:sz w:val="21"/>
                <w:szCs w:val="21"/>
                <w:highlight w:val="none"/>
              </w:rPr>
              <w:t>分；没有措施得0分。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38" w:hRule="atLeast"/>
          <w:jc w:val="center"/>
        </w:trPr>
        <w:tc>
          <w:tcPr>
            <w:tcW w:w="1124" w:type="dxa"/>
            <w:vMerge w:val="continue"/>
            <w:tcBorders>
              <w:right w:val="single" w:color="auto" w:sz="4" w:space="0"/>
            </w:tcBorders>
            <w:noWrap w:val="0"/>
            <w:vAlign w:val="center"/>
          </w:tcPr>
          <w:p>
            <w:pPr>
              <w:ind w:left="113" w:leftChars="54" w:right="141" w:rightChars="67" w:firstLine="1"/>
              <w:jc w:val="left"/>
              <w:rPr>
                <w:rFonts w:hint="eastAsia" w:ascii="宋体" w:hAnsi="宋体" w:cs="宋体"/>
                <w:color w:val="auto"/>
                <w:sz w:val="21"/>
                <w:szCs w:val="21"/>
                <w:highlight w:val="none"/>
              </w:rPr>
            </w:pPr>
          </w:p>
        </w:tc>
        <w:tc>
          <w:tcPr>
            <w:tcW w:w="1863"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工程进度款、工程结算的管理</w:t>
            </w:r>
            <w:r>
              <w:rPr>
                <w:rFonts w:hint="eastAsia" w:ascii="宋体" w:hAnsi="宋体" w:cs="宋体"/>
                <w:color w:val="auto"/>
                <w:sz w:val="21"/>
                <w:szCs w:val="21"/>
                <w:highlight w:val="none"/>
                <w:lang w:eastAsia="zh-CN"/>
              </w:rPr>
              <w:t>措施</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分）</w:t>
            </w:r>
          </w:p>
        </w:tc>
        <w:tc>
          <w:tcPr>
            <w:tcW w:w="5290"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针对本项目的特点和招标内容，管理方法合理有效、具体</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措施为优得4</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分；措施为良得</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3分;措施为一般得</w:t>
            </w:r>
            <w:r>
              <w:rPr>
                <w:rFonts w:hint="eastAsia" w:ascii="宋体" w:hAnsi="宋体" w:cs="宋体"/>
                <w:color w:val="auto"/>
                <w:sz w:val="21"/>
                <w:szCs w:val="21"/>
                <w:highlight w:val="none"/>
                <w:lang w:val="en-US" w:eastAsia="zh-CN"/>
              </w:rPr>
              <w:t>0-1</w:t>
            </w:r>
            <w:r>
              <w:rPr>
                <w:rFonts w:hint="eastAsia" w:ascii="宋体" w:hAnsi="宋体" w:cs="宋体"/>
                <w:color w:val="auto"/>
                <w:sz w:val="21"/>
                <w:szCs w:val="21"/>
                <w:highlight w:val="none"/>
              </w:rPr>
              <w:t>分；没有措施得0分。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6" w:hRule="atLeast"/>
          <w:jc w:val="center"/>
        </w:trPr>
        <w:tc>
          <w:tcPr>
            <w:tcW w:w="2987" w:type="dxa"/>
            <w:gridSpan w:val="2"/>
            <w:tcBorders>
              <w:top w:val="single" w:color="auto" w:sz="4" w:space="0"/>
              <w:bottom w:val="single" w:color="auto" w:sz="4" w:space="0"/>
              <w:right w:val="single" w:color="auto" w:sz="4" w:space="0"/>
            </w:tcBorders>
            <w:noWrap w:val="0"/>
            <w:vAlign w:val="center"/>
          </w:tcPr>
          <w:p>
            <w:pPr>
              <w:ind w:left="113" w:leftChars="54" w:right="141" w:rightChars="67" w:firstLine="1" w:firstLineChars="0"/>
              <w:jc w:val="center"/>
              <w:rPr>
                <w:rFonts w:hint="default" w:ascii="宋体" w:hAnsi="宋体" w:cs="宋体"/>
                <w:color w:val="auto"/>
                <w:sz w:val="21"/>
                <w:szCs w:val="21"/>
                <w:highlight w:val="none"/>
                <w:lang w:val="en-US" w:eastAsia="zh-CN" w:bidi="ar-SA"/>
              </w:rPr>
            </w:pPr>
            <w:r>
              <w:rPr>
                <w:rFonts w:hint="eastAsia" w:ascii="宋体" w:hAnsi="宋体" w:cs="宋体"/>
                <w:color w:val="auto"/>
                <w:sz w:val="21"/>
                <w:szCs w:val="21"/>
                <w:highlight w:val="none"/>
              </w:rPr>
              <w:t>报价得分（</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0分）</w:t>
            </w:r>
          </w:p>
        </w:tc>
        <w:tc>
          <w:tcPr>
            <w:tcW w:w="5290"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olor w:val="auto"/>
                <w:highlight w:val="none"/>
                <w:lang w:val="en-US" w:eastAsia="zh-CN"/>
              </w:rPr>
              <w:t>1、</w:t>
            </w:r>
            <w:r>
              <w:rPr>
                <w:rFonts w:hint="eastAsia" w:ascii="宋体" w:hAnsi="宋体"/>
                <w:color w:val="auto"/>
                <w:highlight w:val="none"/>
                <w:lang w:eastAsia="zh-CN"/>
              </w:rPr>
              <w:t>统计</w:t>
            </w:r>
            <w:r>
              <w:rPr>
                <w:rFonts w:hint="eastAsia" w:ascii="宋体" w:hAnsi="宋体"/>
                <w:color w:val="auto"/>
                <w:highlight w:val="none"/>
              </w:rPr>
              <w:t>通过</w:t>
            </w:r>
            <w:r>
              <w:rPr>
                <w:rFonts w:hint="eastAsia" w:ascii="宋体" w:hAnsi="宋体"/>
                <w:color w:val="auto"/>
                <w:highlight w:val="none"/>
                <w:lang w:eastAsia="zh-CN"/>
              </w:rPr>
              <w:t>符合性</w:t>
            </w:r>
            <w:r>
              <w:rPr>
                <w:rFonts w:hint="eastAsia" w:ascii="宋体" w:hAnsi="宋体"/>
                <w:color w:val="auto"/>
                <w:highlight w:val="none"/>
              </w:rPr>
              <w:t>审查的</w:t>
            </w:r>
            <w:r>
              <w:rPr>
                <w:rFonts w:hint="eastAsia" w:ascii="宋体" w:hAnsi="宋体"/>
                <w:color w:val="auto"/>
                <w:highlight w:val="none"/>
                <w:lang w:eastAsia="zh-CN"/>
              </w:rPr>
              <w:t>投标单位数量，若数量大于</w:t>
            </w:r>
            <w:r>
              <w:rPr>
                <w:rFonts w:hint="eastAsia" w:ascii="宋体" w:hAnsi="宋体"/>
                <w:color w:val="auto"/>
                <w:highlight w:val="none"/>
                <w:lang w:val="en-US" w:eastAsia="zh-CN"/>
              </w:rPr>
              <w:t>5家，则按照投标单位的有效</w:t>
            </w:r>
            <w:r>
              <w:rPr>
                <w:rFonts w:hint="eastAsia" w:ascii="宋体" w:hAnsi="宋体"/>
                <w:color w:val="auto"/>
                <w:highlight w:val="none"/>
              </w:rPr>
              <w:t>报价中，去掉一个最高价和一个最低价后，剩余报价的算术平均值为评标</w:t>
            </w:r>
            <w:r>
              <w:rPr>
                <w:rFonts w:hint="eastAsia" w:ascii="宋体" w:hAnsi="宋体"/>
                <w:color w:val="auto"/>
                <w:highlight w:val="none"/>
                <w:lang w:eastAsia="zh-CN"/>
              </w:rPr>
              <w:t>基准价；</w:t>
            </w:r>
            <w:r>
              <w:rPr>
                <w:rFonts w:hint="eastAsia" w:ascii="宋体" w:hAnsi="宋体"/>
                <w:color w:val="auto"/>
                <w:highlight w:val="none"/>
              </w:rPr>
              <w:t>若</w:t>
            </w:r>
            <w:r>
              <w:rPr>
                <w:rFonts w:hint="eastAsia" w:ascii="宋体" w:hAnsi="宋体"/>
                <w:color w:val="auto"/>
                <w:highlight w:val="none"/>
                <w:lang w:eastAsia="zh-CN"/>
              </w:rPr>
              <w:t>数量小于</w:t>
            </w:r>
            <w:r>
              <w:rPr>
                <w:rFonts w:hint="eastAsia" w:ascii="宋体" w:hAnsi="宋体"/>
                <w:color w:val="auto"/>
                <w:highlight w:val="none"/>
                <w:lang w:val="en-US" w:eastAsia="zh-CN"/>
              </w:rPr>
              <w:t>5家（含5家）</w:t>
            </w:r>
            <w:r>
              <w:rPr>
                <w:rFonts w:hint="eastAsia" w:ascii="宋体" w:hAnsi="宋体"/>
                <w:color w:val="auto"/>
                <w:highlight w:val="none"/>
              </w:rPr>
              <w:t>，</w:t>
            </w:r>
            <w:r>
              <w:rPr>
                <w:rFonts w:hint="eastAsia" w:ascii="宋体" w:hAnsi="宋体"/>
                <w:color w:val="auto"/>
                <w:highlight w:val="none"/>
                <w:lang w:eastAsia="zh-CN"/>
              </w:rPr>
              <w:t>则</w:t>
            </w:r>
            <w:r>
              <w:rPr>
                <w:rFonts w:hint="eastAsia" w:ascii="宋体" w:hAnsi="宋体"/>
                <w:color w:val="auto"/>
                <w:highlight w:val="none"/>
              </w:rPr>
              <w:t>直接</w:t>
            </w:r>
            <w:r>
              <w:rPr>
                <w:rFonts w:hint="eastAsia" w:ascii="宋体" w:hAnsi="宋体"/>
                <w:color w:val="auto"/>
                <w:highlight w:val="none"/>
                <w:lang w:eastAsia="zh-CN"/>
              </w:rPr>
              <w:t>取</w:t>
            </w:r>
            <w:r>
              <w:rPr>
                <w:rFonts w:hint="eastAsia" w:ascii="宋体" w:hAnsi="宋体"/>
                <w:color w:val="auto"/>
                <w:highlight w:val="none"/>
                <w:lang w:val="en-US" w:eastAsia="zh-CN"/>
              </w:rPr>
              <w:t>投标单位的有效</w:t>
            </w:r>
            <w:r>
              <w:rPr>
                <w:rFonts w:hint="eastAsia" w:ascii="宋体" w:hAnsi="宋体"/>
                <w:color w:val="auto"/>
                <w:highlight w:val="none"/>
              </w:rPr>
              <w:t>报价的算术平均值为评标</w:t>
            </w:r>
            <w:r>
              <w:rPr>
                <w:rFonts w:hint="eastAsia" w:ascii="宋体" w:hAnsi="宋体"/>
                <w:color w:val="auto"/>
                <w:highlight w:val="none"/>
                <w:lang w:eastAsia="zh-CN"/>
              </w:rPr>
              <w:t>基准价</w:t>
            </w:r>
            <w:r>
              <w:rPr>
                <w:rFonts w:hint="eastAsia" w:ascii="宋体" w:hAnsi="宋体"/>
                <w:color w:val="auto"/>
                <w:highlight w:val="none"/>
              </w:rPr>
              <w:t>。</w:t>
            </w:r>
          </w:p>
          <w:p>
            <w:pPr>
              <w:ind w:left="113" w:leftChars="54" w:right="141" w:rightChars="67" w:firstLine="1" w:firstLineChars="0"/>
              <w:jc w:val="left"/>
              <w:rPr>
                <w:rFonts w:hint="eastAsia" w:ascii="宋体" w:hAnsi="宋体" w:cs="宋体"/>
                <w:color w:val="auto"/>
                <w:sz w:val="21"/>
                <w:szCs w:val="21"/>
                <w:highlight w:val="none"/>
                <w:lang w:val="en-US" w:eastAsia="zh-CN" w:bidi="ar-SA"/>
              </w:rPr>
            </w:pP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以评标</w:t>
            </w:r>
            <w:r>
              <w:rPr>
                <w:rFonts w:hint="eastAsia" w:ascii="宋体" w:hAnsi="宋体" w:cs="宋体"/>
                <w:color w:val="auto"/>
                <w:sz w:val="21"/>
                <w:szCs w:val="21"/>
                <w:highlight w:val="none"/>
                <w:lang w:eastAsia="zh-CN"/>
              </w:rPr>
              <w:t>基准价</w:t>
            </w:r>
            <w:r>
              <w:rPr>
                <w:rFonts w:hint="eastAsia" w:ascii="宋体" w:hAnsi="宋体" w:cs="宋体"/>
                <w:color w:val="auto"/>
                <w:sz w:val="21"/>
                <w:szCs w:val="21"/>
                <w:highlight w:val="none"/>
              </w:rPr>
              <w:t>作为计算各有效投标报价得分的基础，当有效投标报价等于评标基准价时得20分；有效投标报价与评标基准价相比，每上偏1%扣1分，每下偏 1 %扣 0.5分。最多扣</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0分。</w:t>
            </w:r>
          </w:p>
        </w:tc>
      </w:tr>
    </w:tbl>
    <w:p>
      <w:pPr>
        <w:snapToGrid w:val="0"/>
        <w:ind w:left="74"/>
        <w:rPr>
          <w:rFonts w:ascii="仿宋" w:hAnsi="仿宋" w:eastAsia="仿宋" w:cs="宋体"/>
          <w:color w:val="auto"/>
          <w:sz w:val="24"/>
          <w:highlight w:val="none"/>
        </w:rPr>
      </w:pPr>
    </w:p>
    <w:p>
      <w:pPr>
        <w:pStyle w:val="21"/>
        <w:spacing w:line="340" w:lineRule="exact"/>
        <w:ind w:left="0" w:leftChars="0" w:firstLine="0" w:firstLineChars="0"/>
        <w:rPr>
          <w:rFonts w:hint="eastAsia"/>
          <w:color w:val="auto"/>
          <w:sz w:val="21"/>
          <w:szCs w:val="21"/>
          <w:highlight w:val="none"/>
        </w:rPr>
      </w:pPr>
      <w:r>
        <w:rPr>
          <w:rFonts w:hint="eastAsia"/>
          <w:color w:val="auto"/>
          <w:sz w:val="21"/>
          <w:szCs w:val="21"/>
          <w:highlight w:val="none"/>
        </w:rPr>
        <w:t>说明：</w:t>
      </w:r>
    </w:p>
    <w:p>
      <w:pPr>
        <w:pStyle w:val="21"/>
        <w:spacing w:line="340" w:lineRule="exact"/>
        <w:ind w:left="0" w:leftChars="0" w:firstLine="436" w:firstLineChars="200"/>
        <w:rPr>
          <w:rFonts w:hint="eastAsia"/>
          <w:color w:val="auto"/>
          <w:sz w:val="21"/>
          <w:szCs w:val="21"/>
          <w:highlight w:val="none"/>
        </w:rPr>
      </w:pPr>
      <w:r>
        <w:rPr>
          <w:rFonts w:hint="eastAsia"/>
          <w:color w:val="auto"/>
          <w:sz w:val="21"/>
          <w:szCs w:val="21"/>
          <w:highlight w:val="none"/>
          <w:lang w:val="en-US" w:eastAsia="zh-CN"/>
        </w:rPr>
        <w:t>1、</w:t>
      </w:r>
      <w:r>
        <w:rPr>
          <w:rFonts w:hint="eastAsia"/>
          <w:color w:val="auto"/>
          <w:sz w:val="21"/>
          <w:szCs w:val="21"/>
          <w:highlight w:val="none"/>
        </w:rPr>
        <w:t>类似工程监理业绩是指招标公告第</w:t>
      </w:r>
      <w:r>
        <w:rPr>
          <w:rFonts w:hint="eastAsia"/>
          <w:color w:val="auto"/>
          <w:sz w:val="21"/>
          <w:szCs w:val="21"/>
          <w:highlight w:val="none"/>
          <w:lang w:eastAsia="zh-CN"/>
        </w:rPr>
        <w:t>七条中</w:t>
      </w:r>
      <w:r>
        <w:rPr>
          <w:rFonts w:hint="eastAsia"/>
          <w:color w:val="auto"/>
          <w:sz w:val="21"/>
          <w:szCs w:val="21"/>
          <w:highlight w:val="none"/>
        </w:rPr>
        <w:t>所述资质方能承</w:t>
      </w:r>
      <w:r>
        <w:rPr>
          <w:rFonts w:hint="eastAsia" w:ascii="Times New Roman" w:hAnsi="Times New Roman" w:eastAsia="宋体" w:cs="Times New Roman"/>
          <w:color w:val="auto"/>
          <w:sz w:val="21"/>
          <w:szCs w:val="21"/>
          <w:highlight w:val="none"/>
        </w:rPr>
        <w:t>接的</w:t>
      </w:r>
      <w:r>
        <w:rPr>
          <w:rFonts w:hint="eastAsia" w:cs="Times New Roman"/>
          <w:color w:val="auto"/>
          <w:sz w:val="21"/>
          <w:szCs w:val="21"/>
          <w:highlight w:val="none"/>
          <w:u w:val="none"/>
          <w:lang w:eastAsia="zh-CN"/>
        </w:rPr>
        <w:t>水运工程</w:t>
      </w:r>
      <w:r>
        <w:rPr>
          <w:rFonts w:hint="eastAsia" w:ascii="Times New Roman" w:hAnsi="Times New Roman" w:eastAsia="宋体" w:cs="Times New Roman"/>
          <w:color w:val="auto"/>
          <w:sz w:val="21"/>
          <w:szCs w:val="21"/>
          <w:highlight w:val="none"/>
        </w:rPr>
        <w:t>监理业绩，需同时提供中标通知书或免招标的相关证明、监理</w:t>
      </w:r>
      <w:r>
        <w:rPr>
          <w:rFonts w:hint="eastAsia"/>
          <w:color w:val="auto"/>
          <w:sz w:val="21"/>
          <w:szCs w:val="21"/>
          <w:highlight w:val="none"/>
        </w:rPr>
        <w:t>合同、竣工验收报告原件扫描件，完成时间以竣工验收报告或竣工验收证明为准。</w:t>
      </w:r>
    </w:p>
    <w:p>
      <w:pPr>
        <w:pStyle w:val="21"/>
        <w:spacing w:line="340" w:lineRule="exact"/>
        <w:ind w:left="0" w:leftChars="0" w:firstLine="436" w:firstLineChars="200"/>
        <w:rPr>
          <w:rFonts w:hint="eastAsia"/>
          <w:color w:val="auto"/>
          <w:sz w:val="21"/>
          <w:szCs w:val="21"/>
          <w:highlight w:val="none"/>
        </w:rPr>
      </w:pPr>
      <w:r>
        <w:rPr>
          <w:rFonts w:hint="eastAsia"/>
          <w:color w:val="auto"/>
          <w:sz w:val="21"/>
          <w:szCs w:val="21"/>
          <w:highlight w:val="none"/>
          <w:lang w:val="en-US" w:eastAsia="zh-CN"/>
        </w:rPr>
        <w:t>2、</w:t>
      </w:r>
      <w:r>
        <w:rPr>
          <w:rFonts w:hint="eastAsia"/>
          <w:color w:val="auto"/>
          <w:sz w:val="21"/>
          <w:szCs w:val="21"/>
          <w:highlight w:val="none"/>
        </w:rPr>
        <w:t>“A级纳税人称号”以“国家税务总局”官网（http://www.chinatax.gov.cn/index.html）查询结果为准，纳税人等级只计算投标人自身（不计算投标人的分公司和子公司）。投标人须提供在上述官网的查询结果网页截图（不符合条件或未提交上述截图的不计分）。</w:t>
      </w:r>
    </w:p>
    <w:p>
      <w:pPr>
        <w:spacing w:line="320" w:lineRule="exact"/>
        <w:ind w:firstLine="420" w:firstLineChars="200"/>
        <w:jc w:val="left"/>
        <w:rPr>
          <w:rFonts w:ascii="宋体" w:hAnsi="宋体" w:cs="宋体"/>
          <w:color w:val="auto"/>
          <w:szCs w:val="18"/>
          <w:highlight w:val="none"/>
        </w:rPr>
      </w:pPr>
      <w:r>
        <w:rPr>
          <w:rFonts w:hint="eastAsia" w:ascii="宋体" w:hAnsi="宋体" w:cs="宋体"/>
          <w:color w:val="auto"/>
          <w:szCs w:val="18"/>
          <w:highlight w:val="none"/>
          <w:lang w:val="en-US" w:eastAsia="zh-CN"/>
        </w:rPr>
        <w:t>3、</w:t>
      </w:r>
      <w:r>
        <w:rPr>
          <w:rFonts w:hint="eastAsia" w:ascii="宋体" w:hAnsi="宋体" w:cs="宋体"/>
          <w:color w:val="auto"/>
          <w:szCs w:val="21"/>
          <w:highlight w:val="none"/>
          <w:lang w:eastAsia="zh-CN"/>
        </w:rPr>
        <w:t>投标人</w:t>
      </w:r>
      <w:r>
        <w:rPr>
          <w:rFonts w:ascii="宋体" w:hAnsi="宋体" w:cs="宋体"/>
          <w:color w:val="auto"/>
          <w:szCs w:val="18"/>
          <w:highlight w:val="none"/>
        </w:rPr>
        <w:t>所提供的投入人员必须为</w:t>
      </w:r>
      <w:r>
        <w:rPr>
          <w:rFonts w:hint="eastAsia" w:ascii="宋体" w:hAnsi="宋体" w:cs="宋体"/>
          <w:color w:val="auto"/>
          <w:szCs w:val="18"/>
          <w:highlight w:val="none"/>
          <w:lang w:eastAsia="zh-CN"/>
        </w:rPr>
        <w:t>本</w:t>
      </w:r>
      <w:r>
        <w:rPr>
          <w:rFonts w:ascii="宋体" w:hAnsi="宋体" w:cs="宋体"/>
          <w:color w:val="auto"/>
          <w:szCs w:val="18"/>
          <w:highlight w:val="none"/>
        </w:rPr>
        <w:t>单位人员，以提供投标人为其购买的</w:t>
      </w:r>
      <w:r>
        <w:rPr>
          <w:rFonts w:hint="eastAsia" w:ascii="宋体" w:hAnsi="宋体" w:cs="宋体"/>
          <w:color w:val="auto"/>
          <w:szCs w:val="18"/>
          <w:highlight w:val="none"/>
        </w:rPr>
        <w:t>投标截止日前一个月（2022年</w:t>
      </w:r>
      <w:r>
        <w:rPr>
          <w:rFonts w:hint="eastAsia" w:ascii="宋体" w:hAnsi="宋体" w:cs="宋体"/>
          <w:color w:val="auto"/>
          <w:szCs w:val="18"/>
          <w:highlight w:val="none"/>
          <w:lang w:val="en-US" w:eastAsia="zh-CN"/>
        </w:rPr>
        <w:t>9</w:t>
      </w:r>
      <w:r>
        <w:rPr>
          <w:rFonts w:hint="eastAsia" w:ascii="宋体" w:hAnsi="宋体" w:cs="宋体"/>
          <w:color w:val="auto"/>
          <w:szCs w:val="18"/>
          <w:highlight w:val="none"/>
        </w:rPr>
        <w:t>月）的</w:t>
      </w:r>
      <w:r>
        <w:rPr>
          <w:rFonts w:ascii="宋体" w:hAnsi="宋体" w:cs="宋体"/>
          <w:color w:val="auto"/>
          <w:szCs w:val="18"/>
          <w:highlight w:val="none"/>
        </w:rPr>
        <w:t>社保证明为准。</w:t>
      </w:r>
      <w:r>
        <w:rPr>
          <w:rFonts w:hint="eastAsia" w:ascii="宋体" w:hAnsi="宋体" w:cs="宋体"/>
          <w:color w:val="auto"/>
          <w:szCs w:val="18"/>
          <w:highlight w:val="none"/>
          <w:lang w:eastAsia="zh-CN"/>
        </w:rPr>
        <w:t>总监理工程师</w:t>
      </w:r>
      <w:r>
        <w:rPr>
          <w:rFonts w:hint="eastAsia" w:ascii="宋体" w:hAnsi="宋体" w:cs="宋体"/>
          <w:color w:val="auto"/>
          <w:szCs w:val="18"/>
          <w:highlight w:val="none"/>
        </w:rPr>
        <w:t>、各专业负责人注册关系必须在本单位，以上注册及职称均需提供相应证明材料。</w:t>
      </w:r>
    </w:p>
    <w:p>
      <w:pPr>
        <w:snapToGrid w:val="0"/>
        <w:ind w:left="74" w:firstLine="420" w:firstLineChars="200"/>
        <w:rPr>
          <w:rFonts w:ascii="仿宋" w:hAnsi="仿宋" w:eastAsia="仿宋" w:cs="仿宋"/>
          <w:color w:val="auto"/>
          <w:szCs w:val="21"/>
          <w:highlight w:val="none"/>
        </w:rPr>
      </w:pPr>
      <w:r>
        <w:rPr>
          <w:rFonts w:hint="eastAsia" w:ascii="宋体" w:hAnsi="宋体" w:cs="宋体"/>
          <w:color w:val="auto"/>
          <w:szCs w:val="18"/>
          <w:highlight w:val="none"/>
          <w:lang w:val="en-US" w:eastAsia="zh-CN"/>
        </w:rPr>
        <w:t>4</w:t>
      </w:r>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p>
    <w:p>
      <w:pPr>
        <w:snapToGrid w:val="0"/>
        <w:ind w:left="74"/>
        <w:rPr>
          <w:rFonts w:ascii="仿宋" w:hAnsi="仿宋" w:eastAsia="仿宋" w:cs="仿宋"/>
          <w:color w:val="auto"/>
          <w:szCs w:val="21"/>
          <w:highlight w:val="none"/>
        </w:rPr>
      </w:pPr>
    </w:p>
    <w:p>
      <w:pPr>
        <w:rPr>
          <w:color w:val="auto"/>
          <w:highlight w:val="none"/>
        </w:rPr>
      </w:pPr>
      <w:r>
        <w:rPr>
          <w:rFonts w:hint="eastAsia"/>
          <w:color w:val="auto"/>
          <w:highlight w:val="none"/>
        </w:rPr>
        <w:br w:type="page"/>
      </w: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附件3：</w:t>
      </w:r>
    </w:p>
    <w:p>
      <w:pPr>
        <w:adjustRightInd w:val="0"/>
        <w:snapToGrid w:val="0"/>
        <w:spacing w:line="360" w:lineRule="auto"/>
        <w:jc w:val="center"/>
        <w:outlineLvl w:val="0"/>
        <w:rPr>
          <w:rFonts w:ascii="宋体" w:hAnsi="宋体" w:cs="宋体"/>
          <w:b/>
          <w:color w:val="auto"/>
          <w:sz w:val="28"/>
          <w:szCs w:val="28"/>
          <w:highlight w:val="none"/>
        </w:rPr>
      </w:pPr>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p>
    <w:p>
      <w:pPr>
        <w:pStyle w:val="32"/>
        <w:snapToGrid w:val="0"/>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w:t>
      </w:r>
      <w:r>
        <w:rPr>
          <w:rFonts w:hint="eastAsia" w:ascii="宋体" w:hAnsi="宋体" w:eastAsia="宋体"/>
          <w:color w:val="auto"/>
          <w:sz w:val="24"/>
          <w:szCs w:val="24"/>
          <w:highlight w:val="none"/>
          <w:u w:val="single"/>
          <w:lang w:eastAsia="zh-CN"/>
        </w:rPr>
        <w:t>广州南沙旅游发展有限公司</w:t>
      </w:r>
      <w:r>
        <w:rPr>
          <w:rFonts w:hint="eastAsia" w:ascii="宋体" w:hAnsi="宋体" w:eastAsia="宋体"/>
          <w:color w:val="auto"/>
          <w:sz w:val="24"/>
          <w:szCs w:val="24"/>
          <w:highlight w:val="none"/>
          <w:u w:val="single"/>
        </w:rPr>
        <w:t xml:space="preserve">、广州南沙建设维护管理有限公司 </w:t>
      </w:r>
    </w:p>
    <w:p>
      <w:pPr>
        <w:pStyle w:val="32"/>
        <w:snapToGrid w:val="0"/>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u w:val="single"/>
          <w:lang w:eastAsia="zh-CN"/>
        </w:rPr>
        <w:t>广州市海防教育基地项目交通渡口码头工程施工监理</w:t>
      </w:r>
      <w:r>
        <w:rPr>
          <w:rFonts w:hint="eastAsia" w:ascii="宋体" w:hAnsi="宋体" w:eastAsia="宋体"/>
          <w:color w:val="auto"/>
          <w:sz w:val="24"/>
          <w:szCs w:val="24"/>
          <w:highlight w:val="none"/>
        </w:rPr>
        <w:t>投标工作，做出郑重声明：</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四、本公司及其有隶属关系的机构没有参加本项目的招标文件编写、</w:t>
      </w:r>
      <w:r>
        <w:rPr>
          <w:rFonts w:hint="eastAsia" w:ascii="宋体" w:hAnsi="宋体" w:eastAsia="宋体"/>
          <w:color w:val="auto"/>
          <w:sz w:val="24"/>
          <w:szCs w:val="24"/>
          <w:highlight w:val="none"/>
          <w:lang w:eastAsia="zh-CN"/>
        </w:rPr>
        <w:t>设计</w:t>
      </w:r>
      <w:r>
        <w:rPr>
          <w:rFonts w:hint="eastAsia" w:ascii="宋体" w:hAnsi="宋体" w:eastAsia="宋体"/>
          <w:color w:val="auto"/>
          <w:sz w:val="24"/>
          <w:szCs w:val="24"/>
          <w:highlight w:val="none"/>
        </w:rPr>
        <w:t>工作；本公司与承担本招标项目监理业务的单位没有隶属关系或其他利害关系。</w:t>
      </w:r>
    </w:p>
    <w:p>
      <w:pPr>
        <w:pStyle w:val="32"/>
        <w:adjustRightInd w:val="0"/>
        <w:snapToGrid w:val="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33"/>
        <w:snapToGrid w:val="0"/>
        <w:ind w:left="0" w:right="0"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32"/>
        <w:snapToGrid w:val="0"/>
        <w:ind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32"/>
        <w:snapToGrid w:val="0"/>
        <w:ind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32"/>
        <w:snapToGrid w:val="0"/>
        <w:ind w:firstLine="4080" w:firstLineChars="1700"/>
        <w:jc w:val="right"/>
        <w:rPr>
          <w:color w:val="auto"/>
          <w:sz w:val="24"/>
          <w:szCs w:val="24"/>
          <w:highlight w:val="none"/>
        </w:rPr>
      </w:pPr>
    </w:p>
    <w:p>
      <w:pPr>
        <w:snapToGrid w:val="0"/>
        <w:spacing w:line="360" w:lineRule="auto"/>
        <w:jc w:val="left"/>
        <w:rPr>
          <w:rFonts w:ascii="宋体" w:hAnsi="宋体"/>
          <w:color w:val="auto"/>
          <w:sz w:val="24"/>
          <w:highlight w:val="none"/>
        </w:rPr>
      </w:pPr>
    </w:p>
    <w:p>
      <w:pPr>
        <w:pStyle w:val="7"/>
        <w:rPr>
          <w:rFonts w:hint="default"/>
          <w:color w:val="auto"/>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10" w:usb3="00000000" w:csb0="000400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61B5240C"/>
    <w:multiLevelType w:val="singleLevel"/>
    <w:tmpl w:val="61B5240C"/>
    <w:lvl w:ilvl="0" w:tentative="0">
      <w:start w:val="1"/>
      <w:numFmt w:val="decimal"/>
      <w:lvlText w:val="%1)"/>
      <w:lvlJc w:val="left"/>
      <w:pPr>
        <w:ind w:left="425" w:hanging="425"/>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JjMjg4NjNjMGQ5OWQxMjU2NzFkNWEwMzQxMDU5MzIifQ=="/>
  </w:docVars>
  <w:rsids>
    <w:rsidRoot w:val="3B6D4312"/>
    <w:rsid w:val="0002289A"/>
    <w:rsid w:val="0002557B"/>
    <w:rsid w:val="0005254F"/>
    <w:rsid w:val="000744F3"/>
    <w:rsid w:val="00085D0C"/>
    <w:rsid w:val="00090FF3"/>
    <w:rsid w:val="000B7B0A"/>
    <w:rsid w:val="000E0EC3"/>
    <w:rsid w:val="000F63F4"/>
    <w:rsid w:val="001062CA"/>
    <w:rsid w:val="00134FF9"/>
    <w:rsid w:val="001544AB"/>
    <w:rsid w:val="00164413"/>
    <w:rsid w:val="001921E8"/>
    <w:rsid w:val="001D1F1F"/>
    <w:rsid w:val="001E1021"/>
    <w:rsid w:val="001F66EC"/>
    <w:rsid w:val="002D7B13"/>
    <w:rsid w:val="003B47E8"/>
    <w:rsid w:val="003D0F57"/>
    <w:rsid w:val="0040578E"/>
    <w:rsid w:val="00456C93"/>
    <w:rsid w:val="004B2C05"/>
    <w:rsid w:val="004D6177"/>
    <w:rsid w:val="00524AD0"/>
    <w:rsid w:val="005A19E6"/>
    <w:rsid w:val="0065458C"/>
    <w:rsid w:val="0065720F"/>
    <w:rsid w:val="00697CBD"/>
    <w:rsid w:val="006A18B1"/>
    <w:rsid w:val="006D7EB2"/>
    <w:rsid w:val="007055DD"/>
    <w:rsid w:val="007309C3"/>
    <w:rsid w:val="0073767F"/>
    <w:rsid w:val="00793DB5"/>
    <w:rsid w:val="007A7407"/>
    <w:rsid w:val="007C0AF5"/>
    <w:rsid w:val="007C717F"/>
    <w:rsid w:val="007E14F9"/>
    <w:rsid w:val="007F42A9"/>
    <w:rsid w:val="00802BFD"/>
    <w:rsid w:val="0080751A"/>
    <w:rsid w:val="00841D4A"/>
    <w:rsid w:val="008F47DB"/>
    <w:rsid w:val="008F491E"/>
    <w:rsid w:val="009538E5"/>
    <w:rsid w:val="009B4E73"/>
    <w:rsid w:val="009C14AA"/>
    <w:rsid w:val="009C50DE"/>
    <w:rsid w:val="00A05D0A"/>
    <w:rsid w:val="00A14DC5"/>
    <w:rsid w:val="00A367D2"/>
    <w:rsid w:val="00A81829"/>
    <w:rsid w:val="00A920B1"/>
    <w:rsid w:val="00B11F8D"/>
    <w:rsid w:val="00B21734"/>
    <w:rsid w:val="00B96CE0"/>
    <w:rsid w:val="00BB3D24"/>
    <w:rsid w:val="00CA24DF"/>
    <w:rsid w:val="00D06D88"/>
    <w:rsid w:val="00D0796B"/>
    <w:rsid w:val="00D50CF1"/>
    <w:rsid w:val="00D650B3"/>
    <w:rsid w:val="00D85D6D"/>
    <w:rsid w:val="00DD64C1"/>
    <w:rsid w:val="00DE3299"/>
    <w:rsid w:val="00E14E87"/>
    <w:rsid w:val="00E52FD7"/>
    <w:rsid w:val="00E85F0E"/>
    <w:rsid w:val="00EC3FB8"/>
    <w:rsid w:val="00EE23EE"/>
    <w:rsid w:val="00F15754"/>
    <w:rsid w:val="00F5751A"/>
    <w:rsid w:val="00F72550"/>
    <w:rsid w:val="00FF33A0"/>
    <w:rsid w:val="00FF76D9"/>
    <w:rsid w:val="01443353"/>
    <w:rsid w:val="01583855"/>
    <w:rsid w:val="02F7533D"/>
    <w:rsid w:val="03562994"/>
    <w:rsid w:val="035A0EDE"/>
    <w:rsid w:val="03CB6D70"/>
    <w:rsid w:val="03D5206B"/>
    <w:rsid w:val="04364A4F"/>
    <w:rsid w:val="043A0F20"/>
    <w:rsid w:val="04754D24"/>
    <w:rsid w:val="04E40895"/>
    <w:rsid w:val="050B0AD1"/>
    <w:rsid w:val="051B7598"/>
    <w:rsid w:val="05577B55"/>
    <w:rsid w:val="05F56343"/>
    <w:rsid w:val="083B43B1"/>
    <w:rsid w:val="08757A2C"/>
    <w:rsid w:val="08A86F0A"/>
    <w:rsid w:val="09A667E8"/>
    <w:rsid w:val="0B093D1A"/>
    <w:rsid w:val="0B372B92"/>
    <w:rsid w:val="0C855B7E"/>
    <w:rsid w:val="0C87037B"/>
    <w:rsid w:val="0CEF0CD8"/>
    <w:rsid w:val="0E1B10A8"/>
    <w:rsid w:val="0E80564C"/>
    <w:rsid w:val="0EA03B8A"/>
    <w:rsid w:val="0EAC0C18"/>
    <w:rsid w:val="0EB25F9A"/>
    <w:rsid w:val="0F0E1360"/>
    <w:rsid w:val="0F8D0176"/>
    <w:rsid w:val="115626A3"/>
    <w:rsid w:val="12E86716"/>
    <w:rsid w:val="134D0507"/>
    <w:rsid w:val="14082F52"/>
    <w:rsid w:val="14085DAD"/>
    <w:rsid w:val="14233C6D"/>
    <w:rsid w:val="14452035"/>
    <w:rsid w:val="145B3800"/>
    <w:rsid w:val="147E4E1C"/>
    <w:rsid w:val="15B80929"/>
    <w:rsid w:val="16007AF5"/>
    <w:rsid w:val="163A203A"/>
    <w:rsid w:val="17BF20B0"/>
    <w:rsid w:val="17C17C60"/>
    <w:rsid w:val="17E977C8"/>
    <w:rsid w:val="1873680D"/>
    <w:rsid w:val="187D188E"/>
    <w:rsid w:val="18AF3306"/>
    <w:rsid w:val="18F12637"/>
    <w:rsid w:val="1922150A"/>
    <w:rsid w:val="19880595"/>
    <w:rsid w:val="1AB46DAB"/>
    <w:rsid w:val="1B6C2995"/>
    <w:rsid w:val="1BC44893"/>
    <w:rsid w:val="1BC65F54"/>
    <w:rsid w:val="1BDF2274"/>
    <w:rsid w:val="1C05708F"/>
    <w:rsid w:val="1C307374"/>
    <w:rsid w:val="1C9203A6"/>
    <w:rsid w:val="1E8832A2"/>
    <w:rsid w:val="1F1C5732"/>
    <w:rsid w:val="1F2D5E39"/>
    <w:rsid w:val="1FC2316E"/>
    <w:rsid w:val="20336A96"/>
    <w:rsid w:val="21424D60"/>
    <w:rsid w:val="220D3E3F"/>
    <w:rsid w:val="224A02E7"/>
    <w:rsid w:val="227411DF"/>
    <w:rsid w:val="22803312"/>
    <w:rsid w:val="238E7B64"/>
    <w:rsid w:val="24856237"/>
    <w:rsid w:val="24FE116D"/>
    <w:rsid w:val="25053D8A"/>
    <w:rsid w:val="25791876"/>
    <w:rsid w:val="26B94C66"/>
    <w:rsid w:val="26FF6942"/>
    <w:rsid w:val="272B74FA"/>
    <w:rsid w:val="28067A29"/>
    <w:rsid w:val="2865301D"/>
    <w:rsid w:val="28732366"/>
    <w:rsid w:val="28C86C87"/>
    <w:rsid w:val="28FB65E3"/>
    <w:rsid w:val="296119D7"/>
    <w:rsid w:val="2A97100B"/>
    <w:rsid w:val="2B401296"/>
    <w:rsid w:val="2D0635AD"/>
    <w:rsid w:val="2DDB1EBF"/>
    <w:rsid w:val="2DF963B5"/>
    <w:rsid w:val="2E6961DD"/>
    <w:rsid w:val="2EA67F31"/>
    <w:rsid w:val="2EC40C57"/>
    <w:rsid w:val="2EE433BF"/>
    <w:rsid w:val="30334755"/>
    <w:rsid w:val="309A6C96"/>
    <w:rsid w:val="311233CC"/>
    <w:rsid w:val="324A67B5"/>
    <w:rsid w:val="332E1E50"/>
    <w:rsid w:val="339B1F83"/>
    <w:rsid w:val="34375C94"/>
    <w:rsid w:val="34935BA4"/>
    <w:rsid w:val="34A264CA"/>
    <w:rsid w:val="36BA638E"/>
    <w:rsid w:val="3703456E"/>
    <w:rsid w:val="37A26BD4"/>
    <w:rsid w:val="380D685F"/>
    <w:rsid w:val="386E2C1B"/>
    <w:rsid w:val="39FC703A"/>
    <w:rsid w:val="3A4968CA"/>
    <w:rsid w:val="3B6D4312"/>
    <w:rsid w:val="3B7D5E2D"/>
    <w:rsid w:val="3BB9179A"/>
    <w:rsid w:val="3C536A33"/>
    <w:rsid w:val="3CB7521C"/>
    <w:rsid w:val="3CE76215"/>
    <w:rsid w:val="3CFF0303"/>
    <w:rsid w:val="3D7619F9"/>
    <w:rsid w:val="3D96007A"/>
    <w:rsid w:val="3E1201FF"/>
    <w:rsid w:val="3E512B11"/>
    <w:rsid w:val="3E9F1660"/>
    <w:rsid w:val="3F5F332B"/>
    <w:rsid w:val="3F8502F8"/>
    <w:rsid w:val="3FD704B2"/>
    <w:rsid w:val="3FE0447A"/>
    <w:rsid w:val="405854B3"/>
    <w:rsid w:val="409313F9"/>
    <w:rsid w:val="40CA2819"/>
    <w:rsid w:val="40F706D6"/>
    <w:rsid w:val="418C72E5"/>
    <w:rsid w:val="41EC3A6C"/>
    <w:rsid w:val="42A2655E"/>
    <w:rsid w:val="42E71D47"/>
    <w:rsid w:val="436C5E0D"/>
    <w:rsid w:val="440F6ACF"/>
    <w:rsid w:val="44631084"/>
    <w:rsid w:val="446A549B"/>
    <w:rsid w:val="44800368"/>
    <w:rsid w:val="460B5EC1"/>
    <w:rsid w:val="46871AD6"/>
    <w:rsid w:val="4735560E"/>
    <w:rsid w:val="47413F22"/>
    <w:rsid w:val="47D55FFA"/>
    <w:rsid w:val="481D5A38"/>
    <w:rsid w:val="487975A7"/>
    <w:rsid w:val="48872B1F"/>
    <w:rsid w:val="48E72086"/>
    <w:rsid w:val="494D5092"/>
    <w:rsid w:val="49732ED5"/>
    <w:rsid w:val="499917D4"/>
    <w:rsid w:val="4A1079FD"/>
    <w:rsid w:val="4A1D620C"/>
    <w:rsid w:val="4AE21D6F"/>
    <w:rsid w:val="4BC136D0"/>
    <w:rsid w:val="4C2E17B4"/>
    <w:rsid w:val="4D904DD7"/>
    <w:rsid w:val="4D9C287D"/>
    <w:rsid w:val="4DC53F66"/>
    <w:rsid w:val="4E4F4497"/>
    <w:rsid w:val="4FEA2AE8"/>
    <w:rsid w:val="50F25C6E"/>
    <w:rsid w:val="51552F81"/>
    <w:rsid w:val="51AB2104"/>
    <w:rsid w:val="52840C61"/>
    <w:rsid w:val="53427976"/>
    <w:rsid w:val="53A63423"/>
    <w:rsid w:val="53CD7A2C"/>
    <w:rsid w:val="54386D63"/>
    <w:rsid w:val="54A36172"/>
    <w:rsid w:val="54B0714A"/>
    <w:rsid w:val="54BC0EE8"/>
    <w:rsid w:val="55D41C4B"/>
    <w:rsid w:val="594F1692"/>
    <w:rsid w:val="59566C52"/>
    <w:rsid w:val="5AAF5CCA"/>
    <w:rsid w:val="5AD32383"/>
    <w:rsid w:val="5AD75A27"/>
    <w:rsid w:val="5B6E68B8"/>
    <w:rsid w:val="5B8D6C19"/>
    <w:rsid w:val="5BCE61FA"/>
    <w:rsid w:val="5C7B5930"/>
    <w:rsid w:val="5C9B134E"/>
    <w:rsid w:val="5CE91666"/>
    <w:rsid w:val="5D580334"/>
    <w:rsid w:val="5DAA1580"/>
    <w:rsid w:val="5E1A6FB5"/>
    <w:rsid w:val="5E754EC0"/>
    <w:rsid w:val="5E7A3CE2"/>
    <w:rsid w:val="5F355496"/>
    <w:rsid w:val="61A7533B"/>
    <w:rsid w:val="62B2296D"/>
    <w:rsid w:val="62C266BA"/>
    <w:rsid w:val="631A1780"/>
    <w:rsid w:val="636147EE"/>
    <w:rsid w:val="63677EFB"/>
    <w:rsid w:val="63DB6B9E"/>
    <w:rsid w:val="63F47577"/>
    <w:rsid w:val="65B441A4"/>
    <w:rsid w:val="66373494"/>
    <w:rsid w:val="66591B82"/>
    <w:rsid w:val="666176C6"/>
    <w:rsid w:val="66790C75"/>
    <w:rsid w:val="67A63985"/>
    <w:rsid w:val="686731DA"/>
    <w:rsid w:val="6898637C"/>
    <w:rsid w:val="68B16D7B"/>
    <w:rsid w:val="68BA7003"/>
    <w:rsid w:val="68C057C9"/>
    <w:rsid w:val="6AC36D45"/>
    <w:rsid w:val="6BE11926"/>
    <w:rsid w:val="6C920572"/>
    <w:rsid w:val="6D5B4E6F"/>
    <w:rsid w:val="6DC31ECB"/>
    <w:rsid w:val="6E656845"/>
    <w:rsid w:val="6EA64B45"/>
    <w:rsid w:val="6F471F5D"/>
    <w:rsid w:val="710F157A"/>
    <w:rsid w:val="718C3480"/>
    <w:rsid w:val="726F354B"/>
    <w:rsid w:val="729606F7"/>
    <w:rsid w:val="72B9765A"/>
    <w:rsid w:val="72F3401B"/>
    <w:rsid w:val="731416B4"/>
    <w:rsid w:val="73712518"/>
    <w:rsid w:val="738E7AB2"/>
    <w:rsid w:val="73972D03"/>
    <w:rsid w:val="73A54F01"/>
    <w:rsid w:val="73DF2037"/>
    <w:rsid w:val="73F47C56"/>
    <w:rsid w:val="74624F7D"/>
    <w:rsid w:val="7546516B"/>
    <w:rsid w:val="757E5780"/>
    <w:rsid w:val="75AF555B"/>
    <w:rsid w:val="76F3488A"/>
    <w:rsid w:val="77281C38"/>
    <w:rsid w:val="781828A1"/>
    <w:rsid w:val="78780B98"/>
    <w:rsid w:val="788E06C1"/>
    <w:rsid w:val="78D76423"/>
    <w:rsid w:val="79E02BD8"/>
    <w:rsid w:val="7A0E4FD1"/>
    <w:rsid w:val="7A3458D0"/>
    <w:rsid w:val="7A4B048B"/>
    <w:rsid w:val="7A96669D"/>
    <w:rsid w:val="7ACD133D"/>
    <w:rsid w:val="7B667A30"/>
    <w:rsid w:val="7B672810"/>
    <w:rsid w:val="7B681B66"/>
    <w:rsid w:val="7C6B2EC5"/>
    <w:rsid w:val="7D3B567D"/>
    <w:rsid w:val="7E300909"/>
    <w:rsid w:val="7E937282"/>
    <w:rsid w:val="7EC84C80"/>
    <w:rsid w:val="7EF55FF4"/>
    <w:rsid w:val="7F2C666B"/>
    <w:rsid w:val="7F565D1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2">
    <w:name w:val="heading 2"/>
    <w:basedOn w:val="1"/>
    <w:next w:val="1"/>
    <w:semiHidden/>
    <w:unhideWhenUsed/>
    <w:qFormat/>
    <w:uiPriority w:val="0"/>
    <w:pPr>
      <w:keepNext/>
      <w:keepLines/>
      <w:spacing w:before="260" w:after="260" w:line="413" w:lineRule="auto"/>
      <w:outlineLvl w:val="1"/>
    </w:pPr>
    <w:rPr>
      <w:rFonts w:ascii="Arial" w:hAnsi="Arial" w:eastAsia="黑体"/>
      <w:b/>
      <w:sz w:val="32"/>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adjustRightInd w:val="0"/>
      <w:spacing w:line="480" w:lineRule="atLeast"/>
      <w:ind w:firstLine="600"/>
      <w:textAlignment w:val="baseline"/>
    </w:pPr>
    <w:rPr>
      <w:rFonts w:eastAsia="仿宋_GB2312"/>
      <w:kern w:val="0"/>
      <w:sz w:val="30"/>
      <w:szCs w:val="20"/>
    </w:rPr>
  </w:style>
  <w:style w:type="paragraph" w:styleId="5">
    <w:name w:val="annotation text"/>
    <w:basedOn w:val="1"/>
    <w:semiHidden/>
    <w:unhideWhenUsed/>
    <w:qFormat/>
    <w:uiPriority w:val="0"/>
    <w:pPr>
      <w:jc w:val="left"/>
    </w:pPr>
  </w:style>
  <w:style w:type="paragraph" w:styleId="6">
    <w:name w:val="Body Text"/>
    <w:basedOn w:val="1"/>
    <w:qFormat/>
    <w:uiPriority w:val="0"/>
  </w:style>
  <w:style w:type="paragraph" w:styleId="7">
    <w:name w:val="Plain Text"/>
    <w:basedOn w:val="1"/>
    <w:next w:val="1"/>
    <w:link w:val="29"/>
    <w:qFormat/>
    <w:uiPriority w:val="0"/>
    <w:rPr>
      <w:rFonts w:hint="eastAsia" w:ascii="宋体" w:hAnsi="Courier New" w:eastAsia="宋体" w:cs="Times New Roman"/>
      <w:szCs w:val="21"/>
    </w:rPr>
  </w:style>
  <w:style w:type="paragraph" w:styleId="8">
    <w:name w:val="Balloon Text"/>
    <w:basedOn w:val="1"/>
    <w:link w:val="27"/>
    <w:qFormat/>
    <w:uiPriority w:val="0"/>
    <w:rPr>
      <w:sz w:val="18"/>
      <w:szCs w:val="18"/>
    </w:rPr>
  </w:style>
  <w:style w:type="paragraph" w:styleId="9">
    <w:name w:val="footer"/>
    <w:basedOn w:val="1"/>
    <w:link w:val="26"/>
    <w:qFormat/>
    <w:uiPriority w:val="0"/>
    <w:pPr>
      <w:tabs>
        <w:tab w:val="center" w:pos="4153"/>
        <w:tab w:val="right" w:pos="8306"/>
      </w:tabs>
      <w:snapToGrid w:val="0"/>
      <w:jc w:val="left"/>
    </w:pPr>
    <w:rPr>
      <w:sz w:val="18"/>
      <w:szCs w:val="18"/>
    </w:rPr>
  </w:style>
  <w:style w:type="paragraph" w:styleId="10">
    <w:name w:val="header"/>
    <w:basedOn w:val="1"/>
    <w:link w:val="25"/>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0"/>
    <w:rPr>
      <w:rFonts w:ascii="Times New Roman" w:hAnsi="Times New Roman" w:eastAsia="宋体" w:cs="Times New Roman"/>
      <w:szCs w:val="21"/>
    </w:rPr>
  </w:style>
  <w:style w:type="paragraph" w:styleId="12">
    <w:name w:val="Body Text First Indent"/>
    <w:basedOn w:val="6"/>
    <w:link w:val="30"/>
    <w:qFormat/>
    <w:uiPriority w:val="0"/>
    <w:pPr>
      <w:spacing w:beforeAutospacing="1" w:after="120"/>
      <w:ind w:firstLine="420"/>
    </w:pPr>
    <w:rPr>
      <w:rFonts w:ascii="Times New Roman" w:hAnsi="Times New Roman" w:eastAsia="宋体" w:cs="Times New Roman"/>
      <w:szCs w:val="21"/>
    </w:rPr>
  </w:style>
  <w:style w:type="character" w:styleId="15">
    <w:name w:val="page number"/>
    <w:basedOn w:val="14"/>
    <w:qFormat/>
    <w:uiPriority w:val="0"/>
  </w:style>
  <w:style w:type="character" w:styleId="16">
    <w:name w:val="FollowedHyperlink"/>
    <w:basedOn w:val="14"/>
    <w:qFormat/>
    <w:uiPriority w:val="0"/>
    <w:rPr>
      <w:color w:val="0000FF"/>
      <w:u w:val="single"/>
    </w:rPr>
  </w:style>
  <w:style w:type="character" w:styleId="17">
    <w:name w:val="Hyperlink"/>
    <w:basedOn w:val="14"/>
    <w:qFormat/>
    <w:uiPriority w:val="0"/>
    <w:rPr>
      <w:color w:val="0000FF"/>
      <w:u w:val="single"/>
    </w:rPr>
  </w:style>
  <w:style w:type="paragraph" w:customStyle="1" w:styleId="18">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19">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0">
    <w:name w:val="列出段落1"/>
    <w:basedOn w:val="1"/>
    <w:qFormat/>
    <w:uiPriority w:val="0"/>
    <w:pPr>
      <w:ind w:firstLine="420" w:firstLineChars="200"/>
    </w:pPr>
    <w:rPr>
      <w:rFonts w:ascii="Calibri" w:hAnsi="Calibri" w:eastAsia="宋体" w:cs="Times New Roman"/>
      <w:szCs w:val="21"/>
    </w:rPr>
  </w:style>
  <w:style w:type="paragraph" w:customStyle="1" w:styleId="21">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2">
    <w:name w:val="10"/>
    <w:basedOn w:val="14"/>
    <w:qFormat/>
    <w:uiPriority w:val="0"/>
    <w:rPr>
      <w:rFonts w:hint="default" w:ascii="Times New Roman" w:hAnsi="Times New Roman" w:cs="Times New Roman"/>
    </w:rPr>
  </w:style>
  <w:style w:type="character" w:customStyle="1" w:styleId="23">
    <w:name w:val="15"/>
    <w:basedOn w:val="14"/>
    <w:qFormat/>
    <w:uiPriority w:val="0"/>
    <w:rPr>
      <w:rFonts w:hint="default" w:ascii="Times New Roman" w:hAnsi="Times New Roman" w:cs="Times New Roman"/>
    </w:rPr>
  </w:style>
  <w:style w:type="character" w:customStyle="1" w:styleId="24">
    <w:name w:val="16"/>
    <w:basedOn w:val="14"/>
    <w:qFormat/>
    <w:uiPriority w:val="0"/>
    <w:rPr>
      <w:rFonts w:hint="default" w:ascii="Times New Roman" w:hAnsi="Times New Roman" w:cs="Times New Roman"/>
      <w:color w:val="0000FF"/>
      <w:u w:val="single"/>
    </w:rPr>
  </w:style>
  <w:style w:type="character" w:customStyle="1" w:styleId="25">
    <w:name w:val="页眉 Char"/>
    <w:basedOn w:val="14"/>
    <w:link w:val="10"/>
    <w:qFormat/>
    <w:uiPriority w:val="0"/>
    <w:rPr>
      <w:rFonts w:asciiTheme="minorHAnsi" w:hAnsiTheme="minorHAnsi" w:eastAsiaTheme="minorEastAsia" w:cstheme="minorBidi"/>
      <w:kern w:val="2"/>
      <w:sz w:val="18"/>
      <w:szCs w:val="18"/>
    </w:rPr>
  </w:style>
  <w:style w:type="character" w:customStyle="1" w:styleId="26">
    <w:name w:val="页脚 Char"/>
    <w:basedOn w:val="14"/>
    <w:link w:val="9"/>
    <w:qFormat/>
    <w:uiPriority w:val="0"/>
    <w:rPr>
      <w:rFonts w:asciiTheme="minorHAnsi" w:hAnsiTheme="minorHAnsi" w:eastAsiaTheme="minorEastAsia" w:cstheme="minorBidi"/>
      <w:kern w:val="2"/>
      <w:sz w:val="18"/>
      <w:szCs w:val="18"/>
    </w:rPr>
  </w:style>
  <w:style w:type="character" w:customStyle="1" w:styleId="27">
    <w:name w:val="批注框文本 Char"/>
    <w:basedOn w:val="14"/>
    <w:link w:val="8"/>
    <w:qFormat/>
    <w:uiPriority w:val="0"/>
    <w:rPr>
      <w:rFonts w:asciiTheme="minorHAnsi" w:hAnsiTheme="minorHAnsi" w:eastAsiaTheme="minorEastAsia" w:cstheme="minorBidi"/>
      <w:kern w:val="2"/>
      <w:sz w:val="18"/>
      <w:szCs w:val="18"/>
    </w:rPr>
  </w:style>
  <w:style w:type="paragraph" w:customStyle="1" w:styleId="28">
    <w:name w:val="WPSOffice手动目录 1"/>
    <w:qFormat/>
    <w:uiPriority w:val="0"/>
    <w:rPr>
      <w:rFonts w:ascii="Times New Roman" w:hAnsi="Times New Roman" w:eastAsia="宋体" w:cs="Times New Roman"/>
      <w:lang w:val="en-US" w:eastAsia="zh-CN" w:bidi="ar-SA"/>
    </w:rPr>
  </w:style>
  <w:style w:type="character" w:customStyle="1" w:styleId="29">
    <w:name w:val="纯文本 Char"/>
    <w:link w:val="7"/>
    <w:qFormat/>
    <w:uiPriority w:val="0"/>
    <w:rPr>
      <w:rFonts w:ascii="宋体" w:hAnsi="Courier New"/>
      <w:kern w:val="2"/>
      <w:sz w:val="21"/>
      <w:szCs w:val="21"/>
    </w:rPr>
  </w:style>
  <w:style w:type="character" w:customStyle="1" w:styleId="30">
    <w:name w:val="正文首行缩进 Char"/>
    <w:basedOn w:val="14"/>
    <w:link w:val="12"/>
    <w:qFormat/>
    <w:uiPriority w:val="0"/>
    <w:rPr>
      <w:kern w:val="2"/>
      <w:sz w:val="21"/>
      <w:szCs w:val="21"/>
    </w:rPr>
  </w:style>
  <w:style w:type="paragraph" w:styleId="31">
    <w:name w:val="List Paragraph"/>
    <w:basedOn w:val="1"/>
    <w:unhideWhenUsed/>
    <w:qFormat/>
    <w:uiPriority w:val="99"/>
    <w:pPr>
      <w:ind w:firstLine="420" w:firstLineChars="200"/>
    </w:pPr>
  </w:style>
  <w:style w:type="paragraph" w:customStyle="1" w:styleId="32">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3">
    <w:name w:val="发文落款"/>
    <w:basedOn w:val="32"/>
    <w:qFormat/>
    <w:uiPriority w:val="0"/>
    <w:pPr>
      <w:ind w:left="4094" w:right="607" w:firstLine="0"/>
      <w:jc w:val="center"/>
    </w:pPr>
  </w:style>
  <w:style w:type="paragraph" w:customStyle="1" w:styleId="34">
    <w:name w:val="样式 小四 行距: 1.5 倍行距"/>
    <w:basedOn w:val="1"/>
    <w:qFormat/>
    <w:uiPriority w:val="0"/>
    <w:pPr>
      <w:ind w:firstLine="480"/>
    </w:pPr>
    <w:rPr>
      <w:rFonts w:cs="宋体"/>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AEE305-43BA-46E1-85F4-564A5F93B79E}">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40</Pages>
  <Words>15494</Words>
  <Characters>16335</Characters>
  <Lines>139</Lines>
  <Paragraphs>39</Paragraphs>
  <TotalTime>3</TotalTime>
  <ScaleCrop>false</ScaleCrop>
  <LinksUpToDate>false</LinksUpToDate>
  <CharactersWithSpaces>17201</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2022-07-22T06:29:00Z</dcterms:created>
  <dc:creator>李晓晨</dc:creator>
  <cp:lastModifiedBy>Lenovo</cp:lastModifiedBy>
  <cp:lastPrinted>2020-07-23T07:52:00Z</cp:lastPrinted>
  <dcterms:modified xsi:type="dcterms:W3CDTF">2022-10-17T08:18:33Z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34A582031BBD4A8392FE98AAD5F97DA6</vt:lpwstr>
  </property>
</Properties>
</file>