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eastAsia="zh-CN"/>
        </w:rPr>
        <w:t>新建天后宫景区停车场项目施工总承包</w:t>
      </w:r>
    </w:p>
    <w:p>
      <w:pPr>
        <w:rPr>
          <w:rFonts w:ascii="宋体" w:hAnsi="宋体" w:eastAsia="宋体" w:cs="宋体"/>
          <w:color w:val="auto"/>
          <w:sz w:val="72"/>
          <w:szCs w:val="72"/>
          <w:highlight w:val="none"/>
        </w:rPr>
      </w:pP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广州南沙旅游发展有限公司</w:t>
      </w:r>
      <w:r>
        <w:rPr>
          <w:rFonts w:hint="eastAsia" w:ascii="宋体" w:hAnsi="宋体" w:eastAsia="宋体" w:cs="宋体"/>
          <w:b/>
          <w:color w:val="auto"/>
          <w:sz w:val="32"/>
          <w:szCs w:val="32"/>
          <w:highlight w:val="none"/>
        </w:rPr>
        <w:t>（业主单位）</w:t>
      </w:r>
    </w:p>
    <w:p>
      <w:pPr>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期：2022年</w:t>
      </w:r>
      <w:r>
        <w:rPr>
          <w:rFonts w:hint="eastAsia" w:ascii="宋体" w:hAnsi="宋体" w:eastAsia="宋体" w:cs="宋体"/>
          <w:b/>
          <w:color w:val="auto"/>
          <w:sz w:val="32"/>
          <w:szCs w:val="32"/>
          <w:highlight w:val="none"/>
          <w:lang w:val="en-US" w:eastAsia="zh-CN"/>
        </w:rPr>
        <w:t>10月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"_Toc12170" </w:instrText>
          </w:r>
          <w:r>
            <w:rPr>
              <w:color w:val="auto"/>
              <w:highlight w:val="none"/>
            </w:rPr>
            <w:fldChar w:fldCharType="separate"/>
          </w:r>
          <w:r>
            <w:rPr>
              <w:rFonts w:hint="eastAsia" w:asciiTheme="minorEastAsia" w:hAnsiTheme="minorEastAsia" w:eastAsiaTheme="minorEastAsia" w:cstheme="minorEastAsia"/>
              <w:color w:val="auto"/>
              <w:sz w:val="24"/>
              <w:szCs w:val="24"/>
              <w:highlight w:val="none"/>
            </w:rPr>
            <w:t>附件1：符合性审查表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_Toc12170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39</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"_Toc18783" </w:instrText>
          </w:r>
          <w:r>
            <w:rPr>
              <w:color w:val="auto"/>
              <w:highlight w:val="none"/>
            </w:rPr>
            <w:fldChar w:fldCharType="separate"/>
          </w:r>
          <w:r>
            <w:rPr>
              <w:rFonts w:hint="eastAsia" w:asciiTheme="minorEastAsia" w:hAnsiTheme="minorEastAsia" w:eastAsiaTheme="minorEastAsia" w:cstheme="minorEastAsia"/>
              <w:color w:val="auto"/>
              <w:sz w:val="24"/>
              <w:szCs w:val="24"/>
              <w:highlight w:val="none"/>
            </w:rPr>
            <w:t>附件2综合评分表（100分）</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_Toc18783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39</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14"/>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13302"/>
      <w:bookmarkStart w:id="3" w:name="_Toc374128472"/>
      <w:r>
        <w:rPr>
          <w:rFonts w:hint="eastAsia" w:ascii="黑体" w:hAnsi="宋体" w:cs="黑体"/>
          <w:b/>
          <w:color w:val="auto"/>
          <w:kern w:val="44"/>
          <w:sz w:val="44"/>
          <w:szCs w:val="44"/>
          <w:highlight w:val="none"/>
        </w:rPr>
        <w:t>第1章 投标须知及前附表</w:t>
      </w:r>
      <w:bookmarkEnd w:id="2"/>
      <w:bookmarkEnd w:id="3"/>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5"/>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cs="宋体"/>
                <w:color w:val="auto"/>
                <w:highlight w:val="none"/>
                <w:u w:val="none"/>
                <w:lang w:eastAsia="zh-CN"/>
              </w:rPr>
              <w:t>新建天后宫景区停车场项目</w:t>
            </w:r>
            <w:r>
              <w:rPr>
                <w:rFonts w:hint="eastAsia" w:ascii="宋体" w:hAnsi="宋体" w:eastAsia="宋体" w:cs="宋体"/>
                <w:color w:val="auto"/>
                <w:highlight w:val="none"/>
                <w:u w:val="none"/>
                <w:lang w:eastAsia="zh-CN"/>
              </w:rPr>
              <w:t>施工总承包</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w:t>
            </w:r>
          </w:p>
          <w:p>
            <w:pPr>
              <w:pStyle w:val="14"/>
              <w:widowControl/>
              <w:spacing w:after="0" w:line="440" w:lineRule="exact"/>
              <w:ind w:firstLine="0"/>
              <w:jc w:val="center"/>
              <w:rPr>
                <w:rFonts w:ascii="宋体" w:hAnsi="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广州市南沙区</w:t>
            </w:r>
            <w:r>
              <w:rPr>
                <w:rFonts w:hint="eastAsia" w:ascii="宋体" w:hAnsi="宋体" w:cs="宋体"/>
                <w:color w:val="auto"/>
                <w:highlight w:val="none"/>
                <w:u w:val="none"/>
                <w:lang w:eastAsia="zh-CN"/>
              </w:rPr>
              <w:t>天后宫景区内</w:t>
            </w:r>
          </w:p>
        </w:tc>
      </w:tr>
      <w:tr>
        <w:tblPrEx>
          <w:tblCellMar>
            <w:top w:w="0" w:type="dxa"/>
            <w:left w:w="108" w:type="dxa"/>
            <w:bottom w:w="0" w:type="dxa"/>
            <w:right w:w="108" w:type="dxa"/>
          </w:tblCellMar>
        </w:tblPrEx>
        <w:trPr>
          <w:trHeight w:val="395"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cs="宋体"/>
                <w:color w:val="auto"/>
                <w:highlight w:val="none"/>
                <w:u w:val="none"/>
                <w:lang w:eastAsia="zh-CN"/>
              </w:rPr>
            </w:pPr>
            <w:r>
              <w:rPr>
                <w:rFonts w:hint="eastAsia" w:ascii="宋体" w:hAnsi="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lang w:val="en-US" w:eastAsia="zh-CN"/>
              </w:rPr>
              <w:t>为解决南沙天后宫景区停车位不足问题，改善天后路交通拥堵情况，从而满足游客日益增长的停车位需求，提升景区形象，提高景区收入，拟利用</w:t>
            </w:r>
            <w:r>
              <w:rPr>
                <w:rFonts w:hint="eastAsia" w:ascii="宋体" w:hAnsi="宋体" w:eastAsia="宋体" w:cs="宋体"/>
                <w:b w:val="0"/>
                <w:bCs w:val="0"/>
                <w:i w:val="0"/>
                <w:caps w:val="0"/>
                <w:color w:val="auto"/>
                <w:spacing w:val="0"/>
                <w:w w:val="100"/>
                <w:sz w:val="21"/>
                <w:szCs w:val="21"/>
                <w:highlight w:val="none"/>
                <w:u w:val="none"/>
                <w:lang w:eastAsia="zh-CN"/>
              </w:rPr>
              <w:t>天后</w:t>
            </w:r>
            <w:r>
              <w:rPr>
                <w:rFonts w:hint="eastAsia" w:ascii="宋体" w:hAnsi="宋体" w:eastAsia="宋体" w:cs="宋体"/>
                <w:b w:val="0"/>
                <w:bCs w:val="0"/>
                <w:i w:val="0"/>
                <w:caps w:val="0"/>
                <w:color w:val="auto"/>
                <w:spacing w:val="0"/>
                <w:w w:val="100"/>
                <w:sz w:val="21"/>
                <w:szCs w:val="21"/>
                <w:highlight w:val="none"/>
                <w:u w:val="none"/>
              </w:rPr>
              <w:t>学会大楼</w:t>
            </w:r>
            <w:r>
              <w:rPr>
                <w:rFonts w:hint="eastAsia" w:ascii="宋体" w:hAnsi="宋体" w:eastAsia="宋体" w:cs="宋体"/>
                <w:color w:val="auto"/>
                <w:sz w:val="21"/>
                <w:szCs w:val="21"/>
                <w:highlight w:val="none"/>
                <w:u w:val="none"/>
                <w:lang w:val="en-US" w:eastAsia="zh-CN"/>
              </w:rPr>
              <w:t>西北侧地块新建停车场，占地面积约5000平方米</w:t>
            </w:r>
            <w:r>
              <w:rPr>
                <w:rFonts w:hint="eastAsia" w:ascii="宋体" w:hAnsi="宋体" w:eastAsia="宋体" w:cs="宋体"/>
                <w:color w:val="auto"/>
                <w:sz w:val="21"/>
                <w:szCs w:val="21"/>
                <w:highlight w:val="none"/>
                <w:u w:val="none"/>
                <w:shd w:val="clear"/>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bCs w:val="0"/>
                <w:color w:val="auto"/>
                <w:sz w:val="21"/>
                <w:szCs w:val="21"/>
                <w:highlight w:val="none"/>
                <w:u w:val="none"/>
                <w:lang w:eastAsia="zh-CN"/>
              </w:rPr>
              <w:t>固定综合单价包干，工程量按实结算，绿色施工安全防护措施费总价包干。</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eastAsia="宋体" w:cs="宋体"/>
                <w:color w:val="auto"/>
                <w:sz w:val="21"/>
                <w:szCs w:val="21"/>
                <w:highlight w:val="none"/>
                <w:u w:val="none"/>
                <w:lang w:val="en-US" w:eastAsia="zh-CN"/>
              </w:rPr>
              <w:t>180</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合格</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0"/>
              <w:spacing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rPr>
              <w:t>招标图纸及工程量清单范围内施工专业承包（承包人需按发包人要求施工，根据现场实际情况施工，设计图纸有调整时，必须服从要求调整）</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2022年12月20日前完工。</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具有承接本工程所需的市政公用工程施工总承包三级或以上级别施工总承包资质</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服务人员的专业配套要求</w:t>
            </w:r>
          </w:p>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spacing w:line="360" w:lineRule="auto"/>
              <w:ind w:firstLine="0" w:firstLineChars="0"/>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1</w:t>
            </w:r>
            <w:r>
              <w:rPr>
                <w:rFonts w:hint="eastAsia" w:ascii="宋体" w:hAnsi="宋体" w:eastAsia="宋体" w:cs="宋体"/>
                <w:color w:val="auto"/>
                <w:sz w:val="21"/>
                <w:szCs w:val="21"/>
                <w:highlight w:val="none"/>
                <w:u w:val="none"/>
              </w:rPr>
              <w:t>、投标</w:t>
            </w:r>
            <w:r>
              <w:rPr>
                <w:rFonts w:hint="eastAsia" w:ascii="宋体" w:hAnsi="宋体" w:eastAsia="宋体" w:cs="宋体"/>
                <w:color w:val="auto"/>
                <w:sz w:val="21"/>
                <w:szCs w:val="21"/>
                <w:highlight w:val="none"/>
                <w:u w:val="none"/>
                <w:lang w:eastAsia="zh-CN"/>
              </w:rPr>
              <w:t>人</w:t>
            </w:r>
            <w:r>
              <w:rPr>
                <w:rFonts w:hint="eastAsia" w:ascii="宋体" w:hAnsi="宋体" w:eastAsia="宋体" w:cs="宋体"/>
                <w:color w:val="auto"/>
                <w:sz w:val="21"/>
                <w:szCs w:val="21"/>
                <w:highlight w:val="none"/>
                <w:u w:val="none"/>
              </w:rPr>
              <w:t>委派的项目负责人</w:t>
            </w:r>
            <w:r>
              <w:rPr>
                <w:rFonts w:hint="eastAsia" w:ascii="宋体" w:hAnsi="宋体" w:eastAsia="宋体" w:cs="宋体"/>
                <w:color w:val="auto"/>
                <w:sz w:val="21"/>
                <w:szCs w:val="21"/>
                <w:highlight w:val="none"/>
                <w:u w:val="none"/>
                <w:lang w:eastAsia="zh-CN"/>
              </w:rPr>
              <w:t>为：</w:t>
            </w:r>
            <w:r>
              <w:rPr>
                <w:rFonts w:hint="eastAsia" w:ascii="宋体" w:hAnsi="宋体" w:eastAsia="宋体" w:cs="宋体"/>
                <w:color w:val="auto"/>
                <w:sz w:val="21"/>
                <w:szCs w:val="21"/>
                <w:highlight w:val="none"/>
                <w:u w:val="none"/>
              </w:rPr>
              <w:t>市政公用工程专业二级或以上级别的注册建造师</w:t>
            </w:r>
            <w:r>
              <w:rPr>
                <w:rFonts w:hint="eastAsia" w:ascii="宋体" w:hAnsi="宋体" w:eastAsia="宋体" w:cs="宋体"/>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项目负责人</w:t>
            </w:r>
            <w:r>
              <w:rPr>
                <w:rFonts w:hint="eastAsia" w:ascii="宋体" w:hAnsi="宋体" w:eastAsia="宋体" w:cs="宋体"/>
                <w:color w:val="auto"/>
                <w:sz w:val="21"/>
                <w:szCs w:val="21"/>
                <w:highlight w:val="none"/>
                <w:u w:val="none"/>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u w:val="none"/>
              </w:rPr>
              <w:t>。</w:t>
            </w:r>
          </w:p>
          <w:p>
            <w:pPr>
              <w:widowControl w:val="0"/>
              <w:spacing w:line="360" w:lineRule="auto"/>
              <w:ind w:firstLine="0" w:firstLineChars="0"/>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2、投标人委派的技术负责人具有</w:t>
            </w:r>
            <w:r>
              <w:rPr>
                <w:rFonts w:hint="eastAsia" w:ascii="宋体" w:hAnsi="宋体" w:eastAsia="宋体" w:cs="宋体"/>
                <w:color w:val="auto"/>
                <w:sz w:val="21"/>
                <w:szCs w:val="21"/>
                <w:highlight w:val="none"/>
                <w:u w:val="none"/>
              </w:rPr>
              <w:t>市政公用工程专业</w:t>
            </w:r>
            <w:r>
              <w:rPr>
                <w:rFonts w:hint="eastAsia" w:ascii="宋体" w:hAnsi="宋体" w:eastAsia="宋体" w:cs="宋体"/>
                <w:color w:val="auto"/>
                <w:sz w:val="21"/>
                <w:szCs w:val="21"/>
                <w:highlight w:val="none"/>
                <w:u w:val="none"/>
                <w:lang w:val="en-US" w:eastAsia="zh-CN"/>
              </w:rPr>
              <w:t>中级工程师或以上职称。技术负责人与项目负责人不能为同一人。</w:t>
            </w:r>
          </w:p>
          <w:p>
            <w:pPr>
              <w:widowControl w:val="0"/>
              <w:spacing w:line="360" w:lineRule="auto"/>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b w:val="0"/>
                <w:bCs w:val="0"/>
                <w:color w:val="auto"/>
                <w:sz w:val="21"/>
                <w:szCs w:val="21"/>
                <w:highlight w:val="none"/>
                <w:u w:val="none"/>
              </w:rPr>
              <w:t>专职安全员须具有</w:t>
            </w:r>
            <w:r>
              <w:rPr>
                <w:rFonts w:hint="eastAsia" w:ascii="宋体" w:hAnsi="宋体" w:eastAsia="宋体" w:cs="宋体"/>
                <w:color w:val="auto"/>
                <w:sz w:val="21"/>
                <w:szCs w:val="21"/>
                <w:highlight w:val="none"/>
                <w:u w:val="none"/>
              </w:rPr>
              <w:t>安全生产考核合格证（C类）</w:t>
            </w:r>
            <w:r>
              <w:rPr>
                <w:rFonts w:hint="eastAsia" w:ascii="宋体" w:hAnsi="宋体" w:eastAsia="宋体" w:cs="宋体"/>
                <w:color w:val="auto"/>
                <w:kern w:val="2"/>
                <w:sz w:val="21"/>
                <w:szCs w:val="21"/>
                <w:highlight w:val="none"/>
                <w:u w:val="none"/>
              </w:rPr>
              <w:t>或建筑施工企业专职安全生产管理人员安全生产考核合格证书</w:t>
            </w:r>
            <w:r>
              <w:rPr>
                <w:rFonts w:hint="eastAsia" w:ascii="宋体" w:hAnsi="宋体" w:eastAsia="宋体" w:cs="宋体"/>
                <w:b w:val="0"/>
                <w:bCs w:val="0"/>
                <w:color w:val="auto"/>
                <w:sz w:val="21"/>
                <w:szCs w:val="21"/>
                <w:highlight w:val="none"/>
                <w:u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Autospacing="0" w:after="0"/>
              <w:ind w:firstLine="0"/>
              <w:jc w:val="center"/>
              <w:rPr>
                <w:rFonts w:ascii="宋体" w:hAnsi="宋体" w:cs="宋体"/>
                <w:color w:val="auto"/>
                <w:highlight w:val="none"/>
              </w:rPr>
            </w:pPr>
            <w:r>
              <w:rPr>
                <w:rFonts w:hint="eastAsia" w:ascii="宋体" w:hAnsi="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Autospacing="0" w:after="0"/>
              <w:ind w:left="-59" w:leftChars="-28" w:right="-59" w:rightChars="-28"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招标控制价为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b w:val="0"/>
                <w:bCs w:val="0"/>
                <w:color w:val="auto"/>
                <w:sz w:val="21"/>
                <w:szCs w:val="21"/>
                <w:highlight w:val="none"/>
                <w:u w:val="none"/>
                <w:lang w:val="en-US" w:eastAsia="zh-CN"/>
              </w:rPr>
              <w:t>1380255.40</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u w:val="none"/>
                <w:lang w:eastAsia="zh-CN"/>
              </w:rPr>
              <w:t>（大写：人民币</w:t>
            </w:r>
            <w:r>
              <w:rPr>
                <w:rFonts w:hint="eastAsia" w:ascii="宋体" w:hAnsi="宋体" w:eastAsia="宋体" w:cs="宋体"/>
                <w:color w:val="auto"/>
                <w:sz w:val="21"/>
                <w:szCs w:val="21"/>
                <w:highlight w:val="none"/>
                <w:u w:val="none"/>
                <w:lang w:val="en-US" w:eastAsia="zh-CN"/>
              </w:rPr>
              <w:t>壹佰叁拾捌万零贰佰伍拾伍元肆角零分</w:t>
            </w:r>
            <w:r>
              <w:rPr>
                <w:rFonts w:hint="eastAsia" w:ascii="宋体" w:hAnsi="宋体" w:eastAsia="宋体" w:cs="宋体"/>
                <w:color w:val="auto"/>
                <w:sz w:val="21"/>
                <w:szCs w:val="21"/>
                <w:highlight w:val="none"/>
                <w:u w:val="none"/>
                <w:lang w:eastAsia="zh-CN"/>
              </w:rPr>
              <w:t>），其中，</w:t>
            </w:r>
            <w:r>
              <w:rPr>
                <w:rFonts w:hint="eastAsia" w:ascii="宋体" w:hAnsi="宋体" w:eastAsia="宋体" w:cs="宋体"/>
                <w:bCs w:val="0"/>
                <w:color w:val="auto"/>
                <w:sz w:val="21"/>
                <w:szCs w:val="21"/>
                <w:highlight w:val="none"/>
                <w:u w:val="none"/>
                <w:lang w:eastAsia="zh-CN"/>
              </w:rPr>
              <w:t>绿色施工安全防护措施费为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bCs w:val="0"/>
                <w:color w:val="auto"/>
                <w:sz w:val="21"/>
                <w:szCs w:val="21"/>
                <w:highlight w:val="none"/>
                <w:u w:val="none"/>
                <w:lang w:val="en-US" w:eastAsia="zh-CN"/>
              </w:rPr>
              <w:t>78461.28元（固定值）</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kern w:val="2"/>
                <w:sz w:val="21"/>
                <w:szCs w:val="21"/>
                <w:highlight w:val="none"/>
                <w:u w:val="none"/>
                <w:lang w:val="en-US" w:eastAsia="zh-CN" w:bidi="ar-SA"/>
              </w:rPr>
              <w:t>投标单位自行报价，投标总报价不能超过招标控制价，否则按废标处理）。（小数点后保留二位小数，第三位小数四舍五入）</w:t>
            </w:r>
          </w:p>
          <w:p>
            <w:pPr>
              <w:pStyle w:val="9"/>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结算方式：固定综合单价包干，工程量按实结算，绿色施工安全防护措施费总价包干。</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1、金额：人民币</w:t>
            </w:r>
            <w:r>
              <w:rPr>
                <w:rFonts w:hint="eastAsia" w:asciiTheme="minorEastAsia" w:hAnsiTheme="minorEastAsia" w:eastAsiaTheme="minorEastAsia"/>
                <w:color w:val="auto"/>
                <w:sz w:val="21"/>
                <w:szCs w:val="21"/>
                <w:highlight w:val="none"/>
                <w:u w:val="single"/>
              </w:rPr>
              <w:t>壹</w:t>
            </w:r>
            <w:r>
              <w:rPr>
                <w:rFonts w:hint="eastAsia" w:asciiTheme="minorEastAsia" w:hAnsiTheme="minorEastAsia" w:eastAsiaTheme="minorEastAsia"/>
                <w:color w:val="auto"/>
                <w:sz w:val="21"/>
                <w:szCs w:val="21"/>
                <w:highlight w:val="none"/>
              </w:rPr>
              <w:t>万元。</w:t>
            </w:r>
          </w:p>
          <w:p>
            <w:pPr>
              <w:numPr>
                <w:ilvl w:val="-1"/>
                <w:numId w:val="0"/>
              </w:numPr>
              <w:adjustRightInd w:val="0"/>
              <w:snapToGrid w:val="0"/>
              <w:spacing w:line="360" w:lineRule="auto"/>
              <w:rPr>
                <w:rFonts w:hint="eastAsia" w:asciiTheme="minorEastAsia" w:hAnsiTheme="minorEastAsia" w:eastAsiaTheme="minorEastAsia"/>
                <w:color w:val="auto"/>
                <w:sz w:val="21"/>
                <w:szCs w:val="21"/>
                <w:highlight w:val="none"/>
                <w:lang w:eastAsia="zh-CN"/>
              </w:rPr>
            </w:pPr>
            <w:r>
              <w:rPr>
                <w:rFonts w:hint="eastAsia" w:asciiTheme="minorEastAsia" w:hAnsiTheme="minorEastAsia" w:eastAsiaTheme="minorEastAsia"/>
                <w:color w:val="auto"/>
                <w:sz w:val="21"/>
                <w:szCs w:val="21"/>
                <w:highlight w:val="none"/>
              </w:rPr>
              <w:t>2、缴纳方式：</w:t>
            </w:r>
            <w:r>
              <w:rPr>
                <w:rFonts w:hint="eastAsia" w:asciiTheme="minorEastAsia" w:hAnsiTheme="minorEastAsia"/>
                <w:color w:val="auto"/>
                <w:sz w:val="21"/>
                <w:szCs w:val="21"/>
                <w:highlight w:val="none"/>
                <w:lang w:eastAsia="zh-CN"/>
              </w:rPr>
              <w:t>银行转账。</w:t>
            </w:r>
          </w:p>
          <w:p>
            <w:pPr>
              <w:numPr>
                <w:ilvl w:val="-1"/>
                <w:numId w:val="0"/>
              </w:numPr>
              <w:adjustRightInd w:val="0"/>
              <w:spacing w:line="360" w:lineRule="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账户名称：</w:t>
            </w:r>
            <w:r>
              <w:rPr>
                <w:rFonts w:ascii="宋体" w:hAnsi="宋体" w:cs="宋体"/>
                <w:color w:val="auto"/>
                <w:sz w:val="21"/>
                <w:szCs w:val="21"/>
                <w:highlight w:val="none"/>
              </w:rPr>
              <w:t>广州南沙建设维护管理有限公司</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color w:val="auto"/>
                <w:sz w:val="21"/>
                <w:szCs w:val="21"/>
                <w:highlight w:val="none"/>
              </w:rPr>
              <w:t>开户银行：</w:t>
            </w:r>
            <w:r>
              <w:rPr>
                <w:rFonts w:ascii="宋体" w:hAnsi="宋体" w:cs="宋体"/>
                <w:color w:val="auto"/>
                <w:sz w:val="21"/>
                <w:szCs w:val="21"/>
                <w:highlight w:val="none"/>
              </w:rPr>
              <w:t>中国工商银行广东自由贸易试验区南沙分行</w:t>
            </w:r>
            <w:r>
              <w:rPr>
                <w:rFonts w:hint="eastAsia" w:ascii="宋体" w:hAnsi="宋体" w:cs="宋体"/>
                <w:color w:val="auto"/>
                <w:sz w:val="21"/>
                <w:szCs w:val="21"/>
                <w:highlight w:val="none"/>
                <w:lang w:val="en-US" w:eastAsia="zh-CN"/>
              </w:rPr>
              <w:t xml:space="preserve"> </w:t>
            </w:r>
          </w:p>
          <w:p>
            <w:pPr>
              <w:numPr>
                <w:ilvl w:val="-1"/>
                <w:numId w:val="0"/>
              </w:numPr>
              <w:adjustRightInd w:val="0"/>
              <w:spacing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rPr>
              <w:t>账号：</w:t>
            </w:r>
            <w:r>
              <w:rPr>
                <w:rFonts w:ascii="宋体" w:hAnsi="宋体" w:cs="宋体"/>
                <w:color w:val="auto"/>
                <w:sz w:val="21"/>
                <w:szCs w:val="21"/>
                <w:highlight w:val="none"/>
              </w:rPr>
              <w:t>3602056909200030855</w:t>
            </w:r>
          </w:p>
          <w:p>
            <w:pPr>
              <w:numPr>
                <w:ilvl w:val="0"/>
                <w:numId w:val="1"/>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Theme="minorEastAsia" w:hAnsiTheme="minorEastAsia" w:eastAsiaTheme="minorEastAsia"/>
                <w:color w:val="auto"/>
                <w:sz w:val="21"/>
                <w:szCs w:val="21"/>
                <w:highlight w:val="none"/>
              </w:rPr>
              <w:t>缴纳时间：投标单位须在</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10月31</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一</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17</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color w:val="auto"/>
                <w:sz w:val="21"/>
                <w:szCs w:val="21"/>
                <w:highlight w:val="none"/>
                <w:u w:val="single"/>
                <w:lang w:eastAsia="zh-CN"/>
              </w:rPr>
              <w:t>前</w:t>
            </w:r>
            <w:r>
              <w:rPr>
                <w:rFonts w:hint="eastAsia" w:asciiTheme="minorEastAsia" w:hAnsiTheme="minorEastAsia" w:eastAsiaTheme="minorEastAsia"/>
                <w:color w:val="auto"/>
                <w:sz w:val="21"/>
                <w:szCs w:val="21"/>
                <w:highlight w:val="none"/>
              </w:rPr>
              <w:t>以</w:t>
            </w:r>
            <w:r>
              <w:rPr>
                <w:rFonts w:hint="eastAsia"/>
                <w:color w:val="auto"/>
                <w:sz w:val="21"/>
                <w:szCs w:val="21"/>
                <w:highlight w:val="none"/>
              </w:rPr>
              <w:t>投标人转出【以招标单位查询的信息为准，汇款时备注：</w:t>
            </w:r>
            <w:r>
              <w:rPr>
                <w:rFonts w:hint="eastAsia" w:ascii="宋体" w:hAnsi="宋体" w:eastAsia="宋体" w:cs="宋体"/>
                <w:color w:val="auto"/>
                <w:highlight w:val="none"/>
                <w:u w:val="none"/>
                <w:lang w:eastAsia="zh-CN"/>
              </w:rPr>
              <w:t>新建南沙天后宫停车场项目施工总承包</w:t>
            </w:r>
            <w:r>
              <w:rPr>
                <w:rFonts w:hint="eastAsia"/>
                <w:color w:val="auto"/>
                <w:sz w:val="21"/>
                <w:szCs w:val="21"/>
                <w:highlight w:val="none"/>
              </w:rPr>
              <w:t>投标保证金】</w:t>
            </w:r>
          </w:p>
          <w:p>
            <w:pPr>
              <w:numPr>
                <w:ilvl w:val="-1"/>
                <w:numId w:val="0"/>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color w:val="auto"/>
                <w:sz w:val="21"/>
                <w:szCs w:val="21"/>
                <w:highlight w:val="none"/>
                <w:lang w:val="en-US" w:eastAsia="zh-CN"/>
              </w:rPr>
              <w:t>4、</w:t>
            </w:r>
            <w:r>
              <w:rPr>
                <w:rFonts w:hint="eastAsia"/>
                <w:color w:val="auto"/>
                <w:sz w:val="21"/>
                <w:szCs w:val="21"/>
                <w:highlight w:val="none"/>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440" w:lineRule="exact"/>
              <w:ind w:left="-46" w:leftChars="-22" w:right="-59" w:rightChars="-28" w:firstLine="0"/>
              <w:jc w:val="center"/>
              <w:rPr>
                <w:rFonts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1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1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收件人：李工，66806279</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提交地点：广州市南沙区金融大厦1807会议室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11月1</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二</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11月1</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二</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11月1</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二</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地点：广州市南沙区金融大厦1807会议室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highlight w:val="none"/>
                <w:u w:val="none"/>
              </w:rPr>
            </w:pPr>
            <w:r>
              <w:rPr>
                <w:rFonts w:hint="eastAsia" w:ascii="宋体" w:hAnsi="宋体" w:eastAsia="宋体" w:cs="宋体"/>
                <w:color w:val="auto"/>
                <w:szCs w:val="21"/>
                <w:highlight w:val="none"/>
                <w:u w:val="none"/>
              </w:rPr>
              <w:t>综合评分法</w:t>
            </w:r>
          </w:p>
        </w:tc>
      </w:tr>
    </w:tbl>
    <w:p>
      <w:pPr>
        <w:spacing w:line="24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pacing w:line="240" w:lineRule="auto"/>
        <w:jc w:val="lef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 xml:space="preserve">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4"/>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val="en-US"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4"/>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报价表。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技术标文件（独立成册）。</w:t>
      </w:r>
    </w:p>
    <w:p>
      <w:pPr>
        <w:pStyle w:val="9"/>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3</w:t>
      </w:r>
      <w:r>
        <w:rPr>
          <w:rFonts w:hAnsi="宋体" w:cs="宋体"/>
          <w:color w:val="auto"/>
          <w:sz w:val="24"/>
          <w:highlight w:val="none"/>
        </w:rPr>
        <w:t xml:space="preserve"> 投标文件电子版（刻录光盘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w:t>
      </w:r>
      <w:r>
        <w:rPr>
          <w:rFonts w:hAnsi="宋体" w:cs="宋体"/>
          <w:color w:val="auto"/>
          <w:sz w:val="24"/>
          <w:highlight w:val="none"/>
        </w:rPr>
        <w:t>）</w:t>
      </w:r>
      <w:r>
        <w:rPr>
          <w:rFonts w:hint="eastAsia" w:hAnsi="宋体" w:cs="宋体"/>
          <w:color w:val="auto"/>
          <w:sz w:val="24"/>
          <w:highlight w:val="none"/>
          <w:lang w:eastAsia="zh-CN"/>
        </w:rPr>
        <w:t>。</w:t>
      </w:r>
    </w:p>
    <w:p>
      <w:pPr>
        <w:pStyle w:val="9"/>
        <w:ind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11.14投标申请人声明。</w:t>
      </w:r>
    </w:p>
    <w:p>
      <w:pPr>
        <w:pStyle w:val="9"/>
        <w:ind w:firstLine="480" w:firstLineChars="200"/>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11.15投标人认为需要提供的其他文件。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4"/>
        <w:widowControl/>
        <w:numPr>
          <w:ilvl w:val="0"/>
          <w:numId w:val="2"/>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4"/>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rPr>
          <w:rFonts w:ascii="宋体" w:hAnsi="宋体" w:eastAsia="宋体" w:cs="宋体"/>
          <w:b/>
          <w:color w:val="auto"/>
          <w:sz w:val="30"/>
          <w:szCs w:val="30"/>
          <w:highlight w:val="none"/>
        </w:rPr>
      </w:pPr>
    </w:p>
    <w:p>
      <w:pPr>
        <w:numPr>
          <w:ilvl w:val="0"/>
          <w:numId w:val="3"/>
        </w:numPr>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项目概况</w:t>
      </w:r>
    </w:p>
    <w:p>
      <w:pPr>
        <w:numPr>
          <w:ilvl w:val="0"/>
          <w:numId w:val="0"/>
        </w:numPr>
        <w:ind w:firstLine="640" w:firstLineChars="200"/>
        <w:rPr>
          <w:rFonts w:hint="eastAsia" w:ascii="仿宋_GB2312" w:hAnsi="仿宋_GB2312" w:eastAsia="仿宋_GB2312" w:cs="仿宋_GB2312"/>
          <w:b/>
          <w:color w:val="auto"/>
          <w:kern w:val="0"/>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为解决南沙天后宫景区停车位不足问题，改善天后路交通拥堵情况，从而满足游客日益增长的停车位需求，提升景区形象，提高景区收入，拟利用</w:t>
      </w:r>
      <w:r>
        <w:rPr>
          <w:rFonts w:hint="eastAsia" w:ascii="仿宋_GB2312" w:hAnsi="仿宋_GB2312" w:eastAsia="仿宋_GB2312" w:cs="仿宋_GB2312"/>
          <w:b w:val="0"/>
          <w:bCs/>
          <w:i w:val="0"/>
          <w:caps w:val="0"/>
          <w:color w:val="auto"/>
          <w:spacing w:val="0"/>
          <w:w w:val="100"/>
          <w:sz w:val="32"/>
          <w:szCs w:val="32"/>
          <w:highlight w:val="none"/>
          <w:lang w:eastAsia="zh-CN"/>
        </w:rPr>
        <w:t>天后</w:t>
      </w:r>
      <w:r>
        <w:rPr>
          <w:rFonts w:hint="eastAsia" w:ascii="仿宋_GB2312" w:hAnsi="仿宋_GB2312" w:eastAsia="仿宋_GB2312" w:cs="仿宋_GB2312"/>
          <w:b w:val="0"/>
          <w:bCs/>
          <w:i w:val="0"/>
          <w:caps w:val="0"/>
          <w:color w:val="auto"/>
          <w:spacing w:val="0"/>
          <w:w w:val="100"/>
          <w:sz w:val="32"/>
          <w:szCs w:val="32"/>
          <w:highlight w:val="none"/>
        </w:rPr>
        <w:t>学会大楼</w:t>
      </w:r>
      <w:r>
        <w:rPr>
          <w:rFonts w:hint="eastAsia" w:ascii="仿宋_GB2312" w:hAnsi="仿宋_GB2312" w:eastAsia="仿宋_GB2312" w:cs="仿宋_GB2312"/>
          <w:color w:val="auto"/>
          <w:sz w:val="32"/>
          <w:szCs w:val="32"/>
          <w:highlight w:val="none"/>
          <w:lang w:val="en-US" w:eastAsia="zh-CN"/>
        </w:rPr>
        <w:t>西北侧地块新建停车场，占地面积约5000平方米</w:t>
      </w:r>
      <w:r>
        <w:rPr>
          <w:rFonts w:hint="eastAsia" w:ascii="仿宋_GB2312" w:hAnsi="仿宋_GB2312" w:eastAsia="仿宋_GB2312" w:cs="仿宋_GB2312"/>
          <w:color w:val="auto"/>
          <w:sz w:val="32"/>
          <w:szCs w:val="32"/>
          <w:highlight w:val="none"/>
          <w:lang w:eastAsia="zh-CN"/>
        </w:rPr>
        <w:t>。</w:t>
      </w:r>
    </w:p>
    <w:p>
      <w:pPr>
        <w:numPr>
          <w:ilvl w:val="0"/>
          <w:numId w:val="0"/>
        </w:numP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二、招标范围</w:t>
      </w:r>
    </w:p>
    <w:p>
      <w:pPr>
        <w:pStyle w:val="9"/>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招标图纸及工程量清单范围内施工专业承包（承包人需按发包人要求施工，根据现场实际情况施工，设计图纸有调整时，必须服从要求调整）。</w:t>
      </w:r>
    </w:p>
    <w:p>
      <w:pPr>
        <w:pStyle w:val="9"/>
        <w:rPr>
          <w:rFonts w:hint="eastAsia" w:ascii="仿宋_GB2312" w:hAnsi="仿宋_GB2312" w:eastAsia="仿宋_GB2312" w:cs="仿宋_GB2312"/>
          <w:color w:val="auto"/>
          <w:sz w:val="32"/>
          <w:szCs w:val="32"/>
          <w:highlight w:val="none"/>
        </w:rPr>
      </w:pPr>
    </w:p>
    <w:p>
      <w:pPr>
        <w:ind w:firstLine="480" w:firstLineChars="200"/>
        <w:rPr>
          <w:rFonts w:asciiTheme="minorEastAsia" w:hAnsiTheme="minorEastAsia" w:cstheme="minorEastAsia"/>
          <w:color w:val="auto"/>
          <w:kern w:val="0"/>
          <w:sz w:val="24"/>
          <w:highlight w:val="none"/>
        </w:rPr>
      </w:pPr>
    </w:p>
    <w:p>
      <w:pP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新建天后宫景区停车场项目施工总承包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新建南沙天后宫停车场项目施工总承包</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23342668"/>
      <w:bookmarkEnd w:id="6"/>
      <w:bookmarkStart w:id="7" w:name="_Toc216145749"/>
      <w:bookmarkEnd w:id="7"/>
      <w:r>
        <w:rPr>
          <w:rFonts w:hint="eastAsia" w:ascii="宋体" w:hAnsi="宋体" w:eastAsia="宋体" w:cs="黑体"/>
          <w:color w:val="auto"/>
          <w:sz w:val="28"/>
          <w:szCs w:val="28"/>
          <w:highlight w:val="none"/>
        </w:rPr>
        <w:t>格式三：</w:t>
      </w:r>
    </w:p>
    <w:p>
      <w:pPr>
        <w:pStyle w:val="25"/>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5"/>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5"/>
        <w:widowControl/>
        <w:ind w:firstLine="618"/>
        <w:rPr>
          <w:b/>
          <w:color w:val="auto"/>
          <w:sz w:val="30"/>
          <w:szCs w:val="30"/>
          <w:highlight w:val="none"/>
        </w:rPr>
      </w:pPr>
      <w:r>
        <w:rPr>
          <w:b/>
          <w:color w:val="auto"/>
          <w:sz w:val="30"/>
          <w:szCs w:val="30"/>
          <w:highlight w:val="none"/>
        </w:rPr>
        <w:t xml:space="preserve"> </w:t>
      </w:r>
    </w:p>
    <w:p>
      <w:pPr>
        <w:pStyle w:val="25"/>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5"/>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3"/>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5"/>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、广州南沙建设维护管理有限公司</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南沙新建天后宫景区停车场项目施工总承包</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7235848"/>
      <w:bookmarkEnd w:id="11"/>
      <w:bookmarkStart w:id="12" w:name="_Toc41822703"/>
      <w:bookmarkEnd w:id="12"/>
      <w:bookmarkStart w:id="13" w:name="_Toc196036941"/>
      <w:bookmarkEnd w:id="13"/>
      <w:bookmarkStart w:id="14" w:name="_Toc415728297"/>
      <w:bookmarkEnd w:id="14"/>
      <w:bookmarkStart w:id="15" w:name="_Toc196037097"/>
      <w:bookmarkEnd w:id="15"/>
      <w:bookmarkStart w:id="16" w:name="_Toc199647675"/>
      <w:bookmarkEnd w:id="16"/>
      <w:bookmarkStart w:id="17" w:name="_Toc415833503"/>
      <w:bookmarkEnd w:id="17"/>
      <w:bookmarkStart w:id="18" w:name="_Toc196130013"/>
      <w:bookmarkEnd w:id="18"/>
      <w:bookmarkStart w:id="19" w:name="_Toc459403394"/>
      <w:bookmarkEnd w:id="19"/>
      <w:bookmarkStart w:id="20" w:name="_Toc326909213"/>
      <w:bookmarkEnd w:id="20"/>
      <w:bookmarkStart w:id="21" w:name="_Toc196130110"/>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5"/>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196037098"/>
      <w:bookmarkEnd w:id="24"/>
      <w:bookmarkStart w:id="25" w:name="_Toc459403395"/>
      <w:bookmarkEnd w:id="25"/>
      <w:bookmarkStart w:id="26" w:name="_Toc196130111"/>
      <w:bookmarkEnd w:id="26"/>
      <w:bookmarkStart w:id="27" w:name="_Toc326909214"/>
      <w:bookmarkEnd w:id="27"/>
      <w:bookmarkStart w:id="28" w:name="_Toc199647676"/>
      <w:bookmarkEnd w:id="28"/>
      <w:bookmarkStart w:id="29" w:name="_Toc415833504"/>
      <w:bookmarkEnd w:id="29"/>
      <w:bookmarkStart w:id="30" w:name="_Toc197235849"/>
      <w:bookmarkEnd w:id="30"/>
      <w:bookmarkStart w:id="31" w:name="_Toc196130014"/>
      <w:bookmarkEnd w:id="31"/>
      <w:bookmarkStart w:id="32" w:name="_Toc196036942"/>
      <w:bookmarkEnd w:id="32"/>
      <w:bookmarkStart w:id="33" w:name="_Toc415728298"/>
      <w:bookmarkEnd w:id="33"/>
      <w:bookmarkStart w:id="34" w:name="_Toc462911099"/>
    </w:p>
    <w:bookmarkEnd w:id="3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六</w:t>
      </w:r>
      <w:r>
        <w:rPr>
          <w:rFonts w:hint="eastAsia" w:ascii="仿宋" w:hAnsi="仿宋" w:eastAsia="仿宋" w:cs="宋体"/>
          <w:color w:val="auto"/>
          <w:sz w:val="28"/>
          <w:szCs w:val="28"/>
          <w:highlight w:val="none"/>
        </w:rPr>
        <w:t>：</w:t>
      </w: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w:t>
      </w:r>
      <w:r>
        <w:rPr>
          <w:rFonts w:hint="eastAsia" w:ascii="仿宋" w:hAnsi="仿宋" w:eastAsia="仿宋" w:cs="仿宋"/>
          <w:color w:val="auto"/>
          <w:szCs w:val="21"/>
          <w:highlight w:val="none"/>
          <w:lang w:eastAsia="zh-CN"/>
        </w:rPr>
        <w:t>技术</w:t>
      </w:r>
      <w:r>
        <w:rPr>
          <w:rFonts w:hint="eastAsia" w:ascii="仿宋" w:hAnsi="仿宋" w:eastAsia="仿宋" w:cs="仿宋"/>
          <w:color w:val="auto"/>
          <w:szCs w:val="21"/>
          <w:highlight w:val="none"/>
        </w:rPr>
        <w:t>负责人）等。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5"/>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八</w:t>
      </w:r>
      <w:r>
        <w:rPr>
          <w:rFonts w:hint="eastAsia" w:ascii="宋体" w:hAnsi="宋体" w:eastAsia="宋体" w:cs="黑体"/>
          <w:b/>
          <w:color w:val="auto"/>
          <w:spacing w:val="4"/>
          <w:kern w:val="0"/>
          <w:sz w:val="28"/>
          <w:szCs w:val="28"/>
          <w:highlight w:val="none"/>
        </w:rPr>
        <w:t>：</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5"/>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eastAsia="zh-CN"/>
              </w:rPr>
              <w:t>新建南沙天后宫停车场项目施工总承包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p>
        </w:tc>
        <w:tc>
          <w:tcPr>
            <w:tcW w:w="6699" w:type="dxa"/>
            <w:vAlign w:val="center"/>
          </w:tcPr>
          <w:p>
            <w:pPr>
              <w:autoSpaceDE w:val="0"/>
              <w:autoSpaceDN w:val="0"/>
              <w:adjustRightInd w:val="0"/>
              <w:snapToGrid w:val="0"/>
              <w:spacing w:line="360" w:lineRule="auto"/>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为¥78461.28元（固定值）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9"/>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9"/>
        <w:spacing w:line="360" w:lineRule="auto"/>
        <w:ind w:firstLine="210" w:firstLineChars="100"/>
        <w:rPr>
          <w:rFonts w:hint="eastAsia" w:ascii="宋体" w:hAnsi="宋体" w:eastAsia="宋体" w:cs="宋体"/>
          <w:color w:val="auto"/>
          <w:sz w:val="21"/>
          <w:szCs w:val="21"/>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color w:val="auto"/>
          <w:sz w:val="21"/>
          <w:szCs w:val="21"/>
          <w:highlight w:val="none"/>
        </w:rPr>
        <w:t>本项目</w:t>
      </w:r>
      <w:r>
        <w:rPr>
          <w:rFonts w:hint="eastAsia" w:hAnsi="宋体" w:cs="宋体"/>
          <w:color w:val="auto"/>
          <w:sz w:val="21"/>
          <w:szCs w:val="21"/>
          <w:highlight w:val="none"/>
          <w:lang w:eastAsia="zh-CN"/>
        </w:rPr>
        <w:t>招标控制价详见投标须知前附表约定。</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9"/>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w:t>
      </w:r>
      <w:r>
        <w:rPr>
          <w:rFonts w:hint="eastAsia" w:ascii="仿宋" w:hAnsi="仿宋" w:eastAsia="仿宋" w:cs="仿宋"/>
          <w:color w:val="auto"/>
          <w:sz w:val="28"/>
          <w:szCs w:val="28"/>
          <w:highlight w:val="none"/>
          <w:lang w:eastAsia="zh-CN"/>
        </w:rPr>
        <w:t>施工总承包</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w:t>
      </w:r>
      <w:r>
        <w:rPr>
          <w:rFonts w:hint="eastAsia" w:ascii="仿宋" w:hAnsi="仿宋" w:eastAsia="仿宋" w:cs="仿宋"/>
          <w:color w:val="auto"/>
          <w:sz w:val="28"/>
          <w:szCs w:val="28"/>
          <w:highlight w:val="none"/>
          <w:lang w:eastAsia="zh-CN"/>
        </w:rPr>
        <w:t>施工总承包</w:t>
      </w:r>
      <w:r>
        <w:rPr>
          <w:rFonts w:hint="eastAsia" w:ascii="仿宋" w:hAnsi="仿宋" w:eastAsia="仿宋" w:cs="仿宋"/>
          <w:color w:val="auto"/>
          <w:sz w:val="28"/>
          <w:szCs w:val="28"/>
          <w:highlight w:val="none"/>
        </w:rPr>
        <w:t>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9"/>
        <w:widowControl/>
        <w:spacing w:line="500" w:lineRule="exact"/>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9"/>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9"/>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500" w:lineRule="exact"/>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9"/>
        <w:rPr>
          <w:rFonts w:hint="default" w:ascii="仿宋" w:hAnsi="仿宋" w:eastAsia="仿宋" w:cs="仿宋"/>
          <w:color w:val="auto"/>
          <w:sz w:val="28"/>
          <w:szCs w:val="28"/>
          <w:highlight w:val="none"/>
        </w:rPr>
      </w:pPr>
    </w:p>
    <w:p>
      <w:pPr>
        <w:pStyle w:val="9"/>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hint="eastAsia"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2"/>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2"/>
        <w:widowControl/>
        <w:ind w:firstLine="562"/>
        <w:rPr>
          <w:rFonts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2"/>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5"/>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投标函签名、并加盖公章有效，且内容与招标文件相同</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snapToGrid w:val="0"/>
        <w:ind w:left="74"/>
        <w:outlineLvl w:val="0"/>
        <w:rPr>
          <w:rFonts w:hint="eastAsia"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5"/>
        <w:tblW w:w="13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797" w:type="dxa"/>
            <w:shd w:val="clear" w:color="auto" w:fill="auto"/>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686"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lang w:val="en-US" w:eastAsia="zh-CN"/>
              </w:rPr>
              <w:t>25分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认证体系</w:t>
            </w:r>
          </w:p>
        </w:tc>
        <w:tc>
          <w:tcPr>
            <w:tcW w:w="709" w:type="dxa"/>
            <w:shd w:val="clear" w:color="auto" w:fill="auto"/>
            <w:vAlign w:val="center"/>
          </w:tcPr>
          <w:p>
            <w:pPr>
              <w:spacing w:line="220" w:lineRule="exact"/>
              <w:ind w:left="-2" w:leftChars="-1"/>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w:t>
            </w:r>
          </w:p>
        </w:tc>
        <w:tc>
          <w:tcPr>
            <w:tcW w:w="9797" w:type="dxa"/>
            <w:shd w:val="clear" w:color="auto" w:fill="auto"/>
            <w:vAlign w:val="center"/>
          </w:tcPr>
          <w:p>
            <w:pPr>
              <w:pStyle w:val="9"/>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具有有效的</w:t>
            </w:r>
            <w:r>
              <w:rPr>
                <w:rFonts w:ascii="宋体" w:hAnsi="宋体" w:eastAsia="宋体" w:cs="宋体"/>
                <w:color w:val="auto"/>
                <w:szCs w:val="21"/>
                <w:highlight w:val="none"/>
              </w:rPr>
              <w:t>ISO</w:t>
            </w:r>
            <w:r>
              <w:rPr>
                <w:rFonts w:hint="eastAsia" w:ascii="宋体" w:hAnsi="宋体" w:eastAsia="宋体" w:cs="宋体"/>
                <w:color w:val="auto"/>
                <w:szCs w:val="21"/>
                <w:highlight w:val="none"/>
              </w:rPr>
              <w:t>质量管理体系认证证书、环境管理体系认证证书、职业健康安全管理体系认证证书的</w:t>
            </w:r>
            <w:r>
              <w:rPr>
                <w:rFonts w:hint="eastAsia" w:ascii="宋体" w:hAnsi="宋体" w:eastAsia="宋体" w:cs="宋体"/>
                <w:color w:val="auto"/>
                <w:szCs w:val="21"/>
                <w:highlight w:val="none"/>
                <w:lang w:eastAsia="zh-CN"/>
              </w:rPr>
              <w:t>，</w:t>
            </w:r>
            <w:r>
              <w:rPr>
                <w:rFonts w:hint="eastAsia" w:hAnsi="宋体" w:cs="宋体"/>
                <w:color w:val="auto"/>
                <w:szCs w:val="21"/>
                <w:highlight w:val="none"/>
                <w:lang w:val="en-US" w:eastAsia="zh-CN"/>
              </w:rPr>
              <w:t>每有一项得1分，最多得3分</w:t>
            </w:r>
            <w:r>
              <w:rPr>
                <w:rFonts w:hint="eastAsia" w:ascii="宋体" w:hAnsi="宋体" w:eastAsia="宋体" w:cs="宋体"/>
                <w:color w:val="auto"/>
                <w:szCs w:val="21"/>
                <w:highlight w:val="none"/>
              </w:rPr>
              <w:t>。</w:t>
            </w:r>
          </w:p>
        </w:tc>
        <w:tc>
          <w:tcPr>
            <w:tcW w:w="686"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ind w:left="42" w:leftChars="20" w:right="42" w:rightChars="2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eastAsia="zh-CN"/>
              </w:rPr>
              <w:t>纳税信用</w:t>
            </w:r>
          </w:p>
        </w:tc>
        <w:tc>
          <w:tcPr>
            <w:tcW w:w="709" w:type="dxa"/>
            <w:shd w:val="clear" w:color="auto" w:fill="auto"/>
            <w:vAlign w:val="center"/>
          </w:tcPr>
          <w:p>
            <w:pPr>
              <w:jc w:val="center"/>
              <w:rPr>
                <w:rFonts w:hint="default"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position w:val="8"/>
                <w:szCs w:val="21"/>
                <w:highlight w:val="none"/>
                <w:lang w:val="en-US" w:eastAsia="zh-CN"/>
              </w:rPr>
              <w:t>3</w:t>
            </w:r>
          </w:p>
        </w:tc>
        <w:tc>
          <w:tcPr>
            <w:tcW w:w="9797" w:type="dxa"/>
            <w:shd w:val="clear" w:color="auto" w:fill="auto"/>
            <w:vAlign w:val="center"/>
          </w:tcPr>
          <w:p>
            <w:pPr>
              <w:adjustRightInd w:val="0"/>
              <w:snapToGrid w:val="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z w:val="21"/>
                <w:szCs w:val="21"/>
              </w:rPr>
              <w:t>投标人自201</w:t>
            </w:r>
            <w:r>
              <w:rPr>
                <w:rFonts w:hint="eastAsia" w:ascii="宋体" w:hAnsi="宋体" w:eastAsia="宋体" w:cs="宋体"/>
                <w:sz w:val="21"/>
                <w:szCs w:val="21"/>
                <w:lang w:val="en-US" w:eastAsia="zh-CN"/>
              </w:rPr>
              <w:t>9</w:t>
            </w:r>
            <w:r>
              <w:rPr>
                <w:rFonts w:hint="eastAsia" w:ascii="宋体" w:hAnsi="宋体" w:eastAsia="宋体" w:cs="宋体"/>
                <w:sz w:val="21"/>
                <w:szCs w:val="21"/>
              </w:rPr>
              <w:t>年1月1日至今，获得“年度纳税信用A级荣誉证书”得</w:t>
            </w:r>
            <w:r>
              <w:rPr>
                <w:rFonts w:hint="eastAsia" w:ascii="宋体" w:hAnsi="宋体" w:eastAsia="宋体" w:cs="宋体"/>
                <w:sz w:val="21"/>
                <w:szCs w:val="21"/>
                <w:lang w:val="en-US" w:eastAsia="zh-CN"/>
              </w:rPr>
              <w:t>3</w:t>
            </w:r>
            <w:r>
              <w:rPr>
                <w:rFonts w:hint="eastAsia" w:ascii="宋体" w:hAnsi="宋体" w:eastAsia="宋体" w:cs="宋体"/>
                <w:sz w:val="21"/>
                <w:szCs w:val="21"/>
              </w:rPr>
              <w:t xml:space="preserve">分； </w:t>
            </w:r>
          </w:p>
        </w:tc>
        <w:tc>
          <w:tcPr>
            <w:tcW w:w="686"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ind w:left="42" w:leftChars="20" w:right="42" w:rightChars="2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第三方评价</w:t>
            </w:r>
          </w:p>
        </w:tc>
        <w:tc>
          <w:tcPr>
            <w:tcW w:w="709" w:type="dxa"/>
            <w:shd w:val="clear" w:color="auto" w:fill="auto"/>
            <w:vAlign w:val="center"/>
          </w:tcPr>
          <w:p>
            <w:pPr>
              <w:jc w:val="center"/>
              <w:rPr>
                <w:rFonts w:hint="default" w:ascii="宋体" w:hAnsi="宋体" w:eastAsia="宋体" w:cs="宋体"/>
                <w:color w:val="auto"/>
                <w:position w:val="8"/>
                <w:szCs w:val="21"/>
                <w:highlight w:val="none"/>
                <w:lang w:val="en-US" w:eastAsia="zh-CN"/>
              </w:rPr>
            </w:pPr>
            <w:r>
              <w:rPr>
                <w:rFonts w:hint="eastAsia" w:ascii="宋体" w:hAnsi="宋体" w:eastAsia="宋体" w:cs="宋体"/>
                <w:color w:val="auto"/>
                <w:position w:val="8"/>
                <w:szCs w:val="21"/>
                <w:highlight w:val="none"/>
                <w:lang w:val="en-US" w:eastAsia="zh-CN"/>
              </w:rPr>
              <w:t>3</w:t>
            </w:r>
          </w:p>
        </w:tc>
        <w:tc>
          <w:tcPr>
            <w:tcW w:w="9797" w:type="dxa"/>
            <w:shd w:val="clear" w:color="auto" w:fill="auto"/>
            <w:vAlign w:val="center"/>
          </w:tcPr>
          <w:p>
            <w:pPr>
              <w:snapToGrid w:val="0"/>
              <w:rPr>
                <w:rFonts w:hint="eastAsia" w:ascii="宋体" w:hAnsi="宋体" w:eastAsia="宋体" w:cs="宋体"/>
                <w:sz w:val="21"/>
                <w:szCs w:val="21"/>
              </w:rPr>
            </w:pPr>
            <w:r>
              <w:rPr>
                <w:rFonts w:hint="eastAsia" w:ascii="宋体" w:hAnsi="宋体" w:eastAsia="宋体" w:cs="宋体"/>
                <w:sz w:val="21"/>
                <w:szCs w:val="21"/>
              </w:rPr>
              <w:t>投标人获得</w:t>
            </w:r>
            <w:r>
              <w:rPr>
                <w:rFonts w:hint="eastAsia" w:ascii="宋体" w:hAnsi="宋体" w:eastAsia="宋体" w:cs="宋体"/>
                <w:sz w:val="21"/>
                <w:szCs w:val="21"/>
                <w:lang w:eastAsia="zh-CN"/>
              </w:rPr>
              <w:t>过市级或以上</w:t>
            </w:r>
            <w:r>
              <w:rPr>
                <w:rFonts w:hint="eastAsia" w:ascii="宋体" w:hAnsi="宋体" w:eastAsia="宋体" w:cs="宋体"/>
                <w:sz w:val="21"/>
                <w:szCs w:val="21"/>
              </w:rPr>
              <w:t>建筑施工企业安全生产标准化达标企业</w:t>
            </w:r>
            <w:r>
              <w:rPr>
                <w:rFonts w:hint="eastAsia" w:ascii="宋体" w:hAnsi="宋体" w:eastAsia="宋体" w:cs="宋体"/>
                <w:sz w:val="21"/>
                <w:szCs w:val="21"/>
                <w:lang w:eastAsia="zh-CN"/>
              </w:rPr>
              <w:t>的，得</w:t>
            </w:r>
            <w:r>
              <w:rPr>
                <w:rFonts w:hint="eastAsia" w:ascii="宋体" w:hAnsi="宋体" w:eastAsia="宋体" w:cs="宋体"/>
                <w:sz w:val="21"/>
                <w:szCs w:val="21"/>
                <w:lang w:val="en-US" w:eastAsia="zh-CN"/>
              </w:rPr>
              <w:t>3分</w:t>
            </w:r>
            <w:r>
              <w:rPr>
                <w:rFonts w:hint="eastAsia" w:ascii="宋体" w:hAnsi="宋体" w:eastAsia="宋体" w:cs="宋体"/>
                <w:sz w:val="21"/>
                <w:szCs w:val="21"/>
              </w:rPr>
              <w:t>。</w:t>
            </w:r>
          </w:p>
          <w:p>
            <w:pPr>
              <w:adjustRightInd w:val="0"/>
              <w:snapToGrid w:val="0"/>
              <w:rPr>
                <w:rFonts w:hint="eastAsia" w:ascii="宋体" w:hAnsi="宋体" w:eastAsia="宋体" w:cs="宋体"/>
                <w:color w:val="auto"/>
                <w:szCs w:val="21"/>
                <w:highlight w:val="none"/>
                <w:lang w:val="en-US" w:eastAsia="zh-CN"/>
              </w:rPr>
            </w:pPr>
            <w:r>
              <w:rPr>
                <w:rFonts w:hint="eastAsia" w:ascii="宋体" w:hAnsi="宋体" w:eastAsia="宋体" w:cs="宋体"/>
                <w:sz w:val="21"/>
                <w:szCs w:val="21"/>
              </w:rPr>
              <w:t>注：需提供有效的证书复印件或网上查询截图，不提供或专家无法认定的不得分。</w:t>
            </w:r>
          </w:p>
        </w:tc>
        <w:tc>
          <w:tcPr>
            <w:tcW w:w="686"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ind w:left="42" w:leftChars="20" w:right="42" w:rightChars="2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业绩情况</w:t>
            </w:r>
          </w:p>
        </w:tc>
        <w:tc>
          <w:tcPr>
            <w:tcW w:w="709" w:type="dxa"/>
            <w:shd w:val="clear" w:color="auto" w:fill="auto"/>
            <w:vAlign w:val="center"/>
          </w:tcPr>
          <w:p>
            <w:pPr>
              <w:jc w:val="center"/>
              <w:rPr>
                <w:rFonts w:hint="default" w:ascii="宋体" w:hAnsi="宋体" w:eastAsia="宋体" w:cs="宋体"/>
                <w:color w:val="auto"/>
                <w:position w:val="8"/>
                <w:szCs w:val="21"/>
                <w:highlight w:val="none"/>
                <w:lang w:val="en-US" w:eastAsia="zh-CN"/>
              </w:rPr>
            </w:pPr>
            <w:r>
              <w:rPr>
                <w:rFonts w:hint="eastAsia" w:ascii="宋体" w:hAnsi="宋体" w:eastAsia="宋体" w:cs="宋体"/>
                <w:color w:val="auto"/>
                <w:position w:val="8"/>
                <w:szCs w:val="21"/>
                <w:highlight w:val="none"/>
                <w:lang w:val="en-US" w:eastAsia="zh-CN"/>
              </w:rPr>
              <w:t>6</w:t>
            </w:r>
          </w:p>
        </w:tc>
        <w:tc>
          <w:tcPr>
            <w:tcW w:w="9797" w:type="dxa"/>
            <w:shd w:val="clear" w:color="auto" w:fill="auto"/>
            <w:vAlign w:val="center"/>
          </w:tcPr>
          <w:p>
            <w:pPr>
              <w:snapToGrid w:val="0"/>
              <w:rPr>
                <w:rFonts w:hint="eastAsia" w:ascii="宋体" w:hAnsi="宋体" w:eastAsia="宋体" w:cs="宋体"/>
                <w:sz w:val="21"/>
                <w:szCs w:val="21"/>
              </w:rPr>
            </w:pPr>
            <w:r>
              <w:rPr>
                <w:rFonts w:hint="eastAsia" w:ascii="宋体" w:hAnsi="宋体" w:eastAsia="宋体" w:cs="宋体"/>
                <w:sz w:val="21"/>
                <w:szCs w:val="21"/>
              </w:rPr>
              <w:t>投标人2019年1月1日至今（以合同签订时间为准）具有</w:t>
            </w:r>
            <w:r>
              <w:rPr>
                <w:rFonts w:hint="eastAsia" w:ascii="宋体" w:hAnsi="宋体" w:eastAsia="宋体" w:cs="宋体"/>
                <w:sz w:val="21"/>
                <w:szCs w:val="21"/>
                <w:u w:val="none"/>
              </w:rPr>
              <w:t>市政公用工程</w:t>
            </w:r>
            <w:r>
              <w:rPr>
                <w:rFonts w:hint="eastAsia" w:ascii="宋体" w:hAnsi="宋体" w:eastAsia="宋体" w:cs="宋体"/>
                <w:sz w:val="21"/>
                <w:szCs w:val="21"/>
              </w:rPr>
              <w:t>项目业绩，每项得1分，最高</w:t>
            </w:r>
            <w:r>
              <w:rPr>
                <w:rFonts w:hint="eastAsia" w:ascii="宋体" w:hAnsi="宋体" w:eastAsia="宋体" w:cs="宋体"/>
                <w:sz w:val="21"/>
                <w:szCs w:val="21"/>
                <w:lang w:eastAsia="zh-CN"/>
              </w:rPr>
              <w:t>得</w:t>
            </w:r>
            <w:r>
              <w:rPr>
                <w:rFonts w:hint="eastAsia" w:ascii="宋体" w:hAnsi="宋体" w:eastAsia="宋体" w:cs="宋体"/>
                <w:sz w:val="21"/>
                <w:szCs w:val="21"/>
                <w:lang w:val="en-US" w:eastAsia="zh-CN"/>
              </w:rPr>
              <w:t>6</w:t>
            </w:r>
            <w:r>
              <w:rPr>
                <w:rFonts w:hint="eastAsia" w:ascii="宋体" w:hAnsi="宋体" w:eastAsia="宋体" w:cs="宋体"/>
                <w:sz w:val="21"/>
                <w:szCs w:val="21"/>
              </w:rPr>
              <w:t>分。</w:t>
            </w:r>
          </w:p>
          <w:p>
            <w:pPr>
              <w:ind w:left="0" w:leftChars="0" w:right="0" w:rightChars="0"/>
              <w:rPr>
                <w:rFonts w:hint="eastAsia" w:ascii="宋体" w:hAnsi="宋体" w:eastAsia="宋体" w:cs="宋体"/>
                <w:color w:val="auto"/>
                <w:szCs w:val="21"/>
                <w:highlight w:val="none"/>
                <w:lang w:val="en-US" w:eastAsia="zh-CN"/>
              </w:rPr>
            </w:pPr>
            <w:r>
              <w:rPr>
                <w:rFonts w:hint="eastAsia" w:ascii="宋体" w:hAnsi="宋体" w:eastAsia="宋体" w:cs="宋体"/>
                <w:sz w:val="21"/>
                <w:szCs w:val="21"/>
              </w:rPr>
              <w:t>注：需同时提供合同复印件，不提供、提供不全的不得分。</w:t>
            </w:r>
          </w:p>
        </w:tc>
        <w:tc>
          <w:tcPr>
            <w:tcW w:w="686"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pacing w:line="27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szCs w:val="21"/>
              </w:rPr>
              <w:t>司法援助能力</w:t>
            </w:r>
          </w:p>
        </w:tc>
        <w:tc>
          <w:tcPr>
            <w:tcW w:w="709" w:type="dxa"/>
            <w:shd w:val="clear" w:color="auto" w:fill="auto"/>
            <w:vAlign w:val="center"/>
          </w:tcPr>
          <w:p>
            <w:pPr>
              <w:spacing w:line="276" w:lineRule="auto"/>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bCs/>
                <w:szCs w:val="21"/>
                <w:lang w:val="en-US" w:eastAsia="zh-CN"/>
              </w:rPr>
              <w:t>3</w:t>
            </w:r>
          </w:p>
        </w:tc>
        <w:tc>
          <w:tcPr>
            <w:tcW w:w="9797" w:type="dxa"/>
            <w:shd w:val="clear" w:color="auto" w:fill="auto"/>
            <w:vAlign w:val="top"/>
          </w:tcPr>
          <w:p>
            <w:pPr>
              <w:jc w:val="left"/>
              <w:rPr>
                <w:rFonts w:hint="eastAsia" w:ascii="宋体" w:hAnsi="宋体" w:eastAsia="宋体" w:cs="宋体"/>
                <w:sz w:val="21"/>
                <w:szCs w:val="21"/>
              </w:rPr>
            </w:pPr>
            <w:r>
              <w:rPr>
                <w:rFonts w:hint="eastAsia" w:ascii="宋体" w:hAnsi="宋体" w:eastAsia="宋体" w:cs="宋体"/>
                <w:sz w:val="21"/>
                <w:szCs w:val="21"/>
              </w:rPr>
              <w:t>投标人201</w:t>
            </w:r>
            <w:r>
              <w:rPr>
                <w:rFonts w:hint="eastAsia" w:ascii="宋体" w:hAnsi="宋体" w:eastAsia="宋体" w:cs="宋体"/>
                <w:sz w:val="21"/>
                <w:szCs w:val="21"/>
                <w:lang w:val="en-US" w:eastAsia="zh-CN"/>
              </w:rPr>
              <w:t>9</w:t>
            </w:r>
            <w:r>
              <w:rPr>
                <w:rFonts w:hint="eastAsia" w:ascii="宋体" w:hAnsi="宋体" w:eastAsia="宋体" w:cs="宋体"/>
                <w:sz w:val="21"/>
                <w:szCs w:val="21"/>
              </w:rPr>
              <w:t>年1月1日至今聘请</w:t>
            </w:r>
            <w:r>
              <w:rPr>
                <w:rFonts w:hint="eastAsia" w:ascii="宋体" w:hAnsi="宋体" w:eastAsia="宋体" w:cs="宋体"/>
                <w:sz w:val="21"/>
                <w:szCs w:val="21"/>
                <w:lang w:eastAsia="zh-CN"/>
              </w:rPr>
              <w:t>过</w:t>
            </w:r>
            <w:r>
              <w:rPr>
                <w:rFonts w:hint="eastAsia" w:ascii="宋体" w:hAnsi="宋体" w:eastAsia="宋体" w:cs="宋体"/>
                <w:sz w:val="21"/>
                <w:szCs w:val="21"/>
              </w:rPr>
              <w:t>专职法律顾问或与律师事务所签约法律援助的，得</w:t>
            </w:r>
            <w:r>
              <w:rPr>
                <w:rFonts w:hint="eastAsia" w:ascii="宋体" w:hAnsi="宋体" w:eastAsia="宋体" w:cs="宋体"/>
                <w:sz w:val="21"/>
                <w:szCs w:val="21"/>
                <w:lang w:val="en-US" w:eastAsia="zh-CN"/>
              </w:rPr>
              <w:t>3</w:t>
            </w:r>
            <w:r>
              <w:rPr>
                <w:rFonts w:hint="eastAsia" w:ascii="宋体" w:hAnsi="宋体" w:eastAsia="宋体" w:cs="宋体"/>
                <w:sz w:val="21"/>
                <w:szCs w:val="21"/>
              </w:rPr>
              <w:t>分，不具备得0分。</w:t>
            </w:r>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z w:val="21"/>
                <w:szCs w:val="21"/>
              </w:rPr>
              <w:t>注：须提供聘请专职法律顾问聘书或与律师事务所签约合同复印件，不提供不得分。</w:t>
            </w:r>
          </w:p>
        </w:tc>
        <w:tc>
          <w:tcPr>
            <w:tcW w:w="686"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pacing w:line="320" w:lineRule="exact"/>
              <w:ind w:right="134" w:rightChars="64"/>
              <w:jc w:val="center"/>
              <w:rPr>
                <w:rFonts w:hint="eastAsia" w:ascii="宋体" w:hAnsi="宋体" w:eastAsia="宋体" w:cs="宋体"/>
                <w:bCs/>
                <w:szCs w:val="21"/>
                <w:lang w:eastAsia="zh-CN"/>
              </w:rPr>
            </w:pPr>
            <w:r>
              <w:rPr>
                <w:rFonts w:hint="eastAsia" w:ascii="宋体" w:hAnsi="宋体" w:eastAsia="宋体" w:cs="宋体"/>
                <w:szCs w:val="21"/>
                <w:highlight w:val="none"/>
              </w:rPr>
              <w:t>投入项目保险重视度</w:t>
            </w:r>
          </w:p>
        </w:tc>
        <w:tc>
          <w:tcPr>
            <w:tcW w:w="709" w:type="dxa"/>
            <w:shd w:val="clear" w:color="auto" w:fill="auto"/>
            <w:vAlign w:val="center"/>
          </w:tcPr>
          <w:p>
            <w:pPr>
              <w:widowControl/>
              <w:jc w:val="center"/>
              <w:rPr>
                <w:rFonts w:hint="eastAsia" w:ascii="宋体" w:hAnsi="宋体" w:eastAsia="宋体" w:cs="宋体"/>
                <w:bCs/>
                <w:position w:val="0"/>
                <w:szCs w:val="21"/>
                <w:lang w:val="en-US" w:eastAsia="zh-CN"/>
              </w:rPr>
            </w:pPr>
            <w:r>
              <w:rPr>
                <w:rFonts w:hint="eastAsia" w:ascii="宋体" w:hAnsi="宋体" w:eastAsia="宋体" w:cs="宋体"/>
                <w:szCs w:val="21"/>
                <w:lang w:val="en-US" w:eastAsia="zh-CN"/>
              </w:rPr>
              <w:t>3</w:t>
            </w:r>
          </w:p>
        </w:tc>
        <w:tc>
          <w:tcPr>
            <w:tcW w:w="9797" w:type="dxa"/>
            <w:shd w:val="clear" w:color="auto" w:fill="auto"/>
            <w:vAlign w:val="center"/>
          </w:tcPr>
          <w:p>
            <w:pPr>
              <w:spacing w:line="0" w:lineRule="atLeast"/>
              <w:rPr>
                <w:rFonts w:hint="eastAsia" w:ascii="宋体" w:hAnsi="宋体" w:eastAsia="宋体" w:cs="宋体"/>
                <w:szCs w:val="21"/>
                <w:highlight w:val="none"/>
              </w:rPr>
            </w:pPr>
            <w:r>
              <w:rPr>
                <w:rFonts w:hint="eastAsia" w:ascii="宋体" w:hAnsi="宋体" w:eastAsia="宋体" w:cs="宋体"/>
                <w:szCs w:val="21"/>
                <w:highlight w:val="none"/>
                <w:lang w:val="en-US" w:eastAsia="zh-CN"/>
              </w:rPr>
              <w:t>投标人</w:t>
            </w:r>
            <w:r>
              <w:rPr>
                <w:rFonts w:hint="eastAsia" w:ascii="宋体" w:hAnsi="宋体" w:eastAsia="宋体" w:cs="宋体"/>
                <w:szCs w:val="21"/>
                <w:highlight w:val="none"/>
              </w:rPr>
              <w:t>201</w:t>
            </w:r>
            <w:r>
              <w:rPr>
                <w:rFonts w:hint="eastAsia" w:ascii="宋体" w:hAnsi="宋体" w:eastAsia="宋体" w:cs="宋体"/>
                <w:szCs w:val="21"/>
                <w:highlight w:val="none"/>
                <w:lang w:val="en-US" w:eastAsia="zh-CN"/>
              </w:rPr>
              <w:t>9</w:t>
            </w:r>
            <w:r>
              <w:rPr>
                <w:rFonts w:hint="eastAsia" w:ascii="宋体" w:hAnsi="宋体" w:eastAsia="宋体" w:cs="宋体"/>
                <w:szCs w:val="21"/>
                <w:highlight w:val="none"/>
              </w:rPr>
              <w:t>年至今投入工程项目保险费用累计（指工伤险、安全责任险、意外险</w:t>
            </w:r>
            <w:r>
              <w:rPr>
                <w:rFonts w:hint="eastAsia" w:ascii="宋体" w:hAnsi="宋体" w:eastAsia="宋体" w:cs="宋体"/>
                <w:szCs w:val="21"/>
                <w:highlight w:val="none"/>
                <w:lang w:eastAsia="zh-CN"/>
              </w:rPr>
              <w:t>、人身保险</w:t>
            </w:r>
            <w:r>
              <w:rPr>
                <w:rFonts w:hint="eastAsia" w:ascii="宋体" w:hAnsi="宋体" w:eastAsia="宋体" w:cs="宋体"/>
                <w:szCs w:val="21"/>
                <w:highlight w:val="none"/>
              </w:rPr>
              <w:t>）</w:t>
            </w:r>
          </w:p>
          <w:p>
            <w:pPr>
              <w:numPr>
                <w:ilvl w:val="0"/>
                <w:numId w:val="5"/>
              </w:numPr>
              <w:spacing w:line="0" w:lineRule="atLeast"/>
              <w:rPr>
                <w:rFonts w:hint="eastAsia" w:ascii="宋体" w:hAnsi="宋体" w:eastAsia="宋体" w:cs="宋体"/>
                <w:szCs w:val="21"/>
                <w:highlight w:val="none"/>
              </w:rPr>
            </w:pPr>
            <w:r>
              <w:rPr>
                <w:rFonts w:hint="eastAsia" w:ascii="宋体" w:hAnsi="宋体" w:eastAsia="宋体" w:cs="宋体"/>
                <w:szCs w:val="21"/>
                <w:highlight w:val="none"/>
                <w:lang w:val="en-US" w:eastAsia="zh-CN"/>
              </w:rPr>
              <w:t>累计</w:t>
            </w:r>
            <w:r>
              <w:rPr>
                <w:rFonts w:hint="eastAsia" w:ascii="宋体" w:hAnsi="宋体" w:eastAsia="宋体" w:cs="宋体"/>
                <w:szCs w:val="21"/>
                <w:highlight w:val="none"/>
              </w:rPr>
              <w:t>大于</w:t>
            </w:r>
            <w:r>
              <w:rPr>
                <w:rFonts w:hint="eastAsia" w:ascii="宋体" w:hAnsi="宋体" w:eastAsia="宋体" w:cs="宋体"/>
                <w:szCs w:val="21"/>
                <w:highlight w:val="none"/>
                <w:lang w:val="en-US" w:eastAsia="zh-CN"/>
              </w:rPr>
              <w:t>150</w:t>
            </w:r>
            <w:r>
              <w:rPr>
                <w:rFonts w:hint="eastAsia" w:ascii="宋体" w:hAnsi="宋体" w:eastAsia="宋体" w:cs="宋体"/>
                <w:szCs w:val="21"/>
                <w:highlight w:val="none"/>
              </w:rPr>
              <w:t>万</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不含本数）</w:t>
            </w:r>
            <w:r>
              <w:rPr>
                <w:rFonts w:hint="eastAsia" w:ascii="宋体" w:hAnsi="宋体" w:eastAsia="宋体" w:cs="宋体"/>
                <w:szCs w:val="21"/>
                <w:highlight w:val="none"/>
              </w:rPr>
              <w:t>的得</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w:t>
            </w:r>
          </w:p>
          <w:p>
            <w:pPr>
              <w:numPr>
                <w:ilvl w:val="0"/>
                <w:numId w:val="5"/>
              </w:numPr>
              <w:spacing w:line="0" w:lineRule="atLeast"/>
              <w:rPr>
                <w:rFonts w:hint="eastAsia" w:ascii="宋体" w:hAnsi="宋体" w:eastAsia="宋体" w:cs="宋体"/>
                <w:szCs w:val="21"/>
                <w:highlight w:val="none"/>
              </w:rPr>
            </w:pPr>
            <w:r>
              <w:rPr>
                <w:rFonts w:hint="eastAsia" w:ascii="宋体" w:hAnsi="宋体" w:eastAsia="宋体" w:cs="宋体"/>
                <w:szCs w:val="21"/>
                <w:highlight w:val="none"/>
                <w:lang w:val="en-US" w:eastAsia="zh-CN"/>
              </w:rPr>
              <w:t>累计100</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不含本数）</w:t>
            </w:r>
            <w:r>
              <w:rPr>
                <w:rFonts w:hint="eastAsia" w:ascii="宋体" w:hAnsi="宋体" w:eastAsia="宋体" w:cs="宋体"/>
                <w:szCs w:val="21"/>
                <w:highlight w:val="none"/>
              </w:rPr>
              <w:t>万以上至</w:t>
            </w:r>
            <w:r>
              <w:rPr>
                <w:rFonts w:hint="eastAsia" w:ascii="宋体" w:hAnsi="宋体" w:eastAsia="宋体" w:cs="宋体"/>
                <w:szCs w:val="21"/>
                <w:highlight w:val="none"/>
                <w:lang w:val="en-US" w:eastAsia="zh-CN"/>
              </w:rPr>
              <w:t>150</w:t>
            </w:r>
            <w:r>
              <w:rPr>
                <w:rFonts w:hint="eastAsia" w:ascii="宋体" w:hAnsi="宋体" w:eastAsia="宋体" w:cs="宋体"/>
                <w:szCs w:val="21"/>
                <w:highlight w:val="none"/>
              </w:rPr>
              <w:t>万</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含本数）</w:t>
            </w:r>
            <w:r>
              <w:rPr>
                <w:rFonts w:hint="eastAsia" w:ascii="宋体" w:hAnsi="宋体" w:eastAsia="宋体" w:cs="宋体"/>
                <w:szCs w:val="21"/>
                <w:highlight w:val="none"/>
              </w:rPr>
              <w:t>的得</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分，</w:t>
            </w:r>
          </w:p>
          <w:p>
            <w:pPr>
              <w:numPr>
                <w:ilvl w:val="0"/>
                <w:numId w:val="5"/>
              </w:numPr>
              <w:spacing w:line="0" w:lineRule="atLeast"/>
              <w:rPr>
                <w:rFonts w:hint="eastAsia" w:ascii="宋体" w:hAnsi="宋体" w:eastAsia="宋体" w:cs="宋体"/>
                <w:szCs w:val="21"/>
                <w:highlight w:val="none"/>
              </w:rPr>
            </w:pPr>
            <w:r>
              <w:rPr>
                <w:rFonts w:hint="eastAsia" w:ascii="宋体" w:hAnsi="宋体" w:eastAsia="宋体" w:cs="宋体"/>
                <w:szCs w:val="21"/>
                <w:highlight w:val="none"/>
                <w:lang w:val="en-US" w:eastAsia="zh-CN"/>
              </w:rPr>
              <w:t>累计50</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不含本数）</w:t>
            </w:r>
            <w:r>
              <w:rPr>
                <w:rFonts w:hint="eastAsia" w:ascii="宋体" w:hAnsi="宋体" w:eastAsia="宋体" w:cs="宋体"/>
                <w:szCs w:val="21"/>
                <w:highlight w:val="none"/>
              </w:rPr>
              <w:t>万以上至</w:t>
            </w:r>
            <w:r>
              <w:rPr>
                <w:rFonts w:hint="eastAsia" w:ascii="宋体" w:hAnsi="宋体" w:eastAsia="宋体" w:cs="宋体"/>
                <w:szCs w:val="21"/>
                <w:highlight w:val="none"/>
                <w:lang w:val="en-US" w:eastAsia="zh-CN"/>
              </w:rPr>
              <w:t>100</w:t>
            </w:r>
            <w:r>
              <w:rPr>
                <w:rFonts w:hint="eastAsia" w:ascii="宋体" w:hAnsi="宋体" w:eastAsia="宋体" w:cs="宋体"/>
                <w:szCs w:val="21"/>
                <w:highlight w:val="none"/>
              </w:rPr>
              <w:t>万</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含本数）</w:t>
            </w:r>
            <w:r>
              <w:rPr>
                <w:rFonts w:hint="eastAsia" w:ascii="宋体" w:hAnsi="宋体" w:eastAsia="宋体" w:cs="宋体"/>
                <w:szCs w:val="21"/>
                <w:highlight w:val="none"/>
              </w:rPr>
              <w:t>的得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p>
          <w:p>
            <w:pPr>
              <w:jc w:val="left"/>
              <w:rPr>
                <w:rFonts w:hint="eastAsia" w:ascii="宋体" w:hAnsi="宋体" w:eastAsia="宋体" w:cs="宋体"/>
                <w:szCs w:val="21"/>
                <w:lang w:val="en-US" w:eastAsia="zh-CN"/>
              </w:rPr>
            </w:pPr>
            <w:r>
              <w:rPr>
                <w:rFonts w:hint="eastAsia" w:ascii="宋体" w:hAnsi="宋体" w:eastAsia="宋体" w:cs="宋体"/>
                <w:kern w:val="0"/>
                <w:szCs w:val="21"/>
                <w:highlight w:val="none"/>
              </w:rPr>
              <w:t>【</w:t>
            </w:r>
            <w:r>
              <w:rPr>
                <w:rFonts w:hint="eastAsia" w:ascii="宋体" w:hAnsi="宋体" w:eastAsia="宋体" w:cs="宋体"/>
                <w:kern w:val="0"/>
                <w:szCs w:val="21"/>
                <w:highlight w:val="none"/>
                <w:lang w:val="en-US" w:eastAsia="zh-CN"/>
              </w:rPr>
              <w:t>提供发票</w:t>
            </w:r>
            <w:r>
              <w:rPr>
                <w:rFonts w:hint="eastAsia" w:ascii="宋体" w:hAnsi="宋体" w:eastAsia="宋体" w:cs="宋体"/>
                <w:kern w:val="0"/>
                <w:szCs w:val="21"/>
                <w:highlight w:val="none"/>
              </w:rPr>
              <w:t>复印件加盖投标人公章，不提供不得分。</w:t>
            </w:r>
            <w:r>
              <w:rPr>
                <w:rFonts w:hint="eastAsia" w:ascii="宋体" w:hAnsi="宋体" w:eastAsia="宋体" w:cs="宋体"/>
                <w:color w:val="auto"/>
                <w:kern w:val="0"/>
                <w:szCs w:val="21"/>
                <w:highlight w:val="none"/>
              </w:rPr>
              <w:t>】</w:t>
            </w:r>
          </w:p>
        </w:tc>
        <w:tc>
          <w:tcPr>
            <w:tcW w:w="686"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ind w:left="42" w:leftChars="20" w:right="42" w:rightChars="2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eastAsia="zh-CN"/>
              </w:rPr>
              <w:t>负责人资质情况</w:t>
            </w:r>
          </w:p>
        </w:tc>
        <w:tc>
          <w:tcPr>
            <w:tcW w:w="709" w:type="dxa"/>
            <w:shd w:val="clear" w:color="auto" w:fill="auto"/>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position w:val="8"/>
                <w:szCs w:val="21"/>
                <w:highlight w:val="none"/>
                <w:lang w:val="en-US" w:eastAsia="zh-CN"/>
              </w:rPr>
              <w:t>4</w:t>
            </w:r>
          </w:p>
        </w:tc>
        <w:tc>
          <w:tcPr>
            <w:tcW w:w="9797" w:type="dxa"/>
            <w:shd w:val="clear" w:color="auto" w:fill="auto"/>
            <w:vAlign w:val="center"/>
          </w:tcPr>
          <w:p>
            <w:pPr>
              <w:numPr>
                <w:ilvl w:val="-1"/>
                <w:numId w:val="0"/>
              </w:numPr>
              <w:jc w:val="left"/>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项目负责人</w:t>
            </w:r>
            <w:r>
              <w:rPr>
                <w:rFonts w:hint="eastAsia" w:ascii="宋体" w:hAnsi="宋体" w:eastAsia="宋体" w:cs="宋体"/>
                <w:sz w:val="21"/>
                <w:szCs w:val="21"/>
              </w:rPr>
              <w:t>具有</w:t>
            </w:r>
            <w:r>
              <w:rPr>
                <w:rFonts w:hint="eastAsia" w:ascii="宋体" w:hAnsi="宋体" w:eastAsia="宋体" w:cs="宋体"/>
                <w:color w:val="auto"/>
                <w:sz w:val="21"/>
                <w:szCs w:val="21"/>
                <w:highlight w:val="none"/>
                <w:u w:val="none"/>
              </w:rPr>
              <w:t>市政公用工程专业</w:t>
            </w:r>
            <w:r>
              <w:rPr>
                <w:rFonts w:hint="eastAsia" w:ascii="宋体" w:hAnsi="宋体" w:eastAsia="宋体" w:cs="宋体"/>
                <w:color w:val="auto"/>
                <w:sz w:val="21"/>
                <w:szCs w:val="21"/>
                <w:highlight w:val="none"/>
                <w:u w:val="none"/>
                <w:lang w:eastAsia="zh-CN"/>
              </w:rPr>
              <w:t>一</w:t>
            </w:r>
            <w:r>
              <w:rPr>
                <w:rFonts w:hint="eastAsia" w:ascii="宋体" w:hAnsi="宋体" w:eastAsia="宋体" w:cs="宋体"/>
                <w:color w:val="auto"/>
                <w:sz w:val="21"/>
                <w:szCs w:val="21"/>
                <w:highlight w:val="none"/>
                <w:u w:val="none"/>
              </w:rPr>
              <w:t>级</w:t>
            </w:r>
            <w:r>
              <w:rPr>
                <w:rFonts w:hint="eastAsia" w:ascii="宋体" w:hAnsi="宋体" w:eastAsia="宋体" w:cs="宋体"/>
                <w:color w:val="auto"/>
                <w:sz w:val="21"/>
                <w:szCs w:val="21"/>
                <w:highlight w:val="none"/>
              </w:rPr>
              <w:t>注册建造师</w:t>
            </w:r>
            <w:r>
              <w:rPr>
                <w:rFonts w:hint="eastAsia" w:ascii="宋体" w:hAnsi="宋体" w:eastAsia="宋体" w:cs="宋体"/>
                <w:sz w:val="21"/>
                <w:szCs w:val="21"/>
              </w:rPr>
              <w:t>，得1分。</w:t>
            </w:r>
          </w:p>
          <w:p>
            <w:pPr>
              <w:numPr>
                <w:ilvl w:val="-1"/>
                <w:numId w:val="0"/>
              </w:numP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项目负责人具有</w:t>
            </w:r>
            <w:r>
              <w:rPr>
                <w:rFonts w:hint="eastAsia" w:ascii="宋体" w:hAnsi="宋体" w:eastAsia="宋体" w:cs="宋体"/>
                <w:color w:val="auto"/>
                <w:sz w:val="21"/>
                <w:szCs w:val="21"/>
                <w:highlight w:val="none"/>
                <w:u w:val="none"/>
              </w:rPr>
              <w:t>工程</w:t>
            </w:r>
            <w:r>
              <w:rPr>
                <w:rFonts w:hint="eastAsia" w:ascii="宋体" w:hAnsi="宋体" w:eastAsia="宋体" w:cs="宋体"/>
                <w:color w:val="auto"/>
                <w:sz w:val="21"/>
                <w:szCs w:val="21"/>
                <w:highlight w:val="none"/>
                <w:u w:val="none"/>
                <w:lang w:eastAsia="zh-CN"/>
              </w:rPr>
              <w:t>类中级或以上职称，得</w:t>
            </w:r>
            <w:r>
              <w:rPr>
                <w:rFonts w:hint="eastAsia" w:ascii="宋体" w:hAnsi="宋体" w:eastAsia="宋体" w:cs="宋体"/>
                <w:color w:val="auto"/>
                <w:sz w:val="21"/>
                <w:szCs w:val="21"/>
                <w:highlight w:val="none"/>
                <w:u w:val="none"/>
                <w:lang w:val="en-US" w:eastAsia="zh-CN"/>
              </w:rPr>
              <w:t>1分。</w:t>
            </w:r>
          </w:p>
          <w:p>
            <w:pPr>
              <w:numPr>
                <w:ilvl w:val="-1"/>
                <w:numId w:val="0"/>
              </w:numPr>
              <w:rPr>
                <w:rFonts w:hint="eastAsia" w:ascii="宋体" w:hAnsi="宋体" w:eastAsia="宋体" w:cs="宋体"/>
                <w:sz w:val="21"/>
                <w:szCs w:val="21"/>
              </w:rPr>
            </w:pPr>
            <w:r>
              <w:rPr>
                <w:rFonts w:hint="eastAsia" w:ascii="宋体" w:hAnsi="宋体" w:eastAsia="宋体" w:cs="宋体"/>
                <w:color w:val="auto"/>
                <w:sz w:val="21"/>
                <w:szCs w:val="21"/>
                <w:highlight w:val="none"/>
                <w:lang w:val="en-US" w:eastAsia="zh-CN"/>
              </w:rPr>
              <w:t>3、技术负责人具有</w:t>
            </w:r>
            <w:r>
              <w:rPr>
                <w:rFonts w:hint="eastAsia" w:ascii="宋体" w:hAnsi="宋体" w:eastAsia="宋体" w:cs="宋体"/>
                <w:color w:val="auto"/>
                <w:sz w:val="21"/>
                <w:szCs w:val="21"/>
                <w:highlight w:val="none"/>
                <w:u w:val="none"/>
              </w:rPr>
              <w:t>工程</w:t>
            </w:r>
            <w:r>
              <w:rPr>
                <w:rFonts w:hint="eastAsia" w:ascii="宋体" w:hAnsi="宋体" w:eastAsia="宋体" w:cs="宋体"/>
                <w:color w:val="auto"/>
                <w:sz w:val="21"/>
                <w:szCs w:val="21"/>
                <w:highlight w:val="none"/>
                <w:u w:val="none"/>
                <w:lang w:eastAsia="zh-CN"/>
              </w:rPr>
              <w:t>类</w:t>
            </w:r>
            <w:r>
              <w:rPr>
                <w:rFonts w:hint="eastAsia" w:ascii="宋体" w:hAnsi="宋体" w:eastAsia="宋体" w:cs="宋体"/>
                <w:color w:val="auto"/>
                <w:sz w:val="21"/>
                <w:szCs w:val="21"/>
                <w:highlight w:val="none"/>
                <w:lang w:val="en-US" w:eastAsia="zh-CN"/>
              </w:rPr>
              <w:t>高级或以上工程师职称，得1分。</w:t>
            </w:r>
          </w:p>
          <w:p>
            <w:pPr>
              <w:adjustRightInd/>
              <w:snapToGrid/>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技术负责人</w:t>
            </w:r>
            <w:r>
              <w:rPr>
                <w:rFonts w:hint="eastAsia" w:ascii="宋体" w:hAnsi="宋体" w:eastAsia="宋体" w:cs="宋体"/>
                <w:sz w:val="21"/>
                <w:szCs w:val="21"/>
              </w:rPr>
              <w:t>具有</w:t>
            </w:r>
            <w:r>
              <w:rPr>
                <w:rFonts w:hint="eastAsia" w:ascii="宋体" w:hAnsi="宋体" w:eastAsia="宋体" w:cs="宋体"/>
                <w:color w:val="auto"/>
                <w:sz w:val="21"/>
                <w:szCs w:val="21"/>
                <w:highlight w:val="none"/>
                <w:u w:val="none"/>
              </w:rPr>
              <w:t>市政公用工程专业二级或以上级别</w:t>
            </w:r>
            <w:r>
              <w:rPr>
                <w:rFonts w:hint="eastAsia" w:ascii="宋体" w:hAnsi="宋体" w:eastAsia="宋体" w:cs="宋体"/>
                <w:color w:val="auto"/>
                <w:sz w:val="21"/>
                <w:szCs w:val="21"/>
                <w:highlight w:val="none"/>
              </w:rPr>
              <w:t>的注册建造师</w:t>
            </w:r>
            <w:r>
              <w:rPr>
                <w:rFonts w:hint="eastAsia" w:ascii="宋体" w:hAnsi="宋体" w:eastAsia="宋体" w:cs="宋体"/>
                <w:sz w:val="21"/>
                <w:szCs w:val="21"/>
              </w:rPr>
              <w:t>，</w:t>
            </w:r>
            <w:r>
              <w:rPr>
                <w:rFonts w:hint="eastAsia" w:ascii="宋体" w:hAnsi="宋体" w:eastAsia="宋体" w:cs="宋体"/>
                <w:sz w:val="21"/>
                <w:szCs w:val="21"/>
                <w:lang w:eastAsia="zh-CN"/>
              </w:rPr>
              <w:t>得</w:t>
            </w:r>
            <w:r>
              <w:rPr>
                <w:rFonts w:hint="eastAsia" w:ascii="宋体" w:hAnsi="宋体" w:eastAsia="宋体" w:cs="宋体"/>
                <w:sz w:val="21"/>
                <w:szCs w:val="21"/>
                <w:lang w:val="en-US" w:eastAsia="zh-CN"/>
              </w:rPr>
              <w:t>1分</w:t>
            </w:r>
            <w:r>
              <w:rPr>
                <w:rFonts w:hint="eastAsia" w:ascii="宋体" w:hAnsi="宋体" w:eastAsia="宋体" w:cs="宋体"/>
                <w:sz w:val="21"/>
                <w:szCs w:val="21"/>
              </w:rPr>
              <w:t>。</w:t>
            </w:r>
          </w:p>
        </w:tc>
        <w:tc>
          <w:tcPr>
            <w:tcW w:w="686"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lang w:val="en-US" w:eastAsia="zh-CN"/>
              </w:rPr>
              <w:t>25分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ind w:left="7" w:lef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kern w:val="0"/>
                <w:szCs w:val="21"/>
              </w:rPr>
              <w:t>对本项目的熟悉程度</w:t>
            </w:r>
          </w:p>
        </w:tc>
        <w:tc>
          <w:tcPr>
            <w:tcW w:w="709" w:type="dxa"/>
            <w:shd w:val="clear" w:color="auto" w:fill="auto"/>
            <w:vAlign w:val="center"/>
          </w:tcPr>
          <w:p>
            <w:pPr>
              <w:tabs>
                <w:tab w:val="left" w:pos="840"/>
              </w:tabs>
              <w:spacing w:before="1"/>
              <w:ind w:right="-97" w:rightChars="0"/>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kern w:val="0"/>
                <w:szCs w:val="21"/>
              </w:rPr>
              <w:t>5</w:t>
            </w:r>
          </w:p>
        </w:tc>
        <w:tc>
          <w:tcPr>
            <w:tcW w:w="9797" w:type="dxa"/>
            <w:shd w:val="clear" w:color="auto" w:fill="auto"/>
            <w:vAlign w:val="center"/>
          </w:tcPr>
          <w:p>
            <w:pPr>
              <w:jc w:val="left"/>
              <w:rPr>
                <w:rFonts w:hint="eastAsia" w:ascii="宋体" w:hAnsi="宋体" w:eastAsia="宋体" w:cs="宋体"/>
                <w:sz w:val="21"/>
                <w:szCs w:val="21"/>
              </w:rPr>
            </w:pPr>
            <w:r>
              <w:rPr>
                <w:rFonts w:hint="eastAsia" w:ascii="宋体" w:hAnsi="宋体" w:eastAsia="宋体" w:cs="宋体"/>
                <w:sz w:val="21"/>
                <w:szCs w:val="21"/>
                <w:lang w:val="en-US" w:eastAsia="zh-CN"/>
              </w:rPr>
              <w:t>1.优：</w:t>
            </w:r>
            <w:r>
              <w:rPr>
                <w:rFonts w:hint="eastAsia" w:ascii="宋体" w:hAnsi="宋体" w:eastAsia="宋体" w:cs="宋体"/>
                <w:sz w:val="21"/>
                <w:szCs w:val="21"/>
              </w:rPr>
              <w:t>深刻了解本项目需求的必要性、重要性，熟悉本项目情况，能准确把握工作内容，符合</w:t>
            </w:r>
            <w:r>
              <w:rPr>
                <w:rFonts w:hint="eastAsia" w:ascii="宋体" w:hAnsi="宋体" w:eastAsia="宋体" w:cs="宋体"/>
                <w:sz w:val="21"/>
                <w:szCs w:val="21"/>
                <w:lang w:eastAsia="zh-CN"/>
              </w:rPr>
              <w:t>招标</w:t>
            </w:r>
            <w:r>
              <w:rPr>
                <w:rFonts w:hint="eastAsia" w:ascii="宋体" w:hAnsi="宋体" w:eastAsia="宋体" w:cs="宋体"/>
                <w:sz w:val="21"/>
                <w:szCs w:val="21"/>
              </w:rPr>
              <w:t>人的需求，得5分；</w:t>
            </w:r>
          </w:p>
          <w:p>
            <w:pPr>
              <w:jc w:val="left"/>
              <w:rPr>
                <w:rFonts w:hint="eastAsia" w:ascii="宋体" w:hAnsi="宋体" w:eastAsia="宋体" w:cs="宋体"/>
                <w:sz w:val="21"/>
                <w:szCs w:val="21"/>
              </w:rPr>
            </w:pPr>
            <w:r>
              <w:rPr>
                <w:rFonts w:hint="eastAsia" w:ascii="宋体" w:hAnsi="宋体" w:eastAsia="宋体" w:cs="宋体"/>
                <w:sz w:val="21"/>
                <w:szCs w:val="21"/>
                <w:lang w:val="en-US" w:eastAsia="zh-CN"/>
              </w:rPr>
              <w:t>2.良：</w:t>
            </w:r>
            <w:r>
              <w:rPr>
                <w:rFonts w:hint="eastAsia" w:ascii="宋体" w:hAnsi="宋体" w:eastAsia="宋体" w:cs="宋体"/>
                <w:sz w:val="21"/>
                <w:szCs w:val="21"/>
              </w:rPr>
              <w:t>基本了解本项目情况，基本符合</w:t>
            </w:r>
            <w:r>
              <w:rPr>
                <w:rFonts w:hint="eastAsia" w:ascii="宋体" w:hAnsi="宋体" w:eastAsia="宋体" w:cs="宋体"/>
                <w:sz w:val="21"/>
                <w:szCs w:val="21"/>
                <w:lang w:eastAsia="zh-CN"/>
              </w:rPr>
              <w:t>招标</w:t>
            </w:r>
            <w:r>
              <w:rPr>
                <w:rFonts w:hint="eastAsia" w:ascii="宋体" w:hAnsi="宋体" w:eastAsia="宋体" w:cs="宋体"/>
                <w:sz w:val="21"/>
                <w:szCs w:val="21"/>
              </w:rPr>
              <w:t>人的需求，得3分；</w:t>
            </w:r>
          </w:p>
          <w:p>
            <w:pPr>
              <w:jc w:val="left"/>
              <w:rPr>
                <w:rFonts w:hint="eastAsia" w:ascii="宋体" w:hAnsi="宋体" w:eastAsia="宋体" w:cs="宋体"/>
                <w:sz w:val="21"/>
                <w:szCs w:val="21"/>
              </w:rPr>
            </w:pPr>
            <w:r>
              <w:rPr>
                <w:rFonts w:hint="eastAsia" w:ascii="宋体" w:hAnsi="宋体" w:eastAsia="宋体" w:cs="宋体"/>
                <w:sz w:val="21"/>
                <w:szCs w:val="21"/>
                <w:lang w:val="en-US" w:eastAsia="zh-CN"/>
              </w:rPr>
              <w:t>3.差：</w:t>
            </w:r>
            <w:r>
              <w:rPr>
                <w:rFonts w:hint="eastAsia" w:ascii="宋体" w:hAnsi="宋体" w:eastAsia="宋体" w:cs="宋体"/>
                <w:sz w:val="21"/>
                <w:szCs w:val="21"/>
              </w:rPr>
              <w:t>不了解本项目情况，与</w:t>
            </w:r>
            <w:r>
              <w:rPr>
                <w:rFonts w:hint="eastAsia" w:ascii="宋体" w:hAnsi="宋体" w:eastAsia="宋体" w:cs="宋体"/>
                <w:sz w:val="21"/>
                <w:szCs w:val="21"/>
                <w:lang w:eastAsia="zh-CN"/>
              </w:rPr>
              <w:t>招标</w:t>
            </w:r>
            <w:r>
              <w:rPr>
                <w:rFonts w:hint="eastAsia" w:ascii="宋体" w:hAnsi="宋体" w:eastAsia="宋体" w:cs="宋体"/>
                <w:sz w:val="21"/>
                <w:szCs w:val="21"/>
              </w:rPr>
              <w:t>人的需求有一定差距，得2分。</w:t>
            </w:r>
          </w:p>
          <w:p>
            <w:pPr>
              <w:ind w:left="7" w:left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kern w:val="0"/>
                <w:szCs w:val="21"/>
              </w:rPr>
              <w:t>注：未提供上述材料不得分。</w:t>
            </w:r>
          </w:p>
        </w:tc>
        <w:tc>
          <w:tcPr>
            <w:tcW w:w="686"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6"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ind w:left="7" w:leftChars="0"/>
              <w:jc w:val="center"/>
              <w:rPr>
                <w:rFonts w:hint="eastAsia" w:ascii="宋体" w:hAnsi="宋体" w:eastAsia="宋体" w:cs="宋体"/>
                <w:color w:val="auto"/>
                <w:szCs w:val="21"/>
                <w:highlight w:val="none"/>
                <w:lang w:eastAsia="zh-CN"/>
              </w:rPr>
            </w:pPr>
            <w:r>
              <w:rPr>
                <w:rFonts w:hint="eastAsia" w:ascii="宋体" w:hAnsi="宋体" w:eastAsia="宋体" w:cs="宋体"/>
                <w:color w:val="000000"/>
                <w:kern w:val="0"/>
                <w:szCs w:val="21"/>
              </w:rPr>
              <w:t>项目实施方案</w:t>
            </w:r>
          </w:p>
        </w:tc>
        <w:tc>
          <w:tcPr>
            <w:tcW w:w="709" w:type="dxa"/>
            <w:shd w:val="clear" w:color="auto" w:fill="auto"/>
            <w:vAlign w:val="center"/>
          </w:tcPr>
          <w:p>
            <w:pPr>
              <w:tabs>
                <w:tab w:val="left" w:pos="840"/>
              </w:tabs>
              <w:spacing w:before="1"/>
              <w:ind w:right="-97" w:rightChars="0"/>
              <w:jc w:val="center"/>
              <w:rPr>
                <w:rFonts w:hint="eastAsia" w:ascii="宋体" w:hAnsi="宋体" w:eastAsia="宋体" w:cs="宋体"/>
                <w:color w:val="auto"/>
                <w:position w:val="8"/>
                <w:szCs w:val="21"/>
                <w:highlight w:val="none"/>
                <w:lang w:val="en-US" w:eastAsia="zh-CN"/>
              </w:rPr>
            </w:pPr>
            <w:r>
              <w:rPr>
                <w:rFonts w:hint="eastAsia" w:ascii="宋体" w:hAnsi="宋体" w:eastAsia="宋体" w:cs="宋体"/>
                <w:kern w:val="0"/>
                <w:szCs w:val="21"/>
                <w:lang w:val="en-US" w:eastAsia="zh-CN"/>
              </w:rPr>
              <w:t>15</w:t>
            </w:r>
          </w:p>
        </w:tc>
        <w:tc>
          <w:tcPr>
            <w:tcW w:w="9797" w:type="dxa"/>
            <w:shd w:val="clear" w:color="auto" w:fill="auto"/>
            <w:vAlign w:val="center"/>
          </w:tcPr>
          <w:p>
            <w:pPr>
              <w:jc w:val="left"/>
              <w:rPr>
                <w:rFonts w:hint="eastAsia" w:ascii="宋体" w:hAnsi="宋体" w:eastAsia="宋体" w:cs="宋体"/>
                <w:sz w:val="21"/>
                <w:szCs w:val="21"/>
              </w:rPr>
            </w:pPr>
            <w:r>
              <w:rPr>
                <w:rFonts w:hint="eastAsia" w:ascii="宋体" w:hAnsi="宋体" w:eastAsia="宋体" w:cs="宋体"/>
                <w:sz w:val="21"/>
                <w:szCs w:val="21"/>
              </w:rPr>
              <w:t>综合</w:t>
            </w:r>
            <w:r>
              <w:rPr>
                <w:rFonts w:hint="eastAsia" w:ascii="宋体" w:hAnsi="宋体" w:eastAsia="宋体" w:cs="宋体"/>
                <w:sz w:val="21"/>
                <w:szCs w:val="21"/>
                <w:lang w:eastAsia="zh-CN"/>
              </w:rPr>
              <w:t>评价</w:t>
            </w:r>
            <w:r>
              <w:rPr>
                <w:rFonts w:hint="eastAsia" w:ascii="宋体" w:hAnsi="宋体" w:eastAsia="宋体" w:cs="宋体"/>
                <w:sz w:val="21"/>
                <w:szCs w:val="21"/>
              </w:rPr>
              <w:t>投标人实施方案（包括但不限于现场作业管理方案及措施、安全生产管理方案及措施、现场文明施工方案及措施、工期保证方案及措施、方案及承诺、施工现场的清表、残土清运方案及措施、现场工作人员操作规范实施方案等）、投入本项目机械设备情况：</w:t>
            </w:r>
          </w:p>
          <w:p>
            <w:pPr>
              <w:jc w:val="left"/>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优：</w:t>
            </w:r>
            <w:r>
              <w:rPr>
                <w:rFonts w:hint="eastAsia" w:ascii="宋体" w:hAnsi="宋体" w:eastAsia="宋体" w:cs="宋体"/>
                <w:sz w:val="21"/>
                <w:szCs w:val="21"/>
              </w:rPr>
              <w:t>方案内容齐全，措施有效可行、具有针对性，承诺详细具体，能满足本项目需求，得10～15分；</w:t>
            </w:r>
          </w:p>
          <w:p>
            <w:pPr>
              <w:jc w:val="left"/>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良：</w:t>
            </w:r>
            <w:r>
              <w:rPr>
                <w:rFonts w:hint="eastAsia" w:ascii="宋体" w:hAnsi="宋体" w:eastAsia="宋体" w:cs="宋体"/>
                <w:sz w:val="21"/>
                <w:szCs w:val="21"/>
              </w:rPr>
              <w:t>方案内容较齐全，措施较有效可行、具有针对性，承诺较详细具体，基本满足本项目需求，得5～</w:t>
            </w:r>
            <w:r>
              <w:rPr>
                <w:rFonts w:hint="eastAsia" w:ascii="宋体" w:hAnsi="宋体" w:eastAsia="宋体" w:cs="宋体"/>
                <w:sz w:val="21"/>
                <w:szCs w:val="21"/>
                <w:lang w:val="en-US" w:eastAsia="zh-CN"/>
              </w:rPr>
              <w:t>9</w:t>
            </w:r>
            <w:r>
              <w:rPr>
                <w:rFonts w:hint="eastAsia" w:ascii="宋体" w:hAnsi="宋体" w:eastAsia="宋体" w:cs="宋体"/>
                <w:sz w:val="21"/>
                <w:szCs w:val="21"/>
              </w:rPr>
              <w:t>分；</w:t>
            </w:r>
          </w:p>
          <w:p>
            <w:pPr>
              <w:jc w:val="left"/>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差：</w:t>
            </w:r>
            <w:r>
              <w:rPr>
                <w:rFonts w:hint="eastAsia" w:ascii="宋体" w:hAnsi="宋体" w:eastAsia="宋体" w:cs="宋体"/>
                <w:sz w:val="21"/>
                <w:szCs w:val="21"/>
              </w:rPr>
              <w:t>方案内容有缺漏，措施较有效可行、针对性一般，承诺较详细，较能满足本项目需求，得</w:t>
            </w:r>
            <w:r>
              <w:rPr>
                <w:rFonts w:hint="eastAsia" w:ascii="宋体" w:hAnsi="宋体" w:eastAsia="宋体" w:cs="宋体"/>
                <w:sz w:val="21"/>
                <w:szCs w:val="21"/>
                <w:lang w:val="en-US" w:eastAsia="zh-CN"/>
              </w:rPr>
              <w:t>0</w:t>
            </w:r>
            <w:r>
              <w:rPr>
                <w:rFonts w:hint="eastAsia" w:ascii="宋体" w:hAnsi="宋体" w:eastAsia="宋体" w:cs="宋体"/>
                <w:sz w:val="21"/>
                <w:szCs w:val="21"/>
              </w:rPr>
              <w:t>～</w:t>
            </w:r>
            <w:r>
              <w:rPr>
                <w:rFonts w:hint="eastAsia" w:ascii="宋体" w:hAnsi="宋体" w:eastAsia="宋体" w:cs="宋体"/>
                <w:sz w:val="21"/>
                <w:szCs w:val="21"/>
                <w:lang w:val="en-US" w:eastAsia="zh-CN"/>
              </w:rPr>
              <w:t>4</w:t>
            </w:r>
            <w:r>
              <w:rPr>
                <w:rFonts w:hint="eastAsia" w:ascii="宋体" w:hAnsi="宋体" w:eastAsia="宋体" w:cs="宋体"/>
                <w:sz w:val="21"/>
                <w:szCs w:val="21"/>
              </w:rPr>
              <w:t>分；</w:t>
            </w:r>
          </w:p>
          <w:p>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rPr>
              <w:t>不提供方案不得分。</w:t>
            </w:r>
          </w:p>
        </w:tc>
        <w:tc>
          <w:tcPr>
            <w:tcW w:w="686"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szCs w:val="21"/>
              </w:rPr>
              <w:t>应急方案</w:t>
            </w:r>
          </w:p>
        </w:tc>
        <w:tc>
          <w:tcPr>
            <w:tcW w:w="709" w:type="dxa"/>
            <w:shd w:val="clear" w:color="auto" w:fill="auto"/>
            <w:vAlign w:val="center"/>
          </w:tcPr>
          <w:p>
            <w:pPr>
              <w:jc w:val="center"/>
              <w:rPr>
                <w:rFonts w:hint="eastAsia" w:ascii="宋体" w:hAnsi="宋体" w:eastAsia="宋体" w:cs="宋体"/>
                <w:color w:val="auto"/>
                <w:szCs w:val="21"/>
                <w:highlight w:val="none"/>
                <w:lang w:val="en-US" w:eastAsia="zh-CN"/>
              </w:rPr>
            </w:pPr>
            <w:r>
              <w:rPr>
                <w:rFonts w:hint="eastAsia" w:ascii="宋体" w:hAnsi="宋体" w:eastAsia="宋体" w:cs="宋体"/>
                <w:szCs w:val="21"/>
              </w:rPr>
              <w:t>5</w:t>
            </w:r>
          </w:p>
        </w:tc>
        <w:tc>
          <w:tcPr>
            <w:tcW w:w="9797" w:type="dxa"/>
            <w:shd w:val="clear" w:color="auto" w:fill="auto"/>
            <w:vAlign w:val="top"/>
          </w:tcPr>
          <w:p>
            <w:pPr>
              <w:jc w:val="left"/>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优：</w:t>
            </w:r>
            <w:r>
              <w:rPr>
                <w:rFonts w:hint="eastAsia" w:ascii="宋体" w:hAnsi="宋体" w:eastAsia="宋体" w:cs="宋体"/>
                <w:sz w:val="21"/>
                <w:szCs w:val="21"/>
              </w:rPr>
              <w:t>投标人提出的突发事件的应急预案和处理措施（包括应急响应时间、处理措施等）优秀，内容详细全面，可实施性强，得</w:t>
            </w:r>
            <w:r>
              <w:rPr>
                <w:rFonts w:hint="eastAsia" w:ascii="宋体" w:hAnsi="宋体" w:eastAsia="宋体" w:cs="宋体"/>
                <w:sz w:val="21"/>
                <w:szCs w:val="21"/>
                <w:lang w:val="en-US" w:eastAsia="zh-CN"/>
              </w:rPr>
              <w:t>4～</w:t>
            </w:r>
            <w:r>
              <w:rPr>
                <w:rFonts w:hint="eastAsia" w:ascii="宋体" w:hAnsi="宋体" w:eastAsia="宋体" w:cs="宋体"/>
                <w:sz w:val="21"/>
                <w:szCs w:val="21"/>
              </w:rPr>
              <w:t>5分；</w:t>
            </w:r>
          </w:p>
          <w:p>
            <w:pPr>
              <w:jc w:val="left"/>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良：</w:t>
            </w:r>
            <w:r>
              <w:rPr>
                <w:rFonts w:hint="eastAsia" w:ascii="宋体" w:hAnsi="宋体" w:eastAsia="宋体" w:cs="宋体"/>
                <w:sz w:val="21"/>
                <w:szCs w:val="21"/>
              </w:rPr>
              <w:t>报价人提出的突发事件的应急预案和处理措施（包括应急响应时间、处理措施等）良好，内容较详细，可实施性较强，得</w:t>
            </w:r>
            <w:r>
              <w:rPr>
                <w:rFonts w:hint="eastAsia" w:ascii="宋体" w:hAnsi="宋体" w:eastAsia="宋体" w:cs="宋体"/>
                <w:sz w:val="21"/>
                <w:szCs w:val="21"/>
                <w:lang w:val="en-US" w:eastAsia="zh-CN"/>
              </w:rPr>
              <w:t>2～</w:t>
            </w:r>
            <w:r>
              <w:rPr>
                <w:rFonts w:hint="eastAsia" w:ascii="宋体" w:hAnsi="宋体" w:eastAsia="宋体" w:cs="宋体"/>
                <w:sz w:val="21"/>
                <w:szCs w:val="21"/>
              </w:rPr>
              <w:t>3分；</w:t>
            </w:r>
          </w:p>
          <w:p>
            <w:pPr>
              <w:jc w:val="left"/>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差：</w:t>
            </w:r>
            <w:r>
              <w:rPr>
                <w:rFonts w:hint="eastAsia" w:ascii="宋体" w:hAnsi="宋体" w:eastAsia="宋体" w:cs="宋体"/>
                <w:sz w:val="21"/>
                <w:szCs w:val="21"/>
              </w:rPr>
              <w:t>报价人提出的突发事件的应急预案和处理措施（包括应急响应时间、处理措施等）一般，内容一般，可实施性不强，得</w:t>
            </w:r>
            <w:r>
              <w:rPr>
                <w:rFonts w:hint="eastAsia" w:ascii="宋体" w:hAnsi="宋体" w:eastAsia="宋体" w:cs="宋体"/>
                <w:sz w:val="21"/>
                <w:szCs w:val="21"/>
                <w:lang w:val="en-US" w:eastAsia="zh-CN"/>
              </w:rPr>
              <w:t>0～1</w:t>
            </w:r>
            <w:r>
              <w:rPr>
                <w:rFonts w:hint="eastAsia" w:ascii="宋体" w:hAnsi="宋体" w:eastAsia="宋体" w:cs="宋体"/>
                <w:sz w:val="21"/>
                <w:szCs w:val="21"/>
              </w:rPr>
              <w:t>分；</w:t>
            </w:r>
          </w:p>
          <w:p>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rPr>
              <w:t>不提供方案不得分</w:t>
            </w:r>
            <w:r>
              <w:rPr>
                <w:rFonts w:hint="eastAsia" w:ascii="宋体" w:hAnsi="宋体" w:eastAsia="宋体" w:cs="宋体"/>
                <w:sz w:val="21"/>
                <w:szCs w:val="21"/>
                <w:lang w:eastAsia="zh-CN"/>
              </w:rPr>
              <w:t>。</w:t>
            </w:r>
          </w:p>
        </w:tc>
        <w:tc>
          <w:tcPr>
            <w:tcW w:w="686"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50分</w:t>
            </w:r>
            <w:r>
              <w:rPr>
                <w:rFonts w:hint="eastAsia" w:ascii="宋体" w:hAnsi="宋体" w:eastAsia="宋体" w:cs="宋体"/>
                <w:color w:val="auto"/>
                <w:szCs w:val="21"/>
                <w:highlight w:val="none"/>
                <w:lang w:eastAsia="zh-CN"/>
              </w:rPr>
              <w:t>）</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p>
          <w:p>
            <w:pPr>
              <w:snapToGrid w:val="0"/>
              <w:ind w:left="-2" w:leftChars="-1"/>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50分</w:t>
            </w:r>
            <w:r>
              <w:rPr>
                <w:rFonts w:hint="eastAsia" w:ascii="宋体" w:hAnsi="宋体" w:eastAsia="宋体" w:cs="宋体"/>
                <w:color w:val="auto"/>
                <w:szCs w:val="21"/>
                <w:highlight w:val="none"/>
                <w:lang w:eastAsia="zh-CN"/>
              </w:rPr>
              <w:t>）</w:t>
            </w:r>
          </w:p>
        </w:tc>
        <w:tc>
          <w:tcPr>
            <w:tcW w:w="709" w:type="dxa"/>
            <w:shd w:val="clear" w:color="auto" w:fill="auto"/>
            <w:vAlign w:val="center"/>
          </w:tcPr>
          <w:p>
            <w:pPr>
              <w:spacing w:line="220" w:lineRule="exact"/>
              <w:ind w:left="-2" w:leftChars="-1"/>
              <w:jc w:val="center"/>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50</w:t>
            </w:r>
          </w:p>
        </w:tc>
        <w:tc>
          <w:tcPr>
            <w:tcW w:w="9797" w:type="dxa"/>
            <w:shd w:val="clear" w:color="auto" w:fill="auto"/>
          </w:tcPr>
          <w:p>
            <w:pPr>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若经过符合性审查，（</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3至5家的，则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单位的有效</w:t>
            </w:r>
            <w:r>
              <w:rPr>
                <w:rFonts w:hint="eastAsia" w:ascii="宋体" w:hAnsi="宋体" w:eastAsia="宋体" w:cs="宋体"/>
                <w:color w:val="auto"/>
                <w:szCs w:val="21"/>
                <w:highlight w:val="none"/>
                <w:lang w:eastAsia="zh-CN"/>
              </w:rPr>
              <w:t>总</w:t>
            </w:r>
            <w:r>
              <w:rPr>
                <w:rFonts w:hint="eastAsia" w:ascii="宋体" w:hAnsi="宋体" w:eastAsia="宋体" w:cs="宋体"/>
                <w:color w:val="auto"/>
                <w:szCs w:val="21"/>
                <w:highlight w:val="none"/>
              </w:rPr>
              <w:t>报价的</w:t>
            </w:r>
            <w:r>
              <w:rPr>
                <w:rFonts w:hint="eastAsia" w:ascii="宋体" w:hAnsi="宋体" w:eastAsia="宋体" w:cs="宋体"/>
                <w:color w:val="auto"/>
                <w:szCs w:val="21"/>
                <w:highlight w:val="none"/>
                <w:lang w:eastAsia="zh-CN"/>
              </w:rPr>
              <w:t>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6家或以上的，则去掉报价最高及报价最低的两家单位后，</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剩余入围投标</w:t>
            </w:r>
            <w:r>
              <w:rPr>
                <w:rFonts w:hint="eastAsia" w:ascii="宋体" w:hAnsi="宋体" w:eastAsia="宋体" w:cs="宋体"/>
                <w:color w:val="auto"/>
                <w:szCs w:val="21"/>
                <w:highlight w:val="none"/>
              </w:rPr>
              <w:t>单位</w:t>
            </w:r>
            <w:r>
              <w:rPr>
                <w:rFonts w:hint="eastAsia" w:ascii="宋体" w:hAnsi="宋体" w:eastAsia="宋体" w:cs="宋体"/>
                <w:color w:val="auto"/>
                <w:szCs w:val="21"/>
                <w:highlight w:val="none"/>
                <w:lang w:eastAsia="zh-CN"/>
              </w:rPr>
              <w:t>有效报价的算术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p>
          <w:p>
            <w:pPr>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ascii="宋体" w:hAnsi="宋体" w:eastAsia="宋体" w:cs="宋体"/>
                <w:color w:val="auto"/>
                <w:szCs w:val="21"/>
                <w:highlight w:val="none"/>
                <w:lang w:val="en-US" w:eastAsia="zh-CN"/>
              </w:rPr>
              <w:t>50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pStyle w:val="9"/>
              <w:numPr>
                <w:ilvl w:val="0"/>
                <w:numId w:val="6"/>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报价等于基准价的，得分=50。</w:t>
            </w:r>
          </w:p>
          <w:p>
            <w:pPr>
              <w:pStyle w:val="9"/>
              <w:numPr>
                <w:ilvl w:val="0"/>
                <w:numId w:val="6"/>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报价高于基准价的，得分=50-[（报价-基准价）/基准价]×100×1</w:t>
            </w:r>
          </w:p>
          <w:p>
            <w:pPr>
              <w:pStyle w:val="9"/>
              <w:numPr>
                <w:ilvl w:val="0"/>
                <w:numId w:val="6"/>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报价低于基准价的，得分=50-[（基准价-报价）/基准价]×100×0.5</w:t>
            </w:r>
          </w:p>
        </w:tc>
        <w:tc>
          <w:tcPr>
            <w:tcW w:w="686"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shd w:val="clear" w:color="auto" w:fill="auto"/>
            <w:vAlign w:val="center"/>
          </w:tcPr>
          <w:p>
            <w:pPr>
              <w:spacing w:line="22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797"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c>
          <w:tcPr>
            <w:tcW w:w="686"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1</w:t>
      </w:r>
      <w:r>
        <w:rPr>
          <w:rFonts w:hint="eastAsia" w:ascii="宋体" w:hAnsi="宋体" w:cs="宋体"/>
          <w:color w:val="auto"/>
          <w:szCs w:val="18"/>
          <w:highlight w:val="none"/>
        </w:rPr>
        <w:t>、项目负责人、</w:t>
      </w:r>
      <w:r>
        <w:rPr>
          <w:rFonts w:hint="eastAsia" w:ascii="宋体" w:hAnsi="宋体" w:cs="宋体"/>
          <w:color w:val="auto"/>
          <w:szCs w:val="18"/>
          <w:highlight w:val="none"/>
          <w:lang w:eastAsia="zh-CN"/>
        </w:rPr>
        <w:t>技术</w:t>
      </w:r>
      <w:r>
        <w:rPr>
          <w:rFonts w:hint="eastAsia" w:ascii="宋体" w:hAnsi="宋体" w:cs="宋体"/>
          <w:color w:val="auto"/>
          <w:szCs w:val="18"/>
          <w:highlight w:val="none"/>
        </w:rPr>
        <w:t>负责人注册关系必须在本单位，以上注册及职称均需提供相应证明材料。</w:t>
      </w:r>
    </w:p>
    <w:p>
      <w:pPr>
        <w:snapToGrid w:val="0"/>
        <w:ind w:firstLine="420" w:firstLineChars="200"/>
        <w:rPr>
          <w:rFonts w:hint="eastAsia" w:ascii="宋体" w:hAnsi="宋体" w:eastAsia="宋体" w:cs="宋体"/>
          <w:color w:val="auto"/>
          <w:szCs w:val="21"/>
          <w:highlight w:val="none"/>
        </w:rPr>
      </w:pPr>
      <w:r>
        <w:rPr>
          <w:rFonts w:hint="eastAsia" w:ascii="宋体" w:hAnsi="宋体" w:cs="宋体"/>
          <w:color w:val="auto"/>
          <w:szCs w:val="18"/>
          <w:highlight w:val="none"/>
          <w:lang w:val="en-US" w:eastAsia="zh-CN"/>
        </w:rPr>
        <w:t>2</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p>
      <w:pPr>
        <w:pStyle w:val="21"/>
        <w:ind w:firstLine="420" w:firstLineChars="200"/>
        <w:rPr>
          <w:rFonts w:hint="eastAsia" w:ascii="宋体" w:hAnsi="宋体" w:cs="宋体"/>
          <w:color w:val="auto"/>
          <w:kern w:val="0"/>
          <w:sz w:val="21"/>
          <w:szCs w:val="21"/>
          <w:highlight w:val="none"/>
          <w:lang w:eastAsia="zh-CN"/>
        </w:rPr>
      </w:pPr>
      <w:r>
        <w:rPr>
          <w:rFonts w:hint="eastAsia" w:ascii="宋体" w:hAnsi="宋体" w:cs="宋体"/>
          <w:color w:val="auto"/>
          <w:szCs w:val="21"/>
          <w:highlight w:val="none"/>
          <w:lang w:val="en-US" w:eastAsia="zh-CN"/>
        </w:rPr>
        <w:t>3、项目负责人、技术负责人需</w:t>
      </w:r>
      <w:r>
        <w:rPr>
          <w:rFonts w:hint="eastAsia" w:ascii="宋体" w:hAnsi="宋体" w:eastAsia="宋体" w:cs="宋体"/>
          <w:color w:val="auto"/>
          <w:sz w:val="21"/>
          <w:szCs w:val="21"/>
          <w:highlight w:val="none"/>
        </w:rPr>
        <w:t>提供</w:t>
      </w:r>
      <w:r>
        <w:rPr>
          <w:rFonts w:hint="eastAsia" w:ascii="宋体" w:hAnsi="宋体" w:cs="宋体"/>
          <w:color w:val="auto"/>
          <w:sz w:val="21"/>
          <w:szCs w:val="21"/>
          <w:highlight w:val="none"/>
          <w:lang w:eastAsia="zh-CN"/>
        </w:rPr>
        <w:t>相关</w:t>
      </w:r>
      <w:r>
        <w:rPr>
          <w:rFonts w:hint="eastAsia" w:ascii="宋体" w:hAnsi="宋体" w:eastAsia="宋体" w:cs="宋体"/>
          <w:color w:val="auto"/>
          <w:kern w:val="0"/>
          <w:sz w:val="21"/>
          <w:szCs w:val="21"/>
          <w:highlight w:val="none"/>
          <w:lang w:val="en-US" w:eastAsia="zh-CN"/>
        </w:rPr>
        <w:t>资格证、</w:t>
      </w:r>
      <w:r>
        <w:rPr>
          <w:rFonts w:hint="eastAsia" w:ascii="宋体" w:hAnsi="宋体" w:eastAsia="宋体" w:cs="宋体"/>
          <w:color w:val="auto"/>
          <w:sz w:val="21"/>
          <w:szCs w:val="21"/>
          <w:highlight w:val="none"/>
        </w:rPr>
        <w:t>职称证书</w:t>
      </w:r>
      <w:r>
        <w:rPr>
          <w:rFonts w:hint="eastAsia" w:ascii="宋体" w:hAnsi="宋体" w:cs="宋体"/>
          <w:color w:val="auto"/>
          <w:sz w:val="21"/>
          <w:szCs w:val="21"/>
          <w:highlight w:val="none"/>
          <w:lang w:val="en-US" w:eastAsia="zh-CN"/>
        </w:rPr>
        <w:t>复印件</w:t>
      </w:r>
      <w:r>
        <w:rPr>
          <w:rFonts w:hint="eastAsia" w:ascii="宋体" w:hAnsi="宋体" w:eastAsia="宋体" w:cs="宋体"/>
          <w:color w:val="auto"/>
          <w:sz w:val="21"/>
          <w:szCs w:val="21"/>
          <w:highlight w:val="none"/>
        </w:rPr>
        <w:t>，需提供上述人员在本单位购买的近</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个月</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2022年9月</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的社保证明</w:t>
      </w:r>
      <w:r>
        <w:rPr>
          <w:rFonts w:hint="eastAsia" w:ascii="宋体" w:hAnsi="宋体" w:cs="宋体"/>
          <w:color w:val="auto"/>
          <w:sz w:val="21"/>
          <w:szCs w:val="21"/>
          <w:highlight w:val="none"/>
          <w:lang w:eastAsia="zh-CN"/>
        </w:rPr>
        <w:t>复印件</w:t>
      </w:r>
      <w:r>
        <w:rPr>
          <w:rFonts w:hint="eastAsia" w:ascii="宋体" w:hAnsi="宋体" w:eastAsia="宋体" w:cs="宋体"/>
          <w:color w:val="auto"/>
          <w:sz w:val="21"/>
          <w:szCs w:val="21"/>
          <w:highlight w:val="none"/>
        </w:rPr>
        <w:t>，本项目社保缴纳期限包含疫情期，若当地政府部门允许企业在疫情期间缓缴社会保险费且投标人未缴纳的，投标人可提供当地政府部门允许缓缴社保的相关文件作为疫情期缴纳社保的证明。</w:t>
      </w:r>
      <w:r>
        <w:rPr>
          <w:rFonts w:hint="eastAsia" w:ascii="宋体" w:hAnsi="宋体" w:eastAsia="宋体" w:cs="宋体"/>
          <w:color w:val="auto"/>
          <w:kern w:val="0"/>
          <w:sz w:val="21"/>
          <w:szCs w:val="21"/>
          <w:highlight w:val="none"/>
        </w:rPr>
        <w:t>所有证明材料均须加盖公章</w:t>
      </w:r>
      <w:r>
        <w:rPr>
          <w:rFonts w:hint="eastAsia" w:ascii="宋体" w:hAnsi="宋体" w:cs="宋体"/>
          <w:color w:val="auto"/>
          <w:kern w:val="0"/>
          <w:sz w:val="21"/>
          <w:szCs w:val="21"/>
          <w:highlight w:val="none"/>
          <w:lang w:eastAsia="zh-CN"/>
        </w:rPr>
        <w:t>。</w:t>
      </w:r>
    </w:p>
    <w:p>
      <w:pPr>
        <w:pStyle w:val="21"/>
        <w:ind w:firstLine="420" w:firstLineChars="200"/>
        <w:rPr>
          <w:rFonts w:hint="eastAsia" w:ascii="宋体" w:hAnsi="宋体" w:cs="宋体"/>
          <w:color w:val="auto"/>
          <w:kern w:val="0"/>
          <w:sz w:val="21"/>
          <w:szCs w:val="21"/>
          <w:highlight w:val="none"/>
          <w:lang w:eastAsia="zh-CN"/>
        </w:rPr>
      </w:pPr>
    </w:p>
    <w:p>
      <w:pPr>
        <w:pStyle w:val="21"/>
        <w:ind w:firstLine="420" w:firstLineChars="200"/>
        <w:rPr>
          <w:rFonts w:hint="eastAsia" w:ascii="宋体" w:hAnsi="宋体" w:cs="宋体"/>
          <w:color w:val="auto"/>
          <w:kern w:val="0"/>
          <w:sz w:val="21"/>
          <w:szCs w:val="21"/>
          <w:highlight w:val="none"/>
          <w:lang w:val="en-US" w:eastAsia="zh-CN"/>
        </w:rPr>
        <w:sectPr>
          <w:pgSz w:w="15840" w:h="12240" w:orient="landscape"/>
          <w:pgMar w:top="1797" w:right="1440" w:bottom="1797" w:left="1440" w:header="720" w:footer="720" w:gutter="0"/>
          <w:cols w:space="425" w:num="1"/>
          <w:docGrid w:linePitch="312" w:charSpace="0"/>
        </w:sectPr>
      </w:pP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6"/>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广州南沙旅游发展有限公司</w:t>
      </w:r>
      <w:r>
        <w:rPr>
          <w:rFonts w:hint="eastAsia" w:ascii="宋体" w:hAnsi="宋体" w:eastAsia="宋体"/>
          <w:color w:val="auto"/>
          <w:sz w:val="24"/>
          <w:szCs w:val="24"/>
          <w:highlight w:val="none"/>
          <w:u w:val="single"/>
        </w:rPr>
        <w:t xml:space="preserve">、广州南沙建设维护管理有限公司 </w:t>
      </w:r>
    </w:p>
    <w:p>
      <w:pPr>
        <w:pStyle w:val="36"/>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pacing w:val="20"/>
          <w:sz w:val="24"/>
          <w:szCs w:val="24"/>
          <w:highlight w:val="none"/>
          <w:u w:val="single"/>
          <w:lang w:eastAsia="zh-CN"/>
        </w:rPr>
        <w:t>新建天后宫景区停车场项目施工总承包</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6"/>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7"/>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6"/>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6"/>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9"/>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15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32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D1711B27"/>
    <w:multiLevelType w:val="singleLevel"/>
    <w:tmpl w:val="D1711B27"/>
    <w:lvl w:ilvl="0" w:tentative="0">
      <w:start w:val="1"/>
      <w:numFmt w:val="decimal"/>
      <w:suff w:val="nothing"/>
      <w:lvlText w:val="（%1）"/>
      <w:lvlJc w:val="left"/>
    </w:lvl>
  </w:abstractNum>
  <w:abstractNum w:abstractNumId="3">
    <w:nsid w:val="F9153F42"/>
    <w:multiLevelType w:val="singleLevel"/>
    <w:tmpl w:val="F9153F42"/>
    <w:lvl w:ilvl="0" w:tentative="0">
      <w:start w:val="1"/>
      <w:numFmt w:val="decimal"/>
      <w:suff w:val="nothing"/>
      <w:lvlText w:val="%1、"/>
      <w:lvlJc w:val="left"/>
    </w:lvl>
  </w:abstractNum>
  <w:abstractNum w:abstractNumId="4">
    <w:nsid w:val="71BD1A65"/>
    <w:multiLevelType w:val="singleLevel"/>
    <w:tmpl w:val="71BD1A65"/>
    <w:lvl w:ilvl="0" w:tentative="0">
      <w:start w:val="1"/>
      <w:numFmt w:val="chineseCounting"/>
      <w:suff w:val="nothing"/>
      <w:lvlText w:val="%1、"/>
      <w:lvlJc w:val="left"/>
      <w:rPr>
        <w:rFonts w:hint="eastAsia"/>
      </w:rPr>
    </w:lvl>
  </w:abstractNum>
  <w:abstractNum w:abstractNumId="5">
    <w:nsid w:val="7A7B36A8"/>
    <w:multiLevelType w:val="singleLevel"/>
    <w:tmpl w:val="7A7B36A8"/>
    <w:lvl w:ilvl="0" w:tentative="0">
      <w:start w:val="33"/>
      <w:numFmt w:val="decimal"/>
      <w:suff w:val="nothing"/>
      <w:lvlText w:val="%1．"/>
      <w:lvlJc w:val="left"/>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2JjMjg4NjNjMGQ5OWQxMjU2NzFkNWEwMzQxMDU5MzI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E9680F"/>
    <w:rsid w:val="02F7533D"/>
    <w:rsid w:val="030457ED"/>
    <w:rsid w:val="03562994"/>
    <w:rsid w:val="03CB6D70"/>
    <w:rsid w:val="04364A4F"/>
    <w:rsid w:val="04376975"/>
    <w:rsid w:val="04E40895"/>
    <w:rsid w:val="05031424"/>
    <w:rsid w:val="051B7598"/>
    <w:rsid w:val="052E78DA"/>
    <w:rsid w:val="059A4101"/>
    <w:rsid w:val="07746BCF"/>
    <w:rsid w:val="07F66A4C"/>
    <w:rsid w:val="083B43B1"/>
    <w:rsid w:val="08757A2C"/>
    <w:rsid w:val="08A9464F"/>
    <w:rsid w:val="08D505E6"/>
    <w:rsid w:val="09062DA7"/>
    <w:rsid w:val="09A667E8"/>
    <w:rsid w:val="0A621C44"/>
    <w:rsid w:val="0A9867C9"/>
    <w:rsid w:val="0B372B92"/>
    <w:rsid w:val="0BFF40FB"/>
    <w:rsid w:val="0C855B7E"/>
    <w:rsid w:val="0C87037B"/>
    <w:rsid w:val="0CF74903"/>
    <w:rsid w:val="0E1B10A8"/>
    <w:rsid w:val="0E80564C"/>
    <w:rsid w:val="0EA03B8A"/>
    <w:rsid w:val="0EAC0C18"/>
    <w:rsid w:val="0EB25F9A"/>
    <w:rsid w:val="0F8D0176"/>
    <w:rsid w:val="0F912314"/>
    <w:rsid w:val="0FD73768"/>
    <w:rsid w:val="10A4638E"/>
    <w:rsid w:val="10D83B3D"/>
    <w:rsid w:val="11135DC8"/>
    <w:rsid w:val="11F528ED"/>
    <w:rsid w:val="12E86716"/>
    <w:rsid w:val="130F5872"/>
    <w:rsid w:val="134A310C"/>
    <w:rsid w:val="13E640E2"/>
    <w:rsid w:val="13E744B7"/>
    <w:rsid w:val="14082F52"/>
    <w:rsid w:val="14085DAD"/>
    <w:rsid w:val="14233C6D"/>
    <w:rsid w:val="14452035"/>
    <w:rsid w:val="1448567A"/>
    <w:rsid w:val="145B3800"/>
    <w:rsid w:val="14DA40AE"/>
    <w:rsid w:val="15B036FB"/>
    <w:rsid w:val="16007AF5"/>
    <w:rsid w:val="17463991"/>
    <w:rsid w:val="179E3273"/>
    <w:rsid w:val="17E977C8"/>
    <w:rsid w:val="1873680D"/>
    <w:rsid w:val="18E67433"/>
    <w:rsid w:val="18F12637"/>
    <w:rsid w:val="19095239"/>
    <w:rsid w:val="1AB46DAB"/>
    <w:rsid w:val="1B6C2995"/>
    <w:rsid w:val="1BB630ED"/>
    <w:rsid w:val="1BC44893"/>
    <w:rsid w:val="1BE136FF"/>
    <w:rsid w:val="1C05708F"/>
    <w:rsid w:val="1C307374"/>
    <w:rsid w:val="1C9203A6"/>
    <w:rsid w:val="1E032835"/>
    <w:rsid w:val="1E562810"/>
    <w:rsid w:val="1EBD45C4"/>
    <w:rsid w:val="1F1C5732"/>
    <w:rsid w:val="1F584BD1"/>
    <w:rsid w:val="205D447F"/>
    <w:rsid w:val="206E043A"/>
    <w:rsid w:val="20AD4C4C"/>
    <w:rsid w:val="21424D60"/>
    <w:rsid w:val="215321ED"/>
    <w:rsid w:val="224A02E7"/>
    <w:rsid w:val="227411DF"/>
    <w:rsid w:val="232E3EB1"/>
    <w:rsid w:val="24856237"/>
    <w:rsid w:val="25053D8A"/>
    <w:rsid w:val="25687B33"/>
    <w:rsid w:val="25791876"/>
    <w:rsid w:val="26236584"/>
    <w:rsid w:val="26B94C66"/>
    <w:rsid w:val="26FF6942"/>
    <w:rsid w:val="272101A5"/>
    <w:rsid w:val="272B74FA"/>
    <w:rsid w:val="2751149E"/>
    <w:rsid w:val="2837076A"/>
    <w:rsid w:val="2865301D"/>
    <w:rsid w:val="28C86C87"/>
    <w:rsid w:val="29051210"/>
    <w:rsid w:val="296119D7"/>
    <w:rsid w:val="2A97100B"/>
    <w:rsid w:val="2B401296"/>
    <w:rsid w:val="2BEC17AE"/>
    <w:rsid w:val="2C1B0D4A"/>
    <w:rsid w:val="2C5357E2"/>
    <w:rsid w:val="2D0635AD"/>
    <w:rsid w:val="2DDB1EBF"/>
    <w:rsid w:val="2DE71DA9"/>
    <w:rsid w:val="2DF963B5"/>
    <w:rsid w:val="2E6C5CB5"/>
    <w:rsid w:val="2EC40C57"/>
    <w:rsid w:val="2EE433BF"/>
    <w:rsid w:val="2F9B6BBA"/>
    <w:rsid w:val="2FEA73B1"/>
    <w:rsid w:val="30136E93"/>
    <w:rsid w:val="30334755"/>
    <w:rsid w:val="30EC6390"/>
    <w:rsid w:val="311233CC"/>
    <w:rsid w:val="31B57180"/>
    <w:rsid w:val="34935BA4"/>
    <w:rsid w:val="34A264CA"/>
    <w:rsid w:val="35830B03"/>
    <w:rsid w:val="3700775A"/>
    <w:rsid w:val="37A26BD4"/>
    <w:rsid w:val="37AE7FE3"/>
    <w:rsid w:val="38417D8A"/>
    <w:rsid w:val="390F4B98"/>
    <w:rsid w:val="39731517"/>
    <w:rsid w:val="39F52602"/>
    <w:rsid w:val="39FC703A"/>
    <w:rsid w:val="3AC802EF"/>
    <w:rsid w:val="3B183024"/>
    <w:rsid w:val="3B6D4312"/>
    <w:rsid w:val="3BB718A6"/>
    <w:rsid w:val="3BC04127"/>
    <w:rsid w:val="3C88543E"/>
    <w:rsid w:val="3CB7521C"/>
    <w:rsid w:val="3CE76215"/>
    <w:rsid w:val="3CFF0303"/>
    <w:rsid w:val="3D7619F9"/>
    <w:rsid w:val="3D957982"/>
    <w:rsid w:val="3D96007A"/>
    <w:rsid w:val="3F4915A0"/>
    <w:rsid w:val="3F5F332B"/>
    <w:rsid w:val="3F641BC2"/>
    <w:rsid w:val="3F8502F8"/>
    <w:rsid w:val="3FD704B2"/>
    <w:rsid w:val="405854B3"/>
    <w:rsid w:val="408D1DBF"/>
    <w:rsid w:val="409313F9"/>
    <w:rsid w:val="40B7508E"/>
    <w:rsid w:val="40CA2819"/>
    <w:rsid w:val="41EC3A6C"/>
    <w:rsid w:val="42A2655E"/>
    <w:rsid w:val="43420D2F"/>
    <w:rsid w:val="436C5E0D"/>
    <w:rsid w:val="44631084"/>
    <w:rsid w:val="446A549B"/>
    <w:rsid w:val="44800368"/>
    <w:rsid w:val="44E811C0"/>
    <w:rsid w:val="46871AD6"/>
    <w:rsid w:val="47025D0E"/>
    <w:rsid w:val="4735560E"/>
    <w:rsid w:val="47413F22"/>
    <w:rsid w:val="4792678F"/>
    <w:rsid w:val="47E03B89"/>
    <w:rsid w:val="481D5A38"/>
    <w:rsid w:val="487975A7"/>
    <w:rsid w:val="48E72086"/>
    <w:rsid w:val="49732ED5"/>
    <w:rsid w:val="4999462F"/>
    <w:rsid w:val="499C01CA"/>
    <w:rsid w:val="49EF5898"/>
    <w:rsid w:val="4A1079FD"/>
    <w:rsid w:val="4A1D620C"/>
    <w:rsid w:val="4AED722D"/>
    <w:rsid w:val="4B3D40BA"/>
    <w:rsid w:val="4BC136D0"/>
    <w:rsid w:val="4BF328A0"/>
    <w:rsid w:val="4C2E17B4"/>
    <w:rsid w:val="4C81677F"/>
    <w:rsid w:val="4D195C1E"/>
    <w:rsid w:val="4D904DD7"/>
    <w:rsid w:val="4D9C287D"/>
    <w:rsid w:val="4DC04FA6"/>
    <w:rsid w:val="4DC53F66"/>
    <w:rsid w:val="4E165AE9"/>
    <w:rsid w:val="4E2A0E48"/>
    <w:rsid w:val="4FC91A1A"/>
    <w:rsid w:val="50DB6247"/>
    <w:rsid w:val="51531E87"/>
    <w:rsid w:val="51552F81"/>
    <w:rsid w:val="51AB2104"/>
    <w:rsid w:val="525A7F6F"/>
    <w:rsid w:val="52760C06"/>
    <w:rsid w:val="530E35F9"/>
    <w:rsid w:val="53427976"/>
    <w:rsid w:val="53A07C03"/>
    <w:rsid w:val="53A63423"/>
    <w:rsid w:val="53B638D1"/>
    <w:rsid w:val="54386D63"/>
    <w:rsid w:val="54A36172"/>
    <w:rsid w:val="54BC0EE8"/>
    <w:rsid w:val="55055F70"/>
    <w:rsid w:val="55D41C4B"/>
    <w:rsid w:val="5702252D"/>
    <w:rsid w:val="572444C0"/>
    <w:rsid w:val="576D49E8"/>
    <w:rsid w:val="579C393A"/>
    <w:rsid w:val="594F1692"/>
    <w:rsid w:val="59566C52"/>
    <w:rsid w:val="597674DD"/>
    <w:rsid w:val="5A416E84"/>
    <w:rsid w:val="5AAF5CCA"/>
    <w:rsid w:val="5B6E68B8"/>
    <w:rsid w:val="5B8D6C19"/>
    <w:rsid w:val="5BAA698D"/>
    <w:rsid w:val="5BCE61FA"/>
    <w:rsid w:val="5C9B134E"/>
    <w:rsid w:val="5DAA1580"/>
    <w:rsid w:val="5DF14932"/>
    <w:rsid w:val="5DFF04E8"/>
    <w:rsid w:val="5E1A6FB5"/>
    <w:rsid w:val="5E7A3CE2"/>
    <w:rsid w:val="5E960581"/>
    <w:rsid w:val="5F355496"/>
    <w:rsid w:val="5F8349F8"/>
    <w:rsid w:val="5F865CD7"/>
    <w:rsid w:val="5FB4440E"/>
    <w:rsid w:val="5FDC4484"/>
    <w:rsid w:val="60BA0556"/>
    <w:rsid w:val="60F61E20"/>
    <w:rsid w:val="61A7533B"/>
    <w:rsid w:val="621244D5"/>
    <w:rsid w:val="62B2296D"/>
    <w:rsid w:val="62B247EF"/>
    <w:rsid w:val="636147EE"/>
    <w:rsid w:val="63DB6B9E"/>
    <w:rsid w:val="65B441A4"/>
    <w:rsid w:val="65D8147F"/>
    <w:rsid w:val="66373494"/>
    <w:rsid w:val="66591B82"/>
    <w:rsid w:val="66A2527C"/>
    <w:rsid w:val="68550B65"/>
    <w:rsid w:val="6898637C"/>
    <w:rsid w:val="68B16D7B"/>
    <w:rsid w:val="68BA7003"/>
    <w:rsid w:val="6B121E89"/>
    <w:rsid w:val="6C281E78"/>
    <w:rsid w:val="6C307E68"/>
    <w:rsid w:val="6C920572"/>
    <w:rsid w:val="6D635AD2"/>
    <w:rsid w:val="6DB227E4"/>
    <w:rsid w:val="6DBE1759"/>
    <w:rsid w:val="6DC31ECB"/>
    <w:rsid w:val="6E307289"/>
    <w:rsid w:val="6E656845"/>
    <w:rsid w:val="6F471F5D"/>
    <w:rsid w:val="6F8E74DB"/>
    <w:rsid w:val="70836CF8"/>
    <w:rsid w:val="70CF07C8"/>
    <w:rsid w:val="710F157A"/>
    <w:rsid w:val="71840FD7"/>
    <w:rsid w:val="718C3480"/>
    <w:rsid w:val="721D56A4"/>
    <w:rsid w:val="72F3401B"/>
    <w:rsid w:val="731416B4"/>
    <w:rsid w:val="73712518"/>
    <w:rsid w:val="738A0204"/>
    <w:rsid w:val="738E7AB2"/>
    <w:rsid w:val="73EF0074"/>
    <w:rsid w:val="74624F7D"/>
    <w:rsid w:val="74B72A06"/>
    <w:rsid w:val="7546516B"/>
    <w:rsid w:val="75AF555B"/>
    <w:rsid w:val="763204BA"/>
    <w:rsid w:val="767D2F83"/>
    <w:rsid w:val="76F3488A"/>
    <w:rsid w:val="77281C38"/>
    <w:rsid w:val="7741229E"/>
    <w:rsid w:val="781828A1"/>
    <w:rsid w:val="781C3DC0"/>
    <w:rsid w:val="78780B98"/>
    <w:rsid w:val="788E06C1"/>
    <w:rsid w:val="78D76423"/>
    <w:rsid w:val="78D86E43"/>
    <w:rsid w:val="79566D81"/>
    <w:rsid w:val="79E02BD8"/>
    <w:rsid w:val="7A2B55F9"/>
    <w:rsid w:val="7A3458D0"/>
    <w:rsid w:val="7A4B048B"/>
    <w:rsid w:val="7A7C35B8"/>
    <w:rsid w:val="7A96669D"/>
    <w:rsid w:val="7AC70013"/>
    <w:rsid w:val="7B672810"/>
    <w:rsid w:val="7B681B66"/>
    <w:rsid w:val="7C561F60"/>
    <w:rsid w:val="7C6B2EC5"/>
    <w:rsid w:val="7C831CEC"/>
    <w:rsid w:val="7DDF7DDD"/>
    <w:rsid w:val="7E300909"/>
    <w:rsid w:val="7EC84C80"/>
    <w:rsid w:val="7EF434D2"/>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qFormat/>
    <w:uiPriority w:val="0"/>
    <w:pPr>
      <w:ind w:firstLine="420"/>
    </w:pPr>
    <w:rPr>
      <w:rFonts w:ascii="Times New Roman" w:hAnsi="Times New Roman" w:eastAsia="宋体" w:cs="Times New Roman"/>
      <w:szCs w:val="20"/>
    </w:rPr>
  </w:style>
  <w:style w:type="paragraph" w:styleId="7">
    <w:name w:val="annotation text"/>
    <w:basedOn w:val="1"/>
    <w:semiHidden/>
    <w:unhideWhenUsed/>
    <w:qFormat/>
    <w:uiPriority w:val="0"/>
    <w:pPr>
      <w:jc w:val="left"/>
    </w:pPr>
  </w:style>
  <w:style w:type="paragraph" w:styleId="8">
    <w:name w:val="Body Text"/>
    <w:basedOn w:val="1"/>
    <w:qFormat/>
    <w:uiPriority w:val="0"/>
  </w:style>
  <w:style w:type="paragraph" w:styleId="9">
    <w:name w:val="Plain Text"/>
    <w:basedOn w:val="1"/>
    <w:next w:val="1"/>
    <w:link w:val="33"/>
    <w:qFormat/>
    <w:uiPriority w:val="0"/>
    <w:rPr>
      <w:rFonts w:hint="eastAsia" w:ascii="宋体" w:hAnsi="Courier New" w:eastAsia="宋体" w:cs="Times New Roman"/>
      <w:szCs w:val="21"/>
    </w:rPr>
  </w:style>
  <w:style w:type="paragraph" w:styleId="10">
    <w:name w:val="Balloon Text"/>
    <w:basedOn w:val="1"/>
    <w:link w:val="31"/>
    <w:qFormat/>
    <w:uiPriority w:val="0"/>
    <w:rPr>
      <w:sz w:val="18"/>
      <w:szCs w:val="18"/>
    </w:rPr>
  </w:style>
  <w:style w:type="paragraph" w:styleId="11">
    <w:name w:val="footer"/>
    <w:basedOn w:val="1"/>
    <w:link w:val="30"/>
    <w:qFormat/>
    <w:uiPriority w:val="0"/>
    <w:pPr>
      <w:tabs>
        <w:tab w:val="center" w:pos="4153"/>
        <w:tab w:val="right" w:pos="8306"/>
      </w:tabs>
      <w:snapToGrid w:val="0"/>
      <w:jc w:val="left"/>
    </w:pPr>
    <w:rPr>
      <w:sz w:val="18"/>
      <w:szCs w:val="18"/>
    </w:rPr>
  </w:style>
  <w:style w:type="paragraph" w:styleId="12">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paragraph" w:styleId="14">
    <w:name w:val="Body Text First Indent"/>
    <w:basedOn w:val="8"/>
    <w:link w:val="34"/>
    <w:qFormat/>
    <w:uiPriority w:val="0"/>
    <w:pPr>
      <w:spacing w:beforeAutospacing="1" w:after="120"/>
      <w:ind w:firstLine="420"/>
    </w:pPr>
    <w:rPr>
      <w:rFonts w:ascii="Times New Roman" w:hAnsi="Times New Roman" w:eastAsia="宋体" w:cs="Times New Roman"/>
      <w:szCs w:val="21"/>
    </w:rPr>
  </w:style>
  <w:style w:type="character" w:styleId="17">
    <w:name w:val="page number"/>
    <w:basedOn w:val="16"/>
    <w:qFormat/>
    <w:uiPriority w:val="0"/>
  </w:style>
  <w:style w:type="character" w:styleId="18">
    <w:name w:val="FollowedHyperlink"/>
    <w:basedOn w:val="16"/>
    <w:qFormat/>
    <w:uiPriority w:val="0"/>
    <w:rPr>
      <w:color w:val="0000FF"/>
      <w:u w:val="single"/>
    </w:rPr>
  </w:style>
  <w:style w:type="character" w:styleId="19">
    <w:name w:val="Hyperlink"/>
    <w:basedOn w:val="16"/>
    <w:qFormat/>
    <w:uiPriority w:val="0"/>
    <w:rPr>
      <w:color w:val="0000FF"/>
      <w:u w:val="single"/>
    </w:rPr>
  </w:style>
  <w:style w:type="paragraph" w:customStyle="1" w:styleId="20">
    <w:name w:val="样式 小四 行距: 1.5 倍行距"/>
    <w:basedOn w:val="1"/>
    <w:qFormat/>
    <w:uiPriority w:val="0"/>
    <w:pPr>
      <w:ind w:firstLine="480"/>
    </w:pPr>
    <w:rPr>
      <w:rFonts w:cs="宋体"/>
    </w:rPr>
  </w:style>
  <w:style w:type="paragraph" w:customStyle="1" w:styleId="21">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3">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4">
    <w:name w:val="列出段落1"/>
    <w:basedOn w:val="1"/>
    <w:qFormat/>
    <w:uiPriority w:val="0"/>
    <w:pPr>
      <w:ind w:firstLine="420" w:firstLineChars="200"/>
    </w:pPr>
    <w:rPr>
      <w:rFonts w:ascii="Calibri" w:hAnsi="Calibri" w:eastAsia="宋体" w:cs="Times New Roman"/>
      <w:szCs w:val="21"/>
    </w:rPr>
  </w:style>
  <w:style w:type="paragraph" w:customStyle="1" w:styleId="25">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6">
    <w:name w:val="10"/>
    <w:basedOn w:val="16"/>
    <w:qFormat/>
    <w:uiPriority w:val="0"/>
    <w:rPr>
      <w:rFonts w:hint="default" w:ascii="Times New Roman" w:hAnsi="Times New Roman" w:cs="Times New Roman"/>
    </w:rPr>
  </w:style>
  <w:style w:type="character" w:customStyle="1" w:styleId="27">
    <w:name w:val="15"/>
    <w:basedOn w:val="16"/>
    <w:qFormat/>
    <w:uiPriority w:val="0"/>
    <w:rPr>
      <w:rFonts w:hint="default" w:ascii="Times New Roman" w:hAnsi="Times New Roman" w:cs="Times New Roman"/>
    </w:rPr>
  </w:style>
  <w:style w:type="character" w:customStyle="1" w:styleId="28">
    <w:name w:val="16"/>
    <w:basedOn w:val="16"/>
    <w:qFormat/>
    <w:uiPriority w:val="0"/>
    <w:rPr>
      <w:rFonts w:hint="default" w:ascii="Times New Roman" w:hAnsi="Times New Roman" w:cs="Times New Roman"/>
      <w:color w:val="0000FF"/>
      <w:u w:val="single"/>
    </w:rPr>
  </w:style>
  <w:style w:type="character" w:customStyle="1" w:styleId="29">
    <w:name w:val="页眉 Char"/>
    <w:basedOn w:val="16"/>
    <w:link w:val="12"/>
    <w:qFormat/>
    <w:uiPriority w:val="0"/>
    <w:rPr>
      <w:rFonts w:asciiTheme="minorHAnsi" w:hAnsiTheme="minorHAnsi" w:eastAsiaTheme="minorEastAsia" w:cstheme="minorBidi"/>
      <w:kern w:val="2"/>
      <w:sz w:val="18"/>
      <w:szCs w:val="18"/>
    </w:rPr>
  </w:style>
  <w:style w:type="character" w:customStyle="1" w:styleId="30">
    <w:name w:val="页脚 Char"/>
    <w:basedOn w:val="16"/>
    <w:link w:val="11"/>
    <w:qFormat/>
    <w:uiPriority w:val="0"/>
    <w:rPr>
      <w:rFonts w:asciiTheme="minorHAnsi" w:hAnsiTheme="minorHAnsi" w:eastAsiaTheme="minorEastAsia" w:cstheme="minorBidi"/>
      <w:kern w:val="2"/>
      <w:sz w:val="18"/>
      <w:szCs w:val="18"/>
    </w:rPr>
  </w:style>
  <w:style w:type="character" w:customStyle="1" w:styleId="31">
    <w:name w:val="批注框文本 Char"/>
    <w:basedOn w:val="16"/>
    <w:link w:val="10"/>
    <w:qFormat/>
    <w:uiPriority w:val="0"/>
    <w:rPr>
      <w:rFonts w:asciiTheme="minorHAnsi" w:hAnsiTheme="minorHAnsi" w:eastAsiaTheme="minorEastAsia" w:cstheme="minorBidi"/>
      <w:kern w:val="2"/>
      <w:sz w:val="18"/>
      <w:szCs w:val="18"/>
    </w:rPr>
  </w:style>
  <w:style w:type="paragraph" w:customStyle="1" w:styleId="32">
    <w:name w:val="WPSOffice手动目录 1"/>
    <w:qFormat/>
    <w:uiPriority w:val="0"/>
    <w:rPr>
      <w:rFonts w:ascii="Times New Roman" w:hAnsi="Times New Roman" w:eastAsia="宋体" w:cs="Times New Roman"/>
      <w:lang w:val="en-US" w:eastAsia="zh-CN" w:bidi="ar-SA"/>
    </w:rPr>
  </w:style>
  <w:style w:type="character" w:customStyle="1" w:styleId="33">
    <w:name w:val="纯文本 Char"/>
    <w:link w:val="9"/>
    <w:qFormat/>
    <w:uiPriority w:val="0"/>
    <w:rPr>
      <w:rFonts w:ascii="宋体" w:hAnsi="Courier New"/>
      <w:kern w:val="2"/>
      <w:sz w:val="21"/>
      <w:szCs w:val="21"/>
    </w:rPr>
  </w:style>
  <w:style w:type="character" w:customStyle="1" w:styleId="34">
    <w:name w:val="正文首行缩进 Char"/>
    <w:basedOn w:val="16"/>
    <w:link w:val="14"/>
    <w:qFormat/>
    <w:uiPriority w:val="0"/>
    <w:rPr>
      <w:kern w:val="2"/>
      <w:sz w:val="21"/>
      <w:szCs w:val="21"/>
    </w:rPr>
  </w:style>
  <w:style w:type="paragraph" w:styleId="35">
    <w:name w:val="List Paragraph"/>
    <w:basedOn w:val="1"/>
    <w:unhideWhenUsed/>
    <w:qFormat/>
    <w:uiPriority w:val="99"/>
    <w:pPr>
      <w:ind w:firstLine="420" w:firstLineChars="200"/>
    </w:pPr>
  </w:style>
  <w:style w:type="paragraph" w:customStyle="1" w:styleId="36">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7">
    <w:name w:val="发文落款"/>
    <w:basedOn w:val="36"/>
    <w:qFormat/>
    <w:uiPriority w:val="0"/>
    <w:pPr>
      <w:ind w:left="4094" w:right="607" w:firstLine="0"/>
      <w:jc w:val="center"/>
    </w:pPr>
  </w:style>
  <w:style w:type="character" w:customStyle="1" w:styleId="38">
    <w:name w:val="c Char1"/>
    <w:link w:val="39"/>
    <w:qFormat/>
    <w:uiPriority w:val="0"/>
    <w:rPr>
      <w:rFonts w:eastAsia="仿宋_GB2312" w:cs="宋体"/>
      <w:sz w:val="28"/>
    </w:rPr>
  </w:style>
  <w:style w:type="paragraph" w:customStyle="1" w:styleId="39">
    <w:name w:val="c"/>
    <w:basedOn w:val="1"/>
    <w:link w:val="38"/>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15404</Words>
  <Characters>16207</Characters>
  <Lines>131</Lines>
  <Paragraphs>37</Paragraphs>
  <TotalTime>3</TotalTime>
  <ScaleCrop>false</ScaleCrop>
  <LinksUpToDate>false</LinksUpToDate>
  <CharactersWithSpaces>17185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2022-10-26T06:45:18Z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6F8842E353744852BDC4E3C1A0BD38D3</vt:lpwstr>
  </property>
</Properties>
</file>