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
        <w:rPr>
          <w:rFonts w:ascii="宋体" w:hAnsi="宋体" w:eastAsia="宋体" w:cs="宋体"/>
          <w:color w:val="auto"/>
          <w:szCs w:val="21"/>
          <w:highlight w:val="none"/>
        </w:rPr>
      </w:pPr>
    </w:p>
    <w:p>
      <w:pPr>
        <w:pStyle w:val="2"/>
        <w:rPr>
          <w:rFonts w:ascii="宋体" w:hAnsi="宋体" w:eastAsia="宋体" w:cs="宋体"/>
          <w:color w:val="auto"/>
          <w:szCs w:val="21"/>
          <w:highlight w:val="none"/>
        </w:rPr>
      </w:pPr>
    </w:p>
    <w:p>
      <w:pPr>
        <w:pStyle w:val="2"/>
        <w:rPr>
          <w:rFonts w:ascii="宋体" w:hAnsi="宋体" w:eastAsia="宋体" w:cs="宋体"/>
          <w:color w:val="auto"/>
          <w:szCs w:val="21"/>
          <w:highlight w:val="none"/>
        </w:rPr>
      </w:pPr>
    </w:p>
    <w:p>
      <w:pPr>
        <w:spacing w:before="0" w:beforeLines="0" w:line="360" w:lineRule="auto"/>
        <w:jc w:val="center"/>
        <w:rPr>
          <w:rFonts w:hint="eastAsia" w:ascii="宋体" w:hAnsi="宋体" w:eastAsia="宋体" w:cs="宋体"/>
          <w:b/>
          <w:color w:val="auto"/>
          <w:sz w:val="44"/>
          <w:szCs w:val="44"/>
          <w:highlight w:val="none"/>
          <w:lang w:val="en-US" w:eastAsia="zh-CN"/>
        </w:rPr>
      </w:pPr>
      <w:r>
        <w:rPr>
          <w:rFonts w:hint="eastAsia" w:ascii="宋体" w:hAnsi="宋体" w:eastAsia="宋体" w:cs="宋体"/>
          <w:b/>
          <w:color w:val="auto"/>
          <w:sz w:val="44"/>
          <w:szCs w:val="44"/>
          <w:highlight w:val="none"/>
          <w:lang w:val="en-US" w:eastAsia="zh-CN"/>
        </w:rPr>
        <w:t>广州南沙建设维护管理有限公司</w:t>
      </w:r>
    </w:p>
    <w:p>
      <w:pPr>
        <w:spacing w:before="0" w:beforeLines="0" w:line="360" w:lineRule="auto"/>
        <w:jc w:val="center"/>
        <w:rPr>
          <w:rFonts w:ascii="宋体" w:hAnsi="宋体" w:eastAsia="宋体" w:cs="宋体"/>
          <w:b/>
          <w:color w:val="auto"/>
          <w:sz w:val="44"/>
          <w:szCs w:val="44"/>
          <w:highlight w:val="none"/>
        </w:rPr>
      </w:pPr>
      <w:r>
        <w:rPr>
          <w:rFonts w:hint="eastAsia" w:ascii="宋体" w:hAnsi="宋体" w:eastAsia="宋体" w:cs="宋体"/>
          <w:b/>
          <w:color w:val="auto"/>
          <w:sz w:val="44"/>
          <w:szCs w:val="44"/>
          <w:highlight w:val="none"/>
          <w:lang w:val="en-US" w:eastAsia="zh-CN"/>
        </w:rPr>
        <w:t>年度项目造价</w:t>
      </w:r>
      <w:r>
        <w:rPr>
          <w:rFonts w:hint="eastAsia" w:ascii="宋体" w:hAnsi="宋体" w:eastAsia="宋体" w:cs="宋体"/>
          <w:b/>
          <w:color w:val="auto"/>
          <w:sz w:val="44"/>
          <w:szCs w:val="44"/>
          <w:highlight w:val="none"/>
        </w:rPr>
        <w:t>咨询服务</w:t>
      </w:r>
    </w:p>
    <w:p>
      <w:pPr>
        <w:jc w:val="center"/>
        <w:rPr>
          <w:rFonts w:ascii="宋体" w:hAnsi="宋体" w:eastAsia="宋体" w:cs="宋体"/>
          <w:color w:val="auto"/>
          <w:sz w:val="44"/>
          <w:szCs w:val="44"/>
          <w:highlight w:val="none"/>
        </w:rPr>
      </w:pP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p>
    <w:p>
      <w:pP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360" w:lineRule="auto"/>
        <w:ind w:firstLine="1805" w:firstLineChars="562"/>
        <w:rPr>
          <w:rFonts w:ascii="宋体" w:hAnsi="宋体" w:eastAsia="宋体" w:cs="宋体"/>
          <w:b/>
          <w:color w:val="auto"/>
          <w:sz w:val="32"/>
          <w:szCs w:val="32"/>
          <w:highlight w:val="none"/>
        </w:rPr>
      </w:pPr>
      <w:bookmarkStart w:id="0" w:name="OLE_LINK4"/>
      <w:bookmarkEnd w:id="0"/>
      <w:r>
        <w:rPr>
          <w:rFonts w:hint="eastAsia" w:ascii="宋体" w:hAnsi="宋体" w:eastAsia="宋体" w:cs="宋体"/>
          <w:b/>
          <w:color w:val="auto"/>
          <w:sz w:val="32"/>
          <w:szCs w:val="32"/>
          <w:highlight w:val="none"/>
        </w:rPr>
        <w:t>招标人：广州南沙</w:t>
      </w:r>
      <w:r>
        <w:rPr>
          <w:rFonts w:hint="eastAsia" w:ascii="宋体" w:hAnsi="宋体" w:eastAsia="宋体" w:cs="宋体"/>
          <w:b/>
          <w:color w:val="auto"/>
          <w:sz w:val="32"/>
          <w:szCs w:val="32"/>
          <w:highlight w:val="none"/>
          <w:lang w:val="en-US" w:eastAsia="zh-CN"/>
        </w:rPr>
        <w:t>建设维护管理</w:t>
      </w:r>
      <w:r>
        <w:rPr>
          <w:rFonts w:hint="eastAsia" w:ascii="宋体" w:hAnsi="宋体" w:eastAsia="宋体" w:cs="宋体"/>
          <w:b/>
          <w:color w:val="auto"/>
          <w:sz w:val="32"/>
          <w:szCs w:val="32"/>
          <w:highlight w:val="none"/>
        </w:rPr>
        <w:t>有限公司</w:t>
      </w:r>
    </w:p>
    <w:p>
      <w:pPr>
        <w:spacing w:line="520" w:lineRule="exact"/>
        <w:ind w:right="-101" w:rightChars="-48" w:firstLine="1751" w:firstLineChars="545"/>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期：20</w:t>
      </w:r>
      <w:r>
        <w:rPr>
          <w:rFonts w:hint="eastAsia" w:ascii="宋体" w:hAnsi="宋体" w:eastAsia="宋体" w:cs="宋体"/>
          <w:b/>
          <w:color w:val="auto"/>
          <w:sz w:val="32"/>
          <w:szCs w:val="32"/>
          <w:highlight w:val="none"/>
          <w:lang w:val="en-US" w:eastAsia="zh-CN"/>
        </w:rPr>
        <w:t>22</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11</w:t>
      </w:r>
      <w:r>
        <w:rPr>
          <w:rFonts w:hint="eastAsia" w:ascii="宋体" w:hAnsi="宋体" w:eastAsia="宋体" w:cs="宋体"/>
          <w:b/>
          <w:color w:val="auto"/>
          <w:sz w:val="32"/>
          <w:szCs w:val="32"/>
          <w:highlight w:val="none"/>
        </w:rPr>
        <w:t>月</w:t>
      </w:r>
    </w:p>
    <w:p>
      <w:pPr>
        <w:rPr>
          <w:rFonts w:hint="eastAsia" w:ascii="黑体" w:hAnsi="宋体" w:eastAsia="黑体" w:cs="黑体"/>
          <w:color w:val="auto"/>
          <w:sz w:val="36"/>
          <w:szCs w:val="36"/>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bookmarkStart w:id="1" w:name="_Toc29976"/>
    </w:p>
    <w:p>
      <w:pPr>
        <w:rPr>
          <w:rFonts w:hint="eastAsia" w:ascii="黑体" w:hAnsi="宋体" w:eastAsia="黑体" w:cs="黑体"/>
          <w:color w:val="auto"/>
          <w:sz w:val="36"/>
          <w:szCs w:val="36"/>
          <w:highlight w:val="none"/>
        </w:rPr>
      </w:pPr>
    </w:p>
    <w:bookmarkEnd w:id="1"/>
    <w:sdt>
      <w:sdtPr>
        <w:rPr>
          <w:rFonts w:ascii="宋体" w:hAnsi="宋体" w:eastAsia="宋体" w:cstheme="minorBidi"/>
          <w:color w:val="auto"/>
          <w:kern w:val="2"/>
          <w:sz w:val="21"/>
          <w:szCs w:val="24"/>
          <w:highlight w:val="none"/>
          <w:lang w:val="en-US" w:eastAsia="zh-CN" w:bidi="ar-SA"/>
        </w:rPr>
        <w:id w:val="147481204"/>
        <w15:color w:val="DBDBDB"/>
        <w:docPartObj>
          <w:docPartGallery w:val="Table of Contents"/>
          <w:docPartUnique/>
        </w:docPartObj>
      </w:sdtPr>
      <w:sdtEndPr>
        <w:rPr>
          <w:rFonts w:ascii="宋体" w:hAnsi="宋体" w:eastAsia="宋体" w:cstheme="minorBidi"/>
          <w:color w:val="auto"/>
          <w:kern w:val="2"/>
          <w:sz w:val="21"/>
          <w:szCs w:val="24"/>
          <w:highlight w:val="none"/>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lang w:val="en-US" w:eastAsia="zh-CN"/>
            </w:rPr>
            <w:t xml:space="preserve"> </w:t>
          </w:r>
          <w:r>
            <w:rPr>
              <w:rFonts w:ascii="宋体" w:hAnsi="宋体" w:eastAsia="宋体"/>
              <w:b/>
              <w:bCs/>
              <w:color w:val="auto"/>
              <w:sz w:val="36"/>
              <w:szCs w:val="36"/>
              <w:highlight w:val="none"/>
            </w:rPr>
            <w:t>录</w:t>
          </w:r>
        </w:p>
        <w:p>
          <w:pPr>
            <w:pStyle w:val="11"/>
            <w:tabs>
              <w:tab w:val="right" w:leader="dot" w:pos="9419"/>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TOC \o "1-1" \h \u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_Toc5807 </w:instrText>
          </w:r>
          <w:r>
            <w:rPr>
              <w:rFonts w:hint="eastAsia" w:asciiTheme="minorEastAsia" w:hAnsiTheme="minorEastAsia" w:eastAsiaTheme="minorEastAsia" w:cstheme="minorEastAsia"/>
              <w:sz w:val="28"/>
              <w:szCs w:val="28"/>
              <w:highlight w:val="none"/>
            </w:rPr>
            <w:fldChar w:fldCharType="separate"/>
          </w:r>
          <w:r>
            <w:rPr>
              <w:rFonts w:hint="eastAsia" w:ascii="黑体" w:hAnsi="宋体" w:cs="黑体"/>
              <w:kern w:val="44"/>
              <w:sz w:val="28"/>
              <w:szCs w:val="28"/>
              <w:highlight w:val="none"/>
            </w:rPr>
            <w:t>第1章 投标须知及前附表</w:t>
          </w:r>
          <w:r>
            <w:rPr>
              <w:sz w:val="28"/>
              <w:szCs w:val="28"/>
            </w:rPr>
            <w:tab/>
          </w:r>
          <w:r>
            <w:rPr>
              <w:sz w:val="28"/>
              <w:szCs w:val="28"/>
            </w:rPr>
            <w:fldChar w:fldCharType="begin"/>
          </w:r>
          <w:r>
            <w:rPr>
              <w:sz w:val="28"/>
              <w:szCs w:val="28"/>
            </w:rPr>
            <w:instrText xml:space="preserve"> PAGEREF _Toc5807 \h </w:instrText>
          </w:r>
          <w:r>
            <w:rPr>
              <w:sz w:val="28"/>
              <w:szCs w:val="28"/>
            </w:rPr>
            <w:fldChar w:fldCharType="separate"/>
          </w:r>
          <w:r>
            <w:rPr>
              <w:sz w:val="28"/>
              <w:szCs w:val="28"/>
            </w:rPr>
            <w:t>1</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11"/>
            <w:tabs>
              <w:tab w:val="right" w:leader="dot" w:pos="9419"/>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_Toc13206 </w:instrText>
          </w:r>
          <w:r>
            <w:rPr>
              <w:rFonts w:hint="eastAsia" w:asciiTheme="minorEastAsia" w:hAnsiTheme="minorEastAsia" w:eastAsiaTheme="minorEastAsia" w:cstheme="minorEastAsia"/>
              <w:sz w:val="28"/>
              <w:szCs w:val="28"/>
              <w:highlight w:val="none"/>
            </w:rPr>
            <w:fldChar w:fldCharType="separate"/>
          </w:r>
          <w:r>
            <w:rPr>
              <w:rFonts w:hint="eastAsia" w:ascii="黑体" w:hAnsi="宋体" w:cs="黑体"/>
              <w:kern w:val="44"/>
              <w:sz w:val="28"/>
              <w:szCs w:val="28"/>
              <w:highlight w:val="none"/>
            </w:rPr>
            <w:t>第2章 项目需求书</w:t>
          </w:r>
          <w:r>
            <w:rPr>
              <w:sz w:val="28"/>
              <w:szCs w:val="28"/>
            </w:rPr>
            <w:tab/>
          </w:r>
          <w:r>
            <w:rPr>
              <w:sz w:val="28"/>
              <w:szCs w:val="28"/>
            </w:rPr>
            <w:fldChar w:fldCharType="begin"/>
          </w:r>
          <w:r>
            <w:rPr>
              <w:sz w:val="28"/>
              <w:szCs w:val="28"/>
            </w:rPr>
            <w:instrText xml:space="preserve"> PAGEREF _Toc13206 \h </w:instrText>
          </w:r>
          <w:r>
            <w:rPr>
              <w:sz w:val="28"/>
              <w:szCs w:val="28"/>
            </w:rPr>
            <w:fldChar w:fldCharType="separate"/>
          </w:r>
          <w:r>
            <w:rPr>
              <w:sz w:val="28"/>
              <w:szCs w:val="28"/>
            </w:rPr>
            <w:t>15</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11"/>
            <w:tabs>
              <w:tab w:val="right" w:leader="dot" w:pos="9419"/>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_Toc2811 </w:instrText>
          </w:r>
          <w:r>
            <w:rPr>
              <w:rFonts w:hint="eastAsia" w:asciiTheme="minorEastAsia" w:hAnsiTheme="minorEastAsia" w:eastAsiaTheme="minorEastAsia" w:cstheme="minorEastAsia"/>
              <w:sz w:val="28"/>
              <w:szCs w:val="28"/>
              <w:highlight w:val="none"/>
            </w:rPr>
            <w:fldChar w:fldCharType="separate"/>
          </w:r>
          <w:r>
            <w:rPr>
              <w:rFonts w:hint="eastAsia" w:ascii="黑体" w:hAnsi="宋体" w:cs="黑体"/>
              <w:kern w:val="44"/>
              <w:sz w:val="28"/>
              <w:szCs w:val="28"/>
              <w:highlight w:val="none"/>
            </w:rPr>
            <w:t>第3章  投标格式文件</w:t>
          </w:r>
          <w:r>
            <w:rPr>
              <w:sz w:val="28"/>
              <w:szCs w:val="28"/>
            </w:rPr>
            <w:tab/>
          </w:r>
          <w:r>
            <w:rPr>
              <w:sz w:val="28"/>
              <w:szCs w:val="28"/>
            </w:rPr>
            <w:fldChar w:fldCharType="begin"/>
          </w:r>
          <w:r>
            <w:rPr>
              <w:sz w:val="28"/>
              <w:szCs w:val="28"/>
            </w:rPr>
            <w:instrText xml:space="preserve"> PAGEREF _Toc2811 \h </w:instrText>
          </w:r>
          <w:r>
            <w:rPr>
              <w:sz w:val="28"/>
              <w:szCs w:val="28"/>
            </w:rPr>
            <w:fldChar w:fldCharType="separate"/>
          </w:r>
          <w:r>
            <w:rPr>
              <w:sz w:val="28"/>
              <w:szCs w:val="28"/>
            </w:rPr>
            <w:t>17</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11"/>
            <w:tabs>
              <w:tab w:val="right" w:leader="dot" w:pos="9419"/>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_Toc11823 </w:instrText>
          </w:r>
          <w:r>
            <w:rPr>
              <w:rFonts w:hint="eastAsia" w:asciiTheme="minorEastAsia" w:hAnsiTheme="minorEastAsia" w:eastAsiaTheme="minorEastAsia" w:cstheme="minorEastAsia"/>
              <w:sz w:val="28"/>
              <w:szCs w:val="28"/>
              <w:highlight w:val="none"/>
            </w:rPr>
            <w:fldChar w:fldCharType="separate"/>
          </w:r>
          <w:r>
            <w:rPr>
              <w:rFonts w:hint="eastAsia" w:ascii="黑体" w:hAnsi="宋体" w:cs="黑体"/>
              <w:kern w:val="44"/>
              <w:sz w:val="28"/>
              <w:szCs w:val="28"/>
              <w:highlight w:val="none"/>
            </w:rPr>
            <w:t>第4章 评标办法</w:t>
          </w:r>
          <w:r>
            <w:rPr>
              <w:sz w:val="28"/>
              <w:szCs w:val="28"/>
            </w:rPr>
            <w:tab/>
          </w:r>
          <w:r>
            <w:rPr>
              <w:sz w:val="28"/>
              <w:szCs w:val="28"/>
            </w:rPr>
            <w:fldChar w:fldCharType="begin"/>
          </w:r>
          <w:r>
            <w:rPr>
              <w:sz w:val="28"/>
              <w:szCs w:val="28"/>
            </w:rPr>
            <w:instrText xml:space="preserve"> PAGEREF _Toc11823 \h </w:instrText>
          </w:r>
          <w:r>
            <w:rPr>
              <w:sz w:val="28"/>
              <w:szCs w:val="28"/>
            </w:rPr>
            <w:fldChar w:fldCharType="separate"/>
          </w:r>
          <w:r>
            <w:rPr>
              <w:sz w:val="28"/>
              <w:szCs w:val="28"/>
            </w:rPr>
            <w:t>28</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11"/>
            <w:tabs>
              <w:tab w:val="right" w:leader="dot" w:pos="9419"/>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_Toc27991 </w:instrText>
          </w:r>
          <w:r>
            <w:rPr>
              <w:rFonts w:hint="eastAsia" w:asciiTheme="minorEastAsia" w:hAnsiTheme="minorEastAsia" w:eastAsiaTheme="minorEastAsia" w:cstheme="minorEastAsia"/>
              <w:sz w:val="28"/>
              <w:szCs w:val="28"/>
              <w:highlight w:val="none"/>
            </w:rPr>
            <w:fldChar w:fldCharType="separate"/>
          </w:r>
          <w:r>
            <w:rPr>
              <w:rFonts w:hint="eastAsia" w:ascii="黑体" w:hAnsi="宋体" w:cs="黑体"/>
              <w:kern w:val="44"/>
              <w:sz w:val="28"/>
              <w:szCs w:val="28"/>
              <w:highlight w:val="none"/>
            </w:rPr>
            <w:t>第5章</w:t>
          </w:r>
          <w:r>
            <w:rPr>
              <w:rFonts w:hint="eastAsia" w:ascii="黑体" w:hAnsi="宋体" w:cs="黑体"/>
              <w:kern w:val="44"/>
              <w:sz w:val="28"/>
              <w:szCs w:val="28"/>
              <w:highlight w:val="none"/>
              <w:lang w:val="en-US" w:eastAsia="zh-CN"/>
            </w:rPr>
            <w:t xml:space="preserve"> </w:t>
          </w:r>
          <w:r>
            <w:rPr>
              <w:rFonts w:hint="eastAsia" w:ascii="黑体" w:hAnsi="宋体" w:cs="黑体"/>
              <w:kern w:val="44"/>
              <w:sz w:val="28"/>
              <w:szCs w:val="28"/>
              <w:highlight w:val="none"/>
            </w:rPr>
            <w:t>附件</w:t>
          </w:r>
          <w:r>
            <w:rPr>
              <w:sz w:val="28"/>
              <w:szCs w:val="28"/>
            </w:rPr>
            <w:tab/>
          </w:r>
          <w:r>
            <w:rPr>
              <w:sz w:val="28"/>
              <w:szCs w:val="28"/>
            </w:rPr>
            <w:fldChar w:fldCharType="begin"/>
          </w:r>
          <w:r>
            <w:rPr>
              <w:sz w:val="28"/>
              <w:szCs w:val="28"/>
            </w:rPr>
            <w:instrText xml:space="preserve"> PAGEREF _Toc27991 \h </w:instrText>
          </w:r>
          <w:r>
            <w:rPr>
              <w:sz w:val="28"/>
              <w:szCs w:val="28"/>
            </w:rPr>
            <w:fldChar w:fldCharType="separate"/>
          </w:r>
          <w:r>
            <w:rPr>
              <w:sz w:val="28"/>
              <w:szCs w:val="28"/>
            </w:rPr>
            <w:t>35</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11"/>
            <w:tabs>
              <w:tab w:val="right" w:leader="dot" w:pos="9419"/>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_Toc1734 </w:instrText>
          </w:r>
          <w:r>
            <w:rPr>
              <w:rFonts w:hint="eastAsia" w:asciiTheme="minorEastAsia" w:hAnsiTheme="minorEastAsia" w:eastAsiaTheme="minorEastAsia" w:cstheme="minorEastAsia"/>
              <w:sz w:val="28"/>
              <w:szCs w:val="28"/>
              <w:highlight w:val="none"/>
            </w:rPr>
            <w:fldChar w:fldCharType="separate"/>
          </w:r>
          <w:r>
            <w:rPr>
              <w:rFonts w:hint="eastAsia" w:ascii="仿宋" w:hAnsi="仿宋" w:eastAsia="仿宋" w:cs="仿宋"/>
              <w:sz w:val="28"/>
              <w:szCs w:val="28"/>
              <w:highlight w:val="none"/>
            </w:rPr>
            <w:t>附件1：</w:t>
          </w:r>
          <w:r>
            <w:rPr>
              <w:rFonts w:hint="eastAsia" w:ascii="仿宋" w:hAnsi="仿宋" w:eastAsia="仿宋" w:cs="仿宋"/>
              <w:sz w:val="28"/>
              <w:szCs w:val="28"/>
              <w:highlight w:val="none"/>
              <w:lang w:eastAsia="zh-CN"/>
            </w:rPr>
            <w:t>符合性审查</w:t>
          </w:r>
          <w:r>
            <w:rPr>
              <w:rFonts w:hint="eastAsia" w:ascii="仿宋" w:hAnsi="仿宋" w:eastAsia="仿宋" w:cs="仿宋"/>
              <w:sz w:val="28"/>
              <w:szCs w:val="28"/>
              <w:highlight w:val="none"/>
            </w:rPr>
            <w:t>表</w:t>
          </w:r>
          <w:r>
            <w:rPr>
              <w:sz w:val="28"/>
              <w:szCs w:val="28"/>
            </w:rPr>
            <w:tab/>
          </w:r>
          <w:r>
            <w:rPr>
              <w:sz w:val="28"/>
              <w:szCs w:val="28"/>
            </w:rPr>
            <w:fldChar w:fldCharType="begin"/>
          </w:r>
          <w:r>
            <w:rPr>
              <w:sz w:val="28"/>
              <w:szCs w:val="28"/>
            </w:rPr>
            <w:instrText xml:space="preserve"> PAGEREF _Toc1734 \h </w:instrText>
          </w:r>
          <w:r>
            <w:rPr>
              <w:sz w:val="28"/>
              <w:szCs w:val="28"/>
            </w:rPr>
            <w:fldChar w:fldCharType="separate"/>
          </w:r>
          <w:r>
            <w:rPr>
              <w:sz w:val="28"/>
              <w:szCs w:val="28"/>
            </w:rPr>
            <w:t>36</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11"/>
            <w:tabs>
              <w:tab w:val="right" w:leader="dot" w:pos="9419"/>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_Toc561 </w:instrText>
          </w:r>
          <w:r>
            <w:rPr>
              <w:rFonts w:hint="eastAsia" w:asciiTheme="minorEastAsia" w:hAnsiTheme="minorEastAsia" w:eastAsiaTheme="minorEastAsia" w:cstheme="minorEastAsia"/>
              <w:sz w:val="28"/>
              <w:szCs w:val="28"/>
              <w:highlight w:val="none"/>
            </w:rPr>
            <w:fldChar w:fldCharType="separate"/>
          </w:r>
          <w:r>
            <w:rPr>
              <w:rFonts w:hint="eastAsia" w:ascii="仿宋" w:hAnsi="仿宋" w:eastAsia="仿宋" w:cs="仿宋"/>
              <w:bCs/>
              <w:sz w:val="28"/>
              <w:szCs w:val="28"/>
              <w:highlight w:val="none"/>
            </w:rPr>
            <w:t>附件2综合评分表</w:t>
          </w:r>
          <w:r>
            <w:rPr>
              <w:sz w:val="28"/>
              <w:szCs w:val="28"/>
            </w:rPr>
            <w:tab/>
          </w:r>
          <w:r>
            <w:rPr>
              <w:sz w:val="28"/>
              <w:szCs w:val="28"/>
            </w:rPr>
            <w:fldChar w:fldCharType="begin"/>
          </w:r>
          <w:r>
            <w:rPr>
              <w:sz w:val="28"/>
              <w:szCs w:val="28"/>
            </w:rPr>
            <w:instrText xml:space="preserve"> PAGEREF _Toc561 \h </w:instrText>
          </w:r>
          <w:r>
            <w:rPr>
              <w:sz w:val="28"/>
              <w:szCs w:val="28"/>
            </w:rPr>
            <w:fldChar w:fldCharType="separate"/>
          </w:r>
          <w:r>
            <w:rPr>
              <w:sz w:val="28"/>
              <w:szCs w:val="28"/>
            </w:rPr>
            <w:t>37</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pPr>
            <w:rPr>
              <w:color w:val="auto"/>
              <w:highlight w:val="none"/>
            </w:rPr>
          </w:pPr>
          <w:r>
            <w:rPr>
              <w:rFonts w:hint="eastAsia" w:asciiTheme="minorEastAsia" w:hAnsiTheme="minorEastAsia" w:eastAsiaTheme="minorEastAsia" w:cstheme="minorEastAsia"/>
              <w:color w:val="auto"/>
              <w:sz w:val="28"/>
              <w:szCs w:val="28"/>
              <w:highlight w:val="none"/>
            </w:rPr>
            <w:fldChar w:fldCharType="end"/>
          </w:r>
        </w:p>
      </w:sdtContent>
    </w:sdt>
    <w:p>
      <w:pPr>
        <w:pStyle w:val="12"/>
        <w:widowControl/>
        <w:spacing w:after="0"/>
        <w:ind w:firstLine="0"/>
        <w:rPr>
          <w:rFonts w:ascii="宋体" w:hAnsi="宋体" w:cs="宋体"/>
          <w:color w:val="auto"/>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p>
    <w:p>
      <w:pPr>
        <w:pStyle w:val="3"/>
        <w:widowControl/>
        <w:spacing w:before="0" w:after="0" w:line="360" w:lineRule="auto"/>
        <w:jc w:val="center"/>
        <w:rPr>
          <w:rFonts w:ascii="黑体" w:hAnsi="宋体" w:cs="黑体"/>
          <w:b/>
          <w:color w:val="auto"/>
          <w:kern w:val="44"/>
          <w:sz w:val="44"/>
          <w:szCs w:val="44"/>
          <w:highlight w:val="none"/>
        </w:rPr>
      </w:pPr>
      <w:bookmarkStart w:id="2" w:name="_Toc13302"/>
      <w:bookmarkStart w:id="3" w:name="_Toc5807"/>
      <w:bookmarkStart w:id="4" w:name="_Toc374128472"/>
      <w:r>
        <w:rPr>
          <w:rFonts w:hint="eastAsia" w:ascii="黑体" w:hAnsi="宋体" w:cs="黑体"/>
          <w:b/>
          <w:color w:val="auto"/>
          <w:kern w:val="44"/>
          <w:sz w:val="44"/>
          <w:szCs w:val="44"/>
          <w:highlight w:val="none"/>
        </w:rPr>
        <w:t>第1章 投标须知及前附表</w:t>
      </w:r>
      <w:bookmarkEnd w:id="2"/>
      <w:bookmarkEnd w:id="3"/>
      <w:bookmarkEnd w:id="4"/>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3"/>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lang w:val="en-US" w:eastAsia="zh-CN"/>
              </w:rPr>
              <w:t>项目</w:t>
            </w:r>
            <w:r>
              <w:rPr>
                <w:rFonts w:hint="eastAsia" w:ascii="宋体" w:hAnsi="宋体" w:cs="宋体"/>
                <w:color w:val="auto"/>
                <w:highlight w:val="none"/>
              </w:rPr>
              <w:t>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ascii="宋体" w:hAnsi="宋体" w:cs="宋体"/>
                <w:color w:val="auto"/>
                <w:highlight w:val="none"/>
              </w:rPr>
            </w:pPr>
            <w:r>
              <w:rPr>
                <w:rFonts w:hint="eastAsia" w:ascii="宋体" w:hAnsi="宋体" w:cs="宋体"/>
                <w:color w:val="auto"/>
                <w:highlight w:val="none"/>
                <w:u w:val="none"/>
                <w:lang w:val="en-US" w:eastAsia="zh-CN"/>
              </w:rPr>
              <w:t>广州南沙建设维护管理有限公司年度项目造价</w:t>
            </w:r>
            <w:r>
              <w:rPr>
                <w:rFonts w:hint="eastAsia" w:ascii="宋体" w:hAnsi="宋体" w:cs="宋体"/>
                <w:color w:val="auto"/>
                <w:highlight w:val="none"/>
                <w:u w:val="none"/>
              </w:rPr>
              <w:t>咨询服务</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cs="宋体"/>
                <w:color w:val="auto"/>
                <w:highlight w:val="none"/>
                <w:u w:val="none"/>
              </w:rPr>
            </w:pPr>
            <w:r>
              <w:rPr>
                <w:rFonts w:hint="eastAsia" w:ascii="宋体" w:hAnsi="宋体" w:cs="宋体"/>
                <w:color w:val="auto"/>
                <w:highlight w:val="none"/>
                <w:u w:val="none"/>
              </w:rPr>
              <w:t>广州市南沙区</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lang w:eastAsia="zh-CN"/>
              </w:rPr>
              <w:t>项目</w:t>
            </w:r>
            <w:r>
              <w:rPr>
                <w:rFonts w:hint="eastAsia" w:ascii="宋体" w:hAnsi="宋体" w:cs="宋体"/>
                <w:color w:val="auto"/>
                <w:highlight w:val="none"/>
              </w:rPr>
              <w:t>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cs="宋体"/>
                <w:color w:val="auto"/>
                <w:highlight w:val="none"/>
                <w:u w:val="none"/>
              </w:rPr>
              <w:t>本次招标具体为</w:t>
            </w:r>
            <w:r>
              <w:rPr>
                <w:rFonts w:hint="eastAsia" w:ascii="宋体" w:hAnsi="宋体" w:cs="宋体"/>
                <w:color w:val="auto"/>
                <w:highlight w:val="none"/>
                <w:u w:val="none"/>
                <w:lang w:eastAsia="zh-CN"/>
              </w:rPr>
              <w:t>广州南沙建设维护管理有限公司及其受托管理单位</w:t>
            </w:r>
            <w:r>
              <w:rPr>
                <w:rFonts w:hint="eastAsia" w:ascii="宋体" w:hAnsi="宋体" w:cs="宋体"/>
                <w:color w:val="auto"/>
                <w:highlight w:val="none"/>
                <w:u w:val="none"/>
              </w:rPr>
              <w:t>年度</w:t>
            </w:r>
            <w:r>
              <w:rPr>
                <w:rFonts w:hint="eastAsia" w:ascii="宋体" w:hAnsi="宋体" w:cs="宋体"/>
                <w:color w:val="auto"/>
                <w:highlight w:val="none"/>
                <w:u w:val="none"/>
                <w:lang w:eastAsia="zh-CN"/>
              </w:rPr>
              <w:t>项目</w:t>
            </w:r>
            <w:r>
              <w:rPr>
                <w:rFonts w:hint="eastAsia" w:ascii="宋体" w:hAnsi="宋体" w:cs="宋体"/>
                <w:color w:val="auto"/>
                <w:highlight w:val="none"/>
                <w:u w:val="none"/>
                <w:lang w:val="en-US" w:eastAsia="zh-CN"/>
              </w:rPr>
              <w:t>造价</w:t>
            </w:r>
            <w:r>
              <w:rPr>
                <w:rFonts w:hint="eastAsia" w:ascii="宋体" w:hAnsi="宋体" w:cs="宋体"/>
                <w:color w:val="auto"/>
                <w:highlight w:val="none"/>
                <w:u w:val="none"/>
              </w:rPr>
              <w:t>咨询服务外包，要求中标单位有一定的服务质量保证，且态度良好，信誉可靠</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计划费用总额</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cs="宋体"/>
                <w:color w:val="auto"/>
                <w:highlight w:val="none"/>
                <w:u w:val="none"/>
              </w:rPr>
            </w:pPr>
            <w:r>
              <w:rPr>
                <w:rFonts w:hint="eastAsia" w:ascii="宋体" w:hAnsi="宋体" w:eastAsia="宋体" w:cs="宋体"/>
                <w:color w:val="auto"/>
                <w:szCs w:val="21"/>
                <w:highlight w:val="none"/>
                <w:u w:val="none"/>
              </w:rPr>
              <w:t>本项目年度计划费用总额为100万元以下，项目数为若干，单个项目</w:t>
            </w:r>
            <w:r>
              <w:rPr>
                <w:rFonts w:hint="eastAsia" w:ascii="宋体" w:hAnsi="宋体" w:eastAsia="宋体" w:cs="宋体"/>
                <w:color w:val="auto"/>
                <w:szCs w:val="21"/>
                <w:highlight w:val="none"/>
                <w:u w:val="none"/>
                <w:lang w:val="en-US" w:eastAsia="zh-CN"/>
              </w:rPr>
              <w:t>不超过50万元</w:t>
            </w:r>
            <w:r>
              <w:rPr>
                <w:rFonts w:hint="eastAsia" w:ascii="宋体" w:hAnsi="宋体" w:eastAsia="宋体" w:cs="宋体"/>
                <w:color w:val="auto"/>
                <w:szCs w:val="21"/>
                <w:highlight w:val="none"/>
                <w:u w:val="none"/>
              </w:rPr>
              <w:t>，</w:t>
            </w:r>
            <w:r>
              <w:rPr>
                <w:rFonts w:hint="eastAsia" w:ascii="宋体" w:hAnsi="宋体" w:eastAsia="宋体" w:cs="宋体"/>
                <w:color w:val="auto"/>
                <w:szCs w:val="21"/>
                <w:highlight w:val="none"/>
                <w:u w:val="none"/>
                <w:lang w:val="en-US" w:eastAsia="zh-CN"/>
              </w:rPr>
              <w:t>以</w:t>
            </w:r>
            <w:r>
              <w:rPr>
                <w:rFonts w:hint="eastAsia" w:ascii="宋体" w:hAnsi="宋体" w:eastAsia="宋体" w:cs="宋体"/>
                <w:color w:val="auto"/>
                <w:szCs w:val="21"/>
                <w:highlight w:val="none"/>
                <w:u w:val="none"/>
              </w:rPr>
              <w:t>最终投标人报价</w:t>
            </w:r>
            <w:r>
              <w:rPr>
                <w:rFonts w:hint="eastAsia" w:ascii="宋体" w:hAnsi="宋体" w:eastAsia="宋体" w:cs="宋体"/>
                <w:color w:val="auto"/>
                <w:szCs w:val="21"/>
                <w:highlight w:val="none"/>
                <w:u w:val="none"/>
                <w:lang w:eastAsia="zh-CN"/>
              </w:rPr>
              <w:t>（</w:t>
            </w:r>
            <w:r>
              <w:rPr>
                <w:rFonts w:hint="eastAsia" w:ascii="宋体" w:hAnsi="宋体" w:eastAsia="宋体" w:cs="宋体"/>
                <w:color w:val="auto"/>
                <w:szCs w:val="21"/>
                <w:highlight w:val="none"/>
                <w:u w:val="none"/>
                <w:lang w:val="en-US" w:eastAsia="zh-CN"/>
              </w:rPr>
              <w:t>下浮率</w:t>
            </w:r>
            <w:r>
              <w:rPr>
                <w:rFonts w:hint="eastAsia" w:ascii="宋体" w:hAnsi="宋体" w:eastAsia="宋体" w:cs="宋体"/>
                <w:color w:val="auto"/>
                <w:szCs w:val="21"/>
                <w:highlight w:val="none"/>
                <w:u w:val="none"/>
                <w:lang w:eastAsia="zh-CN"/>
              </w:rPr>
              <w:t>）</w:t>
            </w:r>
            <w:r>
              <w:rPr>
                <w:rFonts w:hint="eastAsia" w:ascii="宋体" w:hAnsi="宋体" w:eastAsia="宋体" w:cs="宋体"/>
                <w:color w:val="auto"/>
                <w:szCs w:val="21"/>
                <w:highlight w:val="none"/>
                <w:u w:val="none"/>
              </w:rPr>
              <w:t>为准，</w:t>
            </w:r>
            <w:r>
              <w:rPr>
                <w:rFonts w:hint="eastAsia" w:ascii="宋体" w:hAnsi="宋体" w:eastAsia="宋体" w:cs="宋体"/>
                <w:color w:val="auto"/>
                <w:szCs w:val="21"/>
                <w:highlight w:val="none"/>
                <w:u w:val="none"/>
                <w:lang w:val="en-US" w:eastAsia="zh-CN"/>
              </w:rPr>
              <w:t>计算单个项目的服务费</w:t>
            </w:r>
            <w:r>
              <w:rPr>
                <w:rFonts w:hint="eastAsia" w:ascii="宋体" w:hAnsi="宋体" w:cs="宋体"/>
                <w:color w:val="auto"/>
                <w:highlight w:val="none"/>
                <w:u w:val="none"/>
                <w:lang w:eastAsia="zh-CN"/>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u w:val="none"/>
                <w:lang w:eastAsia="zh-CN"/>
              </w:rPr>
            </w:pPr>
            <w:r>
              <w:rPr>
                <w:rFonts w:hint="eastAsia" w:ascii="宋体" w:hAnsi="宋体" w:eastAsia="宋体" w:cs="宋体"/>
                <w:color w:val="auto"/>
                <w:kern w:val="2"/>
                <w:sz w:val="21"/>
                <w:szCs w:val="21"/>
                <w:highlight w:val="none"/>
                <w:u w:val="none"/>
                <w:lang w:eastAsia="zh-CN"/>
              </w:rPr>
              <w:t>符合</w:t>
            </w:r>
            <w:r>
              <w:rPr>
                <w:rFonts w:hint="eastAsia" w:ascii="宋体" w:hAnsi="宋体" w:eastAsia="宋体" w:cs="宋体"/>
                <w:color w:val="auto"/>
                <w:kern w:val="2"/>
                <w:sz w:val="21"/>
                <w:szCs w:val="21"/>
                <w:highlight w:val="none"/>
                <w:u w:val="none"/>
              </w:rPr>
              <w:t>法律、法规及工程造价计价办法和规定</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Times New Roman" w:hAnsi="宋体" w:eastAsia="宋体" w:cs="Times New Roman"/>
                <w:color w:val="auto"/>
                <w:kern w:val="0"/>
                <w:highlight w:val="none"/>
                <w:u w:val="none"/>
                <w:lang w:eastAsia="zh-CN"/>
              </w:rPr>
            </w:pPr>
            <w:r>
              <w:rPr>
                <w:rFonts w:hAnsi="宋体"/>
                <w:color w:val="auto"/>
                <w:kern w:val="0"/>
                <w:highlight w:val="none"/>
                <w:u w:val="none"/>
              </w:rPr>
              <w:t>本项目为</w:t>
            </w:r>
            <w:r>
              <w:rPr>
                <w:rFonts w:hint="default" w:hAnsi="宋体"/>
                <w:color w:val="auto"/>
                <w:kern w:val="0"/>
                <w:highlight w:val="none"/>
                <w:u w:val="none"/>
                <w:lang w:val="en-US" w:eastAsia="zh-CN"/>
              </w:rPr>
              <w:t>造价</w:t>
            </w:r>
            <w:r>
              <w:rPr>
                <w:rFonts w:hAnsi="宋体"/>
                <w:color w:val="auto"/>
                <w:kern w:val="0"/>
                <w:highlight w:val="none"/>
                <w:u w:val="none"/>
              </w:rPr>
              <w:t>咨询年度服务外包，</w:t>
            </w:r>
            <w:r>
              <w:rPr>
                <w:rFonts w:hint="default" w:ascii="Times New Roman" w:hAnsi="宋体" w:eastAsia="宋体" w:cs="Times New Roman"/>
                <w:color w:val="auto"/>
                <w:kern w:val="0"/>
                <w:sz w:val="21"/>
                <w:highlight w:val="none"/>
                <w:u w:val="none"/>
              </w:rPr>
              <w:t>具体内容包括招标人</w:t>
            </w:r>
            <w:r>
              <w:rPr>
                <w:rFonts w:hint="eastAsia" w:hAnsi="宋体" w:cs="Times New Roman"/>
                <w:color w:val="auto"/>
                <w:kern w:val="0"/>
                <w:sz w:val="21"/>
                <w:highlight w:val="none"/>
                <w:u w:val="none"/>
                <w:lang w:eastAsia="zh-CN"/>
              </w:rPr>
              <w:t>及其受托管理单位</w:t>
            </w:r>
            <w:r>
              <w:rPr>
                <w:rFonts w:hint="default" w:ascii="Times New Roman" w:hAnsi="宋体" w:eastAsia="宋体" w:cs="Times New Roman"/>
                <w:color w:val="auto"/>
                <w:kern w:val="0"/>
                <w:sz w:val="21"/>
                <w:highlight w:val="none"/>
                <w:u w:val="none"/>
              </w:rPr>
              <w:t>所有需要完成</w:t>
            </w:r>
            <w:r>
              <w:rPr>
                <w:rFonts w:hint="default" w:ascii="Times New Roman" w:hAnsi="宋体" w:eastAsia="宋体" w:cs="Times New Roman"/>
                <w:color w:val="auto"/>
                <w:kern w:val="0"/>
                <w:sz w:val="21"/>
                <w:highlight w:val="none"/>
                <w:u w:val="none"/>
                <w:lang w:val="en-US" w:eastAsia="zh-CN"/>
              </w:rPr>
              <w:t>造价咨询</w:t>
            </w:r>
            <w:r>
              <w:rPr>
                <w:rFonts w:hint="default" w:ascii="Times New Roman" w:hAnsi="宋体" w:eastAsia="宋体" w:cs="Times New Roman"/>
                <w:color w:val="auto"/>
                <w:kern w:val="0"/>
                <w:sz w:val="21"/>
                <w:highlight w:val="none"/>
                <w:u w:val="none"/>
              </w:rPr>
              <w:t>的项目服务</w:t>
            </w:r>
            <w:r>
              <w:rPr>
                <w:rFonts w:hint="default" w:ascii="Times New Roman" w:hAnsi="宋体" w:eastAsia="宋体" w:cs="Times New Roman"/>
                <w:b w:val="0"/>
                <w:bCs w:val="0"/>
                <w:color w:val="auto"/>
                <w:kern w:val="0"/>
                <w:sz w:val="21"/>
                <w:szCs w:val="21"/>
                <w:highlight w:val="none"/>
                <w:u w:val="none"/>
                <w:lang w:val="en-US" w:eastAsia="zh-CN"/>
              </w:rPr>
              <w:t>（含自有项目、代建项目等）</w:t>
            </w:r>
            <w:r>
              <w:rPr>
                <w:rFonts w:hint="default" w:ascii="Times New Roman" w:hAnsi="宋体" w:eastAsia="宋体" w:cs="Times New Roman"/>
                <w:color w:val="auto"/>
                <w:kern w:val="0"/>
                <w:sz w:val="21"/>
                <w:highlight w:val="none"/>
                <w:u w:val="none"/>
                <w:lang w:eastAsia="zh-CN"/>
              </w:rPr>
              <w:t>，包括但不限于</w:t>
            </w:r>
            <w:r>
              <w:rPr>
                <w:rFonts w:hint="default" w:ascii="Times New Roman" w:hAnsi="宋体" w:eastAsia="宋体" w:cs="Times New Roman"/>
                <w:color w:val="auto"/>
                <w:kern w:val="0"/>
                <w:sz w:val="21"/>
                <w:szCs w:val="21"/>
                <w:highlight w:val="none"/>
                <w:u w:val="none"/>
                <w:lang w:val="en-US" w:eastAsia="zh-CN"/>
              </w:rPr>
              <w:t>概算编制，招标控制价编制及结算编制等</w:t>
            </w:r>
            <w:r>
              <w:rPr>
                <w:rFonts w:hint="default" w:ascii="Times New Roman" w:hAnsi="宋体" w:cs="Times New Roman"/>
                <w:color w:val="auto"/>
                <w:kern w:val="0"/>
                <w:highlight w:val="none"/>
                <w:u w:val="none"/>
                <w:lang w:eastAsia="zh-CN"/>
              </w:rPr>
              <w:t>。</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highlight w:val="none"/>
                <w:u w:val="none"/>
              </w:rPr>
            </w:pPr>
            <w:r>
              <w:rPr>
                <w:rFonts w:hint="eastAsia" w:hAnsi="宋体"/>
                <w:color w:val="auto"/>
                <w:highlight w:val="none"/>
                <w:u w:val="none"/>
                <w:lang w:val="en-US" w:eastAsia="zh-CN"/>
              </w:rPr>
              <w:t>自合同签订之日起计1年时间</w:t>
            </w:r>
            <w:r>
              <w:rPr>
                <w:rFonts w:hint="eastAsia" w:ascii="宋体" w:hAnsi="宋体" w:eastAsia="宋体" w:cs="宋体"/>
                <w:color w:val="auto"/>
                <w:szCs w:val="21"/>
                <w:highlight w:val="none"/>
              </w:rPr>
              <w:t>或者累计</w:t>
            </w:r>
            <w:r>
              <w:rPr>
                <w:rFonts w:hint="eastAsia" w:ascii="宋体" w:hAnsi="宋体" w:eastAsia="宋体" w:cs="宋体"/>
                <w:color w:val="auto"/>
                <w:szCs w:val="21"/>
                <w:highlight w:val="none"/>
                <w:lang w:eastAsia="zh-CN"/>
              </w:rPr>
              <w:t>造价咨询</w:t>
            </w:r>
            <w:r>
              <w:rPr>
                <w:rFonts w:hint="eastAsia" w:ascii="宋体" w:hAnsi="宋体" w:eastAsia="宋体" w:cs="宋体"/>
                <w:color w:val="auto"/>
                <w:szCs w:val="21"/>
                <w:highlight w:val="none"/>
              </w:rPr>
              <w:t>服务费接近100万为止。</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ascii="宋体" w:hAnsi="宋体" w:cs="宋体"/>
                <w:color w:val="auto"/>
                <w:highlight w:val="none"/>
              </w:rPr>
            </w:pPr>
            <w:r>
              <w:rPr>
                <w:rFonts w:hint="eastAsia" w:ascii="宋体" w:hAnsi="宋体" w:cs="宋体"/>
                <w:color w:val="auto"/>
                <w:highlight w:val="none"/>
                <w:u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firstLine="0" w:firstLineChars="0"/>
              <w:rPr>
                <w:rFonts w:hint="eastAsia" w:ascii="宋体" w:hAnsi="宋体" w:cs="宋体" w:eastAsiaTheme="minorEastAsia"/>
                <w:color w:val="auto"/>
                <w:highlight w:val="none"/>
                <w:lang w:eastAsia="zh-CN"/>
              </w:rPr>
            </w:pPr>
            <w:r>
              <w:rPr>
                <w:rFonts w:hint="eastAsia" w:ascii="宋体" w:hAnsi="宋体" w:cs="宋体"/>
                <w:color w:val="auto"/>
                <w:highlight w:val="none"/>
              </w:rPr>
              <w:t>投标人具有工程造价咨询甲级资质。</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服务人员的专业配套要求</w:t>
            </w:r>
          </w:p>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0"/>
                <w:numId w:val="0"/>
              </w:numPr>
              <w:spacing w:line="360" w:lineRule="auto"/>
              <w:ind w:right="150"/>
              <w:jc w:val="left"/>
              <w:rPr>
                <w:rFonts w:hint="eastAsia"/>
                <w:color w:val="auto"/>
                <w:highlight w:val="none"/>
                <w:lang w:val="en-US" w:eastAsia="zh-CN"/>
              </w:rPr>
            </w:pPr>
            <w:r>
              <w:rPr>
                <w:rFonts w:hint="eastAsia"/>
                <w:color w:val="auto"/>
                <w:highlight w:val="none"/>
                <w:lang w:val="en-US" w:eastAsia="zh-CN"/>
              </w:rPr>
              <w:t>人员配备要求：</w:t>
            </w:r>
          </w:p>
          <w:p>
            <w:pPr>
              <w:numPr>
                <w:ilvl w:val="-1"/>
                <w:numId w:val="0"/>
              </w:numPr>
              <w:spacing w:line="360" w:lineRule="auto"/>
              <w:ind w:right="150" w:firstLine="0" w:firstLineChars="0"/>
              <w:jc w:val="left"/>
              <w:rPr>
                <w:rFonts w:hint="eastAsia" w:asciiTheme="minorHAnsi" w:hAnsiTheme="minorHAnsi" w:eastAsiaTheme="minorEastAsia" w:cstheme="minorBidi"/>
                <w:color w:val="auto"/>
                <w:sz w:val="21"/>
                <w:szCs w:val="24"/>
                <w:highlight w:val="none"/>
                <w:lang w:val="en-US" w:eastAsia="zh-CN"/>
              </w:rPr>
            </w:pPr>
            <w:r>
              <w:rPr>
                <w:rFonts w:hint="eastAsia" w:asciiTheme="minorHAnsi" w:hAnsiTheme="minorHAnsi" w:eastAsiaTheme="minorEastAsia" w:cstheme="minorBidi"/>
                <w:color w:val="auto"/>
                <w:sz w:val="21"/>
                <w:szCs w:val="24"/>
                <w:highlight w:val="none"/>
                <w:lang w:val="en-US" w:eastAsia="zh-CN"/>
              </w:rPr>
              <w:t>（1）项目负责人（人数1名）：具有高级或以上技术职称，具有一级注册造价工程师资格，或造价工程师证书。</w:t>
            </w:r>
          </w:p>
          <w:p>
            <w:pPr>
              <w:numPr>
                <w:ilvl w:val="-1"/>
                <w:numId w:val="0"/>
              </w:numPr>
              <w:spacing w:line="360" w:lineRule="auto"/>
              <w:ind w:right="150" w:firstLine="0" w:firstLineChars="0"/>
              <w:jc w:val="left"/>
              <w:rPr>
                <w:rFonts w:hint="eastAsia" w:asciiTheme="minorHAnsi" w:hAnsiTheme="minorHAnsi" w:eastAsiaTheme="minorEastAsia" w:cstheme="minorBidi"/>
                <w:color w:val="auto"/>
                <w:sz w:val="21"/>
                <w:szCs w:val="24"/>
                <w:highlight w:val="none"/>
              </w:rPr>
            </w:pPr>
            <w:r>
              <w:rPr>
                <w:rFonts w:hint="eastAsia" w:asciiTheme="minorHAnsi" w:hAnsiTheme="minorHAnsi" w:eastAsiaTheme="minorEastAsia" w:cstheme="minorBidi"/>
                <w:color w:val="auto"/>
                <w:sz w:val="21"/>
                <w:szCs w:val="24"/>
                <w:highlight w:val="none"/>
                <w:lang w:val="en-US" w:eastAsia="zh-CN"/>
              </w:rPr>
              <w:t>（2）审核和复核人（人数2名）：</w:t>
            </w:r>
            <w:r>
              <w:rPr>
                <w:rFonts w:hint="eastAsia" w:asciiTheme="minorHAnsi" w:hAnsiTheme="minorHAnsi" w:eastAsiaTheme="minorEastAsia" w:cstheme="minorBidi"/>
                <w:color w:val="auto"/>
                <w:sz w:val="21"/>
                <w:szCs w:val="24"/>
                <w:highlight w:val="none"/>
              </w:rPr>
              <w:t>具</w:t>
            </w:r>
            <w:r>
              <w:rPr>
                <w:rFonts w:hint="eastAsia" w:asciiTheme="minorHAnsi" w:hAnsiTheme="minorHAnsi" w:eastAsiaTheme="minorEastAsia" w:cstheme="minorBidi"/>
                <w:color w:val="auto"/>
                <w:sz w:val="21"/>
                <w:szCs w:val="24"/>
                <w:highlight w:val="none"/>
                <w:lang w:val="en-US" w:eastAsia="zh-CN"/>
              </w:rPr>
              <w:t>有一级注册</w:t>
            </w:r>
            <w:r>
              <w:rPr>
                <w:rFonts w:hint="eastAsia" w:asciiTheme="minorHAnsi" w:hAnsiTheme="minorHAnsi" w:eastAsiaTheme="minorEastAsia" w:cstheme="minorBidi"/>
                <w:color w:val="auto"/>
                <w:sz w:val="21"/>
                <w:szCs w:val="24"/>
                <w:highlight w:val="none"/>
              </w:rPr>
              <w:t>造价</w:t>
            </w:r>
            <w:r>
              <w:rPr>
                <w:rFonts w:hint="eastAsia" w:asciiTheme="minorHAnsi" w:hAnsiTheme="minorHAnsi" w:eastAsiaTheme="minorEastAsia" w:cstheme="minorBidi"/>
                <w:color w:val="auto"/>
                <w:sz w:val="21"/>
                <w:szCs w:val="24"/>
                <w:highlight w:val="none"/>
                <w:lang w:eastAsia="zh-CN"/>
              </w:rPr>
              <w:t>工程</w:t>
            </w:r>
            <w:r>
              <w:rPr>
                <w:rFonts w:hint="eastAsia" w:asciiTheme="minorHAnsi" w:hAnsiTheme="minorHAnsi" w:eastAsiaTheme="minorEastAsia" w:cstheme="minorBidi"/>
                <w:color w:val="auto"/>
                <w:sz w:val="21"/>
                <w:szCs w:val="24"/>
                <w:highlight w:val="none"/>
              </w:rPr>
              <w:t>师资格</w:t>
            </w:r>
            <w:r>
              <w:rPr>
                <w:rFonts w:hint="eastAsia" w:asciiTheme="minorHAnsi" w:hAnsiTheme="minorHAnsi" w:eastAsiaTheme="minorEastAsia" w:cstheme="minorBidi"/>
                <w:color w:val="auto"/>
                <w:sz w:val="21"/>
                <w:szCs w:val="24"/>
                <w:highlight w:val="none"/>
                <w:lang w:eastAsia="zh-CN"/>
              </w:rPr>
              <w:t>，</w:t>
            </w:r>
            <w:r>
              <w:rPr>
                <w:rFonts w:hint="eastAsia" w:asciiTheme="minorHAnsi" w:hAnsiTheme="minorHAnsi" w:eastAsiaTheme="minorEastAsia" w:cstheme="minorBidi"/>
                <w:color w:val="auto"/>
                <w:sz w:val="21"/>
                <w:szCs w:val="24"/>
                <w:highlight w:val="none"/>
                <w:lang w:val="en-US" w:eastAsia="zh-CN"/>
              </w:rPr>
              <w:t>或造价工程师证书</w:t>
            </w:r>
            <w:r>
              <w:rPr>
                <w:rFonts w:hint="eastAsia" w:asciiTheme="minorHAnsi" w:hAnsiTheme="minorHAnsi" w:eastAsiaTheme="minorEastAsia" w:cstheme="minorBidi"/>
                <w:color w:val="auto"/>
                <w:sz w:val="21"/>
                <w:szCs w:val="24"/>
                <w:highlight w:val="none"/>
              </w:rPr>
              <w:t>。</w:t>
            </w:r>
          </w:p>
          <w:p>
            <w:pPr>
              <w:spacing w:line="360" w:lineRule="auto"/>
              <w:ind w:right="150"/>
              <w:jc w:val="left"/>
              <w:rPr>
                <w:rFonts w:hint="eastAsia" w:eastAsiaTheme="minorEastAsia"/>
                <w:color w:val="auto"/>
                <w:highlight w:val="none"/>
                <w:lang w:eastAsia="zh-CN"/>
              </w:rPr>
            </w:pPr>
            <w:r>
              <w:rPr>
                <w:rFonts w:hint="eastAsia" w:asciiTheme="minorHAnsi" w:hAnsiTheme="minorHAnsi" w:eastAsiaTheme="minorEastAsia" w:cstheme="minorBidi"/>
                <w:color w:val="auto"/>
                <w:sz w:val="21"/>
                <w:szCs w:val="24"/>
                <w:highlight w:val="none"/>
                <w:lang w:val="en-US" w:eastAsia="zh-CN"/>
              </w:rPr>
              <w:t>（3）编制人员和辅助人员：具有二级注册造价工程师或以上执业资格，或造价员证书</w:t>
            </w:r>
            <w:r>
              <w:rPr>
                <w:rFonts w:hint="eastAsia" w:asciiTheme="minorHAnsi" w:hAnsiTheme="minorHAnsi" w:eastAsiaTheme="minorEastAsia" w:cstheme="minorBidi"/>
                <w:color w:val="auto"/>
                <w:sz w:val="21"/>
                <w:szCs w:val="24"/>
                <w:highlight w:val="none"/>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firstLineChars="0"/>
              <w:jc w:val="center"/>
              <w:rPr>
                <w:rFonts w:ascii="宋体" w:hAnsi="宋体" w:cs="宋体"/>
                <w:color w:val="auto"/>
                <w:highlight w:val="none"/>
              </w:rPr>
            </w:pPr>
            <w:r>
              <w:rPr>
                <w:rFonts w:hint="eastAsia" w:ascii="宋体" w:hAnsi="宋体" w:cs="宋体"/>
                <w:color w:val="auto"/>
                <w:highlight w:val="none"/>
                <w:lang w:eastAsia="zh-CN"/>
              </w:rPr>
              <w:t>符合性审查</w:t>
            </w:r>
            <w:r>
              <w:rPr>
                <w:rFonts w:hint="eastAsia" w:ascii="宋体" w:hAnsi="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jc w:val="both"/>
              <w:rPr>
                <w:rFonts w:ascii="宋体" w:hAnsi="宋体" w:cs="宋体"/>
                <w:color w:val="auto"/>
                <w:highlight w:val="none"/>
              </w:rPr>
            </w:pPr>
            <w:r>
              <w:rPr>
                <w:rFonts w:hint="eastAsia" w:ascii="宋体" w:hAnsi="宋体" w:cs="宋体"/>
                <w:color w:val="auto"/>
                <w:highlight w:val="none"/>
              </w:rPr>
              <w:t>资格</w:t>
            </w:r>
            <w:r>
              <w:rPr>
                <w:rFonts w:hint="eastAsia" w:ascii="宋体" w:hAnsi="宋体" w:cs="宋体"/>
                <w:color w:val="auto"/>
                <w:highlight w:val="none"/>
                <w:lang w:eastAsia="zh-CN"/>
              </w:rPr>
              <w:t>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highlight w:val="none"/>
                <w:u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color w:val="auto"/>
                <w:highlight w:val="none"/>
              </w:rPr>
            </w:pPr>
            <w:r>
              <w:rPr>
                <w:rFonts w:hint="eastAsia" w:ascii="宋体" w:hAnsi="宋体" w:eastAsia="宋体" w:cs="宋体"/>
                <w:color w:val="auto"/>
                <w:szCs w:val="21"/>
                <w:highlight w:val="none"/>
                <w:lang w:val="en-US" w:eastAsia="zh-CN"/>
              </w:rPr>
              <w:t xml:space="preserve">                        /</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360" w:lineRule="auto"/>
              <w:ind w:left="-59" w:leftChars="-28" w:right="-44" w:rightChars="-21" w:firstLine="0"/>
              <w:jc w:val="center"/>
              <w:rPr>
                <w:rFonts w:ascii="宋体" w:hAnsi="宋体" w:cs="宋体"/>
                <w:color w:val="auto"/>
                <w:highlight w:val="none"/>
              </w:rPr>
            </w:pPr>
            <w:r>
              <w:rPr>
                <w:rFonts w:hint="eastAsia" w:ascii="宋体" w:hAnsi="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ascii="宋体" w:hAnsi="宋体" w:cs="宋体"/>
                <w:color w:val="auto"/>
                <w:highlight w:val="none"/>
              </w:rPr>
            </w:pPr>
            <w:r>
              <w:rPr>
                <w:rFonts w:hint="eastAsia" w:ascii="宋体" w:hAnsi="宋体" w:cs="宋体"/>
                <w:color w:val="auto"/>
                <w:highlight w:val="none"/>
                <w:lang w:val="en-US" w:eastAsia="zh-CN"/>
              </w:rPr>
              <w:t>1、</w:t>
            </w:r>
            <w:r>
              <w:rPr>
                <w:rFonts w:hint="eastAsia" w:ascii="宋体" w:hAnsi="宋体" w:cs="宋体"/>
                <w:color w:val="auto"/>
                <w:highlight w:val="none"/>
              </w:rPr>
              <w:t>投标单位自行报</w:t>
            </w:r>
            <w:r>
              <w:rPr>
                <w:rFonts w:hint="eastAsia" w:ascii="宋体" w:hAnsi="宋体" w:cs="宋体"/>
                <w:color w:val="auto"/>
                <w:highlight w:val="none"/>
                <w:lang w:eastAsia="zh-CN"/>
              </w:rPr>
              <w:t>下浮率，</w:t>
            </w:r>
            <w:r>
              <w:rPr>
                <w:rFonts w:hint="eastAsia" w:ascii="宋体" w:hAnsi="宋体" w:eastAsia="宋体" w:cs="宋体"/>
                <w:color w:val="auto"/>
                <w:sz w:val="21"/>
                <w:szCs w:val="21"/>
                <w:highlight w:val="none"/>
                <w:lang w:val="en-US" w:eastAsia="zh-CN"/>
              </w:rPr>
              <w:t>投标下浮率</w:t>
            </w:r>
            <w:r>
              <w:rPr>
                <w:rFonts w:hint="eastAsia" w:ascii="宋体" w:hAnsi="宋体" w:eastAsia="宋体" w:cs="宋体"/>
                <w:color w:val="auto"/>
                <w:sz w:val="21"/>
                <w:szCs w:val="21"/>
                <w:highlight w:val="none"/>
              </w:rPr>
              <w:t>控制在</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10%&lt;投标下浮率≤40%</w:t>
            </w:r>
            <w:r>
              <w:rPr>
                <w:rFonts w:hint="eastAsia" w:ascii="宋体" w:hAnsi="宋体" w:eastAsia="宋体" w:cs="宋体"/>
                <w:color w:val="auto"/>
                <w:sz w:val="21"/>
                <w:szCs w:val="21"/>
                <w:highlight w:val="none"/>
                <w:lang w:eastAsia="zh-CN"/>
              </w:rPr>
              <w:t>，</w:t>
            </w:r>
            <w:r>
              <w:rPr>
                <w:rFonts w:hint="eastAsia" w:ascii="宋体" w:hAnsi="宋体" w:cs="宋体"/>
                <w:color w:val="auto"/>
                <w:highlight w:val="none"/>
              </w:rPr>
              <w:t>投标</w:t>
            </w:r>
            <w:r>
              <w:rPr>
                <w:rFonts w:hint="eastAsia" w:ascii="宋体" w:hAnsi="宋体" w:cs="宋体"/>
                <w:color w:val="auto"/>
                <w:highlight w:val="none"/>
                <w:lang w:val="en-US" w:eastAsia="zh-CN"/>
              </w:rPr>
              <w:t>下浮率</w:t>
            </w:r>
            <w:r>
              <w:rPr>
                <w:rFonts w:hint="eastAsia" w:ascii="宋体" w:hAnsi="宋体" w:cs="宋体"/>
                <w:color w:val="auto"/>
                <w:highlight w:val="none"/>
              </w:rPr>
              <w:t>不</w:t>
            </w:r>
            <w:r>
              <w:rPr>
                <w:rFonts w:hint="eastAsia" w:ascii="宋体" w:hAnsi="宋体" w:cs="宋体"/>
                <w:color w:val="auto"/>
                <w:highlight w:val="none"/>
                <w:lang w:val="en-US" w:eastAsia="zh-CN"/>
              </w:rPr>
              <w:t>得</w:t>
            </w:r>
            <w:r>
              <w:rPr>
                <w:rFonts w:hint="eastAsia" w:ascii="宋体" w:hAnsi="宋体" w:cs="宋体"/>
                <w:color w:val="auto"/>
                <w:highlight w:val="none"/>
              </w:rPr>
              <w:t>超</w:t>
            </w:r>
            <w:r>
              <w:rPr>
                <w:rFonts w:hint="eastAsia" w:ascii="宋体" w:hAnsi="宋体" w:cs="宋体"/>
                <w:color w:val="auto"/>
                <w:highlight w:val="none"/>
                <w:lang w:val="en-US" w:eastAsia="zh-CN"/>
              </w:rPr>
              <w:t>出范围，</w:t>
            </w:r>
            <w:r>
              <w:rPr>
                <w:rFonts w:hint="eastAsia" w:ascii="宋体" w:hAnsi="宋体" w:eastAsia="宋体" w:cs="宋体"/>
                <w:color w:val="auto"/>
                <w:kern w:val="2"/>
                <w:sz w:val="21"/>
                <w:szCs w:val="21"/>
                <w:highlight w:val="none"/>
              </w:rPr>
              <w:t>不得为区间值</w:t>
            </w:r>
            <w:r>
              <w:rPr>
                <w:rFonts w:hint="eastAsia" w:ascii="宋体" w:hAnsi="宋体" w:eastAsia="宋体" w:cs="宋体"/>
                <w:color w:val="auto"/>
                <w:kern w:val="2"/>
                <w:sz w:val="21"/>
                <w:szCs w:val="21"/>
                <w:highlight w:val="none"/>
                <w:lang w:eastAsia="zh-CN"/>
              </w:rPr>
              <w:t>，</w:t>
            </w:r>
            <w:r>
              <w:rPr>
                <w:rFonts w:hint="eastAsia" w:ascii="宋体" w:hAnsi="宋体" w:cs="宋体"/>
                <w:color w:val="auto"/>
                <w:highlight w:val="none"/>
                <w:lang w:val="en-US" w:eastAsia="zh-CN"/>
              </w:rPr>
              <w:t>否则按废标处理</w:t>
            </w:r>
            <w:r>
              <w:rPr>
                <w:rFonts w:hint="eastAsia" w:ascii="宋体" w:hAnsi="宋体" w:cs="宋体"/>
                <w:color w:val="auto"/>
                <w:highlight w:val="none"/>
              </w:rPr>
              <w:t>。（小数点后保留二位小数）。</w:t>
            </w:r>
          </w:p>
          <w:p>
            <w:pPr>
              <w:keepNext w:val="0"/>
              <w:keepLines w:val="0"/>
              <w:pageBreakBefore w:val="0"/>
              <w:widowControl w:val="0"/>
              <w:numPr>
                <w:ilvl w:val="0"/>
                <w:numId w:val="0"/>
              </w:numPr>
              <w:tabs>
                <w:tab w:val="left" w:pos="630"/>
              </w:tabs>
              <w:kinsoku/>
              <w:wordWrap/>
              <w:overflowPunct/>
              <w:topLinePunct w:val="0"/>
              <w:autoSpaceDE/>
              <w:autoSpaceDN/>
              <w:bidi w:val="0"/>
              <w:adjustRightInd/>
              <w:snapToGrid/>
              <w:spacing w:line="360" w:lineRule="auto"/>
              <w:ind w:firstLine="0" w:firstLineChars="0"/>
              <w:jc w:val="both"/>
              <w:textAlignment w:val="auto"/>
              <w:rPr>
                <w:rFonts w:ascii="宋体" w:hAnsi="宋体" w:cs="宋体"/>
                <w:color w:val="auto"/>
                <w:highlight w:val="none"/>
              </w:rPr>
            </w:pPr>
            <w:r>
              <w:rPr>
                <w:rFonts w:hint="eastAsia" w:ascii="宋体" w:hAnsi="宋体" w:cs="宋体"/>
                <w:color w:val="auto"/>
                <w:highlight w:val="none"/>
                <w:lang w:val="en-US" w:eastAsia="zh-CN"/>
              </w:rPr>
              <w:t>2、</w:t>
            </w:r>
            <w:r>
              <w:rPr>
                <w:rFonts w:hint="eastAsia" w:ascii="宋体" w:hAnsi="宋体" w:eastAsia="宋体" w:cs="宋体"/>
                <w:color w:val="auto"/>
                <w:kern w:val="2"/>
                <w:sz w:val="21"/>
                <w:szCs w:val="21"/>
                <w:highlight w:val="none"/>
                <w:lang w:eastAsia="zh-CN"/>
              </w:rPr>
              <w:t>造价咨询</w:t>
            </w:r>
            <w:r>
              <w:rPr>
                <w:rFonts w:hint="eastAsia" w:ascii="宋体" w:hAnsi="宋体" w:eastAsia="宋体" w:cs="宋体"/>
                <w:color w:val="auto"/>
                <w:kern w:val="2"/>
                <w:sz w:val="21"/>
                <w:szCs w:val="21"/>
                <w:highlight w:val="none"/>
                <w:lang w:val="en-US" w:eastAsia="zh-CN"/>
              </w:rPr>
              <w:t>服务费按单个服务项目进行结算，以</w:t>
            </w:r>
            <w:r>
              <w:rPr>
                <w:rFonts w:hint="eastAsia" w:ascii="宋体" w:hAnsi="宋体" w:eastAsia="宋体" w:cs="宋体"/>
                <w:color w:val="auto"/>
                <w:kern w:val="2"/>
                <w:sz w:val="21"/>
                <w:szCs w:val="21"/>
                <w:highlight w:val="none"/>
              </w:rPr>
              <w:t>《关于调整我省建设工程造价咨询服务收费的复函》</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粤价函【2011】</w:t>
            </w:r>
            <w:r>
              <w:rPr>
                <w:rFonts w:hint="eastAsia" w:ascii="宋体" w:hAnsi="宋体" w:eastAsia="宋体" w:cs="宋体"/>
                <w:color w:val="auto"/>
                <w:kern w:val="2"/>
                <w:sz w:val="21"/>
                <w:szCs w:val="21"/>
                <w:highlight w:val="none"/>
                <w:lang w:eastAsia="zh-CN"/>
              </w:rPr>
              <w:t>742</w:t>
            </w:r>
            <w:r>
              <w:rPr>
                <w:rFonts w:hint="eastAsia" w:ascii="宋体" w:hAnsi="宋体" w:eastAsia="宋体" w:cs="宋体"/>
                <w:color w:val="auto"/>
                <w:kern w:val="2"/>
                <w:sz w:val="21"/>
                <w:szCs w:val="21"/>
                <w:highlight w:val="none"/>
              </w:rPr>
              <w:t>号</w:t>
            </w:r>
            <w:r>
              <w:rPr>
                <w:rFonts w:hint="eastAsia" w:ascii="宋体" w:hAnsi="宋体" w:eastAsia="宋体" w:cs="宋体"/>
                <w:color w:val="auto"/>
                <w:kern w:val="2"/>
                <w:sz w:val="21"/>
                <w:szCs w:val="21"/>
                <w:highlight w:val="none"/>
                <w:lang w:eastAsia="zh-CN"/>
              </w:rPr>
              <w:t>）为计费依据，</w:t>
            </w:r>
            <w:r>
              <w:rPr>
                <w:rFonts w:hint="eastAsia" w:ascii="宋体" w:hAnsi="宋体" w:eastAsia="宋体" w:cs="宋体"/>
                <w:color w:val="auto"/>
                <w:kern w:val="2"/>
                <w:sz w:val="21"/>
                <w:szCs w:val="21"/>
                <w:highlight w:val="none"/>
                <w:lang w:val="en-US" w:eastAsia="zh-CN"/>
              </w:rPr>
              <w:t>结合投标下浮率计算得出</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u w:val="none"/>
              </w:rPr>
              <w:t>单个项目</w:t>
            </w:r>
            <w:r>
              <w:rPr>
                <w:rFonts w:hint="eastAsia" w:ascii="宋体" w:hAnsi="宋体" w:eastAsia="宋体" w:cs="宋体"/>
                <w:color w:val="auto"/>
                <w:kern w:val="2"/>
                <w:sz w:val="21"/>
                <w:szCs w:val="21"/>
                <w:highlight w:val="none"/>
                <w:u w:val="none"/>
                <w:lang w:eastAsia="zh-CN"/>
              </w:rPr>
              <w:t>造价咨询</w:t>
            </w:r>
            <w:r>
              <w:rPr>
                <w:rFonts w:hint="eastAsia" w:ascii="宋体" w:hAnsi="宋体" w:eastAsia="宋体" w:cs="宋体"/>
                <w:color w:val="auto"/>
                <w:kern w:val="2"/>
                <w:sz w:val="21"/>
                <w:szCs w:val="21"/>
                <w:highlight w:val="none"/>
                <w:u w:val="none"/>
                <w:lang w:val="en-US" w:eastAsia="zh-CN"/>
              </w:rPr>
              <w:t>服务费不超过50万元</w:t>
            </w:r>
            <w:r>
              <w:rPr>
                <w:rFonts w:hint="eastAsia" w:ascii="宋体" w:hAnsi="宋体" w:eastAsia="宋体" w:cs="宋体"/>
                <w:color w:val="auto"/>
                <w:kern w:val="2"/>
                <w:sz w:val="21"/>
                <w:szCs w:val="21"/>
                <w:highlight w:val="none"/>
              </w:rPr>
              <w:t>。</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ascii="宋体" w:hAnsi="宋体" w:cs="宋体"/>
                <w:color w:val="auto"/>
                <w:highlight w:val="none"/>
                <w:u w:val="single"/>
              </w:rPr>
            </w:pPr>
            <w:r>
              <w:rPr>
                <w:rFonts w:hint="eastAsia" w:ascii="宋体" w:hAnsi="宋体" w:cs="宋体"/>
                <w:color w:val="auto"/>
                <w:highlight w:val="none"/>
                <w:u w:val="single"/>
              </w:rPr>
              <w:t>90</w:t>
            </w:r>
            <w:r>
              <w:rPr>
                <w:rFonts w:hint="eastAsia" w:ascii="宋体" w:hAnsi="宋体" w:cs="宋体"/>
                <w:color w:val="auto"/>
                <w:highlight w:val="none"/>
              </w:rPr>
              <w:t>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adjustRightInd/>
              <w:snapToGrid/>
              <w:spacing w:beforeAutospacing="0" w:after="0" w:line="360" w:lineRule="auto"/>
              <w:ind w:firstLine="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1、金额：人民币</w:t>
            </w:r>
            <w:r>
              <w:rPr>
                <w:rFonts w:hint="eastAsia" w:asciiTheme="minorEastAsia" w:hAnsiTheme="minorEastAsia" w:eastAsiaTheme="minorEastAsia"/>
                <w:color w:val="auto"/>
                <w:sz w:val="21"/>
                <w:szCs w:val="21"/>
                <w:highlight w:val="none"/>
                <w:u w:val="single"/>
              </w:rPr>
              <w:t>壹</w:t>
            </w:r>
            <w:r>
              <w:rPr>
                <w:rFonts w:hint="eastAsia" w:asciiTheme="minorEastAsia" w:hAnsiTheme="minorEastAsia" w:eastAsiaTheme="minorEastAsia"/>
                <w:color w:val="auto"/>
                <w:sz w:val="21"/>
                <w:szCs w:val="21"/>
                <w:highlight w:val="none"/>
              </w:rPr>
              <w:t>万元。</w:t>
            </w:r>
          </w:p>
          <w:p>
            <w:pPr>
              <w:pStyle w:val="12"/>
              <w:widowControl/>
              <w:adjustRightInd/>
              <w:snapToGrid/>
              <w:spacing w:beforeAutospacing="0" w:after="0" w:line="360" w:lineRule="auto"/>
              <w:ind w:firstLine="0"/>
              <w:rPr>
                <w:rFonts w:hint="eastAsia" w:asciiTheme="minorEastAsia" w:hAnsiTheme="minorEastAsia" w:eastAsiaTheme="minorEastAsia"/>
                <w:color w:val="auto"/>
                <w:sz w:val="21"/>
                <w:szCs w:val="21"/>
                <w:highlight w:val="none"/>
                <w:lang w:eastAsia="zh-CN"/>
              </w:rPr>
            </w:pPr>
            <w:r>
              <w:rPr>
                <w:rFonts w:hint="eastAsia" w:asciiTheme="minorEastAsia" w:hAnsiTheme="minorEastAsia" w:eastAsiaTheme="minorEastAsia"/>
                <w:color w:val="auto"/>
                <w:sz w:val="21"/>
                <w:szCs w:val="21"/>
                <w:highlight w:val="none"/>
              </w:rPr>
              <w:t>2、缴纳方式：</w:t>
            </w:r>
            <w:r>
              <w:rPr>
                <w:rFonts w:hint="eastAsia" w:asciiTheme="minorEastAsia" w:hAnsiTheme="minorEastAsia"/>
                <w:color w:val="auto"/>
                <w:sz w:val="21"/>
                <w:szCs w:val="21"/>
                <w:highlight w:val="none"/>
                <w:lang w:eastAsia="zh-CN"/>
              </w:rPr>
              <w:t>银行转账。</w:t>
            </w:r>
          </w:p>
          <w:p>
            <w:pPr>
              <w:pStyle w:val="12"/>
              <w:widowControl/>
              <w:adjustRightInd/>
              <w:spacing w:beforeAutospacing="0" w:after="0" w:line="360" w:lineRule="auto"/>
              <w:ind w:firstLine="0"/>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账户名称：</w:t>
            </w:r>
            <w:r>
              <w:rPr>
                <w:rFonts w:ascii="宋体" w:hAnsi="宋体" w:cs="宋体"/>
                <w:color w:val="auto"/>
                <w:sz w:val="21"/>
                <w:szCs w:val="21"/>
                <w:highlight w:val="none"/>
              </w:rPr>
              <w:t>广州南沙建设维护管理有限公司</w:t>
            </w:r>
          </w:p>
          <w:p>
            <w:pPr>
              <w:pStyle w:val="12"/>
              <w:widowControl/>
              <w:adjustRightInd/>
              <w:spacing w:beforeAutospacing="0" w:after="0" w:line="360" w:lineRule="auto"/>
              <w:ind w:firstLine="0"/>
              <w:rPr>
                <w:rFonts w:hint="eastAsia" w:ascii="宋体" w:hAnsi="宋体" w:eastAsia="宋体" w:cs="宋体"/>
                <w:color w:val="auto"/>
                <w:sz w:val="21"/>
                <w:szCs w:val="21"/>
                <w:highlight w:val="none"/>
                <w:lang w:eastAsia="zh-CN"/>
              </w:rPr>
            </w:pPr>
            <w:r>
              <w:rPr>
                <w:rFonts w:hint="eastAsia" w:ascii="宋体" w:hAnsi="宋体"/>
                <w:color w:val="auto"/>
                <w:sz w:val="21"/>
                <w:szCs w:val="21"/>
                <w:highlight w:val="none"/>
              </w:rPr>
              <w:t>开户银行：</w:t>
            </w:r>
            <w:r>
              <w:rPr>
                <w:rFonts w:ascii="宋体" w:hAnsi="宋体" w:cs="宋体"/>
                <w:color w:val="auto"/>
                <w:sz w:val="21"/>
                <w:szCs w:val="21"/>
                <w:highlight w:val="none"/>
              </w:rPr>
              <w:t>中国工商银行广东自由贸易试验区南沙分行</w:t>
            </w:r>
            <w:r>
              <w:rPr>
                <w:rFonts w:hint="eastAsia" w:ascii="宋体" w:hAnsi="宋体" w:cs="宋体"/>
                <w:color w:val="auto"/>
                <w:sz w:val="21"/>
                <w:szCs w:val="21"/>
                <w:highlight w:val="none"/>
                <w:lang w:val="en-US" w:eastAsia="zh-CN"/>
              </w:rPr>
              <w:t xml:space="preserve"> </w:t>
            </w:r>
          </w:p>
          <w:p>
            <w:pPr>
              <w:pStyle w:val="12"/>
              <w:widowControl/>
              <w:adjustRightInd/>
              <w:spacing w:beforeAutospacing="0" w:after="0" w:line="360" w:lineRule="auto"/>
              <w:ind w:firstLine="0"/>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rPr>
              <w:t>账号：</w:t>
            </w:r>
            <w:r>
              <w:rPr>
                <w:rFonts w:ascii="宋体" w:hAnsi="宋体" w:cs="宋体"/>
                <w:color w:val="auto"/>
                <w:sz w:val="21"/>
                <w:szCs w:val="21"/>
                <w:highlight w:val="none"/>
              </w:rPr>
              <w:t>3602056909200030855</w:t>
            </w:r>
          </w:p>
          <w:p>
            <w:pPr>
              <w:pStyle w:val="12"/>
              <w:widowControl/>
              <w:adjustRightInd/>
              <w:snapToGrid/>
              <w:spacing w:beforeAutospacing="0"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Theme="minorEastAsia" w:hAnsiTheme="minorEastAsia" w:eastAsiaTheme="minorEastAsia"/>
                <w:color w:val="auto"/>
                <w:sz w:val="21"/>
                <w:szCs w:val="21"/>
                <w:highlight w:val="none"/>
                <w:lang w:val="en-US" w:eastAsia="zh-CN"/>
              </w:rPr>
              <w:t>3、</w:t>
            </w:r>
            <w:r>
              <w:rPr>
                <w:rFonts w:hint="eastAsia" w:asciiTheme="minorEastAsia" w:hAnsiTheme="minorEastAsia" w:eastAsiaTheme="minorEastAsia"/>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cs="宋体"/>
                <w:color w:val="auto"/>
                <w:sz w:val="21"/>
                <w:szCs w:val="21"/>
                <w:highlight w:val="none"/>
                <w:u w:val="none"/>
                <w:lang w:val="en-US" w:eastAsia="zh-CN"/>
              </w:rPr>
              <w:t>11</w:t>
            </w:r>
            <w:r>
              <w:rPr>
                <w:rFonts w:hint="eastAsia" w:ascii="宋体" w:hAnsi="宋体" w:eastAsia="宋体" w:cs="宋体"/>
                <w:color w:val="auto"/>
                <w:sz w:val="21"/>
                <w:szCs w:val="21"/>
                <w:highlight w:val="none"/>
                <w:u w:val="none"/>
                <w:lang w:val="en-US" w:eastAsia="zh-CN"/>
              </w:rPr>
              <w:t>月</w:t>
            </w:r>
            <w:r>
              <w:rPr>
                <w:rFonts w:hint="eastAsia" w:ascii="宋体" w:hAnsi="宋体" w:cs="宋体"/>
                <w:color w:val="auto"/>
                <w:sz w:val="21"/>
                <w:szCs w:val="21"/>
                <w:highlight w:val="none"/>
                <w:u w:val="none"/>
                <w:lang w:val="en-US" w:eastAsia="zh-CN"/>
              </w:rPr>
              <w:t>22</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w:t>
            </w:r>
            <w:r>
              <w:rPr>
                <w:rFonts w:hint="eastAsia" w:ascii="宋体" w:hAnsi="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color w:val="auto"/>
                <w:sz w:val="21"/>
                <w:szCs w:val="21"/>
                <w:highlight w:val="none"/>
                <w:u w:val="single"/>
                <w:lang w:eastAsia="zh-CN"/>
              </w:rPr>
              <w:t>前</w:t>
            </w:r>
            <w:r>
              <w:rPr>
                <w:rFonts w:hint="eastAsia" w:asciiTheme="minorEastAsia" w:hAnsiTheme="minorEastAsia" w:eastAsiaTheme="minorEastAsia"/>
                <w:color w:val="auto"/>
                <w:sz w:val="21"/>
                <w:szCs w:val="21"/>
                <w:highlight w:val="none"/>
              </w:rPr>
              <w:t>以</w:t>
            </w:r>
            <w:r>
              <w:rPr>
                <w:rFonts w:hint="eastAsia"/>
                <w:color w:val="auto"/>
                <w:sz w:val="21"/>
                <w:szCs w:val="21"/>
                <w:highlight w:val="none"/>
              </w:rPr>
              <w:t>投标人转出【以招标单位查询的信息为准，汇款时备注：</w:t>
            </w:r>
            <w:r>
              <w:rPr>
                <w:rFonts w:hint="eastAsia" w:ascii="宋体" w:hAnsi="宋体" w:cs="宋体"/>
                <w:color w:val="auto"/>
                <w:highlight w:val="none"/>
                <w:u w:val="single"/>
                <w:lang w:val="en-US" w:eastAsia="zh-CN"/>
              </w:rPr>
              <w:t>广州南沙建设维护管理有限公司年度项目造价</w:t>
            </w:r>
            <w:r>
              <w:rPr>
                <w:rFonts w:hint="eastAsia" w:ascii="宋体" w:hAnsi="宋体" w:cs="宋体"/>
                <w:color w:val="auto"/>
                <w:highlight w:val="none"/>
                <w:u w:val="single"/>
              </w:rPr>
              <w:t>咨询服务</w:t>
            </w:r>
            <w:r>
              <w:rPr>
                <w:rFonts w:hint="eastAsia"/>
                <w:color w:val="auto"/>
                <w:sz w:val="21"/>
                <w:szCs w:val="21"/>
                <w:highlight w:val="none"/>
              </w:rPr>
              <w:t>投标保证金】</w:t>
            </w:r>
          </w:p>
          <w:p>
            <w:pPr>
              <w:pStyle w:val="12"/>
              <w:widowControl/>
              <w:spacing w:beforeAutospacing="0" w:after="0" w:line="360" w:lineRule="auto"/>
              <w:ind w:firstLine="0"/>
              <w:rPr>
                <w:rFonts w:ascii="宋体" w:hAnsi="宋体" w:cs="宋体"/>
                <w:color w:val="auto"/>
                <w:highlight w:val="none"/>
                <w:u w:val="single"/>
              </w:rPr>
            </w:pPr>
            <w:r>
              <w:rPr>
                <w:rFonts w:hint="eastAsia"/>
                <w:color w:val="auto"/>
                <w:sz w:val="21"/>
                <w:szCs w:val="21"/>
                <w:highlight w:val="none"/>
                <w:lang w:val="en-US" w:eastAsia="zh-CN"/>
              </w:rPr>
              <w:t>4、</w:t>
            </w:r>
            <w:r>
              <w:rPr>
                <w:rFonts w:hint="eastAsia"/>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360" w:lineRule="auto"/>
              <w:ind w:left="-46" w:leftChars="-22" w:right="-59" w:rightChars="-28" w:firstLine="0"/>
              <w:jc w:val="center"/>
              <w:rPr>
                <w:rFonts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ascii="黑体" w:hAnsi="宋体" w:eastAsia="黑体" w:cs="黑体"/>
                <w:color w:val="auto"/>
                <w:highlight w:val="none"/>
              </w:rPr>
            </w:pPr>
            <w:r>
              <w:rPr>
                <w:rFonts w:hint="eastAsia" w:ascii="宋体" w:hAnsi="宋体" w:cs="宋体"/>
                <w:color w:val="auto"/>
                <w:highlight w:val="none"/>
              </w:rPr>
              <w:t>投标文件：1份正本（含电子文件一套），</w:t>
            </w:r>
            <w:r>
              <w:rPr>
                <w:rFonts w:hint="eastAsia" w:ascii="宋体" w:hAnsi="宋体" w:cs="宋体"/>
                <w:color w:val="auto"/>
                <w:highlight w:val="none"/>
                <w:u w:val="none"/>
              </w:rPr>
              <w:t>4</w:t>
            </w:r>
            <w:r>
              <w:rPr>
                <w:rFonts w:hint="eastAsia" w:ascii="宋体" w:hAnsi="宋体" w:cs="宋体"/>
                <w:color w:val="auto"/>
                <w:highlight w:val="none"/>
              </w:rPr>
              <w:t>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360" w:lineRule="auto"/>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2"/>
              <w:widowControl/>
              <w:spacing w:before="100" w:beforeAutospacing="0" w:after="0" w:line="360" w:lineRule="auto"/>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2"/>
              <w:widowControl/>
              <w:spacing w:before="100" w:beforeAutospacing="0" w:after="0" w:line="360" w:lineRule="auto"/>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收件人：</w:t>
            </w:r>
            <w:r>
              <w:rPr>
                <w:rFonts w:hint="eastAsia" w:ascii="宋体" w:hAnsi="宋体" w:eastAsia="宋体" w:cs="宋体"/>
                <w:color w:val="auto"/>
                <w:szCs w:val="21"/>
                <w:highlight w:val="none"/>
                <w:u w:val="none"/>
                <w:lang w:eastAsia="zh-CN"/>
              </w:rPr>
              <w:t>李工，</w:t>
            </w:r>
            <w:r>
              <w:rPr>
                <w:rFonts w:hint="eastAsia" w:ascii="宋体" w:hAnsi="宋体" w:eastAsia="宋体" w:cs="宋体"/>
                <w:color w:val="auto"/>
                <w:szCs w:val="21"/>
                <w:highlight w:val="none"/>
                <w:u w:val="none"/>
                <w:lang w:val="en-US" w:eastAsia="zh-CN"/>
              </w:rPr>
              <w:t>66806279</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提交地点：广州南沙区金融大厦 18</w:t>
            </w:r>
            <w:r>
              <w:rPr>
                <w:rFonts w:hint="eastAsia" w:ascii="宋体" w:hAnsi="宋体" w:eastAsia="宋体" w:cs="宋体"/>
                <w:color w:val="auto"/>
                <w:szCs w:val="21"/>
                <w:highlight w:val="none"/>
                <w:lang w:val="en-US" w:eastAsia="zh-CN"/>
              </w:rPr>
              <w:t>07</w:t>
            </w:r>
            <w:r>
              <w:rPr>
                <w:rFonts w:hint="eastAsia" w:ascii="宋体" w:hAnsi="宋体" w:eastAsia="宋体" w:cs="宋体"/>
                <w:color w:val="auto"/>
                <w:szCs w:val="21"/>
                <w:highlight w:val="none"/>
              </w:rPr>
              <w:t>室</w:t>
            </w:r>
          </w:p>
          <w:p>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投标时间：</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至</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rPr>
              <w:t>分</w:t>
            </w:r>
            <w:r>
              <w:rPr>
                <w:rFonts w:hint="eastAsia" w:ascii="宋体" w:hAnsi="宋体" w:eastAsia="宋体" w:cs="宋体"/>
                <w:color w:val="auto"/>
                <w:szCs w:val="21"/>
                <w:highlight w:val="none"/>
                <w:lang w:eastAsia="zh-CN"/>
              </w:rPr>
              <w:t>前</w:t>
            </w:r>
          </w:p>
          <w:p>
            <w:pPr>
              <w:spacing w:line="360" w:lineRule="auto"/>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rPr>
              <w:t>分</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地点：广州南沙区金融大厦 18</w:t>
            </w:r>
            <w:r>
              <w:rPr>
                <w:rFonts w:hint="eastAsia" w:ascii="宋体" w:hAnsi="宋体" w:eastAsia="宋体" w:cs="宋体"/>
                <w:color w:val="auto"/>
                <w:szCs w:val="21"/>
                <w:highlight w:val="none"/>
                <w:lang w:val="en-US" w:eastAsia="zh-CN"/>
              </w:rPr>
              <w:t>07</w:t>
            </w:r>
            <w:r>
              <w:rPr>
                <w:rFonts w:hint="eastAsia" w:ascii="宋体" w:hAnsi="宋体" w:eastAsia="宋体" w:cs="宋体"/>
                <w:color w:val="auto"/>
                <w:szCs w:val="21"/>
                <w:highlight w:val="none"/>
              </w:rPr>
              <w:t>会议室</w:t>
            </w:r>
          </w:p>
          <w:p>
            <w:pPr>
              <w:spacing w:line="360" w:lineRule="auto"/>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ascii="宋体" w:hAnsi="宋体" w:eastAsia="宋体" w:cs="宋体"/>
                <w:color w:val="auto"/>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b/>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rPr>
        <w:t>广州南沙</w:t>
      </w:r>
      <w:r>
        <w:rPr>
          <w:rFonts w:hint="eastAsia" w:ascii="宋体" w:hAnsi="宋体" w:eastAsia="宋体" w:cs="宋体"/>
          <w:color w:val="auto"/>
          <w:sz w:val="24"/>
          <w:highlight w:val="none"/>
          <w:u w:val="single"/>
          <w:lang w:val="en-US" w:eastAsia="zh-CN"/>
        </w:rPr>
        <w:t>建设维护管理</w:t>
      </w:r>
      <w:r>
        <w:rPr>
          <w:rFonts w:hint="eastAsia" w:ascii="宋体" w:hAnsi="宋体" w:eastAsia="宋体" w:cs="宋体"/>
          <w:color w:val="auto"/>
          <w:sz w:val="24"/>
          <w:highlight w:val="none"/>
          <w:u w:val="single"/>
        </w:rPr>
        <w:t>有限公司</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“承包商”指被招标人接受并与其签订工程承包合同的当事人；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2.1本招标工程项目按照《中华人民共和国招标投标法》等有关法律、行政法规和部门规章，采取邀请招标的办法，选择有经验、有实力、社会信誉好的</w:t>
      </w:r>
      <w:r>
        <w:rPr>
          <w:rFonts w:hint="eastAsia" w:ascii="宋体" w:hAnsi="宋体" w:eastAsia="宋体" w:cs="宋体"/>
          <w:color w:val="auto"/>
          <w:sz w:val="24"/>
          <w:highlight w:val="none"/>
          <w:lang w:val="en-US" w:eastAsia="zh-CN"/>
        </w:rPr>
        <w:t>造价</w:t>
      </w:r>
      <w:r>
        <w:rPr>
          <w:rFonts w:hint="eastAsia" w:ascii="宋体" w:hAnsi="宋体" w:eastAsia="宋体" w:cs="宋体"/>
          <w:color w:val="auto"/>
          <w:sz w:val="24"/>
          <w:highlight w:val="none"/>
        </w:rPr>
        <w:t>咨询单位承担</w:t>
      </w:r>
      <w:r>
        <w:rPr>
          <w:rFonts w:hint="eastAsia" w:ascii="宋体" w:hAnsi="宋体" w:eastAsia="宋体" w:cs="宋体"/>
          <w:color w:val="auto"/>
          <w:sz w:val="24"/>
          <w:highlight w:val="none"/>
          <w:lang w:val="en-US" w:eastAsia="zh-CN"/>
        </w:rPr>
        <w:t>造价</w:t>
      </w:r>
      <w:r>
        <w:rPr>
          <w:rFonts w:hint="eastAsia" w:ascii="宋体" w:hAnsi="宋体" w:eastAsia="宋体" w:cs="宋体"/>
          <w:color w:val="auto"/>
          <w:sz w:val="24"/>
          <w:highlight w:val="none"/>
        </w:rPr>
        <w:t>咨询服务，确保本工程能按期、优质、经济地完成。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2.2工程概况：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2.2.1工程名称：见投标须知前附表第1项。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w:t>
      </w:r>
      <w:r>
        <w:rPr>
          <w:rFonts w:hint="eastAsia" w:ascii="宋体" w:hAnsi="宋体" w:eastAsia="宋体" w:cs="宋体"/>
          <w:color w:val="auto"/>
          <w:sz w:val="24"/>
          <w:highlight w:val="none"/>
          <w:lang w:eastAsia="zh-CN"/>
        </w:rPr>
        <w:t>项目</w:t>
      </w:r>
      <w:r>
        <w:rPr>
          <w:rFonts w:hint="eastAsia" w:ascii="宋体" w:hAnsi="宋体" w:eastAsia="宋体" w:cs="宋体"/>
          <w:color w:val="auto"/>
          <w:sz w:val="24"/>
          <w:highlight w:val="none"/>
        </w:rPr>
        <w:t>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2.2.4投资概算：见投标须知前附表第4项。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2.2.5服务目标：见投标须知前附表第5项。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w:t>
      </w:r>
      <w:r>
        <w:rPr>
          <w:rFonts w:hint="eastAsia" w:ascii="宋体" w:hAnsi="宋体" w:eastAsia="宋体" w:cs="宋体"/>
          <w:color w:val="auto"/>
          <w:sz w:val="24"/>
          <w:highlight w:val="none"/>
          <w:lang w:val="en-US" w:eastAsia="zh-CN"/>
        </w:rPr>
        <w:t>造价</w:t>
      </w:r>
      <w:r>
        <w:rPr>
          <w:rFonts w:hint="eastAsia" w:ascii="宋体" w:hAnsi="宋体" w:eastAsia="宋体" w:cs="宋体"/>
          <w:color w:val="auto"/>
          <w:sz w:val="24"/>
          <w:highlight w:val="none"/>
        </w:rPr>
        <w:t>咨询服务期要求：见投标须知前附表第7项。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 项目管理架构要求：见投标须知前附表第10项。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b/>
          <w:color w:val="auto"/>
          <w:sz w:val="24"/>
          <w:highlight w:val="none"/>
          <w:lang w:val="en-US" w:eastAsia="zh-CN"/>
        </w:rPr>
        <w:t>.</w:t>
      </w:r>
      <w:r>
        <w:rPr>
          <w:rFonts w:hint="eastAsia" w:ascii="宋体" w:hAnsi="宋体" w:eastAsia="宋体" w:cs="宋体"/>
          <w:b/>
          <w:color w:val="auto"/>
          <w:sz w:val="24"/>
          <w:highlight w:val="none"/>
        </w:rPr>
        <w:t>资金来源</w:t>
      </w:r>
    </w:p>
    <w:p>
      <w:pPr>
        <w:spacing w:line="360" w:lineRule="auto"/>
        <w:ind w:firstLine="480" w:firstLineChars="200"/>
        <w:outlineLvl w:val="9"/>
        <w:rPr>
          <w:rFonts w:hint="eastAsia" w:ascii="宋体" w:hAnsi="宋体" w:eastAsia="宋体" w:cs="宋体"/>
          <w:b/>
          <w:color w:val="auto"/>
          <w:sz w:val="24"/>
          <w:highlight w:val="none"/>
        </w:rPr>
      </w:pPr>
      <w:r>
        <w:rPr>
          <w:rFonts w:hint="eastAsia" w:ascii="宋体" w:hAnsi="宋体" w:eastAsia="宋体" w:cs="宋体"/>
          <w:color w:val="auto"/>
          <w:sz w:val="24"/>
          <w:highlight w:val="none"/>
        </w:rPr>
        <w:t>本招标工程项目资金来源见投标须知前附表第8项。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工程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b w:val="0"/>
          <w:bCs w:val="0"/>
          <w:color w:val="auto"/>
          <w:sz w:val="24"/>
          <w:highlight w:val="none"/>
        </w:rPr>
      </w:pPr>
      <w:r>
        <w:rPr>
          <w:rFonts w:hint="eastAsia" w:ascii="黑体" w:hAnsi="宋体" w:eastAsia="黑体" w:cs="黑体"/>
          <w:b w:val="0"/>
          <w:bCs w:val="0"/>
          <w:color w:val="auto"/>
          <w:sz w:val="24"/>
          <w:highlight w:val="none"/>
        </w:rPr>
        <w:t>（</w:t>
      </w:r>
      <w:r>
        <w:rPr>
          <w:rFonts w:hint="eastAsia" w:ascii="黑体" w:hAnsi="华文楷体" w:eastAsia="黑体" w:cs="黑体"/>
          <w:b w:val="0"/>
          <w:bCs w:val="0"/>
          <w:color w:val="auto"/>
          <w:sz w:val="24"/>
          <w:highlight w:val="none"/>
        </w:rPr>
        <w:t>1）投标须知及前附表</w:t>
      </w:r>
    </w:p>
    <w:p>
      <w:pPr>
        <w:spacing w:line="360" w:lineRule="auto"/>
        <w:ind w:firstLine="480" w:firstLineChars="200"/>
        <w:rPr>
          <w:rFonts w:ascii="黑体" w:hAnsi="华文楷体" w:eastAsia="黑体" w:cs="黑体"/>
          <w:b w:val="0"/>
          <w:bCs w:val="0"/>
          <w:color w:val="auto"/>
          <w:sz w:val="24"/>
          <w:highlight w:val="none"/>
        </w:rPr>
      </w:pPr>
      <w:r>
        <w:rPr>
          <w:rFonts w:hint="eastAsia" w:ascii="黑体" w:hAnsi="宋体" w:eastAsia="黑体" w:cs="黑体"/>
          <w:b w:val="0"/>
          <w:bCs w:val="0"/>
          <w:color w:val="auto"/>
          <w:sz w:val="24"/>
          <w:highlight w:val="none"/>
        </w:rPr>
        <w:t>（</w:t>
      </w:r>
      <w:r>
        <w:rPr>
          <w:rFonts w:hint="eastAsia" w:ascii="黑体" w:hAnsi="华文楷体" w:eastAsia="黑体" w:cs="黑体"/>
          <w:b w:val="0"/>
          <w:bCs w:val="0"/>
          <w:color w:val="auto"/>
          <w:sz w:val="24"/>
          <w:highlight w:val="none"/>
        </w:rPr>
        <w:t>2）</w:t>
      </w:r>
      <w:r>
        <w:rPr>
          <w:rFonts w:hint="eastAsia" w:ascii="黑体" w:hAnsi="宋体" w:eastAsia="黑体" w:cs="黑体"/>
          <w:b w:val="0"/>
          <w:bCs w:val="0"/>
          <w:color w:val="auto"/>
          <w:sz w:val="24"/>
          <w:highlight w:val="none"/>
        </w:rPr>
        <w:t>项目需求书</w:t>
      </w:r>
    </w:p>
    <w:p>
      <w:pPr>
        <w:spacing w:line="360" w:lineRule="auto"/>
        <w:ind w:firstLine="480" w:firstLineChars="200"/>
        <w:rPr>
          <w:rFonts w:ascii="黑体" w:hAnsi="华文楷体" w:eastAsia="黑体" w:cs="黑体"/>
          <w:b w:val="0"/>
          <w:bCs w:val="0"/>
          <w:color w:val="auto"/>
          <w:sz w:val="24"/>
          <w:highlight w:val="none"/>
        </w:rPr>
      </w:pPr>
      <w:r>
        <w:rPr>
          <w:rFonts w:hint="eastAsia" w:ascii="黑体" w:hAnsi="宋体" w:eastAsia="黑体" w:cs="黑体"/>
          <w:b w:val="0"/>
          <w:bCs w:val="0"/>
          <w:color w:val="auto"/>
          <w:sz w:val="24"/>
          <w:highlight w:val="none"/>
        </w:rPr>
        <w:t>（</w:t>
      </w:r>
      <w:r>
        <w:rPr>
          <w:rFonts w:hint="eastAsia" w:ascii="黑体" w:hAnsi="华文楷体" w:eastAsia="黑体" w:cs="黑体"/>
          <w:b w:val="0"/>
          <w:bCs w:val="0"/>
          <w:color w:val="auto"/>
          <w:sz w:val="24"/>
          <w:highlight w:val="none"/>
        </w:rPr>
        <w:t>3）投标文件格式</w:t>
      </w:r>
    </w:p>
    <w:p>
      <w:pPr>
        <w:spacing w:line="360" w:lineRule="auto"/>
        <w:ind w:firstLine="480" w:firstLineChars="200"/>
        <w:rPr>
          <w:rFonts w:ascii="黑体" w:hAnsi="华文楷体" w:eastAsia="黑体" w:cs="黑体"/>
          <w:b w:val="0"/>
          <w:bCs w:val="0"/>
          <w:color w:val="auto"/>
          <w:sz w:val="24"/>
          <w:highlight w:val="none"/>
        </w:rPr>
      </w:pPr>
      <w:r>
        <w:rPr>
          <w:rFonts w:hint="eastAsia" w:ascii="黑体" w:hAnsi="宋体" w:eastAsia="黑体" w:cs="黑体"/>
          <w:b w:val="0"/>
          <w:bCs w:val="0"/>
          <w:color w:val="auto"/>
          <w:sz w:val="24"/>
          <w:highlight w:val="none"/>
        </w:rPr>
        <w:t>（</w:t>
      </w:r>
      <w:r>
        <w:rPr>
          <w:rFonts w:hint="eastAsia" w:ascii="黑体" w:hAnsi="华文楷体" w:eastAsia="黑体" w:cs="黑体"/>
          <w:b w:val="0"/>
          <w:bCs w:val="0"/>
          <w:color w:val="auto"/>
          <w:sz w:val="24"/>
          <w:highlight w:val="none"/>
        </w:rPr>
        <w:t>4）</w:t>
      </w:r>
      <w:r>
        <w:rPr>
          <w:rFonts w:hint="eastAsia" w:ascii="黑体" w:hAnsi="华文楷体" w:eastAsia="黑体" w:cs="黑体"/>
          <w:b w:val="0"/>
          <w:bCs w:val="0"/>
          <w:color w:val="auto"/>
          <w:sz w:val="24"/>
          <w:highlight w:val="none"/>
          <w:lang w:val="en-US" w:eastAsia="zh-CN"/>
        </w:rPr>
        <w:t>评标办法</w:t>
      </w:r>
    </w:p>
    <w:p>
      <w:pPr>
        <w:spacing w:line="360" w:lineRule="auto"/>
        <w:ind w:firstLine="480" w:firstLineChars="200"/>
        <w:rPr>
          <w:rFonts w:ascii="黑体" w:hAnsi="华文楷体" w:eastAsia="黑体" w:cs="黑体"/>
          <w:b w:val="0"/>
          <w:bCs w:val="0"/>
          <w:color w:val="auto"/>
          <w:sz w:val="24"/>
          <w:highlight w:val="none"/>
        </w:rPr>
      </w:pPr>
      <w:r>
        <w:rPr>
          <w:rFonts w:hint="eastAsia" w:ascii="黑体" w:hAnsi="宋体" w:eastAsia="黑体" w:cs="黑体"/>
          <w:b w:val="0"/>
          <w:bCs w:val="0"/>
          <w:color w:val="auto"/>
          <w:sz w:val="24"/>
          <w:highlight w:val="none"/>
        </w:rPr>
        <w:t>（</w:t>
      </w:r>
      <w:r>
        <w:rPr>
          <w:rFonts w:hint="eastAsia" w:ascii="黑体" w:hAnsi="华文楷体" w:eastAsia="黑体" w:cs="黑体"/>
          <w:b w:val="0"/>
          <w:bCs w:val="0"/>
          <w:color w:val="auto"/>
          <w:sz w:val="24"/>
          <w:highlight w:val="none"/>
        </w:rPr>
        <w:t>5）附件</w:t>
      </w:r>
    </w:p>
    <w:p>
      <w:pPr>
        <w:spacing w:line="360" w:lineRule="auto"/>
        <w:ind w:firstLine="480" w:firstLineChars="200"/>
        <w:rPr>
          <w:rFonts w:ascii="宋体" w:hAnsi="宋体" w:eastAsia="宋体" w:cs="宋体"/>
          <w:b w:val="0"/>
          <w:bCs w:val="0"/>
          <w:color w:val="auto"/>
          <w:sz w:val="24"/>
          <w:highlight w:val="none"/>
        </w:rPr>
      </w:pPr>
      <w:r>
        <w:rPr>
          <w:rFonts w:hint="eastAsia" w:ascii="黑体" w:hAnsi="宋体" w:eastAsia="黑体" w:cs="黑体"/>
          <w:b w:val="0"/>
          <w:bCs w:val="0"/>
          <w:color w:val="auto"/>
          <w:sz w:val="24"/>
          <w:highlight w:val="none"/>
        </w:rPr>
        <w:t>（</w:t>
      </w:r>
      <w:r>
        <w:rPr>
          <w:rFonts w:hint="eastAsia" w:ascii="黑体" w:hAnsi="华文楷体" w:eastAsia="黑体" w:cs="黑体"/>
          <w:b w:val="0"/>
          <w:bCs w:val="0"/>
          <w:color w:val="auto"/>
          <w:sz w:val="24"/>
          <w:highlight w:val="none"/>
        </w:rPr>
        <w:t>6）服务合同</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2"/>
        <w:keepNext w:val="0"/>
        <w:keepLines w:val="0"/>
        <w:pageBreakBefore w:val="0"/>
        <w:widowControl/>
        <w:kinsoku/>
        <w:wordWrap/>
        <w:overflowPunct/>
        <w:topLinePunct w:val="0"/>
        <w:autoSpaceDE/>
        <w:autoSpaceDN/>
        <w:bidi w:val="0"/>
        <w:adjustRightInd/>
        <w:snapToGrid/>
        <w:spacing w:beforeAutospacing="0" w:after="0"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10.2 除工程规范另有规定外，投标文件使用的度量衡单位，均采用中华人民共和国法定计量单位。</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11.1投标文件目录</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11.2★投标函（按招标文件第3章格式填写）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11.3★服务承诺书（按招标文件第3章格式填写）</w:t>
      </w:r>
      <w:r>
        <w:rPr>
          <w:rFonts w:hint="eastAsia" w:ascii="宋体" w:hAnsi="宋体" w:eastAsia="宋体" w:cs="宋体"/>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11.5★公司法人营业执照及资质证书复印件</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11.6项目负责人</w:t>
      </w:r>
      <w:r>
        <w:rPr>
          <w:rFonts w:hint="eastAsia" w:ascii="宋体" w:hAnsi="宋体" w:eastAsia="宋体" w:cs="宋体"/>
          <w:color w:val="auto"/>
          <w:sz w:val="24"/>
          <w:highlight w:val="none"/>
          <w:lang w:eastAsia="zh-CN"/>
        </w:rPr>
        <w:t>身份证、</w:t>
      </w:r>
      <w:r>
        <w:rPr>
          <w:rFonts w:hint="eastAsia" w:ascii="宋体" w:hAnsi="宋体" w:eastAsia="宋体" w:cs="宋体"/>
          <w:color w:val="auto"/>
          <w:sz w:val="24"/>
          <w:highlight w:val="none"/>
        </w:rPr>
        <w:t>职称证</w:t>
      </w:r>
      <w:r>
        <w:rPr>
          <w:rFonts w:hint="eastAsia" w:ascii="宋体" w:hAnsi="宋体" w:eastAsia="宋体" w:cs="宋体"/>
          <w:color w:val="auto"/>
          <w:sz w:val="24"/>
          <w:highlight w:val="none"/>
          <w:lang w:val="en-US" w:eastAsia="zh-CN"/>
        </w:rPr>
        <w:t>和资格证</w:t>
      </w:r>
      <w:r>
        <w:rPr>
          <w:rFonts w:hint="eastAsia" w:ascii="宋体" w:hAnsi="宋体" w:eastAsia="宋体" w:cs="宋体"/>
          <w:color w:val="auto"/>
          <w:sz w:val="24"/>
          <w:highlight w:val="none"/>
        </w:rPr>
        <w:t>复印件</w:t>
      </w:r>
      <w:r>
        <w:rPr>
          <w:rFonts w:hint="eastAsia" w:ascii="宋体" w:hAnsi="宋体" w:eastAsia="宋体" w:cs="宋体"/>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w:t>
      </w:r>
      <w:r>
        <w:rPr>
          <w:rFonts w:hint="eastAsia" w:ascii="宋体" w:hAnsi="宋体" w:eastAsia="宋体" w:cs="宋体"/>
          <w:color w:val="auto"/>
          <w:sz w:val="24"/>
          <w:highlight w:val="none"/>
          <w:lang w:eastAsia="zh-CN"/>
        </w:rPr>
        <w:t>201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年1月至今企业承担的同类项目（按招标文件第3章格式填写）；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11.10参与本项目的人员一览表及证明文件（按招标文件第3章格式填写）；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11.11项目负责人相关经验及业绩（按招标文件第3章格式填写）；</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2报价表</w:t>
      </w:r>
      <w:r>
        <w:rPr>
          <w:rFonts w:hint="eastAsia" w:ascii="宋体" w:hAnsi="宋体" w:eastAsia="宋体" w:cs="宋体"/>
          <w:color w:val="auto"/>
          <w:sz w:val="24"/>
          <w:highlight w:val="none"/>
        </w:rPr>
        <w:t>。★分公司报价的，提供具有法人资格的总公司的营业执照副本复印件及授权书，授权书须加盖总公司公章</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实质性响应条款一览表</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其它需要提交的资料。</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特别提醒：</w:t>
      </w:r>
      <w:r>
        <w:rPr>
          <w:rFonts w:hint="eastAsia" w:ascii="宋体" w:hAnsi="宋体" w:eastAsia="宋体" w:cs="宋体"/>
          <w:color w:val="auto"/>
          <w:sz w:val="24"/>
          <w:highlight w:val="none"/>
        </w:rPr>
        <w:t>带★号为重要文件，投标人必须有效、完整地提供，否则将按无效报价处理。所有证书类文件需提供原件核对复印件且必须在有效期内。</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本工程的投标报价采用投标须知前附表第14项所规定的方式。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2"/>
        <w:widowControl/>
        <w:spacing w:beforeAutospacing="0"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本工程投标报价采用的币种为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2"/>
        <w:keepNext w:val="0"/>
        <w:keepLines w:val="0"/>
        <w:pageBreakBefore w:val="0"/>
        <w:widowControl/>
        <w:kinsoku/>
        <w:wordWrap/>
        <w:overflowPunct/>
        <w:topLinePunct w:val="0"/>
        <w:autoSpaceDE/>
        <w:autoSpaceDN/>
        <w:bidi w:val="0"/>
        <w:adjustRightInd/>
        <w:snapToGrid/>
        <w:spacing w:beforeAutospacing="0" w:after="0"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2"/>
        <w:keepNext w:val="0"/>
        <w:keepLines w:val="0"/>
        <w:pageBreakBefore w:val="0"/>
        <w:widowControl/>
        <w:kinsoku/>
        <w:wordWrap/>
        <w:overflowPunct/>
        <w:topLinePunct w:val="0"/>
        <w:autoSpaceDE/>
        <w:autoSpaceDN/>
        <w:bidi w:val="0"/>
        <w:adjustRightInd/>
        <w:snapToGrid/>
        <w:spacing w:beforeAutospacing="0" w:after="0"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广州南沙建设维护管理有限公司年度项目造价</w:t>
      </w:r>
      <w:r>
        <w:rPr>
          <w:rFonts w:hint="eastAsia" w:ascii="宋体" w:hAnsi="宋体" w:eastAsia="宋体" w:cs="宋体"/>
          <w:color w:val="auto"/>
          <w:sz w:val="24"/>
          <w:highlight w:val="none"/>
          <w:u w:val="single"/>
        </w:rPr>
        <w:t xml:space="preserve">咨询服务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年</w:t>
      </w:r>
      <w:r>
        <w:rPr>
          <w:rFonts w:hint="eastAsia" w:ascii="宋体" w:hAnsi="宋体" w:eastAsia="宋体" w:cs="宋体"/>
          <w:color w:val="auto"/>
          <w:sz w:val="24"/>
          <w:szCs w:val="24"/>
          <w:highlight w:val="none"/>
          <w:u w:val="single"/>
          <w:lang w:val="en-US" w:eastAsia="zh-CN"/>
        </w:rPr>
        <w:t>11</w:t>
      </w:r>
      <w:r>
        <w:rPr>
          <w:rFonts w:hint="eastAsia" w:ascii="宋体" w:hAnsi="宋体" w:eastAsia="宋体" w:cs="宋体"/>
          <w:color w:val="auto"/>
          <w:sz w:val="24"/>
          <w:szCs w:val="24"/>
          <w:highlight w:val="none"/>
          <w:u w:val="single"/>
        </w:rPr>
        <w:t>月</w:t>
      </w:r>
      <w:r>
        <w:rPr>
          <w:rFonts w:hint="eastAsia" w:ascii="宋体" w:hAnsi="宋体" w:eastAsia="宋体" w:cs="宋体"/>
          <w:color w:val="auto"/>
          <w:sz w:val="24"/>
          <w:szCs w:val="24"/>
          <w:highlight w:val="none"/>
          <w:u w:val="single"/>
          <w:lang w:val="en-US" w:eastAsia="zh-CN"/>
        </w:rPr>
        <w:t>23</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u w:val="single"/>
        </w:rPr>
        <w:t>时</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w:t>
      </w:r>
      <w:r>
        <w:rPr>
          <w:rFonts w:hint="eastAsia" w:ascii="宋体" w:hAnsi="宋体" w:eastAsia="宋体" w:cs="宋体"/>
          <w:color w:val="auto"/>
          <w:sz w:val="24"/>
          <w:highlight w:val="none"/>
          <w:lang w:val="en-US" w:eastAsia="zh-CN"/>
        </w:rPr>
        <w:t>造价</w:t>
      </w:r>
      <w:r>
        <w:rPr>
          <w:rFonts w:hint="eastAsia" w:ascii="宋体" w:hAnsi="宋体" w:eastAsia="宋体" w:cs="宋体"/>
          <w:color w:val="auto"/>
          <w:sz w:val="24"/>
          <w:highlight w:val="none"/>
        </w:rPr>
        <w:t>咨询合同将授予按本须知第27.3款所确定的中标人。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32.3中标人在投标过程使用的投标人名称、银行名称和账号至完成竣工结算不得变更，否则，招标人有权停止款项的拨付及至解除合同，由此造成的一切责任由中标人承担。</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rPr>
          <w:rFonts w:ascii="黑体" w:hAnsi="宋体" w:cs="黑体"/>
          <w:b/>
          <w:color w:val="auto"/>
          <w:kern w:val="44"/>
          <w:sz w:val="44"/>
          <w:szCs w:val="44"/>
          <w:highlight w:val="none"/>
        </w:rPr>
      </w:pPr>
      <w:bookmarkStart w:id="5" w:name="_Toc374128473"/>
      <w:bookmarkEnd w:id="5"/>
      <w:r>
        <w:rPr>
          <w:rFonts w:hint="eastAsia" w:ascii="黑体" w:hAnsi="宋体" w:cs="黑体"/>
          <w:b/>
          <w:color w:val="auto"/>
          <w:kern w:val="44"/>
          <w:sz w:val="44"/>
          <w:szCs w:val="44"/>
          <w:highlight w:val="none"/>
        </w:rPr>
        <w:br w:type="page"/>
      </w:r>
    </w:p>
    <w:p>
      <w:pPr>
        <w:keepNext/>
        <w:keepLines/>
        <w:widowControl/>
        <w:adjustRightInd w:val="0"/>
        <w:spacing w:line="360" w:lineRule="auto"/>
        <w:jc w:val="center"/>
        <w:rPr>
          <w:rFonts w:ascii="黑体" w:hAnsi="宋体" w:cs="黑体"/>
          <w:b/>
          <w:color w:val="auto"/>
          <w:kern w:val="44"/>
          <w:sz w:val="44"/>
          <w:szCs w:val="44"/>
          <w:highlight w:val="none"/>
        </w:rPr>
      </w:pPr>
    </w:p>
    <w:p>
      <w:pPr>
        <w:keepNext/>
        <w:keepLines/>
        <w:widowControl/>
        <w:adjustRightInd w:val="0"/>
        <w:spacing w:line="360" w:lineRule="auto"/>
        <w:jc w:val="center"/>
        <w:rPr>
          <w:rFonts w:ascii="黑体" w:hAnsi="宋体" w:cs="黑体"/>
          <w:b/>
          <w:color w:val="auto"/>
          <w:kern w:val="44"/>
          <w:sz w:val="44"/>
          <w:szCs w:val="44"/>
          <w:highlight w:val="none"/>
        </w:rPr>
      </w:pPr>
    </w:p>
    <w:p>
      <w:pPr>
        <w:keepNext/>
        <w:keepLines/>
        <w:widowControl/>
        <w:adjustRightInd w:val="0"/>
        <w:spacing w:line="360" w:lineRule="auto"/>
        <w:jc w:val="center"/>
        <w:rPr>
          <w:rFonts w:ascii="黑体" w:hAnsi="宋体" w:cs="黑体"/>
          <w:b/>
          <w:color w:val="auto"/>
          <w:kern w:val="44"/>
          <w:sz w:val="44"/>
          <w:szCs w:val="44"/>
          <w:highlight w:val="none"/>
        </w:rPr>
      </w:pPr>
    </w:p>
    <w:p>
      <w:pPr>
        <w:keepNext/>
        <w:keepLines/>
        <w:widowControl/>
        <w:adjustRightInd w:val="0"/>
        <w:spacing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6" w:name="_Toc1632"/>
      <w:bookmarkStart w:id="7" w:name="_Toc13206"/>
      <w:r>
        <w:rPr>
          <w:rFonts w:hint="eastAsia" w:ascii="黑体" w:hAnsi="宋体" w:cs="黑体"/>
          <w:b/>
          <w:color w:val="auto"/>
          <w:kern w:val="44"/>
          <w:sz w:val="44"/>
          <w:szCs w:val="44"/>
          <w:highlight w:val="none"/>
        </w:rPr>
        <w:t>第2章 项目需求书</w:t>
      </w:r>
      <w:bookmarkEnd w:id="6"/>
      <w:bookmarkEnd w:id="7"/>
    </w:p>
    <w:p>
      <w:pPr>
        <w:spacing w:line="500" w:lineRule="exact"/>
        <w:ind w:firstLine="301" w:firstLineChars="100"/>
        <w:rPr>
          <w:rFonts w:ascii="宋体" w:hAnsi="宋体" w:eastAsia="宋体" w:cs="宋体"/>
          <w:b/>
          <w:color w:val="auto"/>
          <w:sz w:val="30"/>
          <w:szCs w:val="30"/>
          <w:highlight w:val="none"/>
        </w:rPr>
      </w:pPr>
    </w:p>
    <w:p>
      <w:pPr>
        <w:rPr>
          <w:rFonts w:ascii="宋体" w:hAnsi="宋体" w:eastAsia="宋体" w:cs="宋体"/>
          <w:b/>
          <w:color w:val="auto"/>
          <w:sz w:val="30"/>
          <w:szCs w:val="30"/>
          <w:highlight w:val="none"/>
        </w:rPr>
      </w:pPr>
      <w:r>
        <w:rPr>
          <w:rFonts w:hint="eastAsia" w:ascii="宋体" w:hAnsi="宋体" w:eastAsia="宋体" w:cs="宋体"/>
          <w:b/>
          <w:color w:val="auto"/>
          <w:sz w:val="30"/>
          <w:szCs w:val="30"/>
          <w:highlight w:val="none"/>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02" w:firstLineChars="200"/>
        <w:textAlignment w:val="auto"/>
        <w:outlineLvl w:val="1"/>
        <w:rPr>
          <w:rFonts w:ascii="宋体" w:hAnsi="宋体" w:eastAsia="宋体" w:cs="宋体"/>
          <w:b/>
          <w:bCs w:val="0"/>
          <w:color w:val="auto"/>
          <w:sz w:val="30"/>
          <w:szCs w:val="30"/>
          <w:highlight w:val="none"/>
        </w:rPr>
      </w:pPr>
      <w:r>
        <w:rPr>
          <w:rFonts w:hint="eastAsia" w:ascii="宋体" w:hAnsi="宋体" w:eastAsia="宋体" w:cs="宋体"/>
          <w:b/>
          <w:bCs w:val="0"/>
          <w:color w:val="auto"/>
          <w:sz w:val="30"/>
          <w:szCs w:val="30"/>
          <w:highlight w:val="none"/>
        </w:rPr>
        <w:t>项目概况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宋体" w:hAnsi="宋体" w:eastAsia="宋体" w:cs="宋体"/>
          <w:color w:val="auto"/>
          <w:sz w:val="24"/>
          <w:highlight w:val="none"/>
          <w:u w:val="single"/>
        </w:rPr>
      </w:pP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lang w:eastAsia="zh-CN"/>
        </w:rPr>
        <w:t>招标人</w:t>
      </w:r>
      <w:r>
        <w:rPr>
          <w:rFonts w:hint="eastAsia" w:ascii="宋体" w:hAnsi="宋体" w:eastAsia="宋体" w:cs="宋体"/>
          <w:b/>
          <w:bCs/>
          <w:color w:val="auto"/>
          <w:sz w:val="24"/>
          <w:highlight w:val="none"/>
        </w:rPr>
        <w:t>：</w:t>
      </w:r>
      <w:r>
        <w:rPr>
          <w:rFonts w:hint="eastAsia" w:ascii="宋体" w:hAnsi="宋体" w:eastAsia="宋体" w:cs="宋体"/>
          <w:color w:val="auto"/>
          <w:sz w:val="24"/>
          <w:highlight w:val="none"/>
          <w:u w:val="single"/>
        </w:rPr>
        <w:t>广州南沙</w:t>
      </w:r>
      <w:r>
        <w:rPr>
          <w:rFonts w:hint="eastAsia" w:ascii="宋体" w:hAnsi="宋体" w:eastAsia="宋体" w:cs="宋体"/>
          <w:color w:val="auto"/>
          <w:sz w:val="24"/>
          <w:highlight w:val="none"/>
          <w:u w:val="single"/>
          <w:lang w:val="en-US" w:eastAsia="zh-CN"/>
        </w:rPr>
        <w:t>建设维护管理</w:t>
      </w:r>
      <w:r>
        <w:rPr>
          <w:rFonts w:hint="eastAsia" w:ascii="宋体" w:hAnsi="宋体" w:eastAsia="宋体" w:cs="宋体"/>
          <w:color w:val="auto"/>
          <w:sz w:val="24"/>
          <w:highlight w:val="none"/>
          <w:u w:val="single"/>
        </w:rPr>
        <w:t>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highlight w:val="none"/>
        </w:rPr>
      </w:pP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lang w:eastAsia="zh-CN"/>
        </w:rPr>
        <w:t>项目</w:t>
      </w:r>
      <w:r>
        <w:rPr>
          <w:rFonts w:hint="eastAsia" w:ascii="宋体" w:hAnsi="宋体" w:eastAsia="宋体" w:cs="宋体"/>
          <w:b/>
          <w:bCs/>
          <w:color w:val="auto"/>
          <w:sz w:val="24"/>
          <w:highlight w:val="none"/>
        </w:rPr>
        <w:t>名称：</w:t>
      </w:r>
      <w:r>
        <w:rPr>
          <w:rFonts w:hint="eastAsia" w:ascii="宋体" w:hAnsi="宋体" w:eastAsia="宋体" w:cs="宋体"/>
          <w:color w:val="auto"/>
          <w:sz w:val="24"/>
          <w:highlight w:val="none"/>
          <w:u w:val="none"/>
          <w:lang w:eastAsia="zh-CN"/>
        </w:rPr>
        <w:t>广州南沙建设维护管理有限公司</w:t>
      </w:r>
      <w:r>
        <w:rPr>
          <w:rFonts w:hint="eastAsia" w:ascii="宋体" w:hAnsi="宋体" w:eastAsia="宋体" w:cs="宋体"/>
          <w:color w:val="auto"/>
          <w:sz w:val="24"/>
          <w:highlight w:val="none"/>
        </w:rPr>
        <w:t>年度项目</w:t>
      </w:r>
      <w:r>
        <w:rPr>
          <w:rFonts w:hint="eastAsia" w:ascii="宋体" w:hAnsi="宋体" w:eastAsia="宋体" w:cs="宋体"/>
          <w:color w:val="auto"/>
          <w:sz w:val="24"/>
          <w:highlight w:val="none"/>
          <w:lang w:val="en-US" w:eastAsia="zh-CN"/>
        </w:rPr>
        <w:t>造价咨询</w:t>
      </w:r>
      <w:r>
        <w:rPr>
          <w:rFonts w:hint="eastAsia" w:ascii="宋体" w:hAnsi="宋体" w:eastAsia="宋体" w:cs="宋体"/>
          <w:color w:val="auto"/>
          <w:sz w:val="24"/>
          <w:highlight w:val="none"/>
        </w:rPr>
        <w:t>服务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宋体" w:hAnsi="宋体" w:eastAsia="宋体" w:cs="宋体"/>
          <w:color w:val="auto"/>
          <w:sz w:val="24"/>
          <w:highlight w:val="none"/>
        </w:rPr>
      </w:pPr>
      <w:r>
        <w:rPr>
          <w:rFonts w:hint="eastAsia" w:ascii="宋体" w:hAnsi="宋体" w:eastAsia="宋体" w:cs="宋体"/>
          <w:b/>
          <w:bCs/>
          <w:color w:val="auto"/>
          <w:sz w:val="24"/>
          <w:highlight w:val="none"/>
          <w:lang w:val="en-US" w:eastAsia="zh-CN"/>
        </w:rPr>
        <w:t>3、</w:t>
      </w:r>
      <w:r>
        <w:rPr>
          <w:rFonts w:hint="eastAsia" w:ascii="宋体" w:hAnsi="宋体" w:eastAsia="宋体" w:cs="宋体"/>
          <w:b/>
          <w:bCs/>
          <w:color w:val="auto"/>
          <w:sz w:val="24"/>
          <w:highlight w:val="none"/>
          <w:lang w:eastAsia="zh-CN"/>
        </w:rPr>
        <w:t>项目</w:t>
      </w:r>
      <w:r>
        <w:rPr>
          <w:rFonts w:hint="eastAsia" w:ascii="宋体" w:hAnsi="宋体" w:eastAsia="宋体" w:cs="宋体"/>
          <w:b/>
          <w:bCs/>
          <w:color w:val="auto"/>
          <w:sz w:val="24"/>
          <w:highlight w:val="none"/>
        </w:rPr>
        <w:t>地点：</w:t>
      </w:r>
      <w:r>
        <w:rPr>
          <w:rFonts w:hint="eastAsia" w:ascii="宋体" w:hAnsi="宋体" w:eastAsia="宋体" w:cs="宋体"/>
          <w:color w:val="auto"/>
          <w:sz w:val="24"/>
          <w:highlight w:val="none"/>
        </w:rPr>
        <w:t>广州市南沙区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highlight w:val="none"/>
        </w:rPr>
      </w:pP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lang w:eastAsia="zh-CN"/>
        </w:rPr>
        <w:t>项目</w:t>
      </w:r>
      <w:r>
        <w:rPr>
          <w:rFonts w:hint="eastAsia" w:ascii="宋体" w:hAnsi="宋体" w:eastAsia="宋体" w:cs="宋体"/>
          <w:b/>
          <w:bCs/>
          <w:color w:val="auto"/>
          <w:sz w:val="24"/>
          <w:highlight w:val="none"/>
        </w:rPr>
        <w:t>规模：</w:t>
      </w:r>
      <w:r>
        <w:rPr>
          <w:rFonts w:hint="eastAsia" w:ascii="宋体" w:hAnsi="宋体" w:eastAsia="宋体" w:cs="宋体"/>
          <w:color w:val="auto"/>
          <w:sz w:val="24"/>
          <w:highlight w:val="none"/>
          <w:u w:val="none"/>
        </w:rPr>
        <w:t>本次招标具体为</w:t>
      </w:r>
      <w:r>
        <w:rPr>
          <w:rFonts w:hint="eastAsia" w:ascii="宋体" w:hAnsi="宋体" w:eastAsia="宋体" w:cs="宋体"/>
          <w:color w:val="auto"/>
          <w:sz w:val="24"/>
          <w:highlight w:val="none"/>
          <w:u w:val="none"/>
          <w:lang w:eastAsia="zh-CN"/>
        </w:rPr>
        <w:t>广州南沙建设维护管理有限公司及其受托管理单位</w:t>
      </w:r>
      <w:r>
        <w:rPr>
          <w:rFonts w:hint="eastAsia" w:ascii="宋体" w:hAnsi="宋体" w:eastAsia="宋体" w:cs="宋体"/>
          <w:color w:val="auto"/>
          <w:sz w:val="24"/>
          <w:highlight w:val="none"/>
          <w:u w:val="none"/>
        </w:rPr>
        <w:t>年度</w:t>
      </w:r>
      <w:r>
        <w:rPr>
          <w:rFonts w:hint="eastAsia" w:ascii="宋体" w:hAnsi="宋体" w:eastAsia="宋体" w:cs="宋体"/>
          <w:color w:val="auto"/>
          <w:sz w:val="24"/>
          <w:highlight w:val="none"/>
          <w:u w:val="none"/>
          <w:lang w:eastAsia="zh-CN"/>
        </w:rPr>
        <w:t>项目</w:t>
      </w:r>
      <w:r>
        <w:rPr>
          <w:rFonts w:hint="eastAsia" w:ascii="宋体" w:hAnsi="宋体" w:eastAsia="宋体" w:cs="宋体"/>
          <w:color w:val="auto"/>
          <w:sz w:val="24"/>
          <w:highlight w:val="none"/>
          <w:u w:val="none"/>
          <w:lang w:val="en-US" w:eastAsia="zh-CN"/>
        </w:rPr>
        <w:t>造价</w:t>
      </w:r>
      <w:r>
        <w:rPr>
          <w:rFonts w:hint="eastAsia" w:ascii="宋体" w:hAnsi="宋体" w:eastAsia="宋体" w:cs="宋体"/>
          <w:color w:val="auto"/>
          <w:sz w:val="24"/>
          <w:highlight w:val="none"/>
          <w:u w:val="none"/>
        </w:rPr>
        <w:t>咨询服务外包，要求中标单位有一定的服务质量保证，且态度良好，信誉可靠</w:t>
      </w:r>
      <w:r>
        <w:rPr>
          <w:rFonts w:hint="eastAsia" w:ascii="宋体" w:hAnsi="宋体" w:eastAsia="宋体" w:cs="宋体"/>
          <w:bCs w:val="0"/>
          <w:color w:val="auto"/>
          <w:sz w:val="24"/>
          <w:szCs w:val="24"/>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宋体" w:hAnsi="宋体" w:eastAsia="宋体" w:cs="宋体"/>
          <w:color w:val="auto"/>
          <w:sz w:val="24"/>
          <w:highlight w:val="none"/>
        </w:rPr>
      </w:pPr>
      <w:r>
        <w:rPr>
          <w:rFonts w:hint="eastAsia" w:ascii="宋体" w:hAnsi="宋体" w:cs="宋体"/>
          <w:b/>
          <w:bCs/>
          <w:color w:val="auto"/>
          <w:sz w:val="24"/>
          <w:szCs w:val="24"/>
          <w:highlight w:val="none"/>
          <w:lang w:val="en-US" w:eastAsia="zh-CN"/>
        </w:rPr>
        <w:t>5、计划费用总额</w:t>
      </w:r>
      <w:r>
        <w:rPr>
          <w:rFonts w:hint="eastAsia" w:ascii="宋体" w:hAnsi="宋体" w:eastAsia="宋体" w:cs="宋体"/>
          <w:b/>
          <w:bCs/>
          <w:color w:val="auto"/>
          <w:sz w:val="24"/>
          <w:szCs w:val="24"/>
          <w:highlight w:val="none"/>
        </w:rPr>
        <w:t>：</w:t>
      </w:r>
      <w:r>
        <w:rPr>
          <w:rFonts w:hint="eastAsia" w:ascii="宋体" w:hAnsi="宋体" w:eastAsia="宋体" w:cs="宋体"/>
          <w:color w:val="auto"/>
          <w:sz w:val="24"/>
          <w:highlight w:val="none"/>
        </w:rPr>
        <w:t>本项目</w:t>
      </w:r>
      <w:r>
        <w:rPr>
          <w:rFonts w:hint="eastAsia" w:ascii="宋体" w:hAnsi="宋体" w:eastAsia="宋体" w:cs="宋体"/>
          <w:color w:val="auto"/>
          <w:sz w:val="24"/>
          <w:highlight w:val="none"/>
          <w:lang w:val="en-US" w:eastAsia="zh-CN"/>
        </w:rPr>
        <w:t>年度计划费用总额不超过</w:t>
      </w:r>
      <w:r>
        <w:rPr>
          <w:rFonts w:hint="eastAsia" w:ascii="宋体" w:hAnsi="宋体" w:eastAsia="宋体" w:cs="宋体"/>
          <w:color w:val="auto"/>
          <w:sz w:val="24"/>
          <w:highlight w:val="none"/>
          <w:lang w:eastAsia="zh-CN"/>
        </w:rPr>
        <w:t>100万元，项目数量</w:t>
      </w:r>
      <w:r>
        <w:rPr>
          <w:rFonts w:hint="eastAsia" w:ascii="宋体" w:hAnsi="宋体" w:eastAsia="宋体" w:cs="宋体"/>
          <w:color w:val="auto"/>
          <w:sz w:val="24"/>
          <w:highlight w:val="none"/>
        </w:rPr>
        <w:t>若干，单个项目</w:t>
      </w:r>
      <w:r>
        <w:rPr>
          <w:rFonts w:hint="eastAsia" w:ascii="宋体" w:hAnsi="宋体" w:eastAsia="宋体" w:cs="宋体"/>
          <w:color w:val="auto"/>
          <w:sz w:val="24"/>
          <w:highlight w:val="none"/>
          <w:lang w:val="en-US" w:eastAsia="zh-CN"/>
        </w:rPr>
        <w:t>不超过50万元，以</w:t>
      </w:r>
      <w:r>
        <w:rPr>
          <w:rFonts w:hint="eastAsia" w:ascii="宋体" w:hAnsi="宋体" w:eastAsia="宋体" w:cs="宋体"/>
          <w:color w:val="auto"/>
          <w:sz w:val="24"/>
          <w:highlight w:val="none"/>
        </w:rPr>
        <w:t>中标单位服务报价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即投标下浮率</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为准</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val="en-US" w:eastAsia="zh-CN"/>
        </w:rPr>
        <w:t>计算单个项目的服务费</w:t>
      </w:r>
      <w:r>
        <w:rPr>
          <w:rFonts w:hint="eastAsia" w:ascii="宋体" w:hAnsi="宋体" w:eastAsia="宋体" w:cs="宋体"/>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highlight w:val="none"/>
        </w:rPr>
      </w:pPr>
      <w:r>
        <w:rPr>
          <w:rFonts w:hint="eastAsia" w:ascii="宋体" w:hAnsi="宋体" w:eastAsia="宋体" w:cs="宋体"/>
          <w:b/>
          <w:bCs/>
          <w:color w:val="auto"/>
          <w:sz w:val="24"/>
          <w:highlight w:val="none"/>
          <w:lang w:val="en-US" w:eastAsia="zh-CN"/>
        </w:rPr>
        <w:t>6、</w:t>
      </w:r>
      <w:r>
        <w:rPr>
          <w:rFonts w:hint="eastAsia" w:ascii="宋体" w:hAnsi="宋体" w:eastAsia="宋体" w:cs="宋体"/>
          <w:b/>
          <w:bCs/>
          <w:color w:val="auto"/>
          <w:sz w:val="24"/>
          <w:highlight w:val="none"/>
        </w:rPr>
        <w:t>招标内容：</w:t>
      </w:r>
      <w:r>
        <w:rPr>
          <w:rFonts w:hint="eastAsia" w:ascii="宋体" w:hAnsi="宋体" w:eastAsia="宋体" w:cs="宋体"/>
          <w:color w:val="auto"/>
          <w:sz w:val="24"/>
          <w:highlight w:val="none"/>
        </w:rPr>
        <w:t>本项目为</w:t>
      </w:r>
      <w:r>
        <w:rPr>
          <w:rFonts w:hint="eastAsia" w:ascii="宋体" w:hAnsi="宋体" w:eastAsia="宋体" w:cs="宋体"/>
          <w:color w:val="auto"/>
          <w:sz w:val="24"/>
          <w:highlight w:val="none"/>
          <w:lang w:val="en-US" w:eastAsia="zh-CN"/>
        </w:rPr>
        <w:t>造价咨询</w:t>
      </w:r>
      <w:r>
        <w:rPr>
          <w:rFonts w:hint="eastAsia" w:ascii="宋体" w:hAnsi="宋体" w:eastAsia="宋体" w:cs="宋体"/>
          <w:color w:val="auto"/>
          <w:sz w:val="24"/>
          <w:highlight w:val="none"/>
        </w:rPr>
        <w:t>年度服务外包，具体内容包括招标人</w:t>
      </w:r>
      <w:r>
        <w:rPr>
          <w:rFonts w:hint="eastAsia" w:ascii="宋体" w:hAnsi="宋体" w:eastAsia="宋体" w:cs="宋体"/>
          <w:color w:val="auto"/>
          <w:sz w:val="24"/>
          <w:highlight w:val="none"/>
          <w:lang w:eastAsia="zh-CN"/>
        </w:rPr>
        <w:t>及其受托管理单位</w:t>
      </w:r>
      <w:r>
        <w:rPr>
          <w:rFonts w:hint="eastAsia" w:ascii="宋体" w:hAnsi="宋体" w:eastAsia="宋体" w:cs="宋体"/>
          <w:color w:val="auto"/>
          <w:sz w:val="24"/>
          <w:highlight w:val="none"/>
        </w:rPr>
        <w:t>所有需要完成</w:t>
      </w:r>
      <w:r>
        <w:rPr>
          <w:rFonts w:hint="eastAsia" w:ascii="宋体" w:hAnsi="宋体" w:eastAsia="宋体" w:cs="宋体"/>
          <w:color w:val="auto"/>
          <w:sz w:val="24"/>
          <w:highlight w:val="none"/>
          <w:lang w:val="en-US" w:eastAsia="zh-CN"/>
        </w:rPr>
        <w:t>造价咨询</w:t>
      </w:r>
      <w:r>
        <w:rPr>
          <w:rFonts w:hint="eastAsia" w:ascii="宋体" w:hAnsi="宋体" w:eastAsia="宋体" w:cs="宋体"/>
          <w:color w:val="auto"/>
          <w:sz w:val="24"/>
          <w:highlight w:val="none"/>
        </w:rPr>
        <w:t>的项目服务</w:t>
      </w:r>
      <w:r>
        <w:rPr>
          <w:rFonts w:hint="eastAsia" w:ascii="宋体" w:hAnsi="宋体" w:eastAsia="宋体" w:cs="宋体"/>
          <w:b w:val="0"/>
          <w:bCs w:val="0"/>
          <w:color w:val="auto"/>
          <w:kern w:val="2"/>
          <w:sz w:val="24"/>
          <w:szCs w:val="24"/>
          <w:highlight w:val="none"/>
          <w:u w:val="none"/>
          <w:lang w:val="en-US" w:eastAsia="zh-CN"/>
        </w:rPr>
        <w:t>（含自有项目、代建项目等）</w:t>
      </w:r>
      <w:r>
        <w:rPr>
          <w:rFonts w:hint="eastAsia" w:ascii="宋体" w:hAnsi="宋体" w:eastAsia="宋体" w:cs="宋体"/>
          <w:color w:val="auto"/>
          <w:sz w:val="24"/>
          <w:highlight w:val="none"/>
          <w:lang w:eastAsia="zh-CN"/>
        </w:rPr>
        <w:t>，包括但不限于</w:t>
      </w:r>
      <w:r>
        <w:rPr>
          <w:rFonts w:hint="eastAsia" w:ascii="宋体" w:hAnsi="宋体" w:eastAsia="宋体" w:cs="宋体"/>
          <w:color w:val="auto"/>
          <w:kern w:val="2"/>
          <w:sz w:val="24"/>
          <w:szCs w:val="24"/>
          <w:highlight w:val="none"/>
          <w:u w:val="none"/>
          <w:lang w:val="en-US" w:eastAsia="zh-CN"/>
        </w:rPr>
        <w:t>概算编</w:t>
      </w:r>
      <w:r>
        <w:rPr>
          <w:rFonts w:hint="eastAsia" w:ascii="宋体" w:hAnsi="宋体" w:eastAsia="宋体" w:cs="宋体"/>
          <w:color w:val="auto"/>
          <w:sz w:val="24"/>
          <w:szCs w:val="24"/>
          <w:highlight w:val="none"/>
          <w:lang w:val="en-US" w:eastAsia="zh-CN"/>
        </w:rPr>
        <w:t>制，招标控制价编制及结算编制等</w:t>
      </w:r>
      <w:r>
        <w:rPr>
          <w:rFonts w:hint="eastAsia" w:ascii="宋体" w:hAnsi="宋体" w:eastAsia="宋体" w:cs="宋体"/>
          <w:color w:val="auto"/>
          <w:sz w:val="24"/>
          <w:highlight w:val="none"/>
        </w:rPr>
        <w:t>。</w:t>
      </w:r>
    </w:p>
    <w:p>
      <w:pPr>
        <w:pStyle w:val="2"/>
        <w:ind w:firstLine="0"/>
        <w:rPr>
          <w:rFonts w:hint="eastAsia" w:eastAsia="宋体"/>
          <w:color w:val="auto"/>
          <w:highlight w:val="none"/>
          <w:lang w:val="en-US" w:eastAsia="zh-CN"/>
        </w:rPr>
      </w:pPr>
      <w:r>
        <w:rPr>
          <w:rFonts w:hint="eastAsia" w:ascii="宋体" w:hAnsi="宋体" w:eastAsia="宋体" w:cs="宋体"/>
          <w:b/>
          <w:bCs/>
          <w:color w:val="auto"/>
          <w:sz w:val="24"/>
          <w:highlight w:val="none"/>
          <w:lang w:val="en-US" w:eastAsia="zh-CN"/>
        </w:rPr>
        <w:t>7、服务期限：</w:t>
      </w:r>
      <w:r>
        <w:rPr>
          <w:rFonts w:hint="eastAsia" w:ascii="宋体" w:hAnsi="宋体" w:eastAsia="宋体" w:cs="宋体"/>
          <w:color w:val="auto"/>
          <w:sz w:val="24"/>
          <w:highlight w:val="none"/>
          <w:lang w:eastAsia="zh-CN"/>
        </w:rPr>
        <w:t>自合同签订之日起计</w:t>
      </w:r>
      <w:r>
        <w:rPr>
          <w:rFonts w:hint="eastAsia" w:ascii="宋体" w:hAnsi="宋体" w:eastAsia="宋体" w:cs="宋体"/>
          <w:color w:val="auto"/>
          <w:sz w:val="24"/>
          <w:highlight w:val="none"/>
          <w:lang w:val="en-US" w:eastAsia="zh-CN"/>
        </w:rPr>
        <w:t>1年时间</w:t>
      </w:r>
      <w:r>
        <w:rPr>
          <w:rFonts w:hint="eastAsia" w:ascii="宋体" w:hAnsi="宋体" w:eastAsia="宋体" w:cs="宋体"/>
          <w:color w:val="auto"/>
          <w:sz w:val="24"/>
          <w:highlight w:val="none"/>
        </w:rPr>
        <w:t>或者累计</w:t>
      </w:r>
      <w:r>
        <w:rPr>
          <w:rFonts w:hint="eastAsia" w:ascii="宋体" w:hAnsi="宋体" w:eastAsia="宋体" w:cs="宋体"/>
          <w:color w:val="auto"/>
          <w:sz w:val="24"/>
          <w:highlight w:val="none"/>
          <w:lang w:eastAsia="zh-CN"/>
        </w:rPr>
        <w:t>造价咨询</w:t>
      </w:r>
      <w:r>
        <w:rPr>
          <w:rFonts w:hint="eastAsia" w:ascii="宋体" w:hAnsi="宋体" w:eastAsia="宋体" w:cs="宋体"/>
          <w:color w:val="auto"/>
          <w:sz w:val="24"/>
          <w:highlight w:val="none"/>
        </w:rPr>
        <w:t>服务费接近100万为止。</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02" w:firstLineChars="200"/>
        <w:textAlignment w:val="auto"/>
        <w:outlineLvl w:val="1"/>
        <w:rPr>
          <w:rFonts w:hint="eastAsia" w:ascii="宋体" w:hAnsi="宋体" w:eastAsia="宋体" w:cs="宋体"/>
          <w:b/>
          <w:bCs w:val="0"/>
          <w:color w:val="auto"/>
          <w:sz w:val="30"/>
          <w:szCs w:val="30"/>
          <w:highlight w:val="none"/>
        </w:rPr>
      </w:pPr>
      <w:r>
        <w:rPr>
          <w:rFonts w:hint="eastAsia" w:ascii="宋体" w:hAnsi="宋体" w:eastAsia="宋体" w:cs="宋体"/>
          <w:b/>
          <w:bCs w:val="0"/>
          <w:color w:val="auto"/>
          <w:sz w:val="30"/>
          <w:szCs w:val="30"/>
          <w:highlight w:val="none"/>
          <w:lang w:val="en-US" w:eastAsia="zh-CN"/>
        </w:rPr>
        <w:t>需求</w:t>
      </w:r>
    </w:p>
    <w:p>
      <w:pPr>
        <w:keepNext w:val="0"/>
        <w:keepLines w:val="0"/>
        <w:pageBreakBefore w:val="0"/>
        <w:widowControl w:val="0"/>
        <w:numPr>
          <w:ilvl w:val="0"/>
          <w:numId w:val="2"/>
        </w:numPr>
        <w:tabs>
          <w:tab w:val="left" w:pos="840"/>
        </w:tabs>
        <w:kinsoku/>
        <w:wordWrap/>
        <w:overflowPunct/>
        <w:topLinePunct w:val="0"/>
        <w:autoSpaceDE/>
        <w:autoSpaceDN/>
        <w:bidi w:val="0"/>
        <w:adjustRightInd/>
        <w:snapToGrid/>
        <w:spacing w:line="360" w:lineRule="auto"/>
        <w:ind w:left="0" w:leftChars="0" w:firstLine="482" w:firstLineChars="200"/>
        <w:textAlignment w:val="auto"/>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人员</w:t>
      </w:r>
      <w:r>
        <w:rPr>
          <w:rFonts w:hint="eastAsia" w:ascii="宋体" w:hAnsi="宋体" w:eastAsia="宋体" w:cs="宋体"/>
          <w:b/>
          <w:bCs/>
          <w:color w:val="auto"/>
          <w:sz w:val="24"/>
          <w:highlight w:val="none"/>
          <w:lang w:val="en-US" w:eastAsia="zh-CN"/>
        </w:rPr>
        <w:t>配置</w:t>
      </w:r>
      <w:r>
        <w:rPr>
          <w:rFonts w:hint="eastAsia" w:ascii="宋体" w:hAnsi="宋体" w:eastAsia="宋体" w:cs="宋体"/>
          <w:b/>
          <w:bCs/>
          <w:color w:val="auto"/>
          <w:sz w:val="24"/>
          <w:highlight w:val="none"/>
        </w:rPr>
        <w:t>要求</w:t>
      </w:r>
    </w:p>
    <w:tbl>
      <w:tblPr>
        <w:tblStyle w:val="13"/>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150"/>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1419" w:type="dxa"/>
            <w:vAlign w:val="center"/>
          </w:tcPr>
          <w:p>
            <w:pPr>
              <w:adjustRightInd w:val="0"/>
              <w:snapToGrid w:val="0"/>
              <w:spacing w:line="360" w:lineRule="auto"/>
              <w:jc w:val="center"/>
              <w:rPr>
                <w:rFonts w:ascii="宋体" w:hAnsi="宋体"/>
                <w:color w:val="auto"/>
                <w:szCs w:val="21"/>
                <w:highlight w:val="none"/>
              </w:rPr>
            </w:pPr>
            <w:r>
              <w:rPr>
                <w:rFonts w:ascii="宋体" w:hAnsi="宋体"/>
                <w:color w:val="auto"/>
                <w:szCs w:val="21"/>
                <w:highlight w:val="none"/>
              </w:rPr>
              <w:t>人  员</w:t>
            </w:r>
          </w:p>
        </w:tc>
        <w:tc>
          <w:tcPr>
            <w:tcW w:w="1150" w:type="dxa"/>
            <w:vAlign w:val="center"/>
          </w:tcPr>
          <w:p>
            <w:pPr>
              <w:adjustRightInd w:val="0"/>
              <w:snapToGrid w:val="0"/>
              <w:spacing w:line="360" w:lineRule="auto"/>
              <w:jc w:val="center"/>
              <w:rPr>
                <w:rFonts w:ascii="宋体" w:hAnsi="宋体"/>
                <w:color w:val="auto"/>
                <w:szCs w:val="21"/>
                <w:highlight w:val="none"/>
              </w:rPr>
            </w:pPr>
            <w:r>
              <w:rPr>
                <w:rFonts w:ascii="宋体" w:hAnsi="宋体"/>
                <w:color w:val="auto"/>
                <w:szCs w:val="21"/>
                <w:highlight w:val="none"/>
              </w:rPr>
              <w:t>数  量</w:t>
            </w:r>
          </w:p>
        </w:tc>
        <w:tc>
          <w:tcPr>
            <w:tcW w:w="5954" w:type="dxa"/>
            <w:vAlign w:val="center"/>
          </w:tcPr>
          <w:p>
            <w:pPr>
              <w:adjustRightInd w:val="0"/>
              <w:snapToGrid w:val="0"/>
              <w:spacing w:line="360" w:lineRule="auto"/>
              <w:jc w:val="center"/>
              <w:rPr>
                <w:rFonts w:ascii="宋体" w:hAnsi="宋体"/>
                <w:color w:val="auto"/>
                <w:szCs w:val="21"/>
                <w:highlight w:val="none"/>
              </w:rPr>
            </w:pPr>
            <w:r>
              <w:rPr>
                <w:rFonts w:ascii="宋体" w:hAnsi="宋体"/>
                <w:color w:val="auto"/>
                <w:szCs w:val="21"/>
                <w:highlight w:val="none"/>
              </w:rPr>
              <w:t>资 格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419" w:type="dxa"/>
            <w:vAlign w:val="center"/>
          </w:tcPr>
          <w:p>
            <w:pPr>
              <w:spacing w:line="360" w:lineRule="auto"/>
              <w:jc w:val="center"/>
              <w:rPr>
                <w:rFonts w:ascii="宋体" w:hAnsi="宋体"/>
                <w:color w:val="auto"/>
                <w:szCs w:val="21"/>
                <w:highlight w:val="none"/>
              </w:rPr>
            </w:pPr>
            <w:r>
              <w:rPr>
                <w:rFonts w:hint="eastAsia" w:ascii="宋体"/>
                <w:color w:val="auto"/>
                <w:szCs w:val="21"/>
                <w:highlight w:val="none"/>
              </w:rPr>
              <w:t>项目负责人</w:t>
            </w:r>
          </w:p>
        </w:tc>
        <w:tc>
          <w:tcPr>
            <w:tcW w:w="1150" w:type="dxa"/>
            <w:vAlign w:val="center"/>
          </w:tcPr>
          <w:p>
            <w:pPr>
              <w:adjustRightInd w:val="0"/>
              <w:snapToGrid w:val="0"/>
              <w:spacing w:line="360" w:lineRule="auto"/>
              <w:jc w:val="center"/>
              <w:rPr>
                <w:rFonts w:ascii="宋体" w:hAnsi="宋体"/>
                <w:color w:val="auto"/>
                <w:szCs w:val="21"/>
                <w:highlight w:val="none"/>
              </w:rPr>
            </w:pPr>
            <w:r>
              <w:rPr>
                <w:rFonts w:hint="eastAsia" w:ascii="宋体" w:hAnsi="宋体"/>
                <w:color w:val="auto"/>
                <w:szCs w:val="21"/>
                <w:highlight w:val="none"/>
              </w:rPr>
              <w:t>1</w:t>
            </w:r>
          </w:p>
        </w:tc>
        <w:tc>
          <w:tcPr>
            <w:tcW w:w="5954" w:type="dxa"/>
            <w:vAlign w:val="center"/>
          </w:tcPr>
          <w:p>
            <w:pPr>
              <w:adjustRightInd/>
              <w:snapToGrid/>
              <w:spacing w:line="360" w:lineRule="auto"/>
              <w:ind w:right="0"/>
              <w:jc w:val="center"/>
              <w:rPr>
                <w:rFonts w:hint="eastAsia" w:ascii="宋体" w:hAnsiTheme="minorHAnsi"/>
                <w:color w:val="auto"/>
                <w:szCs w:val="21"/>
                <w:highlight w:val="none"/>
              </w:rPr>
            </w:pPr>
            <w:r>
              <w:rPr>
                <w:rFonts w:hint="eastAsia" w:ascii="宋体" w:hAnsiTheme="minorHAnsi" w:eastAsiaTheme="minorEastAsia" w:cstheme="minorBidi"/>
                <w:color w:val="auto"/>
                <w:sz w:val="21"/>
                <w:szCs w:val="21"/>
                <w:highlight w:val="none"/>
                <w:lang w:val="en-US" w:eastAsia="zh-CN"/>
              </w:rPr>
              <w:t>具有高级或以上技术职称，具有一级注册造价工程师资格，或造价工程师证书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5" w:hRule="atLeast"/>
          <w:jc w:val="center"/>
        </w:trPr>
        <w:tc>
          <w:tcPr>
            <w:tcW w:w="1419" w:type="dxa"/>
            <w:vAlign w:val="center"/>
          </w:tcPr>
          <w:p>
            <w:pPr>
              <w:spacing w:line="360" w:lineRule="auto"/>
              <w:jc w:val="center"/>
              <w:rPr>
                <w:rFonts w:ascii="宋体"/>
                <w:color w:val="auto"/>
                <w:szCs w:val="21"/>
                <w:highlight w:val="none"/>
              </w:rPr>
            </w:pPr>
            <w:r>
              <w:rPr>
                <w:rFonts w:hint="eastAsia" w:ascii="宋体"/>
                <w:color w:val="auto"/>
                <w:szCs w:val="21"/>
                <w:highlight w:val="none"/>
                <w:lang w:val="en-US" w:eastAsia="zh-CN"/>
              </w:rPr>
              <w:t>审核人和复核人员</w:t>
            </w:r>
          </w:p>
        </w:tc>
        <w:tc>
          <w:tcPr>
            <w:tcW w:w="1150" w:type="dxa"/>
            <w:vAlign w:val="center"/>
          </w:tcPr>
          <w:p>
            <w:pPr>
              <w:spacing w:line="360" w:lineRule="auto"/>
              <w:jc w:val="center"/>
              <w:rPr>
                <w:rFonts w:ascii="宋体"/>
                <w:color w:val="auto"/>
                <w:szCs w:val="21"/>
                <w:highlight w:val="none"/>
              </w:rPr>
            </w:pPr>
            <w:r>
              <w:rPr>
                <w:rFonts w:hint="eastAsia" w:ascii="宋体"/>
                <w:color w:val="auto"/>
                <w:szCs w:val="21"/>
                <w:highlight w:val="none"/>
                <w:lang w:val="en-US" w:eastAsia="zh-CN"/>
              </w:rPr>
              <w:t>2</w:t>
            </w:r>
          </w:p>
        </w:tc>
        <w:tc>
          <w:tcPr>
            <w:tcW w:w="5954" w:type="dxa"/>
            <w:vAlign w:val="center"/>
          </w:tcPr>
          <w:p>
            <w:pPr>
              <w:numPr>
                <w:ilvl w:val="-1"/>
                <w:numId w:val="0"/>
              </w:numPr>
              <w:spacing w:line="360" w:lineRule="auto"/>
              <w:ind w:right="0"/>
              <w:jc w:val="center"/>
              <w:rPr>
                <w:rFonts w:ascii="宋体"/>
                <w:color w:val="auto"/>
                <w:szCs w:val="21"/>
                <w:highlight w:val="none"/>
              </w:rPr>
            </w:pPr>
            <w:r>
              <w:rPr>
                <w:rFonts w:hint="eastAsia" w:ascii="宋体" w:hAnsiTheme="minorHAnsi" w:eastAsiaTheme="minorEastAsia" w:cstheme="minorBidi"/>
                <w:color w:val="auto"/>
                <w:sz w:val="21"/>
                <w:szCs w:val="21"/>
                <w:highlight w:val="none"/>
              </w:rPr>
              <w:t>具</w:t>
            </w:r>
            <w:r>
              <w:rPr>
                <w:rFonts w:hint="eastAsia" w:ascii="宋体" w:hAnsiTheme="minorHAnsi" w:eastAsiaTheme="minorEastAsia" w:cstheme="minorBidi"/>
                <w:color w:val="auto"/>
                <w:sz w:val="21"/>
                <w:szCs w:val="21"/>
                <w:highlight w:val="none"/>
                <w:lang w:val="en-US" w:eastAsia="zh-CN"/>
              </w:rPr>
              <w:t>有一级注册</w:t>
            </w:r>
            <w:r>
              <w:rPr>
                <w:rFonts w:hint="eastAsia" w:ascii="宋体" w:hAnsiTheme="minorHAnsi" w:eastAsiaTheme="minorEastAsia" w:cstheme="minorBidi"/>
                <w:color w:val="auto"/>
                <w:sz w:val="21"/>
                <w:szCs w:val="21"/>
                <w:highlight w:val="none"/>
              </w:rPr>
              <w:t>造价</w:t>
            </w:r>
            <w:r>
              <w:rPr>
                <w:rFonts w:hint="eastAsia" w:ascii="宋体" w:hAnsiTheme="minorHAnsi" w:eastAsiaTheme="minorEastAsia" w:cstheme="minorBidi"/>
                <w:color w:val="auto"/>
                <w:sz w:val="21"/>
                <w:szCs w:val="21"/>
                <w:highlight w:val="none"/>
                <w:lang w:eastAsia="zh-CN"/>
              </w:rPr>
              <w:t>工程</w:t>
            </w:r>
            <w:r>
              <w:rPr>
                <w:rFonts w:hint="eastAsia" w:ascii="宋体" w:hAnsiTheme="minorHAnsi" w:eastAsiaTheme="minorEastAsia" w:cstheme="minorBidi"/>
                <w:color w:val="auto"/>
                <w:sz w:val="21"/>
                <w:szCs w:val="21"/>
                <w:highlight w:val="none"/>
              </w:rPr>
              <w:t>师资格</w:t>
            </w:r>
            <w:r>
              <w:rPr>
                <w:rFonts w:hint="eastAsia" w:ascii="宋体" w:hAnsiTheme="minorHAnsi" w:eastAsiaTheme="minorEastAsia" w:cstheme="minorBidi"/>
                <w:color w:val="auto"/>
                <w:sz w:val="21"/>
                <w:szCs w:val="21"/>
                <w:highlight w:val="none"/>
                <w:lang w:eastAsia="zh-CN"/>
              </w:rPr>
              <w:t>，</w:t>
            </w:r>
            <w:r>
              <w:rPr>
                <w:rFonts w:hint="eastAsia" w:ascii="宋体" w:hAnsiTheme="minorHAnsi" w:eastAsiaTheme="minorEastAsia" w:cstheme="minorBidi"/>
                <w:color w:val="auto"/>
                <w:sz w:val="21"/>
                <w:szCs w:val="21"/>
                <w:highlight w:val="none"/>
                <w:lang w:val="en-US" w:eastAsia="zh-CN"/>
              </w:rPr>
              <w:t>或造价工程师证书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5" w:hRule="atLeast"/>
          <w:jc w:val="center"/>
        </w:trPr>
        <w:tc>
          <w:tcPr>
            <w:tcW w:w="1419" w:type="dxa"/>
            <w:vAlign w:val="center"/>
          </w:tcPr>
          <w:p>
            <w:pPr>
              <w:spacing w:line="360" w:lineRule="auto"/>
              <w:jc w:val="center"/>
              <w:rPr>
                <w:rFonts w:hint="default" w:ascii="宋体" w:eastAsiaTheme="minorEastAsia"/>
                <w:color w:val="auto"/>
                <w:szCs w:val="21"/>
                <w:highlight w:val="none"/>
                <w:lang w:val="en-US" w:eastAsia="zh-CN"/>
              </w:rPr>
            </w:pPr>
            <w:r>
              <w:rPr>
                <w:rFonts w:hint="eastAsia" w:ascii="宋体"/>
                <w:color w:val="auto"/>
                <w:szCs w:val="21"/>
                <w:highlight w:val="none"/>
                <w:lang w:val="en-US" w:eastAsia="zh-CN"/>
              </w:rPr>
              <w:t>编制</w:t>
            </w:r>
            <w:r>
              <w:rPr>
                <w:rFonts w:hint="eastAsia" w:ascii="宋体"/>
                <w:color w:val="auto"/>
                <w:szCs w:val="21"/>
                <w:highlight w:val="none"/>
              </w:rPr>
              <w:t>人员</w:t>
            </w:r>
            <w:r>
              <w:rPr>
                <w:rFonts w:hint="eastAsia" w:ascii="宋体"/>
                <w:color w:val="auto"/>
                <w:szCs w:val="21"/>
                <w:highlight w:val="none"/>
                <w:lang w:val="en-US" w:eastAsia="zh-CN"/>
              </w:rPr>
              <w:t>和辅助人员</w:t>
            </w:r>
          </w:p>
        </w:tc>
        <w:tc>
          <w:tcPr>
            <w:tcW w:w="1150" w:type="dxa"/>
            <w:vAlign w:val="center"/>
          </w:tcPr>
          <w:p>
            <w:pPr>
              <w:spacing w:line="360" w:lineRule="auto"/>
              <w:jc w:val="center"/>
              <w:rPr>
                <w:rFonts w:ascii="宋体"/>
                <w:color w:val="auto"/>
                <w:szCs w:val="21"/>
                <w:highlight w:val="none"/>
              </w:rPr>
            </w:pPr>
            <w:r>
              <w:rPr>
                <w:rFonts w:hint="eastAsia" w:ascii="宋体"/>
                <w:color w:val="auto"/>
                <w:szCs w:val="21"/>
                <w:highlight w:val="none"/>
              </w:rPr>
              <w:t>满足项目规模需要</w:t>
            </w:r>
          </w:p>
        </w:tc>
        <w:tc>
          <w:tcPr>
            <w:tcW w:w="5954" w:type="dxa"/>
            <w:vAlign w:val="center"/>
          </w:tcPr>
          <w:p>
            <w:pPr>
              <w:adjustRightInd/>
              <w:snapToGrid/>
              <w:spacing w:line="360" w:lineRule="auto"/>
              <w:jc w:val="center"/>
              <w:rPr>
                <w:rFonts w:ascii="宋体"/>
                <w:color w:val="auto"/>
                <w:szCs w:val="21"/>
                <w:highlight w:val="none"/>
              </w:rPr>
            </w:pPr>
            <w:r>
              <w:rPr>
                <w:rFonts w:hint="eastAsia" w:ascii="宋体" w:hAnsiTheme="minorHAnsi" w:eastAsiaTheme="minorEastAsia" w:cstheme="minorBidi"/>
                <w:color w:val="auto"/>
                <w:sz w:val="21"/>
                <w:szCs w:val="21"/>
                <w:highlight w:val="none"/>
                <w:lang w:val="en-US" w:eastAsia="zh-CN"/>
              </w:rPr>
              <w:t>具有二级注册造价工程师或以上执业资格，或造价员证书</w:t>
            </w:r>
          </w:p>
        </w:tc>
      </w:tr>
    </w:tbl>
    <w:p>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ind w:leftChars="0"/>
        <w:textAlignment w:val="auto"/>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说明：要求项目负责人须提供相应业绩的有效证明材料，否则视为无效业绩。</w:t>
      </w:r>
    </w:p>
    <w:p>
      <w:pPr>
        <w:keepNext w:val="0"/>
        <w:keepLines w:val="0"/>
        <w:pageBreakBefore w:val="0"/>
        <w:widowControl w:val="0"/>
        <w:numPr>
          <w:ilvl w:val="0"/>
          <w:numId w:val="2"/>
        </w:numPr>
        <w:tabs>
          <w:tab w:val="left" w:pos="840"/>
        </w:tabs>
        <w:kinsoku/>
        <w:wordWrap/>
        <w:overflowPunct/>
        <w:topLinePunct w:val="0"/>
        <w:autoSpaceDE/>
        <w:autoSpaceDN/>
        <w:bidi w:val="0"/>
        <w:adjustRightInd/>
        <w:snapToGrid/>
        <w:spacing w:line="360" w:lineRule="auto"/>
        <w:ind w:left="0" w:leftChars="0" w:firstLine="482" w:firstLineChars="200"/>
        <w:textAlignment w:val="auto"/>
        <w:outlineLvl w:val="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服务费计算依据</w:t>
      </w:r>
    </w:p>
    <w:p>
      <w:pPr>
        <w:keepNext w:val="0"/>
        <w:keepLines w:val="0"/>
        <w:pageBreakBefore w:val="0"/>
        <w:widowControl w:val="0"/>
        <w:numPr>
          <w:ilvl w:val="0"/>
          <w:numId w:val="0"/>
        </w:numPr>
        <w:tabs>
          <w:tab w:val="left" w:pos="630"/>
        </w:tabs>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rPr>
        <w:t>广东省建设工程造价咨询服务收费标准：《关于调整我省建设工程造价咨询服务收费的复函》</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粤价函【2011】</w:t>
      </w:r>
      <w:r>
        <w:rPr>
          <w:rFonts w:hint="eastAsia" w:ascii="宋体" w:hAnsi="宋体" w:eastAsia="宋体" w:cs="宋体"/>
          <w:color w:val="auto"/>
          <w:sz w:val="24"/>
          <w:highlight w:val="none"/>
          <w:lang w:eastAsia="zh-CN"/>
        </w:rPr>
        <w:t>742</w:t>
      </w:r>
      <w:r>
        <w:rPr>
          <w:rFonts w:hint="eastAsia" w:ascii="宋体" w:hAnsi="宋体" w:eastAsia="宋体" w:cs="宋体"/>
          <w:color w:val="auto"/>
          <w:sz w:val="24"/>
          <w:highlight w:val="none"/>
        </w:rPr>
        <w:t>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下浮率以投标下浮率为准。</w:t>
      </w:r>
    </w:p>
    <w:p>
      <w:pPr>
        <w:keepNext w:val="0"/>
        <w:keepLines w:val="0"/>
        <w:pageBreakBefore w:val="0"/>
        <w:widowControl w:val="0"/>
        <w:tabs>
          <w:tab w:val="left" w:pos="630"/>
        </w:tabs>
        <w:kinsoku/>
        <w:wordWrap/>
        <w:overflowPunct/>
        <w:topLinePunct w:val="0"/>
        <w:autoSpaceDE/>
        <w:autoSpaceDN/>
        <w:bidi w:val="0"/>
        <w:adjustRightInd/>
        <w:snapToGrid/>
        <w:spacing w:line="360" w:lineRule="auto"/>
        <w:ind w:left="0" w:leftChars="0"/>
        <w:textAlignment w:val="auto"/>
        <w:rPr>
          <w:rFonts w:ascii="宋体" w:hAnsi="宋体" w:eastAsia="宋体" w:cs="宋体"/>
          <w:color w:val="auto"/>
          <w:sz w:val="24"/>
          <w:highlight w:val="none"/>
        </w:rPr>
      </w:pPr>
    </w:p>
    <w:p>
      <w:pPr>
        <w:keepNext w:val="0"/>
        <w:keepLines w:val="0"/>
        <w:pageBreakBefore w:val="0"/>
        <w:widowControl w:val="0"/>
        <w:tabs>
          <w:tab w:val="left" w:pos="630"/>
        </w:tabs>
        <w:kinsoku/>
        <w:wordWrap/>
        <w:overflowPunct/>
        <w:topLinePunct w:val="0"/>
        <w:autoSpaceDE/>
        <w:autoSpaceDN/>
        <w:bidi w:val="0"/>
        <w:adjustRightInd/>
        <w:snapToGrid/>
        <w:spacing w:line="360" w:lineRule="auto"/>
        <w:ind w:left="0" w:leftChars="0"/>
        <w:textAlignment w:val="auto"/>
        <w:rPr>
          <w:rFonts w:ascii="宋体" w:hAnsi="宋体" w:eastAsia="宋体" w:cs="宋体"/>
          <w:color w:val="auto"/>
          <w:sz w:val="24"/>
          <w:highlight w:val="none"/>
        </w:rPr>
      </w:pPr>
    </w:p>
    <w:p>
      <w:pPr>
        <w:keepNext w:val="0"/>
        <w:keepLines w:val="0"/>
        <w:pageBreakBefore w:val="0"/>
        <w:widowControl w:val="0"/>
        <w:tabs>
          <w:tab w:val="left" w:pos="630"/>
        </w:tabs>
        <w:kinsoku/>
        <w:wordWrap/>
        <w:overflowPunct/>
        <w:topLinePunct w:val="0"/>
        <w:autoSpaceDE/>
        <w:autoSpaceDN/>
        <w:bidi w:val="0"/>
        <w:adjustRightInd/>
        <w:snapToGrid/>
        <w:spacing w:line="360" w:lineRule="auto"/>
        <w:ind w:left="0" w:leftChars="0"/>
        <w:textAlignment w:val="auto"/>
        <w:rPr>
          <w:rFonts w:ascii="宋体" w:hAnsi="宋体" w:eastAsia="宋体" w:cs="宋体"/>
          <w:color w:val="auto"/>
          <w:sz w:val="24"/>
          <w:highlight w:val="none"/>
        </w:rPr>
      </w:pPr>
    </w:p>
    <w:p>
      <w:pPr>
        <w:keepNext w:val="0"/>
        <w:keepLines w:val="0"/>
        <w:pageBreakBefore w:val="0"/>
        <w:widowControl w:val="0"/>
        <w:tabs>
          <w:tab w:val="left" w:pos="630"/>
        </w:tabs>
        <w:kinsoku/>
        <w:wordWrap/>
        <w:overflowPunct/>
        <w:topLinePunct w:val="0"/>
        <w:autoSpaceDE/>
        <w:autoSpaceDN/>
        <w:bidi w:val="0"/>
        <w:adjustRightInd/>
        <w:snapToGrid/>
        <w:spacing w:line="360" w:lineRule="auto"/>
        <w:ind w:left="0" w:leftChars="0"/>
        <w:textAlignment w:val="auto"/>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spacing w:line="360" w:lineRule="auto"/>
        <w:jc w:val="both"/>
        <w:rPr>
          <w:rFonts w:ascii="黑体" w:hAnsi="宋体" w:cs="黑体"/>
          <w:b/>
          <w:color w:val="auto"/>
          <w:kern w:val="44"/>
          <w:sz w:val="44"/>
          <w:szCs w:val="44"/>
          <w:highlight w:val="none"/>
        </w:rPr>
      </w:pPr>
      <w:bookmarkStart w:id="8" w:name="_Toc264562491"/>
      <w:bookmarkEnd w:id="8"/>
    </w:p>
    <w:p>
      <w:pPr>
        <w:pStyle w:val="3"/>
        <w:widowControl/>
        <w:spacing w:before="0" w:after="0" w:line="360" w:lineRule="auto"/>
        <w:jc w:val="center"/>
        <w:rPr>
          <w:rFonts w:ascii="黑体" w:hAnsi="宋体" w:cs="黑体"/>
          <w:b/>
          <w:color w:val="auto"/>
          <w:kern w:val="44"/>
          <w:sz w:val="44"/>
          <w:szCs w:val="44"/>
          <w:highlight w:val="none"/>
        </w:rPr>
      </w:pPr>
      <w:bookmarkStart w:id="9" w:name="_Toc2811"/>
      <w:bookmarkStart w:id="10" w:name="_Toc27492"/>
      <w:r>
        <w:rPr>
          <w:rFonts w:hint="eastAsia" w:ascii="黑体" w:hAnsi="宋体" w:cs="黑体"/>
          <w:b/>
          <w:color w:val="auto"/>
          <w:kern w:val="44"/>
          <w:sz w:val="44"/>
          <w:szCs w:val="44"/>
          <w:highlight w:val="none"/>
        </w:rPr>
        <w:t>第3章  投标格式文件</w:t>
      </w:r>
      <w:bookmarkEnd w:id="9"/>
      <w:bookmarkEnd w:id="10"/>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广州南沙建设维护管理有限公司：</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我方决定参加贵方的</w:t>
      </w:r>
      <w:r>
        <w:rPr>
          <w:rFonts w:hint="eastAsia" w:ascii="宋体" w:hAnsi="宋体" w:eastAsia="宋体" w:cs="Times New Roman"/>
          <w:b w:val="0"/>
          <w:bCs w:val="0"/>
          <w:color w:val="auto"/>
          <w:spacing w:val="20"/>
          <w:sz w:val="24"/>
          <w:szCs w:val="24"/>
          <w:highlight w:val="none"/>
          <w:u w:val="single"/>
          <w:lang w:eastAsia="zh-CN"/>
        </w:rPr>
        <w:t>广州南沙建设维护管理有限公司年度项目</w:t>
      </w:r>
      <w:r>
        <w:rPr>
          <w:rFonts w:hint="eastAsia" w:ascii="宋体" w:hAnsi="宋体" w:eastAsia="宋体" w:cs="Times New Roman"/>
          <w:b w:val="0"/>
          <w:bCs w:val="0"/>
          <w:color w:val="auto"/>
          <w:spacing w:val="20"/>
          <w:sz w:val="24"/>
          <w:szCs w:val="24"/>
          <w:highlight w:val="none"/>
          <w:u w:val="single"/>
          <w:lang w:val="en-US" w:eastAsia="zh-CN"/>
        </w:rPr>
        <w:t>造价</w:t>
      </w:r>
      <w:r>
        <w:rPr>
          <w:rFonts w:hint="eastAsia" w:ascii="宋体" w:hAnsi="宋体" w:eastAsia="宋体" w:cs="Times New Roman"/>
          <w:b w:val="0"/>
          <w:bCs w:val="0"/>
          <w:color w:val="auto"/>
          <w:spacing w:val="20"/>
          <w:sz w:val="24"/>
          <w:szCs w:val="24"/>
          <w:highlight w:val="none"/>
          <w:u w:val="single"/>
        </w:rPr>
        <w:t>咨询服务</w:t>
      </w:r>
      <w:r>
        <w:rPr>
          <w:rFonts w:hint="eastAsia" w:ascii="宋体" w:hAnsi="宋体" w:eastAsia="宋体" w:cs="Times New Roman"/>
          <w:b w:val="0"/>
          <w:bCs w:val="0"/>
          <w:color w:val="auto"/>
          <w:spacing w:val="20"/>
          <w:sz w:val="24"/>
          <w:szCs w:val="24"/>
          <w:highlight w:val="none"/>
        </w:rPr>
        <w:t>单位选定的竞标，并完全接受贵方发出的招标文件及澄清文件中的所有内容。为此，我方作出如下承诺：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1、我方经分析研究了贵方提供上述工程的招标文件中的项目介绍、投标人须知、合同条件以及本次招标答疑或澄清文件后，我公司愿意以投标报价表中承诺报价，完成贵方年度</w:t>
      </w:r>
      <w:r>
        <w:rPr>
          <w:rFonts w:hint="eastAsia" w:ascii="宋体" w:hAnsi="宋体" w:eastAsia="宋体" w:cs="Times New Roman"/>
          <w:b w:val="0"/>
          <w:bCs w:val="0"/>
          <w:color w:val="auto"/>
          <w:spacing w:val="20"/>
          <w:sz w:val="24"/>
          <w:szCs w:val="24"/>
          <w:highlight w:val="none"/>
          <w:lang w:val="en-US" w:eastAsia="zh-CN"/>
        </w:rPr>
        <w:t>造价咨询</w:t>
      </w:r>
      <w:r>
        <w:rPr>
          <w:rFonts w:hint="eastAsia" w:ascii="宋体" w:hAnsi="宋体" w:eastAsia="宋体" w:cs="Times New Roman"/>
          <w:b w:val="0"/>
          <w:bCs w:val="0"/>
          <w:color w:val="auto"/>
          <w:spacing w:val="20"/>
          <w:sz w:val="24"/>
          <w:szCs w:val="24"/>
          <w:highlight w:val="none"/>
        </w:rPr>
        <w:t>任务，并提供增值税专业发票税率为</w:t>
      </w:r>
      <w:r>
        <w:rPr>
          <w:rFonts w:hint="eastAsia" w:ascii="宋体" w:hAnsi="宋体" w:eastAsia="宋体" w:cs="Times New Roman"/>
          <w:b w:val="0"/>
          <w:bCs w:val="0"/>
          <w:color w:val="auto"/>
          <w:spacing w:val="23"/>
          <w:sz w:val="24"/>
          <w:szCs w:val="24"/>
          <w:highlight w:val="none"/>
          <w:u w:val="single"/>
        </w:rPr>
        <w:t xml:space="preserve">   </w:t>
      </w:r>
      <w:r>
        <w:rPr>
          <w:rFonts w:hint="eastAsia" w:ascii="宋体" w:hAnsi="宋体" w:eastAsia="宋体" w:cs="Times New Roman"/>
          <w:b w:val="0"/>
          <w:bCs w:val="0"/>
          <w:color w:val="auto"/>
          <w:spacing w:val="20"/>
          <w:sz w:val="24"/>
          <w:szCs w:val="24"/>
          <w:highlight w:val="none"/>
        </w:rPr>
        <w:t>%，并按合同条件的要求，承担并完成上述工程的</w:t>
      </w:r>
      <w:r>
        <w:rPr>
          <w:rFonts w:hint="eastAsia" w:ascii="宋体" w:hAnsi="宋体" w:eastAsia="宋体" w:cs="Times New Roman"/>
          <w:b w:val="0"/>
          <w:bCs w:val="0"/>
          <w:color w:val="auto"/>
          <w:spacing w:val="20"/>
          <w:sz w:val="24"/>
          <w:szCs w:val="24"/>
          <w:highlight w:val="none"/>
          <w:lang w:val="en-US" w:eastAsia="zh-CN"/>
        </w:rPr>
        <w:t>造价咨询</w:t>
      </w:r>
      <w:r>
        <w:rPr>
          <w:rFonts w:hint="eastAsia" w:ascii="宋体" w:hAnsi="宋体" w:eastAsia="宋体" w:cs="Times New Roman"/>
          <w:b w:val="0"/>
          <w:bCs w:val="0"/>
          <w:color w:val="auto"/>
          <w:spacing w:val="20"/>
          <w:sz w:val="24"/>
          <w:szCs w:val="24"/>
          <w:highlight w:val="none"/>
        </w:rPr>
        <w:t>服务任务。</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2、完全理解和接受全部招标文件（包括修改文件、参考资料和有关附件）的一切规定和要求。</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3、我方同意在规定的投标截止之日起</w:t>
      </w:r>
      <w:r>
        <w:rPr>
          <w:rFonts w:hint="eastAsia" w:ascii="宋体" w:hAnsi="宋体" w:eastAsia="宋体" w:cs="Times New Roman"/>
          <w:b w:val="0"/>
          <w:bCs w:val="0"/>
          <w:color w:val="auto"/>
          <w:spacing w:val="23"/>
          <w:sz w:val="24"/>
          <w:szCs w:val="24"/>
          <w:highlight w:val="none"/>
          <w:u w:val="single"/>
        </w:rPr>
        <w:t xml:space="preserve">      </w:t>
      </w:r>
      <w:r>
        <w:rPr>
          <w:rFonts w:hint="eastAsia" w:ascii="宋体" w:hAnsi="宋体" w:eastAsia="宋体" w:cs="Times New Roman"/>
          <w:b w:val="0"/>
          <w:bCs w:val="0"/>
          <w:color w:val="auto"/>
          <w:spacing w:val="20"/>
          <w:sz w:val="24"/>
          <w:szCs w:val="24"/>
          <w:highlight w:val="none"/>
        </w:rPr>
        <w:t>日历天内遵守本投标。在该期限满期之前，本投标书对我单位始终具有约束力，并可随时被接受。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4、在正式签订</w:t>
      </w:r>
      <w:r>
        <w:rPr>
          <w:rFonts w:hint="eastAsia" w:ascii="宋体" w:hAnsi="宋体" w:eastAsia="宋体" w:cs="Times New Roman"/>
          <w:b w:val="0"/>
          <w:bCs w:val="0"/>
          <w:color w:val="auto"/>
          <w:spacing w:val="20"/>
          <w:sz w:val="24"/>
          <w:szCs w:val="24"/>
          <w:highlight w:val="none"/>
          <w:lang w:val="en-US" w:eastAsia="zh-CN"/>
        </w:rPr>
        <w:t>造价</w:t>
      </w:r>
      <w:r>
        <w:rPr>
          <w:rFonts w:hint="eastAsia" w:ascii="宋体" w:hAnsi="宋体" w:eastAsia="宋体" w:cs="Times New Roman"/>
          <w:b w:val="0"/>
          <w:bCs w:val="0"/>
          <w:color w:val="auto"/>
          <w:spacing w:val="20"/>
          <w:sz w:val="24"/>
          <w:szCs w:val="24"/>
          <w:highlight w:val="none"/>
        </w:rPr>
        <w:t>咨询服务</w:t>
      </w:r>
      <w:r>
        <w:rPr>
          <w:rFonts w:hint="eastAsia" w:ascii="宋体" w:hAnsi="宋体" w:eastAsia="宋体" w:cs="Times New Roman"/>
          <w:b w:val="0"/>
          <w:bCs w:val="0"/>
          <w:color w:val="auto"/>
          <w:spacing w:val="20"/>
          <w:sz w:val="24"/>
          <w:szCs w:val="24"/>
          <w:highlight w:val="none"/>
          <w:lang w:eastAsia="zh-CN"/>
        </w:rPr>
        <w:t>合同</w:t>
      </w:r>
      <w:r>
        <w:rPr>
          <w:rFonts w:hint="eastAsia" w:ascii="宋体" w:hAnsi="宋体" w:eastAsia="宋体" w:cs="Times New Roman"/>
          <w:b w:val="0"/>
          <w:bCs w:val="0"/>
          <w:color w:val="auto"/>
          <w:spacing w:val="20"/>
          <w:sz w:val="24"/>
          <w:szCs w:val="24"/>
          <w:highlight w:val="none"/>
        </w:rPr>
        <w:t>之前，本投标书连同贵方的中标通知书应成为约束贵、我双方的合同文件。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5、在整个招、投标过程中及招、投标结束后，未经招标人书面同意，我方保证不向任何第三方泄露本次招、投标的任何信息、资料及内容。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6、投标文件中所有关于投标人资格的文件、证明、陈述均是真实的、准确的。若有违背，我方承担由此而产生的一切后果。</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投标人：（盖章）</w:t>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0"/>
          <w:sz w:val="24"/>
          <w:szCs w:val="24"/>
          <w:highlight w:val="none"/>
        </w:rPr>
        <w:tab/>
      </w:r>
      <w:r>
        <w:rPr>
          <w:rFonts w:hint="eastAsia" w:ascii="宋体" w:hAnsi="宋体" w:eastAsia="宋体" w:cs="Times New Roman"/>
          <w:b w:val="0"/>
          <w:bCs w:val="0"/>
          <w:color w:val="auto"/>
          <w:spacing w:val="20"/>
          <w:sz w:val="24"/>
          <w:szCs w:val="24"/>
          <w:highlight w:val="none"/>
        </w:rPr>
        <w:tab/>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宋体" w:hAnsi="宋体" w:eastAsia="宋体" w:cs="Times New Roman"/>
          <w:b w:val="0"/>
          <w:bCs w:val="0"/>
          <w:color w:val="auto"/>
          <w:spacing w:val="23"/>
          <w:sz w:val="24"/>
          <w:szCs w:val="24"/>
          <w:highlight w:val="none"/>
          <w:u w:val="single"/>
        </w:rPr>
      </w:pPr>
      <w:r>
        <w:rPr>
          <w:rFonts w:hint="eastAsia" w:ascii="宋体" w:hAnsi="宋体" w:eastAsia="宋体" w:cs="Times New Roman"/>
          <w:b w:val="0"/>
          <w:bCs w:val="0"/>
          <w:color w:val="auto"/>
          <w:spacing w:val="20"/>
          <w:sz w:val="24"/>
          <w:szCs w:val="24"/>
          <w:highlight w:val="none"/>
        </w:rPr>
        <w:t>法定代表人或被授权人（代理人）(签字或签章):</w:t>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地    址：</w:t>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0"/>
          <w:sz w:val="24"/>
          <w:szCs w:val="24"/>
          <w:highlight w:val="none"/>
        </w:rPr>
        <w:tab/>
      </w:r>
      <w:r>
        <w:rPr>
          <w:rFonts w:hint="eastAsia" w:ascii="宋体" w:hAnsi="宋体" w:eastAsia="宋体" w:cs="Times New Roman"/>
          <w:b w:val="0"/>
          <w:bCs w:val="0"/>
          <w:color w:val="auto"/>
          <w:spacing w:val="20"/>
          <w:sz w:val="24"/>
          <w:szCs w:val="24"/>
          <w:highlight w:val="none"/>
        </w:rPr>
        <w:tab/>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宋体" w:hAnsi="宋体" w:eastAsia="宋体" w:cs="Times New Roman"/>
          <w:b w:val="0"/>
          <w:bCs w:val="0"/>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电    话：</w:t>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0"/>
          <w:sz w:val="24"/>
          <w:szCs w:val="24"/>
          <w:highlight w:val="none"/>
        </w:rPr>
        <w:tab/>
      </w:r>
      <w:r>
        <w:rPr>
          <w:rFonts w:hint="eastAsia" w:ascii="宋体" w:hAnsi="宋体" w:eastAsia="宋体" w:cs="Times New Roman"/>
          <w:b w:val="0"/>
          <w:bCs w:val="0"/>
          <w:color w:val="auto"/>
          <w:spacing w:val="20"/>
          <w:sz w:val="24"/>
          <w:szCs w:val="24"/>
          <w:highlight w:val="none"/>
        </w:rPr>
        <w:tab/>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宋体" w:hAnsi="宋体" w:eastAsia="宋体" w:cs="Times New Roman"/>
          <w:b/>
          <w:color w:val="auto"/>
          <w:spacing w:val="20"/>
          <w:sz w:val="24"/>
          <w:szCs w:val="24"/>
          <w:highlight w:val="none"/>
        </w:rPr>
      </w:pPr>
      <w:r>
        <w:rPr>
          <w:rFonts w:hint="eastAsia" w:ascii="宋体" w:hAnsi="宋体" w:eastAsia="宋体" w:cs="Times New Roman"/>
          <w:b w:val="0"/>
          <w:bCs w:val="0"/>
          <w:color w:val="auto"/>
          <w:spacing w:val="20"/>
          <w:sz w:val="24"/>
          <w:szCs w:val="24"/>
          <w:highlight w:val="none"/>
        </w:rPr>
        <w:t>日    期：</w:t>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val="0"/>
          <w:bCs w:val="0"/>
          <w:color w:val="auto"/>
          <w:spacing w:val="23"/>
          <w:sz w:val="24"/>
          <w:szCs w:val="24"/>
          <w:highlight w:val="none"/>
          <w:u w:val="single"/>
        </w:rPr>
        <w:tab/>
      </w:r>
      <w:r>
        <w:rPr>
          <w:rFonts w:hint="eastAsia" w:ascii="宋体" w:hAnsi="宋体" w:eastAsia="宋体" w:cs="Times New Roman"/>
          <w:b/>
          <w:color w:val="auto"/>
          <w:spacing w:val="20"/>
          <w:sz w:val="24"/>
          <w:szCs w:val="24"/>
          <w:highlight w:val="none"/>
        </w:rPr>
        <w:tab/>
      </w:r>
    </w:p>
    <w:p>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18"/>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11" w:name="_Toc223342668"/>
      <w:bookmarkEnd w:id="11"/>
      <w:bookmarkStart w:id="12" w:name="_Toc216145749"/>
      <w:bookmarkEnd w:id="12"/>
      <w:r>
        <w:rPr>
          <w:rFonts w:hint="eastAsia" w:ascii="宋体" w:hAnsi="宋体" w:eastAsia="宋体" w:cs="黑体"/>
          <w:color w:val="auto"/>
          <w:sz w:val="28"/>
          <w:szCs w:val="28"/>
          <w:highlight w:val="none"/>
        </w:rPr>
        <w:t>格式三：</w:t>
      </w:r>
    </w:p>
    <w:p>
      <w:pPr>
        <w:pStyle w:val="20"/>
        <w:widowControl/>
        <w:ind w:firstLine="0" w:firstLineChars="0"/>
        <w:jc w:val="center"/>
        <w:outlineLvl w:val="2"/>
        <w:rPr>
          <w:color w:val="auto"/>
          <w:kern w:val="44"/>
          <w:highlight w:val="none"/>
        </w:rPr>
      </w:pPr>
      <w:bookmarkStart w:id="13" w:name="_Toc172416501"/>
      <w:bookmarkEnd w:id="13"/>
      <w:r>
        <w:rPr>
          <w:rFonts w:hint="eastAsia" w:ascii="宋体" w:hAnsi="宋体" w:cs="宋体"/>
          <w:b/>
          <w:color w:val="auto"/>
          <w:sz w:val="30"/>
          <w:szCs w:val="30"/>
          <w:highlight w:val="none"/>
        </w:rPr>
        <w:t>法定代表人证明书</w:t>
      </w:r>
    </w:p>
    <w:p>
      <w:pPr>
        <w:pStyle w:val="20"/>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0"/>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0"/>
        <w:widowControl/>
        <w:ind w:firstLine="618"/>
        <w:rPr>
          <w:b/>
          <w:color w:val="auto"/>
          <w:sz w:val="30"/>
          <w:szCs w:val="30"/>
          <w:highlight w:val="none"/>
        </w:rPr>
      </w:pPr>
      <w:r>
        <w:rPr>
          <w:b/>
          <w:color w:val="auto"/>
          <w:sz w:val="30"/>
          <w:szCs w:val="30"/>
          <w:highlight w:val="none"/>
        </w:rPr>
        <w:t xml:space="preserve"> </w:t>
      </w:r>
    </w:p>
    <w:p>
      <w:pPr>
        <w:pStyle w:val="20"/>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0"/>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0"/>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18"/>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14" w:name="_Toc216145759"/>
      <w:bookmarkEnd w:id="14"/>
      <w:bookmarkStart w:id="15"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18"/>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5"/>
      <w:r>
        <w:rPr>
          <w:rFonts w:hint="eastAsia" w:ascii="宋体" w:hAnsi="宋体" w:eastAsia="宋体" w:cs="宋体"/>
          <w:color w:val="auto"/>
          <w:sz w:val="28"/>
          <w:szCs w:val="28"/>
          <w:highlight w:val="none"/>
        </w:rPr>
        <w:t xml:space="preserve"> </w:t>
      </w:r>
    </w:p>
    <w:p>
      <w:pPr>
        <w:pStyle w:val="20"/>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建设单位名称：</w:t>
      </w:r>
      <w:r>
        <w:rPr>
          <w:rFonts w:hint="eastAsia" w:ascii="宋体" w:hAnsi="宋体" w:eastAsia="宋体" w:cs="宋体"/>
          <w:color w:val="auto"/>
          <w:sz w:val="24"/>
          <w:highlight w:val="none"/>
          <w:u w:val="single"/>
        </w:rPr>
        <w:t>广州南沙</w:t>
      </w:r>
      <w:r>
        <w:rPr>
          <w:rFonts w:hint="eastAsia" w:ascii="宋体" w:hAnsi="宋体" w:eastAsia="宋体" w:cs="宋体"/>
          <w:color w:val="auto"/>
          <w:sz w:val="24"/>
          <w:highlight w:val="none"/>
          <w:u w:val="single"/>
          <w:lang w:val="en-US" w:eastAsia="zh-CN"/>
        </w:rPr>
        <w:t>建设维护管理</w:t>
      </w:r>
      <w:r>
        <w:rPr>
          <w:rFonts w:hint="eastAsia" w:ascii="宋体" w:hAnsi="宋体" w:eastAsia="宋体" w:cs="宋体"/>
          <w:color w:val="auto"/>
          <w:sz w:val="24"/>
          <w:highlight w:val="none"/>
          <w:u w:val="single"/>
        </w:rPr>
        <w:t>有限公司</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投标工程名称：</w:t>
      </w:r>
      <w:r>
        <w:rPr>
          <w:rFonts w:hint="eastAsia" w:ascii="宋体" w:hAnsi="宋体" w:eastAsia="宋体" w:cs="宋体"/>
          <w:color w:val="auto"/>
          <w:sz w:val="24"/>
          <w:highlight w:val="none"/>
          <w:u w:val="single"/>
          <w:lang w:val="en-US" w:eastAsia="zh-CN"/>
        </w:rPr>
        <w:t>广州南沙建设维护管理有限公司年度项目造价</w:t>
      </w:r>
      <w:r>
        <w:rPr>
          <w:rFonts w:hint="eastAsia" w:ascii="宋体" w:hAnsi="宋体" w:eastAsia="宋体" w:cs="宋体"/>
          <w:color w:val="auto"/>
          <w:sz w:val="24"/>
          <w:highlight w:val="none"/>
          <w:u w:val="single"/>
        </w:rPr>
        <w:t>咨询服务</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实际工作的</w:t>
      </w:r>
      <w:r>
        <w:rPr>
          <w:rFonts w:hint="eastAsia" w:ascii="宋体" w:hAnsi="宋体" w:eastAsia="宋体" w:cs="宋体"/>
          <w:color w:val="auto"/>
          <w:sz w:val="24"/>
          <w:highlight w:val="none"/>
        </w:rPr>
        <w:t>人员配备</w:t>
      </w:r>
      <w:r>
        <w:rPr>
          <w:rFonts w:hint="eastAsia" w:ascii="宋体" w:hAnsi="宋体" w:eastAsia="宋体" w:cs="宋体"/>
          <w:color w:val="auto"/>
          <w:sz w:val="24"/>
          <w:highlight w:val="none"/>
          <w:lang w:eastAsia="zh-CN"/>
        </w:rPr>
        <w:t>与投标文件中提供的名单一致</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6" w:name="_Toc326909213"/>
      <w:bookmarkEnd w:id="16"/>
      <w:bookmarkStart w:id="17" w:name="_Toc199647675"/>
      <w:bookmarkEnd w:id="17"/>
      <w:bookmarkStart w:id="18" w:name="_Toc196130110"/>
      <w:bookmarkEnd w:id="18"/>
      <w:bookmarkStart w:id="19" w:name="_Toc196036941"/>
      <w:bookmarkEnd w:id="19"/>
      <w:bookmarkStart w:id="20" w:name="_Toc415728297"/>
      <w:bookmarkEnd w:id="20"/>
      <w:bookmarkStart w:id="21" w:name="_Toc459403394"/>
      <w:bookmarkEnd w:id="21"/>
      <w:bookmarkStart w:id="22" w:name="_Toc196037097"/>
      <w:bookmarkEnd w:id="22"/>
      <w:bookmarkStart w:id="23" w:name="_Toc41822703"/>
      <w:bookmarkEnd w:id="23"/>
      <w:bookmarkStart w:id="24" w:name="_Toc197235848"/>
      <w:bookmarkEnd w:id="24"/>
      <w:bookmarkStart w:id="25" w:name="_Toc415833503"/>
      <w:bookmarkEnd w:id="25"/>
      <w:bookmarkStart w:id="26" w:name="_Toc196130013"/>
      <w:bookmarkEnd w:id="26"/>
      <w:bookmarkStart w:id="27" w:name="_Toc462911098"/>
      <w:r>
        <w:rPr>
          <w:rFonts w:hint="eastAsia" w:ascii="宋体" w:hAnsi="宋体" w:eastAsia="宋体" w:cs="黑体"/>
          <w:b/>
          <w:color w:val="auto"/>
          <w:spacing w:val="4"/>
          <w:kern w:val="0"/>
          <w:sz w:val="28"/>
          <w:szCs w:val="28"/>
          <w:highlight w:val="none"/>
        </w:rPr>
        <w:t>格式五</w:t>
      </w:r>
      <w:bookmarkEnd w:id="27"/>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8" w:name="_Toc41822704"/>
      <w:bookmarkEnd w:id="28"/>
      <w:r>
        <w:rPr>
          <w:rFonts w:hint="eastAsia" w:ascii="仿宋" w:hAnsi="仿宋" w:eastAsia="仿宋" w:cs="仿宋"/>
          <w:b/>
          <w:bCs/>
          <w:color w:val="auto"/>
          <w:sz w:val="36"/>
          <w:szCs w:val="36"/>
          <w:highlight w:val="none"/>
        </w:rPr>
        <w:t>投标人综合概况</w:t>
      </w:r>
    </w:p>
    <w:tbl>
      <w:tblPr>
        <w:tblStyle w:val="13"/>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工程资质证号、范围和等级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w:t>
            </w:r>
            <w:r>
              <w:rPr>
                <w:rFonts w:hint="eastAsia" w:ascii="仿宋" w:hAnsi="仿宋" w:eastAsia="仿宋" w:cs="仿宋"/>
                <w:color w:val="auto"/>
                <w:sz w:val="24"/>
                <w:highlight w:val="none"/>
                <w:lang w:val="en-US" w:eastAsia="zh-CN"/>
              </w:rPr>
              <w:t>造价</w:t>
            </w:r>
            <w:r>
              <w:rPr>
                <w:rFonts w:hint="eastAsia" w:ascii="仿宋" w:hAnsi="仿宋" w:eastAsia="仿宋" w:cs="仿宋"/>
                <w:color w:val="auto"/>
                <w:sz w:val="24"/>
                <w:highlight w:val="none"/>
              </w:rPr>
              <w:t>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仿宋" w:hAnsi="仿宋" w:eastAsia="仿宋" w:cs="仿宋"/>
          <w:color w:val="auto"/>
          <w:kern w:val="24"/>
          <w:sz w:val="28"/>
          <w:szCs w:val="28"/>
          <w:highlight w:val="none"/>
        </w:rPr>
      </w:pPr>
      <w:bookmarkStart w:id="29" w:name="_Toc199647676"/>
      <w:bookmarkEnd w:id="29"/>
      <w:bookmarkStart w:id="30" w:name="_Toc197235849"/>
      <w:bookmarkEnd w:id="30"/>
      <w:bookmarkStart w:id="31" w:name="_Toc196036942"/>
      <w:bookmarkEnd w:id="31"/>
      <w:bookmarkStart w:id="32" w:name="_Toc415833504"/>
      <w:bookmarkEnd w:id="32"/>
      <w:bookmarkStart w:id="33" w:name="_Toc415728298"/>
      <w:bookmarkEnd w:id="33"/>
      <w:bookmarkStart w:id="34" w:name="_Toc196130014"/>
      <w:bookmarkEnd w:id="34"/>
      <w:bookmarkStart w:id="35" w:name="_Toc326909214"/>
      <w:bookmarkEnd w:id="35"/>
      <w:bookmarkStart w:id="36" w:name="_Toc459403395"/>
      <w:bookmarkEnd w:id="36"/>
      <w:bookmarkStart w:id="37" w:name="_Toc196130111"/>
      <w:bookmarkEnd w:id="37"/>
      <w:bookmarkStart w:id="38" w:name="_Toc196037098"/>
      <w:bookmarkEnd w:id="38"/>
      <w:bookmarkStart w:id="39" w:name="_Toc462911099"/>
      <w:r>
        <w:rPr>
          <w:rFonts w:hint="eastAsia" w:ascii="宋体" w:hAnsi="宋体" w:eastAsia="宋体" w:cs="黑体"/>
          <w:b/>
          <w:color w:val="auto"/>
          <w:spacing w:val="4"/>
          <w:kern w:val="0"/>
          <w:sz w:val="28"/>
          <w:szCs w:val="28"/>
          <w:highlight w:val="none"/>
        </w:rPr>
        <w:t>格式六</w:t>
      </w:r>
      <w:bookmarkEnd w:id="39"/>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lang w:val="en-US" w:eastAsia="zh-CN"/>
        </w:rPr>
        <w:t>2018年1月1日至今</w:t>
      </w:r>
      <w:r>
        <w:rPr>
          <w:rFonts w:hint="eastAsia" w:ascii="仿宋" w:hAnsi="仿宋" w:eastAsia="仿宋" w:cs="仿宋"/>
          <w:color w:val="auto"/>
          <w:kern w:val="24"/>
          <w:sz w:val="24"/>
          <w:highlight w:val="none"/>
          <w:lang w:eastAsia="zh-CN"/>
        </w:rPr>
        <w:t>投标人</w:t>
      </w:r>
      <w:r>
        <w:rPr>
          <w:rFonts w:hint="eastAsia" w:ascii="仿宋" w:hAnsi="仿宋" w:eastAsia="仿宋" w:cs="仿宋"/>
          <w:color w:val="auto"/>
          <w:kern w:val="24"/>
          <w:sz w:val="24"/>
          <w:highlight w:val="none"/>
        </w:rPr>
        <w:t>承担的项目</w:t>
      </w:r>
    </w:p>
    <w:p>
      <w:pPr>
        <w:spacing w:before="85" w:beforeLines="30" w:line="360" w:lineRule="auto"/>
        <w:jc w:val="center"/>
        <w:outlineLvl w:val="2"/>
        <w:rPr>
          <w:rFonts w:ascii="仿宋" w:hAnsi="仿宋" w:eastAsia="仿宋" w:cs="仿宋"/>
          <w:color w:val="auto"/>
          <w:kern w:val="24"/>
          <w:sz w:val="28"/>
          <w:szCs w:val="28"/>
          <w:highlight w:val="none"/>
        </w:rPr>
      </w:pPr>
      <w:bookmarkStart w:id="40" w:name="_Toc196037099"/>
      <w:bookmarkEnd w:id="40"/>
      <w:bookmarkStart w:id="41" w:name="_Toc197235850"/>
      <w:bookmarkEnd w:id="41"/>
      <w:bookmarkStart w:id="42" w:name="_Toc196036943"/>
      <w:bookmarkEnd w:id="42"/>
      <w:bookmarkStart w:id="43" w:name="_Toc196130015"/>
      <w:bookmarkEnd w:id="43"/>
      <w:bookmarkStart w:id="44" w:name="_Toc199647677"/>
      <w:bookmarkEnd w:id="44"/>
      <w:bookmarkStart w:id="45" w:name="_Toc196130112"/>
      <w:bookmarkEnd w:id="45"/>
      <w:bookmarkStart w:id="46" w:name="_Toc41822705"/>
      <w:bookmarkEnd w:id="46"/>
      <w:bookmarkStart w:id="47" w:name="_Toc326909215"/>
      <w:r>
        <w:rPr>
          <w:rFonts w:hint="eastAsia" w:ascii="仿宋" w:hAnsi="仿宋" w:eastAsia="仿宋" w:cs="仿宋"/>
          <w:b/>
          <w:bCs/>
          <w:color w:val="auto"/>
          <w:kern w:val="24"/>
          <w:sz w:val="36"/>
          <w:szCs w:val="36"/>
          <w:highlight w:val="none"/>
        </w:rPr>
        <w:t>业绩一览表</w:t>
      </w:r>
      <w:bookmarkEnd w:id="47"/>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969"/>
        <w:gridCol w:w="1134"/>
        <w:gridCol w:w="1701"/>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Align w:val="center"/>
          </w:tcPr>
          <w:p>
            <w:pPr>
              <w:adjustRightInd w:val="0"/>
              <w:snapToGrid w:val="0"/>
              <w:spacing w:line="400" w:lineRule="atLeast"/>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序号</w:t>
            </w:r>
          </w:p>
        </w:tc>
        <w:tc>
          <w:tcPr>
            <w:tcW w:w="3969" w:type="dxa"/>
            <w:tcBorders>
              <w:top w:val="single" w:color="auto" w:sz="4" w:space="0"/>
              <w:left w:val="single" w:color="auto" w:sz="4" w:space="0"/>
              <w:bottom w:val="single" w:color="auto" w:sz="4" w:space="0"/>
              <w:right w:val="single" w:color="auto" w:sz="4" w:space="0"/>
            </w:tcBorders>
            <w:vAlign w:val="center"/>
          </w:tcPr>
          <w:p>
            <w:pPr>
              <w:spacing w:beforeLines="50" w:line="320" w:lineRule="exact"/>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委托人</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beforeLines="50" w:line="320" w:lineRule="exact"/>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主要服务内容</w:t>
            </w:r>
          </w:p>
        </w:tc>
        <w:tc>
          <w:tcPr>
            <w:tcW w:w="1701" w:type="dxa"/>
            <w:vAlign w:val="center"/>
          </w:tcPr>
          <w:p>
            <w:pPr>
              <w:adjustRightInd w:val="0"/>
              <w:snapToGrid w:val="0"/>
              <w:spacing w:line="400" w:lineRule="atLeast"/>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主要造价服务合同额</w:t>
            </w:r>
          </w:p>
          <w:p>
            <w:pPr>
              <w:adjustRightInd w:val="0"/>
              <w:snapToGrid w:val="0"/>
              <w:spacing w:line="400" w:lineRule="atLeast"/>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（万元）</w:t>
            </w:r>
          </w:p>
        </w:tc>
        <w:tc>
          <w:tcPr>
            <w:tcW w:w="1134" w:type="dxa"/>
            <w:vAlign w:val="center"/>
          </w:tcPr>
          <w:p>
            <w:pPr>
              <w:adjustRightInd w:val="0"/>
              <w:snapToGrid w:val="0"/>
              <w:spacing w:line="400" w:lineRule="atLeast"/>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签定时间</w:t>
            </w:r>
          </w:p>
        </w:tc>
        <w:tc>
          <w:tcPr>
            <w:tcW w:w="1134" w:type="dxa"/>
          </w:tcPr>
          <w:p>
            <w:pPr>
              <w:adjustRightInd w:val="0"/>
              <w:snapToGrid w:val="0"/>
              <w:spacing w:line="400" w:lineRule="atLeast"/>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是否为国有投资项目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w:t>
            </w:r>
          </w:p>
        </w:tc>
        <w:tc>
          <w:tcPr>
            <w:tcW w:w="3969"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134" w:type="dxa"/>
            <w:vAlign w:val="center"/>
          </w:tcPr>
          <w:p>
            <w:pPr>
              <w:jc w:val="center"/>
              <w:rPr>
                <w:rFonts w:hint="eastAsia" w:asciiTheme="minorEastAsia" w:hAnsiTheme="minorEastAsia" w:eastAsiaTheme="minorEastAsia" w:cstheme="minorEastAsia"/>
                <w:color w:val="auto"/>
                <w:sz w:val="28"/>
                <w:szCs w:val="28"/>
                <w:highlight w:val="none"/>
              </w:rPr>
            </w:pPr>
          </w:p>
        </w:tc>
        <w:tc>
          <w:tcPr>
            <w:tcW w:w="1701"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p>
        </w:tc>
        <w:tc>
          <w:tcPr>
            <w:tcW w:w="1134"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c>
          <w:tcPr>
            <w:tcW w:w="1134"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w:t>
            </w:r>
          </w:p>
        </w:tc>
        <w:tc>
          <w:tcPr>
            <w:tcW w:w="3969"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134" w:type="dxa"/>
            <w:vAlign w:val="center"/>
          </w:tcPr>
          <w:p>
            <w:pPr>
              <w:snapToGrid w:val="0"/>
              <w:spacing w:beforeLines="50" w:line="260" w:lineRule="exact"/>
              <w:jc w:val="center"/>
              <w:rPr>
                <w:rFonts w:hint="eastAsia" w:asciiTheme="minorEastAsia" w:hAnsiTheme="minorEastAsia" w:eastAsiaTheme="minorEastAsia" w:cstheme="minorEastAsia"/>
                <w:color w:val="auto"/>
                <w:sz w:val="28"/>
                <w:szCs w:val="28"/>
                <w:highlight w:val="none"/>
              </w:rPr>
            </w:pPr>
          </w:p>
        </w:tc>
        <w:tc>
          <w:tcPr>
            <w:tcW w:w="1701"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p>
        </w:tc>
        <w:tc>
          <w:tcPr>
            <w:tcW w:w="1134"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c>
          <w:tcPr>
            <w:tcW w:w="1134"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w:t>
            </w:r>
          </w:p>
        </w:tc>
        <w:tc>
          <w:tcPr>
            <w:tcW w:w="3969"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134" w:type="dxa"/>
            <w:vAlign w:val="center"/>
          </w:tcPr>
          <w:p>
            <w:pPr>
              <w:snapToGrid w:val="0"/>
              <w:spacing w:beforeLines="50" w:line="260" w:lineRule="exact"/>
              <w:jc w:val="center"/>
              <w:rPr>
                <w:rFonts w:hint="eastAsia" w:asciiTheme="minorEastAsia" w:hAnsiTheme="minorEastAsia" w:eastAsiaTheme="minorEastAsia" w:cstheme="minorEastAsia"/>
                <w:color w:val="auto"/>
                <w:sz w:val="28"/>
                <w:szCs w:val="28"/>
                <w:highlight w:val="none"/>
              </w:rPr>
            </w:pPr>
          </w:p>
        </w:tc>
        <w:tc>
          <w:tcPr>
            <w:tcW w:w="1701"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p>
        </w:tc>
        <w:tc>
          <w:tcPr>
            <w:tcW w:w="1134"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c>
          <w:tcPr>
            <w:tcW w:w="1134"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w:t>
            </w:r>
          </w:p>
        </w:tc>
        <w:tc>
          <w:tcPr>
            <w:tcW w:w="3969"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134" w:type="dxa"/>
            <w:vAlign w:val="center"/>
          </w:tcPr>
          <w:p>
            <w:pPr>
              <w:snapToGrid w:val="0"/>
              <w:spacing w:beforeLines="50" w:line="260" w:lineRule="exact"/>
              <w:jc w:val="center"/>
              <w:rPr>
                <w:rFonts w:hint="eastAsia" w:asciiTheme="minorEastAsia" w:hAnsiTheme="minorEastAsia" w:eastAsiaTheme="minorEastAsia" w:cstheme="minorEastAsia"/>
                <w:color w:val="auto"/>
                <w:sz w:val="28"/>
                <w:szCs w:val="28"/>
                <w:highlight w:val="none"/>
              </w:rPr>
            </w:pPr>
          </w:p>
        </w:tc>
        <w:tc>
          <w:tcPr>
            <w:tcW w:w="1701"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p>
        </w:tc>
        <w:tc>
          <w:tcPr>
            <w:tcW w:w="1134"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c>
          <w:tcPr>
            <w:tcW w:w="1134"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w:t>
            </w:r>
          </w:p>
        </w:tc>
        <w:tc>
          <w:tcPr>
            <w:tcW w:w="3969"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134" w:type="dxa"/>
            <w:vAlign w:val="center"/>
          </w:tcPr>
          <w:p>
            <w:pPr>
              <w:spacing w:beforeLines="50" w:line="260" w:lineRule="exact"/>
              <w:jc w:val="center"/>
              <w:rPr>
                <w:rFonts w:hint="eastAsia" w:asciiTheme="minorEastAsia" w:hAnsiTheme="minorEastAsia" w:eastAsiaTheme="minorEastAsia" w:cstheme="minorEastAsia"/>
                <w:color w:val="auto"/>
                <w:sz w:val="28"/>
                <w:szCs w:val="28"/>
                <w:highlight w:val="none"/>
              </w:rPr>
            </w:pPr>
          </w:p>
        </w:tc>
        <w:tc>
          <w:tcPr>
            <w:tcW w:w="1701"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p>
        </w:tc>
        <w:tc>
          <w:tcPr>
            <w:tcW w:w="1134"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c>
          <w:tcPr>
            <w:tcW w:w="1134"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6</w:t>
            </w:r>
          </w:p>
        </w:tc>
        <w:tc>
          <w:tcPr>
            <w:tcW w:w="3969"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134"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701" w:type="dxa"/>
          </w:tcPr>
          <w:p>
            <w:pPr>
              <w:adjustRightInd w:val="0"/>
              <w:snapToGrid w:val="0"/>
              <w:spacing w:line="400" w:lineRule="atLeast"/>
              <w:jc w:val="center"/>
              <w:rPr>
                <w:rFonts w:hint="eastAsia" w:asciiTheme="minorEastAsia" w:hAnsiTheme="minorEastAsia" w:eastAsiaTheme="minorEastAsia" w:cstheme="minorEastAsia"/>
                <w:color w:val="auto"/>
                <w:sz w:val="28"/>
                <w:szCs w:val="28"/>
                <w:highlight w:val="none"/>
              </w:rPr>
            </w:pPr>
          </w:p>
        </w:tc>
        <w:tc>
          <w:tcPr>
            <w:tcW w:w="1134"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c>
          <w:tcPr>
            <w:tcW w:w="1134" w:type="dxa"/>
          </w:tcPr>
          <w:p>
            <w:pPr>
              <w:adjustRightInd w:val="0"/>
              <w:snapToGrid w:val="0"/>
              <w:spacing w:line="400" w:lineRule="atLeast"/>
              <w:jc w:val="left"/>
              <w:rPr>
                <w:rFonts w:hint="eastAsia" w:asciiTheme="minorEastAsia" w:hAnsiTheme="minorEastAsia" w:eastAsia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beforeLines="50"/>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7</w:t>
            </w:r>
          </w:p>
        </w:tc>
        <w:tc>
          <w:tcPr>
            <w:tcW w:w="3969"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134" w:type="dxa"/>
            <w:vAlign w:val="center"/>
          </w:tcPr>
          <w:p>
            <w:pPr>
              <w:spacing w:beforeLines="50"/>
              <w:ind w:firstLine="140" w:firstLineChars="50"/>
              <w:jc w:val="center"/>
              <w:rPr>
                <w:rFonts w:hint="eastAsia" w:asciiTheme="minorEastAsia" w:hAnsiTheme="minorEastAsia" w:eastAsiaTheme="minorEastAsia" w:cstheme="minorEastAsia"/>
                <w:color w:val="auto"/>
                <w:sz w:val="28"/>
                <w:szCs w:val="28"/>
                <w:highlight w:val="none"/>
              </w:rPr>
            </w:pPr>
          </w:p>
        </w:tc>
        <w:tc>
          <w:tcPr>
            <w:tcW w:w="1701" w:type="dxa"/>
          </w:tcPr>
          <w:p>
            <w:pPr>
              <w:spacing w:beforeLines="50"/>
              <w:jc w:val="center"/>
              <w:rPr>
                <w:rFonts w:hint="eastAsia" w:asciiTheme="minorEastAsia" w:hAnsiTheme="minorEastAsia" w:eastAsiaTheme="minorEastAsia" w:cstheme="minorEastAsia"/>
                <w:color w:val="auto"/>
                <w:sz w:val="28"/>
                <w:szCs w:val="28"/>
                <w:highlight w:val="none"/>
              </w:rPr>
            </w:pPr>
          </w:p>
        </w:tc>
        <w:tc>
          <w:tcPr>
            <w:tcW w:w="1134" w:type="dxa"/>
          </w:tcPr>
          <w:p>
            <w:pPr>
              <w:spacing w:beforeLines="50"/>
              <w:jc w:val="left"/>
              <w:rPr>
                <w:rFonts w:hint="eastAsia" w:asciiTheme="minorEastAsia" w:hAnsiTheme="minorEastAsia" w:eastAsiaTheme="minorEastAsia" w:cstheme="minorEastAsia"/>
                <w:color w:val="auto"/>
                <w:sz w:val="28"/>
                <w:szCs w:val="28"/>
                <w:highlight w:val="none"/>
              </w:rPr>
            </w:pPr>
          </w:p>
        </w:tc>
        <w:tc>
          <w:tcPr>
            <w:tcW w:w="1134" w:type="dxa"/>
          </w:tcPr>
          <w:p>
            <w:pPr>
              <w:spacing w:beforeLines="50"/>
              <w:jc w:val="left"/>
              <w:rPr>
                <w:rFonts w:hint="eastAsia" w:asciiTheme="minorEastAsia" w:hAnsiTheme="minorEastAsia" w:eastAsia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beforeLines="50"/>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8</w:t>
            </w:r>
          </w:p>
        </w:tc>
        <w:tc>
          <w:tcPr>
            <w:tcW w:w="3969"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134" w:type="dxa"/>
            <w:vAlign w:val="center"/>
          </w:tcPr>
          <w:p>
            <w:pPr>
              <w:spacing w:beforeLines="50"/>
              <w:ind w:firstLine="140" w:firstLineChars="50"/>
              <w:jc w:val="center"/>
              <w:rPr>
                <w:rFonts w:hint="eastAsia" w:asciiTheme="minorEastAsia" w:hAnsiTheme="minorEastAsia" w:eastAsiaTheme="minorEastAsia" w:cstheme="minorEastAsia"/>
                <w:color w:val="auto"/>
                <w:sz w:val="28"/>
                <w:szCs w:val="28"/>
                <w:highlight w:val="none"/>
              </w:rPr>
            </w:pPr>
          </w:p>
        </w:tc>
        <w:tc>
          <w:tcPr>
            <w:tcW w:w="1701" w:type="dxa"/>
          </w:tcPr>
          <w:p>
            <w:pPr>
              <w:spacing w:beforeLines="50"/>
              <w:jc w:val="center"/>
              <w:rPr>
                <w:rFonts w:hint="eastAsia" w:asciiTheme="minorEastAsia" w:hAnsiTheme="minorEastAsia" w:eastAsiaTheme="minorEastAsia" w:cstheme="minorEastAsia"/>
                <w:color w:val="auto"/>
                <w:sz w:val="28"/>
                <w:szCs w:val="28"/>
                <w:highlight w:val="none"/>
              </w:rPr>
            </w:pPr>
          </w:p>
        </w:tc>
        <w:tc>
          <w:tcPr>
            <w:tcW w:w="1134" w:type="dxa"/>
          </w:tcPr>
          <w:p>
            <w:pPr>
              <w:spacing w:beforeLines="50"/>
              <w:jc w:val="left"/>
              <w:rPr>
                <w:rFonts w:hint="eastAsia" w:asciiTheme="minorEastAsia" w:hAnsiTheme="minorEastAsia" w:eastAsiaTheme="minorEastAsia" w:cstheme="minorEastAsia"/>
                <w:color w:val="auto"/>
                <w:sz w:val="28"/>
                <w:szCs w:val="28"/>
                <w:highlight w:val="none"/>
              </w:rPr>
            </w:pPr>
          </w:p>
        </w:tc>
        <w:tc>
          <w:tcPr>
            <w:tcW w:w="1134" w:type="dxa"/>
          </w:tcPr>
          <w:p>
            <w:pPr>
              <w:spacing w:beforeLines="50"/>
              <w:jc w:val="left"/>
              <w:rPr>
                <w:rFonts w:hint="eastAsia" w:asciiTheme="minorEastAsia" w:hAnsiTheme="minorEastAsia" w:eastAsia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68" w:type="dxa"/>
          </w:tcPr>
          <w:p>
            <w:pPr>
              <w:spacing w:beforeLines="50"/>
              <w:jc w:val="center"/>
              <w:rPr>
                <w:rFonts w:hint="eastAsia" w:asciiTheme="minorEastAsia" w:hAnsiTheme="minorEastAsia" w:eastAsiaTheme="minorEastAsia" w:cstheme="minorEastAsia"/>
                <w:color w:val="auto"/>
                <w:sz w:val="28"/>
                <w:szCs w:val="28"/>
                <w:highlight w:val="none"/>
              </w:rPr>
            </w:pPr>
          </w:p>
        </w:tc>
        <w:tc>
          <w:tcPr>
            <w:tcW w:w="3969"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134" w:type="dxa"/>
            <w:vAlign w:val="center"/>
          </w:tcPr>
          <w:p>
            <w:pPr>
              <w:spacing w:beforeLines="50"/>
              <w:jc w:val="center"/>
              <w:rPr>
                <w:rFonts w:hint="eastAsia" w:asciiTheme="minorEastAsia" w:hAnsiTheme="minorEastAsia" w:eastAsiaTheme="minorEastAsia" w:cstheme="minorEastAsia"/>
                <w:color w:val="auto"/>
                <w:sz w:val="28"/>
                <w:szCs w:val="28"/>
                <w:highlight w:val="none"/>
              </w:rPr>
            </w:pPr>
          </w:p>
        </w:tc>
        <w:tc>
          <w:tcPr>
            <w:tcW w:w="1701" w:type="dxa"/>
          </w:tcPr>
          <w:p>
            <w:pPr>
              <w:spacing w:beforeLines="50"/>
              <w:jc w:val="center"/>
              <w:rPr>
                <w:rFonts w:hint="eastAsia" w:asciiTheme="minorEastAsia" w:hAnsiTheme="minorEastAsia" w:eastAsiaTheme="minorEastAsia" w:cstheme="minorEastAsia"/>
                <w:color w:val="auto"/>
                <w:sz w:val="28"/>
                <w:szCs w:val="28"/>
                <w:highlight w:val="none"/>
              </w:rPr>
            </w:pPr>
          </w:p>
        </w:tc>
        <w:tc>
          <w:tcPr>
            <w:tcW w:w="1134" w:type="dxa"/>
          </w:tcPr>
          <w:p>
            <w:pPr>
              <w:spacing w:beforeLines="50"/>
              <w:jc w:val="left"/>
              <w:rPr>
                <w:rFonts w:hint="eastAsia" w:asciiTheme="minorEastAsia" w:hAnsiTheme="minorEastAsia" w:eastAsiaTheme="minorEastAsia" w:cstheme="minorEastAsia"/>
                <w:color w:val="auto"/>
                <w:sz w:val="28"/>
                <w:szCs w:val="28"/>
                <w:highlight w:val="none"/>
              </w:rPr>
            </w:pPr>
          </w:p>
        </w:tc>
        <w:tc>
          <w:tcPr>
            <w:tcW w:w="1134" w:type="dxa"/>
          </w:tcPr>
          <w:p>
            <w:pPr>
              <w:spacing w:beforeLines="50"/>
              <w:jc w:val="left"/>
              <w:rPr>
                <w:rFonts w:hint="eastAsia" w:asciiTheme="minorEastAsia" w:hAnsiTheme="minorEastAsia" w:eastAsiaTheme="minorEastAsia" w:cstheme="minorEastAsia"/>
                <w:color w:val="auto"/>
                <w:sz w:val="28"/>
                <w:szCs w:val="28"/>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注：1、投标人提供的同类工程业绩证明资料附于该表后面。业绩证明资料须提供合同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相关证明资料必须能反映出评标所需指标，否则相应子项不予计分；时间以合同文件签订时间为准。</w:t>
      </w:r>
    </w:p>
    <w:p>
      <w:pPr>
        <w:keepNext w:val="0"/>
        <w:keepLines w:val="0"/>
        <w:pageBreakBefore w:val="0"/>
        <w:widowControl w:val="0"/>
        <w:kinsoku/>
        <w:wordWrap/>
        <w:overflowPunct/>
        <w:topLinePunct w:val="0"/>
        <w:autoSpaceDE/>
        <w:autoSpaceDN/>
        <w:bidi w:val="0"/>
        <w:adjustRightInd/>
        <w:snapToGrid/>
        <w:spacing w:line="360" w:lineRule="auto"/>
        <w:ind w:firstLine="779" w:firstLineChars="371"/>
        <w:textAlignment w:val="auto"/>
        <w:outlineLvl w:val="9"/>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10209" w:type="dxa"/>
        <w:jc w:val="center"/>
        <w:tblLayout w:type="fixed"/>
        <w:tblCellMar>
          <w:top w:w="0" w:type="dxa"/>
          <w:left w:w="108" w:type="dxa"/>
          <w:bottom w:w="0" w:type="dxa"/>
          <w:right w:w="108" w:type="dxa"/>
        </w:tblCellMar>
      </w:tblPr>
      <w:tblGrid>
        <w:gridCol w:w="552"/>
        <w:gridCol w:w="915"/>
        <w:gridCol w:w="887"/>
        <w:gridCol w:w="887"/>
        <w:gridCol w:w="1066"/>
        <w:gridCol w:w="886"/>
        <w:gridCol w:w="884"/>
        <w:gridCol w:w="1250"/>
        <w:gridCol w:w="715"/>
        <w:gridCol w:w="2167"/>
      </w:tblGrid>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经验年限</w:t>
            </w: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注：1、“拟承担工作”栏，应注明主要</w:t>
      </w:r>
      <w:r>
        <w:rPr>
          <w:rFonts w:hint="eastAsia" w:ascii="仿宋" w:hAnsi="仿宋" w:eastAsia="仿宋" w:cs="仿宋"/>
          <w:color w:val="auto"/>
          <w:szCs w:val="21"/>
          <w:highlight w:val="none"/>
          <w:lang w:val="en-US" w:eastAsia="zh-CN"/>
        </w:rPr>
        <w:t>造价</w:t>
      </w:r>
      <w:r>
        <w:rPr>
          <w:rFonts w:hint="eastAsia" w:ascii="仿宋" w:hAnsi="仿宋" w:eastAsia="仿宋" w:cs="仿宋"/>
          <w:color w:val="auto"/>
          <w:szCs w:val="21"/>
          <w:highlight w:val="none"/>
        </w:rPr>
        <w:t>咨询人员（须注明项目负责人</w:t>
      </w:r>
      <w:r>
        <w:rPr>
          <w:rFonts w:hint="eastAsia" w:ascii="仿宋" w:hAnsi="仿宋" w:eastAsia="仿宋" w:cs="仿宋"/>
          <w:color w:val="auto"/>
          <w:szCs w:val="21"/>
          <w:highlight w:val="none"/>
          <w:lang w:eastAsia="zh-CN"/>
        </w:rPr>
        <w:t>、</w:t>
      </w:r>
      <w:r>
        <w:rPr>
          <w:rFonts w:hint="eastAsia" w:ascii="仿宋" w:hAnsi="仿宋" w:eastAsia="仿宋" w:cs="仿宋"/>
          <w:color w:val="auto"/>
          <w:sz w:val="21"/>
          <w:szCs w:val="21"/>
          <w:highlight w:val="none"/>
          <w:lang w:val="en-US" w:eastAsia="zh-CN"/>
        </w:rPr>
        <w:t>审核和复核人</w:t>
      </w:r>
      <w:r>
        <w:rPr>
          <w:rFonts w:hint="eastAsia" w:ascii="仿宋" w:hAnsi="仿宋" w:eastAsia="仿宋" w:cs="仿宋"/>
          <w:color w:val="auto"/>
          <w:szCs w:val="21"/>
          <w:highlight w:val="none"/>
          <w:lang w:eastAsia="zh-CN"/>
        </w:rPr>
        <w:t>、</w:t>
      </w:r>
      <w:r>
        <w:rPr>
          <w:rFonts w:hint="eastAsia" w:ascii="仿宋" w:hAnsi="仿宋" w:eastAsia="仿宋" w:cs="仿宋"/>
          <w:color w:val="auto"/>
          <w:sz w:val="21"/>
          <w:szCs w:val="21"/>
          <w:highlight w:val="none"/>
          <w:lang w:val="en-US" w:eastAsia="zh-CN"/>
        </w:rPr>
        <w:t>编制人员和辅助人员</w:t>
      </w:r>
      <w:r>
        <w:rPr>
          <w:rFonts w:hint="eastAsia" w:ascii="仿宋" w:hAnsi="仿宋" w:eastAsia="仿宋" w:cs="仿宋"/>
          <w:color w:val="auto"/>
          <w:szCs w:val="21"/>
          <w:highlight w:val="none"/>
        </w:rPr>
        <w:t>）等。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2、项目负责人应按格式八表格及备注的规定附相关证明文件。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0"/>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Borders>
            <w:top w:val="none" w:sz="0" w:space="0"/>
            <w:left w:val="none" w:sz="0" w:space="0"/>
            <w:bottom w:val="none" w:sz="0" w:space="0"/>
            <w:right w:val="none" w:sz="0" w:space="0"/>
          </w:pgBorders>
          <w:pgNumType w:start="1"/>
          <w:cols w:space="425" w:num="1"/>
          <w:docGrid w:type="lines" w:linePitch="285"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ascii="宋体" w:hAnsi="宋体" w:eastAsia="宋体" w:cs="宋体"/>
          <w:color w:val="auto"/>
          <w:sz w:val="24"/>
          <w:highlight w:val="none"/>
        </w:rPr>
      </w:pPr>
      <w:r>
        <w:rPr>
          <w:rFonts w:hint="eastAsia" w:ascii="仿宋" w:hAnsi="仿宋" w:eastAsia="仿宋" w:cs="宋体"/>
          <w:b/>
          <w:color w:val="auto"/>
          <w:sz w:val="36"/>
          <w:szCs w:val="36"/>
          <w:highlight w:val="none"/>
        </w:rPr>
        <w:t>报价表</w:t>
      </w:r>
    </w:p>
    <w:p>
      <w:pPr>
        <w:jc w:val="right"/>
        <w:rPr>
          <w:rFonts w:hint="eastAsia" w:ascii="仿宋" w:hAnsi="仿宋" w:eastAsia="仿宋" w:cs="仿宋"/>
          <w:color w:val="auto"/>
          <w:sz w:val="28"/>
          <w:szCs w:val="28"/>
          <w:highlight w:val="none"/>
        </w:rPr>
      </w:pPr>
      <w:r>
        <w:rPr>
          <w:rFonts w:hint="eastAsia" w:ascii="仿宋" w:hAnsi="仿宋" w:eastAsia="仿宋" w:cs="仿宋"/>
          <w:color w:val="auto"/>
          <w:szCs w:val="21"/>
          <w:highlight w:val="none"/>
        </w:rPr>
        <w:t xml:space="preserve"> </w:t>
      </w:r>
    </w:p>
    <w:tbl>
      <w:tblPr>
        <w:tblStyle w:val="13"/>
        <w:tblW w:w="9047" w:type="dxa"/>
        <w:tblInd w:w="0" w:type="dxa"/>
        <w:tblLayout w:type="fixed"/>
        <w:tblCellMar>
          <w:top w:w="0" w:type="dxa"/>
          <w:left w:w="30" w:type="dxa"/>
          <w:bottom w:w="0" w:type="dxa"/>
          <w:right w:w="30" w:type="dxa"/>
        </w:tblCellMar>
      </w:tblPr>
      <w:tblGrid>
        <w:gridCol w:w="5467"/>
        <w:gridCol w:w="3580"/>
      </w:tblGrid>
      <w:tr>
        <w:tblPrEx>
          <w:tblCellMar>
            <w:top w:w="0" w:type="dxa"/>
            <w:left w:w="30" w:type="dxa"/>
            <w:bottom w:w="0" w:type="dxa"/>
            <w:right w:w="30" w:type="dxa"/>
          </w:tblCellMar>
        </w:tblPrEx>
        <w:trPr>
          <w:cantSplit/>
          <w:trHeight w:val="454" w:hRule="atLeast"/>
        </w:trPr>
        <w:tc>
          <w:tcPr>
            <w:tcW w:w="5467" w:type="dxa"/>
            <w:tcBorders>
              <w:top w:val="single" w:color="auto" w:sz="4" w:space="0"/>
              <w:left w:val="single" w:color="auto" w:sz="4" w:space="0"/>
              <w:bottom w:val="single" w:color="auto" w:sz="4" w:space="0"/>
              <w:right w:val="single" w:color="auto" w:sz="6" w:space="0"/>
            </w:tcBorders>
            <w:vAlign w:val="center"/>
          </w:tcPr>
          <w:p>
            <w:pPr>
              <w:pStyle w:val="31"/>
              <w:autoSpaceDE w:val="0"/>
              <w:autoSpaceDN w:val="0"/>
              <w:adjustRightInd w:val="0"/>
              <w:spacing w:line="276" w:lineRule="auto"/>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分项</w:t>
            </w:r>
          </w:p>
        </w:tc>
        <w:tc>
          <w:tcPr>
            <w:tcW w:w="3580" w:type="dxa"/>
            <w:tcBorders>
              <w:top w:val="single" w:color="auto" w:sz="4" w:space="0"/>
              <w:left w:val="single" w:color="auto" w:sz="6" w:space="0"/>
              <w:bottom w:val="single" w:color="auto" w:sz="4" w:space="0"/>
              <w:right w:val="single" w:color="auto" w:sz="4" w:space="0"/>
            </w:tcBorders>
            <w:vAlign w:val="center"/>
          </w:tcPr>
          <w:p>
            <w:pPr>
              <w:pStyle w:val="31"/>
              <w:autoSpaceDE w:val="0"/>
              <w:autoSpaceDN w:val="0"/>
              <w:adjustRightInd w:val="0"/>
              <w:spacing w:line="276" w:lineRule="auto"/>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分项内容</w:t>
            </w:r>
          </w:p>
        </w:tc>
      </w:tr>
      <w:tr>
        <w:tblPrEx>
          <w:tblCellMar>
            <w:top w:w="0" w:type="dxa"/>
            <w:left w:w="30" w:type="dxa"/>
            <w:bottom w:w="0" w:type="dxa"/>
            <w:right w:w="30" w:type="dxa"/>
          </w:tblCellMar>
        </w:tblPrEx>
        <w:trPr>
          <w:cantSplit/>
          <w:trHeight w:val="454" w:hRule="atLeast"/>
        </w:trPr>
        <w:tc>
          <w:tcPr>
            <w:tcW w:w="5467" w:type="dxa"/>
            <w:tcBorders>
              <w:top w:val="single" w:color="auto" w:sz="4" w:space="0"/>
              <w:left w:val="single" w:color="auto" w:sz="4" w:space="0"/>
              <w:bottom w:val="single" w:color="auto" w:sz="6" w:space="0"/>
              <w:right w:val="single" w:color="auto" w:sz="6" w:space="0"/>
            </w:tcBorders>
            <w:vAlign w:val="center"/>
          </w:tcPr>
          <w:p>
            <w:pPr>
              <w:pStyle w:val="31"/>
              <w:autoSpaceDE w:val="0"/>
              <w:autoSpaceDN w:val="0"/>
              <w:adjustRightInd w:val="0"/>
              <w:spacing w:line="276" w:lineRule="auto"/>
              <w:jc w:val="center"/>
              <w:rPr>
                <w:rFonts w:hint="eastAsia" w:ascii="仿宋_GB2312" w:hAnsi="宋体" w:eastAsia="仿宋_GB2312"/>
                <w:color w:val="auto"/>
                <w:sz w:val="28"/>
                <w:szCs w:val="28"/>
                <w:highlight w:val="none"/>
                <w:lang w:eastAsia="zh-CN"/>
              </w:rPr>
            </w:pPr>
            <w:r>
              <w:rPr>
                <w:rFonts w:hint="eastAsia" w:ascii="仿宋_GB2312" w:hAnsi="宋体" w:eastAsia="仿宋_GB2312"/>
                <w:color w:val="auto"/>
                <w:sz w:val="28"/>
                <w:szCs w:val="28"/>
                <w:highlight w:val="none"/>
              </w:rPr>
              <w:t>依据广东省建设工程造价咨询服务收费标准：粤价函【2011】</w:t>
            </w:r>
            <w:r>
              <w:rPr>
                <w:rFonts w:hint="eastAsia" w:ascii="仿宋_GB2312" w:hAnsi="宋体" w:eastAsia="仿宋_GB2312"/>
                <w:color w:val="auto"/>
                <w:sz w:val="28"/>
                <w:szCs w:val="28"/>
                <w:highlight w:val="none"/>
                <w:lang w:eastAsia="zh-CN"/>
              </w:rPr>
              <w:t>742</w:t>
            </w:r>
            <w:r>
              <w:rPr>
                <w:rFonts w:hint="eastAsia" w:ascii="仿宋_GB2312" w:hAnsi="宋体" w:eastAsia="仿宋_GB2312"/>
                <w:color w:val="auto"/>
                <w:sz w:val="28"/>
                <w:szCs w:val="28"/>
                <w:highlight w:val="none"/>
              </w:rPr>
              <w:t>号文，投标下浮率</w:t>
            </w:r>
            <w:r>
              <w:rPr>
                <w:rFonts w:hint="eastAsia" w:ascii="仿宋_GB2312" w:hAnsi="宋体" w:eastAsia="仿宋_GB2312"/>
                <w:color w:val="auto"/>
                <w:sz w:val="28"/>
                <w:szCs w:val="28"/>
                <w:highlight w:val="none"/>
                <w:lang w:eastAsia="zh-CN"/>
              </w:rPr>
              <w:t>为</w:t>
            </w:r>
          </w:p>
        </w:tc>
        <w:tc>
          <w:tcPr>
            <w:tcW w:w="3580" w:type="dxa"/>
            <w:tcBorders>
              <w:top w:val="single" w:color="auto" w:sz="4" w:space="0"/>
              <w:left w:val="single" w:color="auto" w:sz="6" w:space="0"/>
              <w:bottom w:val="single" w:color="auto" w:sz="6" w:space="0"/>
              <w:right w:val="single" w:color="auto" w:sz="4" w:space="0"/>
            </w:tcBorders>
            <w:vAlign w:val="center"/>
          </w:tcPr>
          <w:p>
            <w:pPr>
              <w:pStyle w:val="31"/>
              <w:autoSpaceDE w:val="0"/>
              <w:autoSpaceDN w:val="0"/>
              <w:adjustRightInd w:val="0"/>
              <w:spacing w:line="276" w:lineRule="auto"/>
              <w:jc w:val="righ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w:t>
            </w:r>
            <w:r>
              <w:rPr>
                <w:rFonts w:ascii="仿宋_GB2312" w:hAnsi="宋体" w:eastAsia="仿宋_GB2312"/>
                <w:color w:val="auto"/>
                <w:sz w:val="28"/>
                <w:szCs w:val="28"/>
                <w:highlight w:val="none"/>
              </w:rPr>
              <w:t xml:space="preserve"> </w:t>
            </w:r>
          </w:p>
        </w:tc>
      </w:tr>
    </w:tbl>
    <w:p>
      <w:pPr>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注：投标人应根据企业自身能力报出</w:t>
      </w:r>
      <w:r>
        <w:rPr>
          <w:rFonts w:hint="eastAsia" w:ascii="仿宋" w:hAnsi="仿宋" w:eastAsia="仿宋" w:cs="仿宋"/>
          <w:color w:val="auto"/>
          <w:sz w:val="28"/>
          <w:szCs w:val="28"/>
          <w:highlight w:val="none"/>
          <w:lang w:eastAsia="zh-CN"/>
        </w:rPr>
        <w:t>符合</w:t>
      </w:r>
      <w:r>
        <w:rPr>
          <w:rFonts w:hint="eastAsia" w:ascii="仿宋" w:hAnsi="仿宋" w:eastAsia="仿宋" w:cs="仿宋"/>
          <w:color w:val="auto"/>
          <w:kern w:val="2"/>
          <w:sz w:val="28"/>
          <w:szCs w:val="28"/>
          <w:highlight w:val="none"/>
        </w:rPr>
        <w:t>《关于调整我省建设工程造价咨询服务收费的复函》</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rPr>
        <w:t>粤价函【2011】</w:t>
      </w:r>
      <w:r>
        <w:rPr>
          <w:rFonts w:hint="eastAsia" w:ascii="仿宋" w:hAnsi="仿宋" w:eastAsia="仿宋" w:cs="仿宋"/>
          <w:color w:val="auto"/>
          <w:kern w:val="2"/>
          <w:sz w:val="28"/>
          <w:szCs w:val="28"/>
          <w:highlight w:val="none"/>
          <w:lang w:eastAsia="zh-CN"/>
        </w:rPr>
        <w:t>742</w:t>
      </w:r>
      <w:r>
        <w:rPr>
          <w:rFonts w:hint="eastAsia" w:ascii="仿宋" w:hAnsi="仿宋" w:eastAsia="仿宋" w:cs="仿宋"/>
          <w:color w:val="auto"/>
          <w:kern w:val="2"/>
          <w:sz w:val="28"/>
          <w:szCs w:val="28"/>
          <w:highlight w:val="none"/>
        </w:rPr>
        <w:t>号</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sz w:val="28"/>
          <w:szCs w:val="28"/>
          <w:highlight w:val="none"/>
          <w:lang w:eastAsia="zh-CN"/>
        </w:rPr>
        <w:t>为</w:t>
      </w:r>
      <w:r>
        <w:rPr>
          <w:rFonts w:hint="eastAsia" w:ascii="仿宋" w:hAnsi="仿宋" w:eastAsia="仿宋" w:cs="仿宋"/>
          <w:color w:val="auto"/>
          <w:sz w:val="28"/>
          <w:szCs w:val="28"/>
          <w:highlight w:val="none"/>
        </w:rPr>
        <w:t>计费标准的下浮率</w:t>
      </w:r>
      <w:r>
        <w:rPr>
          <w:rFonts w:hint="eastAsia" w:ascii="仿宋" w:hAnsi="仿宋" w:eastAsia="仿宋" w:cs="仿宋"/>
          <w:color w:val="auto"/>
          <w:kern w:val="2"/>
          <w:sz w:val="28"/>
          <w:szCs w:val="28"/>
          <w:highlight w:val="none"/>
        </w:rPr>
        <w:t>（小数点后保留二位小数）</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下浮率不得为区间值（如：1%～3%）且控制在</w:t>
      </w:r>
      <w:r>
        <w:rPr>
          <w:rFonts w:hint="eastAsia" w:ascii="仿宋" w:hAnsi="仿宋" w:eastAsia="仿宋" w:cs="仿宋"/>
          <w:color w:val="auto"/>
          <w:sz w:val="28"/>
          <w:szCs w:val="28"/>
          <w:highlight w:val="none"/>
          <w:lang w:val="en-US" w:eastAsia="zh-CN"/>
        </w:rPr>
        <w:t>10%&lt;投标下浮率≤40%</w:t>
      </w:r>
      <w:r>
        <w:rPr>
          <w:rFonts w:hint="eastAsia" w:ascii="仿宋" w:hAnsi="仿宋" w:eastAsia="仿宋" w:cs="仿宋"/>
          <w:color w:val="auto"/>
          <w:sz w:val="28"/>
          <w:szCs w:val="28"/>
          <w:highlight w:val="none"/>
        </w:rPr>
        <w:t>。</w:t>
      </w:r>
    </w:p>
    <w:p>
      <w:pPr>
        <w:rPr>
          <w:rFonts w:ascii="宋体" w:hAnsi="宋体" w:eastAsia="宋体" w:cs="宋体"/>
          <w:color w:val="auto"/>
          <w:sz w:val="24"/>
          <w:highlight w:val="none"/>
        </w:rPr>
      </w:pPr>
      <w:r>
        <w:rPr>
          <w:rFonts w:ascii="宋体" w:hAnsi="宋体" w:eastAsia="宋体" w:cs="宋体"/>
          <w:color w:val="auto"/>
          <w:sz w:val="24"/>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十</w:t>
      </w:r>
      <w:r>
        <w:rPr>
          <w:rFonts w:hint="eastAsia" w:ascii="宋体" w:hAnsi="宋体" w:eastAsia="宋体" w:cs="黑体"/>
          <w:b/>
          <w:color w:val="auto"/>
          <w:spacing w:val="4"/>
          <w:kern w:val="0"/>
          <w:sz w:val="28"/>
          <w:szCs w:val="28"/>
          <w:highlight w:val="none"/>
        </w:rPr>
        <w:t>：</w:t>
      </w:r>
    </w:p>
    <w:p>
      <w:pPr>
        <w:spacing w:line="360" w:lineRule="auto"/>
        <w:rPr>
          <w:rFonts w:ascii="宋体" w:hAnsi="宋体" w:eastAsia="宋体" w:cs="宋体"/>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eastAsia" w:ascii="仿宋" w:hAnsi="仿宋" w:eastAsia="仿宋" w:cs="宋体"/>
          <w:b/>
          <w:color w:val="auto"/>
          <w:sz w:val="36"/>
          <w:szCs w:val="36"/>
          <w:highlight w:val="none"/>
        </w:rPr>
      </w:pPr>
      <w:r>
        <w:rPr>
          <w:rFonts w:hint="eastAsia" w:ascii="仿宋" w:hAnsi="仿宋" w:eastAsia="仿宋" w:cs="宋体"/>
          <w:b/>
          <w:color w:val="auto"/>
          <w:sz w:val="36"/>
          <w:szCs w:val="36"/>
          <w:highlight w:val="none"/>
        </w:rPr>
        <w:t>实质性响应条款一览表</w:t>
      </w:r>
    </w:p>
    <w:tbl>
      <w:tblPr>
        <w:tblStyle w:val="13"/>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4760"/>
        <w:gridCol w:w="242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5" w:type="dxa"/>
            <w:tcBorders>
              <w:top w:val="single" w:color="auto" w:sz="4" w:space="0"/>
              <w:left w:val="single" w:color="auto" w:sz="4" w:space="0"/>
              <w:bottom w:val="single" w:color="auto" w:sz="4" w:space="0"/>
              <w:right w:val="single" w:color="auto" w:sz="4" w:space="0"/>
            </w:tcBorders>
          </w:tcPr>
          <w:p>
            <w:pPr>
              <w:pStyle w:val="31"/>
              <w:autoSpaceDE w:val="0"/>
              <w:autoSpaceDN w:val="0"/>
              <w:adjustRightInd w:val="0"/>
              <w:spacing w:line="276" w:lineRule="auto"/>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序号</w:t>
            </w:r>
          </w:p>
        </w:tc>
        <w:tc>
          <w:tcPr>
            <w:tcW w:w="4760" w:type="dxa"/>
            <w:tcBorders>
              <w:top w:val="single" w:color="auto" w:sz="4" w:space="0"/>
              <w:left w:val="single" w:color="auto" w:sz="4" w:space="0"/>
              <w:bottom w:val="single" w:color="auto" w:sz="4" w:space="0"/>
              <w:right w:val="single" w:color="auto" w:sz="4" w:space="0"/>
            </w:tcBorders>
          </w:tcPr>
          <w:p>
            <w:pPr>
              <w:pStyle w:val="31"/>
              <w:autoSpaceDE w:val="0"/>
              <w:autoSpaceDN w:val="0"/>
              <w:adjustRightInd w:val="0"/>
              <w:spacing w:line="276" w:lineRule="auto"/>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实质性响应条款</w:t>
            </w:r>
          </w:p>
        </w:tc>
        <w:tc>
          <w:tcPr>
            <w:tcW w:w="2422" w:type="dxa"/>
            <w:tcBorders>
              <w:top w:val="single" w:color="auto" w:sz="4" w:space="0"/>
              <w:left w:val="single" w:color="auto" w:sz="4" w:space="0"/>
              <w:bottom w:val="single" w:color="auto" w:sz="4" w:space="0"/>
              <w:right w:val="single" w:color="auto" w:sz="4" w:space="0"/>
            </w:tcBorders>
          </w:tcPr>
          <w:p>
            <w:pPr>
              <w:pStyle w:val="31"/>
              <w:autoSpaceDE w:val="0"/>
              <w:autoSpaceDN w:val="0"/>
              <w:adjustRightInd w:val="0"/>
              <w:spacing w:line="276" w:lineRule="auto"/>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投标人响应情况</w:t>
            </w:r>
          </w:p>
        </w:tc>
        <w:tc>
          <w:tcPr>
            <w:tcW w:w="1559" w:type="dxa"/>
            <w:tcBorders>
              <w:top w:val="single" w:color="auto" w:sz="4" w:space="0"/>
              <w:left w:val="single" w:color="auto" w:sz="4" w:space="0"/>
              <w:bottom w:val="single" w:color="auto" w:sz="4" w:space="0"/>
              <w:right w:val="single" w:color="auto" w:sz="4" w:space="0"/>
            </w:tcBorders>
          </w:tcPr>
          <w:p>
            <w:pPr>
              <w:pStyle w:val="31"/>
              <w:autoSpaceDE w:val="0"/>
              <w:autoSpaceDN w:val="0"/>
              <w:adjustRightInd w:val="0"/>
              <w:spacing w:line="276" w:lineRule="auto"/>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tcBorders>
              <w:top w:val="single" w:color="auto" w:sz="4" w:space="0"/>
              <w:left w:val="single" w:color="auto" w:sz="4" w:space="0"/>
              <w:bottom w:val="single" w:color="auto" w:sz="4" w:space="0"/>
              <w:right w:val="single" w:color="auto" w:sz="4" w:space="0"/>
            </w:tcBorders>
          </w:tcPr>
          <w:p>
            <w:pPr>
              <w:pStyle w:val="31"/>
              <w:autoSpaceDE w:val="0"/>
              <w:autoSpaceDN w:val="0"/>
              <w:adjustRightInd w:val="0"/>
              <w:spacing w:line="276" w:lineRule="auto"/>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w:t>
            </w:r>
          </w:p>
        </w:tc>
        <w:tc>
          <w:tcPr>
            <w:tcW w:w="4760" w:type="dxa"/>
            <w:tcBorders>
              <w:top w:val="single" w:color="auto" w:sz="4" w:space="0"/>
              <w:left w:val="single" w:color="auto" w:sz="4" w:space="0"/>
              <w:bottom w:val="single" w:color="auto" w:sz="4" w:space="0"/>
              <w:right w:val="single" w:color="auto" w:sz="4" w:space="0"/>
            </w:tcBorders>
          </w:tcPr>
          <w:p>
            <w:pPr>
              <w:pStyle w:val="31"/>
              <w:autoSpaceDE w:val="0"/>
              <w:autoSpaceDN w:val="0"/>
              <w:adjustRightInd w:val="0"/>
              <w:spacing w:line="276" w:lineRule="auto"/>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★投标人应根据企业自身能力报出</w:t>
            </w:r>
            <w:r>
              <w:rPr>
                <w:rFonts w:hint="eastAsia" w:ascii="仿宋" w:hAnsi="仿宋" w:eastAsia="仿宋" w:cs="仿宋"/>
                <w:color w:val="auto"/>
                <w:sz w:val="28"/>
                <w:szCs w:val="28"/>
                <w:highlight w:val="none"/>
                <w:lang w:eastAsia="zh-CN"/>
              </w:rPr>
              <w:t>符合</w:t>
            </w:r>
            <w:r>
              <w:rPr>
                <w:rFonts w:hint="eastAsia" w:ascii="仿宋" w:hAnsi="仿宋" w:eastAsia="仿宋" w:cs="仿宋"/>
                <w:color w:val="auto"/>
                <w:kern w:val="2"/>
                <w:sz w:val="28"/>
                <w:szCs w:val="28"/>
                <w:highlight w:val="none"/>
              </w:rPr>
              <w:t>《关于调整我省建设工程造价咨询服务收费的复函》</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rPr>
              <w:t>粤价函【2011】</w:t>
            </w:r>
            <w:r>
              <w:rPr>
                <w:rFonts w:hint="eastAsia" w:ascii="仿宋" w:hAnsi="仿宋" w:eastAsia="仿宋" w:cs="仿宋"/>
                <w:color w:val="auto"/>
                <w:kern w:val="2"/>
                <w:sz w:val="28"/>
                <w:szCs w:val="28"/>
                <w:highlight w:val="none"/>
                <w:lang w:eastAsia="zh-CN"/>
              </w:rPr>
              <w:t>742</w:t>
            </w:r>
            <w:r>
              <w:rPr>
                <w:rFonts w:hint="eastAsia" w:ascii="仿宋" w:hAnsi="仿宋" w:eastAsia="仿宋" w:cs="仿宋"/>
                <w:color w:val="auto"/>
                <w:kern w:val="2"/>
                <w:sz w:val="28"/>
                <w:szCs w:val="28"/>
                <w:highlight w:val="none"/>
              </w:rPr>
              <w:t>号</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sz w:val="28"/>
                <w:szCs w:val="28"/>
                <w:highlight w:val="none"/>
                <w:lang w:eastAsia="zh-CN"/>
              </w:rPr>
              <w:t>为</w:t>
            </w:r>
            <w:r>
              <w:rPr>
                <w:rFonts w:hint="eastAsia" w:ascii="仿宋" w:hAnsi="仿宋" w:eastAsia="仿宋" w:cs="仿宋"/>
                <w:color w:val="auto"/>
                <w:sz w:val="28"/>
                <w:szCs w:val="28"/>
                <w:highlight w:val="none"/>
              </w:rPr>
              <w:t>计费标准</w:t>
            </w:r>
            <w:r>
              <w:rPr>
                <w:rFonts w:hint="eastAsia" w:ascii="仿宋_GB2312" w:hAnsi="宋体" w:eastAsia="仿宋_GB2312"/>
                <w:color w:val="auto"/>
                <w:sz w:val="28"/>
                <w:szCs w:val="28"/>
                <w:highlight w:val="none"/>
              </w:rPr>
              <w:t>的下浮率</w:t>
            </w:r>
            <w:r>
              <w:rPr>
                <w:rFonts w:hint="eastAsia" w:ascii="仿宋" w:hAnsi="仿宋" w:eastAsia="仿宋" w:cs="仿宋"/>
                <w:color w:val="auto"/>
                <w:kern w:val="2"/>
                <w:sz w:val="28"/>
                <w:szCs w:val="28"/>
                <w:highlight w:val="none"/>
              </w:rPr>
              <w:t>（小数点后保留二位小数）</w:t>
            </w:r>
            <w:r>
              <w:rPr>
                <w:rFonts w:hint="eastAsia" w:ascii="仿宋_GB2312" w:hAnsi="宋体" w:eastAsia="仿宋_GB2312"/>
                <w:color w:val="auto"/>
                <w:sz w:val="28"/>
                <w:szCs w:val="28"/>
                <w:highlight w:val="none"/>
              </w:rPr>
              <w:t>，下浮率不得为区间值（如：1%～3%），且控制在</w:t>
            </w:r>
            <w:r>
              <w:rPr>
                <w:rFonts w:hint="eastAsia" w:ascii="仿宋" w:hAnsi="仿宋" w:eastAsia="仿宋" w:cs="仿宋"/>
                <w:color w:val="auto"/>
                <w:sz w:val="28"/>
                <w:szCs w:val="28"/>
                <w:highlight w:val="none"/>
                <w:lang w:val="en-US" w:eastAsia="zh-CN"/>
              </w:rPr>
              <w:t>10%&lt;投标下浮率≤40%</w:t>
            </w:r>
            <w:r>
              <w:rPr>
                <w:rFonts w:hint="eastAsia" w:ascii="仿宋_GB2312" w:hAnsi="宋体" w:eastAsia="仿宋_GB2312"/>
                <w:color w:val="auto"/>
                <w:sz w:val="28"/>
                <w:szCs w:val="28"/>
                <w:highlight w:val="none"/>
              </w:rPr>
              <w:t>。</w:t>
            </w:r>
          </w:p>
        </w:tc>
        <w:tc>
          <w:tcPr>
            <w:tcW w:w="2422" w:type="dxa"/>
            <w:tcBorders>
              <w:top w:val="single" w:color="auto" w:sz="4" w:space="0"/>
              <w:left w:val="single" w:color="auto" w:sz="4" w:space="0"/>
              <w:bottom w:val="single" w:color="auto" w:sz="4" w:space="0"/>
              <w:right w:val="single" w:color="auto" w:sz="4" w:space="0"/>
            </w:tcBorders>
          </w:tcPr>
          <w:p>
            <w:pPr>
              <w:pStyle w:val="31"/>
              <w:autoSpaceDE w:val="0"/>
              <w:autoSpaceDN w:val="0"/>
              <w:adjustRightInd w:val="0"/>
              <w:spacing w:line="276" w:lineRule="auto"/>
              <w:jc w:val="center"/>
              <w:rPr>
                <w:rFonts w:hint="eastAsia" w:ascii="仿宋_GB2312" w:hAnsi="宋体" w:eastAsia="仿宋_GB2312"/>
                <w:color w:val="auto"/>
                <w:sz w:val="28"/>
                <w:szCs w:val="28"/>
                <w:highlight w:val="none"/>
              </w:rPr>
            </w:pPr>
          </w:p>
        </w:tc>
        <w:tc>
          <w:tcPr>
            <w:tcW w:w="1559" w:type="dxa"/>
            <w:tcBorders>
              <w:top w:val="single" w:color="auto" w:sz="4" w:space="0"/>
              <w:left w:val="single" w:color="auto" w:sz="4" w:space="0"/>
              <w:bottom w:val="single" w:color="auto" w:sz="4" w:space="0"/>
              <w:right w:val="single" w:color="auto" w:sz="4" w:space="0"/>
            </w:tcBorders>
          </w:tcPr>
          <w:p>
            <w:pPr>
              <w:pStyle w:val="31"/>
              <w:autoSpaceDE w:val="0"/>
              <w:autoSpaceDN w:val="0"/>
              <w:adjustRightInd w:val="0"/>
              <w:spacing w:line="276" w:lineRule="auto"/>
              <w:jc w:val="center"/>
              <w:rPr>
                <w:rFonts w:hint="eastAsia" w:ascii="仿宋_GB2312" w:hAnsi="宋体" w:eastAsia="仿宋_GB2312"/>
                <w:color w:val="auto"/>
                <w:sz w:val="28"/>
                <w:szCs w:val="28"/>
                <w:highlight w:val="none"/>
              </w:rPr>
            </w:pPr>
          </w:p>
        </w:tc>
      </w:tr>
    </w:tbl>
    <w:p>
      <w:pPr>
        <w:pStyle w:val="33"/>
        <w:spacing w:line="276" w:lineRule="auto"/>
        <w:rPr>
          <w:rFonts w:ascii="仿宋_GB2312" w:eastAsia="仿宋_GB2312"/>
          <w:color w:val="auto"/>
          <w:sz w:val="28"/>
          <w:szCs w:val="28"/>
          <w:highlight w:val="none"/>
        </w:rPr>
      </w:pPr>
      <w:r>
        <w:rPr>
          <w:rFonts w:hint="eastAsia" w:ascii="仿宋" w:hAnsi="仿宋" w:eastAsia="仿宋" w:cs="仿宋"/>
          <w:color w:val="auto"/>
          <w:kern w:val="2"/>
          <w:sz w:val="28"/>
          <w:szCs w:val="28"/>
          <w:highlight w:val="none"/>
          <w:lang w:val="en-US" w:eastAsia="zh-CN" w:bidi="ar-SA"/>
        </w:rPr>
        <w:t>说明：</w:t>
      </w:r>
    </w:p>
    <w:p>
      <w:pPr>
        <w:pStyle w:val="33"/>
        <w:numPr>
          <w:ilvl w:val="0"/>
          <w:numId w:val="3"/>
        </w:numPr>
        <w:spacing w:line="276" w:lineRule="auto"/>
        <w:rPr>
          <w:rFonts w:ascii="仿宋_GB2312" w:eastAsia="仿宋_GB2312"/>
          <w:color w:val="auto"/>
          <w:sz w:val="28"/>
          <w:szCs w:val="28"/>
          <w:highlight w:val="none"/>
        </w:rPr>
      </w:pPr>
      <w:r>
        <w:rPr>
          <w:rFonts w:hint="eastAsia" w:ascii="仿宋_GB2312" w:eastAsia="仿宋_GB2312"/>
          <w:color w:val="auto"/>
          <w:sz w:val="28"/>
          <w:szCs w:val="28"/>
          <w:highlight w:val="none"/>
        </w:rPr>
        <w:t>本表所列条款必须一一予以响应，“</w:t>
      </w:r>
      <w:r>
        <w:rPr>
          <w:rFonts w:hint="eastAsia" w:ascii="仿宋_GB2312" w:hAnsi="仿宋_GB2312" w:eastAsia="仿宋_GB2312" w:cs="仿宋_GB2312"/>
          <w:color w:val="auto"/>
          <w:sz w:val="28"/>
          <w:szCs w:val="28"/>
          <w:highlight w:val="none"/>
        </w:rPr>
        <w:t>投标人</w:t>
      </w:r>
      <w:r>
        <w:rPr>
          <w:rFonts w:hint="eastAsia" w:ascii="仿宋_GB2312" w:eastAsia="仿宋_GB2312"/>
          <w:color w:val="auto"/>
          <w:sz w:val="28"/>
          <w:szCs w:val="28"/>
          <w:highlight w:val="none"/>
        </w:rPr>
        <w:t>响应情况”一栏应</w:t>
      </w:r>
      <w:r>
        <w:rPr>
          <w:rFonts w:hint="eastAsia" w:ascii="仿宋_GB2312" w:eastAsia="仿宋_GB2312"/>
          <w:b/>
          <w:color w:val="auto"/>
          <w:sz w:val="28"/>
          <w:szCs w:val="28"/>
          <w:highlight w:val="none"/>
        </w:rPr>
        <w:t>填写具体的响应内容，有差异的</w:t>
      </w:r>
      <w:r>
        <w:rPr>
          <w:rFonts w:hint="eastAsia" w:ascii="仿宋_GB2312" w:eastAsia="仿宋_GB2312"/>
          <w:color w:val="auto"/>
          <w:sz w:val="28"/>
          <w:szCs w:val="28"/>
          <w:highlight w:val="none"/>
        </w:rPr>
        <w:t>要具体说明。</w:t>
      </w:r>
    </w:p>
    <w:p>
      <w:pPr>
        <w:pStyle w:val="33"/>
        <w:numPr>
          <w:ilvl w:val="0"/>
          <w:numId w:val="3"/>
        </w:numPr>
        <w:spacing w:line="276" w:lineRule="auto"/>
        <w:rPr>
          <w:rFonts w:ascii="仿宋_GB2312" w:eastAsia="仿宋_GB2312"/>
          <w:color w:val="auto"/>
          <w:sz w:val="28"/>
          <w:szCs w:val="28"/>
          <w:highlight w:val="none"/>
        </w:rPr>
      </w:pPr>
      <w:r>
        <w:rPr>
          <w:rFonts w:hint="eastAsia" w:ascii="仿宋_GB2312" w:eastAsia="仿宋_GB2312"/>
          <w:color w:val="auto"/>
          <w:sz w:val="28"/>
          <w:szCs w:val="28"/>
          <w:highlight w:val="none"/>
        </w:rPr>
        <w:t>请</w:t>
      </w:r>
      <w:r>
        <w:rPr>
          <w:rFonts w:hint="eastAsia" w:ascii="仿宋_GB2312" w:hAnsi="仿宋_GB2312" w:eastAsia="仿宋_GB2312" w:cs="仿宋_GB2312"/>
          <w:color w:val="auto"/>
          <w:sz w:val="28"/>
          <w:szCs w:val="28"/>
          <w:highlight w:val="none"/>
        </w:rPr>
        <w:t>投标人</w:t>
      </w:r>
      <w:r>
        <w:rPr>
          <w:rFonts w:hint="eastAsia" w:ascii="仿宋_GB2312" w:eastAsia="仿宋_GB2312"/>
          <w:color w:val="auto"/>
          <w:sz w:val="28"/>
          <w:szCs w:val="28"/>
          <w:highlight w:val="none"/>
        </w:rPr>
        <w:t>认真填写本表内容，如填写错误将可能导致报价无效。</w:t>
      </w:r>
    </w:p>
    <w:p>
      <w:pPr>
        <w:spacing w:line="360" w:lineRule="auto"/>
        <w:rPr>
          <w:rFonts w:ascii="宋体" w:hAnsi="宋体" w:eastAsia="宋体" w:cs="宋体"/>
          <w:color w:val="auto"/>
          <w:sz w:val="24"/>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outlineLvl w:val="9"/>
        <w:rPr>
          <w:rFonts w:ascii="黑体" w:hAnsi="宋体" w:cs="黑体"/>
          <w:b/>
          <w:color w:val="auto"/>
          <w:kern w:val="44"/>
          <w:sz w:val="44"/>
          <w:szCs w:val="44"/>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0" w:num="1"/>
          <w:rtlGutter w:val="0"/>
          <w:docGrid w:type="linesAndChars" w:linePitch="285" w:charSpace="833"/>
        </w:sectPr>
      </w:pPr>
      <w:bookmarkStart w:id="48" w:name="_Toc374128477"/>
      <w:bookmarkEnd w:id="48"/>
    </w:p>
    <w:p>
      <w:pPr>
        <w:pStyle w:val="3"/>
        <w:widowControl/>
        <w:spacing w:before="0" w:after="0" w:line="360" w:lineRule="auto"/>
        <w:jc w:val="center"/>
        <w:rPr>
          <w:rFonts w:hint="eastAsia" w:ascii="黑体" w:hAnsi="宋体" w:cs="黑体"/>
          <w:b/>
          <w:color w:val="auto"/>
          <w:kern w:val="44"/>
          <w:sz w:val="44"/>
          <w:szCs w:val="44"/>
          <w:highlight w:val="none"/>
        </w:rPr>
      </w:pPr>
      <w:bookmarkStart w:id="49" w:name="_Toc30913"/>
    </w:p>
    <w:p>
      <w:pPr>
        <w:pStyle w:val="3"/>
        <w:widowControl/>
        <w:spacing w:before="0" w:after="0" w:line="360" w:lineRule="auto"/>
        <w:jc w:val="center"/>
        <w:rPr>
          <w:rFonts w:hint="eastAsia" w:ascii="黑体" w:hAnsi="宋体" w:cs="黑体"/>
          <w:b/>
          <w:color w:val="auto"/>
          <w:kern w:val="44"/>
          <w:sz w:val="44"/>
          <w:szCs w:val="44"/>
          <w:highlight w:val="none"/>
        </w:rPr>
      </w:pPr>
    </w:p>
    <w:p>
      <w:pPr>
        <w:pStyle w:val="3"/>
        <w:widowControl/>
        <w:spacing w:before="0" w:after="0" w:line="360" w:lineRule="auto"/>
        <w:jc w:val="center"/>
        <w:rPr>
          <w:rFonts w:hint="eastAsia" w:ascii="黑体" w:hAnsi="宋体" w:cs="黑体"/>
          <w:b/>
          <w:color w:val="auto"/>
          <w:kern w:val="44"/>
          <w:sz w:val="44"/>
          <w:szCs w:val="44"/>
          <w:highlight w:val="none"/>
        </w:rPr>
      </w:pPr>
    </w:p>
    <w:p>
      <w:pPr>
        <w:pStyle w:val="3"/>
        <w:widowControl/>
        <w:spacing w:before="0" w:after="0" w:line="360" w:lineRule="auto"/>
        <w:jc w:val="center"/>
        <w:rPr>
          <w:rFonts w:hint="eastAsia" w:ascii="黑体" w:hAnsi="宋体" w:cs="黑体"/>
          <w:b/>
          <w:color w:val="auto"/>
          <w:kern w:val="44"/>
          <w:sz w:val="44"/>
          <w:szCs w:val="44"/>
          <w:highlight w:val="none"/>
        </w:rPr>
      </w:pPr>
    </w:p>
    <w:p>
      <w:pPr>
        <w:pStyle w:val="3"/>
        <w:widowControl/>
        <w:spacing w:before="0" w:after="0" w:line="360" w:lineRule="auto"/>
        <w:jc w:val="center"/>
        <w:rPr>
          <w:rFonts w:hint="eastAsia"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0" w:name="_Toc11823"/>
      <w:r>
        <w:rPr>
          <w:rFonts w:hint="eastAsia" w:ascii="黑体" w:hAnsi="宋体" w:cs="黑体"/>
          <w:b/>
          <w:color w:val="auto"/>
          <w:kern w:val="44"/>
          <w:sz w:val="44"/>
          <w:szCs w:val="44"/>
          <w:highlight w:val="none"/>
        </w:rPr>
        <w:t>第4章 评标办法</w:t>
      </w:r>
      <w:bookmarkEnd w:id="49"/>
      <w:bookmarkEnd w:id="50"/>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outlineLvl w:val="9"/>
        <w:rPr>
          <w:rFonts w:ascii="Times New Roman" w:hAnsi="Times New Roman" w:eastAsia="宋体" w:cs="Times New Roman"/>
          <w:color w:val="auto"/>
          <w:szCs w:val="21"/>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w:t>
      </w:r>
      <w:r>
        <w:rPr>
          <w:rFonts w:hint="eastAsia" w:ascii="仿宋" w:hAnsi="仿宋" w:eastAsia="仿宋" w:cs="仿宋"/>
          <w:color w:val="auto"/>
          <w:sz w:val="28"/>
          <w:szCs w:val="28"/>
          <w:highlight w:val="none"/>
          <w:lang w:val="en-US" w:eastAsia="zh-CN"/>
        </w:rPr>
        <w:t>造价</w:t>
      </w:r>
      <w:r>
        <w:rPr>
          <w:rFonts w:hint="eastAsia" w:ascii="仿宋" w:hAnsi="仿宋" w:eastAsia="仿宋" w:cs="仿宋"/>
          <w:color w:val="auto"/>
          <w:sz w:val="28"/>
          <w:szCs w:val="28"/>
          <w:highlight w:val="none"/>
        </w:rPr>
        <w:t>咨询</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w:t>
      </w:r>
      <w:r>
        <w:rPr>
          <w:rFonts w:hint="eastAsia" w:ascii="仿宋" w:hAnsi="仿宋" w:eastAsia="仿宋" w:cs="仿宋"/>
          <w:color w:val="auto"/>
          <w:sz w:val="28"/>
          <w:szCs w:val="28"/>
          <w:highlight w:val="none"/>
          <w:lang w:val="en-US" w:eastAsia="zh-CN"/>
        </w:rPr>
        <w:t>造价</w:t>
      </w:r>
      <w:r>
        <w:rPr>
          <w:rFonts w:hint="eastAsia" w:ascii="仿宋" w:hAnsi="仿宋" w:eastAsia="仿宋" w:cs="仿宋"/>
          <w:color w:val="auto"/>
          <w:sz w:val="28"/>
          <w:szCs w:val="28"/>
          <w:highlight w:val="none"/>
        </w:rPr>
        <w:t>咨询</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w:t>
      </w:r>
      <w:r>
        <w:rPr>
          <w:rFonts w:hint="eastAsia" w:ascii="仿宋" w:hAnsi="仿宋" w:eastAsia="仿宋" w:cs="仿宋"/>
          <w:color w:val="auto"/>
          <w:sz w:val="28"/>
          <w:szCs w:val="28"/>
          <w:highlight w:val="none"/>
          <w:lang w:eastAsia="zh-CN"/>
        </w:rPr>
        <w:t>于</w:t>
      </w:r>
      <w:r>
        <w:rPr>
          <w:rFonts w:hint="eastAsia" w:ascii="仿宋" w:hAnsi="仿宋" w:eastAsia="仿宋" w:cs="仿宋"/>
          <w:color w:val="auto"/>
          <w:sz w:val="28"/>
          <w:szCs w:val="28"/>
          <w:highlight w:val="none"/>
        </w:rPr>
        <w:t>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2.4七部委第12号令《评标委员会和评标方法暂行规定》；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2.7本招标工程项目的招标文件、评标办法及其补充通知；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500" w:lineRule="exact"/>
        <w:ind w:left="0" w:leftChars="0" w:firstLine="397" w:firstLineChars="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500" w:lineRule="exact"/>
        <w:ind w:left="0" w:leftChars="0" w:firstLine="397" w:firstLineChars="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500" w:lineRule="exact"/>
        <w:ind w:left="0" w:leftChars="0" w:firstLine="397" w:firstLineChars="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500" w:lineRule="exact"/>
        <w:ind w:left="0" w:leftChars="0" w:firstLine="397" w:firstLineChars="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500" w:lineRule="exact"/>
        <w:ind w:left="0" w:leftChars="0" w:firstLine="397" w:firstLineChars="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500" w:lineRule="exact"/>
        <w:ind w:left="0" w:leftChars="0" w:firstLine="397" w:firstLineChars="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7"/>
        <w:keepNext w:val="0"/>
        <w:keepLines w:val="0"/>
        <w:pageBreakBefore w:val="0"/>
        <w:widowControl/>
        <w:kinsoku/>
        <w:wordWrap/>
        <w:overflowPunct/>
        <w:topLinePunct w:val="0"/>
        <w:autoSpaceDE/>
        <w:autoSpaceDN/>
        <w:bidi w:val="0"/>
        <w:adjustRightInd/>
        <w:snapToGrid/>
        <w:spacing w:line="500" w:lineRule="exact"/>
        <w:ind w:left="0" w:firstLine="562" w:firstLineChars="200"/>
        <w:textAlignment w:val="auto"/>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eastAsia="zh-CN"/>
        </w:rPr>
        <w:t>评标小组</w:t>
      </w:r>
    </w:p>
    <w:p>
      <w:pPr>
        <w:pStyle w:val="7"/>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评标小组推举</w:t>
      </w:r>
      <w:r>
        <w:rPr>
          <w:rFonts w:ascii="仿宋" w:hAnsi="仿宋" w:eastAsia="仿宋" w:cs="仿宋"/>
          <w:color w:val="auto"/>
          <w:sz w:val="28"/>
          <w:szCs w:val="28"/>
          <w:highlight w:val="none"/>
        </w:rPr>
        <w:t>产生1名</w:t>
      </w:r>
      <w:r>
        <w:rPr>
          <w:rFonts w:hint="eastAsia" w:ascii="仿宋" w:hAnsi="仿宋" w:eastAsia="仿宋" w:cs="仿宋"/>
          <w:color w:val="auto"/>
          <w:sz w:val="28"/>
          <w:szCs w:val="28"/>
          <w:highlight w:val="none"/>
        </w:rPr>
        <w:t>组长</w:t>
      </w:r>
      <w:r>
        <w:rPr>
          <w:rFonts w:ascii="仿宋" w:hAnsi="仿宋" w:eastAsia="仿宋" w:cs="仿宋"/>
          <w:color w:val="auto"/>
          <w:sz w:val="28"/>
          <w:szCs w:val="28"/>
          <w:highlight w:val="none"/>
        </w:rPr>
        <w:t>，主持评审工作，</w:t>
      </w:r>
      <w:r>
        <w:rPr>
          <w:rFonts w:hint="eastAsia" w:ascii="仿宋" w:hAnsi="仿宋" w:eastAsia="仿宋" w:cs="仿宋"/>
          <w:color w:val="auto"/>
          <w:sz w:val="28"/>
          <w:szCs w:val="28"/>
          <w:highlight w:val="none"/>
        </w:rPr>
        <w:t>组长</w:t>
      </w:r>
      <w:r>
        <w:rPr>
          <w:rFonts w:ascii="仿宋" w:hAnsi="仿宋" w:eastAsia="仿宋" w:cs="仿宋"/>
          <w:color w:val="auto"/>
          <w:sz w:val="28"/>
          <w:szCs w:val="28"/>
          <w:highlight w:val="none"/>
        </w:rPr>
        <w:t>与其他成员有同等表决权。</w:t>
      </w:r>
    </w:p>
    <w:p>
      <w:pPr>
        <w:keepNext w:val="0"/>
        <w:keepLines w:val="0"/>
        <w:pageBreakBefore w:val="0"/>
        <w:widowControl w:val="0"/>
        <w:kinsoku/>
        <w:wordWrap/>
        <w:overflowPunct/>
        <w:topLinePunct w:val="0"/>
        <w:autoSpaceDE/>
        <w:autoSpaceDN/>
        <w:bidi w:val="0"/>
        <w:adjustRightInd/>
        <w:snapToGrid/>
        <w:spacing w:line="500" w:lineRule="exact"/>
        <w:ind w:left="0" w:firstLine="562" w:firstLineChars="200"/>
        <w:textAlignment w:val="auto"/>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表》中任一种情形的，为有效标书，否则其投标文件将被否决。若本项目通过</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的投标人不足3名时，应重新招标。</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keepNext w:val="0"/>
        <w:keepLines w:val="0"/>
        <w:pageBreakBefore w:val="0"/>
        <w:widowControl w:val="0"/>
        <w:kinsoku/>
        <w:wordWrap/>
        <w:overflowPunct/>
        <w:topLinePunct w:val="0"/>
        <w:autoSpaceDE/>
        <w:autoSpaceDN/>
        <w:bidi w:val="0"/>
        <w:adjustRightInd/>
        <w:snapToGrid/>
        <w:spacing w:line="500" w:lineRule="exact"/>
        <w:ind w:left="0" w:firstLine="562" w:firstLineChars="200"/>
        <w:textAlignment w:val="auto"/>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，并对通过</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（4）汇总投标人的综合得分，推荐中标候选人并编写评审报告。</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422" w:leftChars="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表》对各投标文件进行评审，只有通过</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的投标文件方可进入下一阶段的评审。如果有</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w:t>
      </w:r>
    </w:p>
    <w:p>
      <w:pPr>
        <w:spacing w:line="500" w:lineRule="exact"/>
        <w:ind w:left="560" w:leftChars="0"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p>
    <w:p>
      <w:pPr>
        <w:spacing w:line="500" w:lineRule="exact"/>
        <w:ind w:left="560" w:leftChars="0"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keepNext w:val="0"/>
        <w:keepLines w:val="0"/>
        <w:pageBreakBefore w:val="0"/>
        <w:widowControl w:val="0"/>
        <w:kinsoku/>
        <w:wordWrap/>
        <w:overflowPunct/>
        <w:topLinePunct w:val="0"/>
        <w:autoSpaceDE/>
        <w:autoSpaceDN/>
        <w:bidi w:val="0"/>
        <w:adjustRightInd/>
        <w:snapToGrid/>
        <w:spacing w:line="500" w:lineRule="exact"/>
        <w:ind w:left="0" w:firstLine="562" w:firstLineChars="200"/>
        <w:jc w:val="left"/>
        <w:textAlignment w:val="auto"/>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w:t>
      </w:r>
      <w:r>
        <w:rPr>
          <w:rFonts w:hint="eastAsia" w:ascii="仿宋" w:hAnsi="仿宋" w:eastAsia="仿宋" w:cs="仿宋"/>
          <w:color w:val="auto"/>
          <w:sz w:val="28"/>
          <w:szCs w:val="28"/>
          <w:highlight w:val="none"/>
          <w:lang w:eastAsia="zh-CN"/>
        </w:rPr>
        <w:t>中标</w:t>
      </w:r>
      <w:r>
        <w:rPr>
          <w:rFonts w:hint="eastAsia" w:ascii="仿宋" w:hAnsi="仿宋" w:eastAsia="仿宋" w:cs="仿宋"/>
          <w:color w:val="auto"/>
          <w:sz w:val="28"/>
          <w:szCs w:val="28"/>
          <w:highlight w:val="none"/>
        </w:rPr>
        <w:t>候选</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中确定中标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w:t>
      </w:r>
      <w:r>
        <w:rPr>
          <w:rFonts w:hint="eastAsia" w:ascii="仿宋" w:hAnsi="仿宋" w:eastAsia="仿宋" w:cs="仿宋"/>
          <w:color w:val="auto"/>
          <w:sz w:val="28"/>
          <w:szCs w:val="28"/>
          <w:highlight w:val="none"/>
          <w:lang w:eastAsia="zh-CN"/>
        </w:rPr>
        <w:t>中标</w:t>
      </w:r>
      <w:r>
        <w:rPr>
          <w:rFonts w:hint="eastAsia" w:ascii="仿宋" w:hAnsi="仿宋" w:eastAsia="仿宋" w:cs="仿宋"/>
          <w:color w:val="auto"/>
          <w:sz w:val="28"/>
          <w:szCs w:val="28"/>
          <w:highlight w:val="none"/>
        </w:rPr>
        <w:t>候选</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不能最大限度满足招标文件规定的要求的，依法重新招标。</w:t>
      </w:r>
    </w:p>
    <w:p>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0"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w:t>
      </w:r>
      <w:r>
        <w:rPr>
          <w:rFonts w:hint="eastAsia" w:ascii="仿宋" w:hAnsi="仿宋" w:eastAsia="仿宋" w:cs="仿宋"/>
          <w:color w:val="auto"/>
          <w:sz w:val="28"/>
          <w:szCs w:val="28"/>
          <w:highlight w:val="none"/>
          <w:lang w:eastAsia="zh-CN"/>
        </w:rPr>
        <w:t>、第二</w:t>
      </w:r>
      <w:r>
        <w:rPr>
          <w:rFonts w:hint="eastAsia" w:ascii="仿宋" w:hAnsi="仿宋" w:eastAsia="仿宋" w:cs="仿宋"/>
          <w:color w:val="auto"/>
          <w:sz w:val="28"/>
          <w:szCs w:val="28"/>
          <w:highlight w:val="none"/>
        </w:rPr>
        <w:t>的中标候选人为中标人。如排名第一</w:t>
      </w:r>
      <w:r>
        <w:rPr>
          <w:rFonts w:hint="eastAsia" w:ascii="仿宋" w:hAnsi="仿宋" w:eastAsia="仿宋" w:cs="仿宋"/>
          <w:color w:val="auto"/>
          <w:sz w:val="28"/>
          <w:szCs w:val="28"/>
          <w:highlight w:val="none"/>
          <w:lang w:eastAsia="zh-CN"/>
        </w:rPr>
        <w:t>或第二</w:t>
      </w:r>
      <w:r>
        <w:rPr>
          <w:rFonts w:hint="eastAsia" w:ascii="仿宋" w:hAnsi="仿宋" w:eastAsia="仿宋" w:cs="仿宋"/>
          <w:color w:val="auto"/>
          <w:sz w:val="28"/>
          <w:szCs w:val="28"/>
          <w:highlight w:val="none"/>
        </w:rPr>
        <w:t>的中标候选人放弃中标或因不可抗力提出不能履行合同，或者存在违法行为被有关部门依法查处且其违法行为影响中标结果的，则确定排名第</w:t>
      </w:r>
      <w:r>
        <w:rPr>
          <w:rFonts w:hint="eastAsia" w:ascii="仿宋" w:hAnsi="仿宋" w:eastAsia="仿宋" w:cs="仿宋"/>
          <w:color w:val="auto"/>
          <w:sz w:val="28"/>
          <w:szCs w:val="28"/>
          <w:highlight w:val="none"/>
          <w:lang w:eastAsia="zh-CN"/>
        </w:rPr>
        <w:t>三</w:t>
      </w:r>
      <w:r>
        <w:rPr>
          <w:rFonts w:hint="eastAsia" w:ascii="仿宋" w:hAnsi="仿宋" w:eastAsia="仿宋" w:cs="仿宋"/>
          <w:color w:val="auto"/>
          <w:sz w:val="28"/>
          <w:szCs w:val="28"/>
          <w:highlight w:val="none"/>
        </w:rPr>
        <w:t>的中标候选人为中标人。如排名第</w:t>
      </w:r>
      <w:r>
        <w:rPr>
          <w:rFonts w:hint="eastAsia" w:ascii="仿宋" w:hAnsi="仿宋" w:eastAsia="仿宋" w:cs="仿宋"/>
          <w:color w:val="auto"/>
          <w:sz w:val="28"/>
          <w:szCs w:val="28"/>
          <w:highlight w:val="none"/>
          <w:lang w:eastAsia="zh-CN"/>
        </w:rPr>
        <w:t>三</w:t>
      </w:r>
      <w:r>
        <w:rPr>
          <w:rFonts w:hint="eastAsia" w:ascii="仿宋" w:hAnsi="仿宋" w:eastAsia="仿宋" w:cs="仿宋"/>
          <w:color w:val="auto"/>
          <w:sz w:val="28"/>
          <w:szCs w:val="28"/>
          <w:highlight w:val="none"/>
        </w:rPr>
        <w:t>的中标候选人也发生上述问题，招标人</w:t>
      </w:r>
      <w:r>
        <w:rPr>
          <w:rFonts w:hint="eastAsia" w:ascii="仿宋" w:hAnsi="仿宋" w:eastAsia="仿宋" w:cs="仿宋"/>
          <w:color w:val="auto"/>
          <w:sz w:val="28"/>
          <w:szCs w:val="28"/>
          <w:highlight w:val="none"/>
          <w:lang w:eastAsia="zh-CN"/>
        </w:rPr>
        <w:t>可</w:t>
      </w:r>
      <w:r>
        <w:rPr>
          <w:rFonts w:hint="eastAsia" w:ascii="仿宋" w:hAnsi="仿宋" w:eastAsia="仿宋" w:cs="仿宋"/>
          <w:color w:val="auto"/>
          <w:sz w:val="28"/>
          <w:szCs w:val="28"/>
          <w:highlight w:val="none"/>
        </w:rPr>
        <w:t>重新组织招标。</w:t>
      </w:r>
    </w:p>
    <w:p>
      <w:pPr>
        <w:keepNext w:val="0"/>
        <w:keepLines w:val="0"/>
        <w:pageBreakBefore w:val="0"/>
        <w:kinsoku/>
        <w:wordWrap/>
        <w:overflowPunct/>
        <w:topLinePunct w:val="0"/>
        <w:autoSpaceDE/>
        <w:autoSpaceDN/>
        <w:bidi w:val="0"/>
        <w:adjustRightInd/>
        <w:snapToGrid/>
        <w:spacing w:line="500" w:lineRule="exact"/>
        <w:ind w:left="0" w:hanging="957" w:hangingChars="342"/>
        <w:jc w:val="left"/>
        <w:textAlignment w:val="auto"/>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 xml:space="preserve"> </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rPr>
        <w:t>5.5 发生下列情形之一的，招标人将重新组织招标：</w:t>
      </w:r>
    </w:p>
    <w:p>
      <w:pPr>
        <w:pStyle w:val="7"/>
        <w:keepNext w:val="0"/>
        <w:keepLines w:val="0"/>
        <w:pageBreakBefore w:val="0"/>
        <w:widowControl/>
        <w:kinsoku/>
        <w:wordWrap/>
        <w:overflowPunct/>
        <w:topLinePunct w:val="0"/>
        <w:autoSpaceDE/>
        <w:autoSpaceDN/>
        <w:bidi w:val="0"/>
        <w:adjustRightInd/>
        <w:snapToGrid/>
        <w:spacing w:line="500" w:lineRule="exact"/>
        <w:ind w:left="0" w:firstLine="560" w:firstLineChars="200"/>
        <w:jc w:val="left"/>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若本项目经评审有效的投标人不足3名时，本次招标失败，招标人应当依法重新组织招标。</w:t>
      </w:r>
    </w:p>
    <w:p>
      <w:pPr>
        <w:keepNext w:val="0"/>
        <w:keepLines w:val="0"/>
        <w:pageBreakBefore w:val="0"/>
        <w:kinsoku/>
        <w:wordWrap/>
        <w:overflowPunct/>
        <w:topLinePunct w:val="0"/>
        <w:autoSpaceDE/>
        <w:autoSpaceDN/>
        <w:bidi w:val="0"/>
        <w:adjustRightInd/>
        <w:snapToGrid/>
        <w:spacing w:line="500" w:lineRule="exact"/>
        <w:ind w:left="0" w:firstLine="562" w:firstLineChars="200"/>
        <w:textAlignment w:val="auto"/>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7"/>
        <w:keepNext w:val="0"/>
        <w:keepLines w:val="0"/>
        <w:pageBreakBefore w:val="0"/>
        <w:widowControl/>
        <w:kinsoku/>
        <w:wordWrap/>
        <w:overflowPunct/>
        <w:topLinePunct w:val="0"/>
        <w:autoSpaceDE/>
        <w:autoSpaceDN/>
        <w:bidi w:val="0"/>
        <w:adjustRightInd/>
        <w:snapToGrid/>
        <w:spacing w:line="500" w:lineRule="exact"/>
        <w:ind w:left="0" w:firstLine="560" w:firstLineChars="200"/>
        <w:jc w:val="left"/>
        <w:textAlignment w:val="auto"/>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7"/>
        <w:keepNext w:val="0"/>
        <w:keepLines w:val="0"/>
        <w:pageBreakBefore w:val="0"/>
        <w:widowControl/>
        <w:kinsoku/>
        <w:wordWrap/>
        <w:overflowPunct/>
        <w:topLinePunct w:val="0"/>
        <w:autoSpaceDE/>
        <w:autoSpaceDN/>
        <w:bidi w:val="0"/>
        <w:adjustRightInd/>
        <w:snapToGrid/>
        <w:spacing w:line="500" w:lineRule="exact"/>
        <w:ind w:left="0" w:firstLine="560" w:firstLineChars="200"/>
        <w:jc w:val="left"/>
        <w:textAlignment w:val="auto"/>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开标由招标人或招标代理机构主持；</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150"/>
        <w:textAlignment w:val="auto"/>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7.2 投标文件的</w:t>
      </w:r>
      <w:r>
        <w:rPr>
          <w:rFonts w:hint="eastAsia" w:ascii="仿宋" w:hAnsi="仿宋" w:eastAsia="仿宋" w:cs="仿宋"/>
          <w:b/>
          <w:color w:val="auto"/>
          <w:sz w:val="28"/>
          <w:szCs w:val="28"/>
          <w:highlight w:val="none"/>
          <w:lang w:eastAsia="zh-CN"/>
        </w:rPr>
        <w:t>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表”进行评审。投标文件中没有任一种列于附件1《</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表》中情形的，为通过</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w:t>
      </w:r>
      <w:r>
        <w:rPr>
          <w:rFonts w:hint="eastAsia" w:ascii="仿宋" w:hAnsi="仿宋" w:eastAsia="仿宋" w:cs="仿宋"/>
          <w:color w:val="auto"/>
          <w:sz w:val="28"/>
          <w:szCs w:val="28"/>
          <w:highlight w:val="none"/>
          <w:lang w:eastAsia="zh-CN"/>
        </w:rPr>
        <w:t>的</w:t>
      </w:r>
      <w:r>
        <w:rPr>
          <w:rFonts w:hint="eastAsia" w:ascii="仿宋" w:hAnsi="仿宋" w:eastAsia="仿宋" w:cs="仿宋"/>
          <w:color w:val="auto"/>
          <w:sz w:val="28"/>
          <w:szCs w:val="28"/>
          <w:highlight w:val="none"/>
        </w:rPr>
        <w:t>为第一中标候选人，</w:t>
      </w:r>
      <w:r>
        <w:rPr>
          <w:rFonts w:hint="eastAsia" w:ascii="仿宋" w:hAnsi="仿宋" w:eastAsia="仿宋" w:cs="仿宋"/>
          <w:color w:val="auto"/>
          <w:sz w:val="28"/>
          <w:szCs w:val="28"/>
          <w:highlight w:val="none"/>
          <w:lang w:eastAsia="zh-CN"/>
        </w:rPr>
        <w:t>第二</w:t>
      </w:r>
      <w:r>
        <w:rPr>
          <w:rFonts w:hint="eastAsia" w:ascii="仿宋" w:hAnsi="仿宋" w:eastAsia="仿宋" w:cs="仿宋"/>
          <w:color w:val="auto"/>
          <w:sz w:val="28"/>
          <w:szCs w:val="28"/>
          <w:highlight w:val="none"/>
        </w:rPr>
        <w:t>高</w:t>
      </w:r>
      <w:r>
        <w:rPr>
          <w:rFonts w:hint="eastAsia" w:ascii="仿宋" w:hAnsi="仿宋" w:eastAsia="仿宋" w:cs="仿宋"/>
          <w:color w:val="auto"/>
          <w:sz w:val="28"/>
          <w:szCs w:val="28"/>
          <w:highlight w:val="none"/>
          <w:lang w:eastAsia="zh-CN"/>
        </w:rPr>
        <w:t>的</w:t>
      </w:r>
      <w:r>
        <w:rPr>
          <w:rFonts w:hint="eastAsia" w:ascii="仿宋" w:hAnsi="仿宋" w:eastAsia="仿宋" w:cs="仿宋"/>
          <w:color w:val="auto"/>
          <w:sz w:val="28"/>
          <w:szCs w:val="28"/>
          <w:highlight w:val="none"/>
        </w:rPr>
        <w:t>为第二中标候选人，</w:t>
      </w:r>
      <w:r>
        <w:rPr>
          <w:rFonts w:hint="eastAsia" w:ascii="仿宋" w:hAnsi="仿宋" w:eastAsia="仿宋" w:cs="仿宋"/>
          <w:color w:val="auto"/>
          <w:sz w:val="28"/>
          <w:szCs w:val="28"/>
          <w:highlight w:val="none"/>
          <w:lang w:val="en-US" w:eastAsia="zh-CN"/>
        </w:rPr>
        <w:t>第三高的为第三中标候选人</w:t>
      </w:r>
      <w:r>
        <w:rPr>
          <w:rFonts w:hint="eastAsia" w:ascii="仿宋" w:hAnsi="仿宋" w:eastAsia="仿宋" w:cs="仿宋"/>
          <w:color w:val="auto"/>
          <w:sz w:val="28"/>
          <w:szCs w:val="28"/>
          <w:highlight w:val="none"/>
        </w:rPr>
        <w:t>。</w:t>
      </w:r>
    </w:p>
    <w:p>
      <w:pPr>
        <w:snapToGrid w:val="0"/>
        <w:spacing w:line="360" w:lineRule="auto"/>
        <w:ind w:firstLine="420" w:firstLineChars="1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.2如果有两个或两个以上的投标人总得分评分相同，则</w:t>
      </w:r>
      <w:r>
        <w:rPr>
          <w:rFonts w:hint="eastAsia" w:ascii="仿宋" w:hAnsi="仿宋" w:eastAsia="仿宋" w:cs="仿宋"/>
          <w:color w:val="auto"/>
          <w:sz w:val="28"/>
          <w:szCs w:val="28"/>
          <w:highlight w:val="none"/>
          <w:lang w:eastAsia="zh-CN"/>
        </w:rPr>
        <w:t>商务评分</w:t>
      </w:r>
      <w:r>
        <w:rPr>
          <w:rFonts w:hint="eastAsia" w:ascii="仿宋" w:hAnsi="仿宋" w:eastAsia="仿宋" w:cs="仿宋"/>
          <w:color w:val="auto"/>
          <w:sz w:val="28"/>
          <w:szCs w:val="28"/>
          <w:highlight w:val="none"/>
        </w:rPr>
        <w:t>较高的投标人排名优先；如果总得分、</w:t>
      </w:r>
      <w:r>
        <w:rPr>
          <w:rFonts w:hint="eastAsia" w:ascii="仿宋" w:hAnsi="仿宋" w:eastAsia="仿宋" w:cs="仿宋"/>
          <w:color w:val="auto"/>
          <w:sz w:val="28"/>
          <w:szCs w:val="28"/>
          <w:highlight w:val="none"/>
          <w:lang w:eastAsia="zh-CN"/>
        </w:rPr>
        <w:t>商务评分</w:t>
      </w:r>
      <w:r>
        <w:rPr>
          <w:rFonts w:hint="eastAsia" w:ascii="仿宋" w:hAnsi="仿宋" w:eastAsia="仿宋" w:cs="仿宋"/>
          <w:color w:val="auto"/>
          <w:sz w:val="28"/>
          <w:szCs w:val="28"/>
          <w:highlight w:val="none"/>
        </w:rPr>
        <w:t>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1）招标人依据评标报告审定本项目的中标人。</w:t>
      </w:r>
    </w:p>
    <w:p>
      <w:pPr>
        <w:snapToGrid w:val="0"/>
        <w:spacing w:line="360" w:lineRule="auto"/>
        <w:ind w:firstLine="420" w:firstLineChars="1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2）虽然经招标人审定为中标人，但在签订合同前的任何时候，招标人、评标专家以及其他人员发现投标人在招标投标过程有弄虚作假行为、虚报资料情况，一经查实，立即取消其中标人资格。</w:t>
      </w:r>
    </w:p>
    <w:p>
      <w:pPr>
        <w:pStyle w:val="37"/>
        <w:widowControl w:val="0"/>
        <w:spacing w:after="0" w:line="360" w:lineRule="auto"/>
        <w:ind w:firstLine="562" w:firstLineChars="200"/>
        <w:outlineLvl w:val="1"/>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 xml:space="preserve">7.7 </w:t>
      </w:r>
      <w:r>
        <w:rPr>
          <w:rFonts w:hint="eastAsia" w:ascii="仿宋" w:hAnsi="仿宋" w:eastAsia="仿宋" w:cs="仿宋"/>
          <w:b/>
          <w:color w:val="auto"/>
          <w:sz w:val="28"/>
          <w:szCs w:val="28"/>
          <w:highlight w:val="none"/>
        </w:rPr>
        <w:t>项目委托分配方法</w:t>
      </w:r>
      <w:bookmarkStart w:id="51" w:name="_Toc393283320"/>
      <w:r>
        <w:rPr>
          <w:rFonts w:hint="eastAsia" w:ascii="仿宋" w:hAnsi="仿宋" w:eastAsia="仿宋" w:cs="仿宋"/>
          <w:b/>
          <w:color w:val="auto"/>
          <w:sz w:val="28"/>
          <w:szCs w:val="28"/>
          <w:highlight w:val="none"/>
          <w:lang w:eastAsia="zh-CN"/>
        </w:rPr>
        <w:t>：</w:t>
      </w:r>
      <w:r>
        <w:rPr>
          <w:rFonts w:hint="eastAsia" w:ascii="仿宋" w:hAnsi="仿宋" w:eastAsia="仿宋" w:cs="仿宋"/>
          <w:color w:val="auto"/>
          <w:kern w:val="2"/>
          <w:sz w:val="28"/>
          <w:szCs w:val="28"/>
          <w:highlight w:val="none"/>
        </w:rPr>
        <w:t>项目委托采用随机选取的方法分配。</w:t>
      </w:r>
      <w:bookmarkEnd w:id="51"/>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7.8招标人将参照以下原则进行本项目中标人的替换：</w:t>
      </w:r>
    </w:p>
    <w:p>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425" w:firstLineChars="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若中标人在实际工作中服务质量存在问题，未能表现出符合要求的造价咨询水平，经招标人研究确定，可解除与中标人的合同关系，并按照中标候选人顺序依次选取新的中标人，或重新招标。</w:t>
      </w:r>
    </w:p>
    <w:p>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425" w:firstLineChars="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当中标人服务费累计接近100万时（或服务期限达到一年），招标人可按相关条款约定解除与中标人的合同关系，并按照中标候选人顺序依次选取新的中标人，或由招标人对中标人在服务期间的工作质量、时间节点、人员配备、服务态度等内容进行评价并审议后，决定是否与中标人续签服务合同（最多续签1次），或重新招标。</w:t>
      </w:r>
    </w:p>
    <w:p>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425" w:firstLineChars="0"/>
        <w:textAlignment w:val="auto"/>
        <w:rPr>
          <w:rFonts w:ascii="仿宋" w:hAnsi="仿宋" w:eastAsia="仿宋" w:cs="仿宋"/>
          <w:color w:val="auto"/>
          <w:sz w:val="24"/>
          <w:highlight w:val="none"/>
        </w:rPr>
      </w:pPr>
      <w:r>
        <w:rPr>
          <w:rFonts w:hint="eastAsia" w:ascii="仿宋" w:hAnsi="仿宋" w:eastAsia="仿宋" w:cs="仿宋"/>
          <w:color w:val="auto"/>
          <w:sz w:val="28"/>
          <w:szCs w:val="28"/>
          <w:highlight w:val="none"/>
          <w:lang w:val="en-US" w:eastAsia="zh-CN"/>
        </w:rPr>
        <w:t>当中标人以正式的书面函件形式申请放弃中标资格时，招标人可取消</w:t>
      </w:r>
      <w:r>
        <w:rPr>
          <w:rFonts w:hint="eastAsia" w:ascii="仿宋" w:hAnsi="仿宋" w:eastAsia="仿宋" w:cs="仿宋"/>
          <w:color w:val="auto"/>
          <w:sz w:val="28"/>
          <w:szCs w:val="28"/>
          <w:highlight w:val="none"/>
        </w:rPr>
        <w:t>其中标人资格</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解除与中标人的合同关系，并按照中标候选人顺序依次选取新的中标人，或重新招标。</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52" w:name="_Toc462911104"/>
      <w:bookmarkEnd w:id="52"/>
      <w:bookmarkStart w:id="53" w:name="_Toc27991"/>
      <w:bookmarkStart w:id="54" w:name="_Toc26593"/>
      <w:r>
        <w:rPr>
          <w:rFonts w:hint="eastAsia" w:ascii="黑体" w:hAnsi="宋体" w:cs="黑体"/>
          <w:b/>
          <w:color w:val="auto"/>
          <w:kern w:val="44"/>
          <w:sz w:val="44"/>
          <w:szCs w:val="44"/>
          <w:highlight w:val="none"/>
        </w:rPr>
        <w:t>第5章</w:t>
      </w:r>
      <w:r>
        <w:rPr>
          <w:rFonts w:hint="eastAsia" w:ascii="黑体" w:hAnsi="宋体" w:cs="黑体"/>
          <w:b/>
          <w:color w:val="auto"/>
          <w:kern w:val="44"/>
          <w:sz w:val="44"/>
          <w:szCs w:val="44"/>
          <w:highlight w:val="none"/>
          <w:lang w:val="en-US" w:eastAsia="zh-CN"/>
        </w:rPr>
        <w:t xml:space="preserve"> </w:t>
      </w:r>
      <w:r>
        <w:rPr>
          <w:rFonts w:hint="eastAsia" w:ascii="黑体" w:hAnsi="宋体" w:cs="黑体"/>
          <w:b/>
          <w:color w:val="auto"/>
          <w:kern w:val="44"/>
          <w:sz w:val="44"/>
          <w:szCs w:val="44"/>
          <w:highlight w:val="none"/>
        </w:rPr>
        <w:t>附件</w:t>
      </w:r>
      <w:bookmarkEnd w:id="53"/>
      <w:bookmarkEnd w:id="54"/>
    </w:p>
    <w:p>
      <w:pPr>
        <w:pStyle w:val="17"/>
        <w:keepNext w:val="0"/>
        <w:keepLines w:val="0"/>
        <w:pageBreakBefore w:val="0"/>
        <w:widowControl/>
        <w:kinsoku/>
        <w:wordWrap/>
        <w:overflowPunct/>
        <w:topLinePunct w:val="0"/>
        <w:autoSpaceDE/>
        <w:autoSpaceDN/>
        <w:bidi w:val="0"/>
        <w:adjustRightInd/>
        <w:snapToGrid/>
        <w:ind w:firstLine="562"/>
        <w:textAlignment w:val="auto"/>
        <w:outlineLvl w:val="9"/>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 xml:space="preserve">附件1 </w:t>
      </w:r>
      <w:r>
        <w:rPr>
          <w:rFonts w:hint="eastAsia" w:ascii="仿宋" w:hAnsi="仿宋" w:eastAsia="仿宋" w:cs="仿宋"/>
          <w:b/>
          <w:color w:val="auto"/>
          <w:sz w:val="28"/>
          <w:szCs w:val="28"/>
          <w:highlight w:val="none"/>
          <w:u w:val="single"/>
          <w:lang w:eastAsia="zh-CN"/>
        </w:rPr>
        <w:t>符合性审查</w:t>
      </w:r>
      <w:r>
        <w:rPr>
          <w:rFonts w:ascii="仿宋" w:hAnsi="仿宋" w:eastAsia="仿宋" w:cs="仿宋"/>
          <w:b/>
          <w:color w:val="auto"/>
          <w:sz w:val="28"/>
          <w:szCs w:val="28"/>
          <w:highlight w:val="none"/>
          <w:u w:val="single"/>
        </w:rPr>
        <w:t>表</w:t>
      </w:r>
    </w:p>
    <w:p>
      <w:pPr>
        <w:pStyle w:val="17"/>
        <w:keepNext w:val="0"/>
        <w:keepLines w:val="0"/>
        <w:pageBreakBefore w:val="0"/>
        <w:widowControl/>
        <w:kinsoku/>
        <w:wordWrap/>
        <w:overflowPunct/>
        <w:topLinePunct w:val="0"/>
        <w:autoSpaceDE/>
        <w:autoSpaceDN/>
        <w:bidi w:val="0"/>
        <w:adjustRightInd/>
        <w:snapToGrid/>
        <w:ind w:firstLine="562"/>
        <w:textAlignment w:val="auto"/>
        <w:outlineLvl w:val="9"/>
        <w:rPr>
          <w:rFonts w:ascii="仿宋" w:hAnsi="仿宋" w:eastAsia="仿宋" w:cs="仿宋"/>
          <w:b/>
          <w:color w:val="auto"/>
          <w:sz w:val="28"/>
          <w:szCs w:val="28"/>
          <w:highlight w:val="none"/>
          <w:u w:val="single"/>
        </w:rPr>
      </w:pPr>
      <w:bookmarkStart w:id="55" w:name="OLE_LINK3"/>
      <w:bookmarkEnd w:id="55"/>
      <w:r>
        <w:rPr>
          <w:rFonts w:ascii="仿宋" w:hAnsi="仿宋" w:eastAsia="仿宋" w:cs="仿宋"/>
          <w:b/>
          <w:color w:val="auto"/>
          <w:sz w:val="28"/>
          <w:szCs w:val="28"/>
          <w:highlight w:val="none"/>
          <w:u w:val="single"/>
        </w:rPr>
        <w:t>附件2 综合评分表</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56" w:name="_Toc12170"/>
      <w:bookmarkStart w:id="57" w:name="_Toc1734"/>
      <w:r>
        <w:rPr>
          <w:rFonts w:hint="eastAsia" w:ascii="仿宋" w:hAnsi="仿宋" w:eastAsia="仿宋" w:cs="仿宋"/>
          <w:color w:val="auto"/>
          <w:sz w:val="28"/>
          <w:szCs w:val="28"/>
          <w:highlight w:val="none"/>
        </w:rPr>
        <w:t>附件1：</w:t>
      </w:r>
      <w:r>
        <w:rPr>
          <w:rFonts w:hint="eastAsia" w:ascii="仿宋" w:hAnsi="仿宋" w:eastAsia="仿宋" w:cs="仿宋"/>
          <w:color w:val="auto"/>
          <w:sz w:val="28"/>
          <w:szCs w:val="28"/>
          <w:highlight w:val="none"/>
          <w:lang w:eastAsia="zh-CN"/>
        </w:rPr>
        <w:t>符合性审查</w:t>
      </w:r>
      <w:r>
        <w:rPr>
          <w:rFonts w:hint="eastAsia" w:ascii="仿宋" w:hAnsi="仿宋" w:eastAsia="仿宋" w:cs="仿宋"/>
          <w:color w:val="auto"/>
          <w:sz w:val="28"/>
          <w:szCs w:val="28"/>
          <w:highlight w:val="none"/>
        </w:rPr>
        <w:t>表</w:t>
      </w:r>
      <w:bookmarkEnd w:id="56"/>
      <w:bookmarkEnd w:id="57"/>
      <w:r>
        <w:rPr>
          <w:rFonts w:hint="eastAsia" w:ascii="仿宋" w:hAnsi="仿宋" w:eastAsia="仿宋" w:cs="仿宋"/>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w:t>
      </w:r>
      <w:r>
        <w:rPr>
          <w:rFonts w:hint="eastAsia" w:ascii="仿宋" w:hAnsi="仿宋" w:eastAsia="仿宋" w:cs="仿宋"/>
          <w:b/>
          <w:bCs/>
          <w:color w:val="auto"/>
          <w:sz w:val="36"/>
          <w:szCs w:val="36"/>
          <w:highlight w:val="none"/>
          <w:lang w:eastAsia="zh-CN"/>
        </w:rPr>
        <w:t>符合性审查</w:t>
      </w:r>
      <w:r>
        <w:rPr>
          <w:rFonts w:hint="eastAsia" w:ascii="仿宋" w:hAnsi="仿宋" w:eastAsia="仿宋" w:cs="仿宋"/>
          <w:b/>
          <w:bCs/>
          <w:color w:val="auto"/>
          <w:sz w:val="36"/>
          <w:szCs w:val="36"/>
          <w:highlight w:val="none"/>
        </w:rPr>
        <w:t>表</w:t>
      </w:r>
    </w:p>
    <w:tbl>
      <w:tblPr>
        <w:tblStyle w:val="13"/>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投标函签名、并加盖公章，内容与招标文件相同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投标人</w:t>
            </w:r>
            <w:r>
              <w:rPr>
                <w:rFonts w:hint="eastAsia" w:ascii="仿宋" w:hAnsi="仿宋" w:eastAsia="仿宋" w:cs="仿宋"/>
                <w:color w:val="auto"/>
                <w:szCs w:val="21"/>
                <w:highlight w:val="none"/>
                <w:lang w:eastAsia="zh-CN"/>
              </w:rPr>
              <w:t>资质符合招标文件要求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项目负责人资质符合招标文件要求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投标</w:t>
            </w:r>
            <w:r>
              <w:rPr>
                <w:rFonts w:hint="eastAsia" w:ascii="仿宋" w:hAnsi="仿宋" w:eastAsia="仿宋" w:cs="仿宋"/>
                <w:color w:val="auto"/>
                <w:szCs w:val="21"/>
                <w:highlight w:val="none"/>
                <w:lang w:eastAsia="zh-CN"/>
              </w:rPr>
              <w:t>下浮率符合招标文件要求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nil"/>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nil"/>
              <w:left w:val="single" w:color="auto" w:sz="4" w:space="0"/>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nil"/>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nil"/>
              <w:left w:val="single" w:color="auto" w:sz="4" w:space="0"/>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nil"/>
              <w:left w:val="single" w:color="auto" w:sz="4" w:space="0"/>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hint="eastAsia" w:ascii="仿宋" w:hAnsi="仿宋" w:eastAsia="仿宋" w:cs="Courier New"/>
          <w:color w:val="auto"/>
          <w:sz w:val="28"/>
          <w:szCs w:val="28"/>
          <w:highlight w:val="none"/>
        </w:rPr>
      </w:pPr>
    </w:p>
    <w:p>
      <w:pPr>
        <w:snapToGrid w:val="0"/>
        <w:ind w:left="74"/>
        <w:outlineLvl w:val="0"/>
        <w:rPr>
          <w:rFonts w:hint="eastAsia" w:ascii="仿宋" w:hAnsi="仿宋" w:eastAsia="仿宋" w:cs="仿宋"/>
          <w:b/>
          <w:color w:val="auto"/>
          <w:sz w:val="24"/>
          <w:highlight w:val="none"/>
        </w:rPr>
        <w:sectPr>
          <w:footerReference r:id="rId4" w:type="default"/>
          <w:pgSz w:w="12240" w:h="15840"/>
          <w:pgMar w:top="1440" w:right="1797" w:bottom="1440" w:left="1797" w:header="720" w:footer="720" w:gutter="0"/>
          <w:pgBorders>
            <w:top w:val="none" w:sz="0" w:space="0"/>
            <w:left w:val="none" w:sz="0" w:space="0"/>
            <w:bottom w:val="none" w:sz="0" w:space="0"/>
            <w:right w:val="none" w:sz="0" w:space="0"/>
          </w:pgBorders>
          <w:pgNumType w:fmt="decimal"/>
          <w:cols w:space="425" w:num="1"/>
          <w:docGrid w:linePitch="312" w:charSpace="0"/>
        </w:sectPr>
      </w:pPr>
      <w:bookmarkStart w:id="58" w:name="_Toc18783"/>
    </w:p>
    <w:p>
      <w:pPr>
        <w:snapToGrid w:val="0"/>
        <w:ind w:left="74"/>
        <w:outlineLvl w:val="0"/>
        <w:rPr>
          <w:rFonts w:hint="eastAsia" w:ascii="仿宋" w:hAnsi="仿宋" w:eastAsia="仿宋" w:cs="仿宋"/>
          <w:b w:val="0"/>
          <w:bCs/>
          <w:color w:val="auto"/>
          <w:sz w:val="28"/>
          <w:szCs w:val="28"/>
          <w:highlight w:val="none"/>
        </w:rPr>
      </w:pPr>
      <w:bookmarkStart w:id="59" w:name="_Toc561"/>
      <w:r>
        <w:rPr>
          <w:rFonts w:hint="eastAsia" w:ascii="仿宋" w:hAnsi="仿宋" w:eastAsia="仿宋" w:cs="仿宋"/>
          <w:b w:val="0"/>
          <w:bCs/>
          <w:color w:val="auto"/>
          <w:sz w:val="28"/>
          <w:szCs w:val="28"/>
          <w:highlight w:val="none"/>
        </w:rPr>
        <w:t>附件2综合评分表</w:t>
      </w:r>
      <w:bookmarkEnd w:id="58"/>
      <w:bookmarkEnd w:id="59"/>
    </w:p>
    <w:p>
      <w:pPr>
        <w:snapToGrid w:val="0"/>
        <w:ind w:left="74"/>
        <w:jc w:val="center"/>
        <w:outlineLvl w:val="0"/>
        <w:rPr>
          <w:rFonts w:hint="eastAsia" w:ascii="仿宋" w:hAnsi="仿宋" w:eastAsia="仿宋" w:cs="仿宋"/>
          <w:b/>
          <w:bCs w:val="0"/>
          <w:color w:val="auto"/>
          <w:sz w:val="32"/>
          <w:szCs w:val="32"/>
          <w:highlight w:val="none"/>
        </w:rPr>
      </w:pPr>
      <w:bookmarkStart w:id="60" w:name="_Toc4988"/>
      <w:r>
        <w:rPr>
          <w:rFonts w:hint="eastAsia" w:ascii="仿宋" w:hAnsi="仿宋" w:eastAsia="仿宋" w:cs="仿宋"/>
          <w:b/>
          <w:bCs w:val="0"/>
          <w:color w:val="auto"/>
          <w:sz w:val="36"/>
          <w:szCs w:val="36"/>
          <w:highlight w:val="none"/>
        </w:rPr>
        <w:t>综合评分表</w:t>
      </w:r>
      <w:bookmarkEnd w:id="60"/>
    </w:p>
    <w:tbl>
      <w:tblPr>
        <w:tblStyle w:val="13"/>
        <w:tblW w:w="8939" w:type="dxa"/>
        <w:tblInd w:w="0" w:type="dxa"/>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8"/>
        <w:gridCol w:w="1290"/>
        <w:gridCol w:w="6621"/>
      </w:tblGrid>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28" w:type="dxa"/>
            <w:tcBorders>
              <w:tl2br w:val="nil"/>
              <w:tr2bl w:val="nil"/>
            </w:tcBorders>
            <w:vAlign w:val="center"/>
          </w:tcPr>
          <w:p>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评审内容</w:t>
            </w:r>
          </w:p>
        </w:tc>
        <w:tc>
          <w:tcPr>
            <w:tcW w:w="1290" w:type="dxa"/>
            <w:tcBorders>
              <w:tl2br w:val="nil"/>
              <w:tr2bl w:val="nil"/>
            </w:tcBorders>
            <w:vAlign w:val="center"/>
          </w:tcPr>
          <w:p>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w:t>
            </w:r>
            <w:r>
              <w:rPr>
                <w:rFonts w:hint="eastAsia" w:ascii="宋体" w:hAnsi="宋体" w:eastAsia="宋体" w:cs="宋体"/>
                <w:bCs/>
                <w:color w:val="auto"/>
                <w:sz w:val="21"/>
                <w:szCs w:val="21"/>
                <w:highlight w:val="none"/>
                <w:lang w:eastAsia="zh-CN"/>
              </w:rPr>
              <w:t>分因素</w:t>
            </w:r>
          </w:p>
        </w:tc>
        <w:tc>
          <w:tcPr>
            <w:tcW w:w="6621" w:type="dxa"/>
            <w:tcBorders>
              <w:tl2br w:val="nil"/>
              <w:tr2bl w:val="nil"/>
            </w:tcBorders>
            <w:vAlign w:val="center"/>
          </w:tcPr>
          <w:p>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评分细则</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9" w:hRule="atLeast"/>
        </w:trPr>
        <w:tc>
          <w:tcPr>
            <w:tcW w:w="1028" w:type="dxa"/>
            <w:vMerge w:val="restart"/>
            <w:tcBorders>
              <w:tl2br w:val="nil"/>
              <w:tr2bl w:val="nil"/>
            </w:tcBorders>
            <w:vAlign w:val="center"/>
          </w:tcPr>
          <w:p>
            <w:pPr>
              <w:jc w:val="center"/>
              <w:rPr>
                <w:rFonts w:hint="eastAsia" w:ascii="宋体" w:hAnsi="宋体" w:eastAsia="宋体" w:cs="宋体"/>
                <w:bCs/>
                <w:color w:val="auto"/>
                <w:sz w:val="21"/>
                <w:szCs w:val="21"/>
                <w:highlight w:val="none"/>
              </w:rPr>
            </w:pPr>
          </w:p>
          <w:p>
            <w:pPr>
              <w:jc w:val="center"/>
              <w:rPr>
                <w:rFonts w:hint="eastAsia" w:ascii="宋体" w:hAnsi="宋体" w:eastAsia="宋体" w:cs="宋体"/>
                <w:bCs/>
                <w:color w:val="auto"/>
                <w:sz w:val="21"/>
                <w:szCs w:val="21"/>
                <w:highlight w:val="none"/>
              </w:rPr>
            </w:pPr>
          </w:p>
          <w:p>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商务部分（</w:t>
            </w:r>
            <w:r>
              <w:rPr>
                <w:rFonts w:hint="eastAsia" w:ascii="宋体" w:hAnsi="宋体" w:eastAsia="宋体" w:cs="宋体"/>
                <w:bCs/>
                <w:color w:val="auto"/>
                <w:sz w:val="21"/>
                <w:szCs w:val="21"/>
                <w:highlight w:val="none"/>
                <w:lang w:val="en-US" w:eastAsia="zh-CN"/>
              </w:rPr>
              <w:t>45</w:t>
            </w:r>
            <w:r>
              <w:rPr>
                <w:rFonts w:hint="eastAsia" w:ascii="宋体" w:hAnsi="宋体" w:eastAsia="宋体" w:cs="宋体"/>
                <w:bCs/>
                <w:color w:val="auto"/>
                <w:sz w:val="21"/>
                <w:szCs w:val="21"/>
                <w:highlight w:val="none"/>
                <w:lang w:eastAsia="zh-CN"/>
              </w:rPr>
              <w:t>分）</w:t>
            </w:r>
          </w:p>
          <w:p>
            <w:pPr>
              <w:jc w:val="center"/>
              <w:rPr>
                <w:rFonts w:hint="eastAsia" w:ascii="宋体" w:hAnsi="宋体" w:eastAsia="宋体" w:cs="宋体"/>
                <w:bCs/>
                <w:color w:val="auto"/>
                <w:sz w:val="21"/>
                <w:szCs w:val="21"/>
                <w:highlight w:val="none"/>
              </w:rPr>
            </w:pPr>
          </w:p>
          <w:p>
            <w:pPr>
              <w:jc w:val="center"/>
              <w:rPr>
                <w:rFonts w:hint="eastAsia" w:ascii="宋体" w:hAnsi="宋体" w:eastAsia="宋体" w:cs="宋体"/>
                <w:bCs/>
                <w:color w:val="auto"/>
                <w:sz w:val="21"/>
                <w:szCs w:val="21"/>
                <w:highlight w:val="none"/>
              </w:rPr>
            </w:pPr>
          </w:p>
        </w:tc>
        <w:tc>
          <w:tcPr>
            <w:tcW w:w="1290" w:type="dxa"/>
            <w:tcBorders>
              <w:tl2br w:val="nil"/>
              <w:tr2bl w:val="nil"/>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企业业绩</w:t>
            </w:r>
          </w:p>
          <w:p>
            <w:pPr>
              <w:pStyle w:val="2"/>
              <w:ind w:firstLine="0"/>
              <w:jc w:val="center"/>
              <w:rPr>
                <w:rFonts w:hint="eastAsia" w:ascii="宋体" w:hAnsi="宋体" w:eastAsia="宋体" w:cs="宋体"/>
                <w:color w:val="auto"/>
                <w:szCs w:val="21"/>
                <w:highlight w:val="none"/>
                <w:lang w:eastAsia="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10分</w:t>
            </w:r>
            <w:r>
              <w:rPr>
                <w:rFonts w:hint="eastAsia" w:ascii="宋体" w:hAnsi="宋体" w:eastAsia="宋体" w:cs="宋体"/>
                <w:bCs/>
                <w:color w:val="auto"/>
                <w:sz w:val="21"/>
                <w:szCs w:val="21"/>
                <w:highlight w:val="none"/>
                <w:lang w:eastAsia="zh-CN"/>
              </w:rPr>
              <w:t>）</w:t>
            </w:r>
          </w:p>
        </w:tc>
        <w:tc>
          <w:tcPr>
            <w:tcW w:w="6621" w:type="dxa"/>
            <w:tcBorders>
              <w:tl2br w:val="nil"/>
              <w:tr2bl w:val="nil"/>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201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年1月1日至今完成或承担过全过程造价咨询服务业绩，投资金额在</w:t>
            </w:r>
            <w:r>
              <w:rPr>
                <w:rFonts w:hint="eastAsia" w:ascii="宋体" w:hAnsi="宋体" w:eastAsia="宋体" w:cs="宋体"/>
                <w:color w:val="auto"/>
                <w:szCs w:val="21"/>
                <w:highlight w:val="none"/>
                <w:lang w:eastAsia="zh-CN"/>
              </w:rPr>
              <w:t>1</w:t>
            </w:r>
            <w:r>
              <w:rPr>
                <w:rFonts w:hint="eastAsia" w:ascii="宋体" w:hAnsi="宋体" w:eastAsia="宋体" w:cs="宋体"/>
                <w:color w:val="auto"/>
                <w:szCs w:val="21"/>
                <w:highlight w:val="none"/>
              </w:rPr>
              <w:t>亿元及以上的，每项业绩得</w:t>
            </w:r>
            <w:r>
              <w:rPr>
                <w:rFonts w:hint="eastAsia" w:ascii="宋体" w:hAnsi="宋体" w:eastAsia="宋体" w:cs="宋体"/>
                <w:color w:val="auto"/>
                <w:szCs w:val="21"/>
                <w:highlight w:val="none"/>
                <w:lang w:eastAsia="zh-CN"/>
              </w:rPr>
              <w:t>2</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，本项最高得</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lang w:eastAsia="zh-CN"/>
              </w:rPr>
              <w:t>分</w:t>
            </w:r>
            <w:r>
              <w:rPr>
                <w:rFonts w:hint="eastAsia" w:ascii="宋体" w:hAnsi="宋体" w:eastAsia="宋体" w:cs="宋体"/>
                <w:color w:val="auto"/>
                <w:szCs w:val="21"/>
                <w:highlight w:val="none"/>
              </w:rPr>
              <w:t>；</w:t>
            </w:r>
          </w:p>
          <w:p>
            <w:pPr>
              <w:jc w:val="left"/>
              <w:rPr>
                <w:rFonts w:hint="eastAsia" w:ascii="宋体" w:hAnsi="宋体" w:eastAsia="宋体" w:cs="宋体"/>
                <w:bCs/>
                <w:color w:val="auto"/>
                <w:sz w:val="21"/>
                <w:szCs w:val="21"/>
                <w:highlight w:val="none"/>
                <w:lang w:eastAsia="zh-CN"/>
              </w:rPr>
            </w:pPr>
            <w:r>
              <w:rPr>
                <w:rFonts w:hint="eastAsia" w:ascii="宋体" w:hAnsi="宋体" w:eastAsia="宋体" w:cs="宋体"/>
                <w:color w:val="auto"/>
                <w:szCs w:val="21"/>
                <w:highlight w:val="none"/>
              </w:rPr>
              <w:t>注：“完成或承担过”的业绩需造价咨询合同的主要页作为证明资料；同一合同项下的不同标段可以累加计算业绩</w:t>
            </w:r>
            <w:r>
              <w:rPr>
                <w:rFonts w:hint="eastAsia" w:ascii="宋体" w:hAnsi="宋体" w:eastAsia="宋体" w:cs="宋体"/>
                <w:color w:val="auto"/>
                <w:szCs w:val="21"/>
                <w:highlight w:val="none"/>
                <w:lang w:eastAsia="zh-CN"/>
              </w:rPr>
              <w:t>金额</w:t>
            </w:r>
            <w:r>
              <w:rPr>
                <w:rFonts w:hint="eastAsia" w:ascii="宋体" w:hAnsi="宋体" w:eastAsia="宋体" w:cs="宋体"/>
                <w:color w:val="auto"/>
                <w:szCs w:val="21"/>
                <w:highlight w:val="none"/>
              </w:rPr>
              <w:t>。所有评审业绩证明文件包括造价咨询合同或业务委托书或中标通知书、评审结果通知文件封面或其他形式的评审结果。</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9" w:hRule="atLeast"/>
        </w:trPr>
        <w:tc>
          <w:tcPr>
            <w:tcW w:w="1028" w:type="dxa"/>
            <w:vMerge w:val="continue"/>
            <w:tcBorders>
              <w:tl2br w:val="nil"/>
              <w:tr2bl w:val="nil"/>
            </w:tcBorders>
            <w:vAlign w:val="center"/>
          </w:tcPr>
          <w:p>
            <w:pPr>
              <w:jc w:val="center"/>
              <w:rPr>
                <w:rFonts w:hint="eastAsia" w:ascii="宋体" w:hAnsi="宋体" w:eastAsia="宋体" w:cs="宋体"/>
                <w:bCs/>
                <w:color w:val="auto"/>
                <w:sz w:val="21"/>
                <w:szCs w:val="21"/>
                <w:highlight w:val="none"/>
              </w:rPr>
            </w:pPr>
          </w:p>
        </w:tc>
        <w:tc>
          <w:tcPr>
            <w:tcW w:w="1290" w:type="dxa"/>
            <w:vMerge w:val="restart"/>
            <w:tcBorders>
              <w:tl2br w:val="nil"/>
              <w:tr2bl w:val="nil"/>
            </w:tcBorders>
            <w:vAlign w:val="center"/>
          </w:tcPr>
          <w:p>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企业荣誉</w:t>
            </w:r>
          </w:p>
          <w:p>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3分</w:t>
            </w:r>
            <w:r>
              <w:rPr>
                <w:rFonts w:hint="eastAsia" w:ascii="宋体" w:hAnsi="宋体" w:eastAsia="宋体" w:cs="宋体"/>
                <w:bCs/>
                <w:color w:val="auto"/>
                <w:sz w:val="21"/>
                <w:szCs w:val="21"/>
                <w:highlight w:val="none"/>
                <w:lang w:eastAsia="zh-CN"/>
              </w:rPr>
              <w:t>）</w:t>
            </w:r>
          </w:p>
        </w:tc>
        <w:tc>
          <w:tcPr>
            <w:tcW w:w="6621" w:type="dxa"/>
            <w:tcBorders>
              <w:tl2br w:val="nil"/>
              <w:tr2bl w:val="nil"/>
            </w:tcBorders>
            <w:vAlign w:val="center"/>
          </w:tcPr>
          <w:p>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投标人获得过国家级工程造价管理协会授予的“先进单位会员”的，得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获得过</w:t>
            </w:r>
            <w:r>
              <w:rPr>
                <w:rFonts w:hint="eastAsia" w:ascii="宋体" w:hAnsi="宋体" w:eastAsia="宋体" w:cs="宋体"/>
                <w:color w:val="auto"/>
                <w:sz w:val="21"/>
                <w:szCs w:val="21"/>
                <w:highlight w:val="none"/>
              </w:rPr>
              <w:t>省级工程造价管理协会授予的“先进单位会员”的，得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获得过</w:t>
            </w:r>
            <w:r>
              <w:rPr>
                <w:rFonts w:hint="eastAsia" w:ascii="宋体" w:hAnsi="宋体" w:eastAsia="宋体" w:cs="宋体"/>
                <w:color w:val="auto"/>
                <w:sz w:val="21"/>
                <w:szCs w:val="21"/>
                <w:highlight w:val="none"/>
              </w:rPr>
              <w:t>市级造价管理协会授予的“先进会员单位”，得1分；没有不得分。本项最多</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3分</w:t>
            </w:r>
            <w:r>
              <w:rPr>
                <w:rFonts w:hint="eastAsia" w:ascii="宋体" w:hAnsi="宋体" w:eastAsia="宋体" w:cs="宋体"/>
                <w:color w:val="auto"/>
                <w:sz w:val="21"/>
                <w:szCs w:val="21"/>
                <w:highlight w:val="none"/>
              </w:rPr>
              <w:t>。</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28" w:type="dxa"/>
            <w:vMerge w:val="continue"/>
            <w:tcBorders>
              <w:tl2br w:val="nil"/>
              <w:tr2bl w:val="nil"/>
            </w:tcBorders>
            <w:vAlign w:val="center"/>
          </w:tcPr>
          <w:p>
            <w:pPr>
              <w:rPr>
                <w:rFonts w:hint="eastAsia" w:ascii="宋体" w:hAnsi="宋体" w:eastAsia="宋体" w:cs="宋体"/>
                <w:bCs/>
                <w:color w:val="auto"/>
                <w:sz w:val="21"/>
                <w:szCs w:val="21"/>
                <w:highlight w:val="none"/>
              </w:rPr>
            </w:pPr>
          </w:p>
        </w:tc>
        <w:tc>
          <w:tcPr>
            <w:tcW w:w="1290"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诚信纳税情况</w:t>
            </w:r>
          </w:p>
          <w:p>
            <w:pPr>
              <w:pStyle w:val="2"/>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5分</w:t>
            </w:r>
            <w:r>
              <w:rPr>
                <w:rFonts w:hint="eastAsia" w:ascii="宋体" w:hAnsi="宋体" w:eastAsia="宋体" w:cs="宋体"/>
                <w:color w:val="auto"/>
                <w:sz w:val="21"/>
                <w:szCs w:val="21"/>
                <w:highlight w:val="none"/>
                <w:lang w:eastAsia="zh-CN"/>
              </w:rPr>
              <w:t>）</w:t>
            </w:r>
          </w:p>
          <w:p>
            <w:pPr>
              <w:jc w:val="left"/>
              <w:rPr>
                <w:rFonts w:hint="eastAsia" w:ascii="宋体" w:hAnsi="宋体" w:eastAsia="宋体" w:cs="宋体"/>
                <w:bCs/>
                <w:color w:val="auto"/>
                <w:sz w:val="21"/>
                <w:szCs w:val="21"/>
                <w:highlight w:val="none"/>
              </w:rPr>
            </w:pPr>
          </w:p>
        </w:tc>
        <w:tc>
          <w:tcPr>
            <w:tcW w:w="6621" w:type="dxa"/>
            <w:tcBorders>
              <w:tl2br w:val="nil"/>
              <w:tr2bl w:val="nil"/>
            </w:tcBorders>
            <w:vAlign w:val="center"/>
          </w:tcPr>
          <w:p>
            <w:pPr>
              <w:widowControl/>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投标人(不含分支机构)至今：</w:t>
            </w:r>
          </w:p>
          <w:p>
            <w:pPr>
              <w:widowControl/>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1、连续获得8年或以上被税务主管部门评为年度纳税信用A级或以上等级的，得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widowControl/>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2、连续获得7年被税务主管部门评为年度纳税信用A级或以上等级的，得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pPr>
              <w:widowControl/>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3、连续获得6年被税务主管部门评为年度纳税信用A级或以上等级的，得3分；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4、连续获得5年或以下被税务主管部门评为年度纳税信用A级或以上等级的，得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分。没有的不得分。</w:t>
            </w:r>
          </w:p>
          <w:p>
            <w:pP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注：符合多项情况的，按最高档次只计取一次得分；需提供税务部门官网查询截图或相关证书扫描件。提供证书扫描件的需加盖投标单位</w:t>
            </w:r>
            <w:r>
              <w:rPr>
                <w:rFonts w:hint="eastAsia" w:ascii="宋体" w:hAnsi="宋体" w:eastAsia="宋体" w:cs="宋体"/>
                <w:color w:val="auto"/>
                <w:sz w:val="21"/>
                <w:szCs w:val="21"/>
                <w:highlight w:val="none"/>
                <w:lang w:eastAsia="zh-CN"/>
              </w:rPr>
              <w:t>公</w:t>
            </w:r>
            <w:r>
              <w:rPr>
                <w:rFonts w:hint="eastAsia" w:ascii="宋体" w:hAnsi="宋体" w:eastAsia="宋体" w:cs="宋体"/>
                <w:color w:val="auto"/>
                <w:sz w:val="21"/>
                <w:szCs w:val="21"/>
                <w:highlight w:val="none"/>
              </w:rPr>
              <w:t>章。本项最高得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28" w:type="dxa"/>
            <w:vMerge w:val="continue"/>
            <w:tcBorders>
              <w:tl2br w:val="nil"/>
              <w:tr2bl w:val="nil"/>
            </w:tcBorders>
            <w:vAlign w:val="center"/>
          </w:tcPr>
          <w:p>
            <w:pPr>
              <w:rPr>
                <w:rFonts w:hint="eastAsia" w:ascii="宋体" w:hAnsi="宋体" w:eastAsia="宋体" w:cs="宋体"/>
                <w:bCs/>
                <w:color w:val="auto"/>
                <w:sz w:val="21"/>
                <w:szCs w:val="21"/>
                <w:highlight w:val="none"/>
              </w:rPr>
            </w:pPr>
          </w:p>
        </w:tc>
        <w:tc>
          <w:tcPr>
            <w:tcW w:w="1290" w:type="dxa"/>
            <w:tcBorders>
              <w:tl2br w:val="nil"/>
              <w:tr2bl w:val="nil"/>
            </w:tcBorders>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bCs w:val="0"/>
                <w:color w:val="auto"/>
                <w:sz w:val="21"/>
                <w:szCs w:val="21"/>
                <w:highlight w:val="none"/>
                <w:lang w:eastAsia="zh-CN"/>
              </w:rPr>
              <w:t>认证体系</w:t>
            </w:r>
          </w:p>
          <w:p>
            <w:pPr>
              <w:pStyle w:val="2"/>
              <w:ind w:firstLine="0"/>
              <w:jc w:val="center"/>
              <w:rPr>
                <w:rFonts w:hint="eastAsia" w:ascii="宋体" w:hAnsi="宋体" w:eastAsia="宋体" w:cs="宋体"/>
                <w:bCs w:val="0"/>
                <w:color w:val="auto"/>
                <w:sz w:val="21"/>
                <w:szCs w:val="21"/>
                <w:highlight w:val="none"/>
                <w:lang w:eastAsia="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3分</w:t>
            </w:r>
            <w:r>
              <w:rPr>
                <w:rFonts w:hint="eastAsia" w:ascii="宋体" w:hAnsi="宋体" w:eastAsia="宋体" w:cs="宋体"/>
                <w:bCs/>
                <w:color w:val="auto"/>
                <w:sz w:val="21"/>
                <w:szCs w:val="21"/>
                <w:highlight w:val="none"/>
                <w:lang w:eastAsia="zh-CN"/>
              </w:rPr>
              <w:t>）</w:t>
            </w:r>
          </w:p>
        </w:tc>
        <w:tc>
          <w:tcPr>
            <w:tcW w:w="6621" w:type="dxa"/>
            <w:tcBorders>
              <w:tl2br w:val="nil"/>
              <w:tr2bl w:val="nil"/>
            </w:tcBorders>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投标人具备ISO质量管理体系认证、职业健康安全管理体系认证、环境管理体系认证：</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具有上述</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个认证证书且在有效期内得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具有上述任意</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个认证证书且在有效期内得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具有上述任意</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个认证证书且在有效期内得1分；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注：提供认证证书</w:t>
            </w:r>
            <w:r>
              <w:rPr>
                <w:rFonts w:hint="eastAsia" w:ascii="宋体" w:hAnsi="宋体" w:eastAsia="宋体" w:cs="宋体"/>
                <w:color w:val="auto"/>
                <w:sz w:val="21"/>
                <w:szCs w:val="21"/>
                <w:highlight w:val="none"/>
                <w:lang w:eastAsia="zh-CN"/>
              </w:rPr>
              <w:t>复印件并加盖投标人公章</w:t>
            </w:r>
            <w:r>
              <w:rPr>
                <w:rFonts w:hint="eastAsia" w:ascii="宋体" w:hAnsi="宋体" w:eastAsia="宋体" w:cs="宋体"/>
                <w:color w:val="auto"/>
                <w:sz w:val="21"/>
                <w:szCs w:val="21"/>
                <w:highlight w:val="none"/>
              </w:rPr>
              <w:t>。不具备或不在有效期内的不得分。</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4" w:hRule="atLeast"/>
        </w:trPr>
        <w:tc>
          <w:tcPr>
            <w:tcW w:w="1028" w:type="dxa"/>
            <w:vMerge w:val="continue"/>
            <w:tcBorders>
              <w:tl2br w:val="nil"/>
              <w:tr2bl w:val="nil"/>
            </w:tcBorders>
            <w:vAlign w:val="center"/>
          </w:tcPr>
          <w:p>
            <w:pPr>
              <w:rPr>
                <w:rFonts w:hint="eastAsia" w:ascii="宋体" w:hAnsi="宋体" w:eastAsia="宋体" w:cs="宋体"/>
                <w:bCs/>
                <w:color w:val="auto"/>
                <w:sz w:val="21"/>
                <w:szCs w:val="21"/>
                <w:highlight w:val="none"/>
              </w:rPr>
            </w:pPr>
          </w:p>
        </w:tc>
        <w:tc>
          <w:tcPr>
            <w:tcW w:w="1290" w:type="dxa"/>
            <w:tcBorders>
              <w:tl2br w:val="nil"/>
              <w:tr2bl w:val="nil"/>
            </w:tcBorders>
            <w:vAlign w:val="center"/>
          </w:tcPr>
          <w:p>
            <w:pPr>
              <w:pStyle w:val="2"/>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本地化服务支撑能力</w:t>
            </w:r>
          </w:p>
          <w:p>
            <w:pPr>
              <w:pStyle w:val="2"/>
              <w:ind w:firstLine="0"/>
              <w:jc w:val="center"/>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5分</w:t>
            </w:r>
            <w:r>
              <w:rPr>
                <w:rFonts w:hint="eastAsia" w:ascii="宋体" w:hAnsi="宋体" w:eastAsia="宋体" w:cs="宋体"/>
                <w:color w:val="auto"/>
                <w:sz w:val="21"/>
                <w:szCs w:val="21"/>
                <w:highlight w:val="none"/>
                <w:lang w:eastAsia="zh-CN"/>
              </w:rPr>
              <w:t>）</w:t>
            </w:r>
          </w:p>
        </w:tc>
        <w:tc>
          <w:tcPr>
            <w:tcW w:w="6621" w:type="dxa"/>
            <w:tcBorders>
              <w:tl2br w:val="nil"/>
              <w:tr2bl w:val="nil"/>
            </w:tcBorders>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在南沙已设有工作站点或固定办公场所的，得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分；目前尚未设立南沙站点或固定办公场所，但能承诺中标后1个月内在南沙区建立工作站点和固定办公场所的（提供承诺函），得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 其他不得分。已设有工作站点或固定办公场所的须提供房屋租赁合同（或其他有效证明）扫描件</w:t>
            </w:r>
            <w:r>
              <w:rPr>
                <w:rFonts w:hint="eastAsia" w:ascii="宋体" w:hAnsi="宋体" w:eastAsia="宋体" w:cs="宋体"/>
                <w:color w:val="auto"/>
                <w:sz w:val="21"/>
                <w:szCs w:val="21"/>
                <w:highlight w:val="none"/>
                <w:lang w:eastAsia="zh-CN"/>
              </w:rPr>
              <w:t>并</w:t>
            </w:r>
            <w:r>
              <w:rPr>
                <w:rFonts w:hint="eastAsia" w:ascii="宋体" w:hAnsi="宋体" w:eastAsia="宋体" w:cs="宋体"/>
                <w:color w:val="auto"/>
                <w:sz w:val="21"/>
                <w:szCs w:val="21"/>
                <w:highlight w:val="none"/>
              </w:rPr>
              <w:t>加盖投标单位</w:t>
            </w:r>
            <w:r>
              <w:rPr>
                <w:rFonts w:hint="eastAsia" w:ascii="宋体" w:hAnsi="宋体" w:eastAsia="宋体" w:cs="宋体"/>
                <w:color w:val="auto"/>
                <w:sz w:val="21"/>
                <w:szCs w:val="21"/>
                <w:highlight w:val="none"/>
                <w:lang w:eastAsia="zh-CN"/>
              </w:rPr>
              <w:t>公</w:t>
            </w:r>
            <w:r>
              <w:rPr>
                <w:rFonts w:hint="eastAsia" w:ascii="宋体" w:hAnsi="宋体" w:eastAsia="宋体" w:cs="宋体"/>
                <w:color w:val="auto"/>
                <w:sz w:val="21"/>
                <w:szCs w:val="21"/>
                <w:highlight w:val="none"/>
              </w:rPr>
              <w:t>章。</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28" w:type="dxa"/>
            <w:vMerge w:val="continue"/>
            <w:tcBorders>
              <w:tl2br w:val="nil"/>
              <w:tr2bl w:val="nil"/>
            </w:tcBorders>
            <w:vAlign w:val="center"/>
          </w:tcPr>
          <w:p>
            <w:pPr>
              <w:jc w:val="center"/>
              <w:rPr>
                <w:rFonts w:hint="eastAsia" w:ascii="宋体" w:hAnsi="宋体" w:eastAsia="宋体" w:cs="宋体"/>
                <w:bCs/>
                <w:color w:val="auto"/>
                <w:sz w:val="21"/>
                <w:szCs w:val="21"/>
                <w:highlight w:val="none"/>
              </w:rPr>
            </w:pPr>
          </w:p>
        </w:tc>
        <w:tc>
          <w:tcPr>
            <w:tcW w:w="1290" w:type="dxa"/>
            <w:tcBorders>
              <w:tl2br w:val="nil"/>
              <w:tr2bl w:val="nil"/>
            </w:tcBorders>
            <w:vAlign w:val="center"/>
          </w:tcPr>
          <w:p>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项目负责人</w:t>
            </w:r>
          </w:p>
          <w:p>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10分</w:t>
            </w:r>
            <w:r>
              <w:rPr>
                <w:rFonts w:hint="eastAsia" w:ascii="宋体" w:hAnsi="宋体" w:eastAsia="宋体" w:cs="宋体"/>
                <w:bCs/>
                <w:color w:val="auto"/>
                <w:sz w:val="21"/>
                <w:szCs w:val="21"/>
                <w:highlight w:val="none"/>
                <w:lang w:eastAsia="zh-CN"/>
              </w:rPr>
              <w:t>）</w:t>
            </w:r>
          </w:p>
        </w:tc>
        <w:tc>
          <w:tcPr>
            <w:tcW w:w="6621" w:type="dxa"/>
            <w:tcBorders>
              <w:tl2br w:val="nil"/>
              <w:tr2bl w:val="nil"/>
            </w:tcBorders>
            <w:vAlign w:val="center"/>
          </w:tcPr>
          <w:p>
            <w:pPr>
              <w:pStyle w:val="2"/>
              <w:numPr>
                <w:ilvl w:val="0"/>
                <w:numId w:val="6"/>
              </w:numPr>
              <w:ind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项目负责人为</w:t>
            </w:r>
            <w:r>
              <w:rPr>
                <w:rFonts w:hint="eastAsia" w:ascii="宋体" w:hAnsi="宋体" w:eastAsia="宋体" w:cs="宋体"/>
                <w:color w:val="auto"/>
                <w:szCs w:val="21"/>
                <w:highlight w:val="none"/>
                <w:lang w:val="en-US" w:eastAsia="zh-CN"/>
              </w:rPr>
              <w:t>正高级工程师职称</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得2分</w:t>
            </w:r>
            <w:r>
              <w:rPr>
                <w:rFonts w:hint="eastAsia" w:ascii="宋体" w:hAnsi="宋体" w:eastAsia="宋体" w:cs="宋体"/>
                <w:color w:val="auto"/>
                <w:szCs w:val="21"/>
                <w:highlight w:val="none"/>
                <w:lang w:eastAsia="zh-CN"/>
              </w:rPr>
              <w:t>；</w:t>
            </w:r>
            <w:r>
              <w:rPr>
                <w:rFonts w:hint="eastAsia" w:ascii="宋体" w:hAnsi="宋体" w:eastAsia="宋体" w:cs="宋体"/>
                <w:color w:val="auto"/>
                <w:sz w:val="21"/>
                <w:szCs w:val="21"/>
                <w:highlight w:val="none"/>
                <w:lang w:val="en-US" w:eastAsia="zh-CN"/>
              </w:rPr>
              <w:t>为公司副总或总工程师以上职位的，得2分。最多得4分。</w:t>
            </w:r>
          </w:p>
          <w:p>
            <w:pPr>
              <w:pStyle w:val="2"/>
              <w:ind w:firstLine="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 w:val="21"/>
                <w:szCs w:val="21"/>
                <w:highlight w:val="none"/>
                <w:lang w:val="en-US" w:eastAsia="zh-CN"/>
              </w:rPr>
              <w:t>2018年1月1日至今，</w:t>
            </w:r>
            <w:r>
              <w:rPr>
                <w:rFonts w:hint="eastAsia" w:ascii="宋体" w:hAnsi="宋体" w:eastAsia="宋体" w:cs="宋体"/>
                <w:color w:val="auto"/>
                <w:szCs w:val="21"/>
                <w:highlight w:val="none"/>
              </w:rPr>
              <w:t>担任过</w:t>
            </w:r>
            <w:r>
              <w:rPr>
                <w:rFonts w:hint="eastAsia" w:ascii="宋体" w:hAnsi="宋体" w:eastAsia="宋体" w:cs="宋体"/>
                <w:color w:val="auto"/>
                <w:szCs w:val="21"/>
                <w:highlight w:val="none"/>
                <w:lang w:eastAsia="zh-CN"/>
              </w:rPr>
              <w:t>省、市、区</w:t>
            </w:r>
            <w:r>
              <w:rPr>
                <w:rFonts w:hint="eastAsia" w:ascii="宋体" w:hAnsi="宋体" w:eastAsia="宋体" w:cs="宋体"/>
                <w:color w:val="auto"/>
                <w:szCs w:val="21"/>
                <w:highlight w:val="none"/>
                <w:lang w:val="en-US" w:eastAsia="zh-CN"/>
              </w:rPr>
              <w:t>财评项目造价咨询</w:t>
            </w:r>
            <w:r>
              <w:rPr>
                <w:rFonts w:hint="eastAsia" w:ascii="宋体" w:hAnsi="宋体" w:eastAsia="宋体" w:cs="宋体"/>
                <w:color w:val="auto"/>
                <w:szCs w:val="21"/>
                <w:highlight w:val="none"/>
              </w:rPr>
              <w:t>工作的项目负责人</w:t>
            </w:r>
            <w:r>
              <w:rPr>
                <w:rFonts w:hint="eastAsia" w:ascii="宋体" w:hAnsi="宋体" w:eastAsia="宋体" w:cs="宋体"/>
                <w:color w:val="auto"/>
                <w:szCs w:val="21"/>
                <w:highlight w:val="none"/>
                <w:lang w:eastAsia="zh-CN"/>
              </w:rPr>
              <w:t>，每有一项业绩得</w:t>
            </w:r>
            <w:r>
              <w:rPr>
                <w:rFonts w:hint="eastAsia" w:ascii="宋体" w:hAnsi="宋体" w:eastAsia="宋体" w:cs="宋体"/>
                <w:color w:val="auto"/>
                <w:szCs w:val="21"/>
                <w:highlight w:val="none"/>
                <w:lang w:val="en-US" w:eastAsia="zh-CN"/>
              </w:rPr>
              <w:t>1分，最多得6分</w:t>
            </w:r>
            <w:r>
              <w:rPr>
                <w:rFonts w:hint="eastAsia" w:ascii="宋体" w:hAnsi="宋体" w:eastAsia="宋体" w:cs="宋体"/>
                <w:color w:val="auto"/>
                <w:szCs w:val="21"/>
                <w:highlight w:val="none"/>
                <w:lang w:eastAsia="zh-CN"/>
              </w:rPr>
              <w:t>。</w:t>
            </w:r>
          </w:p>
          <w:p>
            <w:pPr>
              <w:pStyle w:val="2"/>
              <w:ind w:firstLine="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eastAsia="zh-CN"/>
              </w:rPr>
              <w:t>注：</w:t>
            </w:r>
            <w:r>
              <w:rPr>
                <w:rFonts w:hint="eastAsia" w:ascii="宋体" w:hAnsi="宋体" w:eastAsia="宋体" w:cs="宋体"/>
                <w:color w:val="auto"/>
                <w:sz w:val="21"/>
                <w:szCs w:val="21"/>
                <w:highlight w:val="none"/>
              </w:rPr>
              <w:t>须提供</w:t>
            </w:r>
            <w:r>
              <w:rPr>
                <w:rFonts w:hint="eastAsia" w:ascii="宋体" w:hAnsi="宋体" w:eastAsia="宋体" w:cs="宋体"/>
                <w:color w:val="auto"/>
                <w:sz w:val="21"/>
                <w:szCs w:val="21"/>
                <w:highlight w:val="none"/>
                <w:lang w:eastAsia="zh-CN"/>
              </w:rPr>
              <w:t>证书</w:t>
            </w:r>
            <w:r>
              <w:rPr>
                <w:rFonts w:hint="eastAsia" w:ascii="宋体" w:hAnsi="宋体" w:eastAsia="宋体" w:cs="宋体"/>
                <w:color w:val="auto"/>
                <w:sz w:val="21"/>
                <w:szCs w:val="21"/>
                <w:highlight w:val="none"/>
              </w:rPr>
              <w:t>扫描件</w:t>
            </w:r>
            <w:r>
              <w:rPr>
                <w:rFonts w:hint="eastAsia" w:ascii="宋体" w:hAnsi="宋体" w:eastAsia="宋体" w:cs="宋体"/>
                <w:color w:val="auto"/>
                <w:sz w:val="21"/>
                <w:szCs w:val="21"/>
                <w:highlight w:val="none"/>
                <w:lang w:eastAsia="zh-CN"/>
              </w:rPr>
              <w:t>、职位证明</w:t>
            </w:r>
            <w:r>
              <w:rPr>
                <w:rFonts w:hint="eastAsia" w:ascii="宋体" w:hAnsi="宋体" w:eastAsia="宋体" w:cs="宋体"/>
                <w:color w:val="auto"/>
                <w:sz w:val="21"/>
                <w:szCs w:val="21"/>
                <w:highlight w:val="none"/>
              </w:rPr>
              <w:t>及投标人为其购买至投标截止日期近</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个月（2022年</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月）有效的社会保险证明文件扫描件并加盖单位公章，否则不得分。</w:t>
            </w:r>
            <w:r>
              <w:rPr>
                <w:rFonts w:hint="eastAsia" w:ascii="宋体" w:hAnsi="宋体" w:eastAsia="宋体" w:cs="宋体"/>
                <w:color w:val="auto"/>
                <w:szCs w:val="21"/>
                <w:highlight w:val="none"/>
              </w:rPr>
              <w:t>业绩证明资料须提供合同</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相关证明资料必须能反映出评标所需指标，否则相应子项不予计分；时间以合同文件签订时间为准。</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28" w:type="dxa"/>
            <w:vMerge w:val="continue"/>
            <w:tcBorders>
              <w:tl2br w:val="nil"/>
              <w:tr2bl w:val="nil"/>
            </w:tcBorders>
            <w:vAlign w:val="center"/>
          </w:tcPr>
          <w:p>
            <w:pPr>
              <w:jc w:val="center"/>
              <w:rPr>
                <w:rFonts w:hint="eastAsia" w:ascii="宋体" w:hAnsi="宋体" w:eastAsia="宋体" w:cs="宋体"/>
                <w:bCs/>
                <w:color w:val="auto"/>
                <w:sz w:val="21"/>
                <w:szCs w:val="21"/>
                <w:highlight w:val="none"/>
              </w:rPr>
            </w:pPr>
          </w:p>
        </w:tc>
        <w:tc>
          <w:tcPr>
            <w:tcW w:w="1290" w:type="dxa"/>
            <w:tcBorders>
              <w:tl2br w:val="nil"/>
              <w:tr2bl w:val="nil"/>
            </w:tcBorders>
            <w:vAlign w:val="center"/>
          </w:tcPr>
          <w:p>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审核和复核人员</w:t>
            </w:r>
          </w:p>
          <w:p>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4分</w:t>
            </w:r>
            <w:r>
              <w:rPr>
                <w:rFonts w:hint="eastAsia" w:ascii="宋体" w:hAnsi="宋体" w:eastAsia="宋体" w:cs="宋体"/>
                <w:bCs/>
                <w:color w:val="auto"/>
                <w:sz w:val="21"/>
                <w:szCs w:val="21"/>
                <w:highlight w:val="none"/>
                <w:lang w:eastAsia="zh-CN"/>
              </w:rPr>
              <w:t>）</w:t>
            </w:r>
          </w:p>
        </w:tc>
        <w:tc>
          <w:tcPr>
            <w:tcW w:w="6621" w:type="dxa"/>
            <w:tcBorders>
              <w:tl2br w:val="nil"/>
              <w:tr2bl w:val="nil"/>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Cs w:val="21"/>
                <w:highlight w:val="none"/>
              </w:rPr>
              <w:t>工作经验超过</w:t>
            </w:r>
            <w:r>
              <w:rPr>
                <w:rFonts w:hint="eastAsia" w:ascii="宋体" w:hAnsi="宋体" w:eastAsia="宋体" w:cs="宋体"/>
                <w:color w:val="auto"/>
                <w:szCs w:val="21"/>
                <w:highlight w:val="none"/>
                <w:lang w:eastAsia="zh-CN"/>
              </w:rPr>
              <w:t>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年的，</w:t>
            </w:r>
            <w:r>
              <w:rPr>
                <w:rFonts w:hint="eastAsia" w:ascii="宋体" w:hAnsi="宋体" w:eastAsia="宋体" w:cs="宋体"/>
                <w:color w:val="auto"/>
                <w:szCs w:val="21"/>
                <w:highlight w:val="none"/>
                <w:lang w:val="en-US" w:eastAsia="zh-CN"/>
              </w:rPr>
              <w:t>每有1人符合的得1分。本项最多</w:t>
            </w:r>
            <w:r>
              <w:rPr>
                <w:rFonts w:hint="eastAsia" w:ascii="宋体" w:hAnsi="宋体" w:eastAsia="宋体" w:cs="宋体"/>
                <w:color w:val="auto"/>
                <w:szCs w:val="21"/>
                <w:highlight w:val="none"/>
              </w:rPr>
              <w:t>得2分；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color w:val="auto"/>
                <w:highlight w:val="none"/>
                <w:lang w:val="en-US" w:eastAsia="zh-CN"/>
              </w:rPr>
              <w:t>具有高级或以上技术职称的</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每有1人符合的得1分。本项最多</w:t>
            </w:r>
            <w:r>
              <w:rPr>
                <w:rFonts w:hint="eastAsia" w:ascii="宋体" w:hAnsi="宋体" w:eastAsia="宋体" w:cs="宋体"/>
                <w:color w:val="auto"/>
                <w:szCs w:val="21"/>
                <w:highlight w:val="none"/>
              </w:rPr>
              <w:t>得2分</w:t>
            </w:r>
            <w:r>
              <w:rPr>
                <w:rFonts w:hint="eastAsia" w:ascii="宋体" w:hAnsi="宋体" w:eastAsia="宋体" w:cs="宋体"/>
                <w:color w:val="auto"/>
                <w:szCs w:val="21"/>
                <w:highlight w:val="none"/>
                <w:lang w:eastAsia="zh-CN"/>
              </w:rPr>
              <w:t>。</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r>
              <w:rPr>
                <w:rFonts w:hint="eastAsia" w:ascii="宋体" w:hAnsi="宋体" w:eastAsia="宋体" w:cs="宋体"/>
                <w:color w:val="auto"/>
                <w:sz w:val="21"/>
                <w:szCs w:val="21"/>
                <w:highlight w:val="none"/>
              </w:rPr>
              <w:t>须提供</w:t>
            </w:r>
            <w:r>
              <w:rPr>
                <w:rFonts w:hint="eastAsia" w:ascii="宋体" w:hAnsi="宋体" w:eastAsia="宋体" w:cs="宋体"/>
                <w:color w:val="auto"/>
                <w:sz w:val="21"/>
                <w:szCs w:val="21"/>
                <w:highlight w:val="none"/>
                <w:lang w:eastAsia="zh-CN"/>
              </w:rPr>
              <w:t>职称证、毕业证书复印</w:t>
            </w:r>
            <w:r>
              <w:rPr>
                <w:rFonts w:hint="eastAsia" w:ascii="宋体" w:hAnsi="宋体" w:eastAsia="宋体" w:cs="宋体"/>
                <w:color w:val="auto"/>
                <w:sz w:val="21"/>
                <w:szCs w:val="21"/>
                <w:highlight w:val="none"/>
              </w:rPr>
              <w:t>件</w:t>
            </w:r>
            <w:r>
              <w:rPr>
                <w:rFonts w:hint="eastAsia" w:ascii="宋体" w:hAnsi="宋体" w:eastAsia="宋体" w:cs="宋体"/>
                <w:color w:val="auto"/>
                <w:sz w:val="21"/>
                <w:szCs w:val="21"/>
                <w:highlight w:val="none"/>
                <w:lang w:eastAsia="zh-CN"/>
              </w:rPr>
              <w:t>并加盖投标人公章，</w:t>
            </w:r>
            <w:r>
              <w:rPr>
                <w:rFonts w:hint="eastAsia" w:ascii="宋体" w:hAnsi="宋体" w:eastAsia="宋体" w:cs="宋体"/>
                <w:color w:val="auto"/>
                <w:szCs w:val="21"/>
                <w:highlight w:val="none"/>
              </w:rPr>
              <w:t>工作经验以毕业证时间为准。</w:t>
            </w:r>
            <w:r>
              <w:rPr>
                <w:rFonts w:hint="eastAsia" w:ascii="宋体" w:hAnsi="宋体" w:eastAsia="宋体" w:cs="宋体"/>
                <w:color w:val="auto"/>
                <w:szCs w:val="21"/>
                <w:highlight w:val="none"/>
                <w:lang w:eastAsia="zh-CN"/>
              </w:rPr>
              <w:t>须提供</w:t>
            </w:r>
            <w:r>
              <w:rPr>
                <w:rFonts w:hint="eastAsia" w:ascii="宋体" w:hAnsi="宋体" w:eastAsia="宋体" w:cs="宋体"/>
                <w:color w:val="auto"/>
                <w:sz w:val="21"/>
                <w:szCs w:val="21"/>
                <w:highlight w:val="none"/>
              </w:rPr>
              <w:t>投标人为其购买至投标截止日期近</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个月（2022年</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月）有效的社会保险证明文件扫描件并加盖</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公章，否则不得分。</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28" w:type="dxa"/>
            <w:vMerge w:val="continue"/>
            <w:tcBorders>
              <w:tl2br w:val="nil"/>
              <w:tr2bl w:val="nil"/>
            </w:tcBorders>
            <w:vAlign w:val="center"/>
          </w:tcPr>
          <w:p>
            <w:pPr>
              <w:jc w:val="center"/>
              <w:rPr>
                <w:rFonts w:hint="eastAsia" w:ascii="宋体" w:hAnsi="宋体" w:eastAsia="宋体" w:cs="宋体"/>
                <w:bCs/>
                <w:color w:val="auto"/>
                <w:sz w:val="21"/>
                <w:szCs w:val="21"/>
                <w:highlight w:val="none"/>
              </w:rPr>
            </w:pPr>
          </w:p>
        </w:tc>
        <w:tc>
          <w:tcPr>
            <w:tcW w:w="1290" w:type="dxa"/>
            <w:tcBorders>
              <w:tl2br w:val="nil"/>
              <w:tr2bl w:val="nil"/>
            </w:tcBorders>
            <w:vAlign w:val="center"/>
          </w:tcPr>
          <w:p>
            <w:pPr>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编制</w:t>
            </w:r>
            <w:r>
              <w:rPr>
                <w:rFonts w:hint="eastAsia" w:ascii="宋体" w:hAnsi="宋体" w:eastAsia="宋体" w:cs="宋体"/>
                <w:color w:val="auto"/>
                <w:szCs w:val="21"/>
                <w:highlight w:val="none"/>
                <w:lang w:eastAsia="zh-CN"/>
              </w:rPr>
              <w:t>人员</w:t>
            </w:r>
            <w:r>
              <w:rPr>
                <w:rFonts w:hint="eastAsia" w:ascii="宋体" w:hAnsi="宋体" w:eastAsia="宋体" w:cs="宋体"/>
                <w:color w:val="auto"/>
                <w:szCs w:val="21"/>
                <w:highlight w:val="none"/>
                <w:lang w:val="en-US" w:eastAsia="zh-CN"/>
              </w:rPr>
              <w:t>及辅助人员</w:t>
            </w:r>
          </w:p>
          <w:p>
            <w:pPr>
              <w:pStyle w:val="2"/>
              <w:ind w:firstLine="0"/>
              <w:jc w:val="center"/>
              <w:rPr>
                <w:rFonts w:hint="eastAsia" w:ascii="宋体" w:hAnsi="宋体" w:eastAsia="宋体" w:cs="宋体"/>
                <w:color w:val="auto"/>
                <w:szCs w:val="21"/>
                <w:highlight w:val="none"/>
                <w:lang w:eastAsia="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5分</w:t>
            </w:r>
            <w:r>
              <w:rPr>
                <w:rFonts w:hint="eastAsia" w:ascii="宋体" w:hAnsi="宋体" w:eastAsia="宋体" w:cs="宋体"/>
                <w:bCs/>
                <w:color w:val="auto"/>
                <w:sz w:val="21"/>
                <w:szCs w:val="21"/>
                <w:highlight w:val="none"/>
                <w:lang w:eastAsia="zh-CN"/>
              </w:rPr>
              <w:t>）</w:t>
            </w:r>
          </w:p>
        </w:tc>
        <w:tc>
          <w:tcPr>
            <w:tcW w:w="6621" w:type="dxa"/>
            <w:tcBorders>
              <w:tl2br w:val="nil"/>
              <w:tr2bl w:val="nil"/>
            </w:tcBorders>
            <w:vAlign w:val="center"/>
          </w:tcPr>
          <w:p>
            <w:pPr>
              <w:spacing w:line="240" w:lineRule="auto"/>
              <w:ind w:right="105" w:rightChars="5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拟投入人员中，每具有一名土建（或土木建筑工程）专业一级注册造价工程师</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1分</w:t>
            </w:r>
            <w:r>
              <w:rPr>
                <w:rFonts w:hint="eastAsia" w:ascii="宋体" w:hAnsi="宋体" w:eastAsia="宋体" w:cs="宋体"/>
                <w:color w:val="auto"/>
                <w:szCs w:val="21"/>
                <w:highlight w:val="none"/>
              </w:rPr>
              <w:t>，本小项最多得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拟投入人员中，每具有一名</w:t>
            </w:r>
            <w:r>
              <w:rPr>
                <w:rFonts w:hint="eastAsia" w:ascii="宋体" w:hAnsi="宋体" w:eastAsia="宋体" w:cs="宋体"/>
                <w:color w:val="auto"/>
                <w:szCs w:val="21"/>
                <w:highlight w:val="none"/>
                <w:lang w:eastAsia="zh-CN"/>
              </w:rPr>
              <w:t>安装工程</w:t>
            </w:r>
            <w:r>
              <w:rPr>
                <w:rFonts w:hint="eastAsia" w:ascii="宋体" w:hAnsi="宋体" w:eastAsia="宋体" w:cs="宋体"/>
                <w:color w:val="auto"/>
                <w:szCs w:val="21"/>
                <w:highlight w:val="none"/>
              </w:rPr>
              <w:t>专业一级注册造价工程师</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分，本小项最多得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w:t>
            </w:r>
          </w:p>
          <w:p>
            <w:pPr>
              <w:pStyle w:val="2"/>
              <w:ind w:firstLine="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eastAsia="zh-CN"/>
              </w:rPr>
              <w:t>注：</w:t>
            </w:r>
            <w:r>
              <w:rPr>
                <w:rFonts w:hint="eastAsia" w:ascii="宋体" w:hAnsi="宋体" w:eastAsia="宋体" w:cs="宋体"/>
                <w:color w:val="auto"/>
                <w:sz w:val="21"/>
                <w:szCs w:val="21"/>
                <w:highlight w:val="none"/>
              </w:rPr>
              <w:t>须提供</w:t>
            </w:r>
            <w:r>
              <w:rPr>
                <w:rFonts w:hint="eastAsia" w:ascii="宋体" w:hAnsi="宋体" w:eastAsia="宋体" w:cs="宋体"/>
                <w:color w:val="auto"/>
                <w:sz w:val="21"/>
                <w:szCs w:val="21"/>
                <w:highlight w:val="none"/>
                <w:lang w:eastAsia="zh-CN"/>
              </w:rPr>
              <w:t>证书</w:t>
            </w:r>
            <w:r>
              <w:rPr>
                <w:rFonts w:hint="eastAsia" w:ascii="宋体" w:hAnsi="宋体" w:eastAsia="宋体" w:cs="宋体"/>
                <w:color w:val="auto"/>
                <w:sz w:val="21"/>
                <w:szCs w:val="21"/>
                <w:highlight w:val="none"/>
              </w:rPr>
              <w:t>扫描件及投标人为其购买至投标截止日期近</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个月（2022年</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月）有效的社会保险证明文件扫描件并加盖单位公章，否则不得分。</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28" w:type="dxa"/>
            <w:vMerge w:val="restart"/>
            <w:tcBorders>
              <w:tl2br w:val="nil"/>
              <w:tr2bl w:val="nil"/>
            </w:tcBorders>
            <w:vAlign w:val="center"/>
          </w:tcPr>
          <w:p>
            <w:pPr>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技术部分（</w:t>
            </w:r>
            <w:r>
              <w:rPr>
                <w:rFonts w:hint="eastAsia" w:ascii="宋体" w:hAnsi="宋体" w:eastAsia="宋体" w:cs="宋体"/>
                <w:bCs/>
                <w:color w:val="auto"/>
                <w:sz w:val="21"/>
                <w:szCs w:val="21"/>
                <w:highlight w:val="none"/>
                <w:lang w:val="en-US" w:eastAsia="zh-CN"/>
              </w:rPr>
              <w:t>30分</w:t>
            </w:r>
            <w:r>
              <w:rPr>
                <w:rFonts w:hint="eastAsia" w:ascii="宋体" w:hAnsi="宋体" w:eastAsia="宋体" w:cs="宋体"/>
                <w:bCs/>
                <w:color w:val="auto"/>
                <w:sz w:val="21"/>
                <w:szCs w:val="21"/>
                <w:highlight w:val="none"/>
                <w:lang w:eastAsia="zh-CN"/>
              </w:rPr>
              <w:t>）</w:t>
            </w:r>
          </w:p>
        </w:tc>
        <w:tc>
          <w:tcPr>
            <w:tcW w:w="1290" w:type="dxa"/>
            <w:tcBorders>
              <w:tl2br w:val="nil"/>
              <w:tr2bl w:val="nil"/>
            </w:tcBorders>
            <w:vAlign w:val="center"/>
          </w:tcPr>
          <w:p>
            <w:pPr>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eastAsia="zh-CN"/>
              </w:rPr>
              <w:t>对年度</w:t>
            </w:r>
            <w:r>
              <w:rPr>
                <w:rFonts w:hint="eastAsia" w:ascii="宋体" w:hAnsi="宋体" w:eastAsia="宋体" w:cs="宋体"/>
                <w:color w:val="auto"/>
                <w:sz w:val="21"/>
                <w:szCs w:val="21"/>
                <w:highlight w:val="none"/>
              </w:rPr>
              <w:t>造价咨询服务工作的理解（</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6621" w:type="dxa"/>
            <w:tcBorders>
              <w:tl2br w:val="nil"/>
              <w:tr2bl w:val="nil"/>
            </w:tcBorders>
            <w:vAlign w:val="center"/>
          </w:tcPr>
          <w:p>
            <w:pPr>
              <w:pStyle w:val="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年度</w:t>
            </w:r>
            <w:r>
              <w:rPr>
                <w:rFonts w:hint="eastAsia" w:ascii="宋体" w:hAnsi="宋体" w:eastAsia="宋体" w:cs="宋体"/>
                <w:color w:val="auto"/>
                <w:sz w:val="21"/>
                <w:szCs w:val="21"/>
                <w:highlight w:val="none"/>
              </w:rPr>
              <w:t>造价咨询</w:t>
            </w:r>
            <w:r>
              <w:rPr>
                <w:rFonts w:hint="eastAsia" w:ascii="宋体" w:hAnsi="宋体" w:eastAsia="宋体" w:cs="宋体"/>
                <w:color w:val="auto"/>
                <w:sz w:val="21"/>
                <w:szCs w:val="21"/>
                <w:highlight w:val="none"/>
                <w:lang w:eastAsia="zh-CN"/>
              </w:rPr>
              <w:t>服务工作</w:t>
            </w:r>
            <w:r>
              <w:rPr>
                <w:rFonts w:hint="eastAsia" w:ascii="宋体" w:hAnsi="宋体" w:eastAsia="宋体" w:cs="宋体"/>
                <w:color w:val="auto"/>
                <w:sz w:val="21"/>
                <w:szCs w:val="21"/>
                <w:highlight w:val="none"/>
              </w:rPr>
              <w:t>的理解：优</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7-8分，中得3-6分，差得0-2分</w:t>
            </w:r>
          </w:p>
          <w:p>
            <w:pPr>
              <w:pStyle w:val="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优:对</w:t>
            </w:r>
            <w:r>
              <w:rPr>
                <w:rFonts w:hint="eastAsia" w:ascii="宋体" w:hAnsi="宋体" w:eastAsia="宋体" w:cs="宋体"/>
                <w:color w:val="auto"/>
                <w:sz w:val="21"/>
                <w:szCs w:val="21"/>
                <w:highlight w:val="none"/>
                <w:lang w:eastAsia="zh-CN"/>
              </w:rPr>
              <w:t>年度</w:t>
            </w:r>
            <w:r>
              <w:rPr>
                <w:rFonts w:hint="eastAsia" w:ascii="宋体" w:hAnsi="宋体" w:eastAsia="宋体" w:cs="宋体"/>
                <w:color w:val="auto"/>
                <w:sz w:val="21"/>
                <w:szCs w:val="21"/>
                <w:highlight w:val="none"/>
              </w:rPr>
              <w:t>造价咨询</w:t>
            </w:r>
            <w:r>
              <w:rPr>
                <w:rFonts w:hint="eastAsia" w:ascii="宋体" w:hAnsi="宋体" w:eastAsia="宋体" w:cs="宋体"/>
                <w:color w:val="auto"/>
                <w:sz w:val="21"/>
                <w:szCs w:val="21"/>
                <w:highlight w:val="none"/>
                <w:lang w:eastAsia="zh-CN"/>
              </w:rPr>
              <w:t>服务工作</w:t>
            </w:r>
            <w:r>
              <w:rPr>
                <w:rFonts w:hint="eastAsia" w:ascii="宋体" w:hAnsi="宋体" w:eastAsia="宋体" w:cs="宋体"/>
                <w:color w:val="auto"/>
                <w:sz w:val="21"/>
                <w:szCs w:val="21"/>
                <w:highlight w:val="none"/>
              </w:rPr>
              <w:t>的理解准确、深入，重点难点剖析到位、合理；</w:t>
            </w:r>
          </w:p>
          <w:p>
            <w:pPr>
              <w:pStyle w:val="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中</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年度</w:t>
            </w:r>
            <w:r>
              <w:rPr>
                <w:rFonts w:hint="eastAsia" w:ascii="宋体" w:hAnsi="宋体" w:eastAsia="宋体" w:cs="宋体"/>
                <w:color w:val="auto"/>
                <w:sz w:val="21"/>
                <w:szCs w:val="21"/>
                <w:highlight w:val="none"/>
              </w:rPr>
              <w:t>造价咨询</w:t>
            </w:r>
            <w:r>
              <w:rPr>
                <w:rFonts w:hint="eastAsia" w:ascii="宋体" w:hAnsi="宋体" w:eastAsia="宋体" w:cs="宋体"/>
                <w:color w:val="auto"/>
                <w:sz w:val="21"/>
                <w:szCs w:val="21"/>
                <w:highlight w:val="none"/>
                <w:lang w:eastAsia="zh-CN"/>
              </w:rPr>
              <w:t>服务工作</w:t>
            </w:r>
            <w:r>
              <w:rPr>
                <w:rFonts w:hint="eastAsia" w:ascii="宋体" w:hAnsi="宋体" w:eastAsia="宋体" w:cs="宋体"/>
                <w:color w:val="auto"/>
                <w:sz w:val="21"/>
                <w:szCs w:val="21"/>
                <w:highlight w:val="none"/>
              </w:rPr>
              <w:t>的理解较准确、较深入，重点难点剖析较到位、较合理；</w:t>
            </w:r>
          </w:p>
          <w:p>
            <w:pPr>
              <w:pStyle w:val="5"/>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差:对</w:t>
            </w:r>
            <w:r>
              <w:rPr>
                <w:rFonts w:hint="eastAsia" w:ascii="宋体" w:hAnsi="宋体" w:eastAsia="宋体" w:cs="宋体"/>
                <w:color w:val="auto"/>
                <w:sz w:val="21"/>
                <w:szCs w:val="21"/>
                <w:highlight w:val="none"/>
                <w:lang w:eastAsia="zh-CN"/>
              </w:rPr>
              <w:t>年度</w:t>
            </w:r>
            <w:r>
              <w:rPr>
                <w:rFonts w:hint="eastAsia" w:ascii="宋体" w:hAnsi="宋体" w:eastAsia="宋体" w:cs="宋体"/>
                <w:color w:val="auto"/>
                <w:sz w:val="21"/>
                <w:szCs w:val="21"/>
                <w:highlight w:val="none"/>
              </w:rPr>
              <w:t>造价咨询</w:t>
            </w:r>
            <w:r>
              <w:rPr>
                <w:rFonts w:hint="eastAsia" w:ascii="宋体" w:hAnsi="宋体" w:eastAsia="宋体" w:cs="宋体"/>
                <w:color w:val="auto"/>
                <w:sz w:val="21"/>
                <w:szCs w:val="21"/>
                <w:highlight w:val="none"/>
                <w:lang w:eastAsia="zh-CN"/>
              </w:rPr>
              <w:t>服务工作</w:t>
            </w:r>
            <w:r>
              <w:rPr>
                <w:rFonts w:hint="eastAsia" w:ascii="宋体" w:hAnsi="宋体" w:eastAsia="宋体" w:cs="宋体"/>
                <w:color w:val="auto"/>
                <w:sz w:val="21"/>
                <w:szCs w:val="21"/>
                <w:highlight w:val="none"/>
                <w:lang w:val="en-US" w:eastAsia="zh-CN"/>
              </w:rPr>
              <w:t>的理解不够准确、不够深入，重点难点剖析不够到位、不够合理；</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28" w:type="dxa"/>
            <w:vMerge w:val="continue"/>
            <w:tcBorders>
              <w:tl2br w:val="nil"/>
              <w:tr2bl w:val="nil"/>
            </w:tcBorders>
            <w:vAlign w:val="center"/>
          </w:tcPr>
          <w:p>
            <w:pPr>
              <w:jc w:val="center"/>
              <w:rPr>
                <w:rFonts w:hint="eastAsia" w:ascii="宋体" w:hAnsi="宋体" w:eastAsia="宋体" w:cs="宋体"/>
                <w:bCs/>
                <w:color w:val="auto"/>
                <w:sz w:val="21"/>
                <w:szCs w:val="21"/>
                <w:highlight w:val="none"/>
              </w:rPr>
            </w:pPr>
          </w:p>
        </w:tc>
        <w:tc>
          <w:tcPr>
            <w:tcW w:w="1290" w:type="dxa"/>
            <w:tcBorders>
              <w:tl2br w:val="nil"/>
              <w:tr2bl w:val="nil"/>
            </w:tcBorders>
            <w:vAlign w:val="center"/>
          </w:tcPr>
          <w:p>
            <w:pPr>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eastAsia="zh-CN"/>
              </w:rPr>
              <w:t>年度</w:t>
            </w:r>
            <w:r>
              <w:rPr>
                <w:rFonts w:hint="eastAsia" w:ascii="宋体" w:hAnsi="宋体" w:eastAsia="宋体" w:cs="宋体"/>
                <w:color w:val="auto"/>
                <w:sz w:val="21"/>
                <w:szCs w:val="21"/>
                <w:highlight w:val="none"/>
              </w:rPr>
              <w:t>造价咨询工作实施方案（</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6621" w:type="dxa"/>
            <w:tcBorders>
              <w:tl2br w:val="nil"/>
              <w:tr2bl w:val="nil"/>
            </w:tcBorders>
            <w:vAlign w:val="center"/>
          </w:tcPr>
          <w:p>
            <w:pPr>
              <w:pStyle w:val="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年度</w:t>
            </w:r>
            <w:r>
              <w:rPr>
                <w:rFonts w:hint="eastAsia" w:ascii="宋体" w:hAnsi="宋体" w:eastAsia="宋体" w:cs="宋体"/>
                <w:color w:val="auto"/>
                <w:sz w:val="21"/>
                <w:szCs w:val="21"/>
                <w:highlight w:val="none"/>
              </w:rPr>
              <w:t>造价咨询</w:t>
            </w:r>
            <w:r>
              <w:rPr>
                <w:rFonts w:hint="eastAsia" w:ascii="宋体" w:hAnsi="宋体" w:eastAsia="宋体" w:cs="宋体"/>
                <w:color w:val="auto"/>
                <w:sz w:val="21"/>
                <w:szCs w:val="21"/>
                <w:highlight w:val="none"/>
                <w:lang w:eastAsia="zh-CN"/>
              </w:rPr>
              <w:t>服务</w:t>
            </w:r>
            <w:r>
              <w:rPr>
                <w:rFonts w:hint="eastAsia" w:ascii="宋体" w:hAnsi="宋体" w:eastAsia="宋体" w:cs="宋体"/>
                <w:color w:val="auto"/>
                <w:sz w:val="21"/>
                <w:szCs w:val="21"/>
                <w:highlight w:val="none"/>
              </w:rPr>
              <w:t>工作实施方案：优</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7-8分，中得3-6分，差得0-2分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优：实施方案具体、</w:t>
            </w:r>
            <w:r>
              <w:rPr>
                <w:rFonts w:hint="eastAsia" w:ascii="宋体" w:hAnsi="宋体" w:eastAsia="宋体" w:cs="宋体"/>
                <w:color w:val="auto"/>
                <w:sz w:val="21"/>
                <w:szCs w:val="21"/>
                <w:highlight w:val="none"/>
                <w:lang w:eastAsia="zh-CN"/>
              </w:rPr>
              <w:t>合理</w:t>
            </w:r>
            <w:r>
              <w:rPr>
                <w:rFonts w:hint="eastAsia" w:ascii="宋体" w:hAnsi="宋体" w:eastAsia="宋体" w:cs="宋体"/>
                <w:color w:val="auto"/>
                <w:sz w:val="21"/>
                <w:szCs w:val="21"/>
                <w:highlight w:val="none"/>
              </w:rPr>
              <w:t>，可操作性强，</w:t>
            </w:r>
            <w:r>
              <w:rPr>
                <w:rFonts w:hint="eastAsia" w:ascii="宋体" w:hAnsi="宋体" w:eastAsia="宋体" w:cs="宋体"/>
                <w:color w:val="auto"/>
                <w:sz w:val="21"/>
                <w:szCs w:val="21"/>
                <w:highlight w:val="none"/>
                <w:lang w:eastAsia="zh-CN"/>
              </w:rPr>
              <w:t>配合措施到位，</w:t>
            </w:r>
            <w:r>
              <w:rPr>
                <w:rFonts w:hint="eastAsia" w:ascii="宋体" w:hAnsi="宋体" w:eastAsia="宋体" w:cs="宋体"/>
                <w:color w:val="auto"/>
                <w:sz w:val="21"/>
                <w:szCs w:val="21"/>
                <w:highlight w:val="none"/>
              </w:rPr>
              <w:t>并能有效把握关键节点工作；</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中</w:t>
            </w:r>
            <w:r>
              <w:rPr>
                <w:rFonts w:hint="eastAsia" w:ascii="宋体" w:hAnsi="宋体" w:eastAsia="宋体" w:cs="宋体"/>
                <w:color w:val="auto"/>
                <w:sz w:val="21"/>
                <w:szCs w:val="21"/>
                <w:highlight w:val="none"/>
              </w:rPr>
              <w:t>；实施方案比较具体、合理，可操作实施，</w:t>
            </w:r>
            <w:r>
              <w:rPr>
                <w:rFonts w:hint="eastAsia" w:ascii="宋体" w:hAnsi="宋体" w:eastAsia="宋体" w:cs="宋体"/>
                <w:color w:val="auto"/>
                <w:sz w:val="21"/>
                <w:szCs w:val="21"/>
                <w:highlight w:val="none"/>
                <w:lang w:eastAsia="zh-CN"/>
              </w:rPr>
              <w:t>配合措施一般，</w:t>
            </w:r>
            <w:r>
              <w:rPr>
                <w:rFonts w:hint="eastAsia" w:ascii="宋体" w:hAnsi="宋体" w:eastAsia="宋体" w:cs="宋体"/>
                <w:color w:val="auto"/>
                <w:sz w:val="21"/>
                <w:szCs w:val="21"/>
                <w:highlight w:val="none"/>
              </w:rPr>
              <w:t>较能把握关键节点工作；</w:t>
            </w:r>
          </w:p>
          <w:p>
            <w:pP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eastAsia="zh-CN"/>
              </w:rPr>
              <w:t>差</w:t>
            </w:r>
            <w:r>
              <w:rPr>
                <w:rFonts w:hint="eastAsia" w:ascii="宋体" w:hAnsi="宋体" w:eastAsia="宋体" w:cs="宋体"/>
                <w:color w:val="auto"/>
                <w:sz w:val="21"/>
                <w:szCs w:val="21"/>
                <w:highlight w:val="none"/>
              </w:rPr>
              <w:t>：实施方案不够具体，</w:t>
            </w:r>
            <w:r>
              <w:rPr>
                <w:rFonts w:hint="eastAsia" w:ascii="宋体" w:hAnsi="宋体" w:eastAsia="宋体" w:cs="宋体"/>
                <w:color w:val="auto"/>
                <w:sz w:val="21"/>
                <w:szCs w:val="21"/>
                <w:highlight w:val="none"/>
                <w:lang w:eastAsia="zh-CN"/>
              </w:rPr>
              <w:t>配合措施不足，不</w:t>
            </w:r>
            <w:r>
              <w:rPr>
                <w:rFonts w:hint="eastAsia" w:ascii="宋体" w:hAnsi="宋体" w:eastAsia="宋体" w:cs="宋体"/>
                <w:color w:val="auto"/>
                <w:sz w:val="21"/>
                <w:szCs w:val="21"/>
                <w:highlight w:val="none"/>
              </w:rPr>
              <w:t>能把握关键节点工作。</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28" w:type="dxa"/>
            <w:vMerge w:val="continue"/>
            <w:tcBorders>
              <w:tl2br w:val="nil"/>
              <w:tr2bl w:val="nil"/>
            </w:tcBorders>
            <w:vAlign w:val="center"/>
          </w:tcPr>
          <w:p>
            <w:pPr>
              <w:jc w:val="center"/>
              <w:rPr>
                <w:rFonts w:hint="eastAsia" w:ascii="宋体" w:hAnsi="宋体" w:eastAsia="宋体" w:cs="宋体"/>
                <w:bCs/>
                <w:color w:val="auto"/>
                <w:sz w:val="21"/>
                <w:szCs w:val="21"/>
                <w:highlight w:val="none"/>
              </w:rPr>
            </w:pPr>
          </w:p>
        </w:tc>
        <w:tc>
          <w:tcPr>
            <w:tcW w:w="1290" w:type="dxa"/>
            <w:tcBorders>
              <w:tl2br w:val="nil"/>
              <w:tr2bl w:val="nil"/>
            </w:tcBorders>
            <w:vAlign w:val="center"/>
          </w:tcPr>
          <w:p>
            <w:pPr>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质量保证措施（</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6621" w:type="dxa"/>
            <w:tcBorders>
              <w:tl2br w:val="nil"/>
              <w:tr2bl w:val="nil"/>
            </w:tcBorders>
            <w:vAlign w:val="center"/>
          </w:tcPr>
          <w:p>
            <w:pPr>
              <w:pStyle w:val="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年度</w:t>
            </w:r>
            <w:r>
              <w:rPr>
                <w:rFonts w:hint="eastAsia" w:ascii="宋体" w:hAnsi="宋体" w:eastAsia="宋体" w:cs="宋体"/>
                <w:color w:val="auto"/>
                <w:sz w:val="21"/>
                <w:szCs w:val="21"/>
                <w:highlight w:val="none"/>
              </w:rPr>
              <w:t>造价咨询</w:t>
            </w:r>
            <w:r>
              <w:rPr>
                <w:rFonts w:hint="eastAsia" w:ascii="宋体" w:hAnsi="宋体" w:eastAsia="宋体" w:cs="宋体"/>
                <w:color w:val="auto"/>
                <w:sz w:val="21"/>
                <w:szCs w:val="21"/>
                <w:highlight w:val="none"/>
                <w:lang w:eastAsia="zh-CN"/>
              </w:rPr>
              <w:t>服务工作</w:t>
            </w:r>
            <w:r>
              <w:rPr>
                <w:rFonts w:hint="eastAsia" w:ascii="宋体" w:hAnsi="宋体" w:eastAsia="宋体" w:cs="宋体"/>
                <w:color w:val="auto"/>
                <w:sz w:val="21"/>
                <w:szCs w:val="21"/>
                <w:highlight w:val="none"/>
              </w:rPr>
              <w:t>质量保证措施：优</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7-8分，中得3-6分，差得0-2分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优：对</w:t>
            </w:r>
            <w:r>
              <w:rPr>
                <w:rFonts w:hint="eastAsia" w:ascii="宋体" w:hAnsi="宋体" w:eastAsia="宋体" w:cs="宋体"/>
                <w:color w:val="auto"/>
                <w:sz w:val="21"/>
                <w:szCs w:val="21"/>
                <w:highlight w:val="none"/>
                <w:lang w:eastAsia="zh-CN"/>
              </w:rPr>
              <w:t>年度</w:t>
            </w:r>
            <w:r>
              <w:rPr>
                <w:rFonts w:hint="eastAsia" w:ascii="宋体" w:hAnsi="宋体" w:eastAsia="宋体" w:cs="宋体"/>
                <w:color w:val="auto"/>
                <w:sz w:val="21"/>
                <w:szCs w:val="21"/>
                <w:highlight w:val="none"/>
              </w:rPr>
              <w:t>造价咨询服务工作能提出具体、有效、可行的保证措施，且保证措施全面；</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中</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年度</w:t>
            </w:r>
            <w:r>
              <w:rPr>
                <w:rFonts w:hint="eastAsia" w:ascii="宋体" w:hAnsi="宋体" w:eastAsia="宋体" w:cs="宋体"/>
                <w:color w:val="auto"/>
                <w:sz w:val="21"/>
                <w:szCs w:val="21"/>
                <w:highlight w:val="none"/>
              </w:rPr>
              <w:t>造价咨询服务工作能提出较有效、可行的保证措施，且保证措施为中等；</w:t>
            </w:r>
          </w:p>
          <w:p>
            <w:pP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eastAsia="zh-CN"/>
              </w:rPr>
              <w:t>差</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年度</w:t>
            </w:r>
            <w:r>
              <w:rPr>
                <w:rFonts w:hint="eastAsia" w:ascii="宋体" w:hAnsi="宋体" w:eastAsia="宋体" w:cs="宋体"/>
                <w:color w:val="auto"/>
                <w:sz w:val="21"/>
                <w:szCs w:val="21"/>
                <w:highlight w:val="none"/>
              </w:rPr>
              <w:t>造价咨询服务工作</w:t>
            </w:r>
            <w:r>
              <w:rPr>
                <w:rFonts w:hint="eastAsia" w:ascii="宋体" w:hAnsi="宋体" w:eastAsia="宋体" w:cs="宋体"/>
                <w:color w:val="auto"/>
                <w:sz w:val="21"/>
                <w:szCs w:val="21"/>
                <w:highlight w:val="none"/>
                <w:lang w:eastAsia="zh-CN"/>
              </w:rPr>
              <w:t>不</w:t>
            </w:r>
            <w:r>
              <w:rPr>
                <w:rFonts w:hint="eastAsia" w:ascii="宋体" w:hAnsi="宋体" w:eastAsia="宋体" w:cs="宋体"/>
                <w:color w:val="auto"/>
                <w:sz w:val="21"/>
                <w:szCs w:val="21"/>
                <w:highlight w:val="none"/>
              </w:rPr>
              <w:t>能提出有效、可行的保证措施，不够具体、全面。</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28" w:type="dxa"/>
            <w:vMerge w:val="continue"/>
            <w:tcBorders>
              <w:tl2br w:val="nil"/>
              <w:tr2bl w:val="nil"/>
            </w:tcBorders>
            <w:vAlign w:val="center"/>
          </w:tcPr>
          <w:p>
            <w:pPr>
              <w:jc w:val="center"/>
              <w:rPr>
                <w:rFonts w:hint="eastAsia" w:ascii="宋体" w:hAnsi="宋体" w:eastAsia="宋体" w:cs="宋体"/>
                <w:bCs/>
                <w:color w:val="auto"/>
                <w:sz w:val="21"/>
                <w:szCs w:val="21"/>
                <w:highlight w:val="none"/>
              </w:rPr>
            </w:pPr>
          </w:p>
        </w:tc>
        <w:tc>
          <w:tcPr>
            <w:tcW w:w="1290"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合理化建议</w:t>
            </w:r>
          </w:p>
          <w:p>
            <w:pPr>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6621" w:type="dxa"/>
            <w:tcBorders>
              <w:tl2br w:val="nil"/>
              <w:tr2bl w:val="nil"/>
            </w:tcBorders>
            <w:vAlign w:val="center"/>
          </w:tcPr>
          <w:p>
            <w:pPr>
              <w:pStyle w:val="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年度造价咨询服务工作</w:t>
            </w:r>
            <w:r>
              <w:rPr>
                <w:rFonts w:hint="eastAsia" w:ascii="宋体" w:hAnsi="宋体" w:eastAsia="宋体" w:cs="宋体"/>
                <w:color w:val="auto"/>
                <w:sz w:val="21"/>
                <w:szCs w:val="21"/>
                <w:highlight w:val="none"/>
              </w:rPr>
              <w:t>的合理化建议：优</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5-6分，中得3-4分，差得0-2分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优：合理化建议全面细致，结合实际。</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中</w:t>
            </w:r>
            <w:r>
              <w:rPr>
                <w:rFonts w:hint="eastAsia" w:ascii="宋体" w:hAnsi="宋体" w:eastAsia="宋体" w:cs="宋体"/>
                <w:color w:val="auto"/>
                <w:sz w:val="21"/>
                <w:szCs w:val="21"/>
                <w:highlight w:val="none"/>
              </w:rPr>
              <w:t>：合理化建议比较全面细致，比较结合实际。</w:t>
            </w:r>
          </w:p>
          <w:p>
            <w:pP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差：合理化建议不全面细致，不结合实际。</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9" w:hRule="atLeast"/>
        </w:trPr>
        <w:tc>
          <w:tcPr>
            <w:tcW w:w="1028" w:type="dxa"/>
            <w:tcBorders>
              <w:tl2br w:val="nil"/>
              <w:tr2bl w:val="nil"/>
            </w:tcBorders>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经济部分</w:t>
            </w:r>
          </w:p>
          <w:p>
            <w:pPr>
              <w:pStyle w:val="2"/>
              <w:ind w:firstLine="0"/>
              <w:rPr>
                <w:rFonts w:hint="eastAsia" w:ascii="宋体" w:hAnsi="宋体" w:eastAsia="宋体" w:cs="宋体"/>
                <w:bCs w:val="0"/>
                <w:color w:val="auto"/>
                <w:sz w:val="21"/>
                <w:szCs w:val="21"/>
                <w:highlight w:val="none"/>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25分</w:t>
            </w:r>
            <w:r>
              <w:rPr>
                <w:rFonts w:hint="eastAsia" w:ascii="宋体" w:hAnsi="宋体" w:eastAsia="宋体" w:cs="宋体"/>
                <w:bCs/>
                <w:color w:val="auto"/>
                <w:sz w:val="21"/>
                <w:szCs w:val="21"/>
                <w:highlight w:val="none"/>
                <w:lang w:eastAsia="zh-CN"/>
              </w:rPr>
              <w:t>）</w:t>
            </w:r>
          </w:p>
        </w:tc>
        <w:tc>
          <w:tcPr>
            <w:tcW w:w="1290" w:type="dxa"/>
            <w:tcBorders>
              <w:tl2br w:val="nil"/>
              <w:tr2bl w:val="nil"/>
            </w:tcBorders>
            <w:vAlign w:val="center"/>
          </w:tcPr>
          <w:p>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报价</w:t>
            </w:r>
            <w:r>
              <w:rPr>
                <w:rFonts w:hint="eastAsia" w:ascii="宋体" w:hAnsi="宋体" w:eastAsia="宋体" w:cs="宋体"/>
                <w:bCs/>
                <w:color w:val="auto"/>
                <w:sz w:val="21"/>
                <w:szCs w:val="21"/>
                <w:highlight w:val="none"/>
                <w:lang w:eastAsia="zh-CN"/>
              </w:rPr>
              <w:t>得</w:t>
            </w:r>
            <w:r>
              <w:rPr>
                <w:rFonts w:hint="eastAsia" w:ascii="宋体" w:hAnsi="宋体" w:eastAsia="宋体" w:cs="宋体"/>
                <w:bCs/>
                <w:color w:val="auto"/>
                <w:sz w:val="21"/>
                <w:szCs w:val="21"/>
                <w:highlight w:val="none"/>
              </w:rPr>
              <w:t>分</w:t>
            </w:r>
          </w:p>
          <w:p>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eastAsia="zh-CN"/>
              </w:rPr>
              <w:t>2</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tc>
        <w:tc>
          <w:tcPr>
            <w:tcW w:w="6621" w:type="dxa"/>
            <w:tcBorders>
              <w:tl2br w:val="nil"/>
              <w:tr2bl w:val="nil"/>
            </w:tcBorders>
            <w:vAlign w:val="center"/>
          </w:tcPr>
          <w:p>
            <w:pPr>
              <w:ind w:firstLine="0" w:firstLineChars="0"/>
              <w:rPr>
                <w:rFonts w:hint="eastAsia"/>
                <w:color w:val="auto"/>
                <w:highlight w:val="none"/>
                <w:lang w:eastAsia="zh-CN"/>
              </w:rPr>
            </w:pPr>
            <w:r>
              <w:rPr>
                <w:rFonts w:hint="eastAsia"/>
                <w:color w:val="auto"/>
                <w:highlight w:val="none"/>
                <w:lang w:eastAsia="zh-CN"/>
              </w:rPr>
              <w:t>若经过符合性审查，（</w:t>
            </w:r>
            <w:r>
              <w:rPr>
                <w:rFonts w:hint="eastAsia"/>
                <w:color w:val="auto"/>
                <w:highlight w:val="none"/>
                <w:lang w:val="en-US" w:eastAsia="zh-CN"/>
              </w:rPr>
              <w:t>1</w:t>
            </w:r>
            <w:r>
              <w:rPr>
                <w:rFonts w:hint="eastAsia"/>
                <w:color w:val="auto"/>
                <w:highlight w:val="none"/>
                <w:lang w:eastAsia="zh-CN"/>
              </w:rPr>
              <w:t>）入围投标单位为</w:t>
            </w:r>
            <w:r>
              <w:rPr>
                <w:rFonts w:hint="eastAsia"/>
                <w:color w:val="auto"/>
                <w:highlight w:val="none"/>
                <w:lang w:val="en-US" w:eastAsia="zh-CN"/>
              </w:rPr>
              <w:t>3至5家的，则</w:t>
            </w:r>
            <w:r>
              <w:rPr>
                <w:rFonts w:hint="eastAsia"/>
                <w:color w:val="auto"/>
                <w:highlight w:val="none"/>
              </w:rPr>
              <w:t>经济部分以</w:t>
            </w:r>
            <w:r>
              <w:rPr>
                <w:rFonts w:hint="eastAsia"/>
                <w:color w:val="auto"/>
                <w:highlight w:val="none"/>
                <w:lang w:eastAsia="zh-CN"/>
              </w:rPr>
              <w:t>入围投标</w:t>
            </w:r>
            <w:r>
              <w:rPr>
                <w:rFonts w:hint="eastAsia"/>
                <w:color w:val="auto"/>
                <w:highlight w:val="none"/>
              </w:rPr>
              <w:t>单位的有效</w:t>
            </w:r>
            <w:r>
              <w:rPr>
                <w:rFonts w:hint="eastAsia"/>
                <w:color w:val="auto"/>
                <w:highlight w:val="none"/>
                <w:lang w:eastAsia="zh-CN"/>
              </w:rPr>
              <w:t>总</w:t>
            </w:r>
            <w:r>
              <w:rPr>
                <w:rFonts w:hint="eastAsia"/>
                <w:color w:val="auto"/>
                <w:highlight w:val="none"/>
              </w:rPr>
              <w:t>报价的</w:t>
            </w:r>
            <w:r>
              <w:rPr>
                <w:rFonts w:hint="eastAsia"/>
                <w:color w:val="auto"/>
                <w:highlight w:val="none"/>
                <w:lang w:eastAsia="zh-CN"/>
              </w:rPr>
              <w:t>算术</w:t>
            </w:r>
            <w:r>
              <w:rPr>
                <w:rFonts w:hint="eastAsia"/>
                <w:color w:val="auto"/>
                <w:highlight w:val="none"/>
              </w:rPr>
              <w:t>平均</w:t>
            </w:r>
            <w:r>
              <w:rPr>
                <w:rFonts w:hint="eastAsia"/>
                <w:color w:val="auto"/>
                <w:highlight w:val="none"/>
                <w:lang w:eastAsia="zh-CN"/>
              </w:rPr>
              <w:t>值</w:t>
            </w:r>
            <w:r>
              <w:rPr>
                <w:rFonts w:hint="eastAsia"/>
                <w:color w:val="auto"/>
                <w:highlight w:val="none"/>
              </w:rPr>
              <w:t>作为基准价</w:t>
            </w: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）入围投标单位为</w:t>
            </w:r>
            <w:r>
              <w:rPr>
                <w:rFonts w:hint="eastAsia"/>
                <w:color w:val="auto"/>
                <w:highlight w:val="none"/>
                <w:lang w:val="en-US" w:eastAsia="zh-CN"/>
              </w:rPr>
              <w:t>6家或以上的，则去掉报价最高及报价最低的两家单位后，</w:t>
            </w:r>
            <w:r>
              <w:rPr>
                <w:rFonts w:hint="eastAsia"/>
                <w:color w:val="auto"/>
                <w:highlight w:val="none"/>
              </w:rPr>
              <w:t>经济部分以</w:t>
            </w:r>
            <w:r>
              <w:rPr>
                <w:rFonts w:hint="eastAsia"/>
                <w:color w:val="auto"/>
                <w:highlight w:val="none"/>
                <w:lang w:eastAsia="zh-CN"/>
              </w:rPr>
              <w:t>剩余入围投标</w:t>
            </w:r>
            <w:r>
              <w:rPr>
                <w:rFonts w:hint="eastAsia"/>
                <w:color w:val="auto"/>
                <w:highlight w:val="none"/>
              </w:rPr>
              <w:t>单位</w:t>
            </w:r>
            <w:r>
              <w:rPr>
                <w:rFonts w:hint="eastAsia"/>
                <w:color w:val="auto"/>
                <w:highlight w:val="none"/>
                <w:lang w:eastAsia="zh-CN"/>
              </w:rPr>
              <w:t>有效报价的算术</w:t>
            </w:r>
            <w:r>
              <w:rPr>
                <w:rFonts w:hint="eastAsia"/>
                <w:color w:val="auto"/>
                <w:highlight w:val="none"/>
              </w:rPr>
              <w:t>平均</w:t>
            </w:r>
            <w:r>
              <w:rPr>
                <w:rFonts w:hint="eastAsia"/>
                <w:color w:val="auto"/>
                <w:highlight w:val="none"/>
                <w:lang w:eastAsia="zh-CN"/>
              </w:rPr>
              <w:t>值</w:t>
            </w:r>
            <w:r>
              <w:rPr>
                <w:rFonts w:hint="eastAsia"/>
                <w:color w:val="auto"/>
                <w:highlight w:val="none"/>
              </w:rPr>
              <w:t>作为基准价</w:t>
            </w:r>
            <w:r>
              <w:rPr>
                <w:rFonts w:hint="eastAsia"/>
                <w:color w:val="auto"/>
                <w:highlight w:val="none"/>
                <w:lang w:eastAsia="zh-CN"/>
              </w:rPr>
              <w:t>。</w:t>
            </w:r>
          </w:p>
          <w:p>
            <w:pPr>
              <w:rPr>
                <w:rFonts w:hint="eastAsia"/>
                <w:color w:val="auto"/>
                <w:highlight w:val="none"/>
              </w:rPr>
            </w:pPr>
            <w:r>
              <w:rPr>
                <w:rFonts w:hint="eastAsia"/>
                <w:color w:val="auto"/>
                <w:highlight w:val="none"/>
                <w:lang w:eastAsia="zh-CN"/>
              </w:rPr>
              <w:t>投标下浮率</w:t>
            </w:r>
            <w:r>
              <w:rPr>
                <w:rFonts w:hint="eastAsia"/>
                <w:color w:val="auto"/>
                <w:highlight w:val="none"/>
              </w:rPr>
              <w:t>比基准值每</w:t>
            </w:r>
            <w:r>
              <w:rPr>
                <w:rFonts w:hint="eastAsia"/>
                <w:color w:val="auto"/>
                <w:highlight w:val="none"/>
                <w:lang w:eastAsia="zh-CN"/>
              </w:rPr>
              <w:t>上偏</w:t>
            </w:r>
            <w:r>
              <w:rPr>
                <w:rFonts w:hint="eastAsia"/>
                <w:color w:val="auto"/>
                <w:highlight w:val="none"/>
              </w:rPr>
              <w:t>1%扣</w:t>
            </w:r>
            <w:r>
              <w:rPr>
                <w:rFonts w:hint="eastAsia"/>
                <w:color w:val="auto"/>
                <w:highlight w:val="none"/>
                <w:lang w:eastAsia="zh-CN"/>
              </w:rPr>
              <w:t>0</w:t>
            </w:r>
            <w:r>
              <w:rPr>
                <w:rFonts w:hint="eastAsia"/>
                <w:color w:val="auto"/>
                <w:highlight w:val="none"/>
                <w:lang w:val="en-US" w:eastAsia="zh-CN"/>
              </w:rPr>
              <w:t>.5</w:t>
            </w:r>
            <w:r>
              <w:rPr>
                <w:rFonts w:hint="eastAsia"/>
                <w:color w:val="auto"/>
                <w:highlight w:val="none"/>
              </w:rPr>
              <w:t>分，每</w:t>
            </w:r>
            <w:r>
              <w:rPr>
                <w:rFonts w:hint="eastAsia"/>
                <w:color w:val="auto"/>
                <w:highlight w:val="none"/>
                <w:lang w:eastAsia="zh-CN"/>
              </w:rPr>
              <w:t>下偏</w:t>
            </w:r>
            <w:r>
              <w:rPr>
                <w:rFonts w:hint="eastAsia"/>
                <w:color w:val="auto"/>
                <w:highlight w:val="none"/>
              </w:rPr>
              <w:t>1%扣1分。计分公式：</w:t>
            </w:r>
          </w:p>
          <w:p>
            <w:pPr>
              <w:rPr>
                <w:rFonts w:hint="default"/>
                <w:color w:val="auto"/>
                <w:highlight w:val="none"/>
                <w:lang w:val="en-US" w:eastAsia="zh-CN"/>
              </w:rPr>
            </w:pPr>
            <w:r>
              <w:rPr>
                <w:rFonts w:hint="eastAsia"/>
                <w:color w:val="auto"/>
                <w:highlight w:val="none"/>
                <w:lang w:val="en-US" w:eastAsia="zh-CN"/>
              </w:rPr>
              <w:t>1、若投标下浮率大于基准值，则得分=</w:t>
            </w:r>
            <w:r>
              <w:rPr>
                <w:rFonts w:hint="eastAsia"/>
                <w:color w:val="auto"/>
                <w:highlight w:val="none"/>
                <w:lang w:eastAsia="zh-CN"/>
              </w:rPr>
              <w:t>2</w:t>
            </w:r>
            <w:r>
              <w:rPr>
                <w:rFonts w:hint="eastAsia"/>
                <w:color w:val="auto"/>
                <w:highlight w:val="none"/>
                <w:lang w:val="en-US" w:eastAsia="zh-CN"/>
              </w:rPr>
              <w:t>5</w:t>
            </w:r>
            <w:r>
              <w:rPr>
                <w:rFonts w:hint="eastAsia"/>
                <w:color w:val="auto"/>
                <w:highlight w:val="none"/>
              </w:rPr>
              <w:t>-</w:t>
            </w:r>
            <w:r>
              <w:rPr>
                <w:rFonts w:hint="eastAsia"/>
                <w:color w:val="auto"/>
                <w:highlight w:val="none"/>
                <w:lang w:val="en-US" w:eastAsia="zh-CN"/>
              </w:rPr>
              <w:t>[</w:t>
            </w:r>
            <w:r>
              <w:rPr>
                <w:rFonts w:hint="eastAsia"/>
                <w:color w:val="auto"/>
                <w:highlight w:val="none"/>
              </w:rPr>
              <w:t>（</w:t>
            </w:r>
            <w:r>
              <w:rPr>
                <w:rFonts w:hint="eastAsia"/>
                <w:color w:val="auto"/>
                <w:highlight w:val="none"/>
                <w:lang w:eastAsia="zh-CN"/>
              </w:rPr>
              <w:t>投标</w:t>
            </w:r>
            <w:r>
              <w:rPr>
                <w:rFonts w:hint="eastAsia"/>
                <w:color w:val="auto"/>
                <w:highlight w:val="none"/>
              </w:rPr>
              <w:t>下浮率-</w:t>
            </w:r>
            <w:r>
              <w:rPr>
                <w:rFonts w:hint="eastAsia"/>
                <w:color w:val="auto"/>
                <w:highlight w:val="none"/>
                <w:lang w:eastAsia="zh-CN"/>
              </w:rPr>
              <w:t>基准值</w:t>
            </w:r>
            <w:r>
              <w:rPr>
                <w:rFonts w:hint="eastAsia"/>
                <w:color w:val="auto"/>
                <w:highlight w:val="none"/>
              </w:rPr>
              <w:t>）</w:t>
            </w:r>
            <w:r>
              <w:rPr>
                <w:rFonts w:hint="eastAsia"/>
                <w:color w:val="auto"/>
                <w:highlight w:val="none"/>
                <w:lang w:val="en-US" w:eastAsia="zh-CN"/>
              </w:rPr>
              <w:t>/</w:t>
            </w:r>
            <w:r>
              <w:rPr>
                <w:rFonts w:hint="eastAsia"/>
                <w:color w:val="auto"/>
                <w:highlight w:val="none"/>
                <w:lang w:eastAsia="zh-CN"/>
              </w:rPr>
              <w:t>基准值</w:t>
            </w:r>
            <w:r>
              <w:rPr>
                <w:rFonts w:hint="eastAsia"/>
                <w:color w:val="auto"/>
                <w:highlight w:val="none"/>
                <w:lang w:val="en-US" w:eastAsia="zh-CN"/>
              </w:rPr>
              <w:t>]</w:t>
            </w:r>
            <w:r>
              <w:rPr>
                <w:rFonts w:hint="eastAsia"/>
                <w:color w:val="auto"/>
                <w:highlight w:val="none"/>
              </w:rPr>
              <w:t>*100*</w:t>
            </w:r>
            <w:r>
              <w:rPr>
                <w:rFonts w:hint="eastAsia"/>
                <w:color w:val="auto"/>
                <w:highlight w:val="none"/>
                <w:lang w:eastAsia="zh-CN"/>
              </w:rPr>
              <w:t>0</w:t>
            </w:r>
            <w:r>
              <w:rPr>
                <w:rFonts w:hint="eastAsia"/>
                <w:color w:val="auto"/>
                <w:highlight w:val="none"/>
                <w:lang w:val="en-US" w:eastAsia="zh-CN"/>
              </w:rPr>
              <w:t>.5</w:t>
            </w:r>
          </w:p>
          <w:p>
            <w:pPr>
              <w:rPr>
                <w:rFonts w:hint="eastAsia"/>
                <w:color w:val="auto"/>
                <w:highlight w:val="none"/>
                <w:lang w:val="en-US" w:eastAsia="zh-CN"/>
              </w:rPr>
            </w:pPr>
            <w:r>
              <w:rPr>
                <w:rFonts w:hint="eastAsia"/>
                <w:color w:val="auto"/>
                <w:highlight w:val="none"/>
                <w:lang w:val="en-US" w:eastAsia="zh-CN"/>
              </w:rPr>
              <w:t>2、若投标下浮率小于基准值，则得分=</w:t>
            </w:r>
            <w:r>
              <w:rPr>
                <w:rFonts w:hint="eastAsia"/>
                <w:color w:val="auto"/>
                <w:highlight w:val="none"/>
                <w:lang w:eastAsia="zh-CN"/>
              </w:rPr>
              <w:t>2</w:t>
            </w:r>
            <w:r>
              <w:rPr>
                <w:rFonts w:hint="eastAsia"/>
                <w:color w:val="auto"/>
                <w:highlight w:val="none"/>
                <w:lang w:val="en-US" w:eastAsia="zh-CN"/>
              </w:rPr>
              <w:t>5</w:t>
            </w:r>
            <w:r>
              <w:rPr>
                <w:rFonts w:hint="eastAsia"/>
                <w:color w:val="auto"/>
                <w:highlight w:val="none"/>
                <w:lang w:eastAsia="zh-CN"/>
              </w:rPr>
              <w:t>+</w:t>
            </w:r>
            <w:r>
              <w:rPr>
                <w:rFonts w:hint="eastAsia"/>
                <w:color w:val="auto"/>
                <w:highlight w:val="none"/>
                <w:lang w:val="en-US" w:eastAsia="zh-CN"/>
              </w:rPr>
              <w:t>[</w:t>
            </w:r>
            <w:r>
              <w:rPr>
                <w:rFonts w:hint="eastAsia"/>
                <w:color w:val="auto"/>
                <w:highlight w:val="none"/>
              </w:rPr>
              <w:t>（</w:t>
            </w:r>
            <w:r>
              <w:rPr>
                <w:rFonts w:hint="eastAsia"/>
                <w:color w:val="auto"/>
                <w:highlight w:val="none"/>
                <w:lang w:eastAsia="zh-CN"/>
              </w:rPr>
              <w:t>基准值</w:t>
            </w:r>
            <w:r>
              <w:rPr>
                <w:rFonts w:hint="eastAsia"/>
                <w:color w:val="auto"/>
                <w:highlight w:val="none"/>
                <w:lang w:val="en-US" w:eastAsia="zh-CN"/>
              </w:rPr>
              <w:t>-</w:t>
            </w:r>
            <w:r>
              <w:rPr>
                <w:rFonts w:hint="eastAsia"/>
                <w:color w:val="auto"/>
                <w:highlight w:val="none"/>
                <w:lang w:eastAsia="zh-CN"/>
              </w:rPr>
              <w:t>投标</w:t>
            </w:r>
            <w:r>
              <w:rPr>
                <w:rFonts w:hint="eastAsia"/>
                <w:color w:val="auto"/>
                <w:highlight w:val="none"/>
              </w:rPr>
              <w:t>下浮率）</w:t>
            </w:r>
            <w:r>
              <w:rPr>
                <w:rFonts w:hint="eastAsia"/>
                <w:color w:val="auto"/>
                <w:highlight w:val="none"/>
                <w:lang w:val="en-US" w:eastAsia="zh-CN"/>
              </w:rPr>
              <w:t>/</w:t>
            </w:r>
            <w:r>
              <w:rPr>
                <w:rFonts w:hint="eastAsia"/>
                <w:color w:val="auto"/>
                <w:highlight w:val="none"/>
                <w:lang w:eastAsia="zh-CN"/>
              </w:rPr>
              <w:t>基准值</w:t>
            </w:r>
            <w:r>
              <w:rPr>
                <w:rFonts w:hint="eastAsia"/>
                <w:color w:val="auto"/>
                <w:highlight w:val="none"/>
                <w:lang w:val="en-US" w:eastAsia="zh-CN"/>
              </w:rPr>
              <w:t>]</w:t>
            </w:r>
            <w:r>
              <w:rPr>
                <w:rFonts w:hint="eastAsia"/>
                <w:color w:val="auto"/>
                <w:highlight w:val="none"/>
              </w:rPr>
              <w:t>*100</w:t>
            </w:r>
            <w:r>
              <w:rPr>
                <w:rFonts w:hint="eastAsia"/>
                <w:color w:val="auto"/>
                <w:highlight w:val="none"/>
                <w:lang w:val="en-US" w:eastAsia="zh-CN"/>
              </w:rPr>
              <w:t>*1</w:t>
            </w:r>
          </w:p>
          <w:p>
            <w:pPr>
              <w:pStyle w:val="2"/>
              <w:ind w:firstLine="0"/>
              <w:rPr>
                <w:rFonts w:hint="default" w:eastAsiaTheme="minorEastAsia"/>
                <w:color w:val="auto"/>
                <w:highlight w:val="none"/>
                <w:lang w:val="en-US" w:eastAsia="zh-CN"/>
              </w:rPr>
            </w:pPr>
            <w:r>
              <w:rPr>
                <w:rFonts w:hint="eastAsia"/>
                <w:color w:val="auto"/>
                <w:highlight w:val="none"/>
                <w:lang w:val="en-US" w:eastAsia="zh-CN"/>
              </w:rPr>
              <w:t>3、若投标下浮率等于基准值，则得分=25</w:t>
            </w: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60" w:lineRule="exact"/>
        <w:rPr>
          <w:rFonts w:hint="eastAsia" w:ascii="宋体" w:hAnsi="宋体"/>
          <w:color w:val="auto"/>
          <w:szCs w:val="21"/>
          <w:highlight w:val="none"/>
        </w:rPr>
      </w:pPr>
      <w:r>
        <w:rPr>
          <w:rFonts w:hint="eastAsia" w:ascii="宋体" w:hAnsi="宋体"/>
          <w:color w:val="auto"/>
          <w:szCs w:val="21"/>
          <w:highlight w:val="none"/>
        </w:rPr>
        <w:t>注：1、中标后，招标人有权核查中标人投标文件中对应的各项原件，如发现存在提供虚假资料情况，招标人有权取消中标人的中标资格。</w:t>
      </w:r>
    </w:p>
    <w:p>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2、评分如出现小数点，则保留小数点后两位，第三位四舍五入。</w:t>
      </w:r>
    </w:p>
    <w:p>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3、投标人的综合得分为各评委的算术平均分。</w:t>
      </w:r>
    </w:p>
    <w:p>
      <w:pPr>
        <w:snapToGrid w:val="0"/>
        <w:ind w:left="74"/>
        <w:rPr>
          <w:rFonts w:hint="eastAsia" w:ascii="仿宋" w:hAnsi="仿宋" w:eastAsia="仿宋" w:cs="仿宋"/>
          <w:color w:val="auto"/>
          <w:szCs w:val="21"/>
          <w:highlight w:val="none"/>
        </w:rPr>
      </w:pPr>
    </w:p>
    <w:p>
      <w:pPr>
        <w:snapToGrid w:val="0"/>
        <w:ind w:left="74"/>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p>
    <w:p>
      <w:pPr>
        <w:spacing w:line="360" w:lineRule="auto"/>
        <w:jc w:val="left"/>
        <w:rPr>
          <w:rFonts w:hint="eastAsia" w:ascii="宋体" w:hAnsi="宋体" w:eastAsia="宋体" w:cs="宋体"/>
          <w:color w:val="auto"/>
          <w:sz w:val="24"/>
          <w:highlight w:val="none"/>
        </w:rPr>
      </w:pPr>
    </w:p>
    <w:sectPr>
      <w:pgSz w:w="12240" w:h="15840"/>
      <w:pgMar w:top="1440" w:right="1797" w:bottom="1440" w:left="1797" w:header="720" w:footer="720" w:gutter="0"/>
      <w:pgBorders>
        <w:top w:val="none" w:sz="0" w:space="0"/>
        <w:left w:val="none" w:sz="0" w:space="0"/>
        <w:bottom w:val="none" w:sz="0" w:space="0"/>
        <w:right w:val="none" w:sz="0" w:space="0"/>
      </w:pgBorders>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D658D1EC"/>
    <w:multiLevelType w:val="singleLevel"/>
    <w:tmpl w:val="D658D1EC"/>
    <w:lvl w:ilvl="0" w:tentative="0">
      <w:start w:val="1"/>
      <w:numFmt w:val="chineseCounting"/>
      <w:suff w:val="nothing"/>
      <w:lvlText w:val="%1、"/>
      <w:lvlJc w:val="left"/>
      <w:pPr>
        <w:ind w:left="0" w:firstLine="1134"/>
      </w:pPr>
      <w:rPr>
        <w:rFonts w:hint="eastAsia"/>
        <w:b/>
        <w:sz w:val="24"/>
      </w:rPr>
    </w:lvl>
  </w:abstractNum>
  <w:abstractNum w:abstractNumId="2">
    <w:nsid w:val="09AA123D"/>
    <w:multiLevelType w:val="singleLevel"/>
    <w:tmpl w:val="09AA123D"/>
    <w:lvl w:ilvl="0" w:tentative="0">
      <w:start w:val="1"/>
      <w:numFmt w:val="chineseCounting"/>
      <w:suff w:val="nothing"/>
      <w:lvlText w:val="（%1）"/>
      <w:lvlJc w:val="left"/>
      <w:pPr>
        <w:ind w:left="0" w:firstLine="1134"/>
      </w:pPr>
      <w:rPr>
        <w:rFonts w:hint="eastAsia"/>
      </w:rPr>
    </w:lvl>
  </w:abstractNum>
  <w:abstractNum w:abstractNumId="3">
    <w:nsid w:val="1A74046B"/>
    <w:multiLevelType w:val="singleLevel"/>
    <w:tmpl w:val="1A74046B"/>
    <w:lvl w:ilvl="0" w:tentative="0">
      <w:start w:val="1"/>
      <w:numFmt w:val="decimal"/>
      <w:suff w:val="nothing"/>
      <w:lvlText w:val="%1、"/>
      <w:lvlJc w:val="left"/>
    </w:lvl>
  </w:abstractNum>
  <w:abstractNum w:abstractNumId="4">
    <w:nsid w:val="61B5240C"/>
    <w:multiLevelType w:val="singleLevel"/>
    <w:tmpl w:val="61B5240C"/>
    <w:lvl w:ilvl="0" w:tentative="0">
      <w:start w:val="1"/>
      <w:numFmt w:val="decimal"/>
      <w:lvlText w:val="%1)"/>
      <w:lvlJc w:val="left"/>
      <w:pPr>
        <w:ind w:left="425" w:hanging="425"/>
      </w:pPr>
      <w:rPr>
        <w:rFonts w:hint="default"/>
      </w:rPr>
    </w:lvl>
  </w:abstractNum>
  <w:abstractNum w:abstractNumId="5">
    <w:nsid w:val="7C1C07B8"/>
    <w:multiLevelType w:val="multilevel"/>
    <w:tmpl w:val="7C1C07B8"/>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trackRevisions w:val="1"/>
  <w:documentProtection w:enforcement="0"/>
  <w:defaultTabStop w:val="420"/>
  <w:drawingGridHorizontalSpacing w:val="107"/>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1ZjliYzFmMGUxYjBmY2U5ZDZlZjE2ZGI3ZDYxMzUifQ=="/>
  </w:docVars>
  <w:rsids>
    <w:rsidRoot w:val="3B6D4312"/>
    <w:rsid w:val="0002289A"/>
    <w:rsid w:val="0002557B"/>
    <w:rsid w:val="0005254F"/>
    <w:rsid w:val="00085D0C"/>
    <w:rsid w:val="000B7B0A"/>
    <w:rsid w:val="000E0EC3"/>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93DB5"/>
    <w:rsid w:val="007A7407"/>
    <w:rsid w:val="007C0AF5"/>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96CE0"/>
    <w:rsid w:val="00BB3D24"/>
    <w:rsid w:val="00CA24DF"/>
    <w:rsid w:val="00D06D88"/>
    <w:rsid w:val="00D0796B"/>
    <w:rsid w:val="00D50CF1"/>
    <w:rsid w:val="00D650B3"/>
    <w:rsid w:val="00D85D6D"/>
    <w:rsid w:val="00DD64C1"/>
    <w:rsid w:val="00E14E87"/>
    <w:rsid w:val="00E85F0E"/>
    <w:rsid w:val="00EC3FB8"/>
    <w:rsid w:val="00EE23EE"/>
    <w:rsid w:val="00F15754"/>
    <w:rsid w:val="00F5751A"/>
    <w:rsid w:val="00FF33A0"/>
    <w:rsid w:val="00FF76D9"/>
    <w:rsid w:val="01345BFC"/>
    <w:rsid w:val="02781FBE"/>
    <w:rsid w:val="02E502D3"/>
    <w:rsid w:val="03404493"/>
    <w:rsid w:val="056F1061"/>
    <w:rsid w:val="060468F4"/>
    <w:rsid w:val="06093262"/>
    <w:rsid w:val="065D0FE0"/>
    <w:rsid w:val="07FB6510"/>
    <w:rsid w:val="090441B5"/>
    <w:rsid w:val="0A2B0D06"/>
    <w:rsid w:val="0EA03B8A"/>
    <w:rsid w:val="0F843597"/>
    <w:rsid w:val="0FA24D7D"/>
    <w:rsid w:val="0FE8213B"/>
    <w:rsid w:val="1015122F"/>
    <w:rsid w:val="13261131"/>
    <w:rsid w:val="13E64311"/>
    <w:rsid w:val="141958FD"/>
    <w:rsid w:val="14233C6D"/>
    <w:rsid w:val="14452035"/>
    <w:rsid w:val="168674BE"/>
    <w:rsid w:val="17681DB3"/>
    <w:rsid w:val="17882B1B"/>
    <w:rsid w:val="1A626F8D"/>
    <w:rsid w:val="1B4C759A"/>
    <w:rsid w:val="1C05708F"/>
    <w:rsid w:val="1C7E0797"/>
    <w:rsid w:val="1F6B0D23"/>
    <w:rsid w:val="1FD8393E"/>
    <w:rsid w:val="22573EF3"/>
    <w:rsid w:val="227411DF"/>
    <w:rsid w:val="23120459"/>
    <w:rsid w:val="23F41535"/>
    <w:rsid w:val="24267371"/>
    <w:rsid w:val="243F7487"/>
    <w:rsid w:val="25053D8A"/>
    <w:rsid w:val="256C0CC0"/>
    <w:rsid w:val="272B74FA"/>
    <w:rsid w:val="291224AD"/>
    <w:rsid w:val="296D72B6"/>
    <w:rsid w:val="299959C8"/>
    <w:rsid w:val="2D371624"/>
    <w:rsid w:val="2EC40C57"/>
    <w:rsid w:val="30155E33"/>
    <w:rsid w:val="30CD65D8"/>
    <w:rsid w:val="3153699B"/>
    <w:rsid w:val="31793F79"/>
    <w:rsid w:val="31E7287D"/>
    <w:rsid w:val="32701D7C"/>
    <w:rsid w:val="333268AE"/>
    <w:rsid w:val="33BF416F"/>
    <w:rsid w:val="372C4753"/>
    <w:rsid w:val="37A26BD4"/>
    <w:rsid w:val="3B6D4312"/>
    <w:rsid w:val="3D874491"/>
    <w:rsid w:val="3FA94C48"/>
    <w:rsid w:val="405D772B"/>
    <w:rsid w:val="4139103A"/>
    <w:rsid w:val="41B97E43"/>
    <w:rsid w:val="42C276A3"/>
    <w:rsid w:val="44800368"/>
    <w:rsid w:val="44B6565C"/>
    <w:rsid w:val="44BB42C8"/>
    <w:rsid w:val="467A1037"/>
    <w:rsid w:val="475D213E"/>
    <w:rsid w:val="48280C73"/>
    <w:rsid w:val="49460550"/>
    <w:rsid w:val="499D2BE5"/>
    <w:rsid w:val="4A1D620C"/>
    <w:rsid w:val="4CB2280F"/>
    <w:rsid w:val="4D1B2D86"/>
    <w:rsid w:val="4D9C287D"/>
    <w:rsid w:val="4DC53F66"/>
    <w:rsid w:val="4FDC4577"/>
    <w:rsid w:val="503A5229"/>
    <w:rsid w:val="53621A67"/>
    <w:rsid w:val="547E2EF8"/>
    <w:rsid w:val="55D41C4B"/>
    <w:rsid w:val="5C2E2250"/>
    <w:rsid w:val="5D6E232A"/>
    <w:rsid w:val="5DEB5222"/>
    <w:rsid w:val="5E1A6FB5"/>
    <w:rsid w:val="5F8D0480"/>
    <w:rsid w:val="5FE66831"/>
    <w:rsid w:val="60011137"/>
    <w:rsid w:val="60885EAF"/>
    <w:rsid w:val="60FC21BE"/>
    <w:rsid w:val="616F1702"/>
    <w:rsid w:val="63DB6B9E"/>
    <w:rsid w:val="64F55A2C"/>
    <w:rsid w:val="65407FEA"/>
    <w:rsid w:val="67550263"/>
    <w:rsid w:val="679077E4"/>
    <w:rsid w:val="69DF38CB"/>
    <w:rsid w:val="6A81518C"/>
    <w:rsid w:val="6CAF678B"/>
    <w:rsid w:val="6E1E08B2"/>
    <w:rsid w:val="6ED52E44"/>
    <w:rsid w:val="6F943663"/>
    <w:rsid w:val="70373C13"/>
    <w:rsid w:val="71082014"/>
    <w:rsid w:val="718C1FF2"/>
    <w:rsid w:val="73691968"/>
    <w:rsid w:val="75633B4C"/>
    <w:rsid w:val="77173809"/>
    <w:rsid w:val="781828A1"/>
    <w:rsid w:val="7890139C"/>
    <w:rsid w:val="79DB3251"/>
    <w:rsid w:val="7A15284A"/>
    <w:rsid w:val="7A4B048B"/>
    <w:rsid w:val="7A96669D"/>
    <w:rsid w:val="7C054C60"/>
    <w:rsid w:val="7C77067A"/>
    <w:rsid w:val="7CA258FC"/>
    <w:rsid w:val="7D3768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rFonts w:ascii="Calibri" w:hAnsi="Calibri"/>
      <w:szCs w:val="22"/>
    </w:rPr>
  </w:style>
  <w:style w:type="paragraph" w:styleId="5">
    <w:name w:val="annotation text"/>
    <w:basedOn w:val="1"/>
    <w:semiHidden/>
    <w:unhideWhenUsed/>
    <w:qFormat/>
    <w:uiPriority w:val="0"/>
    <w:pPr>
      <w:jc w:val="left"/>
    </w:pPr>
  </w:style>
  <w:style w:type="paragraph" w:styleId="6">
    <w:name w:val="Body Text"/>
    <w:basedOn w:val="1"/>
    <w:qFormat/>
    <w:uiPriority w:val="0"/>
  </w:style>
  <w:style w:type="paragraph" w:styleId="7">
    <w:name w:val="Plain Text"/>
    <w:basedOn w:val="1"/>
    <w:link w:val="28"/>
    <w:qFormat/>
    <w:uiPriority w:val="0"/>
    <w:rPr>
      <w:rFonts w:hint="eastAsia" w:ascii="宋体" w:hAnsi="Courier New" w:eastAsia="宋体" w:cs="Times New Roman"/>
      <w:szCs w:val="21"/>
    </w:rPr>
  </w:style>
  <w:style w:type="paragraph" w:styleId="8">
    <w:name w:val="Balloon Text"/>
    <w:basedOn w:val="1"/>
    <w:link w:val="26"/>
    <w:qFormat/>
    <w:uiPriority w:val="0"/>
    <w:rPr>
      <w:sz w:val="18"/>
      <w:szCs w:val="18"/>
    </w:rPr>
  </w:style>
  <w:style w:type="paragraph" w:styleId="9">
    <w:name w:val="footer"/>
    <w:basedOn w:val="1"/>
    <w:link w:val="25"/>
    <w:qFormat/>
    <w:uiPriority w:val="0"/>
    <w:pPr>
      <w:tabs>
        <w:tab w:val="center" w:pos="4153"/>
        <w:tab w:val="right" w:pos="8306"/>
      </w:tabs>
      <w:snapToGrid w:val="0"/>
      <w:jc w:val="left"/>
    </w:pPr>
    <w:rPr>
      <w:sz w:val="18"/>
      <w:szCs w:val="18"/>
    </w:rPr>
  </w:style>
  <w:style w:type="paragraph" w:styleId="10">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rPr>
      <w:rFonts w:ascii="Times New Roman" w:hAnsi="Times New Roman" w:eastAsia="宋体" w:cs="Times New Roman"/>
      <w:szCs w:val="21"/>
    </w:rPr>
  </w:style>
  <w:style w:type="paragraph" w:styleId="12">
    <w:name w:val="Body Text First Indent"/>
    <w:basedOn w:val="6"/>
    <w:link w:val="29"/>
    <w:qFormat/>
    <w:uiPriority w:val="0"/>
    <w:pPr>
      <w:spacing w:beforeAutospacing="1" w:after="120"/>
      <w:ind w:firstLine="420"/>
    </w:pPr>
    <w:rPr>
      <w:rFonts w:ascii="Times New Roman" w:hAnsi="Times New Roman" w:eastAsia="宋体" w:cs="Times New Roman"/>
      <w:szCs w:val="21"/>
    </w:rPr>
  </w:style>
  <w:style w:type="character" w:styleId="15">
    <w:name w:val="FollowedHyperlink"/>
    <w:basedOn w:val="14"/>
    <w:qFormat/>
    <w:uiPriority w:val="0"/>
    <w:rPr>
      <w:color w:val="0000FF"/>
      <w:u w:val="single"/>
    </w:rPr>
  </w:style>
  <w:style w:type="character" w:styleId="16">
    <w:name w:val="Hyperlink"/>
    <w:basedOn w:val="14"/>
    <w:qFormat/>
    <w:uiPriority w:val="0"/>
    <w:rPr>
      <w:color w:val="0000FF"/>
      <w:u w:val="single"/>
    </w:rPr>
  </w:style>
  <w:style w:type="paragraph" w:customStyle="1" w:styleId="17">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18">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19">
    <w:name w:val="列出段落1"/>
    <w:basedOn w:val="1"/>
    <w:qFormat/>
    <w:uiPriority w:val="0"/>
    <w:pPr>
      <w:ind w:firstLine="420" w:firstLineChars="200"/>
    </w:pPr>
    <w:rPr>
      <w:rFonts w:ascii="Calibri" w:hAnsi="Calibri" w:eastAsia="宋体" w:cs="Times New Roman"/>
      <w:szCs w:val="21"/>
    </w:rPr>
  </w:style>
  <w:style w:type="paragraph" w:customStyle="1" w:styleId="20">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1">
    <w:name w:val="10"/>
    <w:basedOn w:val="14"/>
    <w:qFormat/>
    <w:uiPriority w:val="0"/>
    <w:rPr>
      <w:rFonts w:hint="default" w:ascii="Times New Roman" w:hAnsi="Times New Roman" w:cs="Times New Roman"/>
    </w:rPr>
  </w:style>
  <w:style w:type="character" w:customStyle="1" w:styleId="22">
    <w:name w:val="15"/>
    <w:basedOn w:val="14"/>
    <w:qFormat/>
    <w:uiPriority w:val="0"/>
    <w:rPr>
      <w:rFonts w:hint="default" w:ascii="Times New Roman" w:hAnsi="Times New Roman" w:cs="Times New Roman"/>
    </w:rPr>
  </w:style>
  <w:style w:type="character" w:customStyle="1" w:styleId="23">
    <w:name w:val="16"/>
    <w:basedOn w:val="14"/>
    <w:qFormat/>
    <w:uiPriority w:val="0"/>
    <w:rPr>
      <w:rFonts w:hint="default" w:ascii="Times New Roman" w:hAnsi="Times New Roman" w:cs="Times New Roman"/>
      <w:color w:val="0000FF"/>
      <w:u w:val="single"/>
    </w:rPr>
  </w:style>
  <w:style w:type="character" w:customStyle="1" w:styleId="24">
    <w:name w:val="页眉 Char"/>
    <w:basedOn w:val="14"/>
    <w:link w:val="10"/>
    <w:qFormat/>
    <w:uiPriority w:val="0"/>
    <w:rPr>
      <w:rFonts w:asciiTheme="minorHAnsi" w:hAnsiTheme="minorHAnsi" w:eastAsiaTheme="minorEastAsia" w:cstheme="minorBidi"/>
      <w:kern w:val="2"/>
      <w:sz w:val="18"/>
      <w:szCs w:val="18"/>
    </w:rPr>
  </w:style>
  <w:style w:type="character" w:customStyle="1" w:styleId="25">
    <w:name w:val="页脚 Char"/>
    <w:basedOn w:val="14"/>
    <w:link w:val="9"/>
    <w:qFormat/>
    <w:uiPriority w:val="0"/>
    <w:rPr>
      <w:rFonts w:asciiTheme="minorHAnsi" w:hAnsiTheme="minorHAnsi" w:eastAsiaTheme="minorEastAsia" w:cstheme="minorBidi"/>
      <w:kern w:val="2"/>
      <w:sz w:val="18"/>
      <w:szCs w:val="18"/>
    </w:rPr>
  </w:style>
  <w:style w:type="character" w:customStyle="1" w:styleId="26">
    <w:name w:val="批注框文本 Char"/>
    <w:basedOn w:val="14"/>
    <w:link w:val="8"/>
    <w:qFormat/>
    <w:uiPriority w:val="0"/>
    <w:rPr>
      <w:rFonts w:asciiTheme="minorHAnsi" w:hAnsiTheme="minorHAnsi" w:eastAsiaTheme="minorEastAsia" w:cstheme="minorBidi"/>
      <w:kern w:val="2"/>
      <w:sz w:val="18"/>
      <w:szCs w:val="18"/>
    </w:rPr>
  </w:style>
  <w:style w:type="paragraph" w:customStyle="1" w:styleId="27">
    <w:name w:val="WPSOffice手动目录 1"/>
    <w:qFormat/>
    <w:uiPriority w:val="0"/>
    <w:rPr>
      <w:rFonts w:ascii="Times New Roman" w:hAnsi="Times New Roman" w:eastAsia="宋体" w:cs="Times New Roman"/>
      <w:lang w:val="en-US" w:eastAsia="zh-CN" w:bidi="ar-SA"/>
    </w:rPr>
  </w:style>
  <w:style w:type="character" w:customStyle="1" w:styleId="28">
    <w:name w:val="纯文本 Char"/>
    <w:link w:val="7"/>
    <w:qFormat/>
    <w:uiPriority w:val="0"/>
    <w:rPr>
      <w:rFonts w:ascii="宋体" w:hAnsi="Courier New"/>
      <w:kern w:val="2"/>
      <w:sz w:val="21"/>
      <w:szCs w:val="21"/>
    </w:rPr>
  </w:style>
  <w:style w:type="character" w:customStyle="1" w:styleId="29">
    <w:name w:val="正文首行缩进 Char"/>
    <w:basedOn w:val="14"/>
    <w:link w:val="12"/>
    <w:qFormat/>
    <w:uiPriority w:val="0"/>
    <w:rPr>
      <w:kern w:val="2"/>
      <w:sz w:val="21"/>
      <w:szCs w:val="21"/>
    </w:rPr>
  </w:style>
  <w:style w:type="paragraph" w:styleId="30">
    <w:name w:val="List Paragraph"/>
    <w:basedOn w:val="1"/>
    <w:unhideWhenUsed/>
    <w:qFormat/>
    <w:uiPriority w:val="99"/>
    <w:pPr>
      <w:ind w:firstLine="420" w:firstLineChars="200"/>
    </w:pPr>
  </w:style>
  <w:style w:type="paragraph" w:customStyle="1" w:styleId="31">
    <w:name w:val="正文_1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
    <w:name w:val="p0"/>
    <w:basedOn w:val="1"/>
    <w:qFormat/>
    <w:uiPriority w:val="0"/>
    <w:pPr>
      <w:widowControl/>
    </w:pPr>
    <w:rPr>
      <w:rFonts w:ascii="宋体" w:hAnsi="宋体" w:eastAsia="宋体" w:cs="宋体"/>
      <w:kern w:val="0"/>
      <w:szCs w:val="21"/>
    </w:rPr>
  </w:style>
  <w:style w:type="paragraph" w:customStyle="1" w:styleId="33">
    <w:name w:val="正文_1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表格文字"/>
    <w:basedOn w:val="1"/>
    <w:qFormat/>
    <w:uiPriority w:val="0"/>
    <w:pPr>
      <w:spacing w:before="25" w:after="25"/>
      <w:jc w:val="left"/>
    </w:pPr>
    <w:rPr>
      <w:bCs/>
      <w:spacing w:val="10"/>
      <w:kern w:val="0"/>
      <w:sz w:val="24"/>
    </w:rPr>
  </w:style>
  <w:style w:type="paragraph" w:customStyle="1" w:styleId="35">
    <w:name w:val="正文_1_0"/>
    <w:qFormat/>
    <w:uiPriority w:val="0"/>
    <w:pPr>
      <w:spacing w:after="200" w:line="276" w:lineRule="auto"/>
    </w:pPr>
    <w:rPr>
      <w:rFonts w:ascii="Times New Roman" w:hAnsi="Times New Roman" w:eastAsia="宋体" w:cs="Times New Roman"/>
      <w:sz w:val="21"/>
      <w:lang w:val="en-US" w:eastAsia="zh-CN" w:bidi="ar-SA"/>
    </w:rPr>
  </w:style>
  <w:style w:type="paragraph" w:customStyle="1" w:styleId="36">
    <w:name w:val="正文_8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正文_0"/>
    <w:qFormat/>
    <w:uiPriority w:val="0"/>
    <w:pPr>
      <w:spacing w:after="200" w:line="276" w:lineRule="auto"/>
    </w:pPr>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0Internet%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0Internet%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02E346-3C4A-4BDB-BC49-390A630B576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41</Pages>
  <Words>16296</Words>
  <Characters>17122</Characters>
  <Lines>195</Lines>
  <Paragraphs>54</Paragraphs>
  <TotalTime>4</TotalTime>
  <ScaleCrop>false</ScaleCrop>
  <LinksUpToDate>false</LinksUpToDate>
  <CharactersWithSpaces>17966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2020-02-27T11:18:00Z</dcterms:created>
  <dc:creator>李晓晨</dc:creator>
  <cp:lastModifiedBy>Lenovo</cp:lastModifiedBy>
  <dcterms:modified xsi:type="dcterms:W3CDTF">2022-11-17T08:07:30Z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5501F9F6F3CE4942A290337B100627AD</vt:lpwstr>
  </property>
</Properties>
</file>