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ascii="仿宋_GB2312" w:hAnsi="仿宋_GB2312" w:eastAsia="仿宋_GB2312" w:cs="仿宋_GB2312"/>
          <w:color w:val="000000" w:themeColor="text1"/>
          <w:sz w:val="32"/>
          <w:szCs w:val="32"/>
          <w:lang w:val="zh-CN"/>
          <w14:textFill>
            <w14:solidFill>
              <w14:schemeClr w14:val="tx1"/>
            </w14:solidFill>
          </w14:textFill>
        </w:rPr>
      </w:pPr>
    </w:p>
    <w:p>
      <w:pPr>
        <w:spacing w:line="360" w:lineRule="auto"/>
        <w:ind w:left="720"/>
        <w:rPr>
          <w:rFonts w:ascii="仿宋_GB2312" w:hAnsi="仿宋_GB2312" w:eastAsia="仿宋_GB2312" w:cs="仿宋_GB2312"/>
          <w:color w:val="000000" w:themeColor="text1"/>
          <w14:textFill>
            <w14:solidFill>
              <w14:schemeClr w14:val="tx1"/>
            </w14:solidFill>
          </w14:textFill>
        </w:rPr>
      </w:pPr>
    </w:p>
    <w:p>
      <w:pPr>
        <w:spacing w:line="360"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 xml:space="preserve"> </w:t>
      </w:r>
      <w:r>
        <w:rPr>
          <w:rFonts w:ascii="黑体" w:hAnsi="黑体" w:eastAsia="黑体" w:cs="黑体"/>
          <w:color w:val="000000" w:themeColor="text1"/>
          <w:sz w:val="44"/>
          <w:szCs w:val="44"/>
          <w14:textFill>
            <w14:solidFill>
              <w14:schemeClr w14:val="tx1"/>
            </w14:solidFill>
          </w14:textFill>
        </w:rPr>
        <w:t xml:space="preserve"> </w:t>
      </w:r>
      <w:r>
        <w:rPr>
          <w:rFonts w:hint="eastAsia" w:ascii="黑体" w:hAnsi="黑体" w:eastAsia="黑体" w:cs="黑体"/>
          <w:color w:val="000000" w:themeColor="text1"/>
          <w:sz w:val="44"/>
          <w:szCs w:val="44"/>
          <w14:textFill>
            <w14:solidFill>
              <w14:schemeClr w14:val="tx1"/>
            </w14:solidFill>
          </w14:textFill>
        </w:rPr>
        <w:t>南沙金融大厦外立面招牌楼面立体字标识项目</w:t>
      </w: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tabs>
          <w:tab w:val="left" w:pos="2160"/>
        </w:tabs>
        <w:spacing w:line="300" w:lineRule="auto"/>
        <w:jc w:val="center"/>
        <w:rPr>
          <w:rFonts w:ascii="宋体-18030" w:hAnsi="宋体-18030" w:eastAsia="宋体-18030" w:cs="宋体-18030"/>
          <w:b/>
          <w:color w:val="000000" w:themeColor="text1"/>
          <w:spacing w:val="120"/>
          <w:sz w:val="84"/>
          <w:szCs w:val="84"/>
          <w14:textFill>
            <w14:solidFill>
              <w14:schemeClr w14:val="tx1"/>
            </w14:solidFill>
          </w14:textFill>
        </w:rPr>
      </w:pPr>
      <w:r>
        <w:rPr>
          <w:rFonts w:hint="eastAsia" w:ascii="宋体-18030" w:hAnsi="宋体-18030" w:eastAsia="宋体-18030" w:cs="宋体-18030"/>
          <w:b/>
          <w:color w:val="000000" w:themeColor="text1"/>
          <w:spacing w:val="120"/>
          <w:position w:val="-2"/>
          <w:sz w:val="84"/>
          <w:szCs w:val="84"/>
          <w14:textFill>
            <w14:solidFill>
              <w14:schemeClr w14:val="tx1"/>
            </w14:solidFill>
          </w14:textFill>
        </w:rPr>
        <w:t>招标文件</w:t>
      </w: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p>
    <w:p>
      <w:pPr>
        <w:spacing w:line="360" w:lineRule="auto"/>
        <w:rPr>
          <w:rFonts w:ascii="仿宋_GB2312" w:hAnsi="仿宋_GB2312" w:eastAsia="仿宋_GB2312" w:cs="仿宋_GB2312"/>
          <w:color w:val="000000" w:themeColor="text1"/>
          <w:sz w:val="36"/>
          <w:szCs w:val="36"/>
          <w14:textFill>
            <w14:solidFill>
              <w14:schemeClr w14:val="tx1"/>
            </w14:solidFill>
          </w14:textFill>
        </w:rPr>
      </w:pPr>
    </w:p>
    <w:p>
      <w:pPr>
        <w:pStyle w:val="2"/>
        <w:rPr>
          <w:rFonts w:ascii="仿宋_GB2312" w:hAnsi="仿宋_GB2312" w:eastAsia="仿宋_GB2312" w:cs="仿宋_GB2312"/>
          <w:color w:val="000000" w:themeColor="text1"/>
          <w14:textFill>
            <w14:solidFill>
              <w14:schemeClr w14:val="tx1"/>
            </w14:solidFill>
          </w14:textFill>
        </w:rPr>
      </w:pPr>
    </w:p>
    <w:p>
      <w:pPr>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 xml:space="preserve"> 广州南沙资产经营集团有限公司</w:t>
      </w:r>
    </w:p>
    <w:p>
      <w:pPr>
        <w:jc w:val="center"/>
        <w:rPr>
          <w:rFonts w:ascii="黑体" w:hAnsi="黑体" w:eastAsia="黑体" w:cs="黑体"/>
          <w:color w:val="000000" w:themeColor="text1"/>
          <w:sz w:val="44"/>
          <w:szCs w:val="44"/>
          <w14:textFill>
            <w14:solidFill>
              <w14:schemeClr w14:val="tx1"/>
            </w14:solidFill>
          </w14:textFill>
        </w:rPr>
      </w:pPr>
    </w:p>
    <w:p>
      <w:pPr>
        <w:jc w:val="center"/>
        <w:rPr>
          <w:rFonts w:ascii="黑体" w:hAnsi="黑体" w:eastAsia="黑体" w:cs="黑体"/>
          <w:color w:val="000000" w:themeColor="text1"/>
          <w:sz w:val="44"/>
          <w:szCs w:val="44"/>
          <w14:textFill>
            <w14:solidFill>
              <w14:schemeClr w14:val="tx1"/>
            </w14:solidFill>
          </w14:textFill>
        </w:rPr>
        <w:sectPr>
          <w:footerReference r:id="rId7" w:type="first"/>
          <w:headerReference r:id="rId3" w:type="default"/>
          <w:footerReference r:id="rId5" w:type="default"/>
          <w:headerReference r:id="rId4" w:type="even"/>
          <w:footerReference r:id="rId6" w:type="even"/>
          <w:pgSz w:w="11906" w:h="16838"/>
          <w:pgMar w:top="1440" w:right="1646" w:bottom="1440" w:left="1620" w:header="851" w:footer="992" w:gutter="0"/>
          <w:cols w:space="720" w:num="1"/>
          <w:docGrid w:type="lines" w:linePitch="312" w:charSpace="0"/>
        </w:sectPr>
      </w:pPr>
      <w:r>
        <w:rPr>
          <w:rFonts w:hint="eastAsia" w:ascii="黑体" w:hAnsi="黑体" w:eastAsia="黑体" w:cs="黑体"/>
          <w:color w:val="000000" w:themeColor="text1"/>
          <w:sz w:val="44"/>
          <w:szCs w:val="44"/>
          <w14:textFill>
            <w14:solidFill>
              <w14:schemeClr w14:val="tx1"/>
            </w14:solidFill>
          </w14:textFill>
        </w:rPr>
        <w:t>2022年12月</w:t>
      </w:r>
    </w:p>
    <w:p>
      <w:pPr>
        <w:pageBreakBefore w:val="0"/>
        <w:widowControl w:val="0"/>
        <w:kinsoku/>
        <w:overflowPunct/>
        <w:topLinePunct w:val="0"/>
        <w:autoSpaceDE/>
        <w:autoSpaceDN/>
        <w:bidi w:val="0"/>
        <w:adjustRightInd/>
        <w:snapToGrid/>
        <w:spacing w:line="560" w:lineRule="exact"/>
        <w:jc w:val="center"/>
        <w:textAlignment w:val="auto"/>
        <w:outlineLvl w:val="0"/>
        <w:rPr>
          <w:rFonts w:ascii="黑体" w:hAnsi="黑体" w:eastAsia="黑体"/>
          <w:b/>
          <w:sz w:val="32"/>
          <w:szCs w:val="32"/>
        </w:rPr>
      </w:pPr>
      <w:r>
        <w:rPr>
          <w:rFonts w:hint="eastAsia" w:ascii="黑体" w:hAnsi="黑体" w:eastAsia="黑体"/>
          <w:b/>
          <w:sz w:val="32"/>
          <w:szCs w:val="32"/>
        </w:rPr>
        <w:t>第一部分  邀 请 函</w:t>
      </w:r>
    </w:p>
    <w:p>
      <w:pPr>
        <w:pageBreakBefore w:val="0"/>
        <w:widowControl w:val="0"/>
        <w:kinsoku/>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广州南沙资产经营集团有限公司现对南沙金融大厦外立面招牌楼面立体字标识进行邀请招标，欢迎符合资格条件的供应商投标。</w:t>
      </w:r>
    </w:p>
    <w:p>
      <w:pPr>
        <w:pageBreakBefore w:val="0"/>
        <w:widowControl w:val="0"/>
        <w:kinsoku/>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sz w:val="32"/>
          <w:szCs w:val="32"/>
        </w:rPr>
        <w:t>一、项目管理单位：</w:t>
      </w:r>
      <w:r>
        <w:rPr>
          <w:rFonts w:hint="eastAsia" w:ascii="仿宋_GB2312" w:hAnsi="仿宋_GB2312" w:eastAsia="仿宋_GB2312" w:cs="仿宋_GB2312"/>
          <w:color w:val="000000" w:themeColor="text1"/>
          <w:sz w:val="32"/>
          <w:szCs w:val="32"/>
          <w14:textFill>
            <w14:solidFill>
              <w14:schemeClr w14:val="tx1"/>
            </w14:solidFill>
          </w14:textFill>
        </w:rPr>
        <w:t>广州南沙资产经营集团有限公司</w:t>
      </w:r>
    </w:p>
    <w:p>
      <w:pPr>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sz w:val="32"/>
          <w:szCs w:val="32"/>
        </w:rPr>
        <w:t>二、项目名称：</w:t>
      </w:r>
      <w:r>
        <w:rPr>
          <w:rFonts w:hint="eastAsia" w:ascii="仿宋_GB2312" w:hAnsi="仿宋_GB2312" w:eastAsia="仿宋_GB2312" w:cs="仿宋_GB2312"/>
          <w:color w:val="000000" w:themeColor="text1"/>
          <w:sz w:val="32"/>
          <w:szCs w:val="32"/>
          <w14:textFill>
            <w14:solidFill>
              <w14:schemeClr w14:val="tx1"/>
            </w14:solidFill>
          </w14:textFill>
        </w:rPr>
        <w:t>南沙金融大厦外立面招牌楼面立体字标识</w:t>
      </w:r>
    </w:p>
    <w:p>
      <w:pPr>
        <w:pageBreakBefore w:val="0"/>
        <w:widowControl w:val="0"/>
        <w:kinsoku/>
        <w:overflowPunct/>
        <w:topLinePunct w:val="0"/>
        <w:autoSpaceDE/>
        <w:autoSpaceDN/>
        <w:bidi w:val="0"/>
        <w:adjustRightInd/>
        <w:snapToGrid/>
        <w:spacing w:line="560" w:lineRule="exact"/>
        <w:ind w:firstLine="640" w:firstLineChars="200"/>
        <w:jc w:val="left"/>
        <w:textAlignment w:val="auto"/>
        <w:rPr>
          <w:rFonts w:ascii="黑体" w:hAnsi="黑体" w:eastAsia="黑体" w:cs="黑体"/>
          <w:sz w:val="32"/>
          <w:szCs w:val="32"/>
        </w:rPr>
      </w:pPr>
      <w:r>
        <w:rPr>
          <w:rFonts w:hint="eastAsia" w:ascii="黑体" w:hAnsi="黑体" w:eastAsia="黑体" w:cs="黑体"/>
          <w:sz w:val="32"/>
          <w:szCs w:val="32"/>
        </w:rPr>
        <w:t>三、招标内容：</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南沙金融大厦大楼外立面原招牌楼面立体字标识拆除，新招牌楼面立体字标识设计、安装及竣工验收后2年的质保期。安装位置为广州市南沙区海滨路171号南沙金融大厦，具体内容包括： </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拆除部分：拆除原有大楼外立面立体字标识；大楼正门左上角墙面“集团logo+南沙资产公司”字样及大楼墙面侧边“南沙金融大厦”字样。原有组合标识正面覆盖尺寸：14500mm*2650mm,位于南沙金融大厦大楼顶层外立面*1组；2500mm*20000mm，位于南沙金融大厦大楼侧边面朝市民广场方向*1组。排除此两组立体字的安全隐患和老化问题。拆除后，需对拆除范围内有墙体表面破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及腐蚀变色部位</w:t>
      </w:r>
      <w:r>
        <w:rPr>
          <w:rFonts w:hint="eastAsia" w:ascii="仿宋_GB2312" w:hAnsi="仿宋_GB2312" w:eastAsia="仿宋_GB2312" w:cs="仿宋_GB2312"/>
          <w:color w:val="000000" w:themeColor="text1"/>
          <w:sz w:val="32"/>
          <w:szCs w:val="32"/>
          <w14:textFill>
            <w14:solidFill>
              <w14:schemeClr w14:val="tx1"/>
            </w14:solidFill>
          </w14:textFill>
        </w:rPr>
        <w:t>进行防水填补并涂刷与原墙身相似的漆料。</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2、设计及安装部分：南沙金融大厦大楼外立面立体字标识2套(“集团logo+南沙资产经营集团”标题外墙立体发光字1套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字体</w:t>
      </w:r>
      <w:r>
        <w:rPr>
          <w:rFonts w:hint="eastAsia" w:ascii="仿宋_GB2312" w:hAnsi="仿宋_GB2312" w:eastAsia="仿宋_GB2312" w:cs="仿宋_GB2312"/>
          <w:color w:val="000000" w:themeColor="text1"/>
          <w:sz w:val="32"/>
          <w:szCs w:val="32"/>
          <w:lang w:eastAsia="zh-CN"/>
          <w14:textFill>
            <w14:solidFill>
              <w14:schemeClr w14:val="tx1"/>
            </w14:solidFill>
          </w14:textFill>
        </w:rPr>
        <w:t>用集团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VI</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见附件二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、“集团logo+南沙金融大厦”标题外墙立体发光字1套）。根据大楼建筑尺寸和朝向，对大楼外立面展开外立面立体字的设计，外立面立体字需具备发光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功能</w:t>
      </w:r>
      <w:r>
        <w:rPr>
          <w:rFonts w:hint="eastAsia" w:ascii="仿宋_GB2312" w:hAnsi="仿宋_GB2312" w:eastAsia="仿宋_GB2312" w:cs="仿宋_GB2312"/>
          <w:color w:val="000000" w:themeColor="text1"/>
          <w:sz w:val="32"/>
          <w:szCs w:val="32"/>
          <w14:textFill>
            <w14:solidFill>
              <w14:schemeClr w14:val="tx1"/>
            </w14:solidFill>
          </w14:textFill>
        </w:rPr>
        <w:t>（即夜视效果）。所提供的设计方案包含：平面设计图、白天及黑夜效果图、立面安装图、结构图、3D效果图。</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3、承包人采购材料的要求：承包人应将各项材料的品牌、品种、规格、数量、参数和颜色等情况以书面形式及样本提交我司确认，待批准后方可实施。</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南沙金融大厦外立面招牌楼面立体字标识项目是以招标清单为基础的总价包干，包含设计方案、包人工、包材料、包机械、包质量、包进度、包安全文明安装、包安装配合费、包工期、包安装措施费、包运输、包管理费、包利润、包规费、包风险、包税金等为完成本项目项目承包工作和服务所需的一切费用。</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详见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集团VI及</w:t>
      </w:r>
      <w:r>
        <w:rPr>
          <w:rFonts w:hint="eastAsia" w:ascii="仿宋_GB2312" w:hAnsi="仿宋_GB2312" w:eastAsia="仿宋_GB2312" w:cs="仿宋_GB2312"/>
          <w:color w:val="000000" w:themeColor="text1"/>
          <w:sz w:val="32"/>
          <w:szCs w:val="32"/>
          <w14:textFill>
            <w14:solidFill>
              <w14:schemeClr w14:val="tx1"/>
            </w14:solidFill>
          </w14:textFill>
        </w:rPr>
        <w:t>大楼外立面立体字标识现状图（附件二）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招标计价汇总表（附件三）。</w:t>
      </w:r>
    </w:p>
    <w:p>
      <w:pPr>
        <w:pageBreakBefore w:val="0"/>
        <w:widowControl w:val="0"/>
        <w:kinsoku/>
        <w:overflowPunct/>
        <w:topLinePunct w:val="0"/>
        <w:autoSpaceDE/>
        <w:autoSpaceDN/>
        <w:bidi w:val="0"/>
        <w:adjustRightInd/>
        <w:snapToGrid/>
        <w:spacing w:line="560" w:lineRule="exact"/>
        <w:ind w:left="0" w:leftChars="0" w:firstLine="640" w:firstLineChars="200"/>
        <w:textAlignment w:val="auto"/>
        <w:rPr>
          <w:rFonts w:ascii="仿宋_GB2312" w:eastAsia="仿宋_GB2312"/>
          <w:sz w:val="32"/>
          <w:szCs w:val="32"/>
        </w:rPr>
      </w:pPr>
      <w:r>
        <w:rPr>
          <w:rFonts w:hint="eastAsia" w:ascii="黑体" w:hAnsi="黑体" w:eastAsia="黑体" w:cs="黑体"/>
          <w:sz w:val="32"/>
          <w:szCs w:val="32"/>
        </w:rPr>
        <w:t>四、工期：</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合同签订后的20个日历天。</w:t>
      </w:r>
    </w:p>
    <w:p>
      <w:pPr>
        <w:pageBreakBefore w:val="0"/>
        <w:widowControl w:val="0"/>
        <w:kinsoku/>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sz w:val="32"/>
          <w:szCs w:val="32"/>
        </w:rPr>
        <w:t>五、投标单位需报送的资料：</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1、在有效期内的《营业执照》（复印件及国家企业信用信息公示系统网站http://gd.gsxt.gov.cn查询营业执照经营范围截图，加盖本单位公章）。</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2、法定代表人委托授权书（原件）。</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3、法定代表人证明书（原件）。</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4、为本项目设定的安装图、安装方案（原件），包括但不限于：①设计总说明：此项内容应包括对楼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体</w:t>
      </w:r>
      <w:r>
        <w:rPr>
          <w:rFonts w:hint="eastAsia" w:ascii="仿宋_GB2312" w:hAnsi="仿宋_GB2312" w:eastAsia="仿宋_GB2312" w:cs="仿宋_GB2312"/>
          <w:color w:val="000000" w:themeColor="text1"/>
          <w:sz w:val="32"/>
          <w:szCs w:val="32"/>
          <w14:textFill>
            <w14:solidFill>
              <w14:schemeClr w14:val="tx1"/>
            </w14:solidFill>
          </w14:textFill>
        </w:rPr>
        <w:t>字标识设计构思、用色理念、方案效果图以及工艺流程等方面专业设计的说明；以及其它投标人认为有必要说明的内容。②广告标识制作量清单（包括主要材料用量）。③楼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体</w:t>
      </w:r>
      <w:r>
        <w:rPr>
          <w:rFonts w:hint="eastAsia" w:ascii="仿宋_GB2312" w:hAnsi="仿宋_GB2312" w:eastAsia="仿宋_GB2312" w:cs="仿宋_GB2312"/>
          <w:color w:val="000000" w:themeColor="text1"/>
          <w:sz w:val="32"/>
          <w:szCs w:val="32"/>
          <w14:textFill>
            <w14:solidFill>
              <w14:schemeClr w14:val="tx1"/>
            </w14:solidFill>
          </w14:textFill>
        </w:rPr>
        <w:t>字建筑外立面布置图，标识平面布局尺寸图。</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5、投标人未被列入“信用中国”网站(www.creditchina.gov.cn)“失信被执行人或企业经营异常名录或重大税收违法案件当事人名单”(提供</w:t>
      </w:r>
      <w:r>
        <w:rPr>
          <w:rFonts w:hint="eastAsia" w:ascii="仿宋_GB2312" w:hAnsi="仿宋_GB2312" w:eastAsia="仿宋_GB2312" w:cs="仿宋_GB2312"/>
          <w:color w:val="000000" w:themeColor="text1"/>
          <w:sz w:val="32"/>
          <w:szCs w:val="32"/>
          <w:lang w:val="zh-CN"/>
          <w14:textFill>
            <w14:solidFill>
              <w14:schemeClr w14:val="tx1"/>
            </w14:solidFill>
          </w14:textFill>
        </w:rPr>
        <w:t>投标日当天</w:t>
      </w:r>
      <w:r>
        <w:rPr>
          <w:rFonts w:hint="eastAsia" w:ascii="仿宋_GB2312" w:hAnsi="仿宋_GB2312" w:eastAsia="仿宋_GB2312" w:cs="仿宋_GB2312"/>
          <w:color w:val="000000" w:themeColor="text1"/>
          <w:sz w:val="32"/>
          <w:szCs w:val="32"/>
          <w14:textFill>
            <w14:solidFill>
              <w14:schemeClr w14:val="tx1"/>
            </w14:solidFill>
          </w14:textFill>
        </w:rPr>
        <w:t>信用信息查询记录其中一项截图，加盖本单位公章)。</w:t>
      </w:r>
    </w:p>
    <w:p>
      <w:pPr>
        <w:pageBreakBefore w:val="0"/>
        <w:widowControl w:val="0"/>
        <w:kinsoku/>
        <w:overflowPunct/>
        <w:topLinePunct w:val="0"/>
        <w:autoSpaceDE/>
        <w:autoSpaceDN/>
        <w:bidi w:val="0"/>
        <w:adjustRightInd/>
        <w:snapToGrid/>
        <w:spacing w:line="560" w:lineRule="exact"/>
        <w:ind w:firstLine="640" w:firstLineChars="200"/>
        <w:textAlignment w:val="auto"/>
      </w:pPr>
      <w:r>
        <w:rPr>
          <w:rFonts w:hint="eastAsia" w:ascii="仿宋_GB2312" w:hAnsi="仿宋_GB2312" w:eastAsia="仿宋_GB2312" w:cs="仿宋_GB2312"/>
          <w:color w:val="000000" w:themeColor="text1"/>
          <w:sz w:val="32"/>
          <w:szCs w:val="32"/>
          <w14:textFill>
            <w14:solidFill>
              <w14:schemeClr w14:val="tx1"/>
            </w14:solidFill>
          </w14:textFill>
        </w:rPr>
        <w:t>备注：以上资料为复印件的需提供原件备查。</w:t>
      </w:r>
    </w:p>
    <w:p>
      <w:pPr>
        <w:pStyle w:val="7"/>
        <w:pageBreakBefore w:val="0"/>
        <w:widowControl w:val="0"/>
        <w:kinsoku/>
        <w:overflowPunct/>
        <w:topLinePunct w:val="0"/>
        <w:autoSpaceDE/>
        <w:autoSpaceDN/>
        <w:bidi w:val="0"/>
        <w:adjustRightInd/>
        <w:snapToGrid/>
        <w:spacing w:line="560" w:lineRule="exact"/>
        <w:ind w:firstLine="608"/>
        <w:textAlignment w:val="auto"/>
        <w:rPr>
          <w:rFonts w:ascii="黑体" w:hAnsi="黑体" w:eastAsia="黑体" w:cs="黑体"/>
          <w:bCs/>
          <w:color w:val="000000"/>
          <w:kern w:val="0"/>
          <w:sz w:val="32"/>
          <w:szCs w:val="32"/>
          <w:shd w:val="clear" w:color="auto" w:fill="FFFFFF"/>
        </w:rPr>
      </w:pPr>
      <w:r>
        <w:rPr>
          <w:rFonts w:hint="eastAsia" w:ascii="黑体" w:hAnsi="黑体" w:eastAsia="黑体" w:cs="黑体"/>
          <w:bCs/>
          <w:color w:val="000000"/>
          <w:kern w:val="0"/>
          <w:sz w:val="32"/>
          <w:szCs w:val="32"/>
          <w:shd w:val="clear" w:color="auto" w:fill="FFFFFF"/>
        </w:rPr>
        <w:t>六、招标限价：</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项目最高限价为30万元。本项目采取总价包干，包一切税费以及明示或暗示的所有一切风险、责任和义务等所有费用。请各投标单位按本项目招标计价汇总表结合项目状况、自身实力和市场因素进行报价。报价不得超过该项投标的最高限价，否则按废标处理。</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投标人报价低于最高限价的20%，须提供所使用制作的原材料（钢材、led灯源、固定件）出厂合格证、质量证明书和性能检验报告，确保非恶意竞标，否则按废标处理。</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bCs/>
          <w:color w:val="000000"/>
          <w:kern w:val="0"/>
          <w:sz w:val="32"/>
          <w:szCs w:val="32"/>
          <w:shd w:val="clear" w:color="auto" w:fill="FFFFFF"/>
        </w:rPr>
        <w:t>七、招标文件领取：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广州南沙资产经营集团有限公司网站（http://www.gnao.com.cn）下载。</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bCs/>
          <w:color w:val="000000"/>
          <w:kern w:val="0"/>
          <w:sz w:val="32"/>
          <w:szCs w:val="32"/>
          <w:shd w:val="clear" w:color="auto" w:fill="FFFFFF"/>
        </w:rPr>
        <w:t>八、招标信息发布及结果公告网站：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广州南沙资产经营集团有限公司网站（http://www.gnao.com.cn）。</w:t>
      </w:r>
    </w:p>
    <w:p>
      <w:pPr>
        <w:pageBreakBefore w:val="0"/>
        <w:widowControl w:val="0"/>
        <w:numPr>
          <w:ilvl w:val="0"/>
          <w:numId w:val="1"/>
        </w:numPr>
        <w:kinsoku/>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color w:val="000000" w:themeColor="text1"/>
          <w:kern w:val="0"/>
          <w:sz w:val="32"/>
          <w:szCs w:val="32"/>
          <w:shd w:val="clear" w:color="auto" w:fill="FFFFFF"/>
          <w14:textFill>
            <w14:solidFill>
              <w14:schemeClr w14:val="tx1"/>
            </w14:solidFill>
          </w14:textFill>
        </w:rPr>
      </w:pPr>
      <w:r>
        <w:rPr>
          <w:rFonts w:hint="eastAsia" w:ascii="黑体" w:hAnsi="黑体" w:eastAsia="黑体" w:cs="黑体"/>
          <w:bCs/>
          <w:color w:val="000000" w:themeColor="text1"/>
          <w:kern w:val="0"/>
          <w:sz w:val="32"/>
          <w:szCs w:val="32"/>
          <w:shd w:val="clear" w:color="auto" w:fill="FFFFFF"/>
          <w14:textFill>
            <w14:solidFill>
              <w14:schemeClr w14:val="tx1"/>
            </w14:solidFill>
          </w14:textFill>
        </w:rPr>
        <w:t>付款方式：</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（1）合同签订后，在收到中标人提供的有效合格的增值税专用发票之日后7个工作日内，支付合同总额的30%作为预付款。</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（2）货到现场并经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招标人</w:t>
      </w:r>
      <w:r>
        <w:rPr>
          <w:rFonts w:hint="eastAsia" w:ascii="仿宋_GB2312" w:hAnsi="仿宋_GB2312" w:eastAsia="仿宋_GB2312" w:cs="仿宋_GB2312"/>
          <w:color w:val="000000" w:themeColor="text1"/>
          <w:sz w:val="32"/>
          <w:szCs w:val="32"/>
          <w14:textFill>
            <w14:solidFill>
              <w14:schemeClr w14:val="tx1"/>
            </w14:solidFill>
          </w14:textFill>
        </w:rPr>
        <w:t>验收后，收到有效合格的增值税专用发票之日后7个工作日内，支付合同总额的50%作为进度款。</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（3）安装完成经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招标人</w:t>
      </w:r>
      <w:r>
        <w:rPr>
          <w:rFonts w:hint="eastAsia" w:ascii="仿宋_GB2312" w:hAnsi="仿宋_GB2312" w:eastAsia="仿宋_GB2312" w:cs="仿宋_GB2312"/>
          <w:color w:val="000000" w:themeColor="text1"/>
          <w:sz w:val="32"/>
          <w:szCs w:val="32"/>
          <w14:textFill>
            <w14:solidFill>
              <w14:schemeClr w14:val="tx1"/>
            </w14:solidFill>
          </w14:textFill>
        </w:rPr>
        <w:t>验收合格后，收到有效合格的增值税专用发票之日后7个工作日内支付合同总额的15%作为结算款。</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（4）质保期满2年，收到有效合格的增值税专用发票之日后7个工作日内结算合同总额的5%保质金。</w:t>
      </w:r>
    </w:p>
    <w:p>
      <w:pPr>
        <w:pageBreakBefore w:val="0"/>
        <w:widowControl w:val="0"/>
        <w:tabs>
          <w:tab w:val="left" w:pos="0"/>
        </w:tabs>
        <w:kinsoku/>
        <w:overflowPunct/>
        <w:topLinePunct w:val="0"/>
        <w:autoSpaceDE/>
        <w:autoSpaceDN/>
        <w:bidi w:val="0"/>
        <w:adjustRightInd/>
        <w:snapToGrid/>
        <w:spacing w:line="560" w:lineRule="exact"/>
        <w:ind w:firstLine="640" w:firstLineChars="200"/>
        <w:jc w:val="left"/>
        <w:textAlignment w:val="auto"/>
        <w:rPr>
          <w:rFonts w:ascii="仿宋" w:hAnsi="仿宋" w:eastAsia="仿宋" w:cs="宋体"/>
          <w:kern w:val="0"/>
          <w:sz w:val="32"/>
          <w:szCs w:val="32"/>
        </w:rPr>
      </w:pPr>
      <w:r>
        <w:rPr>
          <w:rFonts w:hint="eastAsia" w:ascii="黑体" w:hAnsi="黑体" w:eastAsia="黑体" w:cs="黑体"/>
          <w:sz w:val="32"/>
          <w:szCs w:val="32"/>
        </w:rPr>
        <w:t>十、评标定标原则：</w:t>
      </w:r>
      <w:r>
        <w:rPr>
          <w:rFonts w:hint="eastAsia" w:ascii="仿宋_GB2312" w:hAnsi="仿宋_GB2312" w:eastAsia="仿宋_GB2312" w:cs="仿宋_GB2312"/>
          <w:color w:val="000000" w:themeColor="text1"/>
          <w:sz w:val="32"/>
          <w:szCs w:val="32"/>
          <w14:textFill>
            <w14:solidFill>
              <w14:schemeClr w14:val="tx1"/>
            </w14:solidFill>
          </w14:textFill>
        </w:rPr>
        <w:t>本项目评标办法采用综合评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审</w:t>
      </w:r>
      <w:r>
        <w:rPr>
          <w:rFonts w:hint="eastAsia" w:ascii="仿宋_GB2312" w:hAnsi="仿宋_GB2312" w:eastAsia="仿宋_GB2312" w:cs="仿宋_GB2312"/>
          <w:color w:val="000000" w:themeColor="text1"/>
          <w:sz w:val="32"/>
          <w:szCs w:val="32"/>
          <w14:textFill>
            <w14:solidFill>
              <w14:schemeClr w14:val="tx1"/>
            </w14:solidFill>
          </w14:textFill>
        </w:rPr>
        <w:t>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十一、投标和开标安排：</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（1）投标人应在202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日上午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分前将投标文件递交到广州市南沙开发区海滨路171号金融大厦11楼风控合规部。</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投标联系人：陈小姐  联系电话：020-66810073</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（2）开标时间：202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日上午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分</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（3）开标地址：广州市南沙区海滨路171号南沙金融大厦18楼1807会议室。投标人参加开标会的须凭身份证入场，受委托人须持授权委托书和本人身份证入场。</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ageBreakBefore w:val="0"/>
        <w:widowControl w:val="0"/>
        <w:kinsoku/>
        <w:overflowPunct/>
        <w:topLinePunct w:val="0"/>
        <w:autoSpaceDE/>
        <w:autoSpaceDN/>
        <w:bidi w:val="0"/>
        <w:adjustRightInd/>
        <w:snapToGrid/>
        <w:spacing w:line="560" w:lineRule="exact"/>
        <w:jc w:val="center"/>
        <w:textAlignment w:val="auto"/>
        <w:outlineLvl w:val="0"/>
        <w:rPr>
          <w:rFonts w:ascii="黑体" w:hAnsi="黑体" w:eastAsia="黑体"/>
          <w:b/>
          <w:bCs/>
          <w:sz w:val="32"/>
        </w:rPr>
      </w:pPr>
      <w:r>
        <w:rPr>
          <w:rFonts w:hint="eastAsia" w:ascii="黑体" w:hAnsi="黑体" w:eastAsia="黑体"/>
          <w:b/>
          <w:bCs/>
          <w:sz w:val="32"/>
        </w:rPr>
        <w:t>第二部分  投 标 人 须 知</w:t>
      </w:r>
    </w:p>
    <w:p>
      <w:pPr>
        <w:pageBreakBefore w:val="0"/>
        <w:widowControl w:val="0"/>
        <w:kinsoku/>
        <w:overflowPunct/>
        <w:topLinePunct w:val="0"/>
        <w:autoSpaceDE/>
        <w:autoSpaceDN/>
        <w:bidi w:val="0"/>
        <w:adjustRightInd/>
        <w:snapToGrid/>
        <w:spacing w:line="560" w:lineRule="exact"/>
        <w:ind w:firstLine="157" w:firstLineChars="49"/>
        <w:textAlignment w:val="auto"/>
        <w:rPr>
          <w:rFonts w:ascii="黑体" w:hAnsi="黑体" w:eastAsia="黑体"/>
          <w:b/>
          <w:bCs/>
          <w:sz w:val="32"/>
        </w:rPr>
      </w:pPr>
      <w:r>
        <w:rPr>
          <w:rFonts w:hint="eastAsia" w:ascii="楷体_GB2312" w:hAnsi="宋体" w:eastAsia="楷体_GB2312"/>
          <w:b/>
          <w:bCs/>
          <w:sz w:val="32"/>
          <w:szCs w:val="32"/>
        </w:rPr>
        <w:t xml:space="preserve"> </w:t>
      </w:r>
      <w:r>
        <w:rPr>
          <w:rFonts w:hint="eastAsia" w:ascii="黑体" w:hAnsi="黑体" w:eastAsia="黑体"/>
          <w:b/>
          <w:bCs/>
          <w:sz w:val="32"/>
        </w:rPr>
        <w:t xml:space="preserve"> 一、说明</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（一）投标前，投标人必须仔细阅读招标文件。若投标人认为招标文件有模糊或不清之处，立即与广州南沙资产经营集团有限公司进行联系。 </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联系人：龚先生   联系电话：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13430355529</w:t>
      </w:r>
      <w:bookmarkStart w:id="3" w:name="_GoBack"/>
      <w:bookmarkEnd w:id="3"/>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（二）投标人应承担其编制与递交投标文件所涉及的一切费用，无论投标结果如何，招标人将不对上述费用负任何责任。</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（三）项目内容：南沙金融大厦外立面招牌楼面立体字标识，见附件三《招标计价汇总表》。</w:t>
      </w:r>
    </w:p>
    <w:p>
      <w:pPr>
        <w:pageBreakBefore w:val="0"/>
        <w:widowControl w:val="0"/>
        <w:kinsoku/>
        <w:overflowPunct/>
        <w:topLinePunct w:val="0"/>
        <w:autoSpaceDE/>
        <w:autoSpaceDN/>
        <w:bidi w:val="0"/>
        <w:adjustRightInd/>
        <w:snapToGrid/>
        <w:spacing w:line="560" w:lineRule="exact"/>
        <w:ind w:firstLine="482" w:firstLineChars="150"/>
        <w:textAlignment w:val="auto"/>
        <w:rPr>
          <w:rFonts w:ascii="黑体" w:hAnsi="黑体" w:eastAsia="黑体"/>
          <w:b/>
          <w:bCs/>
          <w:sz w:val="32"/>
        </w:rPr>
      </w:pPr>
      <w:r>
        <w:rPr>
          <w:rFonts w:hint="eastAsia" w:ascii="楷体_GB2312" w:hAnsi="宋体" w:eastAsia="楷体_GB2312"/>
          <w:b/>
          <w:bCs/>
          <w:sz w:val="32"/>
          <w:szCs w:val="32"/>
        </w:rPr>
        <w:t xml:space="preserve"> </w:t>
      </w:r>
      <w:r>
        <w:rPr>
          <w:rFonts w:hint="eastAsia" w:ascii="黑体" w:hAnsi="黑体" w:eastAsia="黑体"/>
          <w:b/>
          <w:bCs/>
          <w:sz w:val="32"/>
        </w:rPr>
        <w:t>二、投标人资格要求</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（一）具备中华人民共和国境内独立法人资格，能够独立承担民事责任；</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（二）投标人具有承接本项目的相应能力，企业经营范围为：标识标志牌设计安装服务或广告业。</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（三）本项目不接受联合体报名；</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（四）投标人未被列入“信用中国”网站(www.creditchina.gov.cn)“失信被执行人或企业经营异常名录或重大税收违法案件当事人名单”(提供投标日当天信用信息查询记录其中一项截图，加盖本单位公章)。</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（五）投标人应在招标公告后，3个工作日内到南沙金融大厦进行现场勘查。未按时到现场勘查的投标人，招标人有权拒收其投标文件。</w:t>
      </w:r>
    </w:p>
    <w:p>
      <w:pPr>
        <w:pageBreakBefore w:val="0"/>
        <w:widowControl w:val="0"/>
        <w:kinsoku/>
        <w:overflowPunct/>
        <w:topLinePunct w:val="0"/>
        <w:autoSpaceDE/>
        <w:autoSpaceDN/>
        <w:bidi w:val="0"/>
        <w:adjustRightInd/>
        <w:snapToGrid/>
        <w:spacing w:line="560" w:lineRule="exact"/>
        <w:ind w:firstLine="640" w:firstLineChars="200"/>
        <w:textAlignment w:val="auto"/>
        <w:rPr>
          <w:rFonts w:ascii="仿宋_GB2312" w:hAnsi="宋体" w:eastAsia="仿宋_GB2312"/>
          <w:bCs/>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现场勘查联系人：龚先生  联系电话：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13430355529</w:t>
      </w:r>
      <w:r>
        <w:rPr>
          <w:rFonts w:ascii="仿宋" w:hAnsi="仿宋" w:eastAsia="仿宋"/>
          <w:color w:val="000000" w:themeColor="text1"/>
          <w:sz w:val="32"/>
          <w:szCs w:val="32"/>
          <w14:textFill>
            <w14:solidFill>
              <w14:schemeClr w14:val="tx1"/>
            </w14:solidFill>
          </w14:textFill>
        </w:rPr>
        <w:t xml:space="preserve">  </w:t>
      </w:r>
      <w:r>
        <w:rPr>
          <w:rFonts w:ascii="仿宋_GB2312" w:hAnsi="宋体" w:eastAsia="仿宋_GB2312"/>
          <w:bCs/>
          <w:sz w:val="32"/>
          <w:szCs w:val="32"/>
        </w:rPr>
        <w:t xml:space="preserve">  </w:t>
      </w:r>
    </w:p>
    <w:p>
      <w:pPr>
        <w:pageBreakBefore w:val="0"/>
        <w:widowControl w:val="0"/>
        <w:kinsoku/>
        <w:overflowPunct/>
        <w:topLinePunct w:val="0"/>
        <w:autoSpaceDE/>
        <w:autoSpaceDN/>
        <w:bidi w:val="0"/>
        <w:adjustRightInd/>
        <w:snapToGrid/>
        <w:spacing w:line="560" w:lineRule="exact"/>
        <w:ind w:firstLine="643" w:firstLineChars="200"/>
        <w:textAlignment w:val="auto"/>
        <w:rPr>
          <w:rFonts w:ascii="黑体" w:hAnsi="黑体" w:eastAsia="黑体"/>
          <w:b/>
          <w:bCs/>
          <w:sz w:val="32"/>
        </w:rPr>
      </w:pPr>
      <w:r>
        <w:rPr>
          <w:rFonts w:hint="eastAsia" w:ascii="黑体" w:hAnsi="黑体" w:eastAsia="黑体"/>
          <w:b/>
          <w:bCs/>
          <w:sz w:val="32"/>
        </w:rPr>
        <w:t>三、投标文件的制作与递交</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（一）在投标时，投标人应视为已检阅过招标文件，且同意招标文件中所要求的条款。</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（二）投标文件一式伍份：其中纸质正本1份，纸质副本4份，注明“正本”和“副本”字样，正本和副本分别封装，在封口上加盖投标单位的公章。在信封或包装的封面上写明：</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收件人名称及地址:</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项目名称:</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投标人名称、地址:</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本公司不接受未按规定密封的投标文件。</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（三）本公司对不可抗力事件造成的投标文件的损坏、丢失不承担任何责任。</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（四）本公司不接受电报、电话、电传、传真投标。</w:t>
      </w:r>
    </w:p>
    <w:p>
      <w:pPr>
        <w:pageBreakBefore w:val="0"/>
        <w:widowControl w:val="0"/>
        <w:kinsoku/>
        <w:overflowPunct/>
        <w:topLinePunct w:val="0"/>
        <w:autoSpaceDE/>
        <w:autoSpaceDN/>
        <w:bidi w:val="0"/>
        <w:adjustRightInd/>
        <w:snapToGrid/>
        <w:spacing w:line="560" w:lineRule="exact"/>
        <w:ind w:firstLine="643" w:firstLineChars="200"/>
        <w:textAlignment w:val="auto"/>
        <w:rPr>
          <w:rFonts w:ascii="黑体" w:hAnsi="黑体" w:eastAsia="黑体"/>
          <w:b/>
          <w:bCs/>
          <w:sz w:val="32"/>
        </w:rPr>
      </w:pPr>
      <w:r>
        <w:rPr>
          <w:rFonts w:hint="eastAsia" w:ascii="黑体" w:hAnsi="黑体" w:eastAsia="黑体"/>
          <w:b/>
          <w:bCs/>
          <w:sz w:val="32"/>
        </w:rPr>
        <w:t>四、评标定标方法</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（一）评标由招标人成立专门评标委员会负责本次南沙金融大厦外立面招牌楼面立体字标识项目的评定工作。在南沙资产经营集团评标专家库中随机抽取。</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（二）本项目评标办法采用百分制综合评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审</w:t>
      </w:r>
      <w:r>
        <w:rPr>
          <w:rFonts w:hint="eastAsia" w:ascii="仿宋_GB2312" w:hAnsi="仿宋_GB2312" w:eastAsia="仿宋_GB2312" w:cs="仿宋_GB2312"/>
          <w:color w:val="000000" w:themeColor="text1"/>
          <w:sz w:val="32"/>
          <w:szCs w:val="32"/>
          <w14:textFill>
            <w14:solidFill>
              <w14:schemeClr w14:val="tx1"/>
            </w14:solidFill>
          </w14:textFill>
        </w:rPr>
        <w:t>法，评标委员会将按“公正、公平、诚信、科学、择优”的原则，根据评标办法，对投标文件进行认真评审，完成评标报告；向招标人报告评审意见，推荐综合得分由高至低排序第一的为第一中标候选人、排序第二的为第二中标候选人，依次类推。</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（三）评标步骤：</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1.符合性审查</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评标委员会将根据如下各项对投标文件进行符合性审查（见附件四），确定投标文件是否符合要求。符合性审查中的任何一条不符合采购文件规定则视为符合性不通过，只有通过符合性审查的投标文件才可进入报价评审和商务评审。</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（1）投标文件密封性：密封；</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（2）投标文件有效性：每页加盖投标单位公章或骑缝章；</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（3）资格证明文件：营业执照复印证加盖公章、投标授权书：法定代表人证明书、法定代表人授权委托书原件；</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（4）投标人具有承接本项目的相应能力，企业经营范围为：标识标志牌设计安装服务；</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（5）投标报价不高于投标限价；</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（6）投标人未被列入“信用中国”网站(www.creditchina.gov.cn)“失信被执行人或企业经营异常名录或重大税收违法案件当事人名单”(提供投标日当天信用信息查询记录其中一项截图，加盖本单位公章)。</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（7）投标人按招标文件要求，在规定时间内到现场勘查。</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2.综合评审 </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评标委员会依据招标评分表的要求和各项分值的规定，对投标文件进行评分，满分为100分。将各最终得分由高到低顺序排列，综合得分最高的投标人为第一中标候选人，综合得分次高的投标人为第二中标候选人，依次类推，（得分相同时价格低者列前）。</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3.中标候选人</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评标委员会将出具评标报告，并推荐综合得分排名前三位中标候选人：综合得分最高的投标人为第一中标候选人，综合得分次高的投标人为第二中标候选人，以此类推。</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4.其它说明</w:t>
      </w:r>
    </w:p>
    <w:p>
      <w:pPr>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000000" w:themeColor="text1"/>
          <w:sz w:val="32"/>
          <w:szCs w:val="32"/>
          <w14:textFill>
            <w14:solidFill>
              <w14:schemeClr w14:val="tx1"/>
            </w14:solidFill>
          </w14:textFill>
        </w:rPr>
        <w:t>投标报价书中有疑问或问题时，可要求投标人提出澄清，但这种澄清不应使其他投标人处于不公平的地位，澄清结果应以书面形式答复。如果有数字表示的小写与大写不一致时，以大写为准。副本与正本不一致时，以正本为准。</w:t>
      </w:r>
    </w:p>
    <w:p>
      <w:pPr>
        <w:spacing w:line="360" w:lineRule="auto"/>
        <w:ind w:firstLine="1606" w:firstLineChars="500"/>
        <w:jc w:val="both"/>
        <w:outlineLvl w:val="0"/>
        <w:rPr>
          <w:rFonts w:ascii="黑体" w:hAnsi="黑体" w:eastAsia="黑体"/>
          <w:b/>
          <w:bCs/>
          <w:sz w:val="32"/>
        </w:rPr>
      </w:pPr>
      <w:r>
        <w:rPr>
          <w:rFonts w:hint="eastAsia" w:ascii="黑体" w:hAnsi="黑体" w:eastAsia="黑体"/>
          <w:b/>
          <w:bCs/>
          <w:sz w:val="32"/>
        </w:rPr>
        <w:t>第三部分    投 标 文 件 格 式</w:t>
      </w:r>
    </w:p>
    <w:p>
      <w:pPr>
        <w:spacing w:line="500" w:lineRule="exact"/>
        <w:jc w:val="center"/>
        <w:outlineLvl w:val="0"/>
        <w:rPr>
          <w:rFonts w:ascii="宋体" w:hAnsi="宋体"/>
          <w:b/>
          <w:bCs/>
          <w:color w:val="000000"/>
          <w:sz w:val="36"/>
          <w:szCs w:val="36"/>
        </w:rPr>
      </w:pPr>
      <w:bookmarkStart w:id="0" w:name="_Toc79399453"/>
      <w:bookmarkStart w:id="1" w:name="_Toc79822206"/>
      <w:bookmarkStart w:id="2" w:name="_Toc79834503"/>
      <w:r>
        <w:rPr>
          <w:rFonts w:hint="eastAsia" w:ascii="宋体" w:hAnsi="宋体"/>
          <w:b/>
          <w:bCs/>
          <w:color w:val="000000"/>
          <w:sz w:val="36"/>
          <w:szCs w:val="36"/>
        </w:rPr>
        <w:t>投  标  书</w:t>
      </w:r>
      <w:bookmarkEnd w:id="0"/>
      <w:bookmarkEnd w:id="1"/>
      <w:bookmarkEnd w:id="2"/>
    </w:p>
    <w:p>
      <w:pPr>
        <w:rPr>
          <w:rFonts w:ascii="宋体" w:hAnsi="宋体"/>
          <w:color w:val="000000"/>
        </w:rPr>
      </w:pPr>
    </w:p>
    <w:p>
      <w:pPr>
        <w:rPr>
          <w:rFonts w:ascii="宋体" w:hAnsi="宋体"/>
          <w:color w:val="000000"/>
        </w:rPr>
      </w:pPr>
    </w:p>
    <w:p>
      <w:pPr>
        <w:spacing w:line="360" w:lineRule="auto"/>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rPr>
        <w:t xml:space="preserve">                         </w:t>
      </w:r>
    </w:p>
    <w:p>
      <w:pPr>
        <w:spacing w:line="360" w:lineRule="auto"/>
        <w:ind w:firstLine="480"/>
        <w:rPr>
          <w:rFonts w:ascii="宋体" w:hAnsi="宋体"/>
          <w:color w:val="000000"/>
          <w:sz w:val="24"/>
        </w:rPr>
      </w:pPr>
    </w:p>
    <w:p>
      <w:pPr>
        <w:spacing w:line="360" w:lineRule="auto"/>
        <w:ind w:firstLine="510"/>
        <w:rPr>
          <w:rFonts w:ascii="宋体"/>
          <w:color w:val="000000"/>
          <w:sz w:val="24"/>
        </w:rPr>
      </w:pPr>
      <w:r>
        <w:rPr>
          <w:rFonts w:hint="eastAsia" w:ascii="宋体"/>
          <w:color w:val="000000"/>
          <w:sz w:val="24"/>
        </w:rPr>
        <w:t>1.我们收到贵方</w:t>
      </w:r>
      <w:r>
        <w:rPr>
          <w:rFonts w:hint="eastAsia" w:ascii="宋体"/>
          <w:color w:val="000000"/>
          <w:sz w:val="24"/>
          <w:u w:val="single"/>
        </w:rPr>
        <w:t xml:space="preserve">                              </w:t>
      </w:r>
      <w:r>
        <w:rPr>
          <w:rFonts w:hint="eastAsia" w:ascii="宋体"/>
          <w:color w:val="000000"/>
          <w:sz w:val="24"/>
        </w:rPr>
        <w:t xml:space="preserve"> 的招标邀请。经研究，愿以人民币（大写） </w:t>
      </w:r>
      <w:r>
        <w:rPr>
          <w:rFonts w:hint="eastAsia" w:ascii="宋体"/>
          <w:color w:val="000000"/>
          <w:sz w:val="24"/>
          <w:u w:val="single"/>
        </w:rPr>
        <w:t xml:space="preserve">      </w:t>
      </w:r>
      <w:r>
        <w:rPr>
          <w:rFonts w:hint="eastAsia" w:ascii="宋体"/>
          <w:color w:val="000000"/>
          <w:sz w:val="24"/>
        </w:rPr>
        <w:t>元的报价，提供邀请招标文件要求的专项服务，并满足邀请招标文件提出的各项规定和要求。</w:t>
      </w:r>
    </w:p>
    <w:p>
      <w:pPr>
        <w:spacing w:line="360" w:lineRule="auto"/>
        <w:ind w:firstLine="480"/>
        <w:rPr>
          <w:rFonts w:ascii="宋体" w:hAnsi="宋体"/>
          <w:color w:val="000000"/>
          <w:sz w:val="24"/>
        </w:rPr>
      </w:pPr>
      <w:r>
        <w:rPr>
          <w:rFonts w:hint="eastAsia" w:ascii="宋体" w:hAnsi="宋体"/>
          <w:color w:val="000000"/>
          <w:sz w:val="24"/>
        </w:rPr>
        <w:t>2、如果贵方接受我方投标，我方保证按</w:t>
      </w:r>
      <w:r>
        <w:rPr>
          <w:rFonts w:hint="eastAsia" w:ascii="宋体"/>
          <w:color w:val="000000"/>
          <w:sz w:val="24"/>
        </w:rPr>
        <w:t>邀请招标文件</w:t>
      </w:r>
      <w:r>
        <w:rPr>
          <w:rFonts w:hint="eastAsia" w:ascii="宋体" w:hAnsi="宋体"/>
          <w:color w:val="000000"/>
          <w:sz w:val="24"/>
        </w:rPr>
        <w:t>的要求完成服务工作。</w:t>
      </w:r>
    </w:p>
    <w:p>
      <w:pPr>
        <w:spacing w:line="360" w:lineRule="auto"/>
        <w:ind w:firstLine="480" w:firstLineChars="200"/>
        <w:rPr>
          <w:color w:val="000000"/>
          <w:sz w:val="24"/>
        </w:rPr>
      </w:pPr>
      <w:r>
        <w:rPr>
          <w:rFonts w:hint="eastAsia"/>
          <w:color w:val="000000"/>
          <w:sz w:val="24"/>
        </w:rPr>
        <w:t>3．如果我方在中标通知书写明的期限内未能或拒绝与你单位签订合同协议书，你单位有权另选中标单位。</w:t>
      </w:r>
    </w:p>
    <w:p>
      <w:pPr>
        <w:spacing w:line="360" w:lineRule="auto"/>
        <w:ind w:firstLine="510"/>
        <w:rPr>
          <w:rFonts w:ascii="宋体"/>
          <w:color w:val="000000"/>
          <w:sz w:val="24"/>
        </w:rPr>
      </w:pPr>
      <w:r>
        <w:rPr>
          <w:rFonts w:hint="eastAsia" w:ascii="宋体"/>
          <w:color w:val="000000"/>
          <w:sz w:val="24"/>
        </w:rPr>
        <w:t>4、一旦我方中标，我方将按照相关的法律法规和签订的合同来履行自己的责任和义务。除非另外达成协议并生效，你方的邀请招标文件和中标通知书以及本项目服务方案将构成约束我们双方的合同。</w:t>
      </w:r>
    </w:p>
    <w:p>
      <w:pPr>
        <w:spacing w:line="360" w:lineRule="auto"/>
        <w:ind w:firstLine="480"/>
        <w:rPr>
          <w:rFonts w:ascii="宋体" w:hAnsi="宋体"/>
          <w:color w:val="000000"/>
          <w:sz w:val="24"/>
        </w:rPr>
      </w:pPr>
      <w:r>
        <w:rPr>
          <w:rFonts w:hint="eastAsia" w:ascii="宋体" w:hAnsi="宋体"/>
          <w:color w:val="000000"/>
          <w:sz w:val="24"/>
        </w:rPr>
        <w:t>5、我方理解，贵方可选择任何部分或全部项目与投标人签约，接受最低标价的投标。</w:t>
      </w:r>
      <w:r>
        <w:rPr>
          <w:rFonts w:hint="eastAsia"/>
          <w:color w:val="000000"/>
          <w:sz w:val="24"/>
        </w:rPr>
        <w:t>同时也理解，你单位不负担我们的任何投标费用。</w:t>
      </w:r>
    </w:p>
    <w:p>
      <w:pPr>
        <w:spacing w:line="360" w:lineRule="auto"/>
        <w:ind w:firstLine="480"/>
        <w:rPr>
          <w:rFonts w:ascii="宋体" w:hAnsi="宋体"/>
          <w:color w:val="000000"/>
          <w:sz w:val="24"/>
        </w:rPr>
      </w:pPr>
    </w:p>
    <w:p>
      <w:pPr>
        <w:spacing w:line="360" w:lineRule="auto"/>
        <w:ind w:firstLine="480"/>
        <w:rPr>
          <w:rFonts w:ascii="宋体" w:hAnsi="宋体"/>
          <w:color w:val="000000"/>
          <w:sz w:val="24"/>
        </w:rPr>
      </w:pPr>
    </w:p>
    <w:tbl>
      <w:tblPr>
        <w:tblStyle w:val="18"/>
        <w:tblW w:w="9287" w:type="dxa"/>
        <w:tblInd w:w="0" w:type="dxa"/>
        <w:tblLayout w:type="fixed"/>
        <w:tblCellMar>
          <w:top w:w="0" w:type="dxa"/>
          <w:left w:w="108" w:type="dxa"/>
          <w:bottom w:w="0" w:type="dxa"/>
          <w:right w:w="108" w:type="dxa"/>
        </w:tblCellMar>
      </w:tblPr>
      <w:tblGrid>
        <w:gridCol w:w="4643"/>
        <w:gridCol w:w="4644"/>
      </w:tblGrid>
      <w:tr>
        <w:tblPrEx>
          <w:tblLayout w:type="fixed"/>
          <w:tblCellMar>
            <w:top w:w="0" w:type="dxa"/>
            <w:left w:w="108" w:type="dxa"/>
            <w:bottom w:w="0" w:type="dxa"/>
            <w:right w:w="108" w:type="dxa"/>
          </w:tblCellMar>
        </w:tblPrEx>
        <w:tc>
          <w:tcPr>
            <w:tcW w:w="4643" w:type="dxa"/>
          </w:tcPr>
          <w:p>
            <w:pPr>
              <w:spacing w:line="360" w:lineRule="auto"/>
              <w:rPr>
                <w:rFonts w:ascii="宋体" w:hAnsi="宋体"/>
                <w:color w:val="000000"/>
                <w:sz w:val="24"/>
              </w:rPr>
            </w:pPr>
            <w:r>
              <w:rPr>
                <w:rFonts w:hint="eastAsia" w:ascii="宋体" w:hAnsi="宋体"/>
                <w:color w:val="000000"/>
                <w:sz w:val="24"/>
              </w:rPr>
              <w:t>投标人地址：</w:t>
            </w:r>
            <w:r>
              <w:rPr>
                <w:rFonts w:hint="eastAsia" w:ascii="宋体" w:hAnsi="宋体"/>
                <w:color w:val="000000"/>
                <w:sz w:val="24"/>
                <w:u w:val="single"/>
              </w:rPr>
              <w:t xml:space="preserve">                      </w:t>
            </w:r>
          </w:p>
          <w:p>
            <w:pPr>
              <w:spacing w:line="360" w:lineRule="auto"/>
              <w:rPr>
                <w:rFonts w:ascii="宋体" w:hAnsi="宋体"/>
                <w:color w:val="000000"/>
                <w:sz w:val="24"/>
              </w:rPr>
            </w:pPr>
            <w:r>
              <w:rPr>
                <w:rFonts w:hint="eastAsia" w:ascii="宋体" w:hAnsi="宋体"/>
                <w:color w:val="000000"/>
                <w:sz w:val="24"/>
              </w:rPr>
              <w:t>电      话：</w:t>
            </w:r>
            <w:r>
              <w:rPr>
                <w:rFonts w:hint="eastAsia" w:ascii="宋体" w:hAnsi="宋体"/>
                <w:color w:val="000000"/>
                <w:sz w:val="24"/>
                <w:u w:val="single"/>
              </w:rPr>
              <w:t xml:space="preserve">                      </w:t>
            </w:r>
          </w:p>
          <w:p>
            <w:pPr>
              <w:spacing w:line="360" w:lineRule="auto"/>
              <w:rPr>
                <w:rFonts w:ascii="宋体" w:hAnsi="宋体"/>
                <w:color w:val="000000"/>
                <w:sz w:val="24"/>
                <w:u w:val="single"/>
              </w:rPr>
            </w:pPr>
            <w:r>
              <w:rPr>
                <w:rFonts w:hint="eastAsia" w:ascii="宋体" w:hAnsi="宋体"/>
                <w:color w:val="000000"/>
                <w:sz w:val="24"/>
              </w:rPr>
              <w:t>传      真：</w:t>
            </w:r>
            <w:r>
              <w:rPr>
                <w:rFonts w:hint="eastAsia" w:ascii="宋体" w:hAnsi="宋体"/>
                <w:color w:val="000000"/>
                <w:sz w:val="24"/>
                <w:u w:val="single"/>
              </w:rPr>
              <w:t xml:space="preserve">                     </w:t>
            </w:r>
          </w:p>
          <w:p>
            <w:pPr>
              <w:spacing w:line="360" w:lineRule="auto"/>
              <w:rPr>
                <w:rFonts w:ascii="宋体" w:hAnsi="宋体"/>
                <w:color w:val="000000"/>
                <w:sz w:val="24"/>
              </w:rPr>
            </w:pPr>
            <w:r>
              <w:rPr>
                <w:rFonts w:hint="eastAsia" w:ascii="宋体" w:hAnsi="宋体"/>
                <w:color w:val="000000"/>
                <w:spacing w:val="40"/>
                <w:kern w:val="0"/>
                <w:sz w:val="24"/>
              </w:rPr>
              <w:t>邮政编</w:t>
            </w:r>
            <w:r>
              <w:rPr>
                <w:rFonts w:hint="eastAsia" w:ascii="宋体" w:hAnsi="宋体"/>
                <w:color w:val="000000"/>
                <w:kern w:val="0"/>
                <w:sz w:val="24"/>
              </w:rPr>
              <w:t>码</w:t>
            </w:r>
            <w:r>
              <w:rPr>
                <w:rFonts w:hint="eastAsia" w:ascii="宋体" w:hAnsi="宋体"/>
                <w:color w:val="000000"/>
                <w:sz w:val="24"/>
              </w:rPr>
              <w:t>：</w:t>
            </w:r>
            <w:r>
              <w:rPr>
                <w:rFonts w:hint="eastAsia" w:ascii="宋体" w:hAnsi="宋体"/>
                <w:color w:val="000000"/>
                <w:sz w:val="24"/>
                <w:u w:val="single"/>
              </w:rPr>
              <w:t xml:space="preserve">                      </w:t>
            </w:r>
          </w:p>
        </w:tc>
        <w:tc>
          <w:tcPr>
            <w:tcW w:w="4644" w:type="dxa"/>
          </w:tcPr>
          <w:p>
            <w:pPr>
              <w:spacing w:line="360" w:lineRule="auto"/>
              <w:rPr>
                <w:rFonts w:ascii="宋体" w:hAnsi="宋体"/>
                <w:color w:val="000000"/>
                <w:sz w:val="24"/>
              </w:rPr>
            </w:pPr>
            <w:r>
              <w:rPr>
                <w:rFonts w:hint="eastAsia" w:ascii="宋体" w:hAnsi="宋体"/>
                <w:color w:val="000000"/>
                <w:sz w:val="24"/>
              </w:rPr>
              <w:t>投标人名称：</w:t>
            </w:r>
            <w:r>
              <w:rPr>
                <w:rFonts w:hint="eastAsia" w:ascii="宋体" w:hAnsi="宋体"/>
                <w:color w:val="000000"/>
                <w:sz w:val="24"/>
                <w:u w:val="single"/>
              </w:rPr>
              <w:t xml:space="preserve"> </w:t>
            </w:r>
            <w:r>
              <w:rPr>
                <w:rFonts w:ascii="宋体" w:hAnsi="宋体"/>
                <w:color w:val="000000"/>
                <w:sz w:val="24"/>
                <w:u w:val="single"/>
              </w:rPr>
              <w:t>(</w:t>
            </w:r>
            <w:r>
              <w:rPr>
                <w:rFonts w:hint="eastAsia" w:ascii="宋体" w:hAnsi="宋体"/>
                <w:color w:val="000000"/>
                <w:sz w:val="24"/>
                <w:u w:val="single"/>
              </w:rPr>
              <w:t xml:space="preserve">盖章)               </w:t>
            </w:r>
          </w:p>
          <w:p>
            <w:pPr>
              <w:spacing w:line="360" w:lineRule="auto"/>
              <w:rPr>
                <w:rFonts w:ascii="宋体" w:hAnsi="宋体"/>
                <w:color w:val="000000"/>
                <w:sz w:val="24"/>
              </w:rPr>
            </w:pPr>
            <w:r>
              <w:rPr>
                <w:rFonts w:hint="eastAsia" w:ascii="宋体" w:hAnsi="宋体"/>
                <w:color w:val="000000"/>
                <w:sz w:val="24"/>
              </w:rPr>
              <w:t>法人代表或授权代表</w:t>
            </w:r>
          </w:p>
          <w:p>
            <w:pPr>
              <w:spacing w:line="360" w:lineRule="auto"/>
              <w:rPr>
                <w:rFonts w:ascii="宋体" w:hAnsi="宋体"/>
                <w:color w:val="000000"/>
                <w:sz w:val="24"/>
                <w:u w:val="single"/>
              </w:rPr>
            </w:pPr>
            <w:r>
              <w:rPr>
                <w:rFonts w:hint="eastAsia" w:ascii="宋体" w:hAnsi="宋体"/>
                <w:color w:val="000000"/>
                <w:sz w:val="24"/>
                <w:u w:val="single"/>
              </w:rPr>
              <w:t xml:space="preserve">职务、姓名               （签字）  </w:t>
            </w:r>
          </w:p>
          <w:p>
            <w:pPr>
              <w:spacing w:line="360" w:lineRule="auto"/>
              <w:rPr>
                <w:rFonts w:ascii="宋体" w:hAnsi="宋体"/>
                <w:color w:val="000000"/>
                <w:sz w:val="24"/>
              </w:rPr>
            </w:pPr>
            <w:r>
              <w:rPr>
                <w:rFonts w:hint="eastAsia" w:ascii="宋体" w:hAnsi="宋体"/>
                <w:color w:val="000000"/>
                <w:sz w:val="24"/>
              </w:rPr>
              <w:t>日      期：</w:t>
            </w:r>
            <w:r>
              <w:rPr>
                <w:rFonts w:hint="eastAsia" w:ascii="宋体" w:hAnsi="宋体"/>
                <w:color w:val="000000"/>
                <w:sz w:val="24"/>
                <w:u w:val="single"/>
                <w:lang w:val="en-US" w:eastAsia="zh-CN"/>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tc>
      </w:tr>
    </w:tbl>
    <w:p>
      <w:pPr>
        <w:spacing w:line="360" w:lineRule="auto"/>
        <w:rPr>
          <w:color w:val="000000"/>
          <w:sz w:val="24"/>
        </w:rPr>
      </w:pPr>
    </w:p>
    <w:p>
      <w:pPr>
        <w:spacing w:line="360" w:lineRule="auto"/>
        <w:rPr>
          <w:b/>
          <w:sz w:val="24"/>
        </w:rPr>
      </w:pPr>
      <w:r>
        <w:rPr>
          <w:rFonts w:hint="eastAsia"/>
          <w:color w:val="000000"/>
          <w:sz w:val="24"/>
        </w:rPr>
        <w:t>备注：投标报价时提交</w:t>
      </w:r>
      <w:r>
        <w:rPr>
          <w:color w:val="000000"/>
          <w:sz w:val="24"/>
        </w:rPr>
        <w:br w:type="page"/>
      </w:r>
      <w:r>
        <w:rPr>
          <w:rFonts w:hint="eastAsia"/>
          <w:b/>
          <w:sz w:val="24"/>
        </w:rPr>
        <w:t>附件一            法定代表人证明书、法定代表人授权委托书（格式）</w:t>
      </w:r>
    </w:p>
    <w:p>
      <w:pPr>
        <w:numPr>
          <w:ilvl w:val="255"/>
          <w:numId w:val="0"/>
        </w:numPr>
        <w:spacing w:line="440" w:lineRule="exact"/>
        <w:rPr>
          <w:rFonts w:ascii="黑体" w:hAnsi="黑体" w:eastAsia="黑体"/>
          <w:sz w:val="28"/>
          <w:szCs w:val="28"/>
        </w:rPr>
      </w:pPr>
    </w:p>
    <w:p>
      <w:pPr>
        <w:spacing w:line="360" w:lineRule="auto"/>
        <w:jc w:val="center"/>
        <w:rPr>
          <w:rFonts w:ascii="宋体" w:hAnsi="宋体" w:cs="宋体"/>
          <w:b/>
          <w:sz w:val="32"/>
          <w:szCs w:val="32"/>
        </w:rPr>
      </w:pPr>
      <w:r>
        <w:rPr>
          <w:rFonts w:hint="eastAsia" w:ascii="宋体" w:hAnsi="宋体" w:cs="宋体"/>
          <w:b/>
          <w:sz w:val="32"/>
          <w:szCs w:val="32"/>
        </w:rPr>
        <w:t>法定代表人证明书</w:t>
      </w:r>
    </w:p>
    <w:p>
      <w:pPr>
        <w:tabs>
          <w:tab w:val="left" w:pos="900"/>
        </w:tabs>
        <w:spacing w:line="360" w:lineRule="auto"/>
        <w:ind w:firstLine="945" w:firstLineChars="450"/>
        <w:rPr>
          <w:rFonts w:ascii="宋体" w:hAnsi="宋体" w:cs="宋体"/>
          <w:szCs w:val="21"/>
        </w:rPr>
      </w:pPr>
      <w:r>
        <w:rPr>
          <w:rFonts w:hint="eastAsia" w:ascii="宋体" w:hAnsi="宋体" w:cs="宋体"/>
          <w:szCs w:val="21"/>
        </w:rPr>
        <w:t>______________同志，现任我单位</w:t>
      </w:r>
      <w:r>
        <w:rPr>
          <w:rFonts w:hint="eastAsia" w:ascii="宋体" w:hAnsi="宋体" w:cs="宋体"/>
          <w:szCs w:val="21"/>
          <w:u w:val="single"/>
        </w:rPr>
        <w:t xml:space="preserve">         </w:t>
      </w:r>
      <w:r>
        <w:rPr>
          <w:rFonts w:hint="eastAsia" w:ascii="宋体" w:hAnsi="宋体" w:cs="宋体"/>
          <w:szCs w:val="21"/>
        </w:rPr>
        <w:t>职务，为法定代表人，特此证明。</w:t>
      </w:r>
    </w:p>
    <w:p>
      <w:pPr>
        <w:spacing w:line="360" w:lineRule="auto"/>
        <w:ind w:firstLine="420" w:firstLineChars="200"/>
        <w:rPr>
          <w:rFonts w:ascii="宋体" w:hAnsi="宋体" w:cs="宋体"/>
          <w:szCs w:val="21"/>
        </w:rPr>
      </w:pPr>
      <w:r>
        <w:rPr>
          <w:rFonts w:hint="eastAsia" w:ascii="宋体" w:hAnsi="宋体" w:cs="宋体"/>
          <w:szCs w:val="21"/>
        </w:rPr>
        <w:t>本证明书自签发之日起生效，有效期：</w:t>
      </w:r>
      <w:r>
        <w:rPr>
          <w:rFonts w:hint="eastAsia" w:ascii="宋体" w:hAnsi="宋体" w:cs="宋体"/>
          <w:szCs w:val="21"/>
          <w:u w:val="single"/>
        </w:rPr>
        <w:t xml:space="preserve">                                    </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附：</w:t>
      </w:r>
    </w:p>
    <w:p>
      <w:pPr>
        <w:spacing w:line="360" w:lineRule="auto"/>
        <w:ind w:firstLine="840" w:firstLineChars="400"/>
        <w:rPr>
          <w:rFonts w:ascii="宋体" w:hAnsi="宋体" w:cs="宋体"/>
          <w:szCs w:val="21"/>
        </w:rPr>
      </w:pPr>
      <w:r>
        <w:rPr>
          <w:rFonts w:hint="eastAsia" w:ascii="宋体" w:hAnsi="宋体" w:cs="宋体"/>
          <w:szCs w:val="21"/>
        </w:rPr>
        <w:t xml:space="preserve">营业执照（注册号或统一社会信用代码）：  </w:t>
      </w:r>
      <w:r>
        <w:rPr>
          <w:rFonts w:hint="eastAsia" w:ascii="宋体" w:hAnsi="宋体" w:cs="宋体"/>
          <w:szCs w:val="21"/>
          <w:u w:val="single"/>
        </w:rPr>
        <w:t xml:space="preserve">                </w:t>
      </w:r>
      <w:r>
        <w:rPr>
          <w:rFonts w:hint="eastAsia" w:ascii="宋体" w:hAnsi="宋体" w:cs="宋体"/>
          <w:szCs w:val="21"/>
        </w:rPr>
        <w:t xml:space="preserve">     </w:t>
      </w:r>
    </w:p>
    <w:p>
      <w:pPr>
        <w:spacing w:line="360" w:lineRule="auto"/>
        <w:ind w:firstLine="840" w:firstLineChars="400"/>
        <w:rPr>
          <w:rFonts w:ascii="宋体" w:hAnsi="宋体" w:cs="宋体"/>
          <w:szCs w:val="21"/>
          <w:u w:val="single"/>
        </w:rPr>
      </w:pPr>
      <w:r>
        <w:rPr>
          <w:rFonts w:hint="eastAsia" w:ascii="宋体" w:hAnsi="宋体" w:cs="宋体"/>
          <w:szCs w:val="21"/>
        </w:rPr>
        <w:t>经济性质：</w:t>
      </w:r>
      <w:r>
        <w:rPr>
          <w:rFonts w:hint="eastAsia" w:ascii="宋体" w:hAnsi="宋体" w:cs="宋体"/>
          <w:szCs w:val="21"/>
          <w:u w:val="single"/>
        </w:rPr>
        <w:t xml:space="preserve">                 </w:t>
      </w:r>
    </w:p>
    <w:p>
      <w:pPr>
        <w:spacing w:line="360" w:lineRule="auto"/>
        <w:ind w:firstLine="840" w:firstLineChars="400"/>
        <w:rPr>
          <w:rFonts w:ascii="宋体" w:hAnsi="宋体" w:cs="宋体"/>
          <w:szCs w:val="21"/>
          <w:u w:val="single"/>
        </w:rPr>
      </w:pPr>
      <w:r>
        <w:rPr>
          <w:rFonts w:hint="eastAsia" w:ascii="宋体" w:hAnsi="宋体" w:cs="宋体"/>
          <w:szCs w:val="21"/>
        </w:rPr>
        <w:t xml:space="preserve">经营范围： </w:t>
      </w:r>
      <w:r>
        <w:rPr>
          <w:rFonts w:hint="eastAsia" w:ascii="宋体" w:hAnsi="宋体" w:cs="宋体"/>
          <w:szCs w:val="21"/>
          <w:u w:val="single"/>
        </w:rPr>
        <w:t xml:space="preserve">                                                      </w:t>
      </w:r>
    </w:p>
    <w:p>
      <w:pPr>
        <w:spacing w:line="360" w:lineRule="auto"/>
        <w:ind w:firstLine="840" w:firstLineChars="400"/>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59264" behindDoc="0" locked="0" layoutInCell="1" allowOverlap="1">
                <wp:simplePos x="0" y="0"/>
                <wp:positionH relativeFrom="column">
                  <wp:posOffset>232410</wp:posOffset>
                </wp:positionH>
                <wp:positionV relativeFrom="paragraph">
                  <wp:posOffset>243840</wp:posOffset>
                </wp:positionV>
                <wp:extent cx="5553075" cy="1748790"/>
                <wp:effectExtent l="4445" t="4445" r="5080" b="18415"/>
                <wp:wrapNone/>
                <wp:docPr id="8" name="组合 8"/>
                <wp:cNvGraphicFramePr/>
                <a:graphic xmlns:a="http://schemas.openxmlformats.org/drawingml/2006/main">
                  <a:graphicData uri="http://schemas.microsoft.com/office/word/2010/wordprocessingGroup">
                    <wpg:wgp>
                      <wpg:cNvGrpSpPr/>
                      <wpg:grpSpPr>
                        <a:xfrm>
                          <a:off x="0" y="0"/>
                          <a:ext cx="5553075" cy="1748790"/>
                          <a:chOff x="1500" y="7300"/>
                          <a:chExt cx="8745" cy="2754"/>
                        </a:xfrm>
                        <a:effectLst/>
                      </wpg:grpSpPr>
                      <wps:wsp>
                        <wps:cNvPr id="10" name="Rectangle 3"/>
                        <wps:cNvSpPr>
                          <a:spLocks noChangeArrowheads="1"/>
                        </wps:cNvSpPr>
                        <wps:spPr bwMode="auto">
                          <a:xfrm>
                            <a:off x="1500" y="7300"/>
                            <a:ext cx="4275" cy="2754"/>
                          </a:xfrm>
                          <a:prstGeom prst="rect">
                            <a:avLst/>
                          </a:prstGeom>
                          <a:solidFill>
                            <a:srgbClr val="FFFFFF"/>
                          </a:solidFill>
                          <a:ln w="9525">
                            <a:solidFill>
                              <a:srgbClr val="000000"/>
                            </a:solidFill>
                            <a:miter lim="800000"/>
                          </a:ln>
                          <a:effectLst/>
                        </wps:spPr>
                        <wps:txb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（正面）</w:t>
                              </w:r>
                            </w:p>
                            <w:p>
                              <w:pPr>
                                <w:ind w:firstLine="1050" w:firstLineChars="500"/>
                              </w:pPr>
                            </w:p>
                          </w:txbxContent>
                        </wps:txbx>
                        <wps:bodyPr rot="0" vert="horz" wrap="square" lIns="91440" tIns="45720" rIns="91440" bIns="45720" anchor="t" anchorCtr="0" upright="1">
                          <a:noAutofit/>
                        </wps:bodyPr>
                      </wps:wsp>
                      <wps:wsp>
                        <wps:cNvPr id="11" name="Rectangle 4"/>
                        <wps:cNvSpPr>
                          <a:spLocks noChangeArrowheads="1"/>
                        </wps:cNvSpPr>
                        <wps:spPr bwMode="auto">
                          <a:xfrm>
                            <a:off x="5956" y="7300"/>
                            <a:ext cx="4289" cy="2754"/>
                          </a:xfrm>
                          <a:prstGeom prst="rect">
                            <a:avLst/>
                          </a:prstGeom>
                          <a:solidFill>
                            <a:srgbClr val="FFFFFF"/>
                          </a:solidFill>
                          <a:ln w="9525">
                            <a:solidFill>
                              <a:srgbClr val="000000"/>
                            </a:solidFill>
                            <a:miter lim="800000"/>
                          </a:ln>
                          <a:effectLst/>
                        </wps:spPr>
                        <wps:txb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pPr>
                                <w:ind w:firstLine="1050" w:firstLineChars="50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3pt;margin-top:19.2pt;height:137.7pt;width:437.25pt;z-index:251659264;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CrLMDZAAAACQEAAA8AAAAAAAAAAQAgAAAA&#10;IgAAAGRycy9kb3ducmV2LnhtbFBLAQIUABQAAAAIAIdO4kBy97TOtQIAAC0IAAAOAAAAAAAAAAEA&#10;IAAAACgBAABkcnMvZTJvRG9jLnhtbFBLBQYAAAAABgAGAFkBAABPBgAAAAA=&#10;">
                <o:lock v:ext="edit" aspectratio="f"/>
                <v:rect id="Rectangle 3" o:spid="_x0000_s1026" o:spt="1" style="position:absolute;left:1500;top:7300;height:2754;width:4275;"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（正面）</w:t>
                        </w:r>
                      </w:p>
                      <w:p>
                        <w:pPr>
                          <w:ind w:firstLine="1050" w:firstLineChars="500"/>
                        </w:pPr>
                      </w:p>
                    </w:txbxContent>
                  </v:textbox>
                </v:rect>
                <v:rect id="Rectangle 4" o:spid="_x0000_s1026" o:spt="1" style="position:absolute;left:5956;top:7300;height:2754;width:4289;"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pPr>
                          <w:ind w:firstLine="1050" w:firstLineChars="500"/>
                        </w:pPr>
                      </w:p>
                    </w:txbxContent>
                  </v:textbox>
                </v:rect>
              </v:group>
            </w:pict>
          </mc:Fallback>
        </mc:AlternateConten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 xml:space="preserve">                         </w:t>
      </w:r>
    </w:p>
    <w:p>
      <w:pPr>
        <w:spacing w:line="360" w:lineRule="auto"/>
        <w:jc w:val="center"/>
        <w:rPr>
          <w:rFonts w:ascii="宋体" w:hAnsi="宋体" w:cs="宋体"/>
          <w:szCs w:val="21"/>
        </w:rPr>
      </w:pPr>
      <w:r>
        <w:rPr>
          <w:rFonts w:hint="eastAsia" w:ascii="宋体" w:hAnsi="宋体" w:cs="宋体"/>
          <w:szCs w:val="21"/>
        </w:rPr>
        <w:t xml:space="preserve">                   </w:t>
      </w:r>
    </w:p>
    <w:p>
      <w:pPr>
        <w:spacing w:line="360" w:lineRule="auto"/>
        <w:jc w:val="center"/>
        <w:rPr>
          <w:rFonts w:ascii="宋体" w:hAnsi="宋体" w:cs="宋体"/>
          <w:szCs w:val="21"/>
        </w:rPr>
      </w:pPr>
      <w:r>
        <w:rPr>
          <w:rFonts w:hint="eastAsia" w:ascii="宋体" w:hAnsi="宋体" w:cs="宋体"/>
          <w:szCs w:val="21"/>
        </w:rPr>
        <w:t xml:space="preserve">                     单位名称（盖公章）：</w:t>
      </w:r>
    </w:p>
    <w:p>
      <w:pPr>
        <w:spacing w:line="360" w:lineRule="auto"/>
        <w:jc w:val="right"/>
        <w:rPr>
          <w:rFonts w:ascii="宋体" w:hAnsi="宋体" w:cs="宋体"/>
          <w:szCs w:val="21"/>
        </w:rPr>
      </w:pPr>
      <w:r>
        <w:rPr>
          <w:rFonts w:hint="eastAsia" w:ascii="宋体" w:hAnsi="宋体" w:cs="宋体"/>
          <w:szCs w:val="21"/>
        </w:rPr>
        <w:t xml:space="preserve">                                          </w:t>
      </w:r>
    </w:p>
    <w:p>
      <w:pPr>
        <w:spacing w:line="360" w:lineRule="auto"/>
        <w:jc w:val="right"/>
        <w:rPr>
          <w:rFonts w:ascii="宋体" w:hAnsi="宋体" w:cs="宋体"/>
          <w:b/>
          <w:sz w:val="48"/>
          <w:szCs w:val="48"/>
        </w:rPr>
      </w:pPr>
      <w:r>
        <w:rPr>
          <w:rFonts w:hint="eastAsia" w:ascii="宋体" w:hAnsi="宋体" w:cs="宋体"/>
          <w:szCs w:val="21"/>
        </w:rPr>
        <w:t xml:space="preserve">                                       日期：     年     月   日</w:t>
      </w:r>
    </w:p>
    <w:p>
      <w:pPr>
        <w:jc w:val="center"/>
        <w:outlineLvl w:val="0"/>
        <w:rPr>
          <w:b/>
          <w:sz w:val="28"/>
          <w:szCs w:val="28"/>
        </w:rPr>
      </w:pPr>
    </w:p>
    <w:p>
      <w:pPr>
        <w:jc w:val="center"/>
        <w:outlineLvl w:val="0"/>
        <w:rPr>
          <w:b/>
          <w:sz w:val="28"/>
          <w:szCs w:val="28"/>
        </w:rPr>
      </w:pPr>
    </w:p>
    <w:p>
      <w:pPr>
        <w:jc w:val="center"/>
        <w:outlineLvl w:val="0"/>
        <w:rPr>
          <w:b/>
          <w:sz w:val="28"/>
          <w:szCs w:val="28"/>
        </w:rPr>
      </w:pPr>
    </w:p>
    <w:p>
      <w:pPr>
        <w:spacing w:line="360" w:lineRule="auto"/>
        <w:jc w:val="center"/>
        <w:outlineLvl w:val="0"/>
        <w:rPr>
          <w:rFonts w:ascii="宋体" w:hAnsi="宋体" w:cs="宋体"/>
          <w:b/>
          <w:sz w:val="32"/>
          <w:szCs w:val="32"/>
        </w:rPr>
      </w:pPr>
    </w:p>
    <w:p>
      <w:pPr>
        <w:spacing w:line="360" w:lineRule="auto"/>
        <w:jc w:val="center"/>
        <w:outlineLvl w:val="0"/>
        <w:rPr>
          <w:rFonts w:ascii="宋体" w:hAnsi="宋体" w:cs="宋体"/>
          <w:b/>
          <w:sz w:val="32"/>
          <w:szCs w:val="32"/>
        </w:rPr>
      </w:pPr>
    </w:p>
    <w:p>
      <w:pPr>
        <w:spacing w:line="360" w:lineRule="auto"/>
        <w:jc w:val="center"/>
        <w:outlineLvl w:val="0"/>
        <w:rPr>
          <w:rFonts w:ascii="宋体" w:hAnsi="宋体" w:cs="宋体"/>
          <w:b/>
          <w:sz w:val="32"/>
          <w:szCs w:val="32"/>
        </w:rPr>
      </w:pPr>
    </w:p>
    <w:p>
      <w:pPr>
        <w:spacing w:line="360" w:lineRule="auto"/>
        <w:jc w:val="center"/>
        <w:outlineLvl w:val="0"/>
        <w:rPr>
          <w:rFonts w:ascii="宋体" w:hAnsi="宋体" w:cs="宋体"/>
          <w:b/>
          <w:sz w:val="32"/>
          <w:szCs w:val="32"/>
        </w:rPr>
      </w:pPr>
      <w:r>
        <w:rPr>
          <w:rFonts w:hint="eastAsia" w:ascii="宋体" w:hAnsi="宋体" w:cs="宋体"/>
          <w:b/>
          <w:sz w:val="32"/>
          <w:szCs w:val="32"/>
        </w:rPr>
        <w:t>法定代表人授权委托书</w:t>
      </w:r>
    </w:p>
    <w:p>
      <w:pPr>
        <w:snapToGrid w:val="0"/>
        <w:spacing w:line="360" w:lineRule="auto"/>
        <w:ind w:firstLine="420" w:firstLineChars="200"/>
        <w:rPr>
          <w:rFonts w:ascii="宋体" w:hAnsi="宋体" w:cs="宋体"/>
          <w:szCs w:val="21"/>
        </w:rPr>
      </w:pPr>
      <w:r>
        <w:rPr>
          <w:rFonts w:hint="eastAsia" w:ascii="宋体" w:hAnsi="宋体" w:cs="宋体"/>
          <w:szCs w:val="21"/>
        </w:rPr>
        <w:t>本人</w:t>
      </w:r>
      <w:r>
        <w:rPr>
          <w:rFonts w:hint="eastAsia" w:ascii="宋体" w:hAnsi="宋体" w:cs="宋体"/>
          <w:szCs w:val="21"/>
          <w:u w:val="single"/>
        </w:rPr>
        <w:t xml:space="preserve">        </w:t>
      </w:r>
      <w:r>
        <w:rPr>
          <w:rFonts w:hint="eastAsia" w:ascii="宋体" w:hAnsi="宋体" w:cs="宋体"/>
          <w:szCs w:val="21"/>
        </w:rPr>
        <w:t>（姓名）是</w:t>
      </w:r>
      <w:r>
        <w:rPr>
          <w:rFonts w:hint="eastAsia" w:ascii="宋体" w:hAnsi="宋体" w:cs="宋体"/>
          <w:szCs w:val="21"/>
          <w:u w:val="single"/>
        </w:rPr>
        <w:t xml:space="preserve">         </w:t>
      </w:r>
      <w:r>
        <w:rPr>
          <w:rFonts w:hint="eastAsia" w:ascii="宋体" w:hAnsi="宋体" w:cs="宋体"/>
          <w:szCs w:val="21"/>
        </w:rPr>
        <w:t>（投标人名称）的法定代表人，现委托</w:t>
      </w:r>
      <w:r>
        <w:rPr>
          <w:rFonts w:hint="eastAsia" w:ascii="宋体" w:hAnsi="宋体" w:cs="宋体"/>
          <w:szCs w:val="21"/>
          <w:u w:val="single"/>
        </w:rPr>
        <w:t xml:space="preserve">         </w:t>
      </w:r>
      <w:r>
        <w:rPr>
          <w:rFonts w:hint="eastAsia" w:ascii="宋体" w:hAnsi="宋体" w:cs="宋体"/>
          <w:szCs w:val="21"/>
        </w:rPr>
        <w:t xml:space="preserve"> (姓名)为我方代理人。代理人根据授权，以我方名义签署、澄清、说明、补正、递交、撤回、修改</w:t>
      </w:r>
      <w:r>
        <w:rPr>
          <w:rFonts w:hint="eastAsia" w:ascii="宋体" w:hAnsi="宋体" w:cs="宋体"/>
          <w:szCs w:val="21"/>
          <w:u w:val="single"/>
        </w:rPr>
        <w:t xml:space="preserve">         </w:t>
      </w:r>
      <w:r>
        <w:rPr>
          <w:rFonts w:hint="eastAsia" w:ascii="宋体" w:hAnsi="宋体" w:cs="宋体"/>
          <w:szCs w:val="21"/>
        </w:rPr>
        <w:t>（项目名称）投标文件、签订合同和处理有关事宜，其法律后果由我方承担。</w:t>
      </w:r>
    </w:p>
    <w:p>
      <w:pPr>
        <w:spacing w:line="360" w:lineRule="auto"/>
        <w:rPr>
          <w:rFonts w:ascii="宋体" w:hAnsi="宋体" w:cs="宋体"/>
          <w:szCs w:val="21"/>
          <w:u w:val="single"/>
        </w:rPr>
      </w:pPr>
      <w:r>
        <w:rPr>
          <w:rFonts w:hint="eastAsia" w:ascii="宋体" w:hAnsi="宋体" w:cs="宋体"/>
          <w:szCs w:val="21"/>
        </w:rPr>
        <w:t xml:space="preserve">    委托期限：</w:t>
      </w:r>
      <w:r>
        <w:rPr>
          <w:rFonts w:hint="eastAsia" w:ascii="宋体" w:hAnsi="宋体" w:cs="宋体"/>
          <w:szCs w:val="21"/>
          <w:u w:val="single"/>
        </w:rPr>
        <w:t xml:space="preserve">           </w:t>
      </w:r>
      <w:r>
        <w:rPr>
          <w:rFonts w:hint="eastAsia" w:ascii="宋体" w:hAnsi="宋体" w:cs="宋体"/>
          <w:szCs w:val="21"/>
        </w:rPr>
        <w:t xml:space="preserve"> 。</w:t>
      </w:r>
    </w:p>
    <w:p>
      <w:pPr>
        <w:tabs>
          <w:tab w:val="left" w:pos="3780"/>
        </w:tabs>
        <w:spacing w:line="360" w:lineRule="auto"/>
        <w:ind w:firstLine="420" w:firstLineChars="200"/>
        <w:rPr>
          <w:rFonts w:ascii="宋体" w:hAnsi="宋体" w:cs="宋体"/>
          <w:szCs w:val="21"/>
        </w:rPr>
      </w:pPr>
      <w:r>
        <w:rPr>
          <w:rFonts w:hint="eastAsia" w:ascii="宋体" w:hAnsi="宋体" w:cs="宋体"/>
          <w:szCs w:val="21"/>
        </w:rPr>
        <w:t>代理人无转委托权。</w:t>
      </w:r>
    </w:p>
    <w:p>
      <w:pPr>
        <w:tabs>
          <w:tab w:val="left" w:pos="3780"/>
        </w:tabs>
        <w:spacing w:line="360" w:lineRule="auto"/>
        <w:ind w:firstLine="420" w:firstLineChars="200"/>
        <w:rPr>
          <w:rFonts w:ascii="宋体" w:hAnsi="宋体" w:cs="宋体"/>
          <w:szCs w:val="21"/>
        </w:rPr>
      </w:pPr>
      <w:r>
        <w:rPr>
          <w:rFonts w:hint="eastAsia" w:ascii="宋体" w:hAnsi="宋体" w:cs="宋体"/>
          <w:szCs w:val="21"/>
        </w:rPr>
        <w:t xml:space="preserve">  </w:t>
      </w:r>
    </w:p>
    <w:p>
      <w:pPr>
        <w:keepNext/>
        <w:keepLines/>
        <w:spacing w:before="340" w:after="330"/>
        <w:ind w:firstLine="420" w:firstLineChars="200"/>
        <w:outlineLvl w:val="0"/>
        <w:rPr>
          <w:rFonts w:ascii="宋体" w:hAnsi="宋体" w:cs="宋体"/>
          <w:kern w:val="44"/>
          <w:szCs w:val="21"/>
        </w:rPr>
      </w:pPr>
      <w:r>
        <w:rPr>
          <w:rFonts w:hint="eastAsia" w:ascii="宋体" w:hAnsi="宋体" w:cs="宋体"/>
          <w:kern w:val="44"/>
          <w:szCs w:val="21"/>
        </w:rPr>
        <w:t>投标人：</w:t>
      </w:r>
      <w:r>
        <w:rPr>
          <w:rFonts w:hint="eastAsia" w:ascii="宋体" w:hAnsi="宋体" w:cs="宋体"/>
          <w:kern w:val="44"/>
          <w:szCs w:val="21"/>
          <w:u w:val="single"/>
        </w:rPr>
        <w:t xml:space="preserve">                     </w:t>
      </w:r>
      <w:r>
        <w:rPr>
          <w:rFonts w:hint="eastAsia" w:ascii="宋体" w:hAnsi="宋体" w:cs="宋体"/>
          <w:kern w:val="44"/>
          <w:szCs w:val="21"/>
        </w:rPr>
        <w:t xml:space="preserve"> （盖单位章）</w:t>
      </w:r>
    </w:p>
    <w:p>
      <w:pPr>
        <w:keepNext/>
        <w:keepLines/>
        <w:spacing w:before="340" w:after="330"/>
        <w:ind w:firstLine="420" w:firstLineChars="200"/>
        <w:outlineLvl w:val="0"/>
        <w:rPr>
          <w:rFonts w:ascii="宋体" w:hAnsi="宋体" w:cs="宋体"/>
          <w:kern w:val="44"/>
          <w:szCs w:val="21"/>
        </w:rPr>
      </w:pPr>
      <w:r>
        <w:rPr>
          <w:rFonts w:hint="eastAsia" w:ascii="宋体" w:hAnsi="宋体" w:cs="宋体"/>
          <w:kern w:val="44"/>
          <w:szCs w:val="21"/>
        </w:rPr>
        <w:t>法定代表人：</w:t>
      </w:r>
      <w:r>
        <w:rPr>
          <w:rFonts w:hint="eastAsia" w:ascii="宋体" w:hAnsi="宋体" w:cs="宋体"/>
          <w:kern w:val="44"/>
          <w:szCs w:val="21"/>
          <w:u w:val="single"/>
        </w:rPr>
        <w:t xml:space="preserve">                     </w:t>
      </w:r>
      <w:r>
        <w:rPr>
          <w:rFonts w:hint="eastAsia" w:ascii="宋体" w:hAnsi="宋体" w:cs="宋体"/>
          <w:kern w:val="44"/>
          <w:szCs w:val="21"/>
        </w:rPr>
        <w:t xml:space="preserve"> （签字）</w:t>
      </w:r>
    </w:p>
    <w:p>
      <w:pPr>
        <w:keepNext/>
        <w:keepLines/>
        <w:spacing w:before="340" w:after="330"/>
        <w:ind w:firstLine="420" w:firstLineChars="200"/>
        <w:outlineLvl w:val="0"/>
        <w:rPr>
          <w:rFonts w:ascii="宋体" w:hAnsi="宋体" w:cs="宋体"/>
          <w:kern w:val="44"/>
          <w:szCs w:val="21"/>
        </w:rPr>
      </w:pPr>
      <w:r>
        <w:rPr>
          <w:rFonts w:hint="eastAsia" w:ascii="宋体" w:hAnsi="宋体" w:cs="宋体"/>
          <w:kern w:val="44"/>
          <w:szCs w:val="21"/>
        </w:rPr>
        <w:t>身份证号码：</w:t>
      </w:r>
      <w:r>
        <w:rPr>
          <w:rFonts w:hint="eastAsia" w:ascii="宋体" w:hAnsi="宋体" w:cs="宋体"/>
          <w:kern w:val="44"/>
          <w:szCs w:val="21"/>
          <w:u w:val="single"/>
        </w:rPr>
        <w:t xml:space="preserve">                     </w:t>
      </w:r>
      <w:r>
        <w:rPr>
          <w:rFonts w:hint="eastAsia" w:ascii="宋体" w:hAnsi="宋体" w:cs="宋体"/>
          <w:kern w:val="44"/>
          <w:szCs w:val="21"/>
        </w:rPr>
        <w:t xml:space="preserve"> </w:t>
      </w:r>
    </w:p>
    <w:p>
      <w:pPr>
        <w:keepNext/>
        <w:keepLines/>
        <w:spacing w:before="340" w:after="330"/>
        <w:ind w:firstLine="420" w:firstLineChars="200"/>
        <w:outlineLvl w:val="0"/>
        <w:rPr>
          <w:rFonts w:ascii="宋体" w:hAnsi="宋体" w:cs="宋体"/>
          <w:kern w:val="44"/>
          <w:szCs w:val="21"/>
        </w:rPr>
      </w:pPr>
      <w:r>
        <w:rPr>
          <w:rFonts w:hint="eastAsia" w:ascii="宋体" w:hAnsi="宋体" w:cs="宋体"/>
          <w:kern w:val="44"/>
          <w:szCs w:val="21"/>
        </w:rPr>
        <w:t>委托代理人：</w:t>
      </w:r>
      <w:r>
        <w:rPr>
          <w:rFonts w:hint="eastAsia" w:ascii="宋体" w:hAnsi="宋体" w:cs="宋体"/>
          <w:kern w:val="44"/>
          <w:szCs w:val="21"/>
          <w:u w:val="single"/>
        </w:rPr>
        <w:t xml:space="preserve">                     </w:t>
      </w:r>
      <w:r>
        <w:rPr>
          <w:rFonts w:hint="eastAsia" w:ascii="宋体" w:hAnsi="宋体" w:cs="宋体"/>
          <w:kern w:val="44"/>
          <w:szCs w:val="21"/>
        </w:rPr>
        <w:t xml:space="preserve"> （签字）</w:t>
      </w:r>
    </w:p>
    <w:p>
      <w:pPr>
        <w:keepNext/>
        <w:keepLines/>
        <w:spacing w:before="340" w:after="330"/>
        <w:ind w:firstLine="420" w:firstLineChars="200"/>
        <w:outlineLvl w:val="0"/>
        <w:rPr>
          <w:rFonts w:ascii="宋体" w:hAnsi="宋体" w:cs="宋体"/>
          <w:kern w:val="44"/>
          <w:szCs w:val="21"/>
        </w:rPr>
      </w:pPr>
      <w:r>
        <w:rPr>
          <w:rFonts w:hint="eastAsia" w:ascii="宋体" w:hAnsi="宋体" w:cs="宋体"/>
          <w:kern w:val="44"/>
          <w:szCs w:val="21"/>
        </w:rPr>
        <w:t>身份证号码：</w:t>
      </w:r>
      <w:r>
        <w:rPr>
          <w:rFonts w:hint="eastAsia" w:ascii="宋体" w:hAnsi="宋体" w:cs="宋体"/>
          <w:kern w:val="44"/>
          <w:szCs w:val="21"/>
          <w:u w:val="single"/>
        </w:rPr>
        <w:t xml:space="preserve">                     </w:t>
      </w:r>
      <w:r>
        <w:rPr>
          <w:rFonts w:hint="eastAsia" w:ascii="宋体" w:hAnsi="宋体" w:cs="宋体"/>
          <w:kern w:val="44"/>
          <w:szCs w:val="21"/>
        </w:rPr>
        <w:t xml:space="preserve"> 附身份证复印件</w:t>
      </w:r>
    </w:p>
    <w:p>
      <w:pPr>
        <w:spacing w:line="360" w:lineRule="auto"/>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0288" behindDoc="0" locked="0" layoutInCell="1" allowOverlap="1">
                <wp:simplePos x="0" y="0"/>
                <wp:positionH relativeFrom="column">
                  <wp:posOffset>137160</wp:posOffset>
                </wp:positionH>
                <wp:positionV relativeFrom="paragraph">
                  <wp:posOffset>125730</wp:posOffset>
                </wp:positionV>
                <wp:extent cx="5486400" cy="1751965"/>
                <wp:effectExtent l="4445" t="4445" r="14605" b="15240"/>
                <wp:wrapNone/>
                <wp:docPr id="12" name="组合 12"/>
                <wp:cNvGraphicFramePr/>
                <a:graphic xmlns:a="http://schemas.openxmlformats.org/drawingml/2006/main">
                  <a:graphicData uri="http://schemas.microsoft.com/office/word/2010/wordprocessingGroup">
                    <wpg:wgp>
                      <wpg:cNvGrpSpPr/>
                      <wpg:grpSpPr>
                        <a:xfrm>
                          <a:off x="0" y="0"/>
                          <a:ext cx="5486400" cy="1751965"/>
                          <a:chOff x="1350" y="9286"/>
                          <a:chExt cx="8640" cy="2759"/>
                        </a:xfrm>
                        <a:effectLst/>
                      </wpg:grpSpPr>
                      <wps:wsp>
                        <wps:cNvPr id="5" name="Rectangle 6"/>
                        <wps:cNvSpPr>
                          <a:spLocks noChangeArrowheads="1"/>
                        </wps:cNvSpPr>
                        <wps:spPr bwMode="auto">
                          <a:xfrm>
                            <a:off x="1350" y="9286"/>
                            <a:ext cx="4260" cy="2759"/>
                          </a:xfrm>
                          <a:prstGeom prst="rect">
                            <a:avLst/>
                          </a:prstGeom>
                          <a:solidFill>
                            <a:srgbClr val="FFFFFF"/>
                          </a:solidFill>
                          <a:ln w="9525">
                            <a:solidFill>
                              <a:srgbClr val="000000"/>
                            </a:solidFill>
                            <a:miter lim="800000"/>
                          </a:ln>
                          <a:effectLst/>
                        </wps:spPr>
                        <wps:txbx>
                          <w:txbxContent>
                            <w:p>
                              <w:pPr>
                                <w:ind w:left="-9" w:leftChars="-71" w:hanging="140" w:hangingChars="67"/>
                                <w:jc w:val="center"/>
                                <w:rPr>
                                  <w:szCs w:val="21"/>
                                </w:rP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（正面）</w:t>
                              </w:r>
                            </w:p>
                            <w:p>
                              <w:pPr>
                                <w:ind w:firstLine="1050" w:firstLineChars="500"/>
                              </w:pPr>
                            </w:p>
                            <w:p/>
                          </w:txbxContent>
                        </wps:txbx>
                        <wps:bodyPr rot="0" vert="horz" wrap="square" lIns="91440" tIns="45720" rIns="91440" bIns="45720" anchor="t" anchorCtr="0" upright="1">
                          <a:noAutofit/>
                        </wps:bodyPr>
                      </wps:wsp>
                      <wps:wsp>
                        <wps:cNvPr id="13" name="Rectangle 7"/>
                        <wps:cNvSpPr>
                          <a:spLocks noChangeArrowheads="1"/>
                        </wps:cNvSpPr>
                        <wps:spPr bwMode="auto">
                          <a:xfrm>
                            <a:off x="5754" y="9286"/>
                            <a:ext cx="4236" cy="2759"/>
                          </a:xfrm>
                          <a:prstGeom prst="rect">
                            <a:avLst/>
                          </a:prstGeom>
                          <a:solidFill>
                            <a:srgbClr val="FFFFFF"/>
                          </a:solidFill>
                          <a:ln w="9525">
                            <a:solidFill>
                              <a:srgbClr val="000000"/>
                            </a:solidFill>
                            <a:miter lim="800000"/>
                          </a:ln>
                          <a:effectLst/>
                        </wps:spPr>
                        <wps:txbx>
                          <w:txbxContent>
                            <w:p>
                              <w:pPr>
                                <w:jc w:val="cente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（反面）</w:t>
                              </w:r>
                            </w:p>
                            <w:p>
                              <w:pPr>
                                <w:ind w:firstLine="1050" w:firstLineChars="500"/>
                              </w:pP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8pt;margin-top:9.9pt;height:137.95pt;width:432pt;z-index:251660288;mso-width-relative:page;mso-height-relative:page;" coordorigin="1350,9286" coordsize="8640,2759" o:gfxdata="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7l8cD2AAAAAkBAAAPAAAAAAAAAAEAIAAAACIA&#10;AABkcnMvZG93bnJldi54bWxQSwECFAAUAAAACACHTuJAfePlirQCAAAuCAAADgAAAAAAAAABACAA&#10;AAAnAQAAZHJzL2Uyb0RvYy54bWxQSwUGAAAAAAYABgBZAQAATQYAAAAA&#10;">
                <o:lock v:ext="edit" aspectratio="f"/>
                <v:rect id="Rectangle 6" o:spid="_x0000_s1026" o:spt="1" style="position:absolute;left:1350;top:9286;height:2759;width:4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left="-9" w:leftChars="-71" w:hanging="140" w:hangingChars="67"/>
                          <w:jc w:val="center"/>
                          <w:rPr>
                            <w:szCs w:val="21"/>
                          </w:rP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（正面）</w:t>
                        </w:r>
                      </w:p>
                      <w:p>
                        <w:pPr>
                          <w:ind w:firstLine="1050" w:firstLineChars="500"/>
                        </w:pPr>
                      </w:p>
                      <w:p/>
                    </w:txbxContent>
                  </v:textbox>
                </v:rect>
                <v:rect id="Rectangle 7" o:spid="_x0000_s1026" o:spt="1" style="position:absolute;left:5754;top:9286;height:2759;width:4236;"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（反面）</w:t>
                        </w:r>
                      </w:p>
                      <w:p>
                        <w:pPr>
                          <w:ind w:firstLine="1050" w:firstLineChars="500"/>
                        </w:pPr>
                      </w:p>
                      <w:p/>
                    </w:txbxContent>
                  </v:textbox>
                </v:rect>
              </v:group>
            </w:pict>
          </mc:Fallback>
        </mc:AlternateConten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jc w:val="center"/>
        <w:rPr>
          <w:rFonts w:ascii="宋体" w:hAnsi="宋体" w:cs="宋体"/>
          <w:szCs w:val="21"/>
          <w:u w:val="single"/>
        </w:rPr>
      </w:pPr>
    </w:p>
    <w:p>
      <w:pPr>
        <w:spacing w:line="360" w:lineRule="auto"/>
        <w:jc w:val="center"/>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ind w:right="-153" w:rightChars="-73"/>
        <w:outlineLvl w:val="0"/>
        <w:rPr>
          <w:b/>
          <w:bCs/>
          <w:sz w:val="28"/>
          <w:szCs w:val="28"/>
        </w:rPr>
      </w:pPr>
    </w:p>
    <w:p>
      <w:pPr>
        <w:ind w:right="-153" w:rightChars="-73" w:firstLine="10119" w:firstLineChars="3600"/>
        <w:outlineLvl w:val="0"/>
        <w:rPr>
          <w:b/>
          <w:bCs/>
          <w:sz w:val="28"/>
          <w:szCs w:val="28"/>
        </w:rPr>
      </w:pPr>
    </w:p>
    <w:p>
      <w:pPr>
        <w:ind w:right="-153" w:rightChars="-73" w:firstLine="10119" w:firstLineChars="3600"/>
        <w:outlineLvl w:val="0"/>
        <w:rPr>
          <w:b/>
          <w:bCs/>
          <w:sz w:val="28"/>
          <w:szCs w:val="28"/>
        </w:rPr>
      </w:pPr>
    </w:p>
    <w:p>
      <w:pPr>
        <w:ind w:right="-153" w:rightChars="-73"/>
        <w:outlineLvl w:val="0"/>
        <w:rPr>
          <w:rFonts w:hint="eastAsia" w:ascii="Times New Roman" w:hAnsi="Times New Roman" w:eastAsia="宋体"/>
          <w:b/>
          <w:bCs/>
          <w:sz w:val="28"/>
          <w:szCs w:val="28"/>
        </w:rPr>
      </w:pPr>
      <w:r>
        <w:rPr>
          <w:rFonts w:hint="eastAsia"/>
          <w:b/>
          <w:bCs/>
          <w:sz w:val="28"/>
          <w:szCs w:val="28"/>
        </w:rPr>
        <w:t>附件二：</w:t>
      </w:r>
      <w:r>
        <w:rPr>
          <w:rFonts w:hint="eastAsia" w:ascii="Times New Roman" w:hAnsi="Times New Roman" w:eastAsia="宋体"/>
          <w:b/>
          <w:bCs/>
          <w:color w:val="auto"/>
          <w:sz w:val="28"/>
          <w:szCs w:val="28"/>
          <w:lang w:val="en-US" w:eastAsia="zh-CN"/>
        </w:rPr>
        <w:t>集团vi及</w:t>
      </w:r>
      <w:r>
        <w:rPr>
          <w:rFonts w:hint="eastAsia" w:ascii="Times New Roman" w:hAnsi="Times New Roman" w:eastAsia="宋体"/>
          <w:b/>
          <w:bCs/>
          <w:color w:val="auto"/>
          <w:sz w:val="28"/>
          <w:szCs w:val="28"/>
        </w:rPr>
        <w:t>大楼外立面立体字标识现状图</w:t>
      </w:r>
    </w:p>
    <w:p>
      <w:pPr>
        <w:ind w:right="-153" w:rightChars="-73"/>
        <w:outlineLvl w:val="0"/>
        <w:rPr>
          <w:rFonts w:hint="eastAsia"/>
          <w:b/>
          <w:bCs/>
          <w:sz w:val="28"/>
          <w:szCs w:val="28"/>
          <w:lang w:val="en-US" w:eastAsia="zh-CN"/>
        </w:rPr>
      </w:pPr>
    </w:p>
    <w:p>
      <w:pPr>
        <w:ind w:right="-153" w:rightChars="-73"/>
        <w:jc w:val="center"/>
        <w:outlineLvl w:val="0"/>
        <w:rPr>
          <w:rFonts w:hint="eastAsia"/>
          <w:b/>
          <w:bCs/>
          <w:sz w:val="28"/>
          <w:szCs w:val="28"/>
        </w:rPr>
      </w:pPr>
      <w:r>
        <w:rPr>
          <w:rFonts w:hint="eastAsia"/>
          <w:b/>
          <w:bCs/>
          <w:sz w:val="28"/>
          <w:szCs w:val="28"/>
        </w:rPr>
        <w:drawing>
          <wp:inline distT="0" distB="0" distL="114300" distR="114300">
            <wp:extent cx="2172970" cy="2015490"/>
            <wp:effectExtent l="0" t="0" r="17780" b="3810"/>
            <wp:docPr id="7" name="图片 7" descr="QQ图片201704251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70425110918"/>
                    <pic:cNvPicPr>
                      <a:picLocks noChangeAspect="1"/>
                    </pic:cNvPicPr>
                  </pic:nvPicPr>
                  <pic:blipFill>
                    <a:blip r:embed="rId9"/>
                    <a:stretch>
                      <a:fillRect/>
                    </a:stretch>
                  </pic:blipFill>
                  <pic:spPr>
                    <a:xfrm>
                      <a:off x="0" y="0"/>
                      <a:ext cx="2172970" cy="2015490"/>
                    </a:xfrm>
                    <a:prstGeom prst="rect">
                      <a:avLst/>
                    </a:prstGeom>
                  </pic:spPr>
                </pic:pic>
              </a:graphicData>
            </a:graphic>
          </wp:inline>
        </w:drawing>
      </w:r>
    </w:p>
    <w:p>
      <w:pPr>
        <w:ind w:right="-153" w:rightChars="-73"/>
        <w:jc w:val="center"/>
        <w:outlineLvl w:val="0"/>
        <w:rPr>
          <w:rFonts w:hint="eastAsia"/>
          <w:b/>
          <w:bCs/>
          <w:sz w:val="28"/>
          <w:szCs w:val="28"/>
          <w:lang w:eastAsia="zh-CN"/>
        </w:rPr>
      </w:pPr>
      <w:r>
        <w:rPr>
          <w:rFonts w:hint="eastAsia"/>
          <w:b/>
          <w:bCs/>
          <w:sz w:val="28"/>
          <w:szCs w:val="28"/>
          <w:lang w:eastAsia="zh-CN"/>
        </w:rPr>
        <w:t>（</w:t>
      </w:r>
      <w:r>
        <w:rPr>
          <w:rFonts w:hint="eastAsia"/>
          <w:b/>
          <w:bCs/>
          <w:sz w:val="28"/>
          <w:szCs w:val="28"/>
          <w:lang w:val="en-US" w:eastAsia="zh-CN"/>
        </w:rPr>
        <w:t>集团logo</w:t>
      </w:r>
      <w:r>
        <w:rPr>
          <w:rFonts w:hint="eastAsia"/>
          <w:b/>
          <w:bCs/>
          <w:sz w:val="28"/>
          <w:szCs w:val="28"/>
          <w:lang w:eastAsia="zh-CN"/>
        </w:rPr>
        <w:t>）</w:t>
      </w:r>
    </w:p>
    <w:p>
      <w:pPr>
        <w:ind w:right="-153" w:rightChars="-73"/>
        <w:jc w:val="center"/>
        <w:outlineLvl w:val="0"/>
        <w:rPr>
          <w:rFonts w:hint="eastAsia"/>
          <w:b/>
          <w:bCs/>
          <w:sz w:val="28"/>
          <w:szCs w:val="28"/>
          <w:lang w:eastAsia="zh-CN"/>
        </w:rPr>
      </w:pPr>
    </w:p>
    <w:p>
      <w:pPr>
        <w:ind w:right="-153" w:rightChars="-73"/>
        <w:jc w:val="center"/>
        <w:outlineLvl w:val="0"/>
        <w:rPr>
          <w:rFonts w:hint="eastAsia"/>
          <w:b/>
          <w:bCs/>
          <w:sz w:val="28"/>
          <w:szCs w:val="28"/>
        </w:rPr>
      </w:pPr>
      <w:r>
        <w:rPr>
          <w:rFonts w:hint="eastAsia"/>
          <w:b/>
          <w:bCs/>
          <w:sz w:val="28"/>
          <w:szCs w:val="28"/>
        </w:rPr>
        <w:drawing>
          <wp:inline distT="0" distB="0" distL="114300" distR="114300">
            <wp:extent cx="5046345" cy="846455"/>
            <wp:effectExtent l="0" t="0" r="1905" b="10795"/>
            <wp:docPr id="9" name="图片 9" descr="集团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集团蓝色"/>
                    <pic:cNvPicPr>
                      <a:picLocks noChangeAspect="1"/>
                    </pic:cNvPicPr>
                  </pic:nvPicPr>
                  <pic:blipFill>
                    <a:blip r:embed="rId10"/>
                    <a:stretch>
                      <a:fillRect/>
                    </a:stretch>
                  </pic:blipFill>
                  <pic:spPr>
                    <a:xfrm>
                      <a:off x="0" y="0"/>
                      <a:ext cx="5046345" cy="846455"/>
                    </a:xfrm>
                    <a:prstGeom prst="rect">
                      <a:avLst/>
                    </a:prstGeom>
                  </pic:spPr>
                </pic:pic>
              </a:graphicData>
            </a:graphic>
          </wp:inline>
        </w:drawing>
      </w:r>
    </w:p>
    <w:p>
      <w:pPr>
        <w:ind w:right="-153" w:rightChars="-73"/>
        <w:jc w:val="center"/>
        <w:outlineLvl w:val="0"/>
        <w:rPr>
          <w:b/>
          <w:bCs/>
          <w:sz w:val="28"/>
          <w:szCs w:val="28"/>
        </w:rPr>
      </w:pPr>
      <w:r>
        <w:rPr>
          <w:rFonts w:hint="eastAsia"/>
          <w:b/>
          <w:bCs/>
          <w:sz w:val="28"/>
          <w:szCs w:val="28"/>
          <w:lang w:eastAsia="zh-CN"/>
        </w:rPr>
        <w:t>（</w:t>
      </w:r>
      <w:r>
        <w:rPr>
          <w:rFonts w:hint="eastAsia"/>
          <w:b/>
          <w:bCs/>
          <w:sz w:val="28"/>
          <w:szCs w:val="28"/>
          <w:lang w:val="en-US" w:eastAsia="zh-CN"/>
        </w:rPr>
        <w:t>集团VI</w:t>
      </w:r>
      <w:r>
        <w:rPr>
          <w:rFonts w:hint="eastAsia"/>
          <w:b/>
          <w:bCs/>
          <w:sz w:val="28"/>
          <w:szCs w:val="28"/>
          <w:lang w:eastAsia="zh-CN"/>
        </w:rPr>
        <w:t>）</w:t>
      </w:r>
    </w:p>
    <w:p>
      <w:pPr>
        <w:jc w:val="center"/>
        <w:rPr>
          <w:b/>
          <w:bCs/>
          <w:sz w:val="28"/>
          <w:szCs w:val="28"/>
        </w:rPr>
      </w:pPr>
      <w:r>
        <w:drawing>
          <wp:inline distT="0" distB="0" distL="0" distR="0">
            <wp:extent cx="8170545" cy="4594860"/>
            <wp:effectExtent l="0" t="2857"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rot="16200000">
                      <a:off x="0" y="0"/>
                      <a:ext cx="8191137" cy="4606601"/>
                    </a:xfrm>
                    <a:prstGeom prst="rect">
                      <a:avLst/>
                    </a:prstGeom>
                  </pic:spPr>
                </pic:pic>
              </a:graphicData>
            </a:graphic>
          </wp:inline>
        </w:drawing>
      </w:r>
    </w:p>
    <w:p>
      <w:pPr>
        <w:jc w:val="center"/>
        <w:rPr>
          <w:b/>
          <w:bCs/>
          <w:sz w:val="28"/>
          <w:szCs w:val="28"/>
        </w:rPr>
      </w:pPr>
      <w:r>
        <w:drawing>
          <wp:inline distT="0" distB="0" distL="0" distR="0">
            <wp:extent cx="8562340" cy="4786630"/>
            <wp:effectExtent l="1905"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rot="16200000">
                      <a:off x="0" y="0"/>
                      <a:ext cx="8579831" cy="4796344"/>
                    </a:xfrm>
                    <a:prstGeom prst="rect">
                      <a:avLst/>
                    </a:prstGeom>
                  </pic:spPr>
                </pic:pic>
              </a:graphicData>
            </a:graphic>
          </wp:inline>
        </w:drawing>
      </w:r>
    </w:p>
    <w:p>
      <w:pPr>
        <w:rPr>
          <w:b/>
          <w:bCs/>
          <w:sz w:val="28"/>
          <w:szCs w:val="28"/>
        </w:rPr>
      </w:pPr>
      <w:r>
        <w:rPr>
          <w:b/>
          <w:bCs/>
          <w:sz w:val="28"/>
          <w:szCs w:val="28"/>
        </w:rPr>
        <w:drawing>
          <wp:inline distT="0" distB="0" distL="0" distR="0">
            <wp:extent cx="5274310" cy="51111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5111115"/>
                    </a:xfrm>
                    <a:prstGeom prst="rect">
                      <a:avLst/>
                    </a:prstGeom>
                    <a:noFill/>
                    <a:ln>
                      <a:noFill/>
                    </a:ln>
                  </pic:spPr>
                </pic:pic>
              </a:graphicData>
            </a:graphic>
          </wp:inline>
        </w:drawing>
      </w:r>
    </w:p>
    <w:p>
      <w:pPr>
        <w:jc w:val="center"/>
        <w:rPr>
          <w:b/>
          <w:bCs/>
          <w:sz w:val="28"/>
          <w:szCs w:val="28"/>
        </w:rPr>
      </w:pPr>
      <w:r>
        <w:rPr>
          <w:b/>
          <w:bCs/>
          <w:sz w:val="28"/>
          <w:szCs w:val="28"/>
        </w:rPr>
        <w:drawing>
          <wp:inline distT="0" distB="0" distL="0" distR="0">
            <wp:extent cx="2155825" cy="34658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63491" cy="3477935"/>
                    </a:xfrm>
                    <a:prstGeom prst="rect">
                      <a:avLst/>
                    </a:prstGeom>
                    <a:noFill/>
                    <a:ln>
                      <a:noFill/>
                    </a:ln>
                  </pic:spPr>
                </pic:pic>
              </a:graphicData>
            </a:graphic>
          </wp:inline>
        </w:drawing>
      </w:r>
    </w:p>
    <w:p>
      <w:pPr>
        <w:jc w:val="center"/>
        <w:rPr>
          <w:b/>
          <w:bCs/>
          <w:sz w:val="28"/>
          <w:szCs w:val="28"/>
        </w:rPr>
      </w:pPr>
      <w:r>
        <w:drawing>
          <wp:inline distT="0" distB="0" distL="0" distR="0">
            <wp:extent cx="8552815" cy="4810760"/>
            <wp:effectExtent l="4128" t="0" r="4762" b="4763"/>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rot="16200000">
                      <a:off x="0" y="0"/>
                      <a:ext cx="8569055" cy="4820314"/>
                    </a:xfrm>
                    <a:prstGeom prst="rect">
                      <a:avLst/>
                    </a:prstGeom>
                  </pic:spPr>
                </pic:pic>
              </a:graphicData>
            </a:graphic>
          </wp:inline>
        </w:drawing>
      </w:r>
    </w:p>
    <w:p>
      <w:pPr>
        <w:jc w:val="center"/>
        <w:rPr>
          <w:b/>
          <w:bCs/>
          <w:sz w:val="28"/>
          <w:szCs w:val="28"/>
        </w:rPr>
      </w:pPr>
      <w:r>
        <w:drawing>
          <wp:inline distT="0" distB="0" distL="0" distR="0">
            <wp:extent cx="8609330" cy="4787900"/>
            <wp:effectExtent l="5715" t="0" r="698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rot="16200000">
                      <a:off x="0" y="0"/>
                      <a:ext cx="8617642" cy="4792639"/>
                    </a:xfrm>
                    <a:prstGeom prst="rect">
                      <a:avLst/>
                    </a:prstGeom>
                  </pic:spPr>
                </pic:pic>
              </a:graphicData>
            </a:graphic>
          </wp:inline>
        </w:drawing>
      </w:r>
    </w:p>
    <w:p>
      <w:pPr>
        <w:rPr>
          <w:b/>
          <w:bCs/>
          <w:sz w:val="28"/>
          <w:szCs w:val="28"/>
        </w:rPr>
      </w:pPr>
    </w:p>
    <w:p>
      <w:pPr>
        <w:jc w:val="both"/>
        <w:rPr>
          <w:b/>
          <w:bCs/>
          <w:sz w:val="28"/>
          <w:szCs w:val="28"/>
        </w:rPr>
      </w:pPr>
      <w:r>
        <w:drawing>
          <wp:inline distT="0" distB="0" distL="0" distR="0">
            <wp:extent cx="7987665" cy="4817745"/>
            <wp:effectExtent l="381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rot="16200000">
                      <a:off x="0" y="0"/>
                      <a:ext cx="7990540" cy="4819721"/>
                    </a:xfrm>
                    <a:prstGeom prst="rect">
                      <a:avLst/>
                    </a:prstGeom>
                  </pic:spPr>
                </pic:pic>
              </a:graphicData>
            </a:graphic>
          </wp:inline>
        </w:drawing>
      </w:r>
    </w:p>
    <w:p>
      <w:pPr>
        <w:rPr>
          <w:b/>
          <w:bCs/>
          <w:sz w:val="28"/>
          <w:szCs w:val="28"/>
        </w:rPr>
      </w:pPr>
    </w:p>
    <w:p>
      <w:pPr>
        <w:rPr>
          <w:rFonts w:ascii="方正小标宋简体" w:hAnsi="方正小标宋简体" w:eastAsia="方正小标宋简体" w:cs="方正小标宋简体"/>
          <w:b/>
          <w:bCs/>
          <w:sz w:val="28"/>
          <w:szCs w:val="28"/>
        </w:rPr>
      </w:pPr>
      <w:r>
        <w:rPr>
          <w:rFonts w:hint="eastAsia"/>
          <w:b/>
          <w:bCs/>
          <w:sz w:val="28"/>
          <w:szCs w:val="28"/>
        </w:rPr>
        <w:t>附件三：</w:t>
      </w:r>
    </w:p>
    <w:p>
      <w:pPr>
        <w:spacing w:line="360" w:lineRule="auto"/>
        <w:jc w:val="center"/>
        <w:rPr>
          <w:rFonts w:ascii="仿宋_GB2312" w:hAnsi="仿宋_GB2312" w:eastAsia="仿宋_GB2312" w:cs="仿宋_GB2312"/>
          <w:color w:val="000000" w:themeColor="text1"/>
          <w:sz w:val="36"/>
          <w:szCs w:val="36"/>
          <w14:textFill>
            <w14:solidFill>
              <w14:schemeClr w14:val="tx1"/>
            </w14:solidFill>
          </w14:textFill>
        </w:rPr>
      </w:pPr>
      <w:r>
        <w:rPr>
          <w:rFonts w:hint="eastAsia" w:ascii="仿宋_GB2312" w:hAnsi="仿宋_GB2312" w:eastAsia="仿宋_GB2312" w:cs="仿宋_GB2312"/>
          <w:color w:val="000000" w:themeColor="text1"/>
          <w:sz w:val="36"/>
          <w:szCs w:val="36"/>
          <w14:textFill>
            <w14:solidFill>
              <w14:schemeClr w14:val="tx1"/>
            </w14:solidFill>
          </w14:textFill>
        </w:rPr>
        <w:t>南沙金融大厦外立面招牌楼面立体字标识项目</w:t>
      </w:r>
    </w:p>
    <w:p>
      <w:pPr>
        <w:spacing w:line="360" w:lineRule="auto"/>
        <w:jc w:val="center"/>
        <w:rPr>
          <w:rFonts w:ascii="仿宋_GB2312" w:hAnsi="仿宋_GB2312" w:eastAsia="仿宋_GB2312" w:cs="仿宋_GB2312"/>
          <w:b/>
          <w:bCs/>
          <w:color w:val="000000" w:themeColor="text1"/>
          <w:sz w:val="36"/>
          <w:szCs w:val="36"/>
          <w14:textFill>
            <w14:solidFill>
              <w14:schemeClr w14:val="tx1"/>
            </w14:solidFill>
          </w14:textFill>
        </w:rPr>
      </w:pPr>
      <w:r>
        <w:rPr>
          <w:rFonts w:hint="eastAsia" w:ascii="仿宋_GB2312" w:hAnsi="仿宋_GB2312" w:eastAsia="仿宋_GB2312" w:cs="仿宋_GB2312"/>
          <w:color w:val="000000" w:themeColor="text1"/>
          <w:sz w:val="36"/>
          <w:szCs w:val="36"/>
          <w14:textFill>
            <w14:solidFill>
              <w14:schemeClr w14:val="tx1"/>
            </w14:solidFill>
          </w14:textFill>
        </w:rPr>
        <w:t>招标计价汇总表</w:t>
      </w:r>
    </w:p>
    <w:p>
      <w:pPr>
        <w:spacing w:line="440" w:lineRule="exact"/>
        <w:rPr>
          <w:rFonts w:ascii="仿宋" w:hAnsi="仿宋_GB2312" w:eastAsia="仿宋_GB2312" w:cs="仿宋_GB2312"/>
          <w:color w:val="000000" w:themeColor="text1"/>
          <w:sz w:val="28"/>
          <w:szCs w:val="28"/>
          <w14:textFill>
            <w14:solidFill>
              <w14:schemeClr w14:val="tx1"/>
            </w14:solidFill>
          </w14:textFill>
        </w:rPr>
      </w:pPr>
    </w:p>
    <w:tbl>
      <w:tblPr>
        <w:tblStyle w:val="18"/>
        <w:tblW w:w="8641" w:type="dxa"/>
        <w:tblInd w:w="0" w:type="dxa"/>
        <w:tblLayout w:type="fixed"/>
        <w:tblCellMar>
          <w:top w:w="0" w:type="dxa"/>
          <w:left w:w="108" w:type="dxa"/>
          <w:bottom w:w="0" w:type="dxa"/>
          <w:right w:w="108" w:type="dxa"/>
        </w:tblCellMar>
      </w:tblPr>
      <w:tblGrid>
        <w:gridCol w:w="703"/>
        <w:gridCol w:w="1276"/>
        <w:gridCol w:w="1201"/>
        <w:gridCol w:w="1634"/>
        <w:gridCol w:w="709"/>
        <w:gridCol w:w="708"/>
        <w:gridCol w:w="709"/>
        <w:gridCol w:w="851"/>
        <w:gridCol w:w="850"/>
      </w:tblGrid>
      <w:tr>
        <w:tblPrEx>
          <w:tblLayout w:type="fixed"/>
          <w:tblCellMar>
            <w:top w:w="0" w:type="dxa"/>
            <w:left w:w="108" w:type="dxa"/>
            <w:bottom w:w="0" w:type="dxa"/>
            <w:right w:w="108" w:type="dxa"/>
          </w:tblCellMar>
        </w:tblPrEx>
        <w:trPr>
          <w:trHeight w:val="780" w:hRule="atLeast"/>
        </w:trPr>
        <w:tc>
          <w:tcPr>
            <w:tcW w:w="8641"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32"/>
                <w:szCs w:val="32"/>
              </w:rPr>
            </w:pPr>
            <w:r>
              <w:rPr>
                <w:rFonts w:hint="eastAsia" w:ascii="宋体" w:hAnsi="宋体" w:cs="宋体"/>
                <w:b/>
                <w:bCs/>
                <w:kern w:val="0"/>
                <w:sz w:val="32"/>
                <w:szCs w:val="32"/>
              </w:rPr>
              <w:t>南沙金融大厦外立面招牌楼面立体字标识项目</w:t>
            </w:r>
          </w:p>
        </w:tc>
      </w:tr>
      <w:tr>
        <w:tblPrEx>
          <w:tblLayout w:type="fixed"/>
          <w:tblCellMar>
            <w:top w:w="0" w:type="dxa"/>
            <w:left w:w="108" w:type="dxa"/>
            <w:bottom w:w="0" w:type="dxa"/>
            <w:right w:w="108" w:type="dxa"/>
          </w:tblCellMar>
        </w:tblPrEx>
        <w:trPr>
          <w:trHeight w:val="780" w:hRule="atLeast"/>
        </w:trPr>
        <w:tc>
          <w:tcPr>
            <w:tcW w:w="8641" w:type="dxa"/>
            <w:gridSpan w:val="9"/>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拆除部分</w:t>
            </w:r>
          </w:p>
        </w:tc>
      </w:tr>
      <w:tr>
        <w:tblPrEx>
          <w:tblLayout w:type="fixed"/>
          <w:tblCellMar>
            <w:top w:w="0" w:type="dxa"/>
            <w:left w:w="108" w:type="dxa"/>
            <w:bottom w:w="0" w:type="dxa"/>
            <w:right w:w="108" w:type="dxa"/>
          </w:tblCellMar>
        </w:tblPrEx>
        <w:trPr>
          <w:trHeight w:val="1401"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项目名称</w:t>
            </w:r>
          </w:p>
        </w:tc>
        <w:tc>
          <w:tcPr>
            <w:tcW w:w="12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规格</w:t>
            </w:r>
          </w:p>
        </w:tc>
        <w:tc>
          <w:tcPr>
            <w:tcW w:w="16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材质工艺（概述）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数量</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单价</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总价</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备注</w:t>
            </w:r>
          </w:p>
        </w:tc>
      </w:tr>
      <w:tr>
        <w:tblPrEx>
          <w:tblLayout w:type="fixed"/>
          <w:tblCellMar>
            <w:top w:w="0" w:type="dxa"/>
            <w:left w:w="108" w:type="dxa"/>
            <w:bottom w:w="0" w:type="dxa"/>
            <w:right w:w="108" w:type="dxa"/>
          </w:tblCellMar>
        </w:tblPrEx>
        <w:trPr>
          <w:trHeight w:val="3924"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南沙金融大厦建筑大楼外立面（面朝进港大道）立体字</w:t>
            </w:r>
          </w:p>
        </w:tc>
        <w:tc>
          <w:tcPr>
            <w:tcW w:w="12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内容：logo+南沙资产公司。</w:t>
            </w:r>
          </w:p>
        </w:tc>
        <w:tc>
          <w:tcPr>
            <w:tcW w:w="1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拆除原有立体字一整套（包含：结构件、字组、电源线、控制器等相关原有立体发光字周边安装件）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4300"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南沙金融大厦建筑大楼外立面（面朝市民广场）立体字</w:t>
            </w:r>
          </w:p>
        </w:tc>
        <w:tc>
          <w:tcPr>
            <w:tcW w:w="12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内容：南沙金融大厦。</w:t>
            </w:r>
          </w:p>
        </w:tc>
        <w:tc>
          <w:tcPr>
            <w:tcW w:w="1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拆除原有立体字一整套（包含：结构件、字组、电源线、控制器等相关原有立体发光字周边安装件）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696" w:hRule="atLeast"/>
        </w:trPr>
        <w:tc>
          <w:tcPr>
            <w:tcW w:w="8641" w:type="dxa"/>
            <w:gridSpan w:val="9"/>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新装部分</w:t>
            </w:r>
          </w:p>
        </w:tc>
      </w:tr>
      <w:tr>
        <w:tblPrEx>
          <w:tblLayout w:type="fixed"/>
          <w:tblCellMar>
            <w:top w:w="0" w:type="dxa"/>
            <w:left w:w="108" w:type="dxa"/>
            <w:bottom w:w="0" w:type="dxa"/>
            <w:right w:w="108" w:type="dxa"/>
          </w:tblCellMar>
        </w:tblPrEx>
        <w:trPr>
          <w:trHeight w:val="696"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项目名称</w:t>
            </w:r>
          </w:p>
        </w:tc>
        <w:tc>
          <w:tcPr>
            <w:tcW w:w="12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规格</w:t>
            </w:r>
          </w:p>
        </w:tc>
        <w:tc>
          <w:tcPr>
            <w:tcW w:w="16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材质工艺（概述）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数量</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单位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单价</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总价</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备注</w:t>
            </w:r>
          </w:p>
        </w:tc>
      </w:tr>
      <w:tr>
        <w:tblPrEx>
          <w:tblLayout w:type="fixed"/>
          <w:tblCellMar>
            <w:top w:w="0" w:type="dxa"/>
            <w:left w:w="108" w:type="dxa"/>
            <w:bottom w:w="0" w:type="dxa"/>
            <w:right w:w="108" w:type="dxa"/>
          </w:tblCellMar>
        </w:tblPrEx>
        <w:trPr>
          <w:trHeight w:val="2604"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1</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南沙金融大厦建筑大楼外立面（面朝进港大道）立体字</w:t>
            </w:r>
          </w:p>
        </w:tc>
        <w:tc>
          <w:tcPr>
            <w:tcW w:w="12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ascii="宋体" w:hAnsi="宋体" w:cs="宋体"/>
                <w:kern w:val="0"/>
                <w:sz w:val="24"/>
                <w:szCs w:val="24"/>
              </w:rPr>
              <w:t>Logo</w:t>
            </w:r>
            <w:r>
              <w:rPr>
                <w:rFonts w:hint="eastAsia" w:ascii="宋体" w:hAnsi="宋体" w:cs="宋体"/>
                <w:kern w:val="0"/>
                <w:sz w:val="24"/>
                <w:szCs w:val="24"/>
              </w:rPr>
              <w:t>组合：W4000mm-5000mm，L5000mm</w:t>
            </w:r>
            <w:r>
              <w:rPr>
                <w:rFonts w:ascii="宋体" w:hAnsi="宋体" w:cs="宋体"/>
                <w:kern w:val="0"/>
                <w:sz w:val="24"/>
                <w:szCs w:val="24"/>
              </w:rPr>
              <w:t>-6000mm</w:t>
            </w:r>
            <w:r>
              <w:rPr>
                <w:rFonts w:hint="eastAsia" w:ascii="宋体" w:hAnsi="宋体" w:cs="宋体"/>
                <w:kern w:val="0"/>
                <w:sz w:val="24"/>
                <w:szCs w:val="24"/>
              </w:rPr>
              <w:t>，厚度150mm</w:t>
            </w:r>
            <w:r>
              <w:rPr>
                <w:rFonts w:ascii="宋体" w:hAnsi="宋体" w:cs="宋体"/>
                <w:kern w:val="0"/>
                <w:sz w:val="24"/>
                <w:szCs w:val="24"/>
              </w:rPr>
              <w:t>-200mm</w:t>
            </w:r>
            <w:r>
              <w:rPr>
                <w:rFonts w:hint="eastAsia" w:ascii="宋体" w:hAnsi="宋体" w:cs="宋体"/>
                <w:kern w:val="0"/>
                <w:sz w:val="24"/>
                <w:szCs w:val="24"/>
              </w:rPr>
              <w:t>;</w:t>
            </w:r>
          </w:p>
          <w:p>
            <w:pPr>
              <w:widowControl/>
              <w:jc w:val="left"/>
              <w:rPr>
                <w:rFonts w:hint="eastAsia" w:ascii="宋体" w:hAnsi="宋体" w:cs="宋体"/>
                <w:kern w:val="0"/>
                <w:sz w:val="24"/>
                <w:szCs w:val="24"/>
              </w:rPr>
            </w:pPr>
            <w:r>
              <w:rPr>
                <w:rFonts w:hint="eastAsia" w:ascii="宋体" w:hAnsi="宋体" w:cs="宋体"/>
                <w:kern w:val="0"/>
                <w:sz w:val="24"/>
                <w:szCs w:val="24"/>
              </w:rPr>
              <w:t>文字（</w:t>
            </w:r>
            <w:r>
              <w:rPr>
                <w:rFonts w:hint="default" w:ascii="宋体" w:hAnsi="宋体" w:cs="宋体"/>
                <w:kern w:val="0"/>
                <w:sz w:val="24"/>
                <w:szCs w:val="24"/>
                <w:lang w:eastAsia="zh-CN"/>
              </w:rPr>
              <w:t>“</w:t>
            </w:r>
            <w:r>
              <w:rPr>
                <w:rFonts w:hint="eastAsia" w:ascii="宋体" w:hAnsi="宋体" w:cs="宋体"/>
                <w:kern w:val="0"/>
                <w:sz w:val="24"/>
                <w:szCs w:val="24"/>
              </w:rPr>
              <w:t>南沙资产经营集团</w:t>
            </w:r>
            <w:r>
              <w:rPr>
                <w:rFonts w:hint="default" w:ascii="宋体" w:hAnsi="宋体" w:cs="宋体"/>
                <w:kern w:val="0"/>
                <w:sz w:val="24"/>
                <w:szCs w:val="24"/>
                <w:lang w:eastAsia="zh-CN"/>
              </w:rPr>
              <w:t>”，</w:t>
            </w:r>
            <w:r>
              <w:rPr>
                <w:rFonts w:hint="default" w:ascii="宋体" w:hAnsi="宋体" w:eastAsia="宋体" w:cs="宋体"/>
                <w:color w:val="auto"/>
                <w:kern w:val="0"/>
                <w:sz w:val="24"/>
                <w:szCs w:val="24"/>
                <w:lang w:val="en-US" w:eastAsia="zh-CN"/>
              </w:rPr>
              <w:t>字体</w:t>
            </w:r>
            <w:r>
              <w:rPr>
                <w:rFonts w:hint="default" w:ascii="宋体" w:hAnsi="宋体" w:eastAsia="宋体" w:cs="宋体"/>
                <w:color w:val="auto"/>
                <w:kern w:val="0"/>
                <w:sz w:val="24"/>
                <w:szCs w:val="24"/>
                <w:lang w:eastAsia="zh-CN"/>
              </w:rPr>
              <w:t>用集团</w:t>
            </w:r>
            <w:r>
              <w:rPr>
                <w:rFonts w:hint="default" w:ascii="宋体" w:hAnsi="宋体" w:eastAsia="宋体" w:cs="宋体"/>
                <w:color w:val="auto"/>
                <w:kern w:val="0"/>
                <w:sz w:val="24"/>
                <w:szCs w:val="24"/>
                <w:lang w:val="en-US" w:eastAsia="zh-CN"/>
              </w:rPr>
              <w:t>VI</w:t>
            </w:r>
            <w:r>
              <w:rPr>
                <w:rFonts w:hint="eastAsia" w:ascii="宋体" w:hAnsi="宋体" w:cs="宋体"/>
                <w:kern w:val="0"/>
                <w:sz w:val="24"/>
                <w:szCs w:val="24"/>
              </w:rPr>
              <w:t>）：单个字W/L3000mm</w:t>
            </w:r>
            <w:r>
              <w:rPr>
                <w:rFonts w:ascii="宋体" w:hAnsi="宋体" w:cs="宋体"/>
                <w:kern w:val="0"/>
                <w:sz w:val="24"/>
                <w:szCs w:val="24"/>
              </w:rPr>
              <w:t>-4000mm</w:t>
            </w:r>
            <w:r>
              <w:rPr>
                <w:rFonts w:hint="eastAsia" w:ascii="宋体" w:hAnsi="宋体" w:cs="宋体"/>
                <w:kern w:val="0"/>
                <w:sz w:val="24"/>
                <w:szCs w:val="24"/>
              </w:rPr>
              <w:t>，厚度150mm-</w:t>
            </w:r>
            <w:r>
              <w:rPr>
                <w:rFonts w:ascii="宋体" w:hAnsi="宋体" w:cs="宋体"/>
                <w:kern w:val="0"/>
                <w:sz w:val="24"/>
                <w:szCs w:val="24"/>
              </w:rPr>
              <w:t>200mm</w:t>
            </w:r>
            <w:r>
              <w:rPr>
                <w:rFonts w:hint="eastAsia" w:ascii="宋体" w:hAnsi="宋体" w:cs="宋体"/>
                <w:kern w:val="0"/>
                <w:sz w:val="24"/>
                <w:szCs w:val="24"/>
              </w:rPr>
              <w:t>。</w:t>
            </w:r>
          </w:p>
          <w:p>
            <w:pPr>
              <w:widowControl/>
              <w:jc w:val="left"/>
              <w:rPr>
                <w:rFonts w:ascii="宋体" w:hAnsi="宋体" w:cs="宋体"/>
                <w:kern w:val="0"/>
                <w:sz w:val="24"/>
                <w:szCs w:val="24"/>
              </w:rPr>
            </w:pPr>
            <w:r>
              <w:rPr>
                <w:rFonts w:hint="eastAsia" w:ascii="宋体" w:hAnsi="宋体" w:cs="宋体"/>
                <w:kern w:val="0"/>
                <w:sz w:val="24"/>
                <w:szCs w:val="24"/>
              </w:rPr>
              <w:t>总覆盖区域：W5200mm*L28000mm</w:t>
            </w:r>
          </w:p>
        </w:tc>
        <w:tc>
          <w:tcPr>
            <w:tcW w:w="1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背部结构：304不锈钢组合架（支点必须与建筑外墙紧密连接固定）发光方式：正面平板立体发光字工艺。字边：304不锈钢围边。配构件：均采用不锈钢配件组合。固定方式：采用双保险固定方式（外墙面膨胀螺丝支点固定、建筑大楼顶层增加钢绳加固）。内部L</w:t>
            </w:r>
            <w:r>
              <w:rPr>
                <w:rFonts w:ascii="宋体" w:hAnsi="宋体" w:cs="宋体"/>
                <w:kern w:val="0"/>
                <w:sz w:val="24"/>
                <w:szCs w:val="24"/>
              </w:rPr>
              <w:t>ED</w:t>
            </w:r>
            <w:r>
              <w:rPr>
                <w:rFonts w:hint="eastAsia" w:ascii="宋体" w:hAnsi="宋体" w:cs="宋体"/>
                <w:kern w:val="0"/>
                <w:sz w:val="24"/>
                <w:szCs w:val="24"/>
              </w:rPr>
              <w:t>灯源：蓝景或以上品牌灯源。变压器检修区设置在建筑大楼楼顶层内墙便于后期检修维护。</w:t>
            </w:r>
          </w:p>
          <w:p>
            <w:pPr>
              <w:widowControl/>
              <w:jc w:val="left"/>
              <w:rPr>
                <w:rFonts w:ascii="宋体" w:hAnsi="宋体" w:cs="宋体"/>
                <w:kern w:val="0"/>
                <w:sz w:val="24"/>
                <w:szCs w:val="24"/>
              </w:rPr>
            </w:pPr>
            <w:r>
              <w:rPr>
                <w:rFonts w:hint="eastAsia" w:ascii="宋体" w:hAnsi="宋体" w:cs="宋体"/>
                <w:kern w:val="0"/>
                <w:sz w:val="24"/>
                <w:szCs w:val="24"/>
              </w:rPr>
              <w:t>制作内容：</w:t>
            </w:r>
            <w:r>
              <w:rPr>
                <w:rFonts w:hint="eastAsia" w:ascii="宋体" w:hAnsi="宋体" w:cs="宋体"/>
                <w:kern w:val="0"/>
                <w:sz w:val="24"/>
                <w:szCs w:val="24"/>
                <w:lang w:val="en-US" w:eastAsia="zh-CN"/>
              </w:rPr>
              <w:t>集团</w:t>
            </w:r>
            <w:r>
              <w:rPr>
                <w:rFonts w:hint="eastAsia" w:ascii="宋体" w:hAnsi="宋体" w:cs="宋体"/>
                <w:kern w:val="0"/>
                <w:sz w:val="24"/>
                <w:szCs w:val="24"/>
              </w:rPr>
              <w:t>L</w:t>
            </w:r>
            <w:r>
              <w:rPr>
                <w:rFonts w:ascii="宋体" w:hAnsi="宋体" w:cs="宋体"/>
                <w:kern w:val="0"/>
                <w:sz w:val="24"/>
                <w:szCs w:val="24"/>
              </w:rPr>
              <w:t>OGO</w:t>
            </w:r>
            <w:r>
              <w:rPr>
                <w:rFonts w:hint="eastAsia" w:ascii="宋体" w:hAnsi="宋体" w:cs="宋体"/>
                <w:kern w:val="0"/>
                <w:sz w:val="24"/>
                <w:szCs w:val="24"/>
              </w:rPr>
              <w:t>+南沙资产经营集团</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xml:space="preserve">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r>
      <w:tr>
        <w:tblPrEx>
          <w:tblLayout w:type="fixed"/>
          <w:tblCellMar>
            <w:top w:w="0" w:type="dxa"/>
            <w:left w:w="108" w:type="dxa"/>
            <w:bottom w:w="0" w:type="dxa"/>
            <w:right w:w="108" w:type="dxa"/>
          </w:tblCellMar>
        </w:tblPrEx>
        <w:trPr>
          <w:trHeight w:val="2352"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南沙金融大厦大楼外（侧面外立面）立体字</w:t>
            </w:r>
          </w:p>
        </w:tc>
        <w:tc>
          <w:tcPr>
            <w:tcW w:w="12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Logo: W/L1800MM-2500mm,侧边厚度100mm-200mm;</w:t>
            </w:r>
          </w:p>
          <w:p>
            <w:pPr>
              <w:widowControl/>
              <w:jc w:val="left"/>
              <w:rPr>
                <w:rFonts w:ascii="宋体" w:hAnsi="宋体" w:cs="宋体"/>
                <w:kern w:val="0"/>
                <w:sz w:val="24"/>
                <w:szCs w:val="24"/>
              </w:rPr>
            </w:pPr>
            <w:r>
              <w:rPr>
                <w:rFonts w:hint="eastAsia" w:ascii="宋体" w:hAnsi="宋体" w:cs="宋体"/>
                <w:kern w:val="0"/>
                <w:sz w:val="24"/>
                <w:szCs w:val="24"/>
              </w:rPr>
              <w:t>文字（南沙金融大厦）；单个字W/L1</w:t>
            </w:r>
            <w:r>
              <w:rPr>
                <w:rFonts w:ascii="宋体" w:hAnsi="宋体" w:cs="宋体"/>
                <w:kern w:val="0"/>
                <w:sz w:val="24"/>
                <w:szCs w:val="24"/>
              </w:rPr>
              <w:t>800mm-2500mm</w:t>
            </w:r>
            <w:r>
              <w:rPr>
                <w:rFonts w:hint="eastAsia" w:ascii="宋体" w:hAnsi="宋体" w:cs="宋体"/>
                <w:kern w:val="0"/>
                <w:sz w:val="24"/>
                <w:szCs w:val="24"/>
              </w:rPr>
              <w:t>。厚度100mm</w:t>
            </w:r>
            <w:r>
              <w:rPr>
                <w:rFonts w:ascii="宋体" w:hAnsi="宋体" w:cs="宋体"/>
                <w:kern w:val="0"/>
                <w:sz w:val="24"/>
                <w:szCs w:val="24"/>
              </w:rPr>
              <w:t>-200mm</w:t>
            </w:r>
          </w:p>
        </w:tc>
        <w:tc>
          <w:tcPr>
            <w:tcW w:w="16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背部结构：304不锈钢组合架（支点必须与建筑外墙紧密连接固定）发光方式：正面平板立体发光字工艺。字边：304不锈钢围边。配构件：均采用不锈钢配件组合。固定方式：外墙面膨胀螺丝支点固定。内部L</w:t>
            </w:r>
            <w:r>
              <w:rPr>
                <w:rFonts w:ascii="宋体" w:hAnsi="宋体" w:cs="宋体"/>
                <w:kern w:val="0"/>
                <w:sz w:val="24"/>
                <w:szCs w:val="24"/>
              </w:rPr>
              <w:t>ED</w:t>
            </w:r>
            <w:r>
              <w:rPr>
                <w:rFonts w:hint="eastAsia" w:ascii="宋体" w:hAnsi="宋体" w:cs="宋体"/>
                <w:kern w:val="0"/>
                <w:sz w:val="24"/>
                <w:szCs w:val="24"/>
              </w:rPr>
              <w:t>灯源：蓝景或以上品牌灯源。变压器检修区设置在建筑大楼楼顶层内墙便于后期检修维护。</w:t>
            </w:r>
          </w:p>
          <w:p>
            <w:pPr>
              <w:widowControl/>
              <w:jc w:val="left"/>
              <w:rPr>
                <w:rFonts w:ascii="宋体" w:hAnsi="宋体" w:cs="宋体"/>
                <w:kern w:val="0"/>
                <w:sz w:val="24"/>
                <w:szCs w:val="24"/>
              </w:rPr>
            </w:pPr>
            <w:r>
              <w:rPr>
                <w:rFonts w:hint="eastAsia" w:ascii="宋体" w:hAnsi="宋体" w:cs="宋体"/>
                <w:kern w:val="0"/>
                <w:sz w:val="24"/>
                <w:szCs w:val="24"/>
              </w:rPr>
              <w:t>制作内容：</w:t>
            </w:r>
            <w:r>
              <w:rPr>
                <w:rFonts w:hint="eastAsia" w:ascii="宋体" w:hAnsi="宋体" w:cs="宋体"/>
                <w:kern w:val="0"/>
                <w:sz w:val="24"/>
                <w:szCs w:val="24"/>
                <w:lang w:val="en-US" w:eastAsia="zh-CN"/>
              </w:rPr>
              <w:t>集团LOGO+</w:t>
            </w:r>
            <w:r>
              <w:rPr>
                <w:rFonts w:hint="eastAsia" w:ascii="宋体" w:hAnsi="宋体" w:cs="宋体"/>
                <w:kern w:val="0"/>
                <w:sz w:val="24"/>
                <w:szCs w:val="24"/>
              </w:rPr>
              <w:t>南沙金融大厦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690" w:hRule="atLeast"/>
        </w:trPr>
        <w:tc>
          <w:tcPr>
            <w:tcW w:w="70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4111"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大写：元整</w:t>
            </w:r>
          </w:p>
        </w:tc>
        <w:tc>
          <w:tcPr>
            <w:tcW w:w="1417"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合计</w:t>
            </w:r>
          </w:p>
        </w:tc>
        <w:tc>
          <w:tcPr>
            <w:tcW w:w="15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bl>
    <w:p>
      <w:pPr>
        <w:pStyle w:val="6"/>
      </w:pPr>
      <w:r>
        <w:rPr>
          <w:rFonts w:hint="eastAsia" w:ascii="仿宋_GB2312" w:hAnsi="仿宋_GB2312" w:eastAsia="仿宋_GB2312" w:cs="仿宋_GB2312"/>
          <w:color w:val="000000" w:themeColor="text1"/>
          <w:sz w:val="24"/>
          <w:szCs w:val="24"/>
          <w14:textFill>
            <w14:solidFill>
              <w14:schemeClr w14:val="tx1"/>
            </w14:solidFill>
          </w14:textFill>
        </w:rPr>
        <w:t>注：本项目结合自身实力和市场因素进行报价。</w:t>
      </w:r>
      <w:r>
        <w:rPr>
          <w:rFonts w:hint="eastAsia" w:ascii="仿宋_GB2312" w:hAnsi="宋体" w:eastAsia="仿宋_GB2312" w:cs="Arial"/>
          <w:sz w:val="24"/>
        </w:rPr>
        <w:t>总报价不得超过最高限价人民币30万元。该总报价包括：设计、制造、包装、运输、装卸、储存、安装（基础制作）、调试和安装现场协调配合费用，质保期内服务及备品备件发生的所有（含税）费用。</w:t>
      </w:r>
    </w:p>
    <w:p>
      <w:pPr>
        <w:spacing w:line="360" w:lineRule="auto"/>
        <w:ind w:firstLine="3360" w:firstLineChars="1200"/>
        <w:jc w:val="left"/>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报价单位：                                        </w:t>
      </w:r>
    </w:p>
    <w:p>
      <w:pPr>
        <w:spacing w:line="360" w:lineRule="auto"/>
        <w:ind w:firstLine="3920" w:firstLineChars="1400"/>
        <w:jc w:val="left"/>
        <w:rPr>
          <w:rFonts w:ascii="宋体" w:hAnsi="宋体"/>
          <w:b/>
          <w:bCs/>
          <w:sz w:val="30"/>
        </w:rPr>
      </w:pPr>
      <w:r>
        <w:rPr>
          <w:rFonts w:hint="eastAsia" w:ascii="仿宋_GB2312" w:hAnsi="仿宋_GB2312" w:eastAsia="仿宋_GB2312" w:cs="仿宋_GB2312"/>
          <w:bCs/>
          <w:color w:val="000000" w:themeColor="text1"/>
          <w:sz w:val="28"/>
          <w:szCs w:val="28"/>
          <w14:textFill>
            <w14:solidFill>
              <w14:schemeClr w14:val="tx1"/>
            </w14:solidFill>
          </w14:textFill>
        </w:rPr>
        <w:t>日期：</w:t>
      </w:r>
      <w:r>
        <w:rPr>
          <w:rFonts w:ascii="仿宋_GB2312" w:hAnsi="仿宋_GB2312" w:eastAsia="仿宋_GB2312" w:cs="仿宋_GB2312"/>
          <w:bCs/>
          <w:color w:val="000000" w:themeColor="text1"/>
          <w:sz w:val="28"/>
          <w:szCs w:val="28"/>
          <w14:textFill>
            <w14:solidFill>
              <w14:schemeClr w14:val="tx1"/>
            </w14:solidFill>
          </w14:textFill>
        </w:rPr>
        <w:br w:type="page"/>
      </w:r>
    </w:p>
    <w:p>
      <w:pPr>
        <w:widowControl/>
        <w:jc w:val="left"/>
        <w:rPr>
          <w:b/>
          <w:bCs/>
          <w:sz w:val="28"/>
          <w:szCs w:val="28"/>
        </w:rPr>
      </w:pPr>
      <w:r>
        <w:rPr>
          <w:rFonts w:hint="eastAsia"/>
          <w:b/>
          <w:bCs/>
          <w:sz w:val="28"/>
          <w:szCs w:val="28"/>
        </w:rPr>
        <w:t>附件四：</w:t>
      </w:r>
    </w:p>
    <w:tbl>
      <w:tblPr>
        <w:tblStyle w:val="18"/>
        <w:tblW w:w="9545" w:type="dxa"/>
        <w:jc w:val="center"/>
        <w:tblInd w:w="0" w:type="dxa"/>
        <w:tblLayout w:type="fixed"/>
        <w:tblCellMar>
          <w:top w:w="0" w:type="dxa"/>
          <w:left w:w="108" w:type="dxa"/>
          <w:bottom w:w="0" w:type="dxa"/>
          <w:right w:w="108" w:type="dxa"/>
        </w:tblCellMar>
      </w:tblPr>
      <w:tblGrid>
        <w:gridCol w:w="768"/>
        <w:gridCol w:w="4350"/>
        <w:gridCol w:w="1492"/>
        <w:gridCol w:w="1421"/>
        <w:gridCol w:w="1514"/>
      </w:tblGrid>
      <w:tr>
        <w:tblPrEx>
          <w:tblLayout w:type="fixed"/>
          <w:tblCellMar>
            <w:top w:w="0" w:type="dxa"/>
            <w:left w:w="108" w:type="dxa"/>
            <w:bottom w:w="0" w:type="dxa"/>
            <w:right w:w="108" w:type="dxa"/>
          </w:tblCellMar>
        </w:tblPrEx>
        <w:trPr>
          <w:trHeight w:val="660" w:hRule="atLeast"/>
          <w:jc w:val="center"/>
        </w:trPr>
        <w:tc>
          <w:tcPr>
            <w:tcW w:w="9545" w:type="dxa"/>
            <w:gridSpan w:val="5"/>
            <w:tcBorders>
              <w:top w:val="nil"/>
              <w:left w:val="nil"/>
              <w:bottom w:val="nil"/>
              <w:right w:val="nil"/>
            </w:tcBorders>
            <w:shd w:val="clear" w:color="auto" w:fill="auto"/>
            <w:vAlign w:val="center"/>
          </w:tcPr>
          <w:p>
            <w:pPr>
              <w:widowControl/>
              <w:jc w:val="center"/>
              <w:textAlignment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kern w:val="0"/>
                <w:sz w:val="32"/>
                <w:szCs w:val="32"/>
                <w:lang w:bidi="ar"/>
              </w:rPr>
              <w:t>资格符合性审查表</w:t>
            </w:r>
          </w:p>
        </w:tc>
      </w:tr>
      <w:tr>
        <w:tblPrEx>
          <w:tblLayout w:type="fixed"/>
          <w:tblCellMar>
            <w:top w:w="0" w:type="dxa"/>
            <w:left w:w="108" w:type="dxa"/>
            <w:bottom w:w="0" w:type="dxa"/>
            <w:right w:w="108" w:type="dxa"/>
          </w:tblCellMar>
        </w:tblPrEx>
        <w:trPr>
          <w:trHeight w:val="405" w:hRule="atLeast"/>
          <w:jc w:val="center"/>
        </w:trPr>
        <w:tc>
          <w:tcPr>
            <w:tcW w:w="9545" w:type="dxa"/>
            <w:gridSpan w:val="5"/>
            <w:tcBorders>
              <w:top w:val="nil"/>
              <w:left w:val="nil"/>
              <w:bottom w:val="nil"/>
              <w:right w:val="nil"/>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项目名称：南沙金融大厦外立面招牌楼面立体字标识                      日期：</w:t>
            </w:r>
            <w:r>
              <w:rPr>
                <w:rFonts w:hint="eastAsia" w:ascii="宋体" w:hAnsi="宋体" w:cs="宋体"/>
                <w:color w:val="000000"/>
                <w:kern w:val="0"/>
                <w:szCs w:val="21"/>
                <w:lang w:val="en-US" w:eastAsia="zh-CN" w:bidi="ar"/>
              </w:rPr>
              <w:t xml:space="preserve">     </w:t>
            </w:r>
            <w:r>
              <w:rPr>
                <w:rFonts w:hint="eastAsia" w:ascii="宋体" w:hAnsi="宋体" w:cs="宋体"/>
                <w:color w:val="000000"/>
                <w:kern w:val="0"/>
                <w:szCs w:val="21"/>
                <w:lang w:bidi="ar"/>
              </w:rPr>
              <w:t>年  月  日</w:t>
            </w:r>
          </w:p>
        </w:tc>
      </w:tr>
      <w:tr>
        <w:tblPrEx>
          <w:tblLayout w:type="fixed"/>
          <w:tblCellMar>
            <w:top w:w="0" w:type="dxa"/>
            <w:left w:w="108" w:type="dxa"/>
            <w:bottom w:w="0" w:type="dxa"/>
            <w:right w:w="108" w:type="dxa"/>
          </w:tblCellMar>
        </w:tblPrEx>
        <w:trPr>
          <w:trHeight w:val="405" w:hRule="atLeast"/>
          <w:jc w:val="center"/>
        </w:trPr>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4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审查项目     </w:t>
            </w:r>
          </w:p>
        </w:tc>
        <w:tc>
          <w:tcPr>
            <w:tcW w:w="44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  投标人名称</w:t>
            </w:r>
          </w:p>
        </w:tc>
      </w:tr>
      <w:tr>
        <w:tblPrEx>
          <w:tblLayout w:type="fixed"/>
          <w:tblCellMar>
            <w:top w:w="0" w:type="dxa"/>
            <w:left w:w="108" w:type="dxa"/>
            <w:bottom w:w="0" w:type="dxa"/>
            <w:right w:w="108" w:type="dxa"/>
          </w:tblCellMar>
        </w:tblPrEx>
        <w:trPr>
          <w:trHeight w:val="52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4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r>
      <w:tr>
        <w:tblPrEx>
          <w:tblLayout w:type="fixed"/>
          <w:tblCellMar>
            <w:top w:w="0" w:type="dxa"/>
            <w:left w:w="108" w:type="dxa"/>
            <w:bottom w:w="0" w:type="dxa"/>
            <w:right w:w="108" w:type="dxa"/>
          </w:tblCellMar>
        </w:tblPrEx>
        <w:trPr>
          <w:trHeight w:val="560"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投标文件密封性完好。</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560"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投标文件每页加盖投标单位公章或</w:t>
            </w:r>
            <w:r>
              <w:rPr>
                <w:rFonts w:hint="eastAsia" w:ascii="宋体" w:hAnsi="宋体" w:cs="宋体"/>
                <w:color w:val="000000"/>
                <w:kern w:val="0"/>
                <w:szCs w:val="21"/>
                <w:lang w:val="en-US" w:eastAsia="zh-CN" w:bidi="ar"/>
              </w:rPr>
              <w:t>骑</w:t>
            </w:r>
            <w:r>
              <w:rPr>
                <w:rFonts w:hint="eastAsia" w:ascii="宋体" w:hAnsi="宋体" w:cs="宋体"/>
                <w:color w:val="000000"/>
                <w:kern w:val="0"/>
                <w:szCs w:val="21"/>
                <w:lang w:bidi="ar"/>
              </w:rPr>
              <w:t>缝章。</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779"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投标单位营业执照复印件加盖公章，法定代表人证明书及委托授权书原件加盖公章。</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854"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投标人具有承接本项目的相应能力，企业经营范围为：标识标志牌设计安装服务或广告业。</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560"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投标报价不高于投标限价。</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1712"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投标人未被列入“信用中国”网站(www.creditchina.gov.cn)“失信被执行人或企业经营异常名录或重大税收违法案件当事人名单”(提供投标日当天信用信息查询记录其中一项截图，加盖本单位公章)。</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714" w:hRule="exact"/>
          <w:jc w:val="center"/>
        </w:trPr>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投标人按招标文件要求，在规定时间内到现场勘查。</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600" w:hRule="atLeast"/>
          <w:jc w:val="center"/>
        </w:trPr>
        <w:tc>
          <w:tcPr>
            <w:tcW w:w="51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结论</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r>
      <w:tr>
        <w:tblPrEx>
          <w:tblLayout w:type="fixed"/>
          <w:tblCellMar>
            <w:top w:w="0" w:type="dxa"/>
            <w:left w:w="108" w:type="dxa"/>
            <w:bottom w:w="0" w:type="dxa"/>
            <w:right w:w="108" w:type="dxa"/>
          </w:tblCellMar>
        </w:tblPrEx>
        <w:trPr>
          <w:trHeight w:val="870" w:hRule="atLeast"/>
          <w:jc w:val="center"/>
        </w:trPr>
        <w:tc>
          <w:tcPr>
            <w:tcW w:w="95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备注：每一项目符合的打“○”，不符合的打“×”；所有项目符合为通过，出现一个“×”的结论为不通过。</w:t>
            </w:r>
          </w:p>
        </w:tc>
      </w:tr>
      <w:tr>
        <w:tblPrEx>
          <w:tblLayout w:type="fixed"/>
          <w:tblCellMar>
            <w:top w:w="0" w:type="dxa"/>
            <w:left w:w="108" w:type="dxa"/>
            <w:bottom w:w="0" w:type="dxa"/>
            <w:right w:w="108" w:type="dxa"/>
          </w:tblCellMar>
        </w:tblPrEx>
        <w:trPr>
          <w:trHeight w:val="640" w:hRule="atLeast"/>
          <w:jc w:val="center"/>
        </w:trPr>
        <w:tc>
          <w:tcPr>
            <w:tcW w:w="9545" w:type="dxa"/>
            <w:gridSpan w:val="5"/>
            <w:tcBorders>
              <w:top w:val="nil"/>
              <w:left w:val="nil"/>
              <w:bottom w:val="nil"/>
              <w:right w:val="nil"/>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评审专家签名：</w:t>
            </w:r>
          </w:p>
        </w:tc>
      </w:tr>
    </w:tbl>
    <w:p>
      <w:pPr>
        <w:spacing w:before="100" w:beforeAutospacing="1" w:after="100" w:afterAutospacing="1"/>
      </w:pPr>
      <w:r>
        <w:rPr>
          <w:rFonts w:hint="eastAsia"/>
        </w:rPr>
        <w:t xml:space="preserve">          </w:t>
      </w:r>
    </w:p>
    <w:p>
      <w:pPr>
        <w:outlineLvl w:val="0"/>
        <w:rPr>
          <w:b/>
          <w:bCs/>
          <w:sz w:val="28"/>
          <w:szCs w:val="28"/>
        </w:rPr>
      </w:pPr>
    </w:p>
    <w:p>
      <w:pPr>
        <w:outlineLvl w:val="0"/>
        <w:rPr>
          <w:b/>
          <w:bCs/>
          <w:sz w:val="28"/>
          <w:szCs w:val="28"/>
        </w:rPr>
      </w:pPr>
    </w:p>
    <w:p>
      <w:pPr>
        <w:outlineLvl w:val="0"/>
        <w:rPr>
          <w:b/>
          <w:bCs/>
          <w:sz w:val="28"/>
          <w:szCs w:val="28"/>
        </w:rPr>
      </w:pPr>
    </w:p>
    <w:p>
      <w:pPr>
        <w:outlineLvl w:val="0"/>
        <w:rPr>
          <w:b/>
          <w:bCs/>
          <w:sz w:val="28"/>
          <w:szCs w:val="28"/>
        </w:rPr>
      </w:pPr>
    </w:p>
    <w:p>
      <w:pPr>
        <w:outlineLvl w:val="0"/>
        <w:rPr>
          <w:b/>
          <w:bCs/>
          <w:sz w:val="28"/>
          <w:szCs w:val="28"/>
        </w:rPr>
        <w:sectPr>
          <w:pgSz w:w="11906" w:h="16838"/>
          <w:pgMar w:top="1440" w:right="1800" w:bottom="1440" w:left="1800" w:header="851" w:footer="992" w:gutter="0"/>
          <w:cols w:space="425" w:num="1"/>
          <w:docGrid w:type="lines" w:linePitch="312" w:charSpace="0"/>
        </w:sectPr>
      </w:pPr>
    </w:p>
    <w:p>
      <w:pPr>
        <w:outlineLvl w:val="0"/>
        <w:rPr>
          <w:b/>
          <w:bCs/>
          <w:sz w:val="28"/>
          <w:szCs w:val="28"/>
        </w:rPr>
      </w:pPr>
      <w:r>
        <w:rPr>
          <w:rFonts w:hint="eastAsia"/>
          <w:b/>
          <w:bCs/>
          <w:sz w:val="28"/>
          <w:szCs w:val="28"/>
        </w:rPr>
        <w:t>附件五：</w:t>
      </w:r>
    </w:p>
    <w:p>
      <w:pPr>
        <w:spacing w:line="360" w:lineRule="auto"/>
        <w:jc w:val="center"/>
        <w:rPr>
          <w:rFonts w:ascii="方正小标宋简体" w:hAnsi="宋体" w:eastAsia="方正小标宋简体" w:cs="宋体"/>
          <w:sz w:val="36"/>
          <w:szCs w:val="36"/>
        </w:rPr>
      </w:pPr>
      <w:r>
        <w:rPr>
          <w:rFonts w:hint="eastAsia" w:ascii="方正小标宋简体" w:hAnsi="方正小标宋简体" w:eastAsia="方正小标宋简体" w:cs="方正小标宋简体"/>
          <w:sz w:val="36"/>
          <w:szCs w:val="36"/>
          <w:lang w:bidi="ar"/>
        </w:rPr>
        <w:t>综合评审表</w:t>
      </w:r>
    </w:p>
    <w:p>
      <w:pPr>
        <w:rPr>
          <w:rFonts w:ascii="宋体" w:hAnsi="宋体" w:cs="宋体"/>
          <w:color w:val="000000"/>
          <w:kern w:val="0"/>
          <w:szCs w:val="21"/>
          <w:lang w:bidi="ar"/>
        </w:rPr>
      </w:pPr>
      <w:r>
        <w:rPr>
          <w:rFonts w:hint="eastAsia" w:ascii="宋体" w:hAnsi="宋体" w:cs="宋体"/>
          <w:color w:val="000000"/>
          <w:kern w:val="0"/>
          <w:szCs w:val="21"/>
          <w:lang w:bidi="ar"/>
        </w:rPr>
        <w:t>项目名称：南沙金融大厦外立面招牌楼面立体字标识                                                                日期：    年  月  日</w:t>
      </w:r>
    </w:p>
    <w:tbl>
      <w:tblPr>
        <w:tblStyle w:val="18"/>
        <w:tblW w:w="14163" w:type="dxa"/>
        <w:jc w:val="center"/>
        <w:tblInd w:w="0" w:type="dxa"/>
        <w:tblLayout w:type="fixed"/>
        <w:tblCellMar>
          <w:top w:w="0" w:type="dxa"/>
          <w:left w:w="108" w:type="dxa"/>
          <w:bottom w:w="0" w:type="dxa"/>
          <w:right w:w="108" w:type="dxa"/>
        </w:tblCellMar>
      </w:tblPr>
      <w:tblGrid>
        <w:gridCol w:w="611"/>
        <w:gridCol w:w="1110"/>
        <w:gridCol w:w="1486"/>
        <w:gridCol w:w="6432"/>
        <w:gridCol w:w="693"/>
        <w:gridCol w:w="1327"/>
        <w:gridCol w:w="1226"/>
        <w:gridCol w:w="1278"/>
      </w:tblGrid>
      <w:tr>
        <w:tblPrEx>
          <w:tblLayout w:type="fixed"/>
          <w:tblCellMar>
            <w:top w:w="0" w:type="dxa"/>
            <w:left w:w="108" w:type="dxa"/>
            <w:bottom w:w="0" w:type="dxa"/>
            <w:right w:w="108" w:type="dxa"/>
          </w:tblCellMar>
        </w:tblPrEx>
        <w:trPr>
          <w:cantSplit/>
          <w:trHeight w:val="337" w:hRule="atLeast"/>
          <w:jc w:val="center"/>
        </w:trPr>
        <w:tc>
          <w:tcPr>
            <w:tcW w:w="611" w:type="dxa"/>
            <w:vMerge w:val="restart"/>
            <w:tcBorders>
              <w:top w:val="single" w:color="000000" w:sz="4" w:space="0"/>
              <w:left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序号</w:t>
            </w:r>
          </w:p>
        </w:tc>
        <w:tc>
          <w:tcPr>
            <w:tcW w:w="1110" w:type="dxa"/>
            <w:vMerge w:val="restart"/>
            <w:tcBorders>
              <w:top w:val="single" w:color="000000" w:sz="4" w:space="0"/>
              <w:left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类别</w:t>
            </w:r>
          </w:p>
        </w:tc>
        <w:tc>
          <w:tcPr>
            <w:tcW w:w="1486" w:type="dxa"/>
            <w:vMerge w:val="restart"/>
            <w:tcBorders>
              <w:top w:val="single" w:color="000000" w:sz="4" w:space="0"/>
              <w:left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审查项目</w:t>
            </w:r>
          </w:p>
        </w:tc>
        <w:tc>
          <w:tcPr>
            <w:tcW w:w="6432" w:type="dxa"/>
            <w:vMerge w:val="restart"/>
            <w:tcBorders>
              <w:top w:val="single" w:color="000000" w:sz="4" w:space="0"/>
              <w:left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评审细则</w:t>
            </w:r>
          </w:p>
        </w:tc>
        <w:tc>
          <w:tcPr>
            <w:tcW w:w="693" w:type="dxa"/>
            <w:vMerge w:val="restart"/>
            <w:tcBorders>
              <w:top w:val="single" w:color="000000" w:sz="4" w:space="0"/>
              <w:left w:val="single" w:color="000000" w:sz="4" w:space="0"/>
              <w:right w:val="single" w:color="000000" w:sz="4" w:space="0"/>
            </w:tcBorders>
            <w:vAlign w:val="center"/>
          </w:tcPr>
          <w:p>
            <w:pPr>
              <w:snapToGrid w:val="0"/>
              <w:jc w:val="center"/>
              <w:rPr>
                <w:rFonts w:ascii="宋体" w:hAnsi="宋体" w:cs="宋体"/>
                <w:sz w:val="18"/>
                <w:szCs w:val="18"/>
              </w:rPr>
            </w:pPr>
            <w:r>
              <w:rPr>
                <w:rFonts w:hint="eastAsia" w:ascii="宋体" w:hAnsi="宋体" w:cs="宋体"/>
                <w:sz w:val="18"/>
                <w:szCs w:val="18"/>
              </w:rPr>
              <w:t>分值</w:t>
            </w:r>
          </w:p>
        </w:tc>
        <w:tc>
          <w:tcPr>
            <w:tcW w:w="3831" w:type="dxa"/>
            <w:gridSpan w:val="3"/>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投标人名称</w:t>
            </w:r>
          </w:p>
        </w:tc>
      </w:tr>
      <w:tr>
        <w:tblPrEx>
          <w:tblLayout w:type="fixed"/>
          <w:tblCellMar>
            <w:top w:w="0" w:type="dxa"/>
            <w:left w:w="108" w:type="dxa"/>
            <w:bottom w:w="0" w:type="dxa"/>
            <w:right w:w="108" w:type="dxa"/>
          </w:tblCellMar>
        </w:tblPrEx>
        <w:trPr>
          <w:cantSplit/>
          <w:trHeight w:val="129" w:hRule="atLeast"/>
          <w:jc w:val="center"/>
        </w:trPr>
        <w:tc>
          <w:tcPr>
            <w:tcW w:w="611" w:type="dxa"/>
            <w:vMerge w:val="continue"/>
            <w:tcBorders>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vMerge w:val="continue"/>
            <w:tcBorders>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6432" w:type="dxa"/>
            <w:vMerge w:val="continue"/>
            <w:tcBorders>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693" w:type="dxa"/>
            <w:vMerge w:val="continue"/>
            <w:tcBorders>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numPr>
                <w:ilvl w:val="255"/>
                <w:numId w:val="0"/>
              </w:numPr>
              <w:tabs>
                <w:tab w:val="left" w:pos="2584"/>
              </w:tabs>
              <w:spacing w:line="400" w:lineRule="exact"/>
              <w:jc w:val="center"/>
              <w:outlineLvl w:val="1"/>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widowControl/>
              <w:numPr>
                <w:ilvl w:val="255"/>
                <w:numId w:val="0"/>
              </w:numPr>
              <w:tabs>
                <w:tab w:val="left" w:pos="2584"/>
              </w:tabs>
              <w:spacing w:line="400" w:lineRule="exact"/>
              <w:jc w:val="center"/>
              <w:outlineLvl w:val="1"/>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widowControl/>
              <w:numPr>
                <w:ilvl w:val="255"/>
                <w:numId w:val="0"/>
              </w:numPr>
              <w:tabs>
                <w:tab w:val="left" w:pos="2584"/>
              </w:tabs>
              <w:spacing w:line="400" w:lineRule="exact"/>
              <w:jc w:val="center"/>
              <w:outlineLvl w:val="1"/>
              <w:rPr>
                <w:rFonts w:ascii="宋体" w:hAnsi="宋体" w:cs="宋体"/>
                <w:sz w:val="18"/>
                <w:szCs w:val="18"/>
              </w:rPr>
            </w:pPr>
          </w:p>
        </w:tc>
      </w:tr>
      <w:tr>
        <w:tblPrEx>
          <w:tblLayout w:type="fixed"/>
          <w:tblCellMar>
            <w:top w:w="0" w:type="dxa"/>
            <w:left w:w="108" w:type="dxa"/>
            <w:bottom w:w="0" w:type="dxa"/>
            <w:right w:w="108" w:type="dxa"/>
          </w:tblCellMar>
        </w:tblPrEx>
        <w:trPr>
          <w:cantSplit/>
          <w:trHeight w:val="801" w:hRule="atLeast"/>
          <w:jc w:val="center"/>
        </w:trPr>
        <w:tc>
          <w:tcPr>
            <w:tcW w:w="611" w:type="dxa"/>
            <w:vMerge w:val="restart"/>
            <w:tcBorders>
              <w:top w:val="single" w:color="000000" w:sz="4" w:space="0"/>
              <w:left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1</w:t>
            </w:r>
          </w:p>
        </w:tc>
        <w:tc>
          <w:tcPr>
            <w:tcW w:w="1110" w:type="dxa"/>
            <w:vMerge w:val="restart"/>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商务评审部分</w:t>
            </w:r>
          </w:p>
        </w:tc>
        <w:tc>
          <w:tcPr>
            <w:tcW w:w="1486" w:type="dxa"/>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投标人近3年以来完成的标识制作类业绩</w:t>
            </w:r>
          </w:p>
        </w:tc>
        <w:tc>
          <w:tcPr>
            <w:tcW w:w="6432" w:type="dxa"/>
            <w:tcBorders>
              <w:top w:val="single" w:color="000000" w:sz="4" w:space="0"/>
              <w:left w:val="single" w:color="000000" w:sz="4" w:space="0"/>
              <w:bottom w:val="single" w:color="000000" w:sz="4" w:space="0"/>
              <w:right w:val="single" w:color="000000" w:sz="4" w:space="0"/>
            </w:tcBorders>
            <w:vAlign w:val="center"/>
          </w:tcPr>
          <w:p>
            <w:pPr>
              <w:spacing w:line="240" w:lineRule="exact"/>
              <w:ind w:left="-2" w:leftChars="-1"/>
              <w:jc w:val="left"/>
              <w:rPr>
                <w:rFonts w:ascii="宋体" w:hAnsi="宋体" w:cs="宋体"/>
                <w:sz w:val="18"/>
                <w:szCs w:val="18"/>
              </w:rPr>
            </w:pPr>
            <w:r>
              <w:rPr>
                <w:rFonts w:hint="eastAsia" w:ascii="宋体" w:hAnsi="宋体" w:cs="宋体"/>
                <w:sz w:val="18"/>
                <w:szCs w:val="18"/>
              </w:rPr>
              <w:t>提供标识制作类合同复印件（合同首页、金额页、盖章页）作为证明</w:t>
            </w:r>
            <w:r>
              <w:rPr>
                <w:rFonts w:hint="eastAsia" w:ascii="宋体" w:hAnsi="宋体" w:cs="宋体"/>
                <w:color w:val="000000"/>
                <w:kern w:val="0"/>
                <w:sz w:val="18"/>
                <w:szCs w:val="18"/>
                <w:lang w:bidi="ar"/>
              </w:rPr>
              <w:t>。</w:t>
            </w:r>
            <w:r>
              <w:rPr>
                <w:rFonts w:hint="eastAsia" w:ascii="宋体" w:hAnsi="宋体" w:cs="宋体"/>
                <w:sz w:val="18"/>
                <w:szCs w:val="18"/>
              </w:rPr>
              <w:t>单项业绩每个1分，最高10分,没有得0分。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10</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456" w:hRule="atLeast"/>
          <w:jc w:val="center"/>
        </w:trPr>
        <w:tc>
          <w:tcPr>
            <w:tcW w:w="611"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企业资质或荣誉</w:t>
            </w:r>
          </w:p>
        </w:tc>
        <w:tc>
          <w:tcPr>
            <w:tcW w:w="6432" w:type="dxa"/>
            <w:tcBorders>
              <w:top w:val="single" w:color="000000" w:sz="4" w:space="0"/>
              <w:left w:val="single" w:color="000000" w:sz="4" w:space="0"/>
              <w:bottom w:val="single" w:color="000000" w:sz="4" w:space="0"/>
              <w:right w:val="single" w:color="000000" w:sz="4" w:space="0"/>
            </w:tcBorders>
            <w:vAlign w:val="center"/>
          </w:tcPr>
          <w:p>
            <w:pPr>
              <w:spacing w:line="240" w:lineRule="exact"/>
              <w:ind w:left="-2" w:leftChars="-1"/>
              <w:jc w:val="left"/>
              <w:rPr>
                <w:rFonts w:ascii="宋体" w:hAnsi="宋体" w:cs="宋体"/>
                <w:sz w:val="18"/>
                <w:szCs w:val="18"/>
              </w:rPr>
            </w:pPr>
            <w:r>
              <w:rPr>
                <w:rFonts w:hint="eastAsia" w:ascii="宋体" w:hAnsi="宋体" w:cs="宋体"/>
                <w:sz w:val="18"/>
                <w:szCs w:val="18"/>
              </w:rPr>
              <w:t>提供企业获得资质或荣誉， 每提供一项得1分，累计最高10分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10</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831" w:hRule="atLeast"/>
          <w:jc w:val="center"/>
        </w:trPr>
        <w:tc>
          <w:tcPr>
            <w:tcW w:w="611"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服务响应便利性</w:t>
            </w:r>
          </w:p>
        </w:tc>
        <w:tc>
          <w:tcPr>
            <w:tcW w:w="6432" w:type="dxa"/>
            <w:tcBorders>
              <w:top w:val="single" w:color="000000" w:sz="4" w:space="0"/>
              <w:left w:val="single" w:color="000000" w:sz="4" w:space="0"/>
              <w:bottom w:val="single" w:color="000000" w:sz="4" w:space="0"/>
              <w:right w:val="single" w:color="000000" w:sz="4" w:space="0"/>
            </w:tcBorders>
            <w:vAlign w:val="center"/>
          </w:tcPr>
          <w:p>
            <w:pPr>
              <w:spacing w:line="240" w:lineRule="exact"/>
              <w:ind w:left="-2" w:leftChars="-1"/>
              <w:jc w:val="left"/>
              <w:rPr>
                <w:rFonts w:ascii="宋体" w:hAnsi="宋体" w:cs="宋体"/>
                <w:sz w:val="18"/>
                <w:szCs w:val="18"/>
              </w:rPr>
            </w:pPr>
            <w:r>
              <w:rPr>
                <w:rFonts w:hint="eastAsia" w:ascii="宋体" w:hAnsi="宋体" w:cs="宋体"/>
                <w:sz w:val="18"/>
                <w:szCs w:val="18"/>
              </w:rPr>
              <w:t>根据各报价人提供的服务响应便利性横向同比（提供营业执照注册地或租赁办公场地距离采购人所在地的百度地图距离截图），距离最优得</w:t>
            </w:r>
            <w:r>
              <w:rPr>
                <w:rFonts w:ascii="宋体" w:hAnsi="宋体" w:cs="宋体"/>
                <w:sz w:val="18"/>
                <w:szCs w:val="18"/>
              </w:rPr>
              <w:t>6</w:t>
            </w:r>
            <w:r>
              <w:rPr>
                <w:rFonts w:hint="eastAsia" w:ascii="宋体" w:hAnsi="宋体" w:cs="宋体"/>
                <w:sz w:val="18"/>
                <w:szCs w:val="18"/>
              </w:rPr>
              <w:t>分，次之得</w:t>
            </w:r>
            <w:r>
              <w:rPr>
                <w:rFonts w:ascii="宋体" w:hAnsi="宋体" w:cs="宋体"/>
                <w:sz w:val="18"/>
                <w:szCs w:val="18"/>
              </w:rPr>
              <w:t>3</w:t>
            </w:r>
            <w:r>
              <w:rPr>
                <w:rFonts w:hint="eastAsia" w:ascii="宋体" w:hAnsi="宋体" w:cs="宋体"/>
                <w:sz w:val="18"/>
                <w:szCs w:val="18"/>
              </w:rPr>
              <w:t>分，差得1分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6</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1536" w:hRule="atLeast"/>
          <w:jc w:val="center"/>
        </w:trPr>
        <w:tc>
          <w:tcPr>
            <w:tcW w:w="611"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售后服务</w:t>
            </w:r>
          </w:p>
        </w:tc>
        <w:tc>
          <w:tcPr>
            <w:tcW w:w="6432" w:type="dxa"/>
            <w:tcBorders>
              <w:top w:val="single" w:color="000000" w:sz="4" w:space="0"/>
              <w:left w:val="single" w:color="000000" w:sz="4" w:space="0"/>
              <w:bottom w:val="single" w:color="000000" w:sz="4" w:space="0"/>
              <w:right w:val="single" w:color="000000" w:sz="4" w:space="0"/>
            </w:tcBorders>
            <w:vAlign w:val="center"/>
          </w:tcPr>
          <w:p>
            <w:pPr>
              <w:pStyle w:val="6"/>
              <w:spacing w:after="0" w:line="240" w:lineRule="exact"/>
              <w:jc w:val="left"/>
              <w:rPr>
                <w:rFonts w:ascii="宋体" w:hAnsi="宋体" w:cs="宋体"/>
                <w:sz w:val="18"/>
                <w:szCs w:val="18"/>
              </w:rPr>
            </w:pPr>
            <w:r>
              <w:rPr>
                <w:rFonts w:hint="eastAsia" w:ascii="宋体" w:hAnsi="宋体" w:cs="宋体"/>
                <w:sz w:val="18"/>
                <w:szCs w:val="18"/>
              </w:rPr>
              <w:t>深入了解本项目采购要求，并提出科学、合理、可行的售后服务方案的，然后根据各供应商的方案进行横向比较；</w:t>
            </w:r>
          </w:p>
          <w:p>
            <w:pPr>
              <w:pStyle w:val="6"/>
              <w:spacing w:after="0" w:line="240" w:lineRule="exact"/>
              <w:jc w:val="left"/>
              <w:rPr>
                <w:rFonts w:ascii="宋体" w:hAnsi="宋体" w:cs="宋体"/>
                <w:sz w:val="18"/>
                <w:szCs w:val="18"/>
              </w:rPr>
            </w:pPr>
            <w:r>
              <w:rPr>
                <w:rFonts w:hint="eastAsia" w:ascii="宋体" w:hAnsi="宋体" w:cs="宋体"/>
                <w:sz w:val="18"/>
                <w:szCs w:val="18"/>
              </w:rPr>
              <w:t>被评为优的：8分</w:t>
            </w:r>
          </w:p>
          <w:p>
            <w:pPr>
              <w:pStyle w:val="6"/>
              <w:spacing w:after="0" w:line="240" w:lineRule="exact"/>
              <w:jc w:val="left"/>
              <w:rPr>
                <w:rFonts w:ascii="宋体" w:hAnsi="宋体" w:cs="宋体"/>
                <w:sz w:val="18"/>
                <w:szCs w:val="18"/>
              </w:rPr>
            </w:pPr>
            <w:r>
              <w:rPr>
                <w:rFonts w:hint="eastAsia" w:ascii="宋体" w:hAnsi="宋体" w:cs="宋体"/>
                <w:sz w:val="18"/>
                <w:szCs w:val="18"/>
              </w:rPr>
              <w:t>被评为良的：5分</w:t>
            </w:r>
          </w:p>
          <w:p>
            <w:pPr>
              <w:pStyle w:val="6"/>
              <w:spacing w:after="0" w:line="240" w:lineRule="exact"/>
              <w:jc w:val="left"/>
              <w:rPr>
                <w:rFonts w:ascii="宋体" w:hAnsi="宋体" w:cs="宋体"/>
                <w:sz w:val="18"/>
                <w:szCs w:val="18"/>
              </w:rPr>
            </w:pPr>
            <w:r>
              <w:rPr>
                <w:rFonts w:hint="eastAsia" w:ascii="宋体" w:hAnsi="宋体" w:cs="宋体"/>
                <w:sz w:val="18"/>
                <w:szCs w:val="18"/>
              </w:rPr>
              <w:t>被评为一般的：2分</w:t>
            </w:r>
          </w:p>
          <w:p>
            <w:pPr>
              <w:spacing w:line="240" w:lineRule="exact"/>
              <w:ind w:left="-2" w:leftChars="-1"/>
              <w:jc w:val="left"/>
              <w:rPr>
                <w:rFonts w:ascii="宋体" w:hAnsi="宋体" w:cs="宋体"/>
                <w:sz w:val="18"/>
                <w:szCs w:val="18"/>
              </w:rPr>
            </w:pPr>
            <w:r>
              <w:rPr>
                <w:rFonts w:hint="eastAsia" w:ascii="宋体" w:hAnsi="宋体" w:cs="宋体"/>
                <w:sz w:val="18"/>
                <w:szCs w:val="18"/>
              </w:rPr>
              <w:t>被评为差的：0分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8</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1114" w:hRule="atLeast"/>
          <w:jc w:val="center"/>
        </w:trPr>
        <w:tc>
          <w:tcPr>
            <w:tcW w:w="611"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18"/>
                <w:szCs w:val="18"/>
              </w:rPr>
            </w:pPr>
            <w:r>
              <w:rPr>
                <w:rFonts w:hint="eastAsia" w:ascii="宋体" w:hAnsi="宋体" w:cs="宋体"/>
                <w:sz w:val="18"/>
                <w:szCs w:val="18"/>
              </w:rPr>
              <w:t>项目组织、</w:t>
            </w:r>
          </w:p>
          <w:p>
            <w:pPr>
              <w:jc w:val="center"/>
              <w:rPr>
                <w:rFonts w:ascii="宋体" w:hAnsi="宋体" w:cs="宋体"/>
                <w:sz w:val="18"/>
                <w:szCs w:val="18"/>
              </w:rPr>
            </w:pPr>
            <w:r>
              <w:rPr>
                <w:rFonts w:hint="eastAsia" w:ascii="宋体" w:hAnsi="宋体" w:cs="宋体"/>
                <w:sz w:val="18"/>
                <w:szCs w:val="18"/>
              </w:rPr>
              <w:t xml:space="preserve">进度安排、 </w:t>
            </w:r>
          </w:p>
          <w:p>
            <w:pPr>
              <w:snapToGrid w:val="0"/>
              <w:ind w:left="-2" w:leftChars="-1"/>
              <w:jc w:val="center"/>
              <w:rPr>
                <w:rFonts w:ascii="宋体" w:hAnsi="宋体" w:cs="宋体"/>
                <w:sz w:val="18"/>
                <w:szCs w:val="18"/>
              </w:rPr>
            </w:pPr>
            <w:r>
              <w:rPr>
                <w:rFonts w:hint="eastAsia" w:ascii="宋体" w:hAnsi="宋体" w:cs="宋体"/>
                <w:sz w:val="18"/>
                <w:szCs w:val="18"/>
              </w:rPr>
              <w:t>时间点控制</w:t>
            </w:r>
          </w:p>
        </w:tc>
        <w:tc>
          <w:tcPr>
            <w:tcW w:w="6432"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宋体" w:hAnsi="宋体" w:cs="宋体"/>
                <w:sz w:val="18"/>
                <w:szCs w:val="18"/>
              </w:rPr>
            </w:pPr>
            <w:r>
              <w:rPr>
                <w:rFonts w:hint="eastAsia" w:ascii="宋体" w:hAnsi="宋体" w:cs="宋体"/>
                <w:sz w:val="18"/>
                <w:szCs w:val="18"/>
              </w:rPr>
              <w:t xml:space="preserve">1.项目推进安排合理、完善，时间点合理准确，得9分； </w:t>
            </w:r>
          </w:p>
          <w:p>
            <w:pPr>
              <w:spacing w:line="240" w:lineRule="exact"/>
              <w:jc w:val="left"/>
              <w:rPr>
                <w:rFonts w:ascii="宋体" w:hAnsi="宋体" w:cs="宋体"/>
                <w:sz w:val="18"/>
                <w:szCs w:val="18"/>
              </w:rPr>
            </w:pPr>
            <w:r>
              <w:rPr>
                <w:rFonts w:hint="eastAsia" w:ascii="宋体" w:hAnsi="宋体" w:cs="宋体"/>
                <w:sz w:val="18"/>
                <w:szCs w:val="18"/>
              </w:rPr>
              <w:t xml:space="preserve">2.项目推进安排较为合理、完善，时间点较为合理准确，得6分； </w:t>
            </w:r>
          </w:p>
          <w:p>
            <w:pPr>
              <w:spacing w:line="240" w:lineRule="exact"/>
              <w:jc w:val="left"/>
              <w:rPr>
                <w:rFonts w:ascii="宋体" w:hAnsi="宋体" w:cs="宋体"/>
                <w:sz w:val="18"/>
                <w:szCs w:val="18"/>
              </w:rPr>
            </w:pPr>
            <w:r>
              <w:rPr>
                <w:rFonts w:hint="eastAsia" w:ascii="宋体" w:hAnsi="宋体" w:cs="宋体"/>
                <w:sz w:val="18"/>
                <w:szCs w:val="18"/>
              </w:rPr>
              <w:t>3.项目推进安排不合理、不完善，时间点不合理准确，得 3分；</w:t>
            </w:r>
          </w:p>
          <w:p>
            <w:pPr>
              <w:spacing w:line="240" w:lineRule="exact"/>
              <w:ind w:left="-2" w:leftChars="-1"/>
              <w:jc w:val="left"/>
              <w:rPr>
                <w:rFonts w:ascii="宋体" w:hAnsi="宋体" w:cs="宋体"/>
                <w:sz w:val="18"/>
                <w:szCs w:val="18"/>
              </w:rPr>
            </w:pPr>
            <w:r>
              <w:rPr>
                <w:rFonts w:hint="eastAsia" w:ascii="宋体" w:hAnsi="宋体" w:cs="宋体"/>
                <w:sz w:val="18"/>
                <w:szCs w:val="18"/>
              </w:rPr>
              <w:t>4.无进度安排、时间点控制，得0分。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9</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1100" w:hRule="atLeast"/>
          <w:jc w:val="center"/>
        </w:trPr>
        <w:tc>
          <w:tcPr>
            <w:tcW w:w="611"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left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设计方案</w:t>
            </w:r>
          </w:p>
        </w:tc>
        <w:tc>
          <w:tcPr>
            <w:tcW w:w="6432" w:type="dxa"/>
            <w:tcBorders>
              <w:top w:val="single" w:color="000000" w:sz="4" w:space="0"/>
              <w:left w:val="single" w:color="000000" w:sz="4" w:space="0"/>
              <w:bottom w:val="single" w:color="000000" w:sz="4" w:space="0"/>
              <w:right w:val="single" w:color="000000" w:sz="4" w:space="0"/>
            </w:tcBorders>
            <w:vAlign w:val="center"/>
          </w:tcPr>
          <w:p>
            <w:pPr>
              <w:spacing w:line="240" w:lineRule="exact"/>
              <w:ind w:left="-2" w:leftChars="-1"/>
              <w:jc w:val="left"/>
              <w:rPr>
                <w:rFonts w:ascii="宋体" w:hAnsi="宋体" w:cs="宋体"/>
                <w:sz w:val="18"/>
                <w:szCs w:val="18"/>
              </w:rPr>
            </w:pPr>
            <w:r>
              <w:rPr>
                <w:rFonts w:hint="eastAsia" w:ascii="宋体" w:hAnsi="宋体" w:cs="宋体"/>
                <w:sz w:val="18"/>
                <w:szCs w:val="18"/>
              </w:rPr>
              <w:t>根据南沙金融大厦的地理位置和周边环境考虑，提供一套符合南沙资产经营集团视觉形象的楼面立体字设计方案（平面效果图、3D效果图、标识结构图）根据设计方案的完整性创意性合理性进行横向比较；优得15分、良得10分、一般得5分、未提供的不得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15</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1306" w:hRule="atLeast"/>
          <w:jc w:val="center"/>
        </w:trPr>
        <w:tc>
          <w:tcPr>
            <w:tcW w:w="611" w:type="dxa"/>
            <w:vMerge w:val="continue"/>
            <w:tcBorders>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110" w:type="dxa"/>
            <w:vMerge w:val="continue"/>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p>
        </w:tc>
        <w:tc>
          <w:tcPr>
            <w:tcW w:w="1486" w:type="dxa"/>
            <w:tcBorders>
              <w:top w:val="single" w:color="000000" w:sz="4" w:space="0"/>
              <w:left w:val="single" w:color="000000" w:sz="4" w:space="0"/>
              <w:bottom w:val="single" w:color="000000" w:sz="4" w:space="0"/>
              <w:right w:val="single" w:color="000000" w:sz="4" w:space="0"/>
            </w:tcBorders>
            <w:vAlign w:val="center"/>
          </w:tcPr>
          <w:p>
            <w:pPr>
              <w:snapToGrid w:val="0"/>
              <w:ind w:left="-2" w:leftChars="-1"/>
              <w:jc w:val="center"/>
              <w:rPr>
                <w:rFonts w:ascii="宋体" w:hAnsi="宋体" w:cs="宋体"/>
                <w:sz w:val="18"/>
                <w:szCs w:val="18"/>
              </w:rPr>
            </w:pPr>
            <w:r>
              <w:rPr>
                <w:rFonts w:hint="eastAsia" w:ascii="宋体" w:hAnsi="宋体" w:cs="宋体"/>
                <w:sz w:val="18"/>
                <w:szCs w:val="18"/>
              </w:rPr>
              <w:t>大楼外立面立体字结构图纸</w:t>
            </w:r>
          </w:p>
        </w:tc>
        <w:tc>
          <w:tcPr>
            <w:tcW w:w="6432" w:type="dxa"/>
            <w:tcBorders>
              <w:top w:val="single" w:color="000000" w:sz="4" w:space="0"/>
              <w:left w:val="single" w:color="000000" w:sz="4" w:space="0"/>
              <w:bottom w:val="single" w:color="000000" w:sz="4" w:space="0"/>
              <w:right w:val="single" w:color="000000" w:sz="4" w:space="0"/>
            </w:tcBorders>
            <w:vAlign w:val="center"/>
          </w:tcPr>
          <w:p>
            <w:pPr>
              <w:spacing w:line="240" w:lineRule="exact"/>
              <w:ind w:left="-2" w:leftChars="-1"/>
              <w:jc w:val="left"/>
              <w:rPr>
                <w:rFonts w:ascii="宋体" w:hAnsi="宋体" w:cs="宋体"/>
                <w:sz w:val="18"/>
                <w:szCs w:val="18"/>
              </w:rPr>
            </w:pPr>
            <w:r>
              <w:rPr>
                <w:rFonts w:hint="eastAsia" w:ascii="宋体" w:hAnsi="宋体" w:cs="宋体"/>
                <w:sz w:val="18"/>
                <w:szCs w:val="18"/>
              </w:rPr>
              <w:t>提供的设计方案中结构图纸有送审独立第三方设计院盖章（审图单位必须具备建筑和结构设计资质）；送审图纸中注明标识结构图符合《广州市户外广告和招牌设置规范2020年11月（修正版）》中对使用寿命的要求满足至少10年以上的使用寿命。（提供审图设计院已盖章的结构图纸原件、审图设计院资质证明）</w:t>
            </w:r>
            <w:r>
              <w:rPr>
                <w:rFonts w:hint="eastAsia" w:ascii="宋体" w:hAnsi="宋体" w:cs="宋体"/>
                <w:sz w:val="18"/>
                <w:szCs w:val="18"/>
                <w:lang w:val="en-US" w:eastAsia="zh-CN"/>
              </w:rPr>
              <w:t>有提供完整的得12分、反之的不得分。</w:t>
            </w:r>
          </w:p>
        </w:tc>
        <w:tc>
          <w:tcPr>
            <w:tcW w:w="693"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r>
              <w:rPr>
                <w:rFonts w:hint="eastAsia" w:ascii="宋体" w:hAnsi="宋体" w:cs="宋体"/>
                <w:sz w:val="18"/>
                <w:szCs w:val="18"/>
              </w:rPr>
              <w:t>12</w:t>
            </w:r>
          </w:p>
        </w:tc>
        <w:tc>
          <w:tcPr>
            <w:tcW w:w="1327"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26"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pacing w:line="220" w:lineRule="exact"/>
              <w:ind w:left="-2" w:leftChars="-1"/>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1296" w:hRule="atLeast"/>
          <w:jc w:val="center"/>
        </w:trPr>
        <w:tc>
          <w:tcPr>
            <w:tcW w:w="611"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ascii="宋体" w:hAnsi="宋体" w:cs="宋体"/>
                <w:sz w:val="18"/>
                <w:szCs w:val="18"/>
              </w:rPr>
            </w:pPr>
            <w:r>
              <w:rPr>
                <w:rFonts w:hint="eastAsia" w:ascii="宋体" w:hAnsi="宋体" w:cs="宋体"/>
                <w:sz w:val="18"/>
                <w:szCs w:val="18"/>
              </w:rPr>
              <w:t>2</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ascii="宋体" w:hAnsi="宋体" w:cs="宋体"/>
                <w:sz w:val="18"/>
                <w:szCs w:val="18"/>
              </w:rPr>
            </w:pPr>
            <w:r>
              <w:rPr>
                <w:rFonts w:hint="eastAsia" w:ascii="宋体" w:hAnsi="宋体" w:cs="宋体"/>
                <w:sz w:val="18"/>
                <w:szCs w:val="18"/>
              </w:rPr>
              <w:t>价格得分</w:t>
            </w:r>
          </w:p>
        </w:tc>
        <w:tc>
          <w:tcPr>
            <w:tcW w:w="1486"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r>
              <w:rPr>
                <w:rFonts w:hint="eastAsia" w:ascii="宋体" w:hAnsi="宋体" w:cs="宋体"/>
                <w:sz w:val="18"/>
                <w:szCs w:val="18"/>
              </w:rPr>
              <w:t>投标报价</w:t>
            </w:r>
          </w:p>
        </w:tc>
        <w:tc>
          <w:tcPr>
            <w:tcW w:w="6432" w:type="dxa"/>
            <w:tcBorders>
              <w:top w:val="single" w:color="auto" w:sz="4" w:space="0"/>
              <w:left w:val="nil"/>
              <w:bottom w:val="single" w:color="auto" w:sz="4" w:space="0"/>
              <w:right w:val="single" w:color="auto" w:sz="4" w:space="0"/>
            </w:tcBorders>
            <w:vAlign w:val="center"/>
          </w:tcPr>
          <w:p>
            <w:pPr>
              <w:spacing w:line="240" w:lineRule="exact"/>
              <w:jc w:val="left"/>
              <w:rPr>
                <w:rFonts w:ascii="宋体" w:hAnsi="宋体" w:cs="宋体"/>
                <w:sz w:val="18"/>
                <w:szCs w:val="18"/>
              </w:rPr>
            </w:pPr>
            <w:r>
              <w:rPr>
                <w:rFonts w:hint="eastAsia" w:ascii="宋体" w:hAnsi="宋体" w:cs="宋体"/>
                <w:sz w:val="18"/>
                <w:szCs w:val="18"/>
              </w:rPr>
              <w:t>本项目的价格分采用低价优先法计算，即通过本项目资格性检查与符合性检查且投标报价最低的投标报价为评标基准价，其价格分为满分。其他投标人的价格分统一按照下列公式计算：</w:t>
            </w:r>
          </w:p>
          <w:p>
            <w:pPr>
              <w:spacing w:line="240" w:lineRule="exact"/>
              <w:jc w:val="left"/>
              <w:rPr>
                <w:rFonts w:ascii="宋体" w:hAnsi="宋体" w:cs="宋体"/>
                <w:sz w:val="18"/>
                <w:szCs w:val="18"/>
              </w:rPr>
            </w:pPr>
            <w:r>
              <w:rPr>
                <w:rFonts w:hint="eastAsia" w:ascii="宋体" w:hAnsi="宋体" w:cs="宋体"/>
                <w:sz w:val="18"/>
                <w:szCs w:val="18"/>
              </w:rPr>
              <w:t>投标报价得分（精确到小数点后2位）=(评标基准价／评标价)×分值</w:t>
            </w:r>
          </w:p>
        </w:tc>
        <w:tc>
          <w:tcPr>
            <w:tcW w:w="693"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r>
              <w:rPr>
                <w:rFonts w:hint="eastAsia" w:ascii="宋体" w:hAnsi="宋体" w:cs="宋体"/>
                <w:sz w:val="18"/>
                <w:szCs w:val="18"/>
              </w:rPr>
              <w:t>30</w:t>
            </w:r>
          </w:p>
        </w:tc>
        <w:tc>
          <w:tcPr>
            <w:tcW w:w="1327"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c>
          <w:tcPr>
            <w:tcW w:w="1226"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c>
          <w:tcPr>
            <w:tcW w:w="1278"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r>
      <w:tr>
        <w:tblPrEx>
          <w:tblLayout w:type="fixed"/>
          <w:tblCellMar>
            <w:top w:w="0" w:type="dxa"/>
            <w:left w:w="108" w:type="dxa"/>
            <w:bottom w:w="0" w:type="dxa"/>
            <w:right w:w="108" w:type="dxa"/>
          </w:tblCellMar>
        </w:tblPrEx>
        <w:trPr>
          <w:cantSplit/>
          <w:trHeight w:val="693" w:hRule="atLeast"/>
          <w:jc w:val="center"/>
        </w:trPr>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ascii="宋体" w:hAnsi="宋体" w:cs="宋体"/>
                <w:sz w:val="18"/>
                <w:szCs w:val="18"/>
              </w:rPr>
            </w:pPr>
            <w:r>
              <w:rPr>
                <w:rFonts w:hint="eastAsia" w:ascii="宋体" w:hAnsi="宋体" w:cs="宋体"/>
                <w:sz w:val="18"/>
                <w:szCs w:val="18"/>
              </w:rPr>
              <w:t>综合总得分</w:t>
            </w:r>
          </w:p>
        </w:tc>
        <w:tc>
          <w:tcPr>
            <w:tcW w:w="693"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c>
          <w:tcPr>
            <w:tcW w:w="1327"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c>
          <w:tcPr>
            <w:tcW w:w="1226"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c>
          <w:tcPr>
            <w:tcW w:w="1278" w:type="dxa"/>
            <w:tcBorders>
              <w:top w:val="single" w:color="auto" w:sz="4" w:space="0"/>
              <w:left w:val="nil"/>
              <w:bottom w:val="single" w:color="auto" w:sz="4" w:space="0"/>
              <w:right w:val="single" w:color="auto" w:sz="4" w:space="0"/>
            </w:tcBorders>
            <w:vAlign w:val="center"/>
          </w:tcPr>
          <w:p>
            <w:pPr>
              <w:spacing w:line="400" w:lineRule="atLeast"/>
              <w:jc w:val="center"/>
              <w:rPr>
                <w:rFonts w:ascii="宋体" w:hAnsi="宋体" w:cs="宋体"/>
                <w:sz w:val="18"/>
                <w:szCs w:val="18"/>
              </w:rPr>
            </w:pPr>
          </w:p>
        </w:tc>
      </w:tr>
    </w:tbl>
    <w:p>
      <w:pPr>
        <w:widowControl/>
        <w:numPr>
          <w:ilvl w:val="255"/>
          <w:numId w:val="0"/>
        </w:numPr>
        <w:tabs>
          <w:tab w:val="left" w:pos="2584"/>
        </w:tabs>
        <w:jc w:val="left"/>
        <w:outlineLvl w:val="1"/>
        <w:rPr>
          <w:rFonts w:ascii="宋体" w:hAnsi="宋体" w:cs="宋体"/>
          <w:szCs w:val="21"/>
        </w:rPr>
      </w:pPr>
    </w:p>
    <w:p>
      <w:pPr>
        <w:widowControl/>
        <w:numPr>
          <w:ilvl w:val="255"/>
          <w:numId w:val="0"/>
        </w:numPr>
        <w:tabs>
          <w:tab w:val="left" w:pos="2584"/>
        </w:tabs>
        <w:jc w:val="left"/>
        <w:outlineLvl w:val="1"/>
        <w:rPr>
          <w:rFonts w:ascii="宋体" w:hAnsi="宋体" w:cs="宋体"/>
          <w:szCs w:val="21"/>
        </w:rPr>
        <w:sectPr>
          <w:pgSz w:w="16838" w:h="11906" w:orient="landscape"/>
          <w:pgMar w:top="1800" w:right="1440" w:bottom="1800" w:left="1440" w:header="851" w:footer="992" w:gutter="0"/>
          <w:cols w:space="425" w:num="1"/>
          <w:docGrid w:type="lines" w:linePitch="312" w:charSpace="0"/>
        </w:sectPr>
      </w:pPr>
      <w:r>
        <w:rPr>
          <w:rFonts w:hint="eastAsia" w:ascii="宋体" w:hAnsi="宋体" w:cs="宋体"/>
          <w:szCs w:val="21"/>
        </w:rPr>
        <w:t>评审专家签名：</w:t>
      </w:r>
    </w:p>
    <w:p>
      <w:pPr>
        <w:pStyle w:val="6"/>
        <w:rPr>
          <w:rFonts w:hint="eastAsia" w:ascii="黑体" w:hAnsi="黑体" w:eastAsia="黑体" w:cs="黑体"/>
          <w:color w:val="000000" w:themeColor="text1"/>
          <w:sz w:val="44"/>
          <w:szCs w:val="44"/>
          <w14:textFill>
            <w14:solidFill>
              <w14:schemeClr w14:val="tx1"/>
            </w14:solidFill>
          </w14:textFill>
        </w:rPr>
      </w:pPr>
      <w:r>
        <w:rPr>
          <w:rFonts w:hint="eastAsia"/>
          <w:b/>
          <w:bCs/>
          <w:sz w:val="28"/>
          <w:szCs w:val="28"/>
        </w:rPr>
        <w:t>附件六：合同样式（仅供参考，最终以双方审核确认版本为准）</w:t>
      </w:r>
    </w:p>
    <w:p>
      <w:pPr>
        <w:spacing w:line="360" w:lineRule="auto"/>
        <w:jc w:val="center"/>
        <w:rPr>
          <w:rFonts w:ascii="仿宋_GB2312" w:hAnsi="宋体" w:eastAsia="黑体" w:cs="Arial"/>
          <w:sz w:val="24"/>
        </w:rPr>
      </w:pPr>
      <w:r>
        <w:rPr>
          <w:rFonts w:hint="eastAsia" w:ascii="黑体" w:hAnsi="黑体" w:eastAsia="黑体" w:cs="黑体"/>
          <w:color w:val="000000" w:themeColor="text1"/>
          <w:sz w:val="44"/>
          <w:szCs w:val="44"/>
          <w14:textFill>
            <w14:solidFill>
              <w14:schemeClr w14:val="tx1"/>
            </w14:solidFill>
          </w14:textFill>
        </w:rPr>
        <w:t>南沙金融大厦外立面招牌楼面立体字标识项目合同</w:t>
      </w:r>
    </w:p>
    <w:p>
      <w:pPr>
        <w:spacing w:line="360" w:lineRule="auto"/>
        <w:rPr>
          <w:rFonts w:ascii="仿宋_GB2312" w:hAnsi="宋体" w:eastAsia="仿宋_GB2312" w:cs="Arial"/>
          <w:sz w:val="24"/>
        </w:rPr>
      </w:pPr>
    </w:p>
    <w:p>
      <w:pPr>
        <w:spacing w:line="360" w:lineRule="auto"/>
        <w:rPr>
          <w:rFonts w:ascii="仿宋_GB2312" w:hAnsi="宋体" w:eastAsia="仿宋_GB2312" w:cs="Arial"/>
          <w:sz w:val="24"/>
          <w:szCs w:val="22"/>
        </w:rPr>
      </w:pPr>
      <w:r>
        <w:rPr>
          <w:rFonts w:hint="eastAsia" w:ascii="仿宋_GB2312" w:hAnsi="宋体" w:eastAsia="仿宋_GB2312" w:cs="Arial"/>
          <w:sz w:val="24"/>
        </w:rPr>
        <w:t>甲方（采购人）：</w:t>
      </w:r>
      <w:r>
        <w:rPr>
          <w:rFonts w:hint="eastAsia" w:ascii="仿宋_GB2312" w:hAnsi="宋体" w:eastAsia="仿宋_GB2312" w:cs="Arial"/>
          <w:sz w:val="24"/>
          <w:szCs w:val="22"/>
        </w:rPr>
        <w:t xml:space="preserve"> </w:t>
      </w:r>
    </w:p>
    <w:p>
      <w:pPr>
        <w:spacing w:line="360" w:lineRule="auto"/>
        <w:rPr>
          <w:rFonts w:ascii="仿宋_GB2312" w:hAnsi="宋体" w:eastAsia="仿宋_GB2312" w:cs="Arial"/>
          <w:sz w:val="24"/>
        </w:rPr>
      </w:pPr>
      <w:r>
        <w:rPr>
          <w:rFonts w:hint="eastAsia" w:ascii="仿宋_GB2312" w:hAnsi="宋体" w:eastAsia="仿宋_GB2312" w:cs="Arial"/>
          <w:sz w:val="24"/>
        </w:rPr>
        <w:t>乙方（中标供应商</w:t>
      </w:r>
      <w:r>
        <w:rPr>
          <w:rFonts w:hint="eastAsia" w:ascii="仿宋_GB2312" w:hAnsi="宋体" w:eastAsia="仿宋_GB2312" w:cs="Arial"/>
          <w:sz w:val="24"/>
          <w:szCs w:val="22"/>
        </w:rPr>
        <w:t xml:space="preserve">）： </w:t>
      </w:r>
    </w:p>
    <w:p>
      <w:pPr>
        <w:spacing w:line="360" w:lineRule="auto"/>
        <w:ind w:firstLine="480" w:firstLineChars="200"/>
        <w:rPr>
          <w:rFonts w:ascii="仿宋_GB2312" w:hAnsi="宋体" w:eastAsia="仿宋_GB2312" w:cs="Arial"/>
          <w:sz w:val="24"/>
        </w:rPr>
      </w:pPr>
      <w:r>
        <w:rPr>
          <w:rFonts w:hint="eastAsia" w:ascii="仿宋_GB2312" w:hAnsi="宋体" w:eastAsia="仿宋_GB2312" w:cs="Arial"/>
          <w:sz w:val="24"/>
          <w:szCs w:val="22"/>
        </w:rPr>
        <w:t>甲、乙双方根据《中华人民共和国民法典》及其他有关法律、法规规定，在平等、自愿的基础上，经充分协商，</w:t>
      </w:r>
      <w:r>
        <w:rPr>
          <w:rFonts w:hint="eastAsia" w:ascii="仿宋_GB2312" w:hAnsi="宋体" w:eastAsia="仿宋_GB2312" w:cs="Arial"/>
          <w:sz w:val="24"/>
        </w:rPr>
        <w:t>签订本合同。双方共同遵守如下条款（技术说明及其他有关合同项目的特定信息由合同附件予以说明，合同附件及本项目的采购文件、投标文件等均为本合同不可分割之一部分）：</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一、合同标的</w:t>
      </w:r>
    </w:p>
    <w:p>
      <w:pPr>
        <w:spacing w:line="360" w:lineRule="auto"/>
        <w:ind w:firstLine="426"/>
        <w:rPr>
          <w:rFonts w:ascii="仿宋_GB2312" w:hAnsi="宋体" w:eastAsia="仿宋_GB2312" w:cs="Arial"/>
          <w:sz w:val="24"/>
        </w:rPr>
      </w:pPr>
      <w:r>
        <w:rPr>
          <w:rFonts w:hint="eastAsia" w:ascii="仿宋_GB2312" w:hAnsi="宋体" w:eastAsia="仿宋_GB2312" w:cs="Arial"/>
          <w:sz w:val="24"/>
        </w:rPr>
        <w:t>乙方根据甲方要求提供以下货物：</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二、合同总价</w:t>
      </w:r>
    </w:p>
    <w:p>
      <w:pPr>
        <w:spacing w:line="360" w:lineRule="auto"/>
        <w:ind w:firstLine="424" w:firstLineChars="177"/>
        <w:rPr>
          <w:rFonts w:ascii="仿宋_GB2312" w:hAnsi="宋体" w:eastAsia="仿宋_GB2312" w:cs="Arial"/>
          <w:sz w:val="24"/>
        </w:rPr>
      </w:pPr>
      <w:r>
        <w:rPr>
          <w:rFonts w:hint="eastAsia" w:ascii="仿宋_GB2312" w:hAnsi="宋体" w:eastAsia="仿宋_GB2312" w:cs="Arial"/>
          <w:sz w:val="24"/>
        </w:rPr>
        <w:t>总价为人民币（大写）：</w:t>
      </w:r>
      <w:r>
        <w:rPr>
          <w:rFonts w:hint="eastAsia" w:ascii="仿宋_GB2312" w:hAnsi="宋体" w:eastAsia="仿宋_GB2312" w:cs="Arial"/>
          <w:sz w:val="24"/>
          <w:u w:val="single"/>
        </w:rPr>
        <w:t xml:space="preserve"> </w:t>
      </w:r>
      <w:r>
        <w:rPr>
          <w:rFonts w:hint="eastAsia" w:ascii="仿宋_GB2312" w:hAnsi="仿宋_GB2312" w:eastAsia="仿宋_GB2312" w:cs="仿宋_GB2312"/>
          <w:szCs w:val="21"/>
          <w:u w:val="single"/>
        </w:rPr>
        <w:t xml:space="preserve">      元整</w:t>
      </w:r>
      <w:r>
        <w:rPr>
          <w:rFonts w:hint="eastAsia" w:ascii="仿宋_GB2312" w:hAnsi="宋体" w:eastAsia="仿宋_GB2312" w:cs="Arial"/>
          <w:sz w:val="24"/>
          <w:u w:val="single"/>
        </w:rPr>
        <w:t xml:space="preserve"> </w:t>
      </w:r>
      <w:r>
        <w:rPr>
          <w:rFonts w:hint="eastAsia" w:ascii="仿宋_GB2312" w:hAnsi="宋体" w:eastAsia="仿宋_GB2312" w:cs="Arial"/>
          <w:sz w:val="24"/>
        </w:rPr>
        <w:t xml:space="preserve"> ， 即￥</w:t>
      </w:r>
      <w:r>
        <w:rPr>
          <w:rFonts w:hint="eastAsia" w:ascii="仿宋_GB2312" w:hAnsi="仿宋_GB2312" w:eastAsia="仿宋_GB2312" w:cs="仿宋_GB2312"/>
          <w:szCs w:val="21"/>
          <w:u w:val="single"/>
        </w:rPr>
        <w:t xml:space="preserve">      </w:t>
      </w:r>
      <w:r>
        <w:rPr>
          <w:rFonts w:hint="eastAsia" w:ascii="仿宋_GB2312" w:hAnsi="宋体" w:eastAsia="仿宋_GB2312" w:cs="Arial"/>
          <w:sz w:val="24"/>
          <w:u w:val="single"/>
        </w:rPr>
        <w:t xml:space="preserve">  </w:t>
      </w:r>
      <w:r>
        <w:rPr>
          <w:rFonts w:hint="eastAsia" w:ascii="仿宋_GB2312" w:hAnsi="宋体" w:eastAsia="仿宋_GB2312" w:cs="Arial"/>
          <w:sz w:val="24"/>
        </w:rPr>
        <w:t>。该合同总价包括：设计、制造、包装、运输、装卸、储存、安装（基础制作）、调试和安装现场协调配合费用，质保期内服务及备品备件发生的所有（含税）费用。本合同执行期间合同总价不变。</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三、质量要求</w:t>
      </w:r>
    </w:p>
    <w:p>
      <w:pPr>
        <w:numPr>
          <w:ilvl w:val="255"/>
          <w:numId w:val="0"/>
        </w:numPr>
        <w:spacing w:line="360" w:lineRule="auto"/>
        <w:ind w:left="0" w:firstLine="480" w:firstLineChars="200"/>
        <w:rPr>
          <w:rFonts w:ascii="仿宋_GB2312" w:hAnsi="宋体" w:eastAsia="仿宋_GB2312" w:cs="Arial"/>
          <w:sz w:val="24"/>
        </w:rPr>
      </w:pPr>
      <w:r>
        <w:rPr>
          <w:rStyle w:val="31"/>
          <w:rFonts w:hint="eastAsia" w:ascii="仿宋_GB2312" w:hAnsi="宋体" w:eastAsia="仿宋_GB2312"/>
          <w:sz w:val="24"/>
          <w:szCs w:val="24"/>
        </w:rPr>
        <w:t>（一）乙方须提供全新的、未使用过的货物，是目前的型号，其质量、规格及技术特征符合合同附件的要求。</w:t>
      </w:r>
    </w:p>
    <w:p>
      <w:pPr>
        <w:numPr>
          <w:ilvl w:val="255"/>
          <w:numId w:val="0"/>
        </w:numPr>
        <w:spacing w:line="360" w:lineRule="auto"/>
        <w:ind w:left="0"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（二）货物制造质量出现问题，乙方应负全责，费用由乙方负责。</w:t>
      </w:r>
    </w:p>
    <w:p>
      <w:pPr>
        <w:numPr>
          <w:ilvl w:val="255"/>
          <w:numId w:val="0"/>
        </w:numPr>
        <w:spacing w:line="360" w:lineRule="auto"/>
        <w:ind w:left="0" w:firstLine="480" w:firstLineChars="200"/>
        <w:rPr>
          <w:rFonts w:ascii="仿宋_GB2312" w:hAnsi="宋体" w:eastAsia="仿宋_GB2312" w:cs="Arial"/>
          <w:sz w:val="24"/>
        </w:rPr>
      </w:pPr>
      <w:r>
        <w:rPr>
          <w:rStyle w:val="31"/>
          <w:rFonts w:hint="eastAsia" w:ascii="仿宋_GB2312" w:hAnsi="宋体" w:eastAsia="仿宋_GB2312"/>
          <w:sz w:val="24"/>
          <w:szCs w:val="24"/>
        </w:rPr>
        <w:t>（三）货到现场后，乙方应及时组织技术人员安装、调试，并保管好货物（设备及部件），未验收移交给甲方前，出现故障和设备损坏质量问题，由乙方负责。保质期满后，由</w:t>
      </w:r>
      <w:r>
        <w:rPr>
          <w:rFonts w:hint="eastAsia" w:ascii="仿宋_GB2312" w:hAnsi="宋体" w:eastAsia="仿宋_GB2312" w:cs="Arial"/>
          <w:sz w:val="24"/>
        </w:rPr>
        <w:t>甲方负担。</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四、交货、安装及验收</w:t>
      </w:r>
    </w:p>
    <w:p>
      <w:pPr>
        <w:numPr>
          <w:ilvl w:val="255"/>
          <w:numId w:val="0"/>
        </w:numPr>
        <w:spacing w:line="360" w:lineRule="auto"/>
        <w:ind w:left="425" w:firstLine="0"/>
        <w:rPr>
          <w:rFonts w:ascii="仿宋_GB2312" w:hAnsi="宋体" w:eastAsia="仿宋_GB2312" w:cs="Arial"/>
          <w:sz w:val="24"/>
        </w:rPr>
      </w:pPr>
      <w:r>
        <w:rPr>
          <w:rStyle w:val="31"/>
          <w:rFonts w:hint="eastAsia" w:ascii="仿宋_GB2312" w:hAnsi="宋体" w:eastAsia="仿宋_GB2312"/>
          <w:sz w:val="24"/>
          <w:szCs w:val="24"/>
        </w:rPr>
        <w:t>（一）交货验收</w:t>
      </w:r>
      <w:r>
        <w:rPr>
          <w:rFonts w:hint="eastAsia" w:ascii="仿宋_GB2312" w:hAnsi="宋体" w:eastAsia="仿宋_GB2312"/>
          <w:sz w:val="24"/>
        </w:rPr>
        <w:t>、安装调试必须在合同签订后20个日历</w:t>
      </w:r>
      <w:r>
        <w:rPr>
          <w:rFonts w:hint="eastAsia" w:ascii="仿宋_GB2312" w:hAnsi="宋体" w:eastAsia="仿宋_GB2312" w:cs="Arial"/>
          <w:sz w:val="24"/>
        </w:rPr>
        <w:t>天</w:t>
      </w:r>
      <w:r>
        <w:rPr>
          <w:rFonts w:hint="eastAsia" w:ascii="仿宋_GB2312" w:hAnsi="宋体" w:eastAsia="仿宋_GB2312"/>
          <w:sz w:val="24"/>
        </w:rPr>
        <w:t>内完成。</w:t>
      </w:r>
    </w:p>
    <w:p>
      <w:pPr>
        <w:numPr>
          <w:ilvl w:val="255"/>
          <w:numId w:val="0"/>
        </w:numPr>
        <w:spacing w:line="360" w:lineRule="auto"/>
        <w:ind w:left="425" w:firstLine="0"/>
        <w:rPr>
          <w:rStyle w:val="31"/>
          <w:rFonts w:ascii="仿宋_GB2312" w:hAnsi="宋体" w:eastAsia="仿宋_GB2312"/>
          <w:sz w:val="24"/>
          <w:szCs w:val="24"/>
        </w:rPr>
      </w:pPr>
      <w:r>
        <w:rPr>
          <w:rStyle w:val="31"/>
          <w:rFonts w:hint="eastAsia" w:ascii="仿宋_GB2312" w:hAnsi="宋体" w:eastAsia="仿宋_GB2312"/>
          <w:sz w:val="24"/>
          <w:szCs w:val="24"/>
        </w:rPr>
        <w:t>（二）交货地点：甲方指定地点。</w:t>
      </w:r>
    </w:p>
    <w:p>
      <w:pPr>
        <w:numPr>
          <w:ilvl w:val="255"/>
          <w:numId w:val="0"/>
        </w:numPr>
        <w:spacing w:line="360" w:lineRule="auto"/>
        <w:ind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三）交货要求：乙方必须按照合同要求提供原装、全新、完整无损，且符合国家质量标准和行业标准的货物。如未能交付全新、完整的货物及采购文件规定的单证和工具的，视为未按合同约定供货，乙方必须负责补齐，因此导致逾期交付的，由乙方承担相关的违约责任。</w:t>
      </w:r>
    </w:p>
    <w:p>
      <w:pPr>
        <w:spacing w:line="360" w:lineRule="auto"/>
        <w:ind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（四）安装要求：</w:t>
      </w:r>
    </w:p>
    <w:p>
      <w:pPr>
        <w:spacing w:line="360" w:lineRule="auto"/>
        <w:ind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1.甲方应提供电、水源和工作面给乙方使用，乙方要按照国家安全规范标准，铺设电源线，且做好安全防漏电措施，确保人身安全。</w:t>
      </w:r>
    </w:p>
    <w:p>
      <w:pPr>
        <w:spacing w:line="360" w:lineRule="auto"/>
        <w:ind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2.乙方安装的设备必须按照采购文件和设计图纸要求进行，且符合国家标准、行业标准，如现场尺寸、规格、数量出现偏差，要征求甲方意见，并签署有关文件作为依据，方可进行。</w:t>
      </w:r>
    </w:p>
    <w:p>
      <w:pPr>
        <w:spacing w:line="360" w:lineRule="auto"/>
        <w:ind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（五）设备验收：乙方自检合格后，甲方按照采购文件相关条款逐一对货物进行验收，验收结果应符合采购文件要求。若发现不符合采购文件要求时，应立即进行整改到符合采购文件要求为止。</w:t>
      </w:r>
    </w:p>
    <w:p>
      <w:pPr>
        <w:spacing w:line="360" w:lineRule="auto"/>
        <w:ind w:firstLine="480" w:firstLineChars="200"/>
        <w:rPr>
          <w:rStyle w:val="31"/>
          <w:rFonts w:ascii="仿宋_GB2312" w:hAnsi="宋体" w:eastAsia="仿宋_GB2312"/>
          <w:sz w:val="24"/>
          <w:szCs w:val="24"/>
        </w:rPr>
      </w:pPr>
      <w:r>
        <w:rPr>
          <w:rStyle w:val="31"/>
          <w:rFonts w:hint="eastAsia" w:ascii="仿宋_GB2312" w:hAnsi="宋体" w:eastAsia="仿宋_GB2312"/>
          <w:sz w:val="24"/>
          <w:szCs w:val="24"/>
        </w:rPr>
        <w:t>（六）竣工验收：乙方安装调试完毕后7个工作日内，通知甲方进行验收。验收由甲方组织，乙方、监管职能部门，如质量验收合格，签署验收报告。如货物质量不符合要求，乙方必须按照投标文件要求达到合格标准，由此产生的费用由乙方负责。</w:t>
      </w:r>
    </w:p>
    <w:p>
      <w:pPr>
        <w:spacing w:line="360" w:lineRule="auto"/>
        <w:ind w:left="0" w:firstLine="482" w:firstLineChars="200"/>
        <w:rPr>
          <w:rStyle w:val="31"/>
          <w:rFonts w:ascii="仿宋_GB2312" w:hAnsi="宋体" w:eastAsia="仿宋_GB2312" w:cstheme="minorEastAsia"/>
          <w:b/>
          <w:bCs/>
          <w:sz w:val="24"/>
          <w:szCs w:val="24"/>
        </w:rPr>
      </w:pPr>
      <w:r>
        <w:rPr>
          <w:rFonts w:hint="eastAsia" w:ascii="仿宋_GB2312" w:hAnsi="宋体" w:eastAsia="仿宋_GB2312" w:cs="Arial"/>
          <w:b/>
          <w:bCs/>
          <w:sz w:val="24"/>
          <w:szCs w:val="28"/>
        </w:rPr>
        <w:t>五、</w:t>
      </w:r>
      <w:r>
        <w:rPr>
          <w:rFonts w:hint="eastAsia" w:ascii="仿宋_GB2312" w:hAnsi="宋体" w:eastAsia="仿宋_GB2312" w:cs="Arial"/>
          <w:b/>
          <w:bCs w:val="0"/>
          <w:sz w:val="24"/>
          <w:szCs w:val="21"/>
        </w:rPr>
        <w:t>双方</w:t>
      </w:r>
      <w:r>
        <w:rPr>
          <w:rStyle w:val="14"/>
          <w:rFonts w:hint="eastAsia" w:ascii="仿宋_GB2312" w:hAnsi="宋体" w:eastAsia="仿宋_GB2312" w:cs="Arial"/>
          <w:b/>
          <w:sz w:val="24"/>
          <w:szCs w:val="24"/>
        </w:rPr>
        <w:t>权利</w:t>
      </w:r>
      <w:r>
        <w:rPr>
          <w:rFonts w:hint="eastAsia" w:ascii="仿宋_GB2312" w:hAnsi="宋体" w:eastAsia="仿宋_GB2312" w:cs="Arial"/>
          <w:b/>
          <w:bCs w:val="0"/>
          <w:sz w:val="24"/>
          <w:szCs w:val="21"/>
        </w:rPr>
        <w:t>及义务</w:t>
      </w:r>
    </w:p>
    <w:p>
      <w:pPr>
        <w:spacing w:line="360" w:lineRule="auto"/>
        <w:ind w:firstLine="480" w:firstLineChars="200"/>
        <w:rPr>
          <w:rStyle w:val="31"/>
          <w:rFonts w:ascii="仿宋_GB2312" w:hAnsi="宋体" w:eastAsia="仿宋_GB2312" w:cstheme="minorEastAsia"/>
          <w:b/>
          <w:bCs/>
          <w:sz w:val="24"/>
          <w:szCs w:val="24"/>
        </w:rPr>
      </w:pPr>
      <w:r>
        <w:rPr>
          <w:rStyle w:val="31"/>
          <w:rFonts w:hint="eastAsia" w:ascii="仿宋_GB2312" w:hAnsi="宋体" w:eastAsia="仿宋_GB2312"/>
          <w:sz w:val="24"/>
          <w:szCs w:val="24"/>
        </w:rPr>
        <w:t>（一）</w:t>
      </w:r>
      <w:r>
        <w:rPr>
          <w:rStyle w:val="31"/>
          <w:rFonts w:hint="eastAsia" w:ascii="仿宋_GB2312" w:hAnsi="宋体" w:eastAsia="仿宋_GB2312" w:cstheme="minorEastAsia"/>
          <w:b/>
          <w:bCs/>
          <w:sz w:val="24"/>
          <w:szCs w:val="24"/>
        </w:rPr>
        <w:t>甲方</w:t>
      </w:r>
      <w:r>
        <w:rPr>
          <w:rStyle w:val="31"/>
          <w:rFonts w:hint="eastAsia" w:ascii="仿宋_GB2312" w:hAnsi="宋体" w:eastAsia="仿宋_GB2312"/>
          <w:sz w:val="24"/>
          <w:szCs w:val="24"/>
        </w:rPr>
        <w:t>权利</w:t>
      </w:r>
      <w:r>
        <w:rPr>
          <w:rStyle w:val="31"/>
          <w:rFonts w:hint="eastAsia" w:ascii="仿宋_GB2312" w:hAnsi="宋体" w:eastAsia="仿宋_GB2312" w:cstheme="minorEastAsia"/>
          <w:b/>
          <w:bCs/>
          <w:sz w:val="24"/>
          <w:szCs w:val="24"/>
        </w:rPr>
        <w:t>及义务：</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1</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免费提供水、电及施工物料存放场所。</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2</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为加强联系，甲方应指派专人在服务现场实施监督，积极配合乙方施工。</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3</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有权监督纠正乙方在施工过程中的质量问题。</w:t>
      </w:r>
    </w:p>
    <w:p>
      <w:pPr>
        <w:spacing w:line="360" w:lineRule="auto"/>
        <w:ind w:firstLine="480" w:firstLineChars="200"/>
        <w:rPr>
          <w:rStyle w:val="31"/>
          <w:rFonts w:ascii="仿宋_GB2312" w:hAnsi="宋体" w:eastAsia="仿宋_GB2312" w:cstheme="minorEastAsia"/>
          <w:b/>
          <w:bCs/>
          <w:sz w:val="24"/>
          <w:szCs w:val="24"/>
        </w:rPr>
      </w:pPr>
      <w:r>
        <w:rPr>
          <w:rStyle w:val="31"/>
          <w:rFonts w:hint="eastAsia" w:ascii="仿宋_GB2312" w:hAnsi="宋体" w:eastAsia="仿宋_GB2312"/>
          <w:sz w:val="24"/>
          <w:szCs w:val="24"/>
        </w:rPr>
        <w:t>（二）</w:t>
      </w:r>
      <w:r>
        <w:rPr>
          <w:rStyle w:val="31"/>
          <w:rFonts w:hint="eastAsia" w:ascii="仿宋_GB2312" w:hAnsi="宋体" w:eastAsia="仿宋_GB2312" w:cstheme="minorEastAsia"/>
          <w:b/>
          <w:bCs/>
          <w:sz w:val="24"/>
          <w:szCs w:val="24"/>
        </w:rPr>
        <w:t>乙方</w:t>
      </w:r>
      <w:r>
        <w:rPr>
          <w:rStyle w:val="31"/>
          <w:rFonts w:hint="eastAsia" w:ascii="仿宋_GB2312" w:hAnsi="宋体" w:eastAsia="仿宋_GB2312"/>
          <w:sz w:val="24"/>
          <w:szCs w:val="24"/>
        </w:rPr>
        <w:t>权利</w:t>
      </w:r>
      <w:r>
        <w:rPr>
          <w:rStyle w:val="31"/>
          <w:rFonts w:hint="eastAsia" w:ascii="仿宋_GB2312" w:hAnsi="宋体" w:eastAsia="仿宋_GB2312" w:cstheme="minorEastAsia"/>
          <w:b/>
          <w:bCs/>
          <w:sz w:val="24"/>
          <w:szCs w:val="24"/>
        </w:rPr>
        <w:t>及义务：</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1</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工作人员每天进入施工现场后，由乙方派人负责管理，召集全体工作人员施工，产品保护等，进行安全教育，并对每一个员工进行安全技术交底。</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2</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每天进入施工现场后，工作人员都必须对各自的作业用绳、安全带及自动安全制锁器等进行安全检查，然后互检，最后由值班主管做好检查记录。</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3</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每天施工前，现场看护人员必须在作业下方放置警示牌，设置隔离区域。</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4</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在施工过程中，必须保证不损坏大厦任何设施设备，如造成划伤、损坏等，导致的一切费用由乙方承担。</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5</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乙方需为外墙施工的工作人员购买特种作业人身安全保险。</w:t>
      </w:r>
    </w:p>
    <w:p>
      <w:pPr>
        <w:spacing w:line="360" w:lineRule="auto"/>
        <w:ind w:firstLine="480" w:firstLineChars="200"/>
        <w:rPr>
          <w:rStyle w:val="31"/>
          <w:rFonts w:ascii="仿宋_GB2312" w:hAnsi="宋体" w:eastAsia="仿宋_GB2312" w:cstheme="minorEastAsia"/>
          <w:sz w:val="24"/>
          <w:szCs w:val="24"/>
        </w:rPr>
      </w:pPr>
      <w:r>
        <w:rPr>
          <w:rStyle w:val="31"/>
          <w:rFonts w:ascii="仿宋_GB2312" w:hAnsi="宋体" w:eastAsia="仿宋_GB2312" w:cstheme="minorEastAsia"/>
          <w:sz w:val="24"/>
          <w:szCs w:val="24"/>
        </w:rPr>
        <w:t>6</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在施工过程中必须遵守工地的有关规章制度，服从甲方的管理。</w:t>
      </w:r>
    </w:p>
    <w:p>
      <w:pPr>
        <w:spacing w:line="360" w:lineRule="auto"/>
        <w:ind w:firstLine="480" w:firstLineChars="200"/>
        <w:rPr>
          <w:rStyle w:val="31"/>
          <w:rFonts w:ascii="仿宋_GB2312" w:hAnsi="宋体" w:eastAsia="仿宋_GB2312"/>
          <w:sz w:val="24"/>
          <w:szCs w:val="24"/>
        </w:rPr>
      </w:pPr>
      <w:r>
        <w:rPr>
          <w:rStyle w:val="31"/>
          <w:rFonts w:ascii="仿宋_GB2312" w:hAnsi="宋体" w:eastAsia="仿宋_GB2312" w:cstheme="minorEastAsia"/>
          <w:sz w:val="24"/>
          <w:szCs w:val="24"/>
        </w:rPr>
        <w:t>7</w:t>
      </w:r>
      <w:r>
        <w:rPr>
          <w:rStyle w:val="31"/>
          <w:rFonts w:hint="eastAsia" w:ascii="仿宋_GB2312" w:hAnsi="宋体" w:eastAsia="仿宋_GB2312"/>
          <w:sz w:val="24"/>
          <w:szCs w:val="24"/>
        </w:rPr>
        <w:t>.</w:t>
      </w:r>
      <w:r>
        <w:rPr>
          <w:rStyle w:val="31"/>
          <w:rFonts w:hint="eastAsia" w:ascii="仿宋_GB2312" w:hAnsi="宋体" w:eastAsia="仿宋_GB2312" w:cstheme="minorEastAsia"/>
          <w:sz w:val="24"/>
          <w:szCs w:val="24"/>
        </w:rPr>
        <w:t>在施工过程中发生的任何安全事故</w:t>
      </w:r>
      <w:r>
        <w:rPr>
          <w:rStyle w:val="31"/>
          <w:rFonts w:ascii="仿宋_GB2312" w:hAnsi="宋体" w:eastAsia="仿宋_GB2312" w:cstheme="minorEastAsia"/>
          <w:sz w:val="24"/>
          <w:szCs w:val="24"/>
        </w:rPr>
        <w:t>(如人身安全、</w:t>
      </w:r>
      <w:r>
        <w:rPr>
          <w:rStyle w:val="31"/>
          <w:rFonts w:hint="eastAsia" w:ascii="仿宋_GB2312" w:hAnsi="宋体" w:eastAsia="仿宋_GB2312" w:cstheme="minorEastAsia"/>
          <w:sz w:val="24"/>
          <w:szCs w:val="24"/>
        </w:rPr>
        <w:t>植物损坏、车辆损坏等</w:t>
      </w:r>
      <w:r>
        <w:rPr>
          <w:rStyle w:val="31"/>
          <w:rFonts w:ascii="仿宋_GB2312" w:hAnsi="宋体" w:eastAsia="仿宋_GB2312" w:cstheme="minorEastAsia"/>
          <w:sz w:val="24"/>
          <w:szCs w:val="24"/>
        </w:rPr>
        <w:t>)，由乙方负责全部责任，并承担经济上的费用及行政处罚、法律责任，甲方不负任何责任。</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六、付款方式</w:t>
      </w:r>
    </w:p>
    <w:p>
      <w:pPr>
        <w:autoSpaceDE w:val="0"/>
        <w:autoSpaceDN w:val="0"/>
        <w:adjustRightInd w:val="0"/>
        <w:spacing w:line="360" w:lineRule="auto"/>
        <w:rPr>
          <w:rFonts w:ascii="仿宋_GB2312" w:hAnsi="宋体" w:eastAsia="仿宋_GB2312" w:cs="Arial"/>
          <w:sz w:val="24"/>
        </w:rPr>
      </w:pPr>
      <w:r>
        <w:rPr>
          <w:rFonts w:hint="eastAsia" w:ascii="仿宋_GB2312" w:hAnsi="宋体" w:eastAsia="仿宋_GB2312" w:cs="Arial"/>
          <w:sz w:val="24"/>
        </w:rPr>
        <w:t xml:space="preserve">    （一）合同签订后，收到有效合格的增值税专用发票之日5个工作日内，支付合同总造价的30%。</w:t>
      </w:r>
    </w:p>
    <w:p>
      <w:pPr>
        <w:autoSpaceDE w:val="0"/>
        <w:autoSpaceDN w:val="0"/>
        <w:adjustRightInd w:val="0"/>
        <w:spacing w:line="360" w:lineRule="auto"/>
        <w:rPr>
          <w:rFonts w:ascii="仿宋_GB2312" w:hAnsi="宋体" w:eastAsia="仿宋_GB2312" w:cs="Arial"/>
          <w:sz w:val="24"/>
        </w:rPr>
      </w:pPr>
      <w:r>
        <w:rPr>
          <w:rFonts w:hint="eastAsia" w:ascii="仿宋_GB2312" w:hAnsi="宋体" w:eastAsia="仿宋_GB2312" w:cs="Arial"/>
          <w:sz w:val="24"/>
        </w:rPr>
        <w:t xml:space="preserve">    （二）货到现场并经甲方验收后，收到有效合格的增值税专用发票之日7个工作日内，支付合同总造价的50%。</w:t>
      </w:r>
    </w:p>
    <w:p>
      <w:pPr>
        <w:autoSpaceDE w:val="0"/>
        <w:autoSpaceDN w:val="0"/>
        <w:adjustRightInd w:val="0"/>
        <w:spacing w:line="360" w:lineRule="auto"/>
        <w:rPr>
          <w:rFonts w:ascii="仿宋_GB2312" w:hAnsi="宋体" w:eastAsia="仿宋_GB2312" w:cs="Arial"/>
          <w:sz w:val="24"/>
        </w:rPr>
      </w:pPr>
      <w:r>
        <w:rPr>
          <w:rFonts w:hint="eastAsia" w:ascii="仿宋_GB2312" w:hAnsi="宋体" w:eastAsia="仿宋_GB2312" w:cs="Arial"/>
          <w:sz w:val="24"/>
        </w:rPr>
        <w:t xml:space="preserve">    （三）安装完成经甲方验收合格后，收到有效合格的增值税专用发票之日7个工作日内，支付合同总造价的15%结算款。</w:t>
      </w:r>
    </w:p>
    <w:p>
      <w:pPr>
        <w:autoSpaceDE w:val="0"/>
        <w:autoSpaceDN w:val="0"/>
        <w:adjustRightInd w:val="0"/>
        <w:spacing w:line="360" w:lineRule="auto"/>
        <w:rPr>
          <w:rFonts w:ascii="仿宋_GB2312" w:hAnsi="宋体" w:eastAsia="仿宋_GB2312" w:cs="Arial"/>
          <w:sz w:val="24"/>
        </w:rPr>
      </w:pPr>
      <w:r>
        <w:rPr>
          <w:rFonts w:hint="eastAsia" w:ascii="仿宋_GB2312" w:hAnsi="宋体" w:eastAsia="仿宋_GB2312" w:cs="Arial"/>
          <w:sz w:val="24"/>
        </w:rPr>
        <w:t xml:space="preserve">    （四）质保期</w:t>
      </w:r>
      <w:r>
        <w:rPr>
          <w:rFonts w:hint="eastAsia" w:ascii="仿宋_GB2312" w:hAnsi="宋体" w:eastAsia="仿宋_GB2312" w:cs="Arial"/>
          <w:sz w:val="24"/>
          <w:lang w:val="en-US" w:eastAsia="zh-CN"/>
        </w:rPr>
        <w:t>2</w:t>
      </w:r>
      <w:r>
        <w:rPr>
          <w:rFonts w:hint="eastAsia" w:ascii="仿宋_GB2312" w:hAnsi="宋体" w:eastAsia="仿宋_GB2312" w:cs="Arial"/>
          <w:sz w:val="24"/>
        </w:rPr>
        <w:t>年后无质量问题，货款5%在收到有效合格的增值税专用发票之日7个工作日内，由采购人支付给中标人。</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七、售后服务</w:t>
      </w:r>
    </w:p>
    <w:p>
      <w:pPr>
        <w:numPr>
          <w:ilvl w:val="255"/>
          <w:numId w:val="0"/>
        </w:numPr>
        <w:spacing w:line="360" w:lineRule="auto"/>
        <w:ind w:left="425" w:firstLine="0"/>
        <w:rPr>
          <w:rFonts w:ascii="仿宋_GB2312" w:hAnsi="宋体" w:eastAsia="仿宋_GB2312" w:cs="Arial"/>
          <w:sz w:val="24"/>
        </w:rPr>
      </w:pPr>
      <w:r>
        <w:rPr>
          <w:rFonts w:hint="eastAsia" w:ascii="仿宋_GB2312" w:hAnsi="宋体" w:eastAsia="仿宋_GB2312" w:cs="Arial"/>
          <w:sz w:val="24"/>
        </w:rPr>
        <w:t>（一）质保期2年，自竣工验收合格之日起计算。</w:t>
      </w:r>
    </w:p>
    <w:p>
      <w:pPr>
        <w:numPr>
          <w:ilvl w:val="255"/>
          <w:numId w:val="0"/>
        </w:numPr>
        <w:spacing w:line="360" w:lineRule="auto"/>
        <w:ind w:left="425" w:firstLine="0"/>
        <w:rPr>
          <w:rFonts w:ascii="仿宋_GB2312" w:hAnsi="宋体" w:eastAsia="仿宋_GB2312" w:cs="Arial"/>
          <w:sz w:val="24"/>
        </w:rPr>
      </w:pPr>
      <w:r>
        <w:rPr>
          <w:rFonts w:hint="eastAsia" w:ascii="仿宋_GB2312" w:hAnsi="宋体" w:eastAsia="仿宋_GB2312" w:cs="Arial"/>
          <w:sz w:val="24"/>
        </w:rPr>
        <w:t>（二）售后服务机构地址：</w:t>
      </w:r>
      <w:r>
        <w:rPr>
          <w:rFonts w:hint="eastAsia" w:ascii="仿宋_GB2312" w:hAnsi="宋体" w:eastAsia="仿宋_GB2312" w:cs="Arial"/>
          <w:sz w:val="24"/>
          <w:u w:val="single"/>
        </w:rPr>
        <w:t xml:space="preserve">                    </w:t>
      </w:r>
      <w:r>
        <w:rPr>
          <w:rFonts w:hint="eastAsia" w:ascii="仿宋_GB2312" w:hAnsi="宋体" w:eastAsia="仿宋_GB2312" w:cs="Arial"/>
          <w:sz w:val="24"/>
        </w:rPr>
        <w:t>，联系电话：</w:t>
      </w:r>
      <w:r>
        <w:rPr>
          <w:rFonts w:hint="eastAsia" w:ascii="仿宋_GB2312" w:hAnsi="宋体" w:eastAsia="仿宋_GB2312" w:cs="Arial"/>
          <w:sz w:val="24"/>
          <w:u w:val="single"/>
        </w:rPr>
        <w:t xml:space="preserve">                 </w:t>
      </w:r>
      <w:r>
        <w:rPr>
          <w:rFonts w:hint="eastAsia" w:ascii="仿宋_GB2312" w:hAnsi="宋体" w:eastAsia="仿宋_GB2312" w:cs="Arial"/>
          <w:sz w:val="24"/>
        </w:rPr>
        <w:t>。</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（三）保修期内出现质量问题，接到甲方维修通知后，应在12小时内响应，提供免费的人力、部件、上门维修服务。小修在24小时内处理完毕，如遇中修、大修视工程难度而定。</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（四）质保期过后，乙方仍需要提供优质服务，进行定期维护和修理，并仅收取成本费。</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八、违约责任</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（一）乙方逾期交付货物的，每逾期1天，乙方向甲方偿付逾期交货部分货款总额的5‰的违约金，累计违约金不超过逾期交货部分货款总额的5%，逾期交货超过15天，甲方有权终止合同，并追究违约责任。</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（二）乙方所交的货物、型号、规格不符合合同规定的，甲方有权拒收。乙方向甲方支付货款总额的5%的违约金。</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（三）如经乙方两次维修，设备仍不能达到合同约定质量标准，甲方有权退货，要求乙方退回全部货款，并赔偿甲方因此遭受的损失和承担有关法律责任。</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（四）乙方所供货物必须权属清楚，不得侵害他人的知识产权，否则构成对甲方违约，并承担相应的赔偿责任。</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九、不可抗力</w:t>
      </w:r>
    </w:p>
    <w:p>
      <w:pPr>
        <w:spacing w:line="360" w:lineRule="auto"/>
        <w:ind w:firstLine="424" w:firstLineChars="177"/>
        <w:rPr>
          <w:rFonts w:ascii="仿宋_GB2312" w:hAnsi="宋体" w:eastAsia="仿宋_GB2312" w:cs="Arial"/>
          <w:sz w:val="24"/>
        </w:rPr>
      </w:pPr>
      <w:r>
        <w:rPr>
          <w:rFonts w:hint="eastAsia" w:ascii="仿宋_GB2312" w:hAnsi="宋体" w:eastAsia="仿宋_GB2312" w:cs="Arial"/>
          <w:sz w:val="24"/>
        </w:rPr>
        <w:t>不可抗力指战争、严重火灾、洪水、台风、地震等或其他双方认定的不可抗力事件。甲乙双方的任何一方由于不可抗力的原因不能履行或不能完全履行合同时，应尽快向对方通报理由，在提供相应证明后，可允许延期履行、部分履行或不履行，并可根据情况部分或全部免于承担违约责任。</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十、争议及解决办法</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（一）因货物的质量问题发生争议，由广州市质量技术监督局或其指定的质量鉴定单位进行质量鉴定。货物符合质量标准的，鉴定费由甲方承担；货物不符合质量标准的，鉴定费由乙方承担。</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（二）本合同发生争议，由双方协商或由广州市财政局调解解决，协商或调解不成时按以下第</w:t>
      </w:r>
      <w:r>
        <w:rPr>
          <w:rFonts w:hint="eastAsia" w:ascii="仿宋_GB2312" w:hAnsi="宋体" w:eastAsia="仿宋_GB2312" w:cs="Arial"/>
          <w:sz w:val="24"/>
          <w:u w:val="single"/>
        </w:rPr>
        <w:t xml:space="preserve"> 2 </w:t>
      </w:r>
      <w:r>
        <w:rPr>
          <w:rFonts w:hint="eastAsia" w:ascii="仿宋_GB2312" w:hAnsi="宋体" w:eastAsia="仿宋_GB2312" w:cs="Arial"/>
          <w:sz w:val="24"/>
        </w:rPr>
        <w:t>种方式解决（请选择）：</w:t>
      </w:r>
    </w:p>
    <w:p>
      <w:pPr>
        <w:numPr>
          <w:ilvl w:val="255"/>
          <w:numId w:val="0"/>
        </w:numPr>
        <w:spacing w:line="360" w:lineRule="auto"/>
        <w:ind w:left="851" w:firstLine="0"/>
        <w:rPr>
          <w:rFonts w:ascii="仿宋_GB2312" w:hAnsi="宋体" w:eastAsia="仿宋_GB2312"/>
          <w:sz w:val="24"/>
        </w:rPr>
      </w:pPr>
      <w:r>
        <w:rPr>
          <w:rFonts w:hint="eastAsia" w:ascii="仿宋_GB2312" w:hAnsi="宋体" w:eastAsia="仿宋_GB2312" w:cs="Arial"/>
          <w:sz w:val="24"/>
        </w:rPr>
        <w:t>1.广州仲裁委员会仲裁</w:t>
      </w:r>
      <w:r>
        <w:rPr>
          <w:rFonts w:hint="eastAsia" w:ascii="仿宋_GB2312" w:hAnsi="宋体" w:eastAsia="仿宋_GB2312"/>
          <w:sz w:val="24"/>
        </w:rPr>
        <w:t>；</w:t>
      </w:r>
    </w:p>
    <w:p>
      <w:pPr>
        <w:numPr>
          <w:ilvl w:val="255"/>
          <w:numId w:val="0"/>
        </w:numPr>
        <w:spacing w:line="360" w:lineRule="auto"/>
        <w:ind w:left="851" w:firstLine="0"/>
        <w:rPr>
          <w:rFonts w:ascii="仿宋_GB2312" w:hAnsi="宋体" w:eastAsia="仿宋_GB2312" w:cs="Arial"/>
          <w:sz w:val="24"/>
        </w:rPr>
      </w:pPr>
      <w:r>
        <w:rPr>
          <w:rFonts w:hint="eastAsia" w:ascii="仿宋_GB2312" w:hAnsi="宋体" w:eastAsia="仿宋_GB2312"/>
          <w:sz w:val="24"/>
        </w:rPr>
        <w:t>2.向甲方所在地人民法院提起诉讼</w:t>
      </w:r>
      <w:r>
        <w:rPr>
          <w:rFonts w:hint="eastAsia" w:ascii="仿宋_GB2312" w:hAnsi="宋体" w:eastAsia="仿宋_GB2312" w:cs="Arial"/>
          <w:sz w:val="24"/>
        </w:rPr>
        <w:t>。</w:t>
      </w:r>
    </w:p>
    <w:p>
      <w:pPr>
        <w:numPr>
          <w:ilvl w:val="255"/>
          <w:numId w:val="0"/>
        </w:numPr>
        <w:spacing w:line="360" w:lineRule="auto"/>
        <w:ind w:left="540" w:firstLine="0"/>
        <w:rPr>
          <w:rFonts w:ascii="仿宋_GB2312" w:hAnsi="宋体" w:eastAsia="仿宋_GB2312" w:cs="Arial"/>
          <w:b/>
          <w:sz w:val="24"/>
        </w:rPr>
      </w:pPr>
      <w:r>
        <w:rPr>
          <w:rFonts w:hint="eastAsia" w:ascii="仿宋_GB2312" w:hAnsi="宋体" w:eastAsia="仿宋_GB2312" w:cs="Arial"/>
          <w:b/>
          <w:sz w:val="24"/>
        </w:rPr>
        <w:t>十一、其他</w:t>
      </w:r>
    </w:p>
    <w:p>
      <w:pPr>
        <w:numPr>
          <w:ilvl w:val="255"/>
          <w:numId w:val="0"/>
        </w:numPr>
        <w:spacing w:line="360" w:lineRule="auto"/>
        <w:ind w:left="0" w:firstLine="480" w:firstLineChars="200"/>
        <w:rPr>
          <w:rFonts w:ascii="仿宋_GB2312" w:hAnsi="宋体" w:eastAsia="仿宋_GB2312" w:cs="Arial"/>
          <w:sz w:val="24"/>
        </w:rPr>
      </w:pPr>
      <w:r>
        <w:rPr>
          <w:rFonts w:hint="eastAsia" w:ascii="仿宋_GB2312" w:hAnsi="宋体" w:eastAsia="仿宋_GB2312" w:cs="Arial"/>
          <w:sz w:val="24"/>
        </w:rPr>
        <w:t>（一）本合同一式</w:t>
      </w:r>
      <w:r>
        <w:rPr>
          <w:rFonts w:hint="eastAsia" w:ascii="仿宋_GB2312" w:hAnsi="宋体" w:eastAsia="仿宋_GB2312" w:cs="Arial"/>
          <w:sz w:val="24"/>
          <w:u w:val="single"/>
        </w:rPr>
        <w:t xml:space="preserve"> 陆 </w:t>
      </w:r>
      <w:r>
        <w:rPr>
          <w:rFonts w:hint="eastAsia" w:ascii="仿宋_GB2312" w:hAnsi="宋体" w:eastAsia="仿宋_GB2312" w:cs="Arial"/>
          <w:sz w:val="24"/>
        </w:rPr>
        <w:t>份，具有同等效力，甲、乙双方各执</w:t>
      </w:r>
      <w:r>
        <w:rPr>
          <w:rFonts w:hint="eastAsia" w:ascii="仿宋_GB2312" w:hAnsi="宋体" w:eastAsia="仿宋_GB2312" w:cs="Arial"/>
          <w:sz w:val="24"/>
          <w:u w:val="single"/>
        </w:rPr>
        <w:t xml:space="preserve"> 叁  </w:t>
      </w:r>
      <w:r>
        <w:rPr>
          <w:rFonts w:hint="eastAsia" w:ascii="仿宋_GB2312" w:hAnsi="宋体" w:eastAsia="仿宋_GB2312" w:cs="Arial"/>
          <w:sz w:val="24"/>
        </w:rPr>
        <w:t>份。合同自双方签字盖章之日起生效。</w:t>
      </w:r>
    </w:p>
    <w:p>
      <w:pPr>
        <w:numPr>
          <w:ilvl w:val="255"/>
          <w:numId w:val="0"/>
        </w:numPr>
        <w:spacing w:line="360" w:lineRule="auto"/>
        <w:ind w:firstLine="480" w:firstLineChars="200"/>
      </w:pPr>
      <w:r>
        <w:rPr>
          <w:rFonts w:hint="eastAsia" w:ascii="仿宋_GB2312" w:hAnsi="宋体" w:eastAsia="仿宋_GB2312" w:cs="Arial"/>
          <w:sz w:val="24"/>
        </w:rPr>
        <w:t>（二）本合同未尽事宜，由双方协商处理。</w:t>
      </w:r>
    </w:p>
    <w:tbl>
      <w:tblPr>
        <w:tblStyle w:val="19"/>
        <w:tblW w:w="92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0"/>
        <w:gridCol w:w="4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甲方：（公章）</w:t>
            </w:r>
          </w:p>
        </w:tc>
        <w:tc>
          <w:tcPr>
            <w:tcW w:w="4335" w:type="dxa"/>
            <w:tcBorders>
              <w:tl2br w:val="nil"/>
              <w:tr2bl w:val="nil"/>
            </w:tcBorders>
          </w:tcPr>
          <w:p>
            <w:pPr>
              <w:spacing w:line="360" w:lineRule="auto"/>
              <w:rPr>
                <w:rFonts w:ascii="宋体" w:hAnsi="宋体"/>
                <w:kern w:val="0"/>
                <w:sz w:val="18"/>
                <w:szCs w:val="18"/>
              </w:rPr>
            </w:pPr>
            <w:r>
              <w:rPr>
                <w:rFonts w:hint="eastAsia" w:ascii="宋体" w:hAnsi="宋体"/>
                <w:kern w:val="0"/>
                <w:sz w:val="18"/>
                <w:szCs w:val="18"/>
              </w:rPr>
              <w:t>乙方：（公章）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地址：</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0" w:hRule="atLeast"/>
        </w:trPr>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签约代表：</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 xml:space="preserve">签约代表：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电话：</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纳税人识别号：</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开户银行：</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账号名称：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账号：</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920"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签约时间：    年    月   日</w:t>
            </w:r>
          </w:p>
        </w:tc>
        <w:tc>
          <w:tcPr>
            <w:tcW w:w="4335" w:type="dxa"/>
            <w:tcBorders>
              <w:tl2br w:val="nil"/>
              <w:tr2bl w:val="nil"/>
            </w:tcBorders>
          </w:tcPr>
          <w:p>
            <w:pPr>
              <w:spacing w:line="340" w:lineRule="exact"/>
              <w:rPr>
                <w:rFonts w:ascii="宋体" w:hAnsi="宋体"/>
                <w:kern w:val="0"/>
                <w:sz w:val="18"/>
                <w:szCs w:val="18"/>
              </w:rPr>
            </w:pPr>
            <w:r>
              <w:rPr>
                <w:rFonts w:hint="eastAsia" w:ascii="宋体" w:hAnsi="宋体"/>
                <w:kern w:val="0"/>
                <w:sz w:val="18"/>
                <w:szCs w:val="18"/>
              </w:rPr>
              <w:t xml:space="preserve">签约时间：    年    月   日 </w:t>
            </w:r>
          </w:p>
        </w:tc>
      </w:tr>
    </w:tbl>
    <w:p>
      <w:pPr>
        <w:outlineLvl w:val="0"/>
        <w:rPr>
          <w:b/>
          <w:bCs/>
          <w:sz w:val="28"/>
          <w:szCs w:val="28"/>
        </w:rPr>
        <w:sectPr>
          <w:pgSz w:w="11906" w:h="16838"/>
          <w:pgMar w:top="1440" w:right="1803" w:bottom="1440" w:left="1803" w:header="851" w:footer="992" w:gutter="0"/>
          <w:cols w:space="0" w:num="1"/>
          <w:docGrid w:type="lines" w:linePitch="319" w:charSpace="0"/>
        </w:sectPr>
      </w:pPr>
    </w:p>
    <w:p>
      <w:pPr>
        <w:keepNext/>
        <w:keepLines/>
        <w:spacing w:line="600" w:lineRule="auto"/>
        <w:jc w:val="center"/>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南沙金融大厦外墙施工安全责任书</w:t>
      </w:r>
    </w:p>
    <w:p>
      <w:pPr>
        <w:keepNext/>
        <w:keepLines/>
        <w:spacing w:line="600" w:lineRule="auto"/>
        <w:ind w:firstLine="420" w:firstLineChars="200"/>
        <w:rPr>
          <w:rFonts w:ascii="宋体" w:hAnsi="宋体" w:cs="宋体"/>
          <w:szCs w:val="21"/>
        </w:rPr>
      </w:pPr>
      <w:r>
        <w:rPr>
          <w:rFonts w:hint="eastAsia" w:ascii="宋体" w:hAnsi="宋体" w:cs="宋体"/>
          <w:szCs w:val="21"/>
        </w:rPr>
        <w:t>甲   方:                 （下称甲方）</w:t>
      </w:r>
    </w:p>
    <w:p>
      <w:pPr>
        <w:keepNext/>
        <w:keepLines/>
        <w:spacing w:line="600" w:lineRule="auto"/>
        <w:ind w:firstLine="420" w:firstLineChars="200"/>
        <w:jc w:val="left"/>
        <w:rPr>
          <w:rFonts w:ascii="宋体" w:hAnsi="宋体" w:cs="宋体"/>
          <w:szCs w:val="21"/>
        </w:rPr>
      </w:pPr>
      <w:r>
        <w:rPr>
          <w:rFonts w:hint="eastAsia" w:ascii="宋体" w:hAnsi="宋体" w:cs="宋体"/>
          <w:szCs w:val="21"/>
        </w:rPr>
        <w:t>乙   方:</w:t>
      </w:r>
      <w:r>
        <w:rPr>
          <w:rFonts w:hint="eastAsia" w:ascii="宋体" w:hAnsi="宋体" w:cs="宋体"/>
          <w:color w:val="333333"/>
          <w:szCs w:val="21"/>
          <w:shd w:val="clear" w:color="auto" w:fill="FFFFFF"/>
        </w:rPr>
        <w:t xml:space="preserve">                 </w:t>
      </w:r>
      <w:r>
        <w:rPr>
          <w:rFonts w:hint="eastAsia" w:ascii="宋体" w:hAnsi="宋体" w:cs="宋体"/>
          <w:szCs w:val="21"/>
        </w:rPr>
        <w:t>（下称乙方）</w:t>
      </w:r>
    </w:p>
    <w:p>
      <w:pPr>
        <w:keepNext/>
        <w:keepLines/>
        <w:spacing w:line="360" w:lineRule="auto"/>
        <w:ind w:firstLine="420" w:firstLineChars="200"/>
        <w:jc w:val="left"/>
        <w:rPr>
          <w:rFonts w:ascii="宋体" w:hAnsi="宋体" w:cs="宋体"/>
          <w:szCs w:val="21"/>
        </w:rPr>
      </w:pPr>
      <w:r>
        <w:rPr>
          <w:rFonts w:hint="eastAsia" w:ascii="宋体" w:hAnsi="宋体" w:cs="宋体"/>
          <w:szCs w:val="21"/>
        </w:rPr>
        <w:t>甲乙双方就南沙金融大厦外墙施工服务签定此安全责任书，以确保施工过程中各项工作的顺利进行，防范安全事故，确定“谁施工谁负责”的原则，具体如下：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一、乙方人员进施工现场必须严格遵守甲方的各项安全制度和安全操作规程及消防管理规定。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二、乙方现场负责人必须每天在施工现场，对施工质量、安全防范及操作前的各项检查，如发生违章操作，不规范，不合格，乙方负一切责任。</w:t>
      </w:r>
    </w:p>
    <w:p>
      <w:pPr>
        <w:keepNext/>
        <w:keepLines/>
        <w:numPr>
          <w:ilvl w:val="0"/>
          <w:numId w:val="2"/>
        </w:numPr>
        <w:spacing w:line="360" w:lineRule="auto"/>
        <w:ind w:firstLine="420" w:firstLineChars="200"/>
        <w:jc w:val="left"/>
        <w:rPr>
          <w:rFonts w:ascii="宋体" w:hAnsi="宋体" w:cs="宋体"/>
          <w:szCs w:val="21"/>
        </w:rPr>
      </w:pPr>
      <w:r>
        <w:rPr>
          <w:rFonts w:hint="eastAsia" w:ascii="宋体" w:hAnsi="宋体" w:cs="宋体"/>
          <w:szCs w:val="21"/>
        </w:rPr>
        <w:t>乙方应自觉遵守金融大厦办公楼的管理制度，进入金融大厦时应配合门卫，履行登记手续，物品出门时应主动办理出门手续,详细登记携带物品的种类、数量，运送货物时严禁使用客用电梯。</w:t>
      </w:r>
    </w:p>
    <w:p>
      <w:pPr>
        <w:keepNext/>
        <w:keepLines/>
        <w:spacing w:line="360" w:lineRule="auto"/>
        <w:ind w:firstLine="420" w:firstLineChars="200"/>
        <w:jc w:val="left"/>
        <w:rPr>
          <w:rFonts w:ascii="宋体" w:hAnsi="宋体" w:cs="宋体"/>
          <w:szCs w:val="21"/>
        </w:rPr>
      </w:pPr>
      <w:r>
        <w:rPr>
          <w:rFonts w:hint="eastAsia" w:ascii="宋体" w:hAnsi="宋体" w:cs="宋体"/>
          <w:szCs w:val="21"/>
        </w:rPr>
        <w:t>四、乙方应主动接受物业保安安全检查，对检查中发现的问题和隐患，乙方必须在甲方规定的合理整改期限内予以解决整改，整改期间暂停与该问题和隐患相关的施工，待问题和隐患整改完毕后才能恢复相关的施工。禁止在非吸烟区内吸烟。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五、乙方操作人员必须持有效证件方可进行施工，施工中严禁酒后上岗。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六、施工中如发现安全隐患及发生安全事故，应及时采取必要措施，自行处理，不得使用甲方名称，不得涉及经济关系。甲方不负任何连带责任；若甲方对外承担相应的法律责任，乙方须给予甲方全额补偿，并赔偿由此给甲方造成的损失。</w:t>
      </w:r>
    </w:p>
    <w:p>
      <w:pPr>
        <w:keepNext/>
        <w:keepLines/>
        <w:spacing w:line="360" w:lineRule="auto"/>
        <w:ind w:firstLine="420" w:firstLineChars="200"/>
        <w:jc w:val="left"/>
        <w:rPr>
          <w:rFonts w:ascii="宋体" w:hAnsi="宋体" w:cs="宋体"/>
          <w:szCs w:val="21"/>
        </w:rPr>
      </w:pPr>
      <w:r>
        <w:rPr>
          <w:rFonts w:hint="eastAsia" w:ascii="宋体" w:hAnsi="宋体" w:cs="宋体"/>
          <w:szCs w:val="21"/>
        </w:rPr>
        <w:t>七、乙方须认真按照高空作业的安全操作规程施工，适用主绳、副绳双重保险，安全绳加防护套，乙方所用的吊索具必须符合国家安全规定及要求，严禁使用不合格品，并确保清洗施工中严格按照行业规范，保证施工人员的人身安全。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八、乙方认真按照高空作业的安全操作规程施工，以确保施工中的人身安全。 施工中对水、电、火的运用必须同甲方提前协商，确定使用程序及范围。 施工中严格按照甲方要求的具体时间及空间施工，以避免影响、打扰住户。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九、乙方须保障甲方各项设施、设备的完好。施工中如对甲方物品及设施损坏，将由乙方照实际价值赔偿及修复。进入楼内人员必须要保护好楼内各项物品，严禁破坏、乱画、乱拆等现象，若发现有上述现象，由乙方承担一切责任。</w:t>
      </w:r>
    </w:p>
    <w:p>
      <w:pPr>
        <w:keepNext/>
        <w:keepLines/>
        <w:spacing w:line="360" w:lineRule="auto"/>
        <w:ind w:firstLine="420" w:firstLineChars="200"/>
        <w:jc w:val="left"/>
        <w:rPr>
          <w:rFonts w:ascii="宋体" w:hAnsi="宋体" w:cs="宋体"/>
          <w:szCs w:val="21"/>
        </w:rPr>
      </w:pPr>
      <w:r>
        <w:rPr>
          <w:rFonts w:hint="eastAsia" w:ascii="宋体" w:hAnsi="宋体" w:cs="宋体"/>
          <w:szCs w:val="21"/>
        </w:rPr>
        <w:t>十、如发现安全隐患及发生安全事故，乙方应及时采取必要措施并及时报知甲方。 施工中造成人员伤亡事故，由乙方自行负责，甲方将不负连带责任。 </w:t>
      </w:r>
    </w:p>
    <w:p>
      <w:pPr>
        <w:keepNext/>
        <w:keepLines/>
        <w:spacing w:line="360" w:lineRule="auto"/>
        <w:ind w:firstLine="420" w:firstLineChars="200"/>
        <w:jc w:val="left"/>
        <w:rPr>
          <w:rFonts w:ascii="宋体" w:hAnsi="宋体" w:cs="宋体"/>
          <w:szCs w:val="21"/>
        </w:rPr>
      </w:pPr>
      <w:r>
        <w:rPr>
          <w:rFonts w:hint="eastAsia" w:ascii="宋体" w:hAnsi="宋体" w:cs="宋体"/>
          <w:szCs w:val="21"/>
        </w:rPr>
        <w:t>十一、乙方在施工前，须向甲方提供有效证件复印件包括：营业执照、人员高空操作证、员工保险单，所有资料施工完后不予退回，管理方备案存档。</w:t>
      </w:r>
    </w:p>
    <w:p>
      <w:pPr>
        <w:keepNext/>
        <w:keepLines/>
        <w:spacing w:line="360" w:lineRule="auto"/>
        <w:ind w:firstLine="420" w:firstLineChars="200"/>
        <w:jc w:val="left"/>
        <w:rPr>
          <w:rFonts w:ascii="宋体" w:hAnsi="宋体" w:cs="宋体"/>
          <w:szCs w:val="21"/>
        </w:rPr>
      </w:pPr>
      <w:r>
        <w:rPr>
          <w:rFonts w:hint="eastAsia" w:ascii="宋体" w:hAnsi="宋体" w:cs="宋体"/>
          <w:szCs w:val="21"/>
        </w:rPr>
        <w:t>十二、此责任书自签字之日起生效，责任书一式肆份，甲方持叁份乙方持壹份。  </w:t>
      </w:r>
    </w:p>
    <w:p>
      <w:pPr>
        <w:spacing w:line="360" w:lineRule="auto"/>
        <w:ind w:firstLine="420" w:firstLineChars="200"/>
        <w:jc w:val="left"/>
        <w:rPr>
          <w:rFonts w:ascii="宋体" w:hAnsi="宋体" w:cs="宋体"/>
          <w:szCs w:val="21"/>
        </w:rPr>
      </w:pPr>
    </w:p>
    <w:p>
      <w:pPr>
        <w:spacing w:line="360" w:lineRule="auto"/>
        <w:ind w:firstLine="420" w:firstLineChars="200"/>
        <w:jc w:val="left"/>
        <w:rPr>
          <w:rFonts w:ascii="宋体" w:hAnsi="宋体" w:cs="宋体"/>
          <w:szCs w:val="21"/>
        </w:rPr>
      </w:pPr>
    </w:p>
    <w:p>
      <w:pPr>
        <w:spacing w:line="360" w:lineRule="auto"/>
        <w:ind w:firstLine="420" w:firstLineChars="200"/>
        <w:jc w:val="left"/>
        <w:rPr>
          <w:rFonts w:ascii="宋体" w:hAnsi="宋体" w:cs="宋体"/>
          <w:szCs w:val="21"/>
        </w:rPr>
      </w:pPr>
      <w:r>
        <w:rPr>
          <w:rFonts w:hint="eastAsia" w:ascii="宋体" w:hAnsi="宋体" w:cs="宋体"/>
          <w:szCs w:val="21"/>
        </w:rPr>
        <w:t>甲方：                               乙方：</w:t>
      </w:r>
    </w:p>
    <w:p>
      <w:pPr>
        <w:keepNext/>
        <w:keepLines/>
        <w:spacing w:line="360" w:lineRule="auto"/>
        <w:ind w:firstLine="420" w:firstLineChars="200"/>
        <w:jc w:val="left"/>
        <w:rPr>
          <w:rFonts w:ascii="宋体" w:hAnsi="宋体" w:cs="宋体"/>
          <w:szCs w:val="21"/>
        </w:rPr>
      </w:pPr>
      <w:r>
        <w:rPr>
          <w:rFonts w:hint="eastAsia" w:ascii="宋体" w:hAnsi="宋体" w:cs="宋体"/>
          <w:szCs w:val="21"/>
        </w:rPr>
        <w:t>负责人（签字盖章）：                负责人（签字盖章）：    </w:t>
      </w:r>
    </w:p>
    <w:p>
      <w:pPr>
        <w:keepNext/>
        <w:keepLines/>
        <w:spacing w:line="360" w:lineRule="auto"/>
        <w:ind w:firstLine="560" w:firstLineChars="20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spacing w:line="440" w:lineRule="exact"/>
        <w:jc w:val="left"/>
        <w:rPr>
          <w:rFonts w:asciiTheme="minorEastAsia" w:hAnsiTheme="minorEastAsia" w:eastAsiaTheme="minorEastAsia" w:cstheme="minorEastAsia"/>
          <w:sz w:val="28"/>
          <w:szCs w:val="28"/>
        </w:rPr>
      </w:pPr>
    </w:p>
    <w:p>
      <w:pPr>
        <w:spacing w:line="540" w:lineRule="exact"/>
        <w:rPr>
          <w:rFonts w:ascii="宋体" w:hAnsi="宋体"/>
          <w:b/>
          <w:bCs/>
          <w:sz w:val="30"/>
          <w:szCs w:val="30"/>
        </w:rPr>
        <w:sectPr>
          <w:pgSz w:w="11906" w:h="16838"/>
          <w:pgMar w:top="1440" w:right="1800" w:bottom="1440" w:left="1800" w:header="851" w:footer="992" w:gutter="0"/>
          <w:cols w:space="425" w:num="1"/>
          <w:docGrid w:type="lines" w:linePitch="312" w:charSpace="0"/>
        </w:sectPr>
      </w:pPr>
    </w:p>
    <w:p>
      <w:pPr>
        <w:spacing w:line="540" w:lineRule="exact"/>
        <w:jc w:val="center"/>
        <w:rPr>
          <w:rFonts w:ascii="宋体" w:hAnsi="宋体"/>
          <w:b/>
          <w:bCs/>
          <w:sz w:val="30"/>
          <w:szCs w:val="30"/>
        </w:rPr>
      </w:pPr>
      <w:r>
        <w:rPr>
          <w:rFonts w:hint="eastAsia" w:ascii="宋体" w:hAnsi="宋体"/>
          <w:b/>
          <w:bCs/>
          <w:sz w:val="30"/>
          <w:szCs w:val="30"/>
        </w:rPr>
        <w:t>廉洁共建协议书</w:t>
      </w:r>
    </w:p>
    <w:p>
      <w:pPr>
        <w:spacing w:line="540" w:lineRule="exact"/>
        <w:rPr>
          <w:rFonts w:ascii="宋体" w:hAnsi="宋体"/>
        </w:rPr>
      </w:pPr>
    </w:p>
    <w:p>
      <w:pPr>
        <w:spacing w:line="540" w:lineRule="exact"/>
        <w:ind w:firstLine="42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甲方： </w:t>
      </w:r>
    </w:p>
    <w:p>
      <w:pPr>
        <w:spacing w:line="540" w:lineRule="exact"/>
        <w:ind w:firstLine="42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乙方：</w:t>
      </w:r>
    </w:p>
    <w:p>
      <w:pPr>
        <w:spacing w:line="540" w:lineRule="exact"/>
        <w:ind w:firstLine="426"/>
        <w:rPr>
          <w:rFonts w:ascii="宋体" w:hAnsi="宋体"/>
          <w:szCs w:val="24"/>
        </w:rPr>
      </w:pPr>
      <w:r>
        <w:rPr>
          <w:rFonts w:hint="eastAsia" w:ascii="宋体" w:hAnsi="宋体"/>
          <w:szCs w:val="24"/>
        </w:rPr>
        <w:t>为进一步密切甲、乙双方的业务合作关系，在业务往来中严格遵守国家有关法律法规和廉洁从业规定， 坚持公平、公开、公正、诚实信用的原则， 决不损害国家和企业利益。共同促进各自业务发展和廉政建设， 甲、乙双方签订《廉洁共建协议书》，具体内容如下：</w:t>
      </w:r>
    </w:p>
    <w:p>
      <w:pPr>
        <w:spacing w:line="540" w:lineRule="exact"/>
        <w:ind w:firstLine="426"/>
        <w:rPr>
          <w:rFonts w:ascii="宋体" w:hAnsi="宋体"/>
          <w:szCs w:val="24"/>
        </w:rPr>
      </w:pPr>
      <w:r>
        <w:rPr>
          <w:rFonts w:hint="eastAsia" w:ascii="宋体" w:hAnsi="宋体"/>
          <w:szCs w:val="24"/>
        </w:rPr>
        <w:t>一、甲、乙双方单位承诺：</w:t>
      </w:r>
    </w:p>
    <w:p>
      <w:pPr>
        <w:spacing w:line="540" w:lineRule="exact"/>
        <w:ind w:firstLine="426"/>
        <w:rPr>
          <w:rFonts w:ascii="宋体" w:hAnsi="宋体"/>
          <w:szCs w:val="24"/>
        </w:rPr>
      </w:pPr>
      <w:r>
        <w:rPr>
          <w:rFonts w:hint="eastAsia" w:ascii="宋体" w:hAnsi="宋体"/>
          <w:szCs w:val="24"/>
        </w:rPr>
        <w:t>1. 甲、乙双方人员不得利用双方的业务合作关系向对方人员收取任何 形式的好处费、回扣费和关系费；</w:t>
      </w:r>
    </w:p>
    <w:p>
      <w:pPr>
        <w:spacing w:line="540" w:lineRule="exact"/>
        <w:ind w:firstLine="426"/>
        <w:rPr>
          <w:rFonts w:ascii="宋体" w:hAnsi="宋体"/>
          <w:szCs w:val="24"/>
        </w:rPr>
      </w:pPr>
      <w:r>
        <w:rPr>
          <w:rFonts w:hint="eastAsia" w:ascii="宋体" w:hAnsi="宋体"/>
          <w:szCs w:val="24"/>
        </w:rPr>
        <w:t>2. 乙方决不向甲方工作人员(含工作人员的配偶、子女及亲属，下同) 馈赠礼品(包括但不限于现金、有价证券、支付凭证及贵重物品等)。</w:t>
      </w:r>
    </w:p>
    <w:p>
      <w:pPr>
        <w:spacing w:line="540" w:lineRule="exact"/>
        <w:ind w:firstLine="426"/>
        <w:rPr>
          <w:rFonts w:ascii="宋体" w:hAnsi="宋体"/>
          <w:szCs w:val="24"/>
        </w:rPr>
      </w:pPr>
      <w:r>
        <w:rPr>
          <w:rFonts w:hint="eastAsia" w:ascii="宋体" w:hAnsi="宋体"/>
          <w:szCs w:val="24"/>
        </w:rPr>
        <w:t>3. 乙方决不向甲方工作人员提供宴请、联谊活动、度假、旅游， 以及到营业性娱乐场所(包括但不限于营业性的歌厅、舞厅、卡拉 OK 厅、夜总 会、桑拿、高尔夫球等)消费。</w:t>
      </w:r>
    </w:p>
    <w:p>
      <w:pPr>
        <w:spacing w:line="540" w:lineRule="exact"/>
        <w:ind w:firstLine="426"/>
        <w:rPr>
          <w:rFonts w:ascii="宋体" w:hAnsi="宋体"/>
          <w:szCs w:val="24"/>
        </w:rPr>
      </w:pPr>
      <w:r>
        <w:rPr>
          <w:rFonts w:hint="eastAsia" w:ascii="宋体" w:hAnsi="宋体"/>
          <w:szCs w:val="24"/>
        </w:rPr>
        <w:t>4. 乙方决不为甲方工作人员安排工作， 以及支付应由甲方其个人自付的各种费用(包括但不限于住宅装修、婚丧嫁娶、旅游、独家、食宿、购 物、学费、子女出国留学等)。</w:t>
      </w:r>
    </w:p>
    <w:p>
      <w:pPr>
        <w:spacing w:line="540" w:lineRule="exact"/>
        <w:ind w:firstLine="426"/>
        <w:rPr>
          <w:rFonts w:ascii="宋体" w:hAnsi="宋体"/>
          <w:szCs w:val="24"/>
        </w:rPr>
      </w:pPr>
      <w:r>
        <w:rPr>
          <w:rFonts w:hint="eastAsia" w:ascii="宋体" w:hAnsi="宋体"/>
          <w:szCs w:val="24"/>
        </w:rPr>
        <w:t>5. 甲、乙双方人员发现有违反本承诺书行为倾向的， 应及时提醒纠正并向甲方的监督管理部门举报。</w:t>
      </w:r>
    </w:p>
    <w:p>
      <w:pPr>
        <w:spacing w:line="540" w:lineRule="exact"/>
        <w:ind w:firstLine="426"/>
        <w:rPr>
          <w:rFonts w:ascii="宋体" w:hAnsi="宋体"/>
          <w:szCs w:val="24"/>
        </w:rPr>
      </w:pPr>
      <w:r>
        <w:rPr>
          <w:rFonts w:hint="eastAsia" w:ascii="宋体" w:hAnsi="宋体"/>
          <w:szCs w:val="24"/>
        </w:rPr>
        <w:t>二、如发现乙方违反承诺， 经甲方监督部门认定违规事实后， 按照下列规定进行处罚。</w:t>
      </w:r>
    </w:p>
    <w:p>
      <w:pPr>
        <w:spacing w:line="540" w:lineRule="exact"/>
        <w:ind w:firstLine="426"/>
        <w:rPr>
          <w:rFonts w:ascii="宋体" w:hAnsi="宋体"/>
          <w:szCs w:val="24"/>
        </w:rPr>
      </w:pPr>
      <w:r>
        <w:rPr>
          <w:rFonts w:hint="eastAsia" w:ascii="宋体" w:hAnsi="宋体"/>
          <w:szCs w:val="24"/>
        </w:rPr>
        <w:t>1. 乙方同意按照违规项目合同总金额的 5%支付廉洁违约金。</w:t>
      </w:r>
    </w:p>
    <w:p>
      <w:pPr>
        <w:spacing w:line="540" w:lineRule="exact"/>
        <w:ind w:firstLine="426"/>
        <w:rPr>
          <w:rFonts w:ascii="宋体" w:hAnsi="宋体"/>
          <w:szCs w:val="24"/>
        </w:rPr>
      </w:pPr>
      <w:r>
        <w:rPr>
          <w:rFonts w:hint="eastAsia" w:ascii="宋体" w:hAnsi="宋体"/>
          <w:szCs w:val="24"/>
        </w:rPr>
        <w:t>2. 乙方的行为致使甲方工作人员违规的， 同意将乙方列入甲方供应商黑名单，三年丧失甲方供应商资格。</w:t>
      </w:r>
    </w:p>
    <w:p>
      <w:pPr>
        <w:spacing w:line="540" w:lineRule="exact"/>
        <w:ind w:firstLine="426"/>
        <w:rPr>
          <w:rFonts w:ascii="宋体" w:hAnsi="宋体"/>
          <w:szCs w:val="24"/>
        </w:rPr>
      </w:pPr>
      <w:r>
        <w:rPr>
          <w:rFonts w:hint="eastAsia" w:ascii="宋体" w:hAnsi="宋体"/>
          <w:szCs w:val="24"/>
        </w:rPr>
        <w:t>3. 乙方的行为致使甲方工作人员违法的，同意永远丧失甲方供应商资格。</w:t>
      </w:r>
    </w:p>
    <w:p>
      <w:pPr>
        <w:spacing w:line="540" w:lineRule="exact"/>
        <w:ind w:firstLine="426"/>
        <w:rPr>
          <w:rFonts w:ascii="宋体" w:hAnsi="宋体"/>
          <w:szCs w:val="24"/>
        </w:rPr>
      </w:pPr>
      <w:r>
        <w:rPr>
          <w:rFonts w:hint="eastAsia" w:ascii="宋体" w:hAnsi="宋体"/>
          <w:szCs w:val="24"/>
        </w:rPr>
        <w:t>三、本《廉洁共建协议书》一式伍份，</w:t>
      </w:r>
      <w:r>
        <w:rPr>
          <w:rFonts w:hint="eastAsia" w:ascii="宋体" w:hAnsi="宋体" w:cs="宋体"/>
          <w:spacing w:val="-7"/>
          <w:sz w:val="24"/>
          <w:szCs w:val="24"/>
        </w:rPr>
        <w:t>甲方执叁份、乙方执贰份</w:t>
      </w:r>
      <w:r>
        <w:rPr>
          <w:rFonts w:hint="eastAsia" w:ascii="宋体" w:hAnsi="宋体"/>
          <w:szCs w:val="24"/>
        </w:rPr>
        <w:t>， 经双方签字盖章后生效，并具有法律效益，由甲、乙双方共同负责监督执行。</w:t>
      </w:r>
    </w:p>
    <w:p>
      <w:pPr>
        <w:spacing w:line="540" w:lineRule="exact"/>
        <w:ind w:firstLine="426"/>
        <w:rPr>
          <w:rFonts w:ascii="宋体" w:hAnsi="宋体"/>
          <w:szCs w:val="24"/>
        </w:rPr>
      </w:pPr>
      <w:r>
        <w:rPr>
          <w:rFonts w:hint="eastAsia" w:ascii="宋体" w:hAnsi="宋体"/>
          <w:szCs w:val="24"/>
        </w:rPr>
        <w:t>四、甲方的含义：广州南沙资产经营集团有限公司</w:t>
      </w:r>
    </w:p>
    <w:p>
      <w:pPr>
        <w:spacing w:line="540" w:lineRule="exact"/>
        <w:ind w:firstLine="426"/>
        <w:rPr>
          <w:rFonts w:ascii="宋体" w:hAnsi="宋体"/>
          <w:szCs w:val="24"/>
        </w:rPr>
      </w:pPr>
      <w:r>
        <w:rPr>
          <w:rFonts w:hint="eastAsia" w:ascii="宋体" w:hAnsi="宋体"/>
          <w:szCs w:val="24"/>
        </w:rPr>
        <w:t>乙方的含义：与甲方签订合同、协议等形式的业务合作单位。</w:t>
      </w:r>
    </w:p>
    <w:p>
      <w:pPr>
        <w:spacing w:line="540" w:lineRule="exact"/>
        <w:ind w:firstLine="426"/>
        <w:rPr>
          <w:rFonts w:ascii="宋体" w:hAnsi="宋体"/>
          <w:szCs w:val="24"/>
        </w:rPr>
      </w:pPr>
      <w:r>
        <w:rPr>
          <w:rFonts w:hint="eastAsia" w:ascii="宋体" w:hAnsi="宋体"/>
          <w:szCs w:val="24"/>
        </w:rPr>
        <w:t>五、除非甲乙双方另行签订新的廉洁协议， 否则本廉洁协议在甲方与乙方存在业务关系期间均对双方产生约束力。</w:t>
      </w:r>
    </w:p>
    <w:p>
      <w:pPr>
        <w:spacing w:line="540" w:lineRule="exact"/>
        <w:ind w:firstLine="426"/>
        <w:rPr>
          <w:rFonts w:ascii="宋体" w:hAnsi="宋体"/>
        </w:rPr>
      </w:pPr>
    </w:p>
    <w:p>
      <w:pPr>
        <w:pStyle w:val="2"/>
      </w:pPr>
    </w:p>
    <w:p>
      <w:pPr>
        <w:tabs>
          <w:tab w:val="left" w:pos="6345"/>
        </w:tabs>
        <w:spacing w:line="480" w:lineRule="auto"/>
        <w:rPr>
          <w:szCs w:val="21"/>
        </w:rPr>
      </w:pPr>
      <w:r>
        <w:rPr>
          <w:rFonts w:hint="eastAsia"/>
          <w:szCs w:val="21"/>
        </w:rPr>
        <w:t xml:space="preserve">甲       方                                  </w:t>
      </w:r>
      <w:r>
        <w:rPr>
          <w:szCs w:val="21"/>
        </w:rPr>
        <w:t xml:space="preserve">         </w:t>
      </w:r>
      <w:r>
        <w:rPr>
          <w:rFonts w:hint="eastAsia"/>
          <w:szCs w:val="21"/>
        </w:rPr>
        <w:t>乙      方</w:t>
      </w:r>
    </w:p>
    <w:p>
      <w:pPr>
        <w:tabs>
          <w:tab w:val="left" w:pos="5040"/>
        </w:tabs>
        <w:spacing w:line="360" w:lineRule="auto"/>
        <w:ind w:left="1680" w:hanging="1680" w:hangingChars="800"/>
        <w:rPr>
          <w:sz w:val="18"/>
          <w:szCs w:val="18"/>
        </w:rPr>
      </w:pPr>
      <w:r>
        <w:rPr>
          <w:rFonts w:hint="eastAsia"/>
          <w:szCs w:val="21"/>
        </w:rPr>
        <w:t>单位名称（章）：</w:t>
      </w:r>
      <w:r>
        <w:rPr>
          <w:rFonts w:hint="eastAsia"/>
          <w:sz w:val="24"/>
          <w:szCs w:val="24"/>
        </w:rPr>
        <w:t xml:space="preserve">                            </w:t>
      </w:r>
      <w:r>
        <w:rPr>
          <w:rFonts w:hint="eastAsia"/>
          <w:sz w:val="18"/>
          <w:szCs w:val="18"/>
        </w:rPr>
        <w:t xml:space="preserve">      </w:t>
      </w:r>
      <w:r>
        <w:rPr>
          <w:rFonts w:hint="eastAsia"/>
          <w:szCs w:val="21"/>
        </w:rPr>
        <w:t xml:space="preserve">单位名称（章）： </w:t>
      </w:r>
      <w:r>
        <w:rPr>
          <w:szCs w:val="21"/>
        </w:rPr>
        <w:t xml:space="preserve">    </w:t>
      </w:r>
      <w:r>
        <w:rPr>
          <w:rFonts w:hint="eastAsia"/>
          <w:szCs w:val="21"/>
        </w:rPr>
        <w:t xml:space="preserve"> </w:t>
      </w:r>
    </w:p>
    <w:p>
      <w:pPr>
        <w:tabs>
          <w:tab w:val="left" w:pos="5040"/>
        </w:tabs>
        <w:spacing w:line="360" w:lineRule="auto"/>
        <w:rPr>
          <w:b/>
          <w:bCs/>
          <w:sz w:val="28"/>
          <w:szCs w:val="28"/>
        </w:rPr>
      </w:pPr>
      <w:r>
        <w:rPr>
          <w:rFonts w:hint="eastAsia"/>
          <w:szCs w:val="21"/>
        </w:rPr>
        <w:t>委托代理人：</w:t>
      </w:r>
      <w:r>
        <w:rPr>
          <w:rFonts w:hint="eastAsia"/>
          <w:szCs w:val="21"/>
        </w:rPr>
        <w:tab/>
      </w:r>
      <w:r>
        <w:rPr>
          <w:rFonts w:hint="eastAsia"/>
          <w:szCs w:val="21"/>
        </w:rPr>
        <w:t xml:space="preserve">      委托代理人：</w:t>
      </w:r>
      <w:r>
        <w:rPr>
          <w:rFonts w:hint="eastAsia"/>
          <w:b/>
          <w:bCs/>
          <w:sz w:val="28"/>
          <w:szCs w:val="28"/>
        </w:rPr>
        <w:t xml:space="preserve"> </w:t>
      </w:r>
    </w:p>
    <w:p/>
    <w:p>
      <w:pPr>
        <w:pStyle w:val="3"/>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宋体-18030">
    <w:altName w:val="微软雅黑"/>
    <w:panose1 w:val="00000000000000000000"/>
    <w:charset w:val="86"/>
    <w:family w:val="auto"/>
    <w:pitch w:val="default"/>
    <w:sig w:usb0="00000000" w:usb1="00000000" w:usb2="000A005E"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v/ZcawBAABNAwAADgAAAGRycy9lMm9Eb2MueG1srVPNjtMwEL4j8Q6W&#10;7zTZroS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Kv/ZcawBAABNAwAA&#10;DgAAAAAAAAABACAAAAAeAQAAZHJzL2Uyb0RvYy54bWxQSwUGAAAAAAYABgBZAQAAPAUAAAAA&#10;">
              <v:fill on="f" focussize="0,0"/>
              <v:stroke on="f"/>
              <v:imagedata o:title=""/>
              <o:lock v:ext="edit" aspectratio="f"/>
              <v:textbox inset="0mm,0mm,0mm,0mm" style="mso-fit-shape-to-text:t;">
                <w:txbxContent>
                  <w:p>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2</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3246AE"/>
    <w:multiLevelType w:val="singleLevel"/>
    <w:tmpl w:val="D43246AE"/>
    <w:lvl w:ilvl="0" w:tentative="0">
      <w:start w:val="3"/>
      <w:numFmt w:val="chineseCounting"/>
      <w:suff w:val="nothing"/>
      <w:lvlText w:val="%1、"/>
      <w:lvlJc w:val="left"/>
      <w:rPr>
        <w:rFonts w:hint="eastAsia"/>
      </w:rPr>
    </w:lvl>
  </w:abstractNum>
  <w:abstractNum w:abstractNumId="1">
    <w:nsid w:val="F34AFD1D"/>
    <w:multiLevelType w:val="singleLevel"/>
    <w:tmpl w:val="F34AFD1D"/>
    <w:lvl w:ilvl="0" w:tentative="0">
      <w:start w:val="9"/>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val="1"/>
  <w:bordersDoNotSurroundFooter w:val="1"/>
  <w:documentProtection w:enforcement="0"/>
  <w:defaultTabStop w:val="420"/>
  <w:drawingGridHorizontalSpacing w:val="105"/>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96"/>
    <w:rsid w:val="000617F6"/>
    <w:rsid w:val="00086F38"/>
    <w:rsid w:val="000E43D9"/>
    <w:rsid w:val="00181A67"/>
    <w:rsid w:val="002249B0"/>
    <w:rsid w:val="002537DD"/>
    <w:rsid w:val="0034649F"/>
    <w:rsid w:val="003B0567"/>
    <w:rsid w:val="00497396"/>
    <w:rsid w:val="004B4D7E"/>
    <w:rsid w:val="00512D05"/>
    <w:rsid w:val="0055485B"/>
    <w:rsid w:val="006A4433"/>
    <w:rsid w:val="00754A98"/>
    <w:rsid w:val="007A29B9"/>
    <w:rsid w:val="007F2F9B"/>
    <w:rsid w:val="00820B83"/>
    <w:rsid w:val="009027FD"/>
    <w:rsid w:val="00A25ED9"/>
    <w:rsid w:val="00A4286F"/>
    <w:rsid w:val="00A7412B"/>
    <w:rsid w:val="00AD01B2"/>
    <w:rsid w:val="00B0373F"/>
    <w:rsid w:val="00BB115F"/>
    <w:rsid w:val="00BC30AF"/>
    <w:rsid w:val="00BD7974"/>
    <w:rsid w:val="00C0244A"/>
    <w:rsid w:val="00C270A6"/>
    <w:rsid w:val="00CE76EE"/>
    <w:rsid w:val="00EA4780"/>
    <w:rsid w:val="00ED5A22"/>
    <w:rsid w:val="06C20ADF"/>
    <w:rsid w:val="06F07919"/>
    <w:rsid w:val="06F07DFC"/>
    <w:rsid w:val="094C38CB"/>
    <w:rsid w:val="09DE2288"/>
    <w:rsid w:val="0C2D6580"/>
    <w:rsid w:val="0D100A67"/>
    <w:rsid w:val="156452CB"/>
    <w:rsid w:val="15830E6E"/>
    <w:rsid w:val="17C47414"/>
    <w:rsid w:val="185A3660"/>
    <w:rsid w:val="18E12B64"/>
    <w:rsid w:val="1AB16087"/>
    <w:rsid w:val="1AEE197A"/>
    <w:rsid w:val="22487CF4"/>
    <w:rsid w:val="295E67EC"/>
    <w:rsid w:val="29E60310"/>
    <w:rsid w:val="2B6360E7"/>
    <w:rsid w:val="2CED6937"/>
    <w:rsid w:val="37571612"/>
    <w:rsid w:val="3BD610C4"/>
    <w:rsid w:val="3CEE5934"/>
    <w:rsid w:val="3E194709"/>
    <w:rsid w:val="40BB4DE9"/>
    <w:rsid w:val="461730AC"/>
    <w:rsid w:val="462A47C2"/>
    <w:rsid w:val="46851546"/>
    <w:rsid w:val="496A1874"/>
    <w:rsid w:val="4E845E9A"/>
    <w:rsid w:val="4EC33E0F"/>
    <w:rsid w:val="51C02B8C"/>
    <w:rsid w:val="53A230E5"/>
    <w:rsid w:val="546878D6"/>
    <w:rsid w:val="5A541765"/>
    <w:rsid w:val="5BB86F08"/>
    <w:rsid w:val="5E3F58D7"/>
    <w:rsid w:val="619A4BD2"/>
    <w:rsid w:val="65823605"/>
    <w:rsid w:val="679D1141"/>
    <w:rsid w:val="6A112190"/>
    <w:rsid w:val="6A362CE6"/>
    <w:rsid w:val="6C13111B"/>
    <w:rsid w:val="6DB500A1"/>
    <w:rsid w:val="70451A06"/>
    <w:rsid w:val="70906960"/>
    <w:rsid w:val="72A66B4E"/>
    <w:rsid w:val="791A05D1"/>
    <w:rsid w:val="7B75796A"/>
    <w:rsid w:val="7F100E32"/>
    <w:rsid w:val="7F394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4">
    <w:name w:val="annotation text"/>
    <w:basedOn w:val="1"/>
    <w:link w:val="26"/>
    <w:qFormat/>
    <w:uiPriority w:val="0"/>
    <w:pPr>
      <w:jc w:val="left"/>
    </w:pPr>
  </w:style>
  <w:style w:type="paragraph" w:styleId="5">
    <w:name w:val="Body Text 3"/>
    <w:basedOn w:val="1"/>
    <w:link w:val="29"/>
    <w:semiHidden/>
    <w:unhideWhenUsed/>
    <w:qFormat/>
    <w:uiPriority w:val="99"/>
    <w:pPr>
      <w:spacing w:after="120"/>
    </w:pPr>
    <w:rPr>
      <w:sz w:val="16"/>
      <w:szCs w:val="16"/>
    </w:rPr>
  </w:style>
  <w:style w:type="paragraph" w:styleId="6">
    <w:name w:val="Body Text"/>
    <w:basedOn w:val="1"/>
    <w:link w:val="23"/>
    <w:unhideWhenUsed/>
    <w:qFormat/>
    <w:uiPriority w:val="0"/>
    <w:pPr>
      <w:spacing w:after="120"/>
    </w:pPr>
  </w:style>
  <w:style w:type="paragraph" w:styleId="7">
    <w:name w:val="Plain Text"/>
    <w:basedOn w:val="1"/>
    <w:link w:val="25"/>
    <w:qFormat/>
    <w:uiPriority w:val="0"/>
    <w:rPr>
      <w:rFonts w:ascii="宋体" w:cs="Courier New" w:hAnsiTheme="minorHAnsi" w:eastAsiaTheme="minorEastAsia"/>
      <w:szCs w:val="21"/>
    </w:rPr>
  </w:style>
  <w:style w:type="paragraph" w:styleId="8">
    <w:name w:val="Date"/>
    <w:basedOn w:val="1"/>
    <w:next w:val="1"/>
    <w:link w:val="32"/>
    <w:qFormat/>
    <w:uiPriority w:val="0"/>
  </w:style>
  <w:style w:type="paragraph" w:styleId="9">
    <w:name w:val="footer"/>
    <w:basedOn w:val="1"/>
    <w:link w:val="21"/>
    <w:unhideWhenUsed/>
    <w:qFormat/>
    <w:uiPriority w:val="0"/>
    <w:pPr>
      <w:tabs>
        <w:tab w:val="center" w:pos="4153"/>
        <w:tab w:val="right" w:pos="8306"/>
      </w:tabs>
      <w:snapToGrid w:val="0"/>
      <w:jc w:val="left"/>
    </w:pPr>
    <w:rPr>
      <w:sz w:val="18"/>
      <w:szCs w:val="18"/>
    </w:rPr>
  </w:style>
  <w:style w:type="paragraph" w:styleId="10">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heme="minorHAnsi" w:hAnsiTheme="minorHAnsi" w:eastAsiaTheme="minorEastAsia" w:cstheme="minorBidi"/>
      <w:szCs w:val="24"/>
    </w:rPr>
  </w:style>
  <w:style w:type="paragraph" w:styleId="12">
    <w:name w:val="Body Text Indent 3"/>
    <w:basedOn w:val="1"/>
    <w:link w:val="28"/>
    <w:qFormat/>
    <w:uiPriority w:val="0"/>
    <w:pPr>
      <w:spacing w:after="120"/>
      <w:ind w:left="420" w:leftChars="200"/>
    </w:pPr>
    <w:rPr>
      <w:sz w:val="16"/>
      <w:szCs w:val="16"/>
    </w:rPr>
  </w:style>
  <w:style w:type="paragraph" w:styleId="13">
    <w:name w:val="toc 2"/>
    <w:basedOn w:val="1"/>
    <w:next w:val="1"/>
    <w:qFormat/>
    <w:uiPriority w:val="0"/>
    <w:pPr>
      <w:ind w:left="520"/>
      <w:jc w:val="left"/>
    </w:pPr>
    <w:rPr>
      <w:rFonts w:eastAsiaTheme="minorEastAsia" w:cstheme="minorBidi"/>
      <w:smallCaps/>
      <w:sz w:val="20"/>
    </w:rPr>
  </w:style>
  <w:style w:type="character" w:styleId="15">
    <w:name w:val="page number"/>
    <w:basedOn w:val="14"/>
    <w:qFormat/>
    <w:uiPriority w:val="0"/>
  </w:style>
  <w:style w:type="character" w:styleId="16">
    <w:name w:val="Hyperlink"/>
    <w:basedOn w:val="14"/>
    <w:qFormat/>
    <w:uiPriority w:val="0"/>
    <w:rPr>
      <w:color w:val="777777"/>
      <w:u w:val="none"/>
    </w:rPr>
  </w:style>
  <w:style w:type="character" w:styleId="17">
    <w:name w:val="annotation reference"/>
    <w:basedOn w:val="14"/>
    <w:qFormat/>
    <w:uiPriority w:val="0"/>
    <w:rPr>
      <w:sz w:val="21"/>
      <w:szCs w:val="21"/>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页眉 字符"/>
    <w:basedOn w:val="14"/>
    <w:link w:val="10"/>
    <w:qFormat/>
    <w:uiPriority w:val="0"/>
    <w:rPr>
      <w:sz w:val="18"/>
      <w:szCs w:val="18"/>
    </w:rPr>
  </w:style>
  <w:style w:type="character" w:customStyle="1" w:styleId="21">
    <w:name w:val="页脚 字符"/>
    <w:basedOn w:val="14"/>
    <w:link w:val="9"/>
    <w:qFormat/>
    <w:uiPriority w:val="99"/>
    <w:rPr>
      <w:sz w:val="18"/>
      <w:szCs w:val="18"/>
    </w:rPr>
  </w:style>
  <w:style w:type="character" w:customStyle="1" w:styleId="22">
    <w:name w:val="标题 1 字符"/>
    <w:basedOn w:val="14"/>
    <w:link w:val="2"/>
    <w:qFormat/>
    <w:uiPriority w:val="99"/>
    <w:rPr>
      <w:rFonts w:ascii="Times New Roman" w:hAnsi="Times New Roman" w:eastAsia="宋体" w:cs="Times New Roman"/>
      <w:b/>
      <w:bCs/>
      <w:kern w:val="44"/>
      <w:sz w:val="44"/>
      <w:szCs w:val="44"/>
    </w:rPr>
  </w:style>
  <w:style w:type="character" w:customStyle="1" w:styleId="23">
    <w:name w:val="正文文本 字符"/>
    <w:basedOn w:val="14"/>
    <w:link w:val="6"/>
    <w:qFormat/>
    <w:uiPriority w:val="0"/>
    <w:rPr>
      <w:rFonts w:ascii="Times New Roman" w:hAnsi="Times New Roman" w:eastAsia="宋体" w:cs="Times New Roman"/>
      <w:szCs w:val="20"/>
    </w:rPr>
  </w:style>
  <w:style w:type="character" w:customStyle="1" w:styleId="24">
    <w:name w:val="标题 2 字符"/>
    <w:basedOn w:val="14"/>
    <w:link w:val="3"/>
    <w:semiHidden/>
    <w:qFormat/>
    <w:uiPriority w:val="9"/>
    <w:rPr>
      <w:rFonts w:asciiTheme="majorHAnsi" w:hAnsiTheme="majorHAnsi" w:eastAsiaTheme="majorEastAsia" w:cstheme="majorBidi"/>
      <w:b/>
      <w:bCs/>
      <w:sz w:val="32"/>
      <w:szCs w:val="32"/>
    </w:rPr>
  </w:style>
  <w:style w:type="character" w:customStyle="1" w:styleId="25">
    <w:name w:val="纯文本 字符"/>
    <w:basedOn w:val="14"/>
    <w:link w:val="7"/>
    <w:qFormat/>
    <w:uiPriority w:val="0"/>
    <w:rPr>
      <w:rFonts w:ascii="宋体" w:cs="Courier New"/>
      <w:szCs w:val="21"/>
    </w:rPr>
  </w:style>
  <w:style w:type="character" w:customStyle="1" w:styleId="26">
    <w:name w:val="批注文字 字符"/>
    <w:basedOn w:val="14"/>
    <w:link w:val="4"/>
    <w:qFormat/>
    <w:uiPriority w:val="0"/>
    <w:rPr>
      <w:rFonts w:ascii="Times New Roman" w:hAnsi="Times New Roman" w:eastAsia="宋体" w:cs="Times New Roman"/>
      <w:szCs w:val="20"/>
    </w:rPr>
  </w:style>
  <w:style w:type="paragraph" w:styleId="27">
    <w:name w:val="List Paragraph"/>
    <w:basedOn w:val="1"/>
    <w:qFormat/>
    <w:uiPriority w:val="99"/>
    <w:pPr>
      <w:ind w:firstLine="420" w:firstLineChars="200"/>
    </w:pPr>
  </w:style>
  <w:style w:type="character" w:customStyle="1" w:styleId="28">
    <w:name w:val="正文文本缩进 3 字符"/>
    <w:basedOn w:val="14"/>
    <w:link w:val="12"/>
    <w:qFormat/>
    <w:uiPriority w:val="0"/>
    <w:rPr>
      <w:rFonts w:ascii="Times New Roman" w:hAnsi="Times New Roman" w:eastAsia="宋体" w:cs="Times New Roman"/>
      <w:sz w:val="16"/>
      <w:szCs w:val="16"/>
    </w:rPr>
  </w:style>
  <w:style w:type="character" w:customStyle="1" w:styleId="29">
    <w:name w:val="正文文本 3 字符"/>
    <w:basedOn w:val="14"/>
    <w:link w:val="5"/>
    <w:semiHidden/>
    <w:qFormat/>
    <w:uiPriority w:val="99"/>
    <w:rPr>
      <w:rFonts w:ascii="Times New Roman" w:hAnsi="Times New Roman" w:eastAsia="宋体" w:cs="Times New Roman"/>
      <w:sz w:val="16"/>
      <w:szCs w:val="16"/>
    </w:rPr>
  </w:style>
  <w:style w:type="character" w:customStyle="1" w:styleId="30">
    <w:name w:val="font41"/>
    <w:basedOn w:val="14"/>
    <w:qFormat/>
    <w:uiPriority w:val="0"/>
    <w:rPr>
      <w:rFonts w:hint="eastAsia" w:ascii="宋体" w:hAnsi="宋体" w:eastAsia="宋体" w:cs="宋体"/>
      <w:color w:val="000000"/>
      <w:sz w:val="21"/>
      <w:szCs w:val="21"/>
      <w:u w:val="none"/>
      <w:vertAlign w:val="superscript"/>
    </w:rPr>
  </w:style>
  <w:style w:type="character" w:customStyle="1" w:styleId="31">
    <w:name w:val="p141"/>
    <w:qFormat/>
    <w:uiPriority w:val="0"/>
    <w:rPr>
      <w:sz w:val="21"/>
      <w:szCs w:val="21"/>
    </w:rPr>
  </w:style>
  <w:style w:type="character" w:customStyle="1" w:styleId="32">
    <w:name w:val="日期 字符"/>
    <w:basedOn w:val="14"/>
    <w:link w:val="8"/>
    <w:qFormat/>
    <w:uiPriority w:val="0"/>
    <w:rPr>
      <w:rFonts w:ascii="Times New Roman" w:hAnsi="Times New Roman" w:eastAsia="宋体" w:cs="Times New Roman"/>
      <w:szCs w:val="20"/>
    </w:rPr>
  </w:style>
  <w:style w:type="paragraph" w:customStyle="1" w:styleId="33">
    <w:name w:val="修订1"/>
    <w:hidden/>
    <w:semiHidden/>
    <w:qFormat/>
    <w:uiPriority w:val="99"/>
    <w:rPr>
      <w:rFonts w:ascii="Times New Roman" w:hAnsi="Times New Roman" w:eastAsia="宋体" w:cs="Times New Roman"/>
      <w:kern w:val="2"/>
      <w:sz w:val="21"/>
      <w:lang w:val="en-US" w:eastAsia="zh-CN" w:bidi="ar-SA"/>
    </w:rPr>
  </w:style>
  <w:style w:type="paragraph" w:customStyle="1" w:styleId="34">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BA9793-8905-4BA4-9006-F484AF34357D}">
  <ds:schemaRefs/>
</ds:datastoreItem>
</file>

<file path=docProps/app.xml><?xml version="1.0" encoding="utf-8"?>
<Properties xmlns="http://schemas.openxmlformats.org/officeDocument/2006/extended-properties" xmlns:vt="http://schemas.openxmlformats.org/officeDocument/2006/docPropsVTypes">
  <Template>Normal</Template>
  <Pages>35</Pages>
  <Words>2181</Words>
  <Characters>12434</Characters>
  <Lines>103</Lines>
  <Paragraphs>29</Paragraphs>
  <TotalTime>19</TotalTime>
  <ScaleCrop>false</ScaleCrop>
  <LinksUpToDate>false</LinksUpToDate>
  <CharactersWithSpaces>14586</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2022-12-07T18:19:00Z</dcterms:created>
  <dc:creator>陈 小华</dc:creator>
  <cp:lastModifiedBy>加号</cp:lastModifiedBy>
  <cp:lastPrinted>2022-12-20T03:00:00Z</cp:lastPrinted>
  <dcterms:modified xsi:type="dcterms:W3CDTF">2022-12-28T09:31:28Z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y fmtid="{D5CDD505-2E9C-101B-9397-08002B2CF9AE}" pid="3" name="ICV">
    <vt:lpwstr>1C0D82581EA84210BC37CEE0CAB80860</vt:lpwstr>
  </property>
</Properties>
</file>