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spacing w:line="400" w:lineRule="exact"/>
        <w:rPr>
          <w:rFonts w:hint="eastAsia" w:ascii="方正小标宋简体" w:hAnsi="方正小标宋简体" w:eastAsia="方正小标宋简体" w:cs="方正小标宋简体"/>
          <w:sz w:val="44"/>
          <w:szCs w:val="44"/>
          <w:highlight w:val="none"/>
          <w:u w:val="single"/>
        </w:rPr>
      </w:pPr>
    </w:p>
    <w:p>
      <w:pPr>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sz w:val="44"/>
          <w:szCs w:val="44"/>
          <w:lang w:eastAsia="zh-CN"/>
        </w:rPr>
        <w:t>湿地景区科普长廊维修事项</w:t>
      </w:r>
      <w:r>
        <w:rPr>
          <w:rFonts w:hint="eastAsia" w:ascii="方正小标宋简体" w:hAnsi="方正小标宋简体" w:eastAsia="方正小标宋简体" w:cs="方正小标宋简体"/>
          <w:color w:val="auto"/>
          <w:sz w:val="44"/>
          <w:szCs w:val="44"/>
          <w:highlight w:val="none"/>
        </w:rPr>
        <w:t>总承包</w:t>
      </w:r>
    </w:p>
    <w:p>
      <w:pPr>
        <w:adjustRightInd w:val="0"/>
        <w:snapToGrid w:val="0"/>
        <w:spacing w:line="360" w:lineRule="auto"/>
        <w:jc w:val="center"/>
        <w:rPr>
          <w:rFonts w:ascii="黑体" w:eastAsia="黑体"/>
          <w:sz w:val="48"/>
          <w:szCs w:val="48"/>
          <w:highlight w:val="none"/>
        </w:rPr>
      </w:pPr>
    </w:p>
    <w:p>
      <w:pPr>
        <w:rPr>
          <w:sz w:val="28"/>
          <w:szCs w:val="28"/>
          <w:highlight w:val="none"/>
        </w:rPr>
      </w:pPr>
    </w:p>
    <w:p>
      <w:pPr>
        <w:rPr>
          <w:sz w:val="28"/>
          <w:szCs w:val="28"/>
          <w:highlight w:val="none"/>
        </w:rPr>
      </w:pPr>
    </w:p>
    <w:p>
      <w:pPr>
        <w:rPr>
          <w:sz w:val="28"/>
          <w:szCs w:val="28"/>
          <w:highlight w:val="none"/>
        </w:rPr>
      </w:pPr>
    </w:p>
    <w:p>
      <w:pPr>
        <w:jc w:val="center"/>
        <w:rPr>
          <w:rFonts w:ascii="黑体" w:eastAsia="黑体"/>
          <w:sz w:val="72"/>
          <w:szCs w:val="72"/>
          <w:highlight w:val="none"/>
        </w:rPr>
      </w:pPr>
      <w:r>
        <w:rPr>
          <w:rFonts w:hint="eastAsia" w:ascii="方正小标宋简体" w:hAnsi="方正小标宋简体" w:eastAsia="方正小标宋简体" w:cs="方正小标宋简体"/>
          <w:sz w:val="72"/>
          <w:szCs w:val="72"/>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hint="eastAsia" w:ascii="宋体" w:hAnsi="宋体" w:cs="宋体"/>
          <w:b/>
          <w:color w:val="auto"/>
          <w:sz w:val="30"/>
          <w:szCs w:val="30"/>
          <w:highlight w:val="none"/>
          <w:lang w:eastAsia="zh-CN"/>
        </w:rPr>
      </w:pPr>
      <w:bookmarkStart w:id="0" w:name="_Toc247527532"/>
      <w:bookmarkStart w:id="1" w:name="_Toc24129"/>
      <w:bookmarkStart w:id="2" w:name="_Toc24489"/>
      <w:bookmarkStart w:id="3" w:name="_Toc17935"/>
      <w:bookmarkStart w:id="4" w:name="_Toc726"/>
      <w:bookmarkStart w:id="5" w:name="_Toc144974478"/>
      <w:bookmarkStart w:id="6" w:name="_Toc19474"/>
      <w:bookmarkStart w:id="7" w:name="_Toc27659"/>
      <w:bookmarkStart w:id="8" w:name="_Toc152042286"/>
      <w:bookmarkStart w:id="9" w:name="_Toc300834926"/>
      <w:bookmarkStart w:id="10" w:name="_Toc494371510"/>
      <w:bookmarkStart w:id="11" w:name="_Toc28091"/>
      <w:bookmarkStart w:id="12" w:name="_Toc23644"/>
      <w:bookmarkStart w:id="13" w:name="_Toc363"/>
      <w:bookmarkStart w:id="14" w:name="_Toc20398"/>
      <w:r>
        <w:rPr>
          <w:rFonts w:hint="eastAsia" w:ascii="宋体" w:hAnsi="宋体" w:cs="宋体"/>
          <w:b/>
          <w:color w:val="auto"/>
          <w:sz w:val="30"/>
          <w:szCs w:val="30"/>
          <w:highlight w:val="none"/>
          <w:lang w:eastAsia="zh-CN"/>
        </w:rPr>
        <w:t>业主</w:t>
      </w:r>
      <w:r>
        <w:rPr>
          <w:rFonts w:hint="eastAsia" w:ascii="宋体" w:hAnsi="宋体" w:cs="宋体"/>
          <w:b/>
          <w:color w:val="auto"/>
          <w:sz w:val="30"/>
          <w:szCs w:val="30"/>
          <w:highlight w:val="none"/>
        </w:rPr>
        <w:t>单位</w:t>
      </w:r>
      <w:r>
        <w:rPr>
          <w:rFonts w:hint="eastAsia" w:ascii="宋体" w:hAnsi="宋体" w:cs="宋体"/>
          <w:b/>
          <w:color w:val="auto"/>
          <w:sz w:val="30"/>
          <w:szCs w:val="30"/>
          <w:highlight w:val="none"/>
          <w:lang w:eastAsia="zh-CN"/>
        </w:rPr>
        <w:t xml:space="preserve">：广州南沙湿地旅游发展有限公司 </w:t>
      </w:r>
    </w:p>
    <w:p>
      <w:pPr>
        <w:tabs>
          <w:tab w:val="left" w:pos="7067"/>
        </w:tabs>
        <w:spacing w:line="360" w:lineRule="auto"/>
        <w:ind w:firstLine="1506" w:firstLineChars="500"/>
        <w:rPr>
          <w:rFonts w:ascii="宋体" w:hAnsi="宋体" w:cs="宋体"/>
          <w:b/>
          <w:sz w:val="30"/>
          <w:szCs w:val="30"/>
          <w:highlight w:val="yellow"/>
        </w:rPr>
      </w:pPr>
      <w:r>
        <w:rPr>
          <w:rFonts w:hint="eastAsia" w:ascii="宋体" w:hAnsi="宋体" w:cs="宋体"/>
          <w:b/>
          <w:sz w:val="30"/>
          <w:szCs w:val="30"/>
          <w:highlight w:val="yellow"/>
        </w:rPr>
        <w:t>日    期：二〇二</w:t>
      </w:r>
      <w:r>
        <w:rPr>
          <w:rFonts w:hint="eastAsia" w:ascii="宋体" w:hAnsi="宋体" w:cs="宋体"/>
          <w:b/>
          <w:sz w:val="30"/>
          <w:szCs w:val="30"/>
          <w:highlight w:val="yellow"/>
          <w:lang w:val="en-US" w:eastAsia="zh-CN"/>
        </w:rPr>
        <w:t>三</w:t>
      </w:r>
      <w:r>
        <w:rPr>
          <w:rFonts w:hint="eastAsia" w:ascii="宋体" w:hAnsi="宋体" w:cs="宋体"/>
          <w:b/>
          <w:sz w:val="30"/>
          <w:szCs w:val="30"/>
          <w:highlight w:val="yellow"/>
        </w:rPr>
        <w:t>年</w:t>
      </w:r>
      <w:r>
        <w:rPr>
          <w:rFonts w:hint="eastAsia" w:ascii="宋体" w:hAnsi="宋体" w:cs="宋体"/>
          <w:b/>
          <w:sz w:val="30"/>
          <w:szCs w:val="30"/>
          <w:highlight w:val="yellow"/>
          <w:lang w:val="en-US" w:eastAsia="zh-CN"/>
        </w:rPr>
        <w:t>一</w:t>
      </w:r>
      <w:r>
        <w:rPr>
          <w:rFonts w:hint="eastAsia" w:ascii="宋体" w:hAnsi="宋体" w:cs="宋体"/>
          <w:b/>
          <w:sz w:val="30"/>
          <w:szCs w:val="30"/>
          <w:highlight w:val="yellow"/>
        </w:rPr>
        <w:t>月</w:t>
      </w:r>
    </w:p>
    <w:p>
      <w:pPr>
        <w:pStyle w:val="32"/>
        <w:ind w:firstLine="405"/>
        <w:jc w:val="center"/>
        <w:rPr>
          <w:b/>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highlight w:val="none"/>
        </w:rPr>
      </w:pPr>
      <w:bookmarkStart w:id="15"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6"/>
        <w:tabs>
          <w:tab w:val="right" w:leader="dot" w:pos="9411"/>
        </w:tabs>
        <w:rPr>
          <w:highlight w:val="none"/>
        </w:rPr>
      </w:pPr>
      <w:bookmarkStart w:id="16" w:name="_Toc247527533"/>
      <w:bookmarkStart w:id="17" w:name="_Toc247513932"/>
      <w:bookmarkStart w:id="18" w:name="_Toc144974479"/>
      <w:bookmarkStart w:id="19" w:name="_Toc152042287"/>
      <w:bookmarkStart w:id="20" w:name="_Toc152045511"/>
      <w:r>
        <w:rPr>
          <w:caps w:val="0"/>
          <w:sz w:val="28"/>
          <w:szCs w:val="28"/>
          <w:highlight w:val="none"/>
        </w:rPr>
        <w:fldChar w:fldCharType="begin"/>
      </w:r>
      <w:r>
        <w:rPr>
          <w:caps w:val="0"/>
          <w:sz w:val="28"/>
          <w:szCs w:val="28"/>
          <w:highlight w:val="none"/>
        </w:rPr>
        <w:instrText xml:space="preserve">TOC \o "1-2" \h \u </w:instrText>
      </w:r>
      <w:r>
        <w:rPr>
          <w:caps w:val="0"/>
          <w:sz w:val="28"/>
          <w:szCs w:val="28"/>
          <w:highlight w:val="none"/>
        </w:rPr>
        <w:fldChar w:fldCharType="separate"/>
      </w:r>
      <w:r>
        <w:rPr>
          <w:highlight w:val="none"/>
        </w:rPr>
        <w:fldChar w:fldCharType="begin"/>
      </w:r>
      <w:r>
        <w:rPr>
          <w:highlight w:val="none"/>
        </w:rPr>
        <w:instrText xml:space="preserve"> HYPERLINK \l "_Toc816" </w:instrText>
      </w:r>
      <w:r>
        <w:rPr>
          <w:highlight w:val="none"/>
        </w:rPr>
        <w:fldChar w:fldCharType="separate"/>
      </w:r>
      <w:r>
        <w:rPr>
          <w:rFonts w:hint="eastAsia"/>
          <w:highlight w:val="none"/>
        </w:rPr>
        <w:t>目录</w:t>
      </w:r>
      <w:r>
        <w:rPr>
          <w:highlight w:val="none"/>
        </w:rPr>
        <w:tab/>
      </w:r>
      <w:r>
        <w:rPr>
          <w:highlight w:val="none"/>
        </w:rPr>
        <w:fldChar w:fldCharType="begin"/>
      </w:r>
      <w:r>
        <w:rPr>
          <w:highlight w:val="none"/>
        </w:rPr>
        <w:instrText xml:space="preserve"> PAGEREF _Toc816 </w:instrText>
      </w:r>
      <w:r>
        <w:rPr>
          <w:highlight w:val="none"/>
        </w:rPr>
        <w:fldChar w:fldCharType="separate"/>
      </w:r>
      <w:r>
        <w:rPr>
          <w:highlight w:val="none"/>
        </w:rPr>
        <w:t>I</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"_Toc9829" </w:instrText>
      </w:r>
      <w:r>
        <w:rPr>
          <w:highlight w:val="none"/>
        </w:rPr>
        <w:fldChar w:fldCharType="separate"/>
      </w:r>
      <w:r>
        <w:rPr>
          <w:rFonts w:hint="eastAsia"/>
          <w:highlight w:val="none"/>
        </w:rPr>
        <w:t>第一卷</w:t>
      </w:r>
      <w:r>
        <w:rPr>
          <w:highlight w:val="none"/>
        </w:rPr>
        <w:tab/>
      </w:r>
      <w:r>
        <w:rPr>
          <w:highlight w:val="none"/>
        </w:rPr>
        <w:fldChar w:fldCharType="begin"/>
      </w:r>
      <w:r>
        <w:rPr>
          <w:highlight w:val="none"/>
        </w:rPr>
        <w:instrText xml:space="preserve"> PAGEREF _Toc9829 </w:instrText>
      </w:r>
      <w:r>
        <w:rPr>
          <w:highlight w:val="none"/>
        </w:rPr>
        <w:fldChar w:fldCharType="separate"/>
      </w:r>
      <w:r>
        <w:rPr>
          <w:highlight w:val="none"/>
        </w:rPr>
        <w:t>1</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"_Toc16845" </w:instrText>
      </w:r>
      <w:r>
        <w:rPr>
          <w:highlight w:val="none"/>
        </w:rPr>
        <w:fldChar w:fldCharType="separate"/>
      </w:r>
      <w:r>
        <w:rPr>
          <w:rFonts w:hint="eastAsia"/>
          <w:kern w:val="44"/>
          <w:szCs w:val="44"/>
          <w:highlight w:val="none"/>
        </w:rPr>
        <w:t>第一章招标公告（另册）</w:t>
      </w:r>
      <w:r>
        <w:rPr>
          <w:highlight w:val="none"/>
        </w:rPr>
        <w:tab/>
      </w:r>
      <w:r>
        <w:rPr>
          <w:highlight w:val="none"/>
        </w:rPr>
        <w:fldChar w:fldCharType="begin"/>
      </w:r>
      <w:r>
        <w:rPr>
          <w:highlight w:val="none"/>
        </w:rPr>
        <w:instrText xml:space="preserve"> PAGEREF _Toc16845 </w:instrText>
      </w:r>
      <w:r>
        <w:rPr>
          <w:highlight w:val="none"/>
        </w:rPr>
        <w:fldChar w:fldCharType="separate"/>
      </w:r>
      <w:r>
        <w:rPr>
          <w:highlight w:val="none"/>
        </w:rPr>
        <w:t>2</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"_Toc29549" </w:instrText>
      </w:r>
      <w:r>
        <w:rPr>
          <w:highlight w:val="none"/>
        </w:rPr>
        <w:fldChar w:fldCharType="separate"/>
      </w:r>
      <w:r>
        <w:rPr>
          <w:rFonts w:hint="eastAsia"/>
          <w:kern w:val="44"/>
          <w:szCs w:val="44"/>
          <w:highlight w:val="none"/>
        </w:rPr>
        <w:t>第二章投标人须知</w:t>
      </w:r>
      <w:r>
        <w:rPr>
          <w:highlight w:val="none"/>
        </w:rPr>
        <w:tab/>
      </w:r>
      <w:r>
        <w:rPr>
          <w:highlight w:val="none"/>
        </w:rPr>
        <w:fldChar w:fldCharType="begin"/>
      </w:r>
      <w:r>
        <w:rPr>
          <w:highlight w:val="none"/>
        </w:rPr>
        <w:instrText xml:space="preserve"> PAGEREF _Toc29549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"_Toc23094" </w:instrText>
      </w:r>
      <w:r>
        <w:rPr>
          <w:highlight w:val="none"/>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_Toc23094 </w:instrText>
      </w:r>
      <w:r>
        <w:rPr>
          <w:highlight w:val="none"/>
        </w:rPr>
        <w:fldChar w:fldCharType="separate"/>
      </w:r>
      <w:r>
        <w:rPr>
          <w:highlight w:val="none"/>
        </w:rPr>
        <w:t>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"_Toc23892" </w:instrText>
      </w:r>
      <w:r>
        <w:rPr>
          <w:highlight w:val="none"/>
        </w:rPr>
        <w:fldChar w:fldCharType="separate"/>
      </w:r>
      <w:r>
        <w:rPr>
          <w:highlight w:val="none"/>
        </w:rPr>
        <w:t xml:space="preserve">1. </w:t>
      </w:r>
      <w:r>
        <w:rPr>
          <w:rFonts w:hint="eastAsia"/>
          <w:highlight w:val="none"/>
        </w:rPr>
        <w:t>总则</w:t>
      </w:r>
      <w:r>
        <w:rPr>
          <w:highlight w:val="none"/>
        </w:rPr>
        <w:tab/>
      </w:r>
      <w:r>
        <w:rPr>
          <w:highlight w:val="none"/>
        </w:rPr>
        <w:fldChar w:fldCharType="begin"/>
      </w:r>
      <w:r>
        <w:rPr>
          <w:highlight w:val="none"/>
        </w:rPr>
        <w:instrText xml:space="preserve"> PAGEREF _Toc23892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"_Toc28224" </w:instrText>
      </w:r>
      <w:r>
        <w:rPr>
          <w:highlight w:val="none"/>
        </w:rPr>
        <w:fldChar w:fldCharType="separate"/>
      </w:r>
      <w:r>
        <w:rPr>
          <w:highlight w:val="none"/>
        </w:rPr>
        <w:t xml:space="preserve">2. </w:t>
      </w:r>
      <w:r>
        <w:rPr>
          <w:rFonts w:hint="eastAsia"/>
          <w:highlight w:val="none"/>
        </w:rPr>
        <w:t>招标文件</w:t>
      </w:r>
      <w:r>
        <w:rPr>
          <w:highlight w:val="none"/>
        </w:rPr>
        <w:tab/>
      </w:r>
      <w:r>
        <w:rPr>
          <w:highlight w:val="none"/>
        </w:rPr>
        <w:fldChar w:fldCharType="begin"/>
      </w:r>
      <w:r>
        <w:rPr>
          <w:highlight w:val="none"/>
        </w:rPr>
        <w:instrText xml:space="preserve"> PAGEREF _Toc28224 </w:instrText>
      </w:r>
      <w:r>
        <w:rPr>
          <w:highlight w:val="none"/>
        </w:rPr>
        <w:fldChar w:fldCharType="separate"/>
      </w:r>
      <w:r>
        <w:rPr>
          <w:highlight w:val="none"/>
        </w:rPr>
        <w:t>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"_Toc27286" </w:instrText>
      </w:r>
      <w:r>
        <w:rPr>
          <w:highlight w:val="none"/>
        </w:rPr>
        <w:fldChar w:fldCharType="separate"/>
      </w:r>
      <w:r>
        <w:rPr>
          <w:highlight w:val="none"/>
        </w:rPr>
        <w:t xml:space="preserve">3. </w:t>
      </w:r>
      <w:r>
        <w:rPr>
          <w:rFonts w:hint="eastAsia"/>
          <w:highlight w:val="none"/>
        </w:rPr>
        <w:t>投标文件</w:t>
      </w:r>
      <w:r>
        <w:rPr>
          <w:highlight w:val="none"/>
        </w:rPr>
        <w:tab/>
      </w:r>
      <w:r>
        <w:rPr>
          <w:highlight w:val="none"/>
        </w:rPr>
        <w:fldChar w:fldCharType="begin"/>
      </w:r>
      <w:r>
        <w:rPr>
          <w:highlight w:val="none"/>
        </w:rPr>
        <w:instrText xml:space="preserve"> PAGEREF _Toc27286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"_Toc11889"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_Toc11889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"_Toc9659"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_Toc9659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"_Toc28414" </w:instrText>
      </w:r>
      <w:r>
        <w:rPr>
          <w:highlight w:val="none"/>
        </w:rPr>
        <w:fldChar w:fldCharType="separate"/>
      </w:r>
      <w:r>
        <w:rPr>
          <w:highlight w:val="none"/>
        </w:rPr>
        <w:t xml:space="preserve">6. </w:t>
      </w:r>
      <w:r>
        <w:rPr>
          <w:rFonts w:hint="eastAsia"/>
          <w:highlight w:val="none"/>
        </w:rPr>
        <w:t>评标</w:t>
      </w:r>
      <w:r>
        <w:rPr>
          <w:highlight w:val="none"/>
        </w:rPr>
        <w:tab/>
      </w:r>
      <w:r>
        <w:rPr>
          <w:highlight w:val="none"/>
        </w:rPr>
        <w:fldChar w:fldCharType="begin"/>
      </w:r>
      <w:r>
        <w:rPr>
          <w:highlight w:val="none"/>
        </w:rPr>
        <w:instrText xml:space="preserve"> PAGEREF _Toc28414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"_Toc24255" </w:instrText>
      </w:r>
      <w:r>
        <w:rPr>
          <w:highlight w:val="none"/>
        </w:rPr>
        <w:fldChar w:fldCharType="separate"/>
      </w:r>
      <w:r>
        <w:rPr>
          <w:highlight w:val="none"/>
        </w:rPr>
        <w:t xml:space="preserve">7. </w:t>
      </w:r>
      <w:r>
        <w:rPr>
          <w:rFonts w:hint="eastAsia"/>
          <w:highlight w:val="none"/>
        </w:rPr>
        <w:t>合同授予</w:t>
      </w:r>
      <w:r>
        <w:rPr>
          <w:highlight w:val="none"/>
        </w:rPr>
        <w:tab/>
      </w:r>
      <w:r>
        <w:rPr>
          <w:highlight w:val="none"/>
        </w:rPr>
        <w:fldChar w:fldCharType="begin"/>
      </w:r>
      <w:r>
        <w:rPr>
          <w:highlight w:val="none"/>
        </w:rPr>
        <w:instrText xml:space="preserve"> PAGEREF _Toc24255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"_Toc25097" </w:instrText>
      </w:r>
      <w:r>
        <w:rPr>
          <w:highlight w:val="none"/>
        </w:rPr>
        <w:fldChar w:fldCharType="separate"/>
      </w:r>
      <w:r>
        <w:rPr>
          <w:highlight w:val="none"/>
        </w:rPr>
        <w:t>8</w:t>
      </w:r>
      <w:r>
        <w:rPr>
          <w:rFonts w:hint="eastAsia"/>
          <w:highlight w:val="none"/>
        </w:rPr>
        <w:t>. 纪律和监督</w:t>
      </w:r>
      <w:r>
        <w:rPr>
          <w:highlight w:val="none"/>
        </w:rPr>
        <w:tab/>
      </w:r>
      <w:r>
        <w:rPr>
          <w:highlight w:val="none"/>
        </w:rPr>
        <w:fldChar w:fldCharType="begin"/>
      </w:r>
      <w:r>
        <w:rPr>
          <w:highlight w:val="none"/>
        </w:rPr>
        <w:instrText xml:space="preserve"> PAGEREF _Toc25097 </w:instrText>
      </w:r>
      <w:r>
        <w:rPr>
          <w:highlight w:val="none"/>
        </w:rPr>
        <w:fldChar w:fldCharType="separate"/>
      </w:r>
      <w:r>
        <w:rPr>
          <w:highlight w:val="none"/>
        </w:rPr>
        <w:t>14</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"_Toc2189" </w:instrText>
      </w:r>
      <w:r>
        <w:rPr>
          <w:highlight w:val="none"/>
        </w:rPr>
        <w:fldChar w:fldCharType="separate"/>
      </w:r>
      <w:r>
        <w:rPr>
          <w:highlight w:val="none"/>
        </w:rPr>
        <w:t xml:space="preserve">9. </w:t>
      </w:r>
      <w:r>
        <w:rPr>
          <w:rFonts w:hint="eastAsia"/>
          <w:highlight w:val="none"/>
        </w:rPr>
        <w:t>需要补充的其他内容</w:t>
      </w:r>
      <w:r>
        <w:rPr>
          <w:highlight w:val="none"/>
        </w:rPr>
        <w:tab/>
      </w:r>
      <w:r>
        <w:rPr>
          <w:highlight w:val="none"/>
        </w:rPr>
        <w:fldChar w:fldCharType="begin"/>
      </w:r>
      <w:r>
        <w:rPr>
          <w:highlight w:val="none"/>
        </w:rPr>
        <w:instrText xml:space="preserve"> PAGEREF _Toc2189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"_Toc26793" </w:instrText>
      </w:r>
      <w:r>
        <w:rPr>
          <w:highlight w:val="none"/>
        </w:rPr>
        <w:fldChar w:fldCharType="separate"/>
      </w:r>
      <w:r>
        <w:rPr>
          <w:rFonts w:hint="eastAsia" w:ascii="宋体" w:hAnsi="宋体"/>
          <w:highlight w:val="none"/>
        </w:rPr>
        <w:t>第三章评标办法（</w:t>
      </w:r>
      <w:r>
        <w:rPr>
          <w:rFonts w:hint="eastAsia" w:ascii="宋体" w:hAnsi="宋体"/>
          <w:highlight w:val="none"/>
          <w:lang w:eastAsia="zh-CN"/>
        </w:rPr>
        <w:t>综合评分法</w:t>
      </w:r>
      <w:r>
        <w:rPr>
          <w:rFonts w:hint="eastAsia" w:ascii="宋体" w:hAnsi="宋体"/>
          <w:highlight w:val="none"/>
        </w:rPr>
        <w:t>）</w:t>
      </w:r>
      <w:r>
        <w:rPr>
          <w:highlight w:val="none"/>
        </w:rPr>
        <w:tab/>
      </w:r>
      <w:r>
        <w:rPr>
          <w:highlight w:val="none"/>
        </w:rPr>
        <w:fldChar w:fldCharType="begin"/>
      </w:r>
      <w:r>
        <w:rPr>
          <w:highlight w:val="none"/>
        </w:rPr>
        <w:instrText xml:space="preserve"> PAGEREF _Toc26793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"_Toc14287" </w:instrText>
      </w:r>
      <w:r>
        <w:rPr>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_Toc14287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"_Toc16222" </w:instrText>
      </w:r>
      <w:r>
        <w:rPr>
          <w:highlight w:val="none"/>
        </w:rPr>
        <w:fldChar w:fldCharType="separate"/>
      </w:r>
      <w:r>
        <w:rPr>
          <w:rFonts w:ascii="宋体" w:hAnsi="宋体"/>
          <w:highlight w:val="none"/>
        </w:rPr>
        <w:t xml:space="preserve">1. </w:t>
      </w:r>
      <w:r>
        <w:rPr>
          <w:rFonts w:hint="eastAsia" w:ascii="宋体" w:hAnsi="宋体"/>
          <w:highlight w:val="none"/>
        </w:rPr>
        <w:t>评标方法</w:t>
      </w:r>
      <w:r>
        <w:rPr>
          <w:highlight w:val="none"/>
        </w:rPr>
        <w:tab/>
      </w:r>
      <w:r>
        <w:rPr>
          <w:highlight w:val="none"/>
        </w:rPr>
        <w:fldChar w:fldCharType="begin"/>
      </w:r>
      <w:r>
        <w:rPr>
          <w:highlight w:val="none"/>
        </w:rPr>
        <w:instrText xml:space="preserve"> PAGEREF _Toc16222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"_Toc16219" </w:instrText>
      </w:r>
      <w:r>
        <w:rPr>
          <w:highlight w:val="none"/>
        </w:rPr>
        <w:fldChar w:fldCharType="separate"/>
      </w:r>
      <w:r>
        <w:rPr>
          <w:rFonts w:ascii="宋体" w:hAnsi="宋体"/>
          <w:highlight w:val="none"/>
        </w:rPr>
        <w:t xml:space="preserve">2. </w:t>
      </w:r>
      <w:r>
        <w:rPr>
          <w:rFonts w:hint="eastAsia" w:ascii="宋体" w:hAnsi="宋体"/>
          <w:highlight w:val="none"/>
        </w:rPr>
        <w:t>评审标准</w:t>
      </w:r>
      <w:r>
        <w:rPr>
          <w:highlight w:val="none"/>
        </w:rPr>
        <w:tab/>
      </w:r>
      <w:r>
        <w:rPr>
          <w:highlight w:val="none"/>
        </w:rPr>
        <w:fldChar w:fldCharType="begin"/>
      </w:r>
      <w:r>
        <w:rPr>
          <w:highlight w:val="none"/>
        </w:rPr>
        <w:instrText xml:space="preserve"> PAGEREF _Toc16219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"_Toc23123" </w:instrText>
      </w:r>
      <w:r>
        <w:rPr>
          <w:highlight w:val="none"/>
        </w:rPr>
        <w:fldChar w:fldCharType="separate"/>
      </w:r>
      <w:r>
        <w:rPr>
          <w:rFonts w:ascii="宋体" w:hAnsi="宋体"/>
          <w:highlight w:val="none"/>
        </w:rPr>
        <w:t xml:space="preserve">3. </w:t>
      </w:r>
      <w:r>
        <w:rPr>
          <w:rFonts w:hint="eastAsia" w:ascii="宋体" w:hAnsi="宋体"/>
          <w:highlight w:val="none"/>
        </w:rPr>
        <w:t>评标程序</w:t>
      </w:r>
      <w:r>
        <w:rPr>
          <w:highlight w:val="none"/>
        </w:rPr>
        <w:tab/>
      </w:r>
      <w:r>
        <w:rPr>
          <w:highlight w:val="none"/>
        </w:rPr>
        <w:fldChar w:fldCharType="begin"/>
      </w:r>
      <w:r>
        <w:rPr>
          <w:highlight w:val="none"/>
        </w:rPr>
        <w:instrText xml:space="preserve"> PAGEREF _Toc23123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9411"/>
        </w:tabs>
        <w:rPr>
          <w:highlight w:val="none"/>
        </w:rPr>
      </w:pPr>
      <w:r>
        <w:rPr>
          <w:highlight w:val="none"/>
        </w:rPr>
        <w:fldChar w:fldCharType="begin"/>
      </w:r>
      <w:r>
        <w:rPr>
          <w:highlight w:val="none"/>
        </w:rPr>
        <w:instrText xml:space="preserve"> HYPERLINK \l "_Toc23502" </w:instrText>
      </w:r>
      <w:r>
        <w:rPr>
          <w:highlight w:val="none"/>
        </w:rPr>
        <w:fldChar w:fldCharType="separate"/>
      </w:r>
      <w:r>
        <w:rPr>
          <w:rFonts w:ascii="宋体" w:hAnsi="宋体"/>
          <w:highlight w:val="none"/>
        </w:rPr>
        <w:t xml:space="preserve">4. </w:t>
      </w:r>
      <w:r>
        <w:rPr>
          <w:rFonts w:hint="eastAsia" w:ascii="宋体" w:hAnsi="宋体"/>
          <w:highlight w:val="none"/>
        </w:rPr>
        <w:t>评标表格</w:t>
      </w:r>
      <w:r>
        <w:rPr>
          <w:highlight w:val="none"/>
        </w:rPr>
        <w:tab/>
      </w:r>
      <w:r>
        <w:rPr>
          <w:highlight w:val="none"/>
        </w:rPr>
        <w:fldChar w:fldCharType="begin"/>
      </w:r>
      <w:r>
        <w:rPr>
          <w:highlight w:val="none"/>
        </w:rPr>
        <w:instrText xml:space="preserve"> PAGEREF _Toc23502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"_Toc13990" </w:instrText>
      </w:r>
      <w:r>
        <w:rPr>
          <w:highlight w:val="none"/>
        </w:rPr>
        <w:fldChar w:fldCharType="separate"/>
      </w:r>
      <w:r>
        <w:rPr>
          <w:rFonts w:hint="eastAsia"/>
          <w:highlight w:val="none"/>
        </w:rPr>
        <w:t>第四章合同条款及格式（另册）</w:t>
      </w:r>
      <w:r>
        <w:rPr>
          <w:highlight w:val="none"/>
        </w:rPr>
        <w:tab/>
      </w:r>
      <w:r>
        <w:rPr>
          <w:highlight w:val="none"/>
        </w:rPr>
        <w:fldChar w:fldCharType="begin"/>
      </w:r>
      <w:r>
        <w:rPr>
          <w:highlight w:val="none"/>
        </w:rPr>
        <w:instrText xml:space="preserve"> PAGEREF _Toc13990 </w:instrText>
      </w:r>
      <w:r>
        <w:rPr>
          <w:highlight w:val="none"/>
        </w:rPr>
        <w:fldChar w:fldCharType="separate"/>
      </w:r>
      <w:r>
        <w:rPr>
          <w:highlight w:val="none"/>
        </w:rPr>
        <w:t>31</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"_Toc17655" </w:instrText>
      </w:r>
      <w:r>
        <w:rPr>
          <w:highlight w:val="none"/>
        </w:rPr>
        <w:fldChar w:fldCharType="separate"/>
      </w:r>
      <w:r>
        <w:rPr>
          <w:rFonts w:hint="eastAsia"/>
          <w:highlight w:val="none"/>
        </w:rPr>
        <w:t>第二卷</w:t>
      </w:r>
      <w:r>
        <w:rPr>
          <w:highlight w:val="none"/>
        </w:rPr>
        <w:tab/>
      </w:r>
      <w:r>
        <w:rPr>
          <w:highlight w:val="none"/>
        </w:rPr>
        <w:fldChar w:fldCharType="begin"/>
      </w:r>
      <w:r>
        <w:rPr>
          <w:highlight w:val="none"/>
        </w:rPr>
        <w:instrText xml:space="preserve"> PAGEREF _Toc17655 </w:instrText>
      </w:r>
      <w:r>
        <w:rPr>
          <w:highlight w:val="none"/>
        </w:rPr>
        <w:fldChar w:fldCharType="separate"/>
      </w:r>
      <w:r>
        <w:rPr>
          <w:highlight w:val="none"/>
        </w:rPr>
        <w:t>32</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"_Toc18278" </w:instrText>
      </w:r>
      <w:r>
        <w:rPr>
          <w:highlight w:val="none"/>
        </w:rPr>
        <w:fldChar w:fldCharType="separate"/>
      </w:r>
      <w:r>
        <w:rPr>
          <w:rFonts w:hint="eastAsia"/>
          <w:highlight w:val="none"/>
        </w:rPr>
        <w:t xml:space="preserve">第五章 </w:t>
      </w:r>
      <w:r>
        <w:rPr>
          <w:rFonts w:hint="eastAsia" w:ascii="Times New Roman" w:hAnsi="Times New Roman"/>
          <w:highlight w:val="none"/>
        </w:rPr>
        <w:t>发包人要求（另册）</w:t>
      </w:r>
      <w:r>
        <w:rPr>
          <w:highlight w:val="none"/>
        </w:rPr>
        <w:tab/>
      </w:r>
      <w:r>
        <w:rPr>
          <w:highlight w:val="none"/>
        </w:rPr>
        <w:fldChar w:fldCharType="begin"/>
      </w:r>
      <w:r>
        <w:rPr>
          <w:highlight w:val="none"/>
        </w:rPr>
        <w:instrText xml:space="preserve"> PAGEREF _Toc18278 </w:instrText>
      </w:r>
      <w:r>
        <w:rPr>
          <w:highlight w:val="none"/>
        </w:rPr>
        <w:fldChar w:fldCharType="separate"/>
      </w:r>
      <w:r>
        <w:rPr>
          <w:highlight w:val="none"/>
        </w:rPr>
        <w:t>33</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"_Toc23074" </w:instrText>
      </w:r>
      <w:r>
        <w:rPr>
          <w:highlight w:val="none"/>
        </w:rPr>
        <w:fldChar w:fldCharType="separate"/>
      </w:r>
      <w:r>
        <w:rPr>
          <w:rFonts w:hint="eastAsia" w:ascii="Times New Roman" w:hAnsi="Times New Roman"/>
          <w:highlight w:val="none"/>
        </w:rPr>
        <w:t>第六章 发包人提供的资料（另册）</w:t>
      </w:r>
      <w:r>
        <w:rPr>
          <w:highlight w:val="none"/>
        </w:rPr>
        <w:tab/>
      </w:r>
      <w:r>
        <w:rPr>
          <w:highlight w:val="none"/>
        </w:rPr>
        <w:fldChar w:fldCharType="begin"/>
      </w:r>
      <w:r>
        <w:rPr>
          <w:highlight w:val="none"/>
        </w:rPr>
        <w:instrText xml:space="preserve"> PAGEREF _Toc23074 </w:instrText>
      </w:r>
      <w:r>
        <w:rPr>
          <w:highlight w:val="none"/>
        </w:rPr>
        <w:fldChar w:fldCharType="separate"/>
      </w:r>
      <w:r>
        <w:rPr>
          <w:highlight w:val="none"/>
        </w:rPr>
        <w:t>34</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"_Toc11589" </w:instrText>
      </w:r>
      <w:r>
        <w:rPr>
          <w:highlight w:val="none"/>
        </w:rPr>
        <w:fldChar w:fldCharType="separate"/>
      </w:r>
      <w:r>
        <w:rPr>
          <w:rFonts w:hint="eastAsia"/>
          <w:highlight w:val="none"/>
        </w:rPr>
        <w:t>第三卷</w:t>
      </w:r>
      <w:r>
        <w:rPr>
          <w:highlight w:val="none"/>
        </w:rPr>
        <w:tab/>
      </w:r>
      <w:r>
        <w:rPr>
          <w:highlight w:val="none"/>
        </w:rPr>
        <w:fldChar w:fldCharType="begin"/>
      </w:r>
      <w:r>
        <w:rPr>
          <w:highlight w:val="none"/>
        </w:rPr>
        <w:instrText xml:space="preserve"> PAGEREF _Toc11589 </w:instrText>
      </w:r>
      <w:r>
        <w:rPr>
          <w:highlight w:val="none"/>
        </w:rPr>
        <w:fldChar w:fldCharType="separate"/>
      </w:r>
      <w:r>
        <w:rPr>
          <w:highlight w:val="none"/>
        </w:rPr>
        <w:t>35</w:t>
      </w:r>
      <w:r>
        <w:rPr>
          <w:highlight w:val="none"/>
        </w:rPr>
        <w:fldChar w:fldCharType="end"/>
      </w:r>
      <w:r>
        <w:rPr>
          <w:highlight w:val="none"/>
        </w:rPr>
        <w:fldChar w:fldCharType="end"/>
      </w:r>
    </w:p>
    <w:p>
      <w:pPr>
        <w:pStyle w:val="26"/>
        <w:tabs>
          <w:tab w:val="right" w:leader="dot" w:pos="9411"/>
        </w:tabs>
        <w:rPr>
          <w:highlight w:val="none"/>
        </w:rPr>
      </w:pPr>
      <w:r>
        <w:rPr>
          <w:highlight w:val="none"/>
        </w:rPr>
        <w:fldChar w:fldCharType="begin"/>
      </w:r>
      <w:r>
        <w:rPr>
          <w:highlight w:val="none"/>
        </w:rPr>
        <w:instrText xml:space="preserve"> HYPERLINK \l "_Toc17793" </w:instrText>
      </w:r>
      <w:r>
        <w:rPr>
          <w:highlight w:val="none"/>
        </w:rPr>
        <w:fldChar w:fldCharType="separate"/>
      </w:r>
      <w:r>
        <w:rPr>
          <w:rFonts w:hint="eastAsia"/>
          <w:highlight w:val="none"/>
        </w:rPr>
        <w:t>第七章投标文件格式</w:t>
      </w:r>
      <w:r>
        <w:rPr>
          <w:highlight w:val="none"/>
        </w:rPr>
        <w:tab/>
      </w:r>
      <w:r>
        <w:rPr>
          <w:highlight w:val="none"/>
        </w:rPr>
        <w:fldChar w:fldCharType="begin"/>
      </w:r>
      <w:r>
        <w:rPr>
          <w:highlight w:val="none"/>
        </w:rPr>
        <w:instrText xml:space="preserve"> PAGEREF _Toc17793 </w:instrText>
      </w:r>
      <w:r>
        <w:rPr>
          <w:highlight w:val="none"/>
        </w:rPr>
        <w:fldChar w:fldCharType="separate"/>
      </w:r>
      <w:r>
        <w:rPr>
          <w:highlight w:val="none"/>
        </w:rPr>
        <w:t>36</w:t>
      </w:r>
      <w:r>
        <w:rPr>
          <w:highlight w:val="none"/>
        </w:rPr>
        <w:fldChar w:fldCharType="end"/>
      </w:r>
      <w:r>
        <w:rPr>
          <w:highlight w:val="none"/>
        </w:rPr>
        <w:fldChar w:fldCharType="end"/>
      </w:r>
    </w:p>
    <w:p>
      <w:pPr>
        <w:pStyle w:val="3"/>
        <w:rPr>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szCs w:val="28"/>
          <w:highlight w:val="none"/>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1" w:name="_Toc20772"/>
      <w:bookmarkStart w:id="22" w:name="_Toc3317"/>
      <w:bookmarkStart w:id="23" w:name="_Toc300834927"/>
      <w:bookmarkStart w:id="24" w:name="_Toc1856"/>
      <w:bookmarkStart w:id="25" w:name="_Toc6648"/>
      <w:bookmarkStart w:id="26" w:name="_Toc23631"/>
      <w:bookmarkStart w:id="27" w:name="_Toc24226"/>
      <w:bookmarkStart w:id="28" w:name="_Toc9829"/>
      <w:bookmarkStart w:id="29" w:name="_Toc14632"/>
      <w:bookmarkStart w:id="30" w:name="_Toc494371511"/>
      <w:bookmarkStart w:id="31" w:name="_Toc11363"/>
      <w:bookmarkStart w:id="32" w:name="_Toc5664"/>
      <w:bookmarkStart w:id="33" w:name="_Toc11431"/>
      <w:r>
        <w:rPr>
          <w:rFonts w:hint="eastAsia"/>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sz w:val="24"/>
          <w:highlight w:val="none"/>
        </w:rPr>
      </w:pPr>
      <w:bookmarkStart w:id="34" w:name="_Toc300834928"/>
      <w:bookmarkStart w:id="35" w:name="_Toc247527534"/>
      <w:bookmarkStart w:id="36" w:name="_Toc247513933"/>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7" w:name="_Toc494371512"/>
      <w:bookmarkStart w:id="38" w:name="_Toc9002"/>
      <w:bookmarkStart w:id="39" w:name="_Toc7403"/>
      <w:bookmarkStart w:id="40" w:name="_Toc7616"/>
      <w:bookmarkStart w:id="41" w:name="_Toc7717"/>
      <w:bookmarkStart w:id="42" w:name="_Toc28981"/>
      <w:bookmarkStart w:id="43" w:name="_Toc16845"/>
      <w:r>
        <w:rPr>
          <w:rFonts w:hint="eastAsia"/>
          <w:b/>
          <w:bCs/>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kern w:val="44"/>
          <w:sz w:val="44"/>
          <w:szCs w:val="44"/>
          <w:highlight w:val="none"/>
        </w:rPr>
      </w:pPr>
      <w:bookmarkStart w:id="44" w:name="_Toc144974495"/>
      <w:bookmarkStart w:id="45" w:name="_Toc152042303"/>
      <w:bookmarkStart w:id="46" w:name="_Toc20453"/>
      <w:bookmarkStart w:id="47" w:name="_Toc300834947"/>
      <w:bookmarkStart w:id="48" w:name="_Toc152045527"/>
      <w:bookmarkStart w:id="49" w:name="_Toc247527551"/>
      <w:bookmarkStart w:id="50" w:name="_Toc18861"/>
      <w:bookmarkStart w:id="51" w:name="_Toc1178"/>
      <w:bookmarkStart w:id="52" w:name="_Toc247513950"/>
      <w:r>
        <w:rPr>
          <w:b/>
          <w:bCs/>
          <w:kern w:val="44"/>
          <w:sz w:val="44"/>
          <w:szCs w:val="44"/>
          <w:highlight w:val="none"/>
        </w:rPr>
        <w:br w:type="page"/>
      </w:r>
      <w:bookmarkStart w:id="53" w:name="_Toc494371513"/>
      <w:bookmarkStart w:id="54" w:name="_Toc21868"/>
      <w:bookmarkStart w:id="55" w:name="_Toc27217"/>
      <w:bookmarkStart w:id="56" w:name="_Toc9024"/>
      <w:bookmarkStart w:id="57" w:name="_Toc25745"/>
      <w:bookmarkStart w:id="58" w:name="_Toc15284"/>
      <w:bookmarkStart w:id="59" w:name="_Toc29549"/>
      <w:bookmarkStart w:id="60" w:name="_Toc3615"/>
      <w:bookmarkStart w:id="61" w:name="_Toc8440"/>
      <w:r>
        <w:rPr>
          <w:rFonts w:hint="eastAsia"/>
          <w:b/>
          <w:bCs/>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highlight w:val="none"/>
        </w:rPr>
      </w:pPr>
      <w:bookmarkStart w:id="62" w:name="_Toc24688"/>
      <w:bookmarkStart w:id="63" w:name="_Toc3039"/>
      <w:bookmarkStart w:id="64" w:name="_Toc15181"/>
      <w:bookmarkStart w:id="65" w:name="_Toc144974496"/>
      <w:bookmarkStart w:id="66" w:name="_Toc152042304"/>
      <w:bookmarkStart w:id="67" w:name="_Toc23094"/>
      <w:bookmarkStart w:id="68" w:name="_Toc20316"/>
      <w:bookmarkStart w:id="69" w:name="_Toc2677"/>
      <w:bookmarkStart w:id="70" w:name="_Toc247513951"/>
      <w:bookmarkStart w:id="71" w:name="_Toc25706"/>
      <w:bookmarkStart w:id="72" w:name="_Toc23877"/>
      <w:bookmarkStart w:id="73" w:name="_Toc24123"/>
      <w:bookmarkStart w:id="74" w:name="_Toc16066"/>
      <w:bookmarkStart w:id="75" w:name="_Toc12687"/>
      <w:bookmarkStart w:id="76" w:name="_Toc494371514"/>
      <w:bookmarkStart w:id="77" w:name="_Toc300834948"/>
      <w:bookmarkStart w:id="78" w:name="_Toc152045528"/>
      <w:bookmarkStart w:id="79" w:name="_Toc247527552"/>
      <w:bookmarkStart w:id="80" w:name="_Toc19769"/>
      <w:r>
        <w:rPr>
          <w:rFonts w:hint="eastAsia"/>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8"/>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highlight w:val="none"/>
              </w:rPr>
              <w:t>招标单位</w:t>
            </w:r>
          </w:p>
        </w:tc>
        <w:tc>
          <w:tcPr>
            <w:tcW w:w="5908" w:type="dxa"/>
            <w:tcBorders>
              <w:top w:val="double" w:color="auto" w:sz="4" w:space="0"/>
            </w:tcBorders>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none"/>
                <w:lang w:val="en-US" w:eastAsia="zh-CN"/>
              </w:rPr>
              <w:t>业主单位：广州南沙湿地旅游发展有限公司</w:t>
            </w:r>
          </w:p>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yellow"/>
                <w:lang w:val="en-US" w:eastAsia="zh-CN"/>
              </w:rPr>
              <w:t>联系人：杨海群     联系电话：</w:t>
            </w:r>
            <w:r>
              <w:rPr>
                <w:rFonts w:hint="eastAsia" w:ascii="宋体" w:hAnsi="宋体" w:cs="宋体"/>
                <w:color w:val="auto"/>
                <w:kern w:val="0"/>
                <w:sz w:val="24"/>
                <w:szCs w:val="24"/>
                <w:highlight w:val="yellow"/>
              </w:rPr>
              <w:t>39081066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宋体"/>
                <w:szCs w:val="21"/>
                <w:highlight w:val="none"/>
                <w:lang w:eastAsia="zh-CN"/>
              </w:rPr>
              <w:t>湿地景区科普长廊维修事项</w:t>
            </w:r>
            <w:r>
              <w:rPr>
                <w:rFonts w:hint="eastAsia" w:ascii="宋体" w:hAnsi="宋体" w:cs="宋体"/>
                <w:szCs w:val="21"/>
                <w:highlight w:val="none"/>
              </w:rPr>
              <w:t>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Calibri"/>
                <w:szCs w:val="21"/>
                <w:highlight w:val="none"/>
                <w:lang w:val="en-US" w:eastAsia="zh-CN"/>
              </w:rPr>
            </w:pPr>
            <w:r>
              <w:rPr>
                <w:rFonts w:hint="eastAsia" w:ascii="宋体" w:hAnsi="宋体" w:cs="Calibri"/>
                <w:szCs w:val="21"/>
                <w:highlight w:val="none"/>
                <w:lang w:val="en-US" w:eastAsia="zh-CN"/>
              </w:rPr>
              <w:t>广州市南沙区万顷沙镇湿地公园景区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建设规模</w:t>
            </w:r>
          </w:p>
        </w:tc>
        <w:tc>
          <w:tcPr>
            <w:tcW w:w="5908" w:type="dxa"/>
            <w:vAlign w:val="center"/>
          </w:tcPr>
          <w:p>
            <w:pPr>
              <w:adjustRightInd w:val="0"/>
              <w:snapToGrid w:val="0"/>
              <w:spacing w:before="156" w:beforeLines="50" w:line="360" w:lineRule="auto"/>
              <w:rPr>
                <w:rFonts w:ascii="宋体" w:hAnsi="宋体" w:cs="Calibri"/>
                <w:szCs w:val="21"/>
                <w:highlight w:val="none"/>
              </w:rPr>
            </w:pPr>
            <w:r>
              <w:rPr>
                <w:rFonts w:hint="eastAsia" w:ascii="宋体" w:hAnsi="宋体" w:cs="Calibri"/>
                <w:szCs w:val="21"/>
                <w:highlight w:val="none"/>
                <w:lang w:eastAsia="zh-CN"/>
              </w:rPr>
              <w:t>总投资</w:t>
            </w:r>
            <w:r>
              <w:rPr>
                <w:rFonts w:hint="eastAsia" w:ascii="宋体" w:hAnsi="宋体" w:cs="Calibri"/>
                <w:szCs w:val="21"/>
                <w:highlight w:val="none"/>
              </w:rPr>
              <w:t>约</w:t>
            </w:r>
            <w:r>
              <w:rPr>
                <w:rFonts w:hint="eastAsia" w:ascii="宋体" w:hAnsi="宋体" w:cs="Calibri"/>
                <w:szCs w:val="21"/>
                <w:highlight w:val="none"/>
                <w:lang w:val="en-US" w:eastAsia="zh-CN"/>
              </w:rPr>
              <w:t>49.87</w:t>
            </w:r>
            <w:r>
              <w:rPr>
                <w:rFonts w:hint="eastAsia" w:ascii="宋体" w:hAnsi="宋体" w:cs="Calibri"/>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Calibri"/>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rPr>
                <w:highlight w:val="none"/>
              </w:rPr>
            </w:pPr>
            <w:r>
              <w:rPr>
                <w:rFonts w:hint="eastAsia"/>
                <w:highlight w:val="none"/>
              </w:rPr>
              <w:t>（1）施工部分：</w:t>
            </w:r>
            <w:r>
              <w:rPr>
                <w:rFonts w:hint="eastAsia" w:eastAsia="宋体"/>
                <w:highlight w:val="none"/>
                <w:lang w:val="en-US" w:eastAsia="zh-CN"/>
              </w:rPr>
              <w:t>综合单价包干；以招标公布的工程量清单为基础，结合景区内设施的实际情况确定实际维修内容</w:t>
            </w:r>
            <w:r>
              <w:rPr>
                <w:rFonts w:hint="eastAsia" w:eastAsia="宋体"/>
                <w:highlight w:val="none"/>
                <w:lang w:eastAsia="zh-CN"/>
              </w:rPr>
              <w:t>；</w:t>
            </w:r>
            <w:r>
              <w:rPr>
                <w:rFonts w:hint="eastAsia" w:eastAsia="宋体"/>
                <w:highlight w:val="none"/>
              </w:rPr>
              <w:t>合同结算价</w:t>
            </w:r>
            <w:r>
              <w:rPr>
                <w:rFonts w:hint="eastAsia" w:eastAsia="宋体"/>
                <w:highlight w:val="none"/>
                <w:lang w:val="en-US" w:eastAsia="zh-CN"/>
              </w:rPr>
              <w:t>以经业主确认的现场实际维修的工程量乘以中标合同单价，</w:t>
            </w:r>
            <w:r>
              <w:rPr>
                <w:rFonts w:hint="eastAsia" w:eastAsia="宋体"/>
                <w:highlight w:val="none"/>
              </w:rPr>
              <w:t>最终</w:t>
            </w:r>
            <w:r>
              <w:rPr>
                <w:rFonts w:hint="eastAsia" w:eastAsia="宋体"/>
                <w:highlight w:val="none"/>
                <w:lang w:val="en-US" w:eastAsia="zh-CN"/>
              </w:rPr>
              <w:t>结算价</w:t>
            </w:r>
            <w:r>
              <w:rPr>
                <w:rFonts w:hint="eastAsia" w:eastAsia="宋体"/>
                <w:highlight w:val="none"/>
              </w:rPr>
              <w:t>以</w:t>
            </w:r>
            <w:r>
              <w:rPr>
                <w:rFonts w:hint="eastAsia" w:eastAsia="宋体"/>
                <w:highlight w:val="none"/>
                <w:lang w:val="en-US" w:eastAsia="zh-CN"/>
              </w:rPr>
              <w:t>第三方</w:t>
            </w:r>
            <w:r>
              <w:rPr>
                <w:rFonts w:hint="eastAsia" w:eastAsia="宋体"/>
                <w:highlight w:val="none"/>
              </w:rPr>
              <w:t>评审审定金额为准。完成本工程项目</w:t>
            </w:r>
            <w:r>
              <w:rPr>
                <w:rFonts w:hint="eastAsia" w:eastAsia="宋体"/>
                <w:highlight w:val="none"/>
                <w:lang w:val="en-US" w:eastAsia="zh-CN"/>
              </w:rPr>
              <w:t>招标</w:t>
            </w:r>
            <w:r>
              <w:rPr>
                <w:rFonts w:hint="eastAsia" w:eastAsia="宋体"/>
                <w:highlight w:val="none"/>
              </w:rPr>
              <w:t>范围内所有</w:t>
            </w:r>
            <w:r>
              <w:rPr>
                <w:rFonts w:hint="eastAsia" w:eastAsia="宋体"/>
                <w:highlight w:val="none"/>
                <w:lang w:val="en-US" w:eastAsia="zh-CN"/>
              </w:rPr>
              <w:t>市政园林、</w:t>
            </w:r>
            <w:r>
              <w:rPr>
                <w:rFonts w:hint="eastAsia" w:eastAsia="宋体"/>
                <w:highlight w:val="none"/>
              </w:rPr>
              <w:t>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收到中标通知书</w:t>
            </w:r>
            <w:r>
              <w:rPr>
                <w:rFonts w:hint="eastAsia" w:ascii="宋体" w:hAnsi="宋体" w:cs="宋体"/>
                <w:szCs w:val="21"/>
                <w:highlight w:val="none"/>
                <w:lang w:eastAsia="zh-CN"/>
              </w:rPr>
              <w:t>、</w:t>
            </w:r>
            <w:r>
              <w:rPr>
                <w:rFonts w:hint="eastAsia" w:ascii="宋体" w:hAnsi="宋体" w:cs="宋体"/>
                <w:szCs w:val="21"/>
                <w:highlight w:val="none"/>
                <w:lang w:val="en-US" w:eastAsia="zh-CN"/>
              </w:rPr>
              <w:t>签订合同</w:t>
            </w:r>
            <w:r>
              <w:rPr>
                <w:rFonts w:hint="eastAsia" w:ascii="宋体" w:hAnsi="宋体" w:cs="宋体"/>
                <w:szCs w:val="21"/>
                <w:highlight w:val="none"/>
              </w:rPr>
              <w:t>后</w:t>
            </w:r>
            <w:r>
              <w:rPr>
                <w:rFonts w:hint="eastAsia" w:ascii="宋体" w:hAnsi="宋体" w:cs="宋体"/>
                <w:szCs w:val="21"/>
                <w:highlight w:val="yellow"/>
                <w:lang w:val="en-US" w:eastAsia="zh-CN"/>
              </w:rPr>
              <w:t>20日</w:t>
            </w:r>
            <w:r>
              <w:rPr>
                <w:rFonts w:hint="eastAsia" w:ascii="宋体" w:hAnsi="宋体" w:cs="宋体"/>
                <w:szCs w:val="21"/>
                <w:highlight w:val="yellow"/>
              </w:rPr>
              <w:t>历天</w:t>
            </w:r>
            <w:r>
              <w:rPr>
                <w:rFonts w:hint="eastAsia" w:ascii="宋体" w:hAnsi="宋体" w:cs="宋体"/>
                <w:szCs w:val="21"/>
                <w:highlight w:val="none"/>
              </w:rPr>
              <w:t>内完成竣工验收合格，并交付使用。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报价方式</w:t>
            </w:r>
          </w:p>
        </w:tc>
        <w:tc>
          <w:tcPr>
            <w:tcW w:w="5908" w:type="dxa"/>
            <w:vAlign w:val="center"/>
          </w:tcPr>
          <w:p>
            <w:pPr>
              <w:snapToGrid w:val="0"/>
              <w:spacing w:before="156" w:beforeLines="50" w:line="360" w:lineRule="auto"/>
              <w:rPr>
                <w:rFonts w:hint="eastAsia" w:eastAsia="宋体"/>
                <w:szCs w:val="21"/>
                <w:highlight w:val="none"/>
                <w:lang w:eastAsia="zh-CN"/>
              </w:rPr>
            </w:pPr>
            <w:r>
              <w:rPr>
                <w:rFonts w:hint="eastAsia"/>
                <w:szCs w:val="21"/>
                <w:highlight w:val="none"/>
                <w:lang w:val="en-US" w:eastAsia="zh-CN"/>
              </w:rPr>
              <w:t>综合单价</w:t>
            </w:r>
            <w:r>
              <w:rPr>
                <w:rFonts w:hint="eastAsia" w:ascii="Times New Roman" w:hAnsi="Times New Roman"/>
                <w:szCs w:val="21"/>
                <w:highlight w:val="none"/>
              </w:rPr>
              <w:t>包干，</w:t>
            </w:r>
            <w:r>
              <w:rPr>
                <w:rFonts w:hint="eastAsia" w:ascii="Times New Roman" w:hAnsi="Times New Roman"/>
                <w:szCs w:val="21"/>
                <w:highlight w:val="none"/>
                <w:lang w:val="en-US" w:eastAsia="zh-CN"/>
              </w:rPr>
              <w:t>以</w:t>
            </w:r>
            <w:r>
              <w:rPr>
                <w:rFonts w:hint="eastAsia" w:eastAsia="宋体"/>
                <w:highlight w:val="none"/>
                <w:lang w:val="en-US" w:eastAsia="zh-CN"/>
              </w:rPr>
              <w:t>经业主确认的现场实际维修的工程量</w:t>
            </w:r>
            <w:r>
              <w:rPr>
                <w:rFonts w:hint="eastAsia" w:ascii="Times New Roman" w:hAnsi="Times New Roman"/>
                <w:szCs w:val="21"/>
                <w:highlight w:val="none"/>
                <w:lang w:val="en-US" w:eastAsia="zh-CN"/>
              </w:rPr>
              <w:t>按实结算，该投标</w:t>
            </w:r>
            <w:r>
              <w:rPr>
                <w:rFonts w:hint="eastAsia" w:ascii="Times New Roman" w:hAnsi="Times New Roman"/>
                <w:szCs w:val="21"/>
                <w:highlight w:val="none"/>
              </w:rPr>
              <w:t>报价包含本项目的</w:t>
            </w:r>
            <w:r>
              <w:rPr>
                <w:rFonts w:hint="eastAsia" w:ascii="Times New Roman" w:hAnsi="Times New Roman"/>
                <w:szCs w:val="21"/>
                <w:highlight w:val="none"/>
                <w:lang w:val="en-US" w:eastAsia="zh-CN"/>
              </w:rPr>
              <w:t>建安</w:t>
            </w:r>
            <w:r>
              <w:rPr>
                <w:rFonts w:hint="eastAsia" w:ascii="Times New Roman" w:hAnsi="Times New Roman"/>
                <w:szCs w:val="21"/>
                <w:highlight w:val="none"/>
              </w:rPr>
              <w:t>费</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按照招标公告要求均不得超过相应的招标限价</w:t>
            </w:r>
            <w:r>
              <w:rPr>
                <w:rFonts w:hint="eastAsia" w:ascii="Times New Roman" w:hAnsi="Times New Roman"/>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设计质量标准：符合《建设工程质量管理条例》等国家及地方有关工程勘察设计管理法规和规章。</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t>□</w:t>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本项目最高投标限价详见本项目招标公告。</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投标人的投标总报价、建安工程费报价超过对应最高投标限价的为无效标。</w:t>
            </w:r>
          </w:p>
          <w:p>
            <w:pPr>
              <w:adjustRightInd w:val="0"/>
              <w:snapToGrid w:val="0"/>
              <w:spacing w:line="360" w:lineRule="auto"/>
              <w:jc w:val="left"/>
              <w:rPr>
                <w:rFonts w:hint="default" w:ascii="宋体" w:hAnsi="宋体" w:eastAsia="宋体" w:cs="宋体"/>
                <w:szCs w:val="21"/>
                <w:highlight w:val="none"/>
                <w:u w:val="single"/>
                <w:lang w:val="en-US" w:eastAsia="zh-CN"/>
              </w:rPr>
            </w:pPr>
            <w:r>
              <w:rPr>
                <w:rFonts w:hint="eastAsia" w:ascii="宋体" w:hAnsi="宋体" w:cs="宋体"/>
                <w:color w:val="FF0000"/>
                <w:szCs w:val="21"/>
                <w:highlight w:val="lightGray"/>
              </w:rPr>
              <w:t>投标人总得分满分为100分，总得分=资信</w:t>
            </w:r>
            <w:r>
              <w:rPr>
                <w:rFonts w:hint="eastAsia" w:ascii="宋体" w:hAnsi="宋体" w:cs="宋体"/>
                <w:color w:val="FF0000"/>
                <w:szCs w:val="21"/>
                <w:highlight w:val="lightGray"/>
                <w:lang w:eastAsia="zh-CN"/>
              </w:rPr>
              <w:t>得</w:t>
            </w:r>
            <w:r>
              <w:rPr>
                <w:rFonts w:hint="eastAsia" w:ascii="宋体" w:hAnsi="宋体" w:cs="宋体"/>
                <w:color w:val="FF0000"/>
                <w:szCs w:val="21"/>
                <w:highlight w:val="lightGray"/>
              </w:rPr>
              <w:t>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30%）+</w:t>
            </w:r>
            <w:r>
              <w:rPr>
                <w:rFonts w:hint="eastAsia" w:ascii="宋体" w:hAnsi="宋体" w:cs="宋体"/>
                <w:color w:val="FF0000"/>
                <w:szCs w:val="21"/>
                <w:highlight w:val="lightGray"/>
                <w:lang w:eastAsia="zh-CN"/>
              </w:rPr>
              <w:t>技术得</w:t>
            </w:r>
            <w:r>
              <w:rPr>
                <w:rFonts w:hint="eastAsia" w:ascii="宋体" w:hAnsi="宋体" w:cs="宋体"/>
                <w:color w:val="FF0000"/>
                <w:szCs w:val="21"/>
                <w:highlight w:val="lightGray"/>
              </w:rPr>
              <w:t>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30%）+</w:t>
            </w:r>
            <w:r>
              <w:rPr>
                <w:rFonts w:hint="eastAsia" w:ascii="宋体" w:hAnsi="宋体" w:cs="宋体"/>
                <w:color w:val="FF0000"/>
                <w:szCs w:val="21"/>
                <w:highlight w:val="lightGray"/>
              </w:rPr>
              <w:t>投标报价得分</w:t>
            </w:r>
            <w:r>
              <w:rPr>
                <w:rFonts w:hint="eastAsia" w:ascii="宋体" w:hAnsi="宋体" w:cs="宋体"/>
                <w:color w:val="FF0000"/>
                <w:szCs w:val="21"/>
                <w:highlight w:val="lightGray"/>
                <w:lang w:eastAsia="zh-CN"/>
              </w:rPr>
              <w:t>（</w:t>
            </w:r>
            <w:r>
              <w:rPr>
                <w:rFonts w:hint="eastAsia" w:ascii="宋体" w:hAnsi="宋体" w:cs="宋体"/>
                <w:color w:val="FF0000"/>
                <w:szCs w:val="21"/>
                <w:highlight w:val="lightGray"/>
                <w:lang w:val="en-US" w:eastAsia="zh-CN"/>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rPr>
                <w:rFonts w:ascii="宋体" w:hAnsi="宋体"/>
                <w:szCs w:val="21"/>
                <w:highlight w:val="none"/>
              </w:rPr>
            </w:pPr>
            <w:r>
              <w:rPr>
                <w:rFonts w:hint="eastAsia" w:ascii="宋体" w:hAnsi="宋体"/>
                <w:szCs w:val="21"/>
                <w:highlight w:val="none"/>
                <w:u w:val="single"/>
              </w:rPr>
              <w:t>60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u w:val="single"/>
              </w:rPr>
            </w:pPr>
            <w:r>
              <w:rPr>
                <w:rFonts w:hint="eastAsia"/>
                <w:b/>
                <w:bCs/>
                <w:szCs w:val="21"/>
                <w:highlight w:val="none"/>
                <w:lang w:val="en-US" w:eastAsia="zh-CN"/>
              </w:rPr>
              <w:t>工程施工</w:t>
            </w:r>
            <w:r>
              <w:rPr>
                <w:rFonts w:hint="eastAsia"/>
                <w:b/>
                <w:bCs/>
                <w:szCs w:val="21"/>
                <w:highlight w:val="none"/>
                <w:lang w:eastAsia="zh-CN"/>
              </w:rPr>
              <w:t>总承包实施方案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5</w:t>
            </w:r>
            <w:r>
              <w:rPr>
                <w:rFonts w:hint="eastAsia"/>
                <w:szCs w:val="21"/>
                <w:highlight w:val="none"/>
                <w:u w:val="single"/>
              </w:rPr>
              <w:t>份副本。</w:t>
            </w:r>
          </w:p>
          <w:p>
            <w:pPr>
              <w:jc w:val="left"/>
              <w:rPr>
                <w:szCs w:val="21"/>
                <w:highlight w:val="none"/>
              </w:rPr>
            </w:pPr>
            <w:r>
              <w:rPr>
                <w:rFonts w:hint="eastAsia"/>
                <w:szCs w:val="21"/>
                <w:highlight w:val="none"/>
              </w:rPr>
              <w:t>独自分开的封包数共为</w:t>
            </w:r>
            <w:r>
              <w:rPr>
                <w:rFonts w:hint="eastAsia"/>
                <w:szCs w:val="21"/>
                <w:highlight w:val="none"/>
                <w:lang w:val="en-US" w:eastAsia="zh-CN"/>
              </w:rPr>
              <w:t>3</w:t>
            </w:r>
            <w:r>
              <w:rPr>
                <w:rFonts w:hint="eastAsia"/>
                <w:szCs w:val="21"/>
                <w:highlight w:val="none"/>
              </w:rPr>
              <w:t>包：</w:t>
            </w:r>
          </w:p>
          <w:p>
            <w:pPr>
              <w:jc w:val="left"/>
              <w:rPr>
                <w:b/>
                <w:bCs/>
                <w:szCs w:val="21"/>
                <w:highlight w:val="none"/>
                <w:u w:val="single"/>
              </w:rPr>
            </w:pPr>
            <w:r>
              <w:rPr>
                <w:rFonts w:hint="eastAsia"/>
                <w:b/>
                <w:bCs/>
                <w:szCs w:val="21"/>
                <w:highlight w:val="none"/>
                <w:u w:val="single"/>
              </w:rPr>
              <w:t>资格审查文件1包；</w:t>
            </w:r>
          </w:p>
          <w:p>
            <w:pPr>
              <w:jc w:val="left"/>
              <w:rPr>
                <w:b/>
                <w:bCs/>
                <w:szCs w:val="21"/>
                <w:highlight w:val="none"/>
                <w:u w:val="single"/>
              </w:rPr>
            </w:pPr>
            <w:r>
              <w:rPr>
                <w:rFonts w:hint="eastAsia"/>
                <w:b/>
                <w:bCs/>
                <w:szCs w:val="21"/>
                <w:highlight w:val="none"/>
                <w:u w:val="single"/>
                <w:lang w:val="en-US" w:eastAsia="zh-CN"/>
              </w:rPr>
              <w:t>工程施工</w:t>
            </w:r>
            <w:r>
              <w:rPr>
                <w:rFonts w:hint="eastAsia"/>
                <w:b/>
                <w:bCs/>
                <w:szCs w:val="21"/>
                <w:highlight w:val="none"/>
                <w:u w:val="single"/>
                <w:lang w:eastAsia="zh-CN"/>
              </w:rPr>
              <w:t>总承包实施方案</w:t>
            </w:r>
            <w:r>
              <w:rPr>
                <w:rFonts w:hint="eastAsia"/>
                <w:b/>
                <w:bCs/>
                <w:szCs w:val="21"/>
                <w:highlight w:val="none"/>
                <w:u w:val="single"/>
              </w:rPr>
              <w:t>（含资信部分）文件1包；</w:t>
            </w:r>
          </w:p>
          <w:p>
            <w:pPr>
              <w:jc w:val="left"/>
              <w:rPr>
                <w:b/>
                <w:bCs/>
                <w:szCs w:val="21"/>
                <w:highlight w:val="none"/>
                <w:u w:val="single"/>
              </w:rPr>
            </w:pPr>
            <w:r>
              <w:rPr>
                <w:rFonts w:hint="eastAsia"/>
                <w:b/>
                <w:bCs/>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w:t>
            </w:r>
            <w:r>
              <w:rPr>
                <w:rFonts w:hint="eastAsia"/>
                <w:b/>
                <w:bCs/>
                <w:szCs w:val="21"/>
                <w:highlight w:val="none"/>
                <w:lang w:eastAsia="zh-CN"/>
              </w:rPr>
              <w:t>工程施工总承包实施方案</w:t>
            </w:r>
            <w:r>
              <w:rPr>
                <w:rFonts w:hint="eastAsia"/>
                <w:b/>
                <w:bCs/>
                <w:szCs w:val="21"/>
                <w:highlight w:val="none"/>
              </w:rPr>
              <w:t>（含资信部分）文件/投标报价文件</w:t>
            </w:r>
          </w:p>
          <w:p>
            <w:pPr>
              <w:jc w:val="left"/>
              <w:rPr>
                <w:szCs w:val="21"/>
                <w:highlight w:val="yellow"/>
              </w:rPr>
            </w:pPr>
            <w:r>
              <w:rPr>
                <w:rFonts w:hint="eastAsia"/>
                <w:szCs w:val="21"/>
                <w:highlight w:val="none"/>
              </w:rPr>
              <w:t>招标人名称：</w:t>
            </w:r>
          </w:p>
          <w:p>
            <w:pPr>
              <w:jc w:val="left"/>
              <w:rPr>
                <w:szCs w:val="21"/>
                <w:highlight w:val="none"/>
              </w:rPr>
            </w:pPr>
            <w:r>
              <w:rPr>
                <w:rFonts w:hint="eastAsia" w:ascii="宋体" w:hAnsi="宋体" w:cs="宋体"/>
                <w:szCs w:val="21"/>
                <w:highlight w:val="none"/>
                <w:u w:val="single"/>
                <w:lang w:eastAsia="zh-CN"/>
              </w:rPr>
              <w:t>湿地景区科普长廊维修事项</w:t>
            </w:r>
            <w:r>
              <w:rPr>
                <w:rFonts w:hint="eastAsia" w:ascii="宋体" w:hAnsi="宋体" w:cs="宋体"/>
                <w:szCs w:val="21"/>
                <w:highlight w:val="none"/>
                <w:u w:val="single"/>
              </w:rPr>
              <w:t>总承包</w:t>
            </w:r>
            <w:r>
              <w:rPr>
                <w:rFonts w:hint="eastAsia"/>
                <w:szCs w:val="21"/>
                <w:highlight w:val="none"/>
              </w:rPr>
              <w:t>投标文件（</w:t>
            </w:r>
            <w:r>
              <w:rPr>
                <w:rFonts w:hint="eastAsia"/>
                <w:b/>
                <w:bCs/>
                <w:szCs w:val="21"/>
                <w:highlight w:val="none"/>
              </w:rPr>
              <w:t>资格审查文件/</w:t>
            </w:r>
            <w:r>
              <w:rPr>
                <w:rFonts w:hint="eastAsia"/>
                <w:b/>
                <w:bCs/>
                <w:szCs w:val="21"/>
                <w:highlight w:val="none"/>
                <w:lang w:eastAsia="zh-CN"/>
              </w:rPr>
              <w:t>工程施工总承包实施方案</w:t>
            </w:r>
            <w:r>
              <w:rPr>
                <w:rFonts w:hint="eastAsia"/>
                <w:b/>
                <w:bCs/>
                <w:szCs w:val="21"/>
                <w:highlight w:val="none"/>
              </w:rPr>
              <w:t>（含资信部分）文件/投标报价文件</w:t>
            </w:r>
            <w:r>
              <w:rPr>
                <w:rFonts w:hint="eastAsia"/>
                <w:szCs w:val="21"/>
                <w:highlight w:val="none"/>
              </w:rPr>
              <w:t>）</w:t>
            </w:r>
          </w:p>
          <w:p>
            <w:pPr>
              <w:jc w:val="left"/>
              <w:rPr>
                <w:szCs w:val="21"/>
                <w:highlight w:val="yellow"/>
              </w:rPr>
            </w:pPr>
            <w:r>
              <w:rPr>
                <w:rFonts w:hint="eastAsia"/>
                <w:szCs w:val="21"/>
                <w:highlight w:val="yellow"/>
              </w:rPr>
              <w:t>在</w:t>
            </w:r>
            <w:r>
              <w:rPr>
                <w:rFonts w:hint="eastAsia"/>
                <w:szCs w:val="21"/>
                <w:highlight w:val="yellow"/>
                <w:u w:val="single"/>
                <w:lang w:val="en-US" w:eastAsia="zh-CN"/>
              </w:rPr>
              <w:t>2023</w:t>
            </w:r>
            <w:r>
              <w:rPr>
                <w:rFonts w:hint="eastAsia"/>
                <w:szCs w:val="21"/>
                <w:highlight w:val="yellow"/>
              </w:rPr>
              <w:t>年</w:t>
            </w:r>
            <w:r>
              <w:rPr>
                <w:rFonts w:hint="eastAsia"/>
                <w:szCs w:val="21"/>
                <w:highlight w:val="yellow"/>
                <w:lang w:val="en-US" w:eastAsia="zh-CN"/>
              </w:rPr>
              <w:t>1</w:t>
            </w:r>
            <w:r>
              <w:rPr>
                <w:rFonts w:hint="eastAsia"/>
                <w:szCs w:val="21"/>
                <w:highlight w:val="yellow"/>
              </w:rPr>
              <w:t>月</w:t>
            </w:r>
            <w:r>
              <w:rPr>
                <w:rFonts w:hint="eastAsia"/>
                <w:szCs w:val="21"/>
                <w:highlight w:val="yellow"/>
                <w:lang w:val="en-US" w:eastAsia="zh-CN"/>
              </w:rPr>
              <w:t>17</w:t>
            </w:r>
            <w:r>
              <w:rPr>
                <w:rFonts w:hint="eastAsia"/>
                <w:szCs w:val="21"/>
                <w:highlight w:val="yellow"/>
              </w:rPr>
              <w:t>日</w:t>
            </w:r>
            <w:r>
              <w:rPr>
                <w:rFonts w:hint="eastAsia"/>
                <w:szCs w:val="21"/>
                <w:highlight w:val="yellow"/>
                <w:u w:val="single"/>
                <w:lang w:val="en-US" w:eastAsia="zh-CN"/>
              </w:rPr>
              <w:t>10</w:t>
            </w:r>
            <w:r>
              <w:rPr>
                <w:rFonts w:hint="eastAsia"/>
                <w:szCs w:val="21"/>
                <w:highlight w:val="yellow"/>
              </w:rPr>
              <w:t>时</w:t>
            </w:r>
            <w:r>
              <w:rPr>
                <w:rFonts w:hint="eastAsia"/>
                <w:szCs w:val="21"/>
                <w:highlight w:val="yellow"/>
                <w:lang w:val="en-US" w:eastAsia="zh-CN"/>
              </w:rPr>
              <w:t>0</w:t>
            </w:r>
            <w:bookmarkStart w:id="1112" w:name="_GoBack"/>
            <w:bookmarkEnd w:id="1112"/>
            <w:r>
              <w:rPr>
                <w:rFonts w:hint="eastAsia" w:ascii="宋体" w:hAnsi="宋体"/>
                <w:szCs w:val="21"/>
                <w:highlight w:val="yellow"/>
                <w:u w:val="single"/>
                <w:lang w:val="en-US" w:eastAsia="zh-CN"/>
              </w:rPr>
              <w:t>0</w:t>
            </w:r>
            <w:r>
              <w:rPr>
                <w:rFonts w:hint="eastAsia" w:ascii="宋体" w:hAnsi="宋体"/>
                <w:szCs w:val="21"/>
                <w:highlight w:val="yellow"/>
                <w:u w:val="single"/>
              </w:rPr>
              <w:t>分</w:t>
            </w:r>
            <w:r>
              <w:rPr>
                <w:rFonts w:hint="eastAsia"/>
                <w:szCs w:val="21"/>
                <w:highlight w:val="yellow"/>
              </w:rPr>
              <w:t>前不得开启</w:t>
            </w:r>
          </w:p>
          <w:p>
            <w:pPr>
              <w:jc w:val="left"/>
              <w:rPr>
                <w:rFonts w:ascii="宋体" w:hAnsi="宋体"/>
                <w:szCs w:val="21"/>
                <w:highlight w:val="none"/>
              </w:rPr>
            </w:pPr>
            <w:r>
              <w:rPr>
                <w:rFonts w:hint="eastAsia"/>
                <w:szCs w:val="21"/>
                <w:highlight w:val="none"/>
                <w:u w:val="single"/>
              </w:rPr>
              <w:t>投标人名称：（并加盖公章。）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snapToGrid w:val="0"/>
              <w:spacing w:before="156" w:beforeLines="50" w:line="360" w:lineRule="auto"/>
              <w:rPr>
                <w:rFonts w:hint="eastAsia" w:ascii="宋体" w:hAnsi="宋体" w:eastAsia="宋体"/>
                <w:szCs w:val="21"/>
                <w:highlight w:val="yellow"/>
                <w:lang w:val="en-US" w:eastAsia="zh-CN"/>
              </w:rPr>
            </w:pPr>
            <w:r>
              <w:rPr>
                <w:rFonts w:hint="eastAsia" w:ascii="宋体" w:hAnsi="宋体"/>
                <w:szCs w:val="21"/>
                <w:highlight w:val="yellow"/>
              </w:rPr>
              <w:t>地点：</w:t>
            </w:r>
            <w:r>
              <w:rPr>
                <w:rFonts w:hint="eastAsia" w:ascii="宋体" w:hAnsi="宋体"/>
                <w:szCs w:val="21"/>
                <w:highlight w:val="yellow"/>
                <w:lang w:val="en-US" w:eastAsia="zh-CN"/>
              </w:rPr>
              <w:t xml:space="preserve"> </w:t>
            </w:r>
            <w:r>
              <w:rPr>
                <w:rFonts w:hint="eastAsia" w:ascii="宋体" w:hAnsi="宋体" w:eastAsia="宋体"/>
                <w:szCs w:val="21"/>
                <w:highlight w:val="yellow"/>
                <w:u w:val="single"/>
              </w:rPr>
              <w:t>广州市南沙区</w:t>
            </w:r>
            <w:r>
              <w:rPr>
                <w:rFonts w:hint="eastAsia" w:ascii="宋体" w:hAnsi="宋体" w:eastAsia="宋体"/>
                <w:szCs w:val="21"/>
                <w:highlight w:val="yellow"/>
                <w:u w:val="single"/>
                <w:lang w:eastAsia="zh-CN"/>
              </w:rPr>
              <w:t>万顷沙镇</w:t>
            </w:r>
            <w:r>
              <w:rPr>
                <w:rFonts w:hint="eastAsia" w:ascii="宋体" w:hAnsi="宋体" w:eastAsia="宋体"/>
                <w:szCs w:val="21"/>
                <w:highlight w:val="yellow"/>
                <w:u w:val="single"/>
                <w:lang w:val="en-US" w:eastAsia="zh-CN"/>
              </w:rPr>
              <w:t>湿地景区一期工程部</w:t>
            </w:r>
          </w:p>
          <w:p>
            <w:pPr>
              <w:snapToGrid w:val="0"/>
              <w:spacing w:before="156" w:beforeLines="50" w:line="360" w:lineRule="auto"/>
              <w:rPr>
                <w:rFonts w:hint="eastAsia" w:ascii="宋体" w:hAnsi="宋体"/>
                <w:szCs w:val="21"/>
                <w:highlight w:val="yellow"/>
                <w:lang w:val="en-US" w:eastAsia="zh-CN"/>
              </w:rPr>
            </w:pPr>
            <w:r>
              <w:rPr>
                <w:rFonts w:hint="eastAsia" w:ascii="宋体" w:hAnsi="宋体"/>
                <w:szCs w:val="21"/>
                <w:highlight w:val="yellow"/>
                <w:lang w:val="en-US" w:eastAsia="zh-CN"/>
              </w:rPr>
              <w:t>登记日期：2023年1月13 日至2023年1月 16 日（周六、周日和节假日不受理）</w:t>
            </w:r>
          </w:p>
          <w:p>
            <w:pPr>
              <w:snapToGrid w:val="0"/>
              <w:spacing w:before="156" w:beforeLines="50" w:line="360" w:lineRule="auto"/>
              <w:rPr>
                <w:rFonts w:ascii="宋体" w:hAnsi="宋体"/>
                <w:szCs w:val="21"/>
                <w:highlight w:val="none"/>
              </w:rPr>
            </w:pPr>
            <w:r>
              <w:rPr>
                <w:rFonts w:hint="eastAsia" w:ascii="宋体" w:hAnsi="宋体"/>
                <w:szCs w:val="21"/>
                <w:highlight w:val="yellow"/>
                <w:lang w:val="en-US" w:eastAsia="zh-CN"/>
              </w:rPr>
              <w:t>登记时间：上午9时30分11：30分，下午14：00至16时00分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156" w:beforeLines="50" w:line="360" w:lineRule="auto"/>
              <w:rPr>
                <w:rFonts w:ascii="宋体" w:hAnsi="宋体"/>
                <w:szCs w:val="21"/>
                <w:highlight w:val="yellow"/>
              </w:rPr>
            </w:pPr>
            <w:r>
              <w:rPr>
                <w:rFonts w:hint="eastAsia"/>
                <w:highlight w:val="yellow"/>
              </w:rPr>
              <w:t>联系人：</w:t>
            </w:r>
            <w:r>
              <w:rPr>
                <w:rFonts w:hint="eastAsia"/>
                <w:highlight w:val="yellow"/>
                <w:lang w:val="en-US" w:eastAsia="zh-CN"/>
              </w:rPr>
              <w:t>杨海群</w:t>
            </w:r>
            <w:r>
              <w:rPr>
                <w:rFonts w:hint="eastAsia"/>
                <w:highlight w:val="yellow"/>
              </w:rPr>
              <w:t xml:space="preserve">    联系电话：</w:t>
            </w:r>
            <w:r>
              <w:rPr>
                <w:rFonts w:ascii="宋体" w:hAnsi="宋体"/>
                <w:szCs w:val="21"/>
                <w:highlight w:val="yellow"/>
              </w:rPr>
              <w:t xml:space="preserve"> </w:t>
            </w:r>
          </w:p>
          <w:p>
            <w:pPr>
              <w:snapToGrid w:val="0"/>
              <w:spacing w:before="156" w:beforeLines="50" w:line="360" w:lineRule="auto"/>
              <w:rPr>
                <w:rFonts w:ascii="宋体" w:hAnsi="宋体"/>
                <w:szCs w:val="21"/>
                <w:highlight w:val="none"/>
              </w:rPr>
            </w:pPr>
            <w:r>
              <w:rPr>
                <w:rFonts w:hint="eastAsia" w:ascii="宋体" w:hAnsi="宋体"/>
                <w:szCs w:val="21"/>
                <w:highlight w:val="yellow"/>
              </w:rPr>
              <w:t xml:space="preserve">地 </w:t>
            </w:r>
            <w:r>
              <w:rPr>
                <w:rFonts w:ascii="宋体" w:hAnsi="宋体"/>
                <w:szCs w:val="21"/>
                <w:highlight w:val="yellow"/>
              </w:rPr>
              <w:t xml:space="preserve"> </w:t>
            </w:r>
            <w:r>
              <w:rPr>
                <w:rFonts w:hint="eastAsia" w:ascii="宋体" w:hAnsi="宋体"/>
                <w:szCs w:val="21"/>
                <w:highlight w:val="yellow"/>
              </w:rPr>
              <w:t>点：</w:t>
            </w:r>
            <w:r>
              <w:rPr>
                <w:rFonts w:hint="eastAsia" w:ascii="宋体" w:hAnsi="宋体"/>
                <w:szCs w:val="21"/>
                <w:highlight w:val="none"/>
              </w:rPr>
              <w:t>南沙</w:t>
            </w:r>
            <w:r>
              <w:rPr>
                <w:rFonts w:hint="eastAsia" w:ascii="宋体" w:hAnsi="宋体"/>
                <w:szCs w:val="21"/>
                <w:highlight w:val="none"/>
                <w:lang w:val="en-US" w:eastAsia="zh-CN"/>
              </w:rPr>
              <w:t>天后宫旅游公司206评标室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156" w:beforeLines="50" w:line="360" w:lineRule="auto"/>
              <w:rPr>
                <w:rFonts w:ascii="宋体" w:hAnsi="宋体" w:cs="宋体"/>
                <w:kern w:val="0"/>
                <w:szCs w:val="21"/>
                <w:highlight w:val="none"/>
                <w:u w:val="single"/>
              </w:rPr>
            </w:pPr>
            <w:r>
              <w:rPr>
                <w:rFonts w:hint="eastAsia" w:ascii="宋体" w:hAnsi="宋体" w:cs="宋体"/>
                <w:kern w:val="0"/>
                <w:szCs w:val="21"/>
                <w:highlight w:val="none"/>
              </w:rPr>
              <w:t>开始接收投标文件时间：</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年</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17</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 xml:space="preserve">9 </w:t>
            </w:r>
            <w:r>
              <w:rPr>
                <w:rFonts w:hint="eastAsia" w:ascii="宋体" w:hAnsi="宋体" w:cs="宋体"/>
                <w:kern w:val="0"/>
                <w:szCs w:val="21"/>
                <w:highlight w:val="none"/>
                <w:u w:val="single"/>
              </w:rPr>
              <w:t>时</w:t>
            </w:r>
            <w:r>
              <w:rPr>
                <w:rFonts w:hint="eastAsia" w:ascii="宋体" w:hAnsi="宋体" w:cs="宋体"/>
                <w:kern w:val="0"/>
                <w:szCs w:val="21"/>
                <w:highlight w:val="none"/>
                <w:u w:val="single"/>
                <w:lang w:val="en-US" w:eastAsia="zh-CN"/>
              </w:rPr>
              <w:t>0</w:t>
            </w:r>
            <w:r>
              <w:rPr>
                <w:rFonts w:hint="eastAsia" w:ascii="宋体" w:hAnsi="宋体" w:cs="宋体"/>
                <w:szCs w:val="21"/>
                <w:highlight w:val="none"/>
                <w:u w:val="single"/>
                <w:lang w:val="en-US" w:eastAsia="zh-CN"/>
              </w:rPr>
              <w:t xml:space="preserve">0 </w:t>
            </w:r>
            <w:r>
              <w:rPr>
                <w:rFonts w:hint="eastAsia" w:ascii="宋体" w:hAnsi="宋体" w:cs="宋体"/>
                <w:kern w:val="0"/>
                <w:szCs w:val="21"/>
                <w:highlight w:val="none"/>
                <w:u w:val="single"/>
              </w:rPr>
              <w:t>分</w:t>
            </w:r>
            <w:r>
              <w:rPr>
                <w:rFonts w:hint="eastAsia" w:ascii="宋体" w:hAnsi="宋体" w:cs="宋体"/>
                <w:kern w:val="0"/>
                <w:szCs w:val="21"/>
                <w:highlight w:val="none"/>
              </w:rPr>
              <w:t>。</w:t>
            </w:r>
          </w:p>
          <w:p>
            <w:pPr>
              <w:adjustRightInd w:val="0"/>
              <w:snapToGrid w:val="0"/>
              <w:spacing w:before="156" w:beforeLines="50" w:line="360" w:lineRule="auto"/>
              <w:rPr>
                <w:rFonts w:ascii="宋体" w:hAnsi="宋体" w:cs="宋体"/>
                <w:kern w:val="0"/>
                <w:szCs w:val="21"/>
                <w:highlight w:val="none"/>
              </w:rPr>
            </w:pPr>
            <w:r>
              <w:rPr>
                <w:rFonts w:hint="eastAsia" w:ascii="宋体" w:hAnsi="宋体" w:cs="宋体"/>
                <w:kern w:val="0"/>
                <w:szCs w:val="21"/>
                <w:highlight w:val="none"/>
              </w:rPr>
              <w:t>投标截止时间：</w:t>
            </w:r>
            <w:r>
              <w:rPr>
                <w:rFonts w:hint="eastAsia" w:ascii="宋体" w:hAnsi="宋体" w:cs="宋体"/>
                <w:szCs w:val="21"/>
                <w:highlight w:val="none"/>
                <w:u w:val="single"/>
              </w:rPr>
              <w:t xml:space="preserve"> </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u w:val="single"/>
              </w:rPr>
              <w:t>年</w:t>
            </w:r>
            <w:r>
              <w:rPr>
                <w:rFonts w:hint="eastAsia" w:ascii="宋体" w:hAnsi="宋体"/>
                <w:szCs w:val="21"/>
                <w:highlight w:val="none"/>
                <w:u w:val="single"/>
                <w:lang w:val="en-US" w:eastAsia="zh-CN"/>
              </w:rPr>
              <w:t xml:space="preserve">1 </w:t>
            </w:r>
            <w:r>
              <w:rPr>
                <w:rFonts w:hint="eastAsia" w:ascii="宋体" w:hAnsi="宋体"/>
                <w:szCs w:val="21"/>
                <w:highlight w:val="none"/>
                <w:u w:val="single"/>
              </w:rPr>
              <w:t>月</w:t>
            </w:r>
            <w:r>
              <w:rPr>
                <w:rFonts w:hint="eastAsia" w:ascii="宋体" w:hAnsi="宋体"/>
                <w:szCs w:val="21"/>
                <w:highlight w:val="none"/>
                <w:u w:val="single"/>
                <w:lang w:val="en-US" w:eastAsia="zh-CN"/>
              </w:rPr>
              <w:t>17</w:t>
            </w:r>
            <w:r>
              <w:rPr>
                <w:rFonts w:hint="eastAsia" w:ascii="宋体" w:hAnsi="宋体"/>
                <w:szCs w:val="21"/>
                <w:highlight w:val="none"/>
                <w:u w:val="single"/>
              </w:rPr>
              <w:t>日</w:t>
            </w:r>
            <w:r>
              <w:rPr>
                <w:rFonts w:hint="eastAsia" w:ascii="宋体" w:hAnsi="宋体"/>
                <w:szCs w:val="21"/>
                <w:highlight w:val="none"/>
                <w:u w:val="single"/>
                <w:lang w:val="en-US" w:eastAsia="zh-CN"/>
              </w:rPr>
              <w:t>10</w:t>
            </w:r>
            <w:r>
              <w:rPr>
                <w:rFonts w:hint="eastAsia" w:ascii="宋体" w:hAnsi="宋体"/>
                <w:szCs w:val="21"/>
                <w:highlight w:val="none"/>
                <w:u w:val="single"/>
              </w:rPr>
              <w:t>时</w:t>
            </w:r>
            <w:r>
              <w:rPr>
                <w:rFonts w:hint="eastAsia" w:ascii="宋体" w:hAnsi="宋体"/>
                <w:szCs w:val="21"/>
                <w:highlight w:val="none"/>
                <w:u w:val="single"/>
                <w:lang w:val="en-US" w:eastAsia="zh-CN"/>
              </w:rPr>
              <w:t xml:space="preserve">00 </w:t>
            </w:r>
            <w:r>
              <w:rPr>
                <w:rFonts w:hint="eastAsia" w:ascii="宋体" w:hAnsi="宋体"/>
                <w:szCs w:val="21"/>
                <w:highlight w:val="none"/>
                <w:u w:val="single"/>
              </w:rPr>
              <w:t>分</w:t>
            </w:r>
            <w:r>
              <w:rPr>
                <w:rFonts w:hint="eastAsia" w:ascii="宋体" w:hAnsi="宋体" w:cs="宋体"/>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w:t>
            </w:r>
            <w:r>
              <w:rPr>
                <w:rFonts w:hint="eastAsia"/>
                <w:szCs w:val="21"/>
                <w:highlight w:val="none"/>
                <w:lang w:eastAsia="zh-CN"/>
              </w:rPr>
              <w:t>工程施工总承包实施方案</w:t>
            </w:r>
            <w:r>
              <w:rPr>
                <w:rFonts w:hint="eastAsia"/>
                <w:szCs w:val="21"/>
                <w:highlight w:val="none"/>
              </w:rPr>
              <w:t>（含资信部分）文件、投标报价文件同时开启。</w:t>
            </w:r>
          </w:p>
          <w:p>
            <w:pPr>
              <w:snapToGrid w:val="0"/>
              <w:spacing w:before="156" w:beforeLines="50" w:line="360" w:lineRule="auto"/>
              <w:rPr>
                <w:rFonts w:ascii="宋体" w:hAnsi="宋体"/>
                <w:szCs w:val="21"/>
                <w:highlight w:val="yellow"/>
              </w:rPr>
            </w:pPr>
            <w:r>
              <w:rPr>
                <w:rFonts w:hint="eastAsia" w:ascii="宋体" w:hAnsi="宋体"/>
                <w:szCs w:val="21"/>
                <w:highlight w:val="none"/>
              </w:rPr>
              <w:t>开</w:t>
            </w:r>
            <w:r>
              <w:rPr>
                <w:rFonts w:hint="eastAsia" w:ascii="宋体" w:hAnsi="宋体"/>
                <w:szCs w:val="21"/>
                <w:highlight w:val="yellow"/>
              </w:rPr>
              <w:t>标时间：</w:t>
            </w:r>
            <w:r>
              <w:rPr>
                <w:rFonts w:hint="eastAsia" w:ascii="宋体" w:hAnsi="宋体"/>
                <w:szCs w:val="21"/>
                <w:highlight w:val="yellow"/>
                <w:u w:val="single"/>
              </w:rPr>
              <w:t>202</w:t>
            </w:r>
            <w:r>
              <w:rPr>
                <w:rFonts w:hint="eastAsia" w:ascii="宋体" w:hAnsi="宋体"/>
                <w:szCs w:val="21"/>
                <w:highlight w:val="yellow"/>
                <w:u w:val="single"/>
                <w:lang w:val="en-US" w:eastAsia="zh-CN"/>
              </w:rPr>
              <w:t>3</w:t>
            </w:r>
            <w:r>
              <w:rPr>
                <w:rFonts w:hint="eastAsia" w:ascii="宋体" w:hAnsi="宋体"/>
                <w:szCs w:val="21"/>
                <w:highlight w:val="yellow"/>
                <w:u w:val="single"/>
              </w:rPr>
              <w:t>年</w:t>
            </w:r>
            <w:r>
              <w:rPr>
                <w:rFonts w:hint="eastAsia" w:ascii="宋体" w:hAnsi="宋体"/>
                <w:szCs w:val="21"/>
                <w:highlight w:val="yellow"/>
                <w:u w:val="single"/>
                <w:lang w:val="en-US" w:eastAsia="zh-CN"/>
              </w:rPr>
              <w:t>1</w:t>
            </w:r>
            <w:r>
              <w:rPr>
                <w:rFonts w:hint="eastAsia" w:ascii="宋体" w:hAnsi="宋体"/>
                <w:szCs w:val="21"/>
                <w:highlight w:val="yellow"/>
                <w:u w:val="single"/>
              </w:rPr>
              <w:t>月</w:t>
            </w:r>
            <w:r>
              <w:rPr>
                <w:rFonts w:hint="eastAsia" w:ascii="宋体" w:hAnsi="宋体"/>
                <w:szCs w:val="21"/>
                <w:highlight w:val="yellow"/>
                <w:u w:val="single"/>
                <w:lang w:val="en-US" w:eastAsia="zh-CN"/>
              </w:rPr>
              <w:t>17</w:t>
            </w:r>
            <w:r>
              <w:rPr>
                <w:rFonts w:hint="eastAsia" w:ascii="宋体" w:hAnsi="宋体"/>
                <w:szCs w:val="21"/>
                <w:highlight w:val="yellow"/>
                <w:u w:val="single"/>
              </w:rPr>
              <w:t>日</w:t>
            </w:r>
            <w:r>
              <w:rPr>
                <w:rFonts w:hint="eastAsia" w:ascii="宋体" w:hAnsi="宋体"/>
                <w:szCs w:val="21"/>
                <w:highlight w:val="yellow"/>
                <w:u w:val="single"/>
                <w:lang w:val="en-US" w:eastAsia="zh-CN"/>
              </w:rPr>
              <w:t>10</w:t>
            </w:r>
            <w:r>
              <w:rPr>
                <w:rFonts w:hint="eastAsia" w:ascii="宋体" w:hAnsi="宋体"/>
                <w:szCs w:val="21"/>
                <w:highlight w:val="yellow"/>
                <w:u w:val="single"/>
              </w:rPr>
              <w:t>时</w:t>
            </w:r>
            <w:r>
              <w:rPr>
                <w:rFonts w:hint="eastAsia" w:ascii="宋体" w:hAnsi="宋体"/>
                <w:szCs w:val="21"/>
                <w:highlight w:val="yellow"/>
                <w:u w:val="single"/>
                <w:lang w:val="en-US" w:eastAsia="zh-CN"/>
              </w:rPr>
              <w:t xml:space="preserve">00 </w:t>
            </w:r>
            <w:r>
              <w:rPr>
                <w:rFonts w:hint="eastAsia" w:ascii="宋体" w:hAnsi="宋体"/>
                <w:szCs w:val="21"/>
                <w:highlight w:val="yellow"/>
                <w:u w:val="single"/>
              </w:rPr>
              <w:t>分</w:t>
            </w:r>
          </w:p>
          <w:p>
            <w:pPr>
              <w:pStyle w:val="20"/>
              <w:snapToGrid w:val="0"/>
              <w:spacing w:before="156" w:beforeLines="50" w:line="360" w:lineRule="auto"/>
              <w:rPr>
                <w:sz w:val="21"/>
                <w:szCs w:val="21"/>
                <w:highlight w:val="none"/>
              </w:rPr>
            </w:pPr>
            <w:r>
              <w:rPr>
                <w:rFonts w:hint="eastAsia" w:ascii="宋体" w:hAnsi="宋体"/>
                <w:sz w:val="21"/>
                <w:szCs w:val="21"/>
                <w:highlight w:val="yellow"/>
              </w:rPr>
              <w:t>开标地点：</w:t>
            </w:r>
            <w:r>
              <w:rPr>
                <w:rFonts w:hint="eastAsia" w:ascii="宋体" w:hAnsi="宋体"/>
                <w:szCs w:val="21"/>
                <w:highlight w:val="none"/>
              </w:rPr>
              <w:t>南沙</w:t>
            </w:r>
            <w:r>
              <w:rPr>
                <w:rFonts w:hint="eastAsia" w:ascii="宋体" w:hAnsi="宋体"/>
                <w:szCs w:val="21"/>
                <w:highlight w:val="none"/>
                <w:lang w:val="en-US" w:eastAsia="zh-CN"/>
              </w:rPr>
              <w:t>天后宫旅游公司206评标室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w:t>
            </w:r>
            <w:r>
              <w:rPr>
                <w:rFonts w:hint="eastAsia" w:ascii="Times New Roman" w:hAnsi="Times New Roman"/>
                <w:szCs w:val="21"/>
                <w:highlight w:val="none"/>
                <w:lang w:val="en-US" w:eastAsia="zh-CN"/>
              </w:rPr>
              <w:t>分</w:t>
            </w:r>
            <w:r>
              <w:rPr>
                <w:rFonts w:hint="eastAsia" w:ascii="Times New Roman" w:hAnsi="Times New Roman"/>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24</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招标控制价</w:t>
            </w:r>
          </w:p>
        </w:tc>
        <w:tc>
          <w:tcPr>
            <w:tcW w:w="5908" w:type="dxa"/>
            <w:vAlign w:val="center"/>
          </w:tcPr>
          <w:p>
            <w:pPr>
              <w:snapToGrid w:val="0"/>
              <w:spacing w:before="156" w:beforeLines="50" w:line="360" w:lineRule="auto"/>
              <w:rPr>
                <w:rFonts w:ascii="宋体" w:hAnsi="宋体"/>
                <w:szCs w:val="21"/>
                <w:highlight w:val="yellow"/>
              </w:rPr>
            </w:pPr>
            <w:r>
              <w:rPr>
                <w:rFonts w:hint="eastAsia" w:ascii="宋体" w:hAnsi="宋体"/>
                <w:szCs w:val="21"/>
                <w:highlight w:val="yellow"/>
              </w:rPr>
              <w:t>项目最高招标限价为：人民币</w:t>
            </w:r>
            <w:r>
              <w:rPr>
                <w:rFonts w:hint="eastAsia" w:ascii="宋体" w:hAnsi="宋体"/>
                <w:szCs w:val="21"/>
                <w:highlight w:val="lightGray"/>
                <w:u w:val="single"/>
                <w:lang w:val="en-US" w:eastAsia="zh-CN"/>
              </w:rPr>
              <w:t>468132.92</w:t>
            </w:r>
            <w:r>
              <w:rPr>
                <w:rFonts w:hint="eastAsia" w:ascii="宋体" w:hAnsi="宋体"/>
                <w:szCs w:val="21"/>
                <w:highlight w:val="yellow"/>
              </w:rPr>
              <w:t>元。</w:t>
            </w:r>
          </w:p>
          <w:p>
            <w:pPr>
              <w:snapToGrid w:val="0"/>
              <w:spacing w:line="360" w:lineRule="auto"/>
              <w:rPr>
                <w:rFonts w:ascii="宋体" w:hAnsi="宋体"/>
                <w:szCs w:val="21"/>
                <w:highlight w:val="none"/>
              </w:rPr>
            </w:pPr>
            <w:r>
              <w:rPr>
                <w:rFonts w:hint="eastAsia" w:ascii="宋体" w:hAnsi="宋体"/>
                <w:szCs w:val="21"/>
                <w:highlight w:val="none"/>
              </w:rPr>
              <w:t>投标总报价、施工费超过招标控制价的投标文件均作废标处理。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投标保证金</w:t>
            </w:r>
          </w:p>
        </w:tc>
        <w:tc>
          <w:tcPr>
            <w:tcW w:w="5908" w:type="dxa"/>
            <w:vAlign w:val="center"/>
          </w:tcPr>
          <w:p>
            <w:pPr>
              <w:adjustRightInd w:val="0"/>
              <w:snapToGrid w:val="0"/>
              <w:spacing w:line="360" w:lineRule="auto"/>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1、投</w:t>
            </w:r>
            <w:r>
              <w:rPr>
                <w:rFonts w:hint="eastAsia" w:asciiTheme="minorEastAsia" w:hAnsiTheme="minorEastAsia" w:eastAsiaTheme="minorEastAsia"/>
                <w:szCs w:val="21"/>
                <w:highlight w:val="yellow"/>
              </w:rPr>
              <w:t>标保</w:t>
            </w:r>
            <w:r>
              <w:rPr>
                <w:rFonts w:hint="eastAsia" w:asciiTheme="minorEastAsia" w:hAnsiTheme="minorEastAsia" w:eastAsiaTheme="minorEastAsia"/>
                <w:szCs w:val="21"/>
                <w:highlight w:val="yellow"/>
                <w:lang w:eastAsia="zh-CN"/>
              </w:rPr>
              <w:t>证</w:t>
            </w:r>
            <w:r>
              <w:rPr>
                <w:rFonts w:hint="eastAsia" w:asciiTheme="minorEastAsia" w:hAnsiTheme="minorEastAsia" w:eastAsiaTheme="minorEastAsia"/>
                <w:szCs w:val="21"/>
                <w:highlight w:val="yellow"/>
              </w:rPr>
              <w:t>的金额：人民币</w:t>
            </w:r>
            <w:r>
              <w:rPr>
                <w:rFonts w:hint="eastAsia" w:asciiTheme="minorEastAsia" w:hAnsiTheme="minorEastAsia" w:eastAsiaTheme="minorEastAsia"/>
                <w:szCs w:val="21"/>
                <w:highlight w:val="yellow"/>
                <w:u w:val="single"/>
                <w:lang w:val="en-US" w:eastAsia="zh-CN"/>
              </w:rPr>
              <w:t>伍千</w:t>
            </w:r>
            <w:r>
              <w:rPr>
                <w:rFonts w:hint="eastAsia" w:asciiTheme="minorEastAsia" w:hAnsiTheme="minorEastAsia" w:eastAsiaTheme="minorEastAsia"/>
                <w:szCs w:val="21"/>
                <w:highlight w:val="yellow"/>
              </w:rPr>
              <w:t>元。</w:t>
            </w:r>
          </w:p>
          <w:p>
            <w:pPr>
              <w:adjustRightInd w:val="0"/>
              <w:snapToGrid w:val="0"/>
              <w:spacing w:line="360" w:lineRule="auto"/>
              <w:rPr>
                <w:rFonts w:hint="eastAsia"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yellow"/>
              </w:rPr>
              <w:t>2、缴纳方式：</w:t>
            </w:r>
            <w:r>
              <w:rPr>
                <w:rFonts w:hint="eastAsia" w:asciiTheme="minorEastAsia" w:hAnsiTheme="minorEastAsia" w:eastAsiaTheme="minorEastAsia"/>
                <w:szCs w:val="21"/>
                <w:highlight w:val="yellow"/>
                <w:lang w:val="en-US" w:eastAsia="zh-CN"/>
              </w:rPr>
              <w:t>转账</w:t>
            </w:r>
          </w:p>
          <w:p>
            <w:pPr>
              <w:pStyle w:val="20"/>
              <w:snapToGrid w:val="0"/>
              <w:spacing w:line="360" w:lineRule="auto"/>
              <w:rPr>
                <w:rFonts w:hint="eastAsia" w:ascii="宋体" w:hAnsi="宋体" w:eastAsia="宋体"/>
                <w:sz w:val="21"/>
                <w:szCs w:val="21"/>
                <w:highlight w:val="yellow"/>
                <w:lang w:eastAsia="zh-CN"/>
              </w:rPr>
            </w:pPr>
            <w:r>
              <w:rPr>
                <w:rFonts w:hint="eastAsia" w:ascii="宋体" w:hAnsi="宋体"/>
                <w:sz w:val="21"/>
                <w:szCs w:val="21"/>
                <w:highlight w:val="yellow"/>
              </w:rPr>
              <w:t>账户名称</w:t>
            </w:r>
            <w:r>
              <w:rPr>
                <w:rFonts w:hint="eastAsia" w:ascii="宋体" w:hAnsi="宋体"/>
                <w:sz w:val="21"/>
                <w:szCs w:val="21"/>
                <w:highlight w:val="none"/>
              </w:rPr>
              <w:t>：</w:t>
            </w:r>
            <w:r>
              <w:rPr>
                <w:rFonts w:hint="eastAsia" w:ascii="宋体" w:hAnsi="宋体" w:cs="宋体"/>
                <w:sz w:val="21"/>
                <w:szCs w:val="21"/>
                <w:highlight w:val="none"/>
              </w:rPr>
              <w:t>广州南沙湿地旅游发展有限公司</w:t>
            </w:r>
          </w:p>
          <w:p>
            <w:pPr>
              <w:pStyle w:val="20"/>
              <w:snapToGrid w:val="0"/>
              <w:spacing w:line="360" w:lineRule="auto"/>
              <w:rPr>
                <w:rFonts w:hint="eastAsia" w:ascii="宋体" w:hAnsi="宋体" w:eastAsia="宋体" w:cs="宋体"/>
                <w:sz w:val="21"/>
                <w:szCs w:val="21"/>
                <w:highlight w:val="yellow"/>
                <w:lang w:eastAsia="zh-CN"/>
              </w:rPr>
            </w:pPr>
            <w:r>
              <w:rPr>
                <w:rFonts w:hint="eastAsia" w:ascii="宋体" w:hAnsi="宋体"/>
                <w:sz w:val="21"/>
                <w:szCs w:val="21"/>
                <w:highlight w:val="yellow"/>
              </w:rPr>
              <w:t>开户银行</w:t>
            </w:r>
            <w:r>
              <w:rPr>
                <w:rFonts w:hint="eastAsia" w:ascii="宋体" w:hAnsi="宋体"/>
                <w:sz w:val="21"/>
                <w:szCs w:val="21"/>
                <w:highlight w:val="none"/>
              </w:rPr>
              <w:t>：</w:t>
            </w:r>
            <w:r>
              <w:rPr>
                <w:rFonts w:hint="eastAsia" w:ascii="宋体" w:hAnsi="宋体" w:cs="宋体"/>
                <w:sz w:val="21"/>
                <w:szCs w:val="21"/>
                <w:highlight w:val="none"/>
              </w:rPr>
              <w:t>广州农村商业银行十四冲支行</w:t>
            </w:r>
            <w:r>
              <w:rPr>
                <w:rFonts w:hint="eastAsia" w:ascii="宋体" w:hAnsi="宋体" w:cs="宋体"/>
                <w:sz w:val="21"/>
                <w:szCs w:val="21"/>
                <w:highlight w:val="yellow"/>
                <w:lang w:val="en-US" w:eastAsia="zh-CN"/>
              </w:rPr>
              <w:t xml:space="preserve"> </w:t>
            </w:r>
          </w:p>
          <w:p>
            <w:pPr>
              <w:pStyle w:val="20"/>
              <w:snapToGrid w:val="0"/>
              <w:spacing w:line="360" w:lineRule="auto"/>
              <w:rPr>
                <w:rFonts w:hint="eastAsia" w:ascii="宋体" w:hAnsi="宋体" w:eastAsia="宋体"/>
                <w:sz w:val="21"/>
                <w:szCs w:val="21"/>
                <w:highlight w:val="yellow"/>
                <w:lang w:val="en-US" w:eastAsia="zh-CN"/>
              </w:rPr>
            </w:pPr>
            <w:r>
              <w:rPr>
                <w:rFonts w:hint="eastAsia" w:ascii="宋体" w:hAnsi="宋体"/>
                <w:sz w:val="21"/>
                <w:szCs w:val="21"/>
                <w:highlight w:val="yellow"/>
              </w:rPr>
              <w:t>账号</w:t>
            </w:r>
            <w:r>
              <w:rPr>
                <w:rFonts w:hint="eastAsia" w:ascii="宋体" w:hAnsi="宋体"/>
                <w:sz w:val="21"/>
                <w:szCs w:val="21"/>
                <w:highlight w:val="none"/>
              </w:rPr>
              <w:t>：</w:t>
            </w:r>
            <w:r>
              <w:rPr>
                <w:rFonts w:hint="eastAsia" w:ascii="宋体" w:hAnsi="宋体" w:cs="宋体"/>
                <w:sz w:val="21"/>
                <w:szCs w:val="21"/>
                <w:highlight w:val="none"/>
              </w:rPr>
              <w:t>05621949000000074</w:t>
            </w:r>
          </w:p>
          <w:p>
            <w:pPr>
              <w:adjustRightInd w:val="0"/>
              <w:snapToGrid w:val="0"/>
              <w:spacing w:line="360" w:lineRule="auto"/>
              <w:rPr>
                <w:rFonts w:hint="eastAsia" w:asciiTheme="minorEastAsia" w:hAnsiTheme="minorEastAsia" w:eastAsiaTheme="minorEastAsia"/>
                <w:szCs w:val="21"/>
                <w:highlight w:val="yellow"/>
              </w:rPr>
            </w:pPr>
            <w:r>
              <w:rPr>
                <w:rFonts w:hint="eastAsia" w:asciiTheme="minorEastAsia" w:hAnsiTheme="minorEastAsia" w:eastAsiaTheme="minorEastAsia"/>
                <w:szCs w:val="21"/>
                <w:highlight w:val="yellow"/>
              </w:rPr>
              <w:t>缴纳时间：投标单位须在</w:t>
            </w:r>
            <w:r>
              <w:rPr>
                <w:rFonts w:hint="eastAsia" w:asciiTheme="minorEastAsia" w:hAnsiTheme="minorEastAsia" w:eastAsiaTheme="minorEastAsia"/>
                <w:szCs w:val="21"/>
                <w:highlight w:val="yellow"/>
                <w:u w:val="single"/>
              </w:rPr>
              <w:t>202</w:t>
            </w:r>
            <w:r>
              <w:rPr>
                <w:rFonts w:hint="eastAsia" w:asciiTheme="minorEastAsia" w:hAnsiTheme="minorEastAsia" w:eastAsiaTheme="minorEastAsia"/>
                <w:szCs w:val="21"/>
                <w:highlight w:val="yellow"/>
                <w:u w:val="single"/>
                <w:lang w:val="en-US" w:eastAsia="zh-CN"/>
              </w:rPr>
              <w:t>3</w:t>
            </w:r>
            <w:r>
              <w:rPr>
                <w:rFonts w:hint="eastAsia" w:asciiTheme="minorEastAsia" w:hAnsiTheme="minorEastAsia" w:eastAsiaTheme="minorEastAsia"/>
                <w:szCs w:val="21"/>
                <w:highlight w:val="yellow"/>
                <w:u w:val="single"/>
              </w:rPr>
              <w:t>年</w:t>
            </w:r>
            <w:r>
              <w:rPr>
                <w:rFonts w:hint="eastAsia" w:asciiTheme="minorEastAsia" w:hAnsiTheme="minorEastAsia" w:eastAsiaTheme="minorEastAsia"/>
                <w:szCs w:val="21"/>
                <w:highlight w:val="yellow"/>
                <w:u w:val="single"/>
                <w:lang w:val="en-US" w:eastAsia="zh-CN"/>
              </w:rPr>
              <w:t>1</w:t>
            </w:r>
            <w:r>
              <w:rPr>
                <w:rFonts w:hint="eastAsia" w:asciiTheme="minorEastAsia" w:hAnsiTheme="minorEastAsia" w:eastAsiaTheme="minorEastAsia"/>
                <w:szCs w:val="21"/>
                <w:highlight w:val="yellow"/>
                <w:u w:val="single"/>
              </w:rPr>
              <w:t>月</w:t>
            </w:r>
            <w:r>
              <w:rPr>
                <w:rFonts w:hint="eastAsia" w:asciiTheme="minorEastAsia" w:hAnsiTheme="minorEastAsia" w:eastAsiaTheme="minorEastAsia"/>
                <w:szCs w:val="21"/>
                <w:highlight w:val="yellow"/>
                <w:u w:val="single"/>
                <w:lang w:val="en-US" w:eastAsia="zh-CN"/>
              </w:rPr>
              <w:t xml:space="preserve">16 </w:t>
            </w:r>
            <w:r>
              <w:rPr>
                <w:rFonts w:hint="eastAsia" w:asciiTheme="minorEastAsia" w:hAnsiTheme="minorEastAsia" w:eastAsiaTheme="minorEastAsia"/>
                <w:szCs w:val="21"/>
                <w:highlight w:val="yellow"/>
                <w:u w:val="single"/>
              </w:rPr>
              <w:t>日</w:t>
            </w:r>
            <w:r>
              <w:rPr>
                <w:rFonts w:hint="eastAsia" w:asciiTheme="minorEastAsia" w:hAnsiTheme="minorEastAsia" w:eastAsiaTheme="minorEastAsia"/>
                <w:szCs w:val="21"/>
                <w:highlight w:val="yellow"/>
                <w:u w:val="single"/>
                <w:lang w:val="en-US" w:eastAsia="zh-CN"/>
              </w:rPr>
              <w:t>17时</w:t>
            </w:r>
            <w:r>
              <w:rPr>
                <w:rFonts w:hint="eastAsia" w:asciiTheme="minorEastAsia" w:hAnsiTheme="minorEastAsia" w:eastAsiaTheme="minorEastAsia"/>
                <w:szCs w:val="21"/>
                <w:highlight w:val="yellow"/>
              </w:rPr>
              <w:t>前以</w:t>
            </w:r>
            <w:r>
              <w:rPr>
                <w:rFonts w:hint="eastAsia"/>
                <w:szCs w:val="21"/>
                <w:highlight w:val="yellow"/>
              </w:rPr>
              <w:t>投标人转出【以招标单位查询的信息为准，汇款时备注：</w:t>
            </w:r>
            <w:r>
              <w:rPr>
                <w:rFonts w:hint="eastAsia" w:ascii="宋体" w:hAnsi="宋体" w:cs="宋体"/>
                <w:szCs w:val="21"/>
                <w:highlight w:val="none"/>
                <w:lang w:eastAsia="zh-CN"/>
              </w:rPr>
              <w:t>湿地景区科普长廊维修事项</w:t>
            </w:r>
            <w:r>
              <w:rPr>
                <w:rFonts w:hint="eastAsia" w:ascii="宋体" w:hAnsi="宋体" w:cs="宋体"/>
                <w:szCs w:val="21"/>
                <w:highlight w:val="none"/>
              </w:rPr>
              <w:t>总承包</w:t>
            </w:r>
            <w:r>
              <w:rPr>
                <w:rFonts w:hint="eastAsia" w:asciiTheme="minorEastAsia" w:hAnsiTheme="minorEastAsia" w:eastAsiaTheme="minorEastAsia"/>
                <w:szCs w:val="21"/>
                <w:highlight w:val="yellow"/>
              </w:rPr>
              <w:t>投标保证金】</w:t>
            </w:r>
          </w:p>
          <w:p>
            <w:pPr>
              <w:adjustRightInd w:val="0"/>
              <w:snapToGrid w:val="0"/>
              <w:spacing w:line="360" w:lineRule="auto"/>
              <w:rPr>
                <w:rFonts w:hint="eastAsia"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yellow"/>
                <w:lang w:val="en-US" w:eastAsia="zh-CN"/>
              </w:rPr>
              <w:t>4、未按规定缴纳投标保证金的正式投标人将被视为自动放弃本工程的投标资格。</w:t>
            </w:r>
          </w:p>
          <w:p>
            <w:pPr>
              <w:numPr>
                <w:ilvl w:val="0"/>
                <w:numId w:val="0"/>
              </w:numPr>
              <w:adjustRightInd w:val="0"/>
              <w:snapToGrid w:val="0"/>
              <w:spacing w:line="360" w:lineRule="auto"/>
              <w:rPr>
                <w:rFonts w:hint="eastAsia" w:eastAsia="宋体"/>
                <w:szCs w:val="21"/>
                <w:highlight w:val="none"/>
                <w:lang w:val="en-US" w:eastAsia="zh-CN"/>
              </w:rPr>
            </w:pPr>
            <w:r>
              <w:rPr>
                <w:rFonts w:hint="eastAsia"/>
                <w:color w:val="FF0000"/>
                <w:szCs w:val="21"/>
                <w:highlight w:val="none"/>
                <w:lang w:val="en-US" w:eastAsia="zh-CN"/>
              </w:rPr>
              <w:t>5、招标人在中标通知书发出后10个工作日内无息退还未中标投标人的投标保证金，在合同签订后10个工作日内无息退还中标投标人的投标保证金。所有投标人的投标保证金以转账的方式予以退还。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26</w:t>
            </w:r>
          </w:p>
        </w:tc>
        <w:tc>
          <w:tcPr>
            <w:tcW w:w="2816" w:type="dxa"/>
            <w:vAlign w:val="center"/>
          </w:tcPr>
          <w:p>
            <w:pPr>
              <w:pStyle w:val="37"/>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27</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pStyle w:val="4"/>
        <w:jc w:val="center"/>
        <w:rPr>
          <w:highlight w:val="none"/>
        </w:rPr>
      </w:pPr>
      <w:bookmarkStart w:id="81" w:name="_Toc19435"/>
      <w:bookmarkStart w:id="82" w:name="_Toc23892"/>
      <w:bookmarkStart w:id="83" w:name="_Toc152045529"/>
      <w:bookmarkStart w:id="84" w:name="_Toc31351"/>
      <w:bookmarkStart w:id="85" w:name="_Toc144974497"/>
      <w:bookmarkStart w:id="86" w:name="_Toc14621"/>
      <w:bookmarkStart w:id="87" w:name="_Toc152042305"/>
      <w:bookmarkStart w:id="88" w:name="_Toc30938"/>
      <w:bookmarkStart w:id="89" w:name="_Toc5310"/>
      <w:bookmarkStart w:id="90" w:name="_Toc5556"/>
      <w:bookmarkStart w:id="91" w:name="_Toc247527553"/>
      <w:bookmarkStart w:id="92" w:name="_Toc247513952"/>
      <w:bookmarkStart w:id="93" w:name="_Toc300834949"/>
      <w:bookmarkStart w:id="94" w:name="_Toc494371515"/>
      <w:bookmarkStart w:id="95" w:name="_Toc493"/>
      <w:bookmarkStart w:id="96" w:name="_Toc8466"/>
      <w:bookmarkStart w:id="97" w:name="_Toc2174"/>
      <w:bookmarkStart w:id="98" w:name="_Toc376"/>
      <w:bookmarkStart w:id="99" w:name="_Toc22983"/>
      <w:r>
        <w:rPr>
          <w:highlight w:val="none"/>
        </w:rPr>
        <w:t xml:space="preserve">1. </w:t>
      </w:r>
      <w:r>
        <w:rPr>
          <w:rFonts w:hint="eastAsia"/>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highlight w:val="none"/>
        </w:rPr>
      </w:pPr>
      <w:bookmarkStart w:id="100" w:name="_Toc247513953"/>
      <w:bookmarkStart w:id="101" w:name="_Toc16159"/>
      <w:bookmarkStart w:id="102" w:name="_Toc6146"/>
      <w:bookmarkStart w:id="103" w:name="_Toc22928"/>
      <w:bookmarkStart w:id="104" w:name="_Toc152045530"/>
      <w:bookmarkStart w:id="105" w:name="_Toc144974498"/>
      <w:bookmarkStart w:id="106" w:name="_Toc27599"/>
      <w:bookmarkStart w:id="107" w:name="_Toc3327"/>
      <w:bookmarkStart w:id="108" w:name="_Toc152042306"/>
      <w:bookmarkStart w:id="109" w:name="_Toc494371516"/>
      <w:bookmarkStart w:id="110" w:name="_Toc247527554"/>
      <w:bookmarkStart w:id="111" w:name="_Toc8430"/>
      <w:bookmarkStart w:id="112" w:name="_Toc30762"/>
      <w:bookmarkStart w:id="113" w:name="_Toc16499"/>
      <w:bookmarkStart w:id="114" w:name="_Toc23702"/>
      <w:bookmarkStart w:id="115" w:name="_Toc12263"/>
      <w:bookmarkStart w:id="116" w:name="_Toc300834950"/>
      <w:r>
        <w:rPr>
          <w:rFonts w:ascii="Times New Roman" w:hAnsi="Times New Roman"/>
          <w:highlight w:val="none"/>
        </w:rPr>
        <w:t>1.1</w:t>
      </w:r>
      <w:r>
        <w:rPr>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highlight w:val="none"/>
        </w:rPr>
      </w:pPr>
      <w:r>
        <w:rPr>
          <w:highlight w:val="none"/>
        </w:rPr>
        <w:t>1.1.1</w:t>
      </w:r>
      <w:r>
        <w:rPr>
          <w:rFonts w:hint="eastAsia"/>
          <w:highlight w:val="none"/>
        </w:rPr>
        <w:t>根据《中华人民共和国招标投标法》等有关法律、法规和规章的规定，本招标项目已具备招标条件，现对该项目施工进行总承包招标。</w:t>
      </w:r>
    </w:p>
    <w:p>
      <w:pPr>
        <w:spacing w:line="400" w:lineRule="exact"/>
        <w:ind w:firstLine="420" w:firstLineChars="200"/>
        <w:rPr>
          <w:highlight w:val="none"/>
        </w:rPr>
      </w:pPr>
      <w:r>
        <w:rPr>
          <w:highlight w:val="none"/>
        </w:rPr>
        <w:t xml:space="preserve">1.1.2 </w:t>
      </w:r>
      <w:r>
        <w:rPr>
          <w:rFonts w:hint="eastAsia"/>
          <w:highlight w:val="none"/>
        </w:rPr>
        <w:t>招标单位：见投标人须知前附表。</w:t>
      </w:r>
    </w:p>
    <w:p>
      <w:pPr>
        <w:spacing w:line="400" w:lineRule="exact"/>
        <w:ind w:firstLine="420" w:firstLineChars="200"/>
        <w:rPr>
          <w:highlight w:val="none"/>
        </w:rPr>
      </w:pPr>
      <w:r>
        <w:rPr>
          <w:highlight w:val="none"/>
        </w:rPr>
        <w:t>1.1.</w:t>
      </w:r>
      <w:r>
        <w:rPr>
          <w:rFonts w:hint="eastAsia"/>
          <w:highlight w:val="none"/>
        </w:rPr>
        <w:t>3</w:t>
      </w:r>
      <w:r>
        <w:rPr>
          <w:highlight w:val="none"/>
        </w:rPr>
        <w:t xml:space="preserve"> </w:t>
      </w:r>
      <w:r>
        <w:rPr>
          <w:rFonts w:hint="eastAsia"/>
          <w:highlight w:val="none"/>
        </w:rPr>
        <w:t>招标项目名称：见投标人须知前附表。</w:t>
      </w:r>
    </w:p>
    <w:p>
      <w:pPr>
        <w:spacing w:line="400" w:lineRule="exact"/>
        <w:ind w:firstLine="420" w:firstLineChars="200"/>
        <w:rPr>
          <w:highlight w:val="none"/>
        </w:rPr>
      </w:pPr>
      <w:r>
        <w:rPr>
          <w:highlight w:val="none"/>
        </w:rPr>
        <w:t>1.1.</w:t>
      </w:r>
      <w:r>
        <w:rPr>
          <w:rFonts w:hint="eastAsia"/>
          <w:highlight w:val="none"/>
        </w:rPr>
        <w:t>4</w:t>
      </w:r>
      <w:r>
        <w:rPr>
          <w:highlight w:val="none"/>
        </w:rPr>
        <w:t xml:space="preserve"> </w:t>
      </w:r>
      <w:r>
        <w:rPr>
          <w:rFonts w:hint="eastAsia"/>
          <w:highlight w:val="none"/>
        </w:rPr>
        <w:t>项目建设地点：见投标人须知前附表。</w:t>
      </w:r>
    </w:p>
    <w:p>
      <w:pPr>
        <w:pStyle w:val="5"/>
        <w:rPr>
          <w:highlight w:val="none"/>
        </w:rPr>
      </w:pPr>
      <w:bookmarkStart w:id="117" w:name="_Toc22426"/>
      <w:bookmarkStart w:id="118" w:name="_Toc247513954"/>
      <w:bookmarkStart w:id="119" w:name="_Toc28164"/>
      <w:bookmarkStart w:id="120" w:name="_Toc5082"/>
      <w:bookmarkStart w:id="121" w:name="_Toc2014"/>
      <w:bookmarkStart w:id="122" w:name="_Toc152042307"/>
      <w:bookmarkStart w:id="123" w:name="_Toc152045531"/>
      <w:bookmarkStart w:id="124" w:name="_Toc10866"/>
      <w:bookmarkStart w:id="125" w:name="_Toc144974499"/>
      <w:bookmarkStart w:id="126" w:name="_Toc23335"/>
      <w:bookmarkStart w:id="127" w:name="_Toc6619"/>
      <w:bookmarkStart w:id="128" w:name="_Toc24580"/>
      <w:bookmarkStart w:id="129" w:name="_Toc247527555"/>
      <w:bookmarkStart w:id="130" w:name="_Toc494371517"/>
      <w:bookmarkStart w:id="131" w:name="_Toc300834951"/>
      <w:bookmarkStart w:id="132" w:name="_Toc17611"/>
      <w:bookmarkStart w:id="133" w:name="_Toc21962"/>
      <w:r>
        <w:rPr>
          <w:rFonts w:ascii="Times New Roman" w:hAnsi="Times New Roman"/>
          <w:highlight w:val="none"/>
        </w:rPr>
        <w:t xml:space="preserve">1.2 </w:t>
      </w:r>
      <w:r>
        <w:rPr>
          <w:rFonts w:hint="eastAsia"/>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highlight w:val="none"/>
        </w:rPr>
      </w:pPr>
      <w:r>
        <w:rPr>
          <w:highlight w:val="none"/>
        </w:rPr>
        <w:t xml:space="preserve">1.2.1 </w:t>
      </w:r>
      <w:r>
        <w:rPr>
          <w:rFonts w:hint="eastAsia"/>
          <w:highlight w:val="none"/>
        </w:rPr>
        <w:t>资金来源及比例：见投标人须知前附表。</w:t>
      </w:r>
    </w:p>
    <w:p>
      <w:pPr>
        <w:spacing w:line="400" w:lineRule="exact"/>
        <w:ind w:firstLine="420" w:firstLineChars="200"/>
        <w:rPr>
          <w:highlight w:val="none"/>
        </w:rPr>
      </w:pPr>
      <w:r>
        <w:rPr>
          <w:highlight w:val="none"/>
        </w:rPr>
        <w:t xml:space="preserve">1.2.2 </w:t>
      </w:r>
      <w:r>
        <w:rPr>
          <w:rFonts w:hint="eastAsia"/>
          <w:highlight w:val="none"/>
        </w:rPr>
        <w:t>资金落实情况：见投标人须知前附表。</w:t>
      </w:r>
    </w:p>
    <w:p>
      <w:pPr>
        <w:pStyle w:val="5"/>
        <w:rPr>
          <w:highlight w:val="none"/>
        </w:rPr>
      </w:pPr>
      <w:bookmarkStart w:id="134" w:name="_Toc152042308"/>
      <w:bookmarkStart w:id="135" w:name="_Toc247527556"/>
      <w:bookmarkStart w:id="136" w:name="_Toc247513955"/>
      <w:bookmarkStart w:id="137" w:name="_Toc144974500"/>
      <w:bookmarkStart w:id="138" w:name="_Toc152045532"/>
      <w:bookmarkStart w:id="139" w:name="_Toc5144"/>
      <w:bookmarkStart w:id="140" w:name="_Toc8046"/>
      <w:bookmarkStart w:id="141" w:name="_Toc494371518"/>
      <w:bookmarkStart w:id="142" w:name="_Toc10055"/>
      <w:bookmarkStart w:id="143" w:name="_Toc300834952"/>
      <w:bookmarkStart w:id="144" w:name="_Toc24250"/>
      <w:bookmarkStart w:id="145" w:name="_Toc21315"/>
      <w:bookmarkStart w:id="146" w:name="_Toc6852"/>
      <w:bookmarkStart w:id="147" w:name="_Toc30791"/>
      <w:bookmarkStart w:id="148" w:name="_Toc12223"/>
      <w:bookmarkStart w:id="149" w:name="_Toc20564"/>
      <w:bookmarkStart w:id="150" w:name="_Toc12593"/>
      <w:r>
        <w:rPr>
          <w:rFonts w:ascii="Times New Roman" w:hAnsi="Times New Roman"/>
          <w:highlight w:val="none"/>
        </w:rPr>
        <w:t>1.3</w:t>
      </w:r>
      <w:r>
        <w:rPr>
          <w:highlight w:val="none"/>
        </w:rPr>
        <w:t xml:space="preserve"> 招标范围、</w:t>
      </w:r>
      <w:r>
        <w:rPr>
          <w:rFonts w:hint="eastAsia"/>
          <w:highlight w:val="none"/>
        </w:rPr>
        <w:t>工期要求</w:t>
      </w:r>
      <w:r>
        <w:rPr>
          <w:highlight w:val="none"/>
        </w:rPr>
        <w:t>和</w:t>
      </w:r>
      <w:bookmarkEnd w:id="134"/>
      <w:bookmarkEnd w:id="135"/>
      <w:bookmarkEnd w:id="136"/>
      <w:bookmarkEnd w:id="137"/>
      <w:bookmarkEnd w:id="138"/>
      <w:r>
        <w:rPr>
          <w:rFonts w:hint="eastAsia"/>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highlight w:val="none"/>
        </w:rPr>
      </w:pPr>
      <w:r>
        <w:rPr>
          <w:highlight w:val="none"/>
        </w:rPr>
        <w:t xml:space="preserve">1.3.1 </w:t>
      </w:r>
      <w:r>
        <w:rPr>
          <w:rFonts w:hint="eastAsia"/>
          <w:highlight w:val="none"/>
        </w:rPr>
        <w:t>招标范围：见投标人须知前附表。</w:t>
      </w:r>
    </w:p>
    <w:p>
      <w:pPr>
        <w:spacing w:line="400" w:lineRule="exact"/>
        <w:ind w:firstLine="420" w:firstLineChars="200"/>
        <w:rPr>
          <w:highlight w:val="none"/>
        </w:rPr>
      </w:pPr>
      <w:r>
        <w:rPr>
          <w:highlight w:val="none"/>
        </w:rPr>
        <w:t xml:space="preserve">1.3.2 </w:t>
      </w:r>
      <w:r>
        <w:rPr>
          <w:rFonts w:hint="eastAsia"/>
          <w:highlight w:val="none"/>
        </w:rPr>
        <w:t>计划工期：见投标人须知前附表。</w:t>
      </w:r>
    </w:p>
    <w:p>
      <w:pPr>
        <w:spacing w:line="400" w:lineRule="exact"/>
        <w:ind w:firstLine="420" w:firstLineChars="200"/>
        <w:rPr>
          <w:highlight w:val="none"/>
        </w:rPr>
      </w:pPr>
      <w:r>
        <w:rPr>
          <w:highlight w:val="none"/>
        </w:rPr>
        <w:t xml:space="preserve">1.3.3 </w:t>
      </w:r>
      <w:r>
        <w:rPr>
          <w:rFonts w:hint="eastAsia"/>
          <w:highlight w:val="none"/>
        </w:rPr>
        <w:t>质量标准：见投标人须知前附表。</w:t>
      </w:r>
    </w:p>
    <w:p>
      <w:pPr>
        <w:pStyle w:val="5"/>
        <w:rPr>
          <w:highlight w:val="none"/>
        </w:rPr>
      </w:pPr>
      <w:bookmarkStart w:id="151" w:name="_Toc30070"/>
      <w:bookmarkStart w:id="152" w:name="_Toc9786"/>
      <w:bookmarkStart w:id="153" w:name="_Toc494371519"/>
      <w:bookmarkStart w:id="154" w:name="_Toc300834953"/>
      <w:bookmarkStart w:id="155" w:name="_Toc247513956"/>
      <w:bookmarkStart w:id="156" w:name="_Toc29837"/>
      <w:bookmarkStart w:id="157" w:name="_Toc21278"/>
      <w:bookmarkStart w:id="158" w:name="_Toc27436"/>
      <w:bookmarkStart w:id="159" w:name="_Toc15022"/>
      <w:bookmarkStart w:id="160" w:name="_Toc27548"/>
      <w:bookmarkStart w:id="161" w:name="_Toc10308"/>
      <w:bookmarkStart w:id="162" w:name="_Toc247527557"/>
      <w:bookmarkStart w:id="163" w:name="_Toc152042309"/>
      <w:bookmarkStart w:id="164" w:name="_Toc152045533"/>
      <w:bookmarkStart w:id="165" w:name="_Toc144974501"/>
      <w:bookmarkStart w:id="166" w:name="_Toc25165"/>
      <w:bookmarkStart w:id="167" w:name="_Toc16204"/>
      <w:r>
        <w:rPr>
          <w:rFonts w:ascii="Times New Roman" w:hAnsi="Times New Roman"/>
          <w:highlight w:val="none"/>
        </w:rPr>
        <w:t>1.4</w:t>
      </w:r>
      <w:r>
        <w:rPr>
          <w:highlight w:val="none"/>
        </w:rPr>
        <w:t xml:space="preserve"> 投标人</w:t>
      </w:r>
      <w:r>
        <w:rPr>
          <w:rFonts w:hint="eastAsia"/>
          <w:highlight w:val="none"/>
        </w:rPr>
        <w:t>合格条件</w:t>
      </w:r>
      <w:r>
        <w:rPr>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highlight w:val="none"/>
        </w:rPr>
      </w:pPr>
      <w:bookmarkStart w:id="168" w:name="_Toc247513959"/>
      <w:bookmarkStart w:id="169" w:name="_Toc29962"/>
      <w:bookmarkStart w:id="170" w:name="_Toc300834956"/>
      <w:bookmarkStart w:id="171" w:name="_Toc15250"/>
      <w:bookmarkStart w:id="172" w:name="_Toc17087"/>
      <w:bookmarkStart w:id="173" w:name="_Toc494371521"/>
      <w:bookmarkStart w:id="174" w:name="_Toc20208"/>
      <w:bookmarkStart w:id="175" w:name="_Toc247527560"/>
      <w:bookmarkStart w:id="176" w:name="_Toc31463"/>
      <w:bookmarkStart w:id="177" w:name="_Toc9983"/>
      <w:bookmarkStart w:id="178" w:name="_Toc152045536"/>
      <w:bookmarkStart w:id="179" w:name="_Toc13053"/>
      <w:bookmarkStart w:id="180" w:name="_Toc144974504"/>
      <w:bookmarkStart w:id="181" w:name="_Toc29204"/>
      <w:bookmarkStart w:id="182" w:name="_Toc152042312"/>
      <w:bookmarkStart w:id="183" w:name="_Toc1809"/>
      <w:bookmarkStart w:id="184" w:name="_Toc25667"/>
      <w:r>
        <w:rPr>
          <w:rFonts w:ascii="Times New Roman" w:hAnsi="Times New Roman"/>
          <w:highlight w:val="none"/>
        </w:rPr>
        <w:t>1</w:t>
      </w:r>
      <w:r>
        <w:rPr>
          <w:rFonts w:hint="eastAsia" w:ascii="Times New Roman" w:hAnsi="Times New Roman"/>
          <w:highlight w:val="none"/>
        </w:rPr>
        <w:t>.5</w:t>
      </w:r>
      <w:r>
        <w:rPr>
          <w:rFonts w:ascii="Times New Roman" w:hAnsi="Times New Roman"/>
          <w:highlight w:val="none"/>
        </w:rPr>
        <w:t xml:space="preserve"> </w:t>
      </w:r>
      <w:r>
        <w:rPr>
          <w:rFonts w:hint="eastAsia"/>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highlight w:val="none"/>
        </w:rPr>
        <w:tab/>
      </w:r>
    </w:p>
    <w:p>
      <w:pPr>
        <w:spacing w:line="400" w:lineRule="exact"/>
        <w:ind w:firstLine="420" w:firstLineChars="200"/>
        <w:rPr>
          <w:highlight w:val="none"/>
        </w:rPr>
      </w:pPr>
      <w:r>
        <w:rPr>
          <w:rFonts w:hint="eastAsia"/>
          <w:highlight w:val="none"/>
        </w:rPr>
        <w:t>参与招标投标活动的各方应对招标文件和投标文件中的商业和技术等秘密保密，否则应承担相应的法律责任。</w:t>
      </w:r>
    </w:p>
    <w:p>
      <w:pPr>
        <w:pStyle w:val="5"/>
        <w:rPr>
          <w:highlight w:val="none"/>
        </w:rPr>
      </w:pPr>
      <w:bookmarkStart w:id="185" w:name="_Toc144974505"/>
      <w:bookmarkStart w:id="186" w:name="_Toc7984"/>
      <w:bookmarkStart w:id="187" w:name="_Toc10710"/>
      <w:bookmarkStart w:id="188" w:name="_Toc152042313"/>
      <w:bookmarkStart w:id="189" w:name="_Toc300834957"/>
      <w:bookmarkStart w:id="190" w:name="_Toc27206"/>
      <w:bookmarkStart w:id="191" w:name="_Toc247513960"/>
      <w:bookmarkStart w:id="192" w:name="_Toc29984"/>
      <w:bookmarkStart w:id="193" w:name="_Toc15952"/>
      <w:bookmarkStart w:id="194" w:name="_Toc15403"/>
      <w:bookmarkStart w:id="195" w:name="_Toc152045537"/>
      <w:bookmarkStart w:id="196" w:name="_Toc12677"/>
      <w:bookmarkStart w:id="197" w:name="_Toc11478"/>
      <w:bookmarkStart w:id="198" w:name="_Toc494371522"/>
      <w:bookmarkStart w:id="199" w:name="_Toc21141"/>
      <w:bookmarkStart w:id="200" w:name="_Toc247527561"/>
      <w:bookmarkStart w:id="201" w:name="_Toc31702"/>
      <w:r>
        <w:rPr>
          <w:rFonts w:ascii="Times New Roman" w:hAnsi="Times New Roman"/>
          <w:highlight w:val="none"/>
        </w:rPr>
        <w:t>1.</w:t>
      </w:r>
      <w:r>
        <w:rPr>
          <w:rFonts w:hint="eastAsia" w:ascii="Times New Roman" w:hAnsi="Times New Roman"/>
          <w:highlight w:val="none"/>
        </w:rPr>
        <w:t>6</w:t>
      </w:r>
      <w:r>
        <w:rPr>
          <w:highlight w:val="none"/>
        </w:rPr>
        <w:t xml:space="preserve"> 语言</w:t>
      </w:r>
      <w:bookmarkEnd w:id="185"/>
      <w:r>
        <w:rPr>
          <w:rFonts w:hint="eastAsia"/>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highlight w:val="none"/>
        </w:rPr>
      </w:pPr>
      <w:r>
        <w:rPr>
          <w:rFonts w:hint="eastAsia"/>
          <w:highlight w:val="none"/>
        </w:rPr>
        <w:t>招标投标文件使用的语言文字为中文。专用术语使用外文的，应附有中文注释。</w:t>
      </w:r>
    </w:p>
    <w:p>
      <w:pPr>
        <w:pStyle w:val="5"/>
        <w:rPr>
          <w:highlight w:val="none"/>
        </w:rPr>
      </w:pPr>
      <w:bookmarkStart w:id="202" w:name="_Toc24995"/>
      <w:bookmarkStart w:id="203" w:name="_Toc247513961"/>
      <w:bookmarkStart w:id="204" w:name="_Toc152042314"/>
      <w:bookmarkStart w:id="205" w:name="_Toc6208"/>
      <w:bookmarkStart w:id="206" w:name="_Toc13627"/>
      <w:bookmarkStart w:id="207" w:name="_Toc494371523"/>
      <w:bookmarkStart w:id="208" w:name="_Toc152045538"/>
      <w:bookmarkStart w:id="209" w:name="_Toc27884"/>
      <w:bookmarkStart w:id="210" w:name="_Toc18979"/>
      <w:bookmarkStart w:id="211" w:name="_Toc300834958"/>
      <w:bookmarkStart w:id="212" w:name="_Toc247527562"/>
      <w:bookmarkStart w:id="213" w:name="_Toc3503"/>
      <w:bookmarkStart w:id="214" w:name="_Toc31715"/>
      <w:bookmarkStart w:id="215" w:name="_Toc28646"/>
      <w:bookmarkStart w:id="216" w:name="_Toc27006"/>
      <w:bookmarkStart w:id="217" w:name="_Toc144974506"/>
      <w:bookmarkStart w:id="218" w:name="_Toc32144"/>
      <w:r>
        <w:rPr>
          <w:rFonts w:ascii="Times New Roman" w:hAnsi="Times New Roman"/>
          <w:highlight w:val="none"/>
        </w:rPr>
        <w:t>1.</w:t>
      </w:r>
      <w:r>
        <w:rPr>
          <w:rFonts w:hint="eastAsia" w:ascii="Times New Roman" w:hAnsi="Times New Roman"/>
          <w:highlight w:val="none"/>
        </w:rPr>
        <w:t>7</w:t>
      </w:r>
      <w:r>
        <w:rPr>
          <w:rFonts w:ascii="Times New Roman" w:hAnsi="Times New Roman"/>
          <w:highlight w:val="none"/>
        </w:rPr>
        <w:t xml:space="preserve"> </w:t>
      </w:r>
      <w:r>
        <w:rPr>
          <w:rFonts w:hint="eastAsia"/>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highlight w:val="none"/>
        </w:rPr>
      </w:pPr>
      <w:r>
        <w:rPr>
          <w:highlight w:val="none"/>
        </w:rPr>
        <w:t>1.8.1</w:t>
      </w:r>
      <w:r>
        <w:rPr>
          <w:rFonts w:hint="eastAsia"/>
          <w:highlight w:val="none"/>
        </w:rPr>
        <w:t>所有计量均采用中华人民共和国法定计量单位。</w:t>
      </w:r>
    </w:p>
    <w:p>
      <w:pPr>
        <w:spacing w:line="400" w:lineRule="exact"/>
        <w:ind w:firstLine="420" w:firstLineChars="200"/>
        <w:rPr>
          <w:highlight w:val="none"/>
        </w:rPr>
      </w:pPr>
      <w:r>
        <w:rPr>
          <w:highlight w:val="none"/>
        </w:rPr>
        <w:t xml:space="preserve">1.8.2 </w:t>
      </w:r>
      <w:r>
        <w:rPr>
          <w:rFonts w:hint="eastAsia"/>
          <w:highlight w:val="none"/>
        </w:rPr>
        <w:t>本工程投标报价采用的的币种为人民币。</w:t>
      </w:r>
    </w:p>
    <w:p>
      <w:pPr>
        <w:pStyle w:val="5"/>
        <w:rPr>
          <w:highlight w:val="none"/>
        </w:rPr>
      </w:pPr>
      <w:bookmarkStart w:id="219" w:name="_Toc14018"/>
      <w:bookmarkStart w:id="220" w:name="_Toc32089"/>
      <w:bookmarkStart w:id="221" w:name="_Toc247513962"/>
      <w:bookmarkStart w:id="222" w:name="_Toc21709"/>
      <w:bookmarkStart w:id="223" w:name="_Toc152045539"/>
      <w:bookmarkStart w:id="224" w:name="_Toc494371524"/>
      <w:bookmarkStart w:id="225" w:name="_Toc7578"/>
      <w:bookmarkStart w:id="226" w:name="_Toc24491"/>
      <w:bookmarkStart w:id="227" w:name="_Toc300834959"/>
      <w:bookmarkStart w:id="228" w:name="_Toc21627"/>
      <w:bookmarkStart w:id="229" w:name="_Toc13153"/>
      <w:bookmarkStart w:id="230" w:name="_Toc23415"/>
      <w:bookmarkStart w:id="231" w:name="_Toc152042315"/>
      <w:bookmarkStart w:id="232" w:name="_Toc247527563"/>
      <w:bookmarkStart w:id="233" w:name="_Toc16330"/>
      <w:bookmarkStart w:id="234" w:name="_Toc26270"/>
      <w:bookmarkStart w:id="235" w:name="_Toc144974507"/>
      <w:r>
        <w:rPr>
          <w:rFonts w:ascii="Times New Roman" w:hAnsi="Times New Roman"/>
          <w:highlight w:val="none"/>
        </w:rPr>
        <w:t>1.</w:t>
      </w:r>
      <w:r>
        <w:rPr>
          <w:rFonts w:hint="eastAsia" w:ascii="Times New Roman" w:hAnsi="Times New Roman"/>
          <w:highlight w:val="none"/>
        </w:rPr>
        <w:t>8</w:t>
      </w:r>
      <w:r>
        <w:rPr>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highlight w:val="none"/>
        </w:rPr>
      </w:pPr>
      <w:r>
        <w:rPr>
          <w:highlight w:val="none"/>
        </w:rPr>
        <w:t>1.</w:t>
      </w:r>
      <w:r>
        <w:rPr>
          <w:rFonts w:hint="eastAsia"/>
          <w:highlight w:val="none"/>
        </w:rPr>
        <w:t>8</w:t>
      </w:r>
      <w:r>
        <w:rPr>
          <w:highlight w:val="none"/>
        </w:rPr>
        <w:t xml:space="preserve">.1 </w:t>
      </w:r>
      <w:r>
        <w:rPr>
          <w:rFonts w:hint="eastAsia"/>
          <w:highlight w:val="none"/>
        </w:rPr>
        <w:t>投标人须知前附表规定组织踏勘现场的，招标人按投标人须知前附表规定的时间、地点组织投标人踏勘项目现场。</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.2 </w:t>
      </w:r>
      <w:r>
        <w:rPr>
          <w:rFonts w:hint="eastAsia"/>
          <w:highlight w:val="none"/>
        </w:rPr>
        <w:t>投标人踏勘现场发生的费用自理。</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.3 </w:t>
      </w:r>
      <w:r>
        <w:rPr>
          <w:rFonts w:hint="eastAsia"/>
          <w:highlight w:val="none"/>
        </w:rPr>
        <w:t>除招标人的原因外，投标人自行负责在踏勘现场中所发生的人员伤亡和财产损失。</w:t>
      </w:r>
    </w:p>
    <w:p>
      <w:pPr>
        <w:spacing w:line="400" w:lineRule="exact"/>
        <w:ind w:firstLine="420" w:firstLineChars="200"/>
        <w:rPr>
          <w:highlight w:val="none"/>
        </w:rPr>
      </w:pPr>
      <w:r>
        <w:rPr>
          <w:highlight w:val="none"/>
        </w:rPr>
        <w:t>1.</w:t>
      </w:r>
      <w:r>
        <w:rPr>
          <w:rFonts w:hint="eastAsia"/>
          <w:highlight w:val="none"/>
        </w:rPr>
        <w:t>8</w:t>
      </w:r>
      <w:r>
        <w:rPr>
          <w:highlight w:val="none"/>
        </w:rPr>
        <w:t xml:space="preserve">.4 </w:t>
      </w:r>
      <w:r>
        <w:rPr>
          <w:rFonts w:hint="eastAsia"/>
          <w:highlight w:val="none"/>
        </w:rPr>
        <w:t>现场由投标人自行踏勘，投标人不进行踏勘的，视为已熟知现场条件，自行承担相关风险。招标人不对投标人自行踏勘现场作出的判断和决策负责。</w:t>
      </w:r>
    </w:p>
    <w:p>
      <w:pPr>
        <w:pStyle w:val="4"/>
        <w:rPr>
          <w:highlight w:val="none"/>
        </w:rPr>
      </w:pPr>
      <w:bookmarkStart w:id="236" w:name="_Toc28224"/>
      <w:bookmarkStart w:id="237" w:name="_Toc22778"/>
      <w:bookmarkStart w:id="238" w:name="_Toc13096"/>
      <w:bookmarkStart w:id="239" w:name="_Toc494371528"/>
      <w:bookmarkStart w:id="240" w:name="_Toc20199"/>
      <w:bookmarkStart w:id="241" w:name="_Toc300834963"/>
      <w:bookmarkStart w:id="242" w:name="_Toc247513966"/>
      <w:bookmarkStart w:id="243" w:name="_Toc152045542"/>
      <w:bookmarkStart w:id="244" w:name="_Toc144974510"/>
      <w:bookmarkStart w:id="245" w:name="_Toc28780"/>
      <w:bookmarkStart w:id="246" w:name="_Toc25753"/>
      <w:bookmarkStart w:id="247" w:name="_Toc22361"/>
      <w:bookmarkStart w:id="248" w:name="_Toc14358"/>
      <w:bookmarkStart w:id="249" w:name="_Toc25933"/>
      <w:bookmarkStart w:id="250" w:name="_Toc18406"/>
      <w:bookmarkStart w:id="251" w:name="_Toc152042318"/>
      <w:bookmarkStart w:id="252" w:name="_Toc23852"/>
      <w:bookmarkStart w:id="253" w:name="_Toc247527567"/>
      <w:bookmarkStart w:id="254" w:name="_Toc9925"/>
      <w:r>
        <w:rPr>
          <w:highlight w:val="none"/>
        </w:rPr>
        <w:t xml:space="preserve">2. </w:t>
      </w:r>
      <w:r>
        <w:rPr>
          <w:rFonts w:hint="eastAsia"/>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highlight w:val="none"/>
        </w:rPr>
      </w:pPr>
      <w:bookmarkStart w:id="255" w:name="_Toc247527568"/>
      <w:bookmarkStart w:id="256" w:name="_Toc494371529"/>
      <w:bookmarkStart w:id="257" w:name="_Toc19518"/>
      <w:bookmarkStart w:id="258" w:name="_Toc244"/>
      <w:bookmarkStart w:id="259" w:name="_Toc11154"/>
      <w:bookmarkStart w:id="260" w:name="_Toc16384"/>
      <w:bookmarkStart w:id="261" w:name="_Toc14514"/>
      <w:bookmarkStart w:id="262" w:name="_Toc644"/>
      <w:bookmarkStart w:id="263" w:name="_Toc300834964"/>
      <w:bookmarkStart w:id="264" w:name="_Toc12130"/>
      <w:bookmarkStart w:id="265" w:name="_Toc22589"/>
      <w:bookmarkStart w:id="266" w:name="_Toc152042319"/>
      <w:bookmarkStart w:id="267" w:name="_Toc18571"/>
      <w:bookmarkStart w:id="268" w:name="_Toc27602"/>
      <w:bookmarkStart w:id="269" w:name="_Toc144974511"/>
      <w:bookmarkStart w:id="270" w:name="_Toc152045543"/>
      <w:bookmarkStart w:id="271" w:name="_Toc247513967"/>
      <w:r>
        <w:rPr>
          <w:rFonts w:ascii="Times New Roman" w:hAnsi="Times New Roman"/>
          <w:highlight w:val="none"/>
        </w:rPr>
        <w:t>2.1</w:t>
      </w:r>
      <w:r>
        <w:rPr>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highlight w:val="none"/>
        </w:rPr>
      </w:pPr>
      <w:r>
        <w:rPr>
          <w:rFonts w:hint="eastAsia"/>
          <w:highlight w:val="none"/>
        </w:rPr>
        <w:t>　　本招标文件包括：</w:t>
      </w:r>
    </w:p>
    <w:p>
      <w:pPr>
        <w:spacing w:line="400" w:lineRule="exact"/>
        <w:ind w:firstLine="359" w:firstLineChars="171"/>
        <w:rPr>
          <w:highlight w:val="none"/>
        </w:rPr>
      </w:pPr>
      <w:r>
        <w:rPr>
          <w:rFonts w:hint="eastAsia"/>
          <w:highlight w:val="none"/>
        </w:rPr>
        <w:t>（</w:t>
      </w:r>
      <w:r>
        <w:rPr>
          <w:highlight w:val="none"/>
        </w:rPr>
        <w:t>1</w:t>
      </w:r>
      <w:r>
        <w:rPr>
          <w:rFonts w:hint="eastAsia"/>
          <w:highlight w:val="none"/>
        </w:rPr>
        <w:t>）招标公告（或投标邀请书）；</w:t>
      </w:r>
    </w:p>
    <w:p>
      <w:pPr>
        <w:spacing w:line="400" w:lineRule="exact"/>
        <w:ind w:firstLine="359" w:firstLineChars="171"/>
        <w:rPr>
          <w:highlight w:val="none"/>
        </w:rPr>
      </w:pPr>
      <w:r>
        <w:rPr>
          <w:rFonts w:hint="eastAsia"/>
          <w:highlight w:val="none"/>
        </w:rPr>
        <w:t>（</w:t>
      </w:r>
      <w:r>
        <w:rPr>
          <w:highlight w:val="none"/>
        </w:rPr>
        <w:t>2</w:t>
      </w:r>
      <w:r>
        <w:rPr>
          <w:rFonts w:hint="eastAsia"/>
          <w:highlight w:val="none"/>
        </w:rPr>
        <w:t>）投标人须知；</w:t>
      </w:r>
    </w:p>
    <w:p>
      <w:pPr>
        <w:spacing w:line="400" w:lineRule="exact"/>
        <w:ind w:firstLine="359" w:firstLineChars="171"/>
        <w:rPr>
          <w:highlight w:val="none"/>
        </w:rPr>
      </w:pPr>
      <w:r>
        <w:rPr>
          <w:rFonts w:hint="eastAsia"/>
          <w:highlight w:val="none"/>
        </w:rPr>
        <w:t>（</w:t>
      </w:r>
      <w:r>
        <w:rPr>
          <w:highlight w:val="none"/>
        </w:rPr>
        <w:t>3</w:t>
      </w:r>
      <w:r>
        <w:rPr>
          <w:rFonts w:hint="eastAsia"/>
          <w:highlight w:val="none"/>
        </w:rPr>
        <w:t>）评标办法；</w:t>
      </w:r>
    </w:p>
    <w:p>
      <w:pPr>
        <w:spacing w:line="400" w:lineRule="exact"/>
        <w:ind w:firstLine="359" w:firstLineChars="171"/>
        <w:rPr>
          <w:color w:val="FF0000"/>
          <w:highlight w:val="none"/>
        </w:rPr>
      </w:pPr>
      <w:r>
        <w:rPr>
          <w:rFonts w:hint="eastAsia"/>
          <w:highlight w:val="none"/>
        </w:rPr>
        <w:t>（</w:t>
      </w:r>
      <w:r>
        <w:rPr>
          <w:highlight w:val="none"/>
        </w:rPr>
        <w:t>4</w:t>
      </w:r>
      <w:r>
        <w:rPr>
          <w:rFonts w:hint="eastAsia"/>
          <w:highlight w:val="none"/>
        </w:rPr>
        <w:t>）合同条款及格式（另册）；</w:t>
      </w:r>
    </w:p>
    <w:p>
      <w:pPr>
        <w:spacing w:line="400" w:lineRule="exact"/>
        <w:ind w:firstLine="359" w:firstLineChars="171"/>
        <w:rPr>
          <w:color w:val="FF0000"/>
          <w:highlight w:val="none"/>
        </w:rPr>
      </w:pPr>
      <w:r>
        <w:rPr>
          <w:rFonts w:hint="eastAsia"/>
          <w:color w:val="FF0000"/>
          <w:highlight w:val="none"/>
        </w:rPr>
        <w:t>（</w:t>
      </w:r>
      <w:r>
        <w:rPr>
          <w:rFonts w:hint="eastAsia"/>
          <w:color w:val="FF0000"/>
          <w:highlight w:val="none"/>
          <w:lang w:val="en-US" w:eastAsia="zh-CN"/>
        </w:rPr>
        <w:t>5</w:t>
      </w:r>
      <w:r>
        <w:rPr>
          <w:rFonts w:hint="eastAsia"/>
          <w:color w:val="FF0000"/>
          <w:highlight w:val="none"/>
        </w:rPr>
        <w:t>）发包人提供的资料（另册）；</w:t>
      </w:r>
    </w:p>
    <w:p>
      <w:pPr>
        <w:spacing w:line="400" w:lineRule="exact"/>
        <w:ind w:firstLine="359" w:firstLineChars="171"/>
        <w:rPr>
          <w:highlight w:val="none"/>
        </w:rPr>
      </w:pPr>
      <w:r>
        <w:rPr>
          <w:rFonts w:hint="eastAsia"/>
          <w:highlight w:val="none"/>
        </w:rPr>
        <w:t>（</w:t>
      </w:r>
      <w:r>
        <w:rPr>
          <w:rFonts w:hint="eastAsia"/>
          <w:highlight w:val="none"/>
          <w:lang w:val="en-US" w:eastAsia="zh-CN"/>
        </w:rPr>
        <w:t>6</w:t>
      </w:r>
      <w:r>
        <w:rPr>
          <w:rFonts w:hint="eastAsia"/>
          <w:highlight w:val="none"/>
        </w:rPr>
        <w:t>）投标文件格式；</w:t>
      </w:r>
    </w:p>
    <w:p>
      <w:pPr>
        <w:spacing w:line="400" w:lineRule="exact"/>
        <w:ind w:firstLine="359" w:firstLineChars="171"/>
        <w:rPr>
          <w:highlight w:val="none"/>
        </w:rPr>
      </w:pPr>
      <w:r>
        <w:rPr>
          <w:rFonts w:hint="eastAsia"/>
          <w:highlight w:val="none"/>
        </w:rPr>
        <w:t>（</w:t>
      </w:r>
      <w:r>
        <w:rPr>
          <w:rFonts w:hint="eastAsia"/>
          <w:highlight w:val="none"/>
          <w:lang w:val="en-US" w:eastAsia="zh-CN"/>
        </w:rPr>
        <w:t>7</w:t>
      </w:r>
      <w:r>
        <w:rPr>
          <w:rFonts w:hint="eastAsia"/>
          <w:highlight w:val="none"/>
        </w:rPr>
        <w:t>）投标人须知前附表规定的其他资料。</w:t>
      </w:r>
    </w:p>
    <w:p>
      <w:pPr>
        <w:pStyle w:val="5"/>
        <w:rPr>
          <w:highlight w:val="none"/>
        </w:rPr>
      </w:pPr>
      <w:bookmarkStart w:id="272" w:name="_Toc152045544"/>
      <w:bookmarkStart w:id="273" w:name="_Toc28197"/>
      <w:bookmarkStart w:id="274" w:name="_Toc247513968"/>
      <w:bookmarkStart w:id="275" w:name="_Toc494371530"/>
      <w:bookmarkStart w:id="276" w:name="_Toc247527569"/>
      <w:bookmarkStart w:id="277" w:name="_Toc10715"/>
      <w:bookmarkStart w:id="278" w:name="_Toc13489"/>
      <w:bookmarkStart w:id="279" w:name="_Toc3890"/>
      <w:bookmarkStart w:id="280" w:name="_Toc2920"/>
      <w:bookmarkStart w:id="281" w:name="_Toc24642"/>
      <w:bookmarkStart w:id="282" w:name="_Toc152042320"/>
      <w:bookmarkStart w:id="283" w:name="_Toc28374"/>
      <w:bookmarkStart w:id="284" w:name="_Toc300834965"/>
      <w:bookmarkStart w:id="285" w:name="_Toc14693"/>
      <w:bookmarkStart w:id="286" w:name="_Toc6072"/>
      <w:bookmarkStart w:id="287" w:name="_Toc24802"/>
      <w:bookmarkStart w:id="288" w:name="_Toc144974512"/>
      <w:r>
        <w:rPr>
          <w:highlight w:val="none"/>
        </w:rPr>
        <w:t xml:space="preserve">2.2 </w:t>
      </w:r>
      <w:r>
        <w:rPr>
          <w:rFonts w:hint="eastAsia"/>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szCs w:val="21"/>
          <w:highlight w:val="none"/>
        </w:rPr>
      </w:pPr>
      <w:r>
        <w:rPr>
          <w:highlight w:val="none"/>
        </w:rPr>
        <w:t xml:space="preserve">2.2.1 </w:t>
      </w:r>
      <w:r>
        <w:rPr>
          <w:rFonts w:hint="eastAsia"/>
          <w:highlight w:val="none"/>
        </w:rPr>
        <w:t>投标人应仔细阅读和检查招标文件的全部内容。</w:t>
      </w:r>
      <w:r>
        <w:rPr>
          <w:rFonts w:hint="eastAsia" w:ascii="宋体" w:hAnsi="宋体"/>
          <w:szCs w:val="21"/>
          <w:highlight w:val="none"/>
        </w:rPr>
        <w:t>如发现缺页或附件不全，应及时向招标人提出，以便补齐。</w:t>
      </w:r>
    </w:p>
    <w:p>
      <w:pPr>
        <w:spacing w:line="400" w:lineRule="exact"/>
        <w:ind w:firstLine="420" w:firstLineChars="200"/>
        <w:rPr>
          <w:rFonts w:ascii="宋体" w:hAnsi="宋体"/>
          <w:szCs w:val="21"/>
          <w:highlight w:val="none"/>
        </w:rPr>
      </w:pPr>
      <w:r>
        <w:rPr>
          <w:highlight w:val="none"/>
        </w:rPr>
        <w:t>2.2.</w:t>
      </w:r>
      <w:r>
        <w:rPr>
          <w:rFonts w:hint="eastAsia"/>
          <w:highlight w:val="none"/>
        </w:rPr>
        <w:t>2</w:t>
      </w:r>
      <w:r>
        <w:rPr>
          <w:highlight w:val="none"/>
        </w:rPr>
        <w:t xml:space="preserve"> </w:t>
      </w:r>
      <w:r>
        <w:rPr>
          <w:rFonts w:hint="eastAsia" w:ascii="宋体" w:hAnsi="宋体"/>
          <w:szCs w:val="21"/>
          <w:highlight w:val="none"/>
        </w:rPr>
        <w:t>招标补充公告一经</w:t>
      </w:r>
      <w:r>
        <w:rPr>
          <w:rFonts w:hint="eastAsia" w:ascii="宋体" w:hAnsi="宋体"/>
          <w:szCs w:val="21"/>
          <w:highlight w:val="yellow"/>
        </w:rPr>
        <w:t>在</w:t>
      </w:r>
      <w:r>
        <w:rPr>
          <w:rFonts w:hint="eastAsia" w:ascii="宋体" w:hAnsi="宋体"/>
          <w:szCs w:val="21"/>
          <w:highlight w:val="none"/>
        </w:rPr>
        <w:t>广州南沙资产经营集团有限公司网站</w:t>
      </w:r>
      <w:r>
        <w:rPr>
          <w:rFonts w:hint="eastAsia" w:ascii="宋体" w:hAnsi="宋体"/>
          <w:color w:val="FF0000"/>
          <w:szCs w:val="21"/>
          <w:highlight w:val="none"/>
        </w:rPr>
        <w:t>（http://www.gnao.com.cn）</w:t>
      </w:r>
      <w:r>
        <w:rPr>
          <w:rFonts w:hint="eastAsia" w:ascii="宋体" w:hAnsi="宋体"/>
          <w:szCs w:val="21"/>
          <w:highlight w:val="none"/>
        </w:rPr>
        <w:t xml:space="preserve"> 发布，视作已发放给所有投标人。</w:t>
      </w:r>
    </w:p>
    <w:p>
      <w:pPr>
        <w:pStyle w:val="5"/>
        <w:rPr>
          <w:highlight w:val="none"/>
        </w:rPr>
      </w:pPr>
      <w:bookmarkStart w:id="289" w:name="_Toc18567"/>
      <w:bookmarkStart w:id="290" w:name="_Toc3897"/>
      <w:bookmarkStart w:id="291" w:name="_Toc247513969"/>
      <w:bookmarkStart w:id="292" w:name="_Toc5512"/>
      <w:bookmarkStart w:id="293" w:name="_Toc29656"/>
      <w:bookmarkStart w:id="294" w:name="_Toc13973"/>
      <w:bookmarkStart w:id="295" w:name="_Toc152042321"/>
      <w:bookmarkStart w:id="296" w:name="_Toc21917"/>
      <w:bookmarkStart w:id="297" w:name="_Toc144974513"/>
      <w:bookmarkStart w:id="298" w:name="_Toc24839"/>
      <w:bookmarkStart w:id="299" w:name="_Toc2421"/>
      <w:bookmarkStart w:id="300" w:name="_Toc300834966"/>
      <w:bookmarkStart w:id="301" w:name="_Toc1392"/>
      <w:bookmarkStart w:id="302" w:name="_Toc28122"/>
      <w:bookmarkStart w:id="303" w:name="_Toc247527570"/>
      <w:bookmarkStart w:id="304" w:name="_Toc494371531"/>
      <w:bookmarkStart w:id="305" w:name="_Toc152045545"/>
      <w:r>
        <w:rPr>
          <w:rFonts w:ascii="Times New Roman" w:hAnsi="Times New Roman"/>
          <w:highlight w:val="none"/>
        </w:rPr>
        <w:t>2.3</w:t>
      </w:r>
      <w:r>
        <w:rPr>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7"/>
        <w:spacing w:line="420" w:lineRule="exact"/>
        <w:ind w:firstLineChars="200"/>
        <w:rPr>
          <w:rFonts w:ascii="宋体" w:hAnsi="宋体"/>
          <w:szCs w:val="21"/>
          <w:highlight w:val="none"/>
        </w:rPr>
      </w:pPr>
      <w:r>
        <w:rPr>
          <w:rFonts w:ascii="宋体" w:hAnsi="宋体"/>
          <w:szCs w:val="21"/>
          <w:highlight w:val="none"/>
        </w:rPr>
        <w:t>2.3.</w:t>
      </w:r>
      <w:r>
        <w:rPr>
          <w:rFonts w:hint="eastAsia" w:ascii="宋体" w:hAnsi="宋体"/>
          <w:szCs w:val="21"/>
          <w:highlight w:val="none"/>
        </w:rPr>
        <w:t>1招标文件的澄清、修改均以在广州南沙资产经营集团有限公司</w:t>
      </w:r>
      <w:r>
        <w:rPr>
          <w:rFonts w:hint="eastAsia" w:ascii="宋体" w:hAnsi="宋体"/>
          <w:szCs w:val="21"/>
          <w:highlight w:val="yellow"/>
        </w:rPr>
        <w:t>网</w:t>
      </w:r>
      <w:r>
        <w:rPr>
          <w:rFonts w:hint="eastAsia" w:ascii="宋体" w:hAnsi="宋体"/>
          <w:szCs w:val="21"/>
          <w:highlight w:val="none"/>
        </w:rPr>
        <w:t>站进行发布。当招标文件的澄清、修改在同一内容的表述不一致时，以广州南沙资产经营集团有限公司</w:t>
      </w:r>
      <w:r>
        <w:rPr>
          <w:rFonts w:hint="eastAsia" w:ascii="宋体" w:hAnsi="宋体"/>
          <w:szCs w:val="21"/>
          <w:highlight w:val="yellow"/>
        </w:rPr>
        <w:t>网站</w:t>
      </w:r>
      <w:r>
        <w:rPr>
          <w:rFonts w:hint="eastAsia" w:ascii="宋体" w:hAnsi="宋体"/>
          <w:szCs w:val="21"/>
          <w:highlight w:val="none"/>
        </w:rPr>
        <w:t>最后发布的内容为准。</w:t>
      </w:r>
    </w:p>
    <w:p>
      <w:pPr>
        <w:spacing w:line="400" w:lineRule="exact"/>
        <w:ind w:firstLine="420" w:firstLineChars="200"/>
        <w:rPr>
          <w:strike/>
          <w:highlight w:val="none"/>
        </w:rPr>
      </w:pPr>
      <w:r>
        <w:rPr>
          <w:rFonts w:ascii="宋体" w:hAnsi="宋体"/>
          <w:szCs w:val="21"/>
          <w:highlight w:val="none"/>
        </w:rPr>
        <w:t>2.3.</w:t>
      </w:r>
      <w:r>
        <w:rPr>
          <w:rFonts w:hint="eastAsia" w:ascii="宋体" w:hAnsi="宋体"/>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highlight w:val="none"/>
        </w:rPr>
      </w:pPr>
      <w:bookmarkStart w:id="306" w:name="_Toc26021"/>
      <w:bookmarkStart w:id="307" w:name="_Toc27286"/>
      <w:bookmarkStart w:id="308" w:name="_Toc8312"/>
      <w:bookmarkStart w:id="309" w:name="_Toc5391"/>
      <w:bookmarkStart w:id="310" w:name="_Toc152042322"/>
      <w:bookmarkStart w:id="311" w:name="_Toc26603"/>
      <w:bookmarkStart w:id="312" w:name="_Toc5036"/>
      <w:bookmarkStart w:id="313" w:name="_Toc29199"/>
      <w:bookmarkStart w:id="314" w:name="_Toc144974514"/>
      <w:bookmarkStart w:id="315" w:name="_Toc300834967"/>
      <w:bookmarkStart w:id="316" w:name="_Toc2051"/>
      <w:bookmarkStart w:id="317" w:name="_Toc28135"/>
      <w:bookmarkStart w:id="318" w:name="_Toc494371532"/>
      <w:bookmarkStart w:id="319" w:name="_Toc31255"/>
      <w:bookmarkStart w:id="320" w:name="_Toc3337"/>
      <w:bookmarkStart w:id="321" w:name="_Toc247513970"/>
      <w:bookmarkStart w:id="322" w:name="_Toc25826"/>
      <w:bookmarkStart w:id="323" w:name="_Toc152045546"/>
      <w:bookmarkStart w:id="324" w:name="_Toc247527571"/>
      <w:r>
        <w:rPr>
          <w:highlight w:val="none"/>
        </w:rPr>
        <w:t xml:space="preserve">3. </w:t>
      </w:r>
      <w:r>
        <w:rPr>
          <w:rFonts w:hint="eastAsia"/>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highlight w:val="none"/>
        </w:rPr>
      </w:pPr>
      <w:bookmarkStart w:id="325" w:name="_Toc144974515"/>
      <w:bookmarkStart w:id="326" w:name="_Toc247513971"/>
      <w:bookmarkStart w:id="327" w:name="_Toc16929"/>
      <w:bookmarkStart w:id="328" w:name="_Toc152045547"/>
      <w:bookmarkStart w:id="329" w:name="_Toc494371533"/>
      <w:bookmarkStart w:id="330" w:name="_Toc4137"/>
      <w:bookmarkStart w:id="331" w:name="_Toc2343"/>
      <w:bookmarkStart w:id="332" w:name="_Toc3199"/>
      <w:bookmarkStart w:id="333" w:name="_Toc10837"/>
      <w:bookmarkStart w:id="334" w:name="_Toc24076"/>
      <w:bookmarkStart w:id="335" w:name="_Toc18809"/>
      <w:bookmarkStart w:id="336" w:name="_Toc21128"/>
      <w:bookmarkStart w:id="337" w:name="_Toc152042323"/>
      <w:bookmarkStart w:id="338" w:name="_Toc300834968"/>
      <w:bookmarkStart w:id="339" w:name="_Toc26505"/>
      <w:bookmarkStart w:id="340" w:name="_Toc15668"/>
      <w:bookmarkStart w:id="341" w:name="_Toc247527572"/>
      <w:r>
        <w:rPr>
          <w:rFonts w:ascii="Times New Roman" w:hAnsi="Times New Roman"/>
          <w:highlight w:val="none"/>
        </w:rPr>
        <w:t>3.1</w:t>
      </w:r>
      <w:r>
        <w:rPr>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highlight w:val="none"/>
        </w:rPr>
      </w:pPr>
      <w:r>
        <w:rPr>
          <w:rFonts w:hint="eastAsia"/>
          <w:highlight w:val="none"/>
        </w:rPr>
        <w:t>详见本招标文件第七章“投标文件格式”。</w:t>
      </w:r>
    </w:p>
    <w:p>
      <w:pPr>
        <w:pStyle w:val="5"/>
        <w:rPr>
          <w:highlight w:val="none"/>
        </w:rPr>
      </w:pPr>
      <w:bookmarkStart w:id="342" w:name="_Toc494371534"/>
      <w:bookmarkStart w:id="343" w:name="_Toc152045548"/>
      <w:bookmarkStart w:id="344" w:name="_Toc27324"/>
      <w:bookmarkStart w:id="345" w:name="_Toc152042324"/>
      <w:bookmarkStart w:id="346" w:name="_Toc18309"/>
      <w:bookmarkStart w:id="347" w:name="_Toc1905"/>
      <w:bookmarkStart w:id="348" w:name="_Toc247527573"/>
      <w:bookmarkStart w:id="349" w:name="_Toc16226"/>
      <w:bookmarkStart w:id="350" w:name="_Toc23649"/>
      <w:bookmarkStart w:id="351" w:name="_Toc31604"/>
      <w:bookmarkStart w:id="352" w:name="_Toc7389"/>
      <w:bookmarkStart w:id="353" w:name="_Toc32538"/>
      <w:bookmarkStart w:id="354" w:name="_Toc247513972"/>
      <w:bookmarkStart w:id="355" w:name="_Toc30945"/>
      <w:bookmarkStart w:id="356" w:name="_Toc300834969"/>
      <w:bookmarkStart w:id="357" w:name="_Toc144974516"/>
      <w:bookmarkStart w:id="358" w:name="_Toc18850"/>
      <w:r>
        <w:rPr>
          <w:rFonts w:ascii="Times New Roman" w:hAnsi="Times New Roman"/>
          <w:highlight w:val="none"/>
        </w:rPr>
        <w:t>3.2</w:t>
      </w:r>
      <w:r>
        <w:rPr>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highlight w:val="none"/>
        </w:rPr>
      </w:pPr>
      <w:r>
        <w:rPr>
          <w:highlight w:val="none"/>
        </w:rPr>
        <w:t xml:space="preserve">3.2.1 </w:t>
      </w:r>
      <w:r>
        <w:rPr>
          <w:rFonts w:hint="eastAsia"/>
          <w:highlight w:val="none"/>
        </w:rPr>
        <w:t>本工程的投标报价采用投标须知前附表第10款所规定的方式。</w:t>
      </w:r>
    </w:p>
    <w:p>
      <w:pPr>
        <w:spacing w:line="440" w:lineRule="exact"/>
        <w:ind w:firstLine="420" w:firstLineChars="200"/>
        <w:rPr>
          <w:szCs w:val="21"/>
          <w:highlight w:val="none"/>
        </w:rPr>
      </w:pPr>
      <w:r>
        <w:rPr>
          <w:highlight w:val="none"/>
        </w:rPr>
        <w:t xml:space="preserve">3.2.2 </w:t>
      </w:r>
      <w:r>
        <w:rPr>
          <w:rFonts w:hint="eastAsia"/>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highlight w:val="none"/>
        </w:rPr>
      </w:pPr>
      <w:r>
        <w:rPr>
          <w:highlight w:val="none"/>
        </w:rPr>
        <w:t xml:space="preserve">3.2.3 </w:t>
      </w:r>
      <w:r>
        <w:rPr>
          <w:rFonts w:hint="eastAsia"/>
          <w:highlight w:val="none"/>
        </w:rPr>
        <w:t>招标人设有最高投标限价的，投标人的投标报价不得超过最高投标限价。</w:t>
      </w:r>
    </w:p>
    <w:p>
      <w:pPr>
        <w:spacing w:line="400" w:lineRule="exact"/>
        <w:ind w:firstLine="420" w:firstLineChars="200"/>
        <w:rPr>
          <w:highlight w:val="none"/>
        </w:rPr>
      </w:pPr>
      <w:r>
        <w:rPr>
          <w:highlight w:val="none"/>
        </w:rPr>
        <w:t xml:space="preserve">3.2.4 </w:t>
      </w:r>
      <w:r>
        <w:rPr>
          <w:rFonts w:hint="eastAsia"/>
          <w:highlight w:val="none"/>
        </w:rPr>
        <w:t>投标报价的其他要求见投标人须知前附表。</w:t>
      </w:r>
    </w:p>
    <w:p>
      <w:pPr>
        <w:pStyle w:val="5"/>
        <w:rPr>
          <w:highlight w:val="none"/>
        </w:rPr>
      </w:pPr>
      <w:bookmarkStart w:id="359" w:name="_Toc152042325"/>
      <w:bookmarkStart w:id="360" w:name="_Toc25305"/>
      <w:bookmarkStart w:id="361" w:name="_Toc152045549"/>
      <w:bookmarkStart w:id="362" w:name="_Toc3740"/>
      <w:bookmarkStart w:id="363" w:name="_Toc1280"/>
      <w:bookmarkStart w:id="364" w:name="_Toc25744"/>
      <w:bookmarkStart w:id="365" w:name="_Toc494371535"/>
      <w:bookmarkStart w:id="366" w:name="_Toc5732"/>
      <w:bookmarkStart w:id="367" w:name="_Toc15196"/>
      <w:bookmarkStart w:id="368" w:name="_Toc32500"/>
      <w:bookmarkStart w:id="369" w:name="_Toc247513973"/>
      <w:bookmarkStart w:id="370" w:name="_Toc29718"/>
      <w:bookmarkStart w:id="371" w:name="_Toc1581"/>
      <w:bookmarkStart w:id="372" w:name="_Toc247527574"/>
      <w:bookmarkStart w:id="373" w:name="_Toc300834970"/>
      <w:bookmarkStart w:id="374" w:name="_Toc144974517"/>
      <w:bookmarkStart w:id="375" w:name="_Toc22353"/>
      <w:r>
        <w:rPr>
          <w:rFonts w:ascii="Times New Roman" w:hAnsi="Times New Roman"/>
          <w:highlight w:val="none"/>
        </w:rPr>
        <w:t>3.3</w:t>
      </w:r>
      <w:r>
        <w:rPr>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highlight w:val="none"/>
        </w:rPr>
      </w:pPr>
      <w:r>
        <w:rPr>
          <w:highlight w:val="none"/>
        </w:rPr>
        <w:t xml:space="preserve">3.3.1 </w:t>
      </w:r>
      <w:r>
        <w:rPr>
          <w:rFonts w:hint="eastAsia"/>
          <w:highlight w:val="none"/>
        </w:rPr>
        <w:t>投标有效期按须知前附表的规定。</w:t>
      </w:r>
    </w:p>
    <w:p>
      <w:pPr>
        <w:spacing w:line="400" w:lineRule="exact"/>
        <w:ind w:firstLine="420" w:firstLineChars="200"/>
        <w:rPr>
          <w:highlight w:val="none"/>
        </w:rPr>
      </w:pPr>
      <w:r>
        <w:rPr>
          <w:highlight w:val="none"/>
        </w:rPr>
        <w:t xml:space="preserve">3.3.2 </w:t>
      </w:r>
      <w:r>
        <w:rPr>
          <w:rFonts w:hint="eastAsia"/>
          <w:highlight w:val="none"/>
        </w:rPr>
        <w:t>在投标有效期内，投标人撤销或修改其投标文件的，应承担招标文件和法律规定的责任。</w:t>
      </w:r>
    </w:p>
    <w:p>
      <w:pPr>
        <w:spacing w:line="400" w:lineRule="exact"/>
        <w:ind w:firstLine="420" w:firstLineChars="200"/>
        <w:rPr>
          <w:highlight w:val="none"/>
        </w:rPr>
      </w:pPr>
      <w:r>
        <w:rPr>
          <w:highlight w:val="none"/>
        </w:rPr>
        <w:t xml:space="preserve">3.3.3 </w:t>
      </w:r>
      <w:r>
        <w:rPr>
          <w:rFonts w:hint="eastAsia"/>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highlight w:val="none"/>
        </w:rPr>
      </w:pPr>
      <w:bookmarkStart w:id="376" w:name="_Toc300834971"/>
      <w:bookmarkStart w:id="377" w:name="_Toc3081"/>
      <w:bookmarkStart w:id="378" w:name="_Toc152045550"/>
      <w:bookmarkStart w:id="379" w:name="_Toc28467"/>
      <w:bookmarkStart w:id="380" w:name="_Toc24047"/>
      <w:bookmarkStart w:id="381" w:name="_Toc247527575"/>
      <w:bookmarkStart w:id="382" w:name="_Toc28691"/>
      <w:bookmarkStart w:id="383" w:name="_Toc247513974"/>
      <w:bookmarkStart w:id="384" w:name="_Toc25607"/>
      <w:bookmarkStart w:id="385" w:name="_Toc152042326"/>
      <w:bookmarkStart w:id="386" w:name="_Toc31972"/>
      <w:bookmarkStart w:id="387" w:name="_Toc494371536"/>
      <w:bookmarkStart w:id="388" w:name="_Toc144974518"/>
      <w:bookmarkStart w:id="389" w:name="_Toc3863"/>
      <w:bookmarkStart w:id="390" w:name="_Toc204"/>
      <w:bookmarkStart w:id="391" w:name="_Toc13372"/>
      <w:bookmarkStart w:id="392" w:name="_Toc31983"/>
      <w:r>
        <w:rPr>
          <w:rFonts w:ascii="Times New Roman" w:hAnsi="Times New Roman"/>
          <w:highlight w:val="none"/>
        </w:rPr>
        <w:t>3.4</w:t>
      </w:r>
      <w:r>
        <w:rPr>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highlight w:val="none"/>
        </w:rPr>
      </w:pPr>
      <w:r>
        <w:rPr>
          <w:highlight w:val="none"/>
        </w:rPr>
        <w:t xml:space="preserve">3.4.1 </w:t>
      </w:r>
      <w:r>
        <w:rPr>
          <w:rFonts w:hint="eastAsia"/>
          <w:highlight w:val="none"/>
        </w:rPr>
        <w:t>投标人须在开标前按投标人须知前附表规定的金额、担保形式递交投标保证金。并应符合投标人须知前附表的规定。</w:t>
      </w:r>
    </w:p>
    <w:p>
      <w:pPr>
        <w:spacing w:line="400" w:lineRule="exact"/>
        <w:ind w:firstLine="420" w:firstLineChars="200"/>
        <w:rPr>
          <w:highlight w:val="none"/>
        </w:rPr>
      </w:pPr>
      <w:r>
        <w:rPr>
          <w:highlight w:val="none"/>
        </w:rPr>
        <w:t>3.4.</w:t>
      </w:r>
      <w:r>
        <w:rPr>
          <w:rFonts w:hint="eastAsia"/>
          <w:highlight w:val="none"/>
        </w:rPr>
        <w:t>2</w:t>
      </w:r>
      <w:r>
        <w:rPr>
          <w:highlight w:val="none"/>
        </w:rPr>
        <w:t xml:space="preserve"> </w:t>
      </w:r>
      <w:r>
        <w:rPr>
          <w:rFonts w:hint="eastAsia"/>
          <w:highlight w:val="none"/>
        </w:rPr>
        <w:t>有下列情形之一的，投标保证金将不予退还：</w:t>
      </w:r>
    </w:p>
    <w:p>
      <w:pPr>
        <w:spacing w:line="400" w:lineRule="exact"/>
        <w:ind w:firstLine="315" w:firstLineChars="150"/>
        <w:rPr>
          <w:highlight w:val="none"/>
        </w:rPr>
      </w:pPr>
      <w:r>
        <w:rPr>
          <w:rFonts w:hint="eastAsia"/>
          <w:highlight w:val="none"/>
        </w:rPr>
        <w:t>（</w:t>
      </w:r>
      <w:r>
        <w:rPr>
          <w:highlight w:val="none"/>
        </w:rPr>
        <w:t>1</w:t>
      </w:r>
      <w:r>
        <w:rPr>
          <w:rFonts w:hint="eastAsia"/>
          <w:highlight w:val="none"/>
        </w:rPr>
        <w:t>）投标人在投标有效期内撤回投标标书；</w:t>
      </w:r>
    </w:p>
    <w:p>
      <w:pPr>
        <w:spacing w:line="400" w:lineRule="exact"/>
        <w:ind w:firstLine="315" w:firstLineChars="150"/>
        <w:rPr>
          <w:highlight w:val="none"/>
        </w:rPr>
      </w:pPr>
      <w:r>
        <w:rPr>
          <w:rFonts w:hint="eastAsia"/>
          <w:highlight w:val="none"/>
        </w:rPr>
        <w:t>（</w:t>
      </w:r>
      <w:r>
        <w:rPr>
          <w:highlight w:val="none"/>
        </w:rPr>
        <w:t>2</w:t>
      </w:r>
      <w:r>
        <w:rPr>
          <w:rFonts w:hint="eastAsia"/>
          <w:highlight w:val="none"/>
        </w:rPr>
        <w:t>）中标人未在规定期限内按要求递交履约担保；</w:t>
      </w:r>
    </w:p>
    <w:p>
      <w:pPr>
        <w:spacing w:line="400" w:lineRule="exact"/>
        <w:ind w:firstLine="315" w:firstLineChars="150"/>
        <w:rPr>
          <w:highlight w:val="none"/>
        </w:rPr>
      </w:pPr>
      <w:r>
        <w:rPr>
          <w:rFonts w:hint="eastAsia"/>
          <w:highlight w:val="none"/>
        </w:rPr>
        <w:t>（</w:t>
      </w:r>
      <w:r>
        <w:rPr>
          <w:highlight w:val="none"/>
        </w:rPr>
        <w:t>3</w:t>
      </w:r>
      <w:r>
        <w:rPr>
          <w:rFonts w:hint="eastAsia"/>
          <w:highlight w:val="none"/>
        </w:rPr>
        <w:t>）中标人未在规定期限内签署合同协议。</w:t>
      </w:r>
    </w:p>
    <w:p>
      <w:pPr>
        <w:spacing w:line="400" w:lineRule="exact"/>
        <w:ind w:firstLine="315" w:firstLineChars="150"/>
        <w:rPr>
          <w:highlight w:val="none"/>
        </w:rPr>
      </w:pPr>
      <w:r>
        <w:rPr>
          <w:rFonts w:hint="eastAsia"/>
          <w:highlight w:val="none"/>
        </w:rPr>
        <w:t>（</w:t>
      </w:r>
      <w:r>
        <w:rPr>
          <w:highlight w:val="none"/>
        </w:rPr>
        <w:t>4</w:t>
      </w:r>
      <w:r>
        <w:rPr>
          <w:rFonts w:hint="eastAsia"/>
          <w:highlight w:val="none"/>
        </w:rPr>
        <w:t>）投标人在本项目投标过程中有违法违规行为的。</w:t>
      </w:r>
    </w:p>
    <w:p>
      <w:pPr>
        <w:pStyle w:val="5"/>
        <w:rPr>
          <w:highlight w:val="none"/>
        </w:rPr>
      </w:pPr>
      <w:bookmarkStart w:id="393" w:name="_Toc247527577"/>
      <w:bookmarkStart w:id="394" w:name="_Toc24365"/>
      <w:bookmarkStart w:id="395" w:name="_Toc152045552"/>
      <w:bookmarkStart w:id="396" w:name="_Toc28635"/>
      <w:bookmarkStart w:id="397" w:name="_Toc247513976"/>
      <w:bookmarkStart w:id="398" w:name="_Toc29993"/>
      <w:bookmarkStart w:id="399" w:name="_Toc494371537"/>
      <w:bookmarkStart w:id="400" w:name="_Toc152042328"/>
      <w:bookmarkStart w:id="401" w:name="_Toc5946"/>
      <w:bookmarkStart w:id="402" w:name="_Toc26931"/>
      <w:bookmarkStart w:id="403" w:name="_Toc11498"/>
      <w:bookmarkStart w:id="404" w:name="_Toc30108"/>
      <w:bookmarkStart w:id="405" w:name="_Toc955"/>
      <w:bookmarkStart w:id="406" w:name="_Toc144974520"/>
      <w:bookmarkStart w:id="407" w:name="_Toc300834973"/>
      <w:bookmarkStart w:id="408" w:name="_Toc8480"/>
      <w:bookmarkStart w:id="409" w:name="_Toc5908"/>
      <w:r>
        <w:rPr>
          <w:rFonts w:ascii="Times New Roman" w:hAnsi="Times New Roman"/>
          <w:highlight w:val="none"/>
        </w:rPr>
        <w:t>3.5</w:t>
      </w:r>
      <w:r>
        <w:rPr>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szCs w:val="21"/>
          <w:highlight w:val="none"/>
        </w:rPr>
      </w:pPr>
      <w:r>
        <w:rPr>
          <w:rFonts w:hint="eastAsia" w:ascii="宋体" w:hAnsi="宋体"/>
          <w:szCs w:val="21"/>
          <w:highlight w:val="none"/>
          <w:shd w:val="clear" w:color="auto" w:fill="FFFFFF"/>
        </w:rPr>
        <w:t>本项目采用非电子化资格后审，由评标委员会负责对投标人的资格进行审查，</w:t>
      </w:r>
      <w:r>
        <w:rPr>
          <w:rFonts w:hint="eastAsia" w:ascii="宋体" w:hAnsi="宋体"/>
          <w:szCs w:val="21"/>
          <w:highlight w:val="none"/>
        </w:rPr>
        <w:t>评标时只对通过资格审查的投标人进行下一阶段的评审。</w:t>
      </w:r>
    </w:p>
    <w:p>
      <w:pPr>
        <w:pStyle w:val="5"/>
        <w:rPr>
          <w:rFonts w:ascii="Times New Roman" w:hAnsi="Times New Roman"/>
          <w:highlight w:val="none"/>
        </w:rPr>
      </w:pPr>
      <w:bookmarkStart w:id="410" w:name="_Toc247513977"/>
      <w:bookmarkStart w:id="411" w:name="_Toc300834974"/>
      <w:bookmarkStart w:id="412" w:name="_Toc247527578"/>
      <w:bookmarkStart w:id="413" w:name="_Toc152042329"/>
      <w:bookmarkStart w:id="414" w:name="_Toc152045553"/>
      <w:bookmarkStart w:id="415" w:name="_Toc144974521"/>
      <w:r>
        <w:rPr>
          <w:rFonts w:hint="eastAsia" w:ascii="Times New Roman" w:hAnsi="Times New Roman"/>
          <w:highlight w:val="none"/>
        </w:rPr>
        <w:t>3.6 备选投标方案</w:t>
      </w:r>
      <w:bookmarkEnd w:id="410"/>
      <w:bookmarkEnd w:id="411"/>
      <w:bookmarkEnd w:id="412"/>
      <w:bookmarkEnd w:id="413"/>
      <w:bookmarkEnd w:id="414"/>
      <w:bookmarkEnd w:id="415"/>
    </w:p>
    <w:p>
      <w:pPr>
        <w:spacing w:line="360" w:lineRule="auto"/>
        <w:ind w:firstLine="420" w:firstLineChars="200"/>
        <w:rPr>
          <w:strike/>
          <w:highlight w:val="none"/>
        </w:rPr>
      </w:pPr>
      <w:r>
        <w:rPr>
          <w:rFonts w:hint="eastAsia"/>
          <w:highlight w:val="none"/>
        </w:rPr>
        <w:t>除投标人须知前附表另有规定外，投标人不得递交备选投标方案。</w:t>
      </w:r>
    </w:p>
    <w:p>
      <w:pPr>
        <w:pStyle w:val="5"/>
        <w:rPr>
          <w:highlight w:val="none"/>
        </w:rPr>
      </w:pPr>
      <w:bookmarkStart w:id="416" w:name="_Toc2595"/>
      <w:bookmarkStart w:id="417" w:name="_Toc494371539"/>
      <w:bookmarkStart w:id="418" w:name="_Toc1992"/>
      <w:bookmarkStart w:id="419" w:name="_Toc247527579"/>
      <w:bookmarkStart w:id="420" w:name="_Toc247513978"/>
      <w:bookmarkStart w:id="421" w:name="_Toc29948"/>
      <w:bookmarkStart w:id="422" w:name="_Toc12571"/>
      <w:bookmarkStart w:id="423" w:name="_Toc24511"/>
      <w:bookmarkStart w:id="424" w:name="_Toc6939"/>
      <w:bookmarkStart w:id="425" w:name="_Toc8230"/>
      <w:bookmarkStart w:id="426" w:name="_Toc144974522"/>
      <w:bookmarkStart w:id="427" w:name="_Toc300834975"/>
      <w:bookmarkStart w:id="428" w:name="_Toc4267"/>
      <w:bookmarkStart w:id="429" w:name="_Toc152042330"/>
      <w:bookmarkStart w:id="430" w:name="_Toc32158"/>
      <w:bookmarkStart w:id="431" w:name="_Toc1368"/>
      <w:bookmarkStart w:id="432" w:name="_Toc152045554"/>
      <w:r>
        <w:rPr>
          <w:rFonts w:ascii="Times New Roman" w:hAnsi="Times New Roman"/>
          <w:highlight w:val="none"/>
        </w:rPr>
        <w:t>3.7</w:t>
      </w:r>
      <w:r>
        <w:rPr>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highlight w:val="none"/>
        </w:rPr>
      </w:pPr>
      <w:r>
        <w:rPr>
          <w:highlight w:val="none"/>
        </w:rPr>
        <w:t xml:space="preserve">3.7.1 </w:t>
      </w:r>
      <w:r>
        <w:rPr>
          <w:rFonts w:hint="eastAsia"/>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highlight w:val="none"/>
        </w:rPr>
      </w:pPr>
      <w:r>
        <w:rPr>
          <w:highlight w:val="none"/>
        </w:rPr>
        <w:t xml:space="preserve">3.7.2 </w:t>
      </w:r>
      <w:r>
        <w:rPr>
          <w:rFonts w:hint="eastAsia"/>
          <w:highlight w:val="none"/>
        </w:rPr>
        <w:t>投标文件应当对招标文件有关</w:t>
      </w:r>
      <w:r>
        <w:rPr>
          <w:rFonts w:hint="eastAsia"/>
          <w:szCs w:val="21"/>
          <w:highlight w:val="none"/>
        </w:rPr>
        <w:t>招标范围、投标有效期、工期、质量标准、发包人要求等实质性内容作出响应。</w:t>
      </w:r>
    </w:p>
    <w:p>
      <w:pPr>
        <w:spacing w:line="400" w:lineRule="exact"/>
        <w:ind w:firstLine="420" w:firstLineChars="200"/>
        <w:rPr>
          <w:highlight w:val="none"/>
        </w:rPr>
      </w:pPr>
      <w:r>
        <w:rPr>
          <w:highlight w:val="none"/>
        </w:rPr>
        <w:t xml:space="preserve">3.7.3 </w:t>
      </w:r>
      <w:r>
        <w:rPr>
          <w:rFonts w:hint="eastAsia"/>
          <w:highlight w:val="none"/>
        </w:rPr>
        <w:t>投标文件编制要求：</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）投标文件的正本与副本应分别装订成册，</w:t>
      </w:r>
      <w:r>
        <w:rPr>
          <w:rFonts w:hint="eastAsia" w:ascii="宋体" w:hAnsi="宋体"/>
          <w:szCs w:val="21"/>
          <w:highlight w:val="none"/>
        </w:rPr>
        <w:t>各册独立装订的投标文件均采用不易松散的书式装订</w:t>
      </w:r>
      <w:r>
        <w:rPr>
          <w:rFonts w:hint="eastAsia" w:ascii="宋体" w:hAnsi="宋体"/>
          <w:highlight w:val="none"/>
        </w:rPr>
        <w:t>。</w:t>
      </w:r>
    </w:p>
    <w:p>
      <w:pPr>
        <w:spacing w:line="400" w:lineRule="exact"/>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）投标文件的规格：资格审查文件、</w:t>
      </w:r>
      <w:r>
        <w:rPr>
          <w:rFonts w:hint="eastAsia" w:ascii="宋体" w:hAnsi="宋体"/>
          <w:highlight w:val="none"/>
          <w:lang w:eastAsia="zh-CN"/>
        </w:rPr>
        <w:t>工程施工总承包实施方案</w:t>
      </w:r>
      <w:r>
        <w:rPr>
          <w:rFonts w:hint="eastAsia" w:ascii="宋体" w:hAnsi="宋体"/>
          <w:highlight w:val="none"/>
        </w:rPr>
        <w:t>（含资信部分）文件、投标报价文件统一</w:t>
      </w:r>
      <w:r>
        <w:rPr>
          <w:rFonts w:ascii="宋体" w:hAnsi="宋体"/>
          <w:highlight w:val="none"/>
        </w:rPr>
        <w:t>A4</w:t>
      </w:r>
      <w:r>
        <w:rPr>
          <w:rFonts w:hint="eastAsia" w:ascii="宋体" w:hAnsi="宋体"/>
          <w:highlight w:val="none"/>
        </w:rPr>
        <w:t>印刷本，纸质封面，封面</w:t>
      </w:r>
      <w:r>
        <w:rPr>
          <w:rFonts w:hint="eastAsia" w:ascii="宋体" w:hAnsi="宋体"/>
          <w:szCs w:val="21"/>
          <w:highlight w:val="none"/>
        </w:rPr>
        <w:t>格式见第七章</w:t>
      </w:r>
      <w:r>
        <w:rPr>
          <w:rFonts w:ascii="宋体" w:hAnsi="宋体"/>
          <w:highlight w:val="none"/>
        </w:rPr>
        <w:t>,</w:t>
      </w:r>
      <w:r>
        <w:rPr>
          <w:rFonts w:hint="eastAsia" w:ascii="宋体" w:hAnsi="宋体"/>
          <w:highlight w:val="none"/>
        </w:rPr>
        <w:t>使用书式装订。</w:t>
      </w:r>
    </w:p>
    <w:p>
      <w:pPr>
        <w:spacing w:line="400" w:lineRule="exact"/>
        <w:ind w:firstLine="420" w:firstLineChars="200"/>
        <w:rPr>
          <w:rFonts w:ascii="宋体" w:hAnsi="宋体"/>
          <w:highlight w:val="none"/>
        </w:rPr>
      </w:pPr>
      <w:r>
        <w:rPr>
          <w:rFonts w:ascii="宋体" w:hAnsi="宋体"/>
          <w:highlight w:val="none"/>
        </w:rPr>
        <w:t xml:space="preserve">3.7.4 </w:t>
      </w:r>
      <w:r>
        <w:rPr>
          <w:rFonts w:hint="eastAsia" w:ascii="宋体" w:hAnsi="宋体"/>
          <w:highlight w:val="none"/>
        </w:rPr>
        <w:t>投标文件份数：按须知前附表的规定。</w:t>
      </w:r>
    </w:p>
    <w:p>
      <w:pPr>
        <w:pStyle w:val="4"/>
        <w:rPr>
          <w:highlight w:val="none"/>
        </w:rPr>
      </w:pPr>
      <w:bookmarkStart w:id="433" w:name="_Toc28992"/>
      <w:bookmarkStart w:id="434" w:name="_Toc247527580"/>
      <w:bookmarkStart w:id="435" w:name="_Toc24355"/>
      <w:bookmarkStart w:id="436" w:name="_Toc144974523"/>
      <w:bookmarkStart w:id="437" w:name="_Toc21390"/>
      <w:bookmarkStart w:id="438" w:name="_Toc152042331"/>
      <w:bookmarkStart w:id="439" w:name="_Toc2578"/>
      <w:bookmarkStart w:id="440" w:name="_Toc10739"/>
      <w:bookmarkStart w:id="441" w:name="_Toc16206"/>
      <w:bookmarkStart w:id="442" w:name="_Toc24077"/>
      <w:bookmarkStart w:id="443" w:name="_Toc247513979"/>
      <w:bookmarkStart w:id="444" w:name="_Toc24913"/>
      <w:bookmarkStart w:id="445" w:name="_Toc11889"/>
      <w:bookmarkStart w:id="446" w:name="_Toc28527"/>
      <w:bookmarkStart w:id="447" w:name="_Toc26855"/>
      <w:bookmarkStart w:id="448" w:name="_Toc152045555"/>
      <w:bookmarkStart w:id="449" w:name="_Toc9443"/>
      <w:bookmarkStart w:id="450" w:name="_Toc494371540"/>
      <w:bookmarkStart w:id="451" w:name="_Toc300834976"/>
      <w:r>
        <w:rPr>
          <w:highlight w:val="none"/>
        </w:rPr>
        <w:t xml:space="preserve">4. </w:t>
      </w:r>
      <w:r>
        <w:rPr>
          <w:rFonts w:hint="eastAsia"/>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highlight w:val="none"/>
        </w:rPr>
      </w:pPr>
      <w:bookmarkStart w:id="452" w:name="_Toc152042332"/>
      <w:bookmarkStart w:id="453" w:name="_Toc300834977"/>
      <w:bookmarkStart w:id="454" w:name="_Toc152045556"/>
      <w:bookmarkStart w:id="455" w:name="_Toc247527581"/>
      <w:bookmarkStart w:id="456" w:name="_Toc247513980"/>
      <w:bookmarkStart w:id="457" w:name="_Toc144974524"/>
      <w:bookmarkStart w:id="458" w:name="_Toc16217"/>
      <w:bookmarkStart w:id="459" w:name="_Toc300834978"/>
      <w:bookmarkStart w:id="460" w:name="_Toc17033"/>
      <w:bookmarkStart w:id="461" w:name="_Toc144974525"/>
      <w:bookmarkStart w:id="462" w:name="_Toc247513981"/>
      <w:bookmarkStart w:id="463" w:name="_Toc2556"/>
      <w:bookmarkStart w:id="464" w:name="_Toc7700"/>
      <w:bookmarkStart w:id="465" w:name="_Toc20865"/>
      <w:bookmarkStart w:id="466" w:name="_Toc152045557"/>
      <w:bookmarkStart w:id="467" w:name="_Toc17435"/>
      <w:bookmarkStart w:id="468" w:name="_Toc152042333"/>
      <w:bookmarkStart w:id="469" w:name="_Toc247527582"/>
      <w:r>
        <w:rPr>
          <w:rFonts w:hint="eastAsia" w:hAnsi="黑体" w:cs="黑体"/>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highlight w:val="none"/>
        </w:rPr>
      </w:pPr>
      <w:r>
        <w:rPr>
          <w:rFonts w:hint="eastAsia" w:ascii="宋体" w:hAnsi="宋体"/>
          <w:highlight w:val="none"/>
        </w:rPr>
        <w:t>4.1.1 投标文件应进行包装、加贴封条，并在封套的封口处加盖投标人单位章。</w:t>
      </w:r>
    </w:p>
    <w:p>
      <w:pPr>
        <w:spacing w:line="400" w:lineRule="exact"/>
        <w:ind w:firstLine="420" w:firstLineChars="200"/>
        <w:rPr>
          <w:rFonts w:ascii="宋体" w:hAnsi="宋体"/>
          <w:highlight w:val="none"/>
        </w:rPr>
      </w:pPr>
      <w:r>
        <w:rPr>
          <w:rFonts w:hint="eastAsia" w:ascii="宋体" w:hAnsi="宋体"/>
          <w:highlight w:val="none"/>
        </w:rPr>
        <w:t>4.1.2 投标文件封套上应写明的内容见投标人须知前附表。</w:t>
      </w:r>
    </w:p>
    <w:p>
      <w:pPr>
        <w:spacing w:line="400" w:lineRule="exact"/>
        <w:ind w:firstLine="420" w:firstLineChars="200"/>
        <w:rPr>
          <w:rFonts w:ascii="宋体" w:hAnsi="宋体"/>
          <w:highlight w:val="none"/>
        </w:rPr>
      </w:pPr>
      <w:r>
        <w:rPr>
          <w:rFonts w:hint="eastAsia" w:ascii="宋体" w:hAnsi="宋体"/>
          <w:highlight w:val="none"/>
        </w:rPr>
        <w:t>4.1.3 未按本章第4.1.1项或第4.1.2项要求密封和加写标记的投标文件，招标人不予受理。</w:t>
      </w:r>
    </w:p>
    <w:p>
      <w:pPr>
        <w:pStyle w:val="5"/>
        <w:rPr>
          <w:rFonts w:ascii="Times New Roman" w:hAnsi="Times New Roman"/>
          <w:highlight w:val="none"/>
        </w:rPr>
      </w:pPr>
      <w:r>
        <w:rPr>
          <w:rFonts w:ascii="Times New Roman" w:hAnsi="Times New Roman"/>
          <w:highlight w:val="none"/>
        </w:rPr>
        <w:t xml:space="preserve">4.2 </w:t>
      </w:r>
      <w:r>
        <w:rPr>
          <w:rFonts w:hint="eastAsia" w:ascii="Times New Roman" w:hAnsi="Times New Roman"/>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highlight w:val="none"/>
        </w:rPr>
      </w:pPr>
      <w:r>
        <w:rPr>
          <w:highlight w:val="none"/>
        </w:rPr>
        <w:t xml:space="preserve">4.2.1 </w:t>
      </w:r>
      <w:r>
        <w:rPr>
          <w:rFonts w:hint="eastAsia" w:ascii="宋体" w:hAnsi="宋体"/>
          <w:highlight w:val="none"/>
        </w:rPr>
        <w:t>投标人代表应按投标须知前附表所规定的时间和地点向招标人提交投标文件。</w:t>
      </w:r>
    </w:p>
    <w:p>
      <w:pPr>
        <w:spacing w:line="400" w:lineRule="exact"/>
        <w:ind w:firstLine="420" w:firstLineChars="200"/>
        <w:rPr>
          <w:rFonts w:ascii="宋体" w:hAnsi="宋体"/>
          <w:highlight w:val="none"/>
        </w:rPr>
      </w:pPr>
      <w:r>
        <w:rPr>
          <w:rFonts w:hint="eastAsia" w:ascii="宋体" w:hAnsi="宋体"/>
          <w:highlight w:val="none"/>
        </w:rPr>
        <w:t>投标人代表应由投标人法定代表人或法定代表人书面授权的委托代理人担任。法定代表人应凭本人身份证和法定代表人证明书原件</w:t>
      </w:r>
      <w:r>
        <w:rPr>
          <w:rFonts w:hint="eastAsia" w:ascii="宋体" w:hAnsi="宋体"/>
          <w:bCs/>
          <w:highlight w:val="none"/>
        </w:rPr>
        <w:t>提交</w:t>
      </w:r>
      <w:r>
        <w:rPr>
          <w:rFonts w:hint="eastAsia" w:ascii="宋体" w:hAnsi="宋体"/>
          <w:highlight w:val="none"/>
        </w:rPr>
        <w:t>投标文件。委托代理人应凭本人身份证、法定代表人证明书原件和法定代表人授权委托证明书原件</w:t>
      </w:r>
      <w:r>
        <w:rPr>
          <w:rFonts w:hint="eastAsia" w:ascii="宋体" w:hAnsi="宋体"/>
          <w:bCs/>
          <w:highlight w:val="none"/>
        </w:rPr>
        <w:t>提交</w:t>
      </w:r>
      <w:r>
        <w:rPr>
          <w:rFonts w:hint="eastAsia" w:ascii="宋体" w:hAnsi="宋体"/>
          <w:highlight w:val="none"/>
        </w:rPr>
        <w:t>投标文件。</w:t>
      </w:r>
    </w:p>
    <w:p>
      <w:pPr>
        <w:spacing w:line="400" w:lineRule="exact"/>
        <w:ind w:firstLine="420" w:firstLineChars="200"/>
        <w:rPr>
          <w:highlight w:val="none"/>
        </w:rPr>
      </w:pPr>
      <w:r>
        <w:rPr>
          <w:highlight w:val="none"/>
        </w:rPr>
        <w:t xml:space="preserve">4.2.2 </w:t>
      </w:r>
      <w:r>
        <w:rPr>
          <w:rFonts w:hint="eastAsia"/>
          <w:highlight w:val="none"/>
        </w:rPr>
        <w:t>投标人递交投标文件的地点：见投标人须知前附表。</w:t>
      </w:r>
    </w:p>
    <w:p>
      <w:pPr>
        <w:spacing w:line="400" w:lineRule="exact"/>
        <w:ind w:firstLine="420" w:firstLineChars="200"/>
        <w:rPr>
          <w:highlight w:val="none"/>
        </w:rPr>
      </w:pPr>
      <w:r>
        <w:rPr>
          <w:highlight w:val="none"/>
        </w:rPr>
        <w:t xml:space="preserve">4.2.3 </w:t>
      </w:r>
      <w:r>
        <w:rPr>
          <w:rFonts w:hint="eastAsia"/>
          <w:highlight w:val="none"/>
        </w:rPr>
        <w:t>除投标人须知前附表另有规定外，投标人所递交的投标文件不予退还。</w:t>
      </w:r>
    </w:p>
    <w:p>
      <w:pPr>
        <w:spacing w:line="400" w:lineRule="exact"/>
        <w:ind w:firstLine="420" w:firstLineChars="200"/>
        <w:rPr>
          <w:highlight w:val="none"/>
        </w:rPr>
      </w:pPr>
      <w:r>
        <w:rPr>
          <w:highlight w:val="none"/>
        </w:rPr>
        <w:t xml:space="preserve">4.2.4 </w:t>
      </w:r>
      <w:r>
        <w:rPr>
          <w:rFonts w:hint="eastAsia"/>
          <w:highlight w:val="none"/>
        </w:rPr>
        <w:t>逾期送达的或者未送达指定地点的投标文件，招标人不予受理。</w:t>
      </w:r>
    </w:p>
    <w:p>
      <w:pPr>
        <w:spacing w:line="400" w:lineRule="exact"/>
        <w:ind w:firstLine="420" w:firstLineChars="200"/>
        <w:rPr>
          <w:rFonts w:ascii="宋体" w:hAnsi="宋体"/>
          <w:highlight w:val="none"/>
        </w:rPr>
      </w:pPr>
      <w:r>
        <w:rPr>
          <w:highlight w:val="none"/>
        </w:rPr>
        <w:t>4.2.5</w:t>
      </w:r>
      <w:r>
        <w:rPr>
          <w:rFonts w:ascii="宋体" w:hAnsi="宋体"/>
          <w:highlight w:val="none"/>
        </w:rPr>
        <w:t xml:space="preserve"> 若出现以下情况，招标人将拒绝接收投标文件：</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1）在投标截止期后逾期或未在指定地点递交投标文件的；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2）投标文件未按招标文件要求密封的；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3）投标人代表未按要求签到的；</w:t>
      </w:r>
    </w:p>
    <w:p>
      <w:pPr>
        <w:spacing w:line="400" w:lineRule="exact"/>
        <w:ind w:firstLine="420" w:firstLineChars="200"/>
        <w:rPr>
          <w:rFonts w:ascii="宋体" w:hAnsi="宋体"/>
          <w:highlight w:val="none"/>
        </w:rPr>
      </w:pPr>
      <w:r>
        <w:rPr>
          <w:rFonts w:hint="eastAsia" w:ascii="宋体" w:hAnsi="宋体"/>
          <w:highlight w:val="none"/>
        </w:rPr>
        <w:t>（</w:t>
      </w:r>
      <w:r>
        <w:rPr>
          <w:rFonts w:ascii="宋体" w:hAnsi="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highlight w:val="none"/>
          <w:u w:val="single"/>
        </w:rPr>
      </w:pPr>
      <w:r>
        <w:rPr>
          <w:rFonts w:hint="eastAsia" w:ascii="宋体" w:hAnsi="宋体"/>
          <w:highlight w:val="none"/>
        </w:rPr>
        <w:t>（5）投标人未成功办理投标登记手续的。</w:t>
      </w:r>
    </w:p>
    <w:p>
      <w:pPr>
        <w:spacing w:line="400" w:lineRule="exact"/>
        <w:ind w:firstLine="420" w:firstLineChars="200"/>
        <w:rPr>
          <w:rFonts w:ascii="宋体"/>
          <w:highlight w:val="none"/>
        </w:rPr>
      </w:pPr>
      <w:r>
        <w:rPr>
          <w:rFonts w:hint="eastAsia" w:ascii="宋体"/>
          <w:highlight w:val="none"/>
        </w:rPr>
        <w:t>4.2.6投标截止前，招标人拒绝接收符合条件的投标文件，投标人可向招标监督机构投诉。</w:t>
      </w:r>
    </w:p>
    <w:p>
      <w:pPr>
        <w:spacing w:line="400" w:lineRule="exact"/>
        <w:ind w:firstLine="420" w:firstLineChars="200"/>
        <w:rPr>
          <w:rFonts w:ascii="宋体" w:hAnsi="宋体"/>
          <w:highlight w:val="none"/>
          <w:u w:val="single"/>
        </w:rPr>
      </w:pPr>
      <w:r>
        <w:rPr>
          <w:rFonts w:hint="eastAsia" w:ascii="宋体"/>
          <w:highlight w:val="none"/>
        </w:rPr>
        <w:t>4.2.7到投标截止时间止，若收到的投标文件少于3家的，本项目招标失败，将依法重新招标。</w:t>
      </w:r>
    </w:p>
    <w:p>
      <w:pPr>
        <w:pStyle w:val="5"/>
        <w:rPr>
          <w:highlight w:val="none"/>
        </w:rPr>
      </w:pPr>
      <w:bookmarkStart w:id="470" w:name="_Toc29774"/>
      <w:bookmarkStart w:id="471" w:name="_Toc13098"/>
      <w:bookmarkStart w:id="472" w:name="_Toc247527583"/>
      <w:bookmarkStart w:id="473" w:name="_Toc28821"/>
      <w:bookmarkStart w:id="474" w:name="_Toc152042334"/>
      <w:bookmarkStart w:id="475" w:name="_Toc25096"/>
      <w:bookmarkStart w:id="476" w:name="_Toc27188"/>
      <w:bookmarkStart w:id="477" w:name="_Toc1732"/>
      <w:bookmarkStart w:id="478" w:name="_Toc494371542"/>
      <w:bookmarkStart w:id="479" w:name="_Toc152045558"/>
      <w:bookmarkStart w:id="480" w:name="_Toc144974526"/>
      <w:bookmarkStart w:id="481" w:name="_Toc247513982"/>
      <w:bookmarkStart w:id="482" w:name="_Toc29846"/>
      <w:bookmarkStart w:id="483" w:name="_Toc24863"/>
      <w:bookmarkStart w:id="484" w:name="_Toc300834979"/>
      <w:bookmarkStart w:id="485" w:name="_Toc3022"/>
      <w:bookmarkStart w:id="486" w:name="_Toc23867"/>
      <w:r>
        <w:rPr>
          <w:rFonts w:ascii="Times New Roman" w:hAnsi="Times New Roman"/>
          <w:highlight w:val="none"/>
        </w:rPr>
        <w:t>4.3</w:t>
      </w:r>
      <w:r>
        <w:rPr>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highlight w:val="none"/>
        </w:rPr>
      </w:pPr>
      <w:r>
        <w:rPr>
          <w:highlight w:val="none"/>
        </w:rPr>
        <w:t xml:space="preserve">4.3.1 </w:t>
      </w:r>
      <w:r>
        <w:rPr>
          <w:rFonts w:hint="eastAsia"/>
          <w:highlight w:val="none"/>
        </w:rPr>
        <w:t>在规定的投标截止时间前，投标人可以修改或撤回已递交的投标文件，但应以书面形式通知招标人。</w:t>
      </w:r>
    </w:p>
    <w:p>
      <w:pPr>
        <w:spacing w:line="400" w:lineRule="exact"/>
        <w:ind w:firstLine="420" w:firstLineChars="200"/>
        <w:rPr>
          <w:highlight w:val="none"/>
        </w:rPr>
      </w:pPr>
      <w:r>
        <w:rPr>
          <w:highlight w:val="none"/>
        </w:rPr>
        <w:t xml:space="preserve">4.3.2 </w:t>
      </w:r>
      <w:r>
        <w:rPr>
          <w:rFonts w:hint="eastAsia"/>
          <w:highlight w:val="none"/>
        </w:rPr>
        <w:t>投标人修改或撤回已递交投标文件的书面通知应按照本章第</w:t>
      </w:r>
      <w:r>
        <w:rPr>
          <w:highlight w:val="none"/>
        </w:rPr>
        <w:t>3.7.3</w:t>
      </w:r>
      <w:r>
        <w:rPr>
          <w:rFonts w:hint="eastAsia"/>
          <w:highlight w:val="none"/>
        </w:rPr>
        <w:t>项的要求签字或盖章。招标人收到书面通知后，向投标人出具签收凭证。</w:t>
      </w:r>
    </w:p>
    <w:p>
      <w:pPr>
        <w:spacing w:line="400" w:lineRule="exact"/>
        <w:ind w:firstLine="420" w:firstLineChars="200"/>
        <w:rPr>
          <w:highlight w:val="none"/>
        </w:rPr>
      </w:pPr>
      <w:r>
        <w:rPr>
          <w:highlight w:val="none"/>
        </w:rPr>
        <w:t xml:space="preserve">4.3.3 </w:t>
      </w:r>
      <w:r>
        <w:rPr>
          <w:rFonts w:hint="eastAsia"/>
          <w:highlight w:val="none"/>
        </w:rPr>
        <w:t>投标人撤回投标文件的，招标人自收到投标人书面撤回通知之日起</w:t>
      </w:r>
      <w:r>
        <w:rPr>
          <w:highlight w:val="none"/>
        </w:rPr>
        <w:t>5</w:t>
      </w:r>
      <w:r>
        <w:rPr>
          <w:rFonts w:hint="eastAsia"/>
          <w:highlight w:val="none"/>
        </w:rPr>
        <w:t>日内退还已收取的投标保证金。</w:t>
      </w:r>
    </w:p>
    <w:p>
      <w:pPr>
        <w:spacing w:line="400" w:lineRule="exact"/>
        <w:ind w:firstLine="420" w:firstLineChars="200"/>
        <w:rPr>
          <w:highlight w:val="none"/>
        </w:rPr>
      </w:pPr>
      <w:r>
        <w:rPr>
          <w:highlight w:val="none"/>
        </w:rPr>
        <w:t xml:space="preserve">4.3.4 </w:t>
      </w:r>
      <w:r>
        <w:rPr>
          <w:rFonts w:hint="eastAsia"/>
          <w:highlight w:val="none"/>
        </w:rPr>
        <w:t>修改的内容为投标文件的组成部分。修改的投标文件应按照本章第</w:t>
      </w:r>
      <w:r>
        <w:rPr>
          <w:highlight w:val="none"/>
        </w:rPr>
        <w:t>3</w:t>
      </w:r>
      <w:r>
        <w:rPr>
          <w:rFonts w:hint="eastAsia"/>
          <w:highlight w:val="none"/>
        </w:rPr>
        <w:t>条、第</w:t>
      </w:r>
      <w:r>
        <w:rPr>
          <w:highlight w:val="none"/>
        </w:rPr>
        <w:t>4</w:t>
      </w:r>
      <w:r>
        <w:rPr>
          <w:rFonts w:hint="eastAsia"/>
          <w:highlight w:val="none"/>
        </w:rPr>
        <w:t>条规定进行编制、密封、标记和递交，并标明“修改”字样。</w:t>
      </w:r>
    </w:p>
    <w:p>
      <w:pPr>
        <w:spacing w:line="400" w:lineRule="exact"/>
        <w:ind w:firstLine="420" w:firstLineChars="200"/>
        <w:rPr>
          <w:rFonts w:ascii="宋体" w:hAnsi="宋体"/>
          <w:highlight w:val="none"/>
        </w:rPr>
      </w:pPr>
      <w:r>
        <w:rPr>
          <w:rFonts w:ascii="宋体" w:hAnsi="宋体"/>
          <w:highlight w:val="none"/>
        </w:rPr>
        <w:t>4.3.5 在投标截止时间之后，投标人不得补充、修改和更换投标文件。</w:t>
      </w:r>
    </w:p>
    <w:p>
      <w:pPr>
        <w:spacing w:line="400" w:lineRule="exact"/>
        <w:ind w:firstLine="420" w:firstLineChars="200"/>
        <w:rPr>
          <w:highlight w:val="none"/>
        </w:rPr>
      </w:pPr>
      <w:r>
        <w:rPr>
          <w:rFonts w:ascii="宋体" w:hAnsi="宋体"/>
          <w:highlight w:val="none"/>
        </w:rPr>
        <w:t>4.3.6 在投标截止后，投标人在投标文件格式中规定的有效期终止日前，投标人不能撤</w:t>
      </w:r>
      <w:r>
        <w:rPr>
          <w:rFonts w:hint="eastAsia"/>
          <w:highlight w:val="none"/>
        </w:rPr>
        <w:t>回投标文件，否则其投标担保将被没收，且招标人有权就其撤回行为报告政府主管部门载入不良信用记录。</w:t>
      </w:r>
    </w:p>
    <w:p>
      <w:pPr>
        <w:spacing w:line="400" w:lineRule="exact"/>
        <w:ind w:firstLine="420" w:firstLineChars="200"/>
        <w:rPr>
          <w:highlight w:val="none"/>
        </w:rPr>
      </w:pPr>
    </w:p>
    <w:p>
      <w:pPr>
        <w:pStyle w:val="4"/>
        <w:rPr>
          <w:highlight w:val="none"/>
        </w:rPr>
      </w:pPr>
      <w:bookmarkStart w:id="487" w:name="_Toc494371543"/>
      <w:bookmarkStart w:id="488" w:name="_Toc29122"/>
      <w:bookmarkStart w:id="489" w:name="_Toc144974527"/>
      <w:bookmarkStart w:id="490" w:name="_Toc19353"/>
      <w:bookmarkStart w:id="491" w:name="_Toc152045559"/>
      <w:bookmarkStart w:id="492" w:name="_Toc247513983"/>
      <w:bookmarkStart w:id="493" w:name="_Toc19988"/>
      <w:bookmarkStart w:id="494" w:name="_Toc247527584"/>
      <w:bookmarkStart w:id="495" w:name="_Toc152042335"/>
      <w:bookmarkStart w:id="496" w:name="_Toc300834980"/>
      <w:bookmarkStart w:id="497" w:name="_Toc17327"/>
      <w:bookmarkStart w:id="498" w:name="_Toc4190"/>
      <w:bookmarkStart w:id="499" w:name="_Toc7044"/>
      <w:bookmarkStart w:id="500" w:name="_Toc9659"/>
      <w:bookmarkStart w:id="501" w:name="_Toc21324"/>
      <w:bookmarkStart w:id="502" w:name="_Toc4859"/>
      <w:bookmarkStart w:id="503" w:name="_Toc20912"/>
      <w:bookmarkStart w:id="504" w:name="_Toc21626"/>
      <w:bookmarkStart w:id="505" w:name="_Toc12021"/>
      <w:r>
        <w:rPr>
          <w:highlight w:val="none"/>
        </w:rPr>
        <w:t xml:space="preserve">5. </w:t>
      </w:r>
      <w:r>
        <w:rPr>
          <w:rFonts w:hint="eastAsia"/>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highlight w:val="none"/>
        </w:rPr>
      </w:pPr>
      <w:bookmarkStart w:id="506" w:name="_Toc152042336"/>
      <w:bookmarkStart w:id="507" w:name="_Toc27776"/>
      <w:bookmarkStart w:id="508" w:name="_Toc23891"/>
      <w:bookmarkStart w:id="509" w:name="_Toc22910"/>
      <w:bookmarkStart w:id="510" w:name="_Toc247527585"/>
      <w:bookmarkStart w:id="511" w:name="_Toc25302"/>
      <w:bookmarkStart w:id="512" w:name="_Toc795"/>
      <w:bookmarkStart w:id="513" w:name="_Toc25808"/>
      <w:bookmarkStart w:id="514" w:name="_Toc152045560"/>
      <w:bookmarkStart w:id="515" w:name="_Toc144974528"/>
      <w:bookmarkStart w:id="516" w:name="_Toc25002"/>
      <w:bookmarkStart w:id="517" w:name="_Toc21178"/>
      <w:bookmarkStart w:id="518" w:name="_Toc11407"/>
      <w:bookmarkStart w:id="519" w:name="_Toc300834981"/>
      <w:bookmarkStart w:id="520" w:name="_Toc247513984"/>
      <w:bookmarkStart w:id="521" w:name="_Toc11445"/>
      <w:bookmarkStart w:id="522" w:name="_Toc494371544"/>
      <w:r>
        <w:rPr>
          <w:rFonts w:ascii="Times New Roman" w:hAnsi="Times New Roman"/>
          <w:highlight w:val="none"/>
        </w:rPr>
        <w:t>5.1</w:t>
      </w:r>
      <w:r>
        <w:rPr>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highlight w:val="none"/>
        </w:rPr>
      </w:pPr>
      <w:r>
        <w:rPr>
          <w:rFonts w:hint="eastAsia"/>
          <w:highlight w:val="none"/>
        </w:rPr>
        <w:t>招标人在规定的投标截止时间（开标时间）和投标人须知前附表规定的地点公开开标，并邀请所有投标人的法定代表人或其委托代理人准时参加。</w:t>
      </w:r>
    </w:p>
    <w:p>
      <w:pPr>
        <w:pStyle w:val="5"/>
        <w:rPr>
          <w:highlight w:val="none"/>
        </w:rPr>
      </w:pPr>
      <w:bookmarkStart w:id="523" w:name="_Toc22493"/>
      <w:bookmarkStart w:id="524" w:name="_Toc25227"/>
      <w:bookmarkStart w:id="525" w:name="_Toc247527586"/>
      <w:bookmarkStart w:id="526" w:name="_Toc19222"/>
      <w:bookmarkStart w:id="527" w:name="_Toc22540"/>
      <w:bookmarkStart w:id="528" w:name="_Toc494371545"/>
      <w:bookmarkStart w:id="529" w:name="_Toc247513985"/>
      <w:bookmarkStart w:id="530" w:name="_Toc3986"/>
      <w:bookmarkStart w:id="531" w:name="_Toc22461"/>
      <w:bookmarkStart w:id="532" w:name="_Toc152045561"/>
      <w:bookmarkStart w:id="533" w:name="_Toc15353"/>
      <w:bookmarkStart w:id="534" w:name="_Toc152042337"/>
      <w:bookmarkStart w:id="535" w:name="_Toc3230"/>
      <w:bookmarkStart w:id="536" w:name="_Toc25280"/>
      <w:bookmarkStart w:id="537" w:name="_Toc2530"/>
      <w:bookmarkStart w:id="538" w:name="_Toc144974529"/>
      <w:bookmarkStart w:id="539" w:name="_Toc300834982"/>
      <w:r>
        <w:rPr>
          <w:rFonts w:ascii="Times New Roman" w:hAnsi="Times New Roman"/>
          <w:highlight w:val="none"/>
        </w:rPr>
        <w:t>5.2</w:t>
      </w:r>
      <w:r>
        <w:rPr>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szCs w:val="21"/>
          <w:highlight w:val="none"/>
        </w:rPr>
      </w:pPr>
      <w:r>
        <w:rPr>
          <w:rFonts w:ascii="宋体" w:hAnsi="宋体"/>
          <w:szCs w:val="21"/>
          <w:highlight w:val="none"/>
        </w:rPr>
        <w:t>5.2.1 招标人按投标须知前附表所规定的时间和地点公开开标，并邀请所有投标人参加。截标后，开标开始时间因故推迟的，</w:t>
      </w:r>
      <w:r>
        <w:rPr>
          <w:rFonts w:hint="eastAsia" w:ascii="宋体" w:hAnsi="宋体"/>
          <w:szCs w:val="21"/>
          <w:highlight w:val="none"/>
        </w:rPr>
        <w:t>以实际开标时间为准。</w:t>
      </w:r>
    </w:p>
    <w:p>
      <w:pPr>
        <w:spacing w:line="360" w:lineRule="auto"/>
        <w:ind w:firstLine="457" w:firstLineChars="218"/>
        <w:rPr>
          <w:rFonts w:ascii="宋体" w:hAnsi="宋体"/>
          <w:szCs w:val="21"/>
          <w:highlight w:val="none"/>
        </w:rPr>
      </w:pPr>
      <w:r>
        <w:rPr>
          <w:rFonts w:ascii="宋体" w:hAnsi="宋体"/>
          <w:szCs w:val="21"/>
          <w:highlight w:val="none"/>
        </w:rPr>
        <w:t>5.2.2 开标时，出现下列情形之一的，不参与开标及后续评审工作：</w:t>
      </w:r>
    </w:p>
    <w:p>
      <w:pPr>
        <w:spacing w:line="360" w:lineRule="auto"/>
        <w:ind w:firstLine="457" w:firstLineChars="218"/>
        <w:rPr>
          <w:rFonts w:ascii="宋体" w:hAnsi="宋体"/>
          <w:szCs w:val="21"/>
          <w:highlight w:val="none"/>
        </w:rPr>
      </w:pPr>
      <w:r>
        <w:rPr>
          <w:rFonts w:ascii="宋体" w:hAnsi="宋体"/>
          <w:szCs w:val="21"/>
          <w:highlight w:val="none"/>
        </w:rPr>
        <w:t xml:space="preserve">5.2.2.1 </w:t>
      </w:r>
      <w:r>
        <w:rPr>
          <w:rFonts w:hint="eastAsia" w:ascii="宋体" w:hAnsi="宋体"/>
          <w:szCs w:val="21"/>
          <w:highlight w:val="none"/>
        </w:rPr>
        <w:t>未按招标文件要求提供投标担保的；</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3</w:t>
      </w:r>
      <w:r>
        <w:rPr>
          <w:rFonts w:ascii="宋体" w:hAnsi="宋体"/>
          <w:szCs w:val="21"/>
          <w:highlight w:val="none"/>
        </w:rPr>
        <w:t xml:space="preserve"> 开标由招标人主持。</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4</w:t>
      </w:r>
      <w:r>
        <w:rPr>
          <w:rFonts w:ascii="宋体" w:hAnsi="宋体"/>
          <w:szCs w:val="21"/>
          <w:highlight w:val="none"/>
        </w:rPr>
        <w:t>由投标人或其推选的代表检查投标文件的包封、标记和密封情况。</w:t>
      </w:r>
    </w:p>
    <w:p>
      <w:pPr>
        <w:spacing w:line="360" w:lineRule="auto"/>
        <w:ind w:firstLine="457" w:firstLineChars="218"/>
        <w:rPr>
          <w:rFonts w:ascii="宋体" w:hAnsi="宋体"/>
          <w:szCs w:val="21"/>
          <w:highlight w:val="none"/>
        </w:rPr>
      </w:pPr>
      <w:r>
        <w:rPr>
          <w:rFonts w:ascii="宋体" w:hAnsi="宋体"/>
          <w:szCs w:val="21"/>
          <w:highlight w:val="none"/>
        </w:rPr>
        <w:t>5.2.</w:t>
      </w:r>
      <w:r>
        <w:rPr>
          <w:rFonts w:hint="eastAsia" w:ascii="宋体" w:hAnsi="宋体"/>
          <w:szCs w:val="21"/>
          <w:highlight w:val="none"/>
        </w:rPr>
        <w:t>5</w:t>
      </w:r>
      <w:r>
        <w:rPr>
          <w:rFonts w:ascii="宋体" w:hAnsi="宋体"/>
          <w:szCs w:val="21"/>
          <w:highlight w:val="none"/>
        </w:rPr>
        <w:t>开标细则</w:t>
      </w:r>
    </w:p>
    <w:p>
      <w:pPr>
        <w:spacing w:line="360" w:lineRule="auto"/>
        <w:ind w:firstLine="457" w:firstLineChars="218"/>
        <w:rPr>
          <w:rFonts w:ascii="宋体" w:hAnsi="宋体"/>
          <w:szCs w:val="21"/>
          <w:highlight w:val="none"/>
        </w:rPr>
      </w:pPr>
      <w:r>
        <w:rPr>
          <w:rFonts w:hint="eastAsia" w:ascii="宋体" w:hAnsi="宋体"/>
          <w:szCs w:val="21"/>
          <w:highlight w:val="none"/>
        </w:rPr>
        <w:t>（1）资格审查文件、</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（含资信部分）文件评审、投标报价文件同时公开开标；</w:t>
      </w:r>
    </w:p>
    <w:p>
      <w:pPr>
        <w:spacing w:line="360" w:lineRule="auto"/>
        <w:ind w:firstLine="457" w:firstLineChars="218"/>
        <w:rPr>
          <w:rFonts w:ascii="宋体" w:hAnsi="宋体"/>
          <w:szCs w:val="21"/>
          <w:highlight w:val="none"/>
        </w:rPr>
      </w:pPr>
      <w:r>
        <w:rPr>
          <w:rFonts w:hint="eastAsia" w:ascii="宋体" w:hAnsi="宋体"/>
          <w:szCs w:val="21"/>
          <w:highlight w:val="none"/>
        </w:rPr>
        <w:t>（2）经确认无误后，由招标人当众拆封各投标人递交的资格审查文件、</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（含资信部分）文件评审、投标报价文件。开标时宣读下列内容，并予以记录，开标记录提交评标委员会评审：</w:t>
      </w:r>
    </w:p>
    <w:p>
      <w:pPr>
        <w:spacing w:line="360" w:lineRule="auto"/>
        <w:ind w:firstLine="457" w:firstLineChars="218"/>
        <w:rPr>
          <w:rFonts w:ascii="宋体" w:hAnsi="宋体"/>
          <w:szCs w:val="21"/>
          <w:highlight w:val="none"/>
        </w:rPr>
      </w:pPr>
      <w:r>
        <w:rPr>
          <w:rFonts w:hint="eastAsia" w:ascii="宋体" w:hAnsi="宋体"/>
          <w:szCs w:val="21"/>
          <w:highlight w:val="none"/>
        </w:rPr>
        <w:t>开标时，宣读</w:t>
      </w:r>
      <w:r>
        <w:rPr>
          <w:rFonts w:ascii="宋体" w:hAnsi="宋体"/>
          <w:szCs w:val="21"/>
          <w:highlight w:val="none"/>
        </w:rPr>
        <w:t>a、投标人名称；b、标书密封情况；c、有无法定代表人证明书及授权委托证明书；d、投标担保递交情况；e、工期；f、质量标准；g、投标总报价等主要内容以及开标记录表中的其他必要内容。招标人或招标代理对开标过程进行记录，并存档备查。</w:t>
      </w:r>
    </w:p>
    <w:p>
      <w:pPr>
        <w:spacing w:line="360" w:lineRule="auto"/>
        <w:ind w:firstLine="457" w:firstLineChars="218"/>
        <w:rPr>
          <w:rFonts w:ascii="宋体" w:hAnsi="宋体"/>
          <w:szCs w:val="21"/>
          <w:highlight w:val="none"/>
        </w:rPr>
      </w:pPr>
      <w:r>
        <w:rPr>
          <w:rFonts w:hint="eastAsia" w:ascii="宋体" w:hAnsi="宋体"/>
          <w:szCs w:val="21"/>
          <w:highlight w:val="none"/>
        </w:rPr>
        <w:t>（3）资格审查文件评审；编制资格审查报告。</w:t>
      </w:r>
    </w:p>
    <w:p>
      <w:pPr>
        <w:spacing w:line="360" w:lineRule="auto"/>
        <w:ind w:firstLine="457" w:firstLineChars="218"/>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工程施工总承包实施方案</w:t>
      </w:r>
      <w:r>
        <w:rPr>
          <w:rFonts w:hint="eastAsia" w:ascii="宋体" w:hAnsi="宋体"/>
          <w:szCs w:val="21"/>
          <w:highlight w:val="none"/>
        </w:rPr>
        <w:t>（含资信部分）文件评审；</w:t>
      </w:r>
    </w:p>
    <w:p>
      <w:pPr>
        <w:spacing w:line="360" w:lineRule="auto"/>
        <w:ind w:firstLine="457" w:firstLineChars="218"/>
        <w:rPr>
          <w:rFonts w:ascii="宋体" w:hAnsi="宋体"/>
          <w:szCs w:val="21"/>
          <w:highlight w:val="none"/>
        </w:rPr>
      </w:pPr>
      <w:r>
        <w:rPr>
          <w:rFonts w:hint="eastAsia" w:ascii="宋体" w:hAnsi="宋体"/>
          <w:szCs w:val="21"/>
          <w:highlight w:val="none"/>
        </w:rPr>
        <w:t>（5）投标报价文件评审；</w:t>
      </w:r>
    </w:p>
    <w:p>
      <w:pPr>
        <w:spacing w:line="360" w:lineRule="auto"/>
        <w:ind w:firstLine="457" w:firstLineChars="218"/>
        <w:rPr>
          <w:rFonts w:ascii="宋体" w:hAnsi="宋体"/>
          <w:szCs w:val="21"/>
          <w:highlight w:val="none"/>
        </w:rPr>
      </w:pPr>
      <w:r>
        <w:rPr>
          <w:rFonts w:hint="eastAsia" w:ascii="宋体" w:hAnsi="宋体"/>
          <w:szCs w:val="21"/>
          <w:highlight w:val="none"/>
        </w:rPr>
        <w:t>（6）</w:t>
      </w:r>
      <w:r>
        <w:rPr>
          <w:rFonts w:hint="eastAsia"/>
          <w:highlight w:val="none"/>
        </w:rPr>
        <w:t>评委</w:t>
      </w:r>
      <w:r>
        <w:rPr>
          <w:rFonts w:hint="eastAsia" w:ascii="宋体" w:hAnsi="宋体"/>
          <w:szCs w:val="21"/>
          <w:highlight w:val="none"/>
        </w:rPr>
        <w:t>汇总</w:t>
      </w:r>
      <w:r>
        <w:rPr>
          <w:rFonts w:hint="eastAsia" w:ascii="宋体" w:hAnsi="宋体"/>
          <w:szCs w:val="21"/>
          <w:highlight w:val="none"/>
          <w:lang w:eastAsia="zh-CN"/>
        </w:rPr>
        <w:t>工程施工总承包实施方案</w:t>
      </w:r>
      <w:r>
        <w:rPr>
          <w:rFonts w:hint="eastAsia" w:ascii="宋体" w:hAnsi="宋体"/>
          <w:szCs w:val="21"/>
          <w:highlight w:val="none"/>
        </w:rPr>
        <w:t>（含资信部分）文件与投标报价文件得分，并按照总分从高到低排序；</w:t>
      </w:r>
    </w:p>
    <w:p>
      <w:pPr>
        <w:spacing w:line="360" w:lineRule="auto"/>
        <w:ind w:firstLine="457" w:firstLineChars="218"/>
        <w:rPr>
          <w:highlight w:val="none"/>
        </w:rPr>
      </w:pPr>
      <w:r>
        <w:rPr>
          <w:rFonts w:hint="eastAsia" w:ascii="宋体" w:hAnsi="宋体"/>
          <w:szCs w:val="21"/>
          <w:highlight w:val="none"/>
        </w:rPr>
        <w:t>（8）评标委员会向业主推荐中标候选人，编写评标报告。</w:t>
      </w:r>
    </w:p>
    <w:p>
      <w:pPr>
        <w:pStyle w:val="5"/>
        <w:rPr>
          <w:highlight w:val="none"/>
        </w:rPr>
      </w:pPr>
      <w:bookmarkStart w:id="540" w:name="_Toc3531"/>
      <w:bookmarkStart w:id="541" w:name="_Toc10688"/>
      <w:bookmarkStart w:id="542" w:name="_Toc29859"/>
      <w:bookmarkStart w:id="543" w:name="_Toc16449"/>
      <w:bookmarkStart w:id="544" w:name="_Toc5505"/>
      <w:bookmarkStart w:id="545" w:name="_Toc12520"/>
      <w:bookmarkStart w:id="546" w:name="_Toc24887"/>
      <w:bookmarkStart w:id="547" w:name="_Toc494371546"/>
      <w:bookmarkStart w:id="548" w:name="_Toc20975"/>
      <w:bookmarkStart w:id="549" w:name="_Toc25032"/>
      <w:bookmarkStart w:id="550" w:name="_Toc7458"/>
      <w:bookmarkStart w:id="551" w:name="_Toc300834983"/>
      <w:r>
        <w:rPr>
          <w:rFonts w:ascii="Times New Roman" w:hAnsi="Times New Roman"/>
          <w:highlight w:val="none"/>
        </w:rPr>
        <w:t>5.3</w:t>
      </w:r>
      <w:r>
        <w:rPr>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highlight w:val="none"/>
        </w:rPr>
      </w:pPr>
      <w:r>
        <w:rPr>
          <w:rFonts w:hint="eastAsia"/>
          <w:highlight w:val="none"/>
        </w:rPr>
        <w:t>投标人对开标有异议的，应当在开标现场提出，招标人当场作出答复，并制作记录。</w:t>
      </w:r>
    </w:p>
    <w:p>
      <w:pPr>
        <w:pStyle w:val="4"/>
        <w:rPr>
          <w:highlight w:val="none"/>
        </w:rPr>
      </w:pPr>
      <w:bookmarkStart w:id="552" w:name="_Toc198"/>
      <w:bookmarkStart w:id="553" w:name="_Toc152045562"/>
      <w:bookmarkStart w:id="554" w:name="_Toc15719"/>
      <w:bookmarkStart w:id="555" w:name="_Toc27705"/>
      <w:bookmarkStart w:id="556" w:name="_Toc152042338"/>
      <w:bookmarkStart w:id="557" w:name="_Toc109"/>
      <w:bookmarkStart w:id="558" w:name="_Toc247513986"/>
      <w:bookmarkStart w:id="559" w:name="_Toc837"/>
      <w:bookmarkStart w:id="560" w:name="_Toc300834984"/>
      <w:bookmarkStart w:id="561" w:name="_Toc3149"/>
      <w:bookmarkStart w:id="562" w:name="_Toc28414"/>
      <w:bookmarkStart w:id="563" w:name="_Toc30683"/>
      <w:bookmarkStart w:id="564" w:name="_Toc494371547"/>
      <w:bookmarkStart w:id="565" w:name="_Toc12313"/>
      <w:bookmarkStart w:id="566" w:name="_Toc32048"/>
      <w:bookmarkStart w:id="567" w:name="_Toc144974530"/>
      <w:bookmarkStart w:id="568" w:name="_Toc26333"/>
      <w:bookmarkStart w:id="569" w:name="_Toc247527587"/>
      <w:bookmarkStart w:id="570" w:name="_Toc15084"/>
      <w:r>
        <w:rPr>
          <w:highlight w:val="none"/>
        </w:rPr>
        <w:t xml:space="preserve">6. </w:t>
      </w:r>
      <w:r>
        <w:rPr>
          <w:rFonts w:hint="eastAsia"/>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highlight w:val="none"/>
        </w:rPr>
      </w:pPr>
      <w:bookmarkStart w:id="571" w:name="_Toc144974531"/>
      <w:bookmarkStart w:id="572" w:name="_Toc16291"/>
      <w:bookmarkStart w:id="573" w:name="_Toc152042339"/>
      <w:bookmarkStart w:id="574" w:name="_Toc15741"/>
      <w:bookmarkStart w:id="575" w:name="_Toc494371548"/>
      <w:bookmarkStart w:id="576" w:name="_Toc247527588"/>
      <w:bookmarkStart w:id="577" w:name="_Toc7043"/>
      <w:bookmarkStart w:id="578" w:name="_Toc29481"/>
      <w:bookmarkStart w:id="579" w:name="_Toc247513987"/>
      <w:bookmarkStart w:id="580" w:name="_Toc3086"/>
      <w:bookmarkStart w:id="581" w:name="_Toc32379"/>
      <w:bookmarkStart w:id="582" w:name="_Toc13286"/>
      <w:bookmarkStart w:id="583" w:name="_Toc18724"/>
      <w:bookmarkStart w:id="584" w:name="_Toc8891"/>
      <w:bookmarkStart w:id="585" w:name="_Toc300834985"/>
      <w:bookmarkStart w:id="586" w:name="_Toc2807"/>
      <w:bookmarkStart w:id="587" w:name="_Toc152045563"/>
      <w:r>
        <w:rPr>
          <w:rFonts w:ascii="Times New Roman" w:hAnsi="Times New Roman"/>
          <w:highlight w:val="none"/>
        </w:rPr>
        <w:t>6.1</w:t>
      </w:r>
      <w:r>
        <w:rPr>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highlight w:val="none"/>
        </w:rPr>
      </w:pPr>
      <w:r>
        <w:rPr>
          <w:highlight w:val="none"/>
        </w:rPr>
        <w:t xml:space="preserve">6.1.1 </w:t>
      </w:r>
      <w:r>
        <w:rPr>
          <w:rFonts w:hint="eastAsia"/>
          <w:highlight w:val="none"/>
        </w:rPr>
        <w:t>评标由招标人依法组建的评标委员会负责，成员人数为五人以上单数。</w:t>
      </w:r>
      <w:r>
        <w:rPr>
          <w:rFonts w:hint="eastAsia"/>
          <w:highlight w:val="none"/>
          <w:lang w:val="en-US" w:eastAsia="zh-CN"/>
        </w:rPr>
        <w:t>建设单位</w:t>
      </w:r>
      <w:r>
        <w:rPr>
          <w:rFonts w:hint="eastAsia"/>
          <w:highlight w:val="none"/>
        </w:rPr>
        <w:t>参加或派代表参加评标委员会的，人数原则上以一人为限，评标过程中不得以任何方式影响其他评标专家独立评标。</w:t>
      </w:r>
    </w:p>
    <w:p>
      <w:pPr>
        <w:pStyle w:val="5"/>
        <w:rPr>
          <w:highlight w:val="none"/>
        </w:rPr>
      </w:pPr>
      <w:bookmarkStart w:id="588" w:name="_Toc1462"/>
      <w:bookmarkStart w:id="589" w:name="_Toc300834986"/>
      <w:bookmarkStart w:id="590" w:name="_Toc19365"/>
      <w:bookmarkStart w:id="591" w:name="_Toc14458"/>
      <w:bookmarkStart w:id="592" w:name="_Toc247513988"/>
      <w:bookmarkStart w:id="593" w:name="_Toc144974532"/>
      <w:bookmarkStart w:id="594" w:name="_Toc152042340"/>
      <w:bookmarkStart w:id="595" w:name="_Toc152045564"/>
      <w:bookmarkStart w:id="596" w:name="_Toc26316"/>
      <w:bookmarkStart w:id="597" w:name="_Toc30692"/>
      <w:bookmarkStart w:id="598" w:name="_Toc494371549"/>
      <w:bookmarkStart w:id="599" w:name="_Toc18883"/>
      <w:bookmarkStart w:id="600" w:name="_Toc12970"/>
      <w:bookmarkStart w:id="601" w:name="_Toc6335"/>
      <w:bookmarkStart w:id="602" w:name="_Toc19377"/>
      <w:bookmarkStart w:id="603" w:name="_Toc247527589"/>
      <w:bookmarkStart w:id="604" w:name="_Toc6886"/>
      <w:r>
        <w:rPr>
          <w:rFonts w:ascii="Times New Roman" w:hAnsi="Times New Roman"/>
          <w:highlight w:val="none"/>
        </w:rPr>
        <w:t>6.2</w:t>
      </w:r>
      <w:r>
        <w:rPr>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highlight w:val="none"/>
        </w:rPr>
      </w:pPr>
      <w:r>
        <w:rPr>
          <w:rFonts w:hint="eastAsia"/>
          <w:highlight w:val="none"/>
        </w:rPr>
        <w:t>评标活动遵循公平、公正、科学和择优的原则。</w:t>
      </w:r>
    </w:p>
    <w:p>
      <w:pPr>
        <w:pStyle w:val="5"/>
        <w:rPr>
          <w:highlight w:val="none"/>
        </w:rPr>
      </w:pPr>
      <w:bookmarkStart w:id="605" w:name="_Toc10168"/>
      <w:bookmarkStart w:id="606" w:name="_Toc28220"/>
      <w:bookmarkStart w:id="607" w:name="_Toc247527590"/>
      <w:bookmarkStart w:id="608" w:name="_Toc16889"/>
      <w:bookmarkStart w:id="609" w:name="_Toc17295"/>
      <w:bookmarkStart w:id="610" w:name="_Toc152045565"/>
      <w:bookmarkStart w:id="611" w:name="_Toc494371550"/>
      <w:bookmarkStart w:id="612" w:name="_Toc300834987"/>
      <w:bookmarkStart w:id="613" w:name="_Toc30595"/>
      <w:bookmarkStart w:id="614" w:name="_Toc8724"/>
      <w:bookmarkStart w:id="615" w:name="_Toc18237"/>
      <w:bookmarkStart w:id="616" w:name="_Toc11669"/>
      <w:bookmarkStart w:id="617" w:name="_Toc247513989"/>
      <w:bookmarkStart w:id="618" w:name="_Toc152042341"/>
      <w:bookmarkStart w:id="619" w:name="_Toc144974533"/>
      <w:bookmarkStart w:id="620" w:name="_Toc25099"/>
      <w:bookmarkStart w:id="621" w:name="_Toc25394"/>
      <w:r>
        <w:rPr>
          <w:rFonts w:ascii="Times New Roman" w:hAnsi="Times New Roman"/>
          <w:highlight w:val="none"/>
        </w:rPr>
        <w:t>6.3</w:t>
      </w:r>
      <w:r>
        <w:rPr>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pPr>
        <w:pStyle w:val="4"/>
        <w:rPr>
          <w:highlight w:val="none"/>
        </w:rPr>
      </w:pPr>
      <w:bookmarkStart w:id="622" w:name="_Toc23086"/>
      <w:bookmarkStart w:id="623" w:name="_Toc24084"/>
      <w:bookmarkStart w:id="624" w:name="_Toc26245"/>
      <w:bookmarkStart w:id="625" w:name="_Toc300834988"/>
      <w:bookmarkStart w:id="626" w:name="_Toc6130"/>
      <w:bookmarkStart w:id="627" w:name="_Toc24255"/>
      <w:bookmarkStart w:id="628" w:name="_Toc5557"/>
      <w:bookmarkStart w:id="629" w:name="_Toc152045566"/>
      <w:bookmarkStart w:id="630" w:name="_Toc494371551"/>
      <w:bookmarkStart w:id="631" w:name="_Toc247527591"/>
      <w:bookmarkStart w:id="632" w:name="_Toc5422"/>
      <w:bookmarkStart w:id="633" w:name="_Toc152042342"/>
      <w:bookmarkStart w:id="634" w:name="_Toc12877"/>
      <w:bookmarkStart w:id="635" w:name="_Toc247513990"/>
      <w:bookmarkStart w:id="636" w:name="_Toc144974534"/>
      <w:bookmarkStart w:id="637" w:name="_Toc17020"/>
      <w:bookmarkStart w:id="638" w:name="_Toc22306"/>
      <w:bookmarkStart w:id="639" w:name="_Toc30273"/>
      <w:bookmarkStart w:id="640" w:name="_Toc22878"/>
      <w:r>
        <w:rPr>
          <w:highlight w:val="none"/>
        </w:rPr>
        <w:t xml:space="preserve">7. </w:t>
      </w:r>
      <w:r>
        <w:rPr>
          <w:rFonts w:hint="eastAsia"/>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highlight w:val="none"/>
        </w:rPr>
      </w:pPr>
      <w:bookmarkStart w:id="641" w:name="_Toc25537"/>
      <w:bookmarkStart w:id="642" w:name="_Toc10016"/>
      <w:bookmarkStart w:id="643" w:name="_Toc7596"/>
      <w:bookmarkStart w:id="644" w:name="_Toc152045567"/>
      <w:bookmarkStart w:id="645" w:name="_Toc28741"/>
      <w:bookmarkStart w:id="646" w:name="_Toc28811"/>
      <w:bookmarkStart w:id="647" w:name="_Toc144974535"/>
      <w:bookmarkStart w:id="648" w:name="_Toc152042343"/>
      <w:bookmarkStart w:id="649" w:name="_Toc29318"/>
      <w:bookmarkStart w:id="650" w:name="_Toc494371552"/>
      <w:bookmarkStart w:id="651" w:name="_Toc300834989"/>
      <w:bookmarkStart w:id="652" w:name="_Toc28912"/>
      <w:bookmarkStart w:id="653" w:name="_Toc620"/>
      <w:bookmarkStart w:id="654" w:name="_Toc6661"/>
      <w:bookmarkStart w:id="655" w:name="_Toc247527592"/>
      <w:bookmarkStart w:id="656" w:name="_Toc247513991"/>
      <w:bookmarkStart w:id="657" w:name="_Toc2434"/>
      <w:r>
        <w:rPr>
          <w:rFonts w:ascii="Times New Roman" w:hAnsi="Times New Roman"/>
          <w:highlight w:val="none"/>
        </w:rPr>
        <w:t>7.1</w:t>
      </w:r>
      <w:r>
        <w:rPr>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highlight w:val="none"/>
        </w:rPr>
      </w:pPr>
      <w:r>
        <w:rPr>
          <w:rFonts w:ascii="宋体" w:hAnsi="宋体" w:cs="宋体"/>
          <w:highlight w:val="none"/>
        </w:rPr>
        <w:t>7.1.1</w:t>
      </w:r>
      <w:r>
        <w:rPr>
          <w:rFonts w:hint="eastAsia" w:ascii="宋体" w:hAnsi="宋体" w:cs="宋体"/>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highlight w:val="none"/>
        </w:rPr>
      </w:pPr>
      <w:r>
        <w:rPr>
          <w:rFonts w:ascii="宋体" w:hAnsi="宋体" w:cs="宋体"/>
          <w:highlight w:val="none"/>
        </w:rPr>
        <w:t>7.1.2 依法必须进行公开招标的项目，招标人应当确定排名第一的中标候选人为中标人。</w:t>
      </w:r>
    </w:p>
    <w:p>
      <w:pPr>
        <w:spacing w:line="400" w:lineRule="exact"/>
        <w:ind w:firstLine="420" w:firstLineChars="200"/>
        <w:rPr>
          <w:highlight w:val="none"/>
        </w:rPr>
      </w:pPr>
      <w:r>
        <w:rPr>
          <w:rFonts w:ascii="宋体" w:hAnsi="宋体" w:cs="宋体"/>
          <w:highlight w:val="none"/>
        </w:rPr>
        <w:t>7.1.3</w:t>
      </w:r>
      <w:r>
        <w:rPr>
          <w:rFonts w:hint="eastAsia" w:ascii="宋体" w:hAnsi="宋体" w:cs="宋体"/>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highlight w:val="none"/>
        </w:rPr>
      </w:pPr>
      <w:bookmarkStart w:id="658" w:name="_Toc25164"/>
      <w:bookmarkStart w:id="659" w:name="_Toc10691"/>
      <w:bookmarkStart w:id="660" w:name="_Toc32142"/>
      <w:bookmarkStart w:id="661" w:name="_Toc31309"/>
      <w:bookmarkStart w:id="662" w:name="_Toc300834990"/>
      <w:bookmarkStart w:id="663" w:name="_Toc16401"/>
      <w:bookmarkStart w:id="664" w:name="_Toc494371553"/>
      <w:bookmarkStart w:id="665" w:name="_Toc30311"/>
      <w:bookmarkStart w:id="666" w:name="_Toc3190"/>
      <w:bookmarkStart w:id="667" w:name="_Toc21974"/>
      <w:bookmarkStart w:id="668" w:name="_Toc9281"/>
      <w:bookmarkStart w:id="669" w:name="_Toc8069"/>
      <w:r>
        <w:rPr>
          <w:rFonts w:ascii="Times New Roman" w:hAnsi="Times New Roman"/>
          <w:highlight w:val="none"/>
        </w:rPr>
        <w:t>7.2</w:t>
      </w:r>
      <w:r>
        <w:rPr>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highlight w:val="none"/>
        </w:rPr>
      </w:pPr>
      <w:r>
        <w:rPr>
          <w:rFonts w:hint="eastAsia"/>
          <w:highlight w:val="none"/>
        </w:rPr>
        <w:t>在广州南沙资产经营</w:t>
      </w:r>
      <w:r>
        <w:rPr>
          <w:rFonts w:hint="eastAsia"/>
          <w:highlight w:val="none"/>
          <w:lang w:val="en-US" w:eastAsia="zh-CN"/>
        </w:rPr>
        <w:t>集团</w:t>
      </w:r>
      <w:r>
        <w:rPr>
          <w:rFonts w:hint="eastAsia"/>
          <w:highlight w:val="none"/>
        </w:rPr>
        <w:t>有限公司</w:t>
      </w:r>
      <w:r>
        <w:rPr>
          <w:rFonts w:hint="eastAsia"/>
          <w:highlight w:val="yellow"/>
        </w:rPr>
        <w:t>网站公示中标候选人。</w:t>
      </w:r>
    </w:p>
    <w:p>
      <w:pPr>
        <w:pStyle w:val="5"/>
        <w:rPr>
          <w:highlight w:val="none"/>
        </w:rPr>
      </w:pPr>
      <w:bookmarkStart w:id="670" w:name="_Toc3421"/>
      <w:bookmarkStart w:id="671" w:name="_Toc494371554"/>
      <w:bookmarkStart w:id="672" w:name="_Toc9148"/>
      <w:bookmarkStart w:id="673" w:name="_Toc152045568"/>
      <w:bookmarkStart w:id="674" w:name="_Toc247513992"/>
      <w:bookmarkStart w:id="675" w:name="_Toc14116"/>
      <w:bookmarkStart w:id="676" w:name="_Toc775"/>
      <w:bookmarkStart w:id="677" w:name="_Toc144974536"/>
      <w:bookmarkStart w:id="678" w:name="_Toc14168"/>
      <w:bookmarkStart w:id="679" w:name="_Toc15630"/>
      <w:bookmarkStart w:id="680" w:name="_Toc16751"/>
      <w:bookmarkStart w:id="681" w:name="_Toc8897"/>
      <w:bookmarkStart w:id="682" w:name="_Toc32373"/>
      <w:bookmarkStart w:id="683" w:name="_Toc300834991"/>
      <w:bookmarkStart w:id="684" w:name="_Toc247527593"/>
      <w:bookmarkStart w:id="685" w:name="_Toc6019"/>
      <w:bookmarkStart w:id="686" w:name="_Toc152042344"/>
      <w:r>
        <w:rPr>
          <w:rFonts w:ascii="Times New Roman" w:hAnsi="Times New Roman"/>
          <w:highlight w:val="none"/>
        </w:rPr>
        <w:t>7.3</w:t>
      </w:r>
      <w:r>
        <w:rPr>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highlight w:val="none"/>
        </w:rPr>
      </w:pPr>
      <w:r>
        <w:rPr>
          <w:rFonts w:hint="eastAsia"/>
          <w:highlight w:val="none"/>
        </w:rPr>
        <w:t>评标公示后，在本章第</w:t>
      </w:r>
      <w:r>
        <w:rPr>
          <w:highlight w:val="none"/>
        </w:rPr>
        <w:t xml:space="preserve">3.3 </w:t>
      </w:r>
      <w:r>
        <w:rPr>
          <w:rFonts w:hint="eastAsia"/>
          <w:highlight w:val="none"/>
        </w:rPr>
        <w:t>款规定的投标有效期内，招标人以书面形式向中标人发出中标通知书。</w:t>
      </w:r>
    </w:p>
    <w:p>
      <w:pPr>
        <w:pStyle w:val="5"/>
        <w:rPr>
          <w:highlight w:val="none"/>
        </w:rPr>
      </w:pPr>
      <w:bookmarkStart w:id="687" w:name="_Toc152045570"/>
      <w:bookmarkStart w:id="688" w:name="_Toc8137"/>
      <w:bookmarkStart w:id="689" w:name="_Toc17963"/>
      <w:bookmarkStart w:id="690" w:name="_Toc300834993"/>
      <w:bookmarkStart w:id="691" w:name="_Toc152042346"/>
      <w:bookmarkStart w:id="692" w:name="_Toc247527595"/>
      <w:bookmarkStart w:id="693" w:name="_Toc20159"/>
      <w:bookmarkStart w:id="694" w:name="_Toc21568"/>
      <w:bookmarkStart w:id="695" w:name="_Toc494371556"/>
      <w:bookmarkStart w:id="696" w:name="_Toc21116"/>
      <w:bookmarkStart w:id="697" w:name="_Toc5220"/>
      <w:bookmarkStart w:id="698" w:name="_Toc20796"/>
      <w:bookmarkStart w:id="699" w:name="_Toc247513994"/>
      <w:bookmarkStart w:id="700" w:name="_Toc1202"/>
      <w:bookmarkStart w:id="701" w:name="_Toc12825"/>
      <w:bookmarkStart w:id="702" w:name="_Toc14095"/>
      <w:bookmarkStart w:id="703" w:name="_Toc144974538"/>
      <w:r>
        <w:rPr>
          <w:rFonts w:ascii="Times New Roman" w:hAnsi="Times New Roman"/>
          <w:highlight w:val="none"/>
        </w:rPr>
        <w:t>7.</w:t>
      </w:r>
      <w:r>
        <w:rPr>
          <w:rFonts w:hint="eastAsia" w:ascii="Times New Roman" w:hAnsi="Times New Roman"/>
          <w:highlight w:val="none"/>
        </w:rPr>
        <w:t>4</w:t>
      </w:r>
      <w:r>
        <w:rPr>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highlight w:val="none"/>
        </w:rPr>
      </w:pPr>
      <w:r>
        <w:rPr>
          <w:highlight w:val="none"/>
        </w:rPr>
        <w:t xml:space="preserve">7.5.1 </w:t>
      </w:r>
      <w:r>
        <w:rPr>
          <w:rFonts w:hint="eastAsia"/>
          <w:highlight w:val="none"/>
        </w:rPr>
        <w:t>招标人和中标人应当自中标通知书发出之日起</w:t>
      </w:r>
      <w:r>
        <w:rPr>
          <w:rFonts w:hint="eastAsia"/>
          <w:highlight w:val="none"/>
          <w:lang w:val="en-US" w:eastAsia="zh-CN"/>
        </w:rPr>
        <w:t>20日历</w:t>
      </w:r>
      <w:r>
        <w:rPr>
          <w:rFonts w:hint="eastAsia"/>
          <w:color w:val="FF0000"/>
          <w:highlight w:val="none"/>
        </w:rPr>
        <w:t>天</w:t>
      </w:r>
      <w:r>
        <w:rPr>
          <w:rFonts w:hint="eastAsia"/>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highlight w:val="none"/>
        </w:rPr>
      </w:pPr>
      <w:r>
        <w:rPr>
          <w:highlight w:val="none"/>
        </w:rPr>
        <w:t xml:space="preserve">7.5.2 </w:t>
      </w:r>
      <w:r>
        <w:rPr>
          <w:rFonts w:hint="eastAsia"/>
          <w:highlight w:val="none"/>
        </w:rPr>
        <w:t>发出中标通知书后，招标人无正当理由拒签合同的，招标人向中标人退还投标保证金；给中标人造成损失的，还应当赔偿损失。</w:t>
      </w:r>
    </w:p>
    <w:p>
      <w:pPr>
        <w:pStyle w:val="4"/>
        <w:rPr>
          <w:highlight w:val="none"/>
        </w:rPr>
      </w:pPr>
      <w:bookmarkStart w:id="704" w:name="_Toc247513995"/>
      <w:bookmarkStart w:id="705" w:name="_Toc247527596"/>
      <w:bookmarkStart w:id="706" w:name="_Toc152042347"/>
      <w:bookmarkStart w:id="707" w:name="_Toc144974539"/>
      <w:bookmarkStart w:id="708" w:name="_Toc152045571"/>
      <w:bookmarkStart w:id="709" w:name="_Toc12071"/>
      <w:bookmarkStart w:id="710" w:name="_Toc4387"/>
      <w:bookmarkStart w:id="711" w:name="_Toc26309"/>
      <w:bookmarkStart w:id="712" w:name="_Toc494371557"/>
      <w:bookmarkStart w:id="713" w:name="_Toc27652"/>
      <w:bookmarkStart w:id="714" w:name="_Toc25097"/>
      <w:bookmarkStart w:id="715" w:name="_Toc3080"/>
      <w:bookmarkStart w:id="716" w:name="_Toc22337"/>
      <w:bookmarkStart w:id="717" w:name="_Toc7104"/>
      <w:bookmarkStart w:id="718" w:name="_Toc24208"/>
      <w:bookmarkStart w:id="719" w:name="_Toc300834994"/>
      <w:bookmarkStart w:id="720" w:name="_Toc25920"/>
      <w:bookmarkStart w:id="721" w:name="_Toc5006"/>
      <w:bookmarkStart w:id="722" w:name="_Toc1819"/>
      <w:r>
        <w:rPr>
          <w:highlight w:val="none"/>
        </w:rPr>
        <w:t>8</w:t>
      </w:r>
      <w:bookmarkEnd w:id="704"/>
      <w:bookmarkEnd w:id="705"/>
      <w:bookmarkEnd w:id="706"/>
      <w:bookmarkEnd w:id="707"/>
      <w:bookmarkEnd w:id="708"/>
      <w:bookmarkStart w:id="723" w:name="_Toc144974542"/>
      <w:bookmarkStart w:id="724" w:name="_Toc247513998"/>
      <w:bookmarkStart w:id="725" w:name="_Toc247527599"/>
      <w:bookmarkStart w:id="726" w:name="_Toc152045574"/>
      <w:bookmarkStart w:id="727" w:name="_Toc152042350"/>
      <w:r>
        <w:rPr>
          <w:rFonts w:hint="eastAsia"/>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highlight w:val="none"/>
        </w:rPr>
      </w:pPr>
      <w:bookmarkStart w:id="728" w:name="_Toc22388"/>
      <w:bookmarkStart w:id="729" w:name="_Toc247513999"/>
      <w:bookmarkStart w:id="730" w:name="_Toc300834995"/>
      <w:bookmarkStart w:id="731" w:name="_Toc144974543"/>
      <w:bookmarkStart w:id="732" w:name="_Toc247527600"/>
      <w:bookmarkStart w:id="733" w:name="_Toc27050"/>
      <w:bookmarkStart w:id="734" w:name="_Toc27460"/>
      <w:bookmarkStart w:id="735" w:name="_Toc13879"/>
      <w:bookmarkStart w:id="736" w:name="_Toc12304"/>
      <w:bookmarkStart w:id="737" w:name="_Toc494371558"/>
      <w:bookmarkStart w:id="738" w:name="_Toc23906"/>
      <w:bookmarkStart w:id="739" w:name="_Toc7513"/>
      <w:bookmarkStart w:id="740" w:name="_Toc15792"/>
      <w:bookmarkStart w:id="741" w:name="_Toc32569"/>
      <w:bookmarkStart w:id="742" w:name="_Toc26340"/>
      <w:bookmarkStart w:id="743" w:name="_Toc152042351"/>
      <w:bookmarkStart w:id="744" w:name="_Toc152045575"/>
      <w:r>
        <w:rPr>
          <w:rFonts w:ascii="Times New Roman" w:hAnsi="Times New Roman"/>
          <w:highlight w:val="none"/>
        </w:rPr>
        <w:t>8.1</w:t>
      </w:r>
      <w:r>
        <w:rPr>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pPr>
        <w:pStyle w:val="5"/>
        <w:rPr>
          <w:highlight w:val="none"/>
        </w:rPr>
      </w:pPr>
      <w:bookmarkStart w:id="745" w:name="_Toc31880"/>
      <w:bookmarkStart w:id="746" w:name="_Toc2646"/>
      <w:bookmarkStart w:id="747" w:name="_Toc31828"/>
      <w:bookmarkStart w:id="748" w:name="_Toc15845"/>
      <w:bookmarkStart w:id="749" w:name="_Toc19057"/>
      <w:bookmarkStart w:id="750" w:name="_Toc4332"/>
      <w:bookmarkStart w:id="751" w:name="_Toc26587"/>
      <w:bookmarkStart w:id="752" w:name="_Toc14942"/>
      <w:bookmarkStart w:id="753" w:name="_Toc247514000"/>
      <w:bookmarkStart w:id="754" w:name="_Toc300834996"/>
      <w:bookmarkStart w:id="755" w:name="_Toc247527601"/>
      <w:bookmarkStart w:id="756" w:name="_Toc494371559"/>
      <w:bookmarkStart w:id="757" w:name="_Toc8212"/>
      <w:bookmarkStart w:id="758" w:name="_Toc152045576"/>
      <w:bookmarkStart w:id="759" w:name="_Toc144974544"/>
      <w:bookmarkStart w:id="760" w:name="_Toc25080"/>
      <w:bookmarkStart w:id="761" w:name="_Toc152042352"/>
      <w:r>
        <w:rPr>
          <w:rFonts w:ascii="Times New Roman" w:hAnsi="Times New Roman"/>
          <w:highlight w:val="none"/>
        </w:rPr>
        <w:t>8.2</w:t>
      </w:r>
      <w:r>
        <w:rPr>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highlight w:val="none"/>
        </w:rPr>
      </w:pPr>
      <w:bookmarkStart w:id="762" w:name="_Toc23820"/>
      <w:bookmarkStart w:id="763" w:name="_Toc144974545"/>
      <w:bookmarkStart w:id="764" w:name="_Toc15857"/>
      <w:bookmarkStart w:id="765" w:name="_Toc152042353"/>
      <w:bookmarkStart w:id="766" w:name="_Toc300834997"/>
      <w:bookmarkStart w:id="767" w:name="_Toc152045577"/>
      <w:bookmarkStart w:id="768" w:name="_Toc11809"/>
      <w:bookmarkStart w:id="769" w:name="_Toc28024"/>
      <w:bookmarkStart w:id="770" w:name="_Toc17727"/>
      <w:bookmarkStart w:id="771" w:name="_Toc247514001"/>
      <w:bookmarkStart w:id="772" w:name="_Toc17070"/>
      <w:bookmarkStart w:id="773" w:name="_Toc21624"/>
      <w:bookmarkStart w:id="774" w:name="_Toc15492"/>
      <w:bookmarkStart w:id="775" w:name="_Toc402"/>
      <w:bookmarkStart w:id="776" w:name="_Toc9766"/>
      <w:bookmarkStart w:id="777" w:name="_Toc247527602"/>
      <w:bookmarkStart w:id="778" w:name="_Toc494371560"/>
      <w:r>
        <w:rPr>
          <w:rFonts w:ascii="Times New Roman" w:hAnsi="Times New Roman"/>
          <w:highlight w:val="none"/>
        </w:rPr>
        <w:t>8.3</w:t>
      </w:r>
      <w:r>
        <w:rPr>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highlight w:val="none"/>
        </w:rPr>
      </w:pPr>
      <w:bookmarkStart w:id="779" w:name="_Toc7845"/>
      <w:bookmarkStart w:id="780" w:name="_Toc247527603"/>
      <w:bookmarkStart w:id="781" w:name="_Toc152042354"/>
      <w:bookmarkStart w:id="782" w:name="_Toc29753"/>
      <w:bookmarkStart w:id="783" w:name="_Toc21492"/>
      <w:bookmarkStart w:id="784" w:name="_Toc11718"/>
      <w:bookmarkStart w:id="785" w:name="_Toc10968"/>
      <w:bookmarkStart w:id="786" w:name="_Toc23511"/>
      <w:bookmarkStart w:id="787" w:name="_Toc300834998"/>
      <w:bookmarkStart w:id="788" w:name="_Toc247514002"/>
      <w:bookmarkStart w:id="789" w:name="_Toc152045578"/>
      <w:bookmarkStart w:id="790" w:name="_Toc494371561"/>
      <w:bookmarkStart w:id="791" w:name="_Toc27915"/>
      <w:bookmarkStart w:id="792" w:name="_Toc15170"/>
      <w:bookmarkStart w:id="793" w:name="_Toc4059"/>
      <w:bookmarkStart w:id="794" w:name="_Toc30457"/>
      <w:bookmarkStart w:id="795" w:name="_Toc144974546"/>
      <w:r>
        <w:rPr>
          <w:rFonts w:ascii="Times New Roman" w:hAnsi="Times New Roman"/>
          <w:highlight w:val="none"/>
        </w:rPr>
        <w:t>8.4</w:t>
      </w:r>
      <w:r>
        <w:rPr>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highlight w:val="none"/>
        </w:rPr>
      </w:pPr>
      <w:bookmarkStart w:id="796"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highlight w:val="none"/>
        </w:rPr>
      </w:pPr>
      <w:bookmarkStart w:id="797" w:name="_Toc152042356"/>
      <w:bookmarkStart w:id="798" w:name="_Toc32045"/>
      <w:bookmarkStart w:id="799" w:name="_Toc494371562"/>
      <w:bookmarkStart w:id="800" w:name="_Toc21044"/>
      <w:bookmarkStart w:id="801" w:name="_Toc26570"/>
      <w:bookmarkStart w:id="802" w:name="_Toc1588"/>
      <w:bookmarkStart w:id="803" w:name="_Toc19195"/>
      <w:bookmarkStart w:id="804" w:name="_Toc247527604"/>
      <w:bookmarkStart w:id="805" w:name="_Toc18798"/>
      <w:bookmarkStart w:id="806" w:name="_Toc247514003"/>
      <w:bookmarkStart w:id="807" w:name="_Toc13039"/>
      <w:bookmarkStart w:id="808" w:name="_Toc29127"/>
      <w:bookmarkStart w:id="809" w:name="_Toc24198"/>
      <w:bookmarkStart w:id="810" w:name="_Toc152045579"/>
      <w:bookmarkStart w:id="811" w:name="_Toc300834999"/>
      <w:bookmarkStart w:id="812" w:name="_Toc9764"/>
      <w:r>
        <w:rPr>
          <w:rFonts w:ascii="Times New Roman" w:hAnsi="Times New Roman"/>
          <w:highlight w:val="none"/>
        </w:rPr>
        <w:t>8.5</w:t>
      </w:r>
      <w:r>
        <w:rPr>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highlight w:val="none"/>
        </w:rPr>
      </w:pPr>
      <w:r>
        <w:rPr>
          <w:rFonts w:hint="eastAsia"/>
          <w:highlight w:val="none"/>
        </w:rPr>
        <w:t>投标人和其他利害关系人认为本次招标活动违反法律、法规和规章规定的，有权向有关行政监督部门投诉。</w:t>
      </w:r>
    </w:p>
    <w:p>
      <w:pPr>
        <w:pStyle w:val="4"/>
        <w:rPr>
          <w:highlight w:val="none"/>
        </w:rPr>
      </w:pPr>
      <w:bookmarkStart w:id="813" w:name="_Toc247514004"/>
      <w:bookmarkStart w:id="814" w:name="_Toc2189"/>
      <w:bookmarkStart w:id="815" w:name="_Toc8751"/>
      <w:bookmarkStart w:id="816" w:name="_Toc152045580"/>
      <w:bookmarkStart w:id="817" w:name="_Toc22887"/>
      <w:bookmarkStart w:id="818" w:name="_Toc494371563"/>
      <w:bookmarkStart w:id="819" w:name="_Toc300835000"/>
      <w:bookmarkStart w:id="820" w:name="_Toc144974547"/>
      <w:bookmarkStart w:id="821" w:name="_Toc24403"/>
      <w:bookmarkStart w:id="822" w:name="_Toc797"/>
      <w:bookmarkStart w:id="823" w:name="_Toc247527605"/>
      <w:bookmarkStart w:id="824" w:name="_Toc10294"/>
      <w:bookmarkStart w:id="825" w:name="_Toc28094"/>
      <w:bookmarkStart w:id="826" w:name="_Toc25605"/>
      <w:bookmarkStart w:id="827" w:name="_Toc152042357"/>
      <w:bookmarkStart w:id="828" w:name="_Toc11552"/>
      <w:bookmarkStart w:id="829" w:name="_Toc9682"/>
      <w:bookmarkStart w:id="830" w:name="_Toc32584"/>
      <w:bookmarkStart w:id="831" w:name="_Toc15576"/>
      <w:r>
        <w:rPr>
          <w:highlight w:val="none"/>
        </w:rPr>
        <w:t xml:space="preserve">9. </w:t>
      </w:r>
      <w:r>
        <w:rPr>
          <w:rFonts w:hint="eastAsia"/>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highlight w:val="none"/>
        </w:rPr>
      </w:pPr>
      <w:r>
        <w:rPr>
          <w:rFonts w:hint="eastAsia"/>
          <w:highlight w:val="none"/>
        </w:rPr>
        <w:t>需要补充的其他内容：见投标人须知前附表。</w:t>
      </w:r>
    </w:p>
    <w:p>
      <w:pPr>
        <w:spacing w:line="400" w:lineRule="exact"/>
        <w:ind w:firstLine="420" w:firstLineChars="200"/>
        <w:rPr>
          <w:highlight w:val="none"/>
        </w:rPr>
        <w:sectPr>
          <w:pgSz w:w="11906" w:h="16838"/>
          <w:pgMar w:top="1247" w:right="1134" w:bottom="1247" w:left="1361" w:header="851" w:footer="992" w:gutter="0"/>
          <w:cols w:space="720" w:num="1"/>
          <w:docGrid w:type="lines" w:linePitch="312" w:charSpace="0"/>
        </w:sectPr>
      </w:pPr>
    </w:p>
    <w:p>
      <w:pPr>
        <w:pStyle w:val="5"/>
        <w:rPr>
          <w:highlight w:val="none"/>
        </w:rPr>
      </w:pPr>
      <w:bookmarkStart w:id="832" w:name="_Toc15442"/>
      <w:bookmarkStart w:id="833" w:name="_Toc247527606"/>
      <w:bookmarkStart w:id="834" w:name="_Toc18813"/>
      <w:bookmarkStart w:id="835" w:name="_Toc32210"/>
      <w:bookmarkStart w:id="836" w:name="_Toc144974548"/>
      <w:bookmarkStart w:id="837" w:name="_Toc247514005"/>
      <w:bookmarkStart w:id="838" w:name="_Toc9735"/>
      <w:bookmarkStart w:id="839" w:name="_Toc152045581"/>
      <w:bookmarkStart w:id="840" w:name="_Toc6420"/>
      <w:bookmarkStart w:id="841" w:name="_Toc152042358"/>
      <w:bookmarkStart w:id="842" w:name="_Toc494371565"/>
      <w:bookmarkStart w:id="843" w:name="_Toc300835002"/>
      <w:bookmarkStart w:id="844" w:name="_Toc30853"/>
      <w:bookmarkStart w:id="845" w:name="_Toc19905"/>
      <w:bookmarkStart w:id="846" w:name="_Toc2797"/>
      <w:bookmarkStart w:id="847" w:name="_Toc16200"/>
      <w:bookmarkStart w:id="848" w:name="_Toc32753"/>
      <w:r>
        <w:rPr>
          <w:rFonts w:hint="eastAsia"/>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sz w:val="28"/>
          <w:szCs w:val="28"/>
          <w:highlight w:val="none"/>
        </w:rPr>
      </w:pPr>
      <w:r>
        <w:rPr>
          <w:rFonts w:hint="eastAsia" w:ascii="黑体" w:eastAsia="黑体"/>
          <w:sz w:val="28"/>
          <w:szCs w:val="28"/>
          <w:highlight w:val="none"/>
        </w:rPr>
        <w:t>开标记录表</w:t>
      </w:r>
    </w:p>
    <w:p>
      <w:pPr>
        <w:spacing w:line="620" w:lineRule="exact"/>
        <w:rPr>
          <w:szCs w:val="21"/>
          <w:highlight w:val="none"/>
          <w:u w:val="single"/>
        </w:rPr>
      </w:pPr>
    </w:p>
    <w:p>
      <w:pPr>
        <w:spacing w:line="400" w:lineRule="exact"/>
        <w:ind w:right="420"/>
        <w:jc w:val="left"/>
        <w:rPr>
          <w:highlight w:val="none"/>
        </w:rPr>
      </w:pPr>
      <w:r>
        <w:rPr>
          <w:rFonts w:hint="eastAsia"/>
          <w:szCs w:val="21"/>
          <w:highlight w:val="none"/>
        </w:rPr>
        <w:t>项目名称：</w:t>
      </w:r>
    </w:p>
    <w:tbl>
      <w:tblPr>
        <w:tblStyle w:val="38"/>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33"/>
        <w:gridCol w:w="723"/>
        <w:gridCol w:w="1058"/>
        <w:gridCol w:w="770"/>
        <w:gridCol w:w="800"/>
        <w:gridCol w:w="715"/>
        <w:gridCol w:w="1209"/>
        <w:gridCol w:w="10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8" w:type="dxa"/>
            <w:vAlign w:val="center"/>
          </w:tcPr>
          <w:p>
            <w:pPr>
              <w:jc w:val="center"/>
              <w:rPr>
                <w:sz w:val="18"/>
                <w:szCs w:val="18"/>
                <w:highlight w:val="none"/>
              </w:rPr>
            </w:pPr>
            <w:r>
              <w:rPr>
                <w:rFonts w:hint="eastAsia"/>
                <w:sz w:val="18"/>
                <w:szCs w:val="18"/>
                <w:highlight w:val="none"/>
              </w:rPr>
              <w:t>序号</w:t>
            </w:r>
          </w:p>
        </w:tc>
        <w:tc>
          <w:tcPr>
            <w:tcW w:w="1933" w:type="dxa"/>
            <w:vAlign w:val="center"/>
          </w:tcPr>
          <w:p>
            <w:pPr>
              <w:jc w:val="center"/>
              <w:rPr>
                <w:sz w:val="18"/>
                <w:szCs w:val="18"/>
                <w:highlight w:val="none"/>
              </w:rPr>
            </w:pPr>
            <w:r>
              <w:rPr>
                <w:rFonts w:hint="eastAsia"/>
                <w:sz w:val="18"/>
                <w:szCs w:val="18"/>
                <w:highlight w:val="none"/>
              </w:rPr>
              <w:t>投标人名称</w:t>
            </w:r>
          </w:p>
        </w:tc>
        <w:tc>
          <w:tcPr>
            <w:tcW w:w="723" w:type="dxa"/>
            <w:vAlign w:val="center"/>
          </w:tcPr>
          <w:p>
            <w:pPr>
              <w:jc w:val="center"/>
              <w:rPr>
                <w:sz w:val="18"/>
                <w:szCs w:val="18"/>
                <w:highlight w:val="none"/>
              </w:rPr>
            </w:pPr>
            <w:r>
              <w:rPr>
                <w:rFonts w:hint="eastAsia"/>
                <w:sz w:val="18"/>
                <w:szCs w:val="18"/>
                <w:highlight w:val="none"/>
              </w:rPr>
              <w:t>投标文件</w:t>
            </w:r>
          </w:p>
          <w:p>
            <w:pPr>
              <w:jc w:val="center"/>
              <w:rPr>
                <w:sz w:val="18"/>
                <w:szCs w:val="18"/>
                <w:highlight w:val="none"/>
              </w:rPr>
            </w:pPr>
            <w:r>
              <w:rPr>
                <w:rFonts w:hint="eastAsia"/>
                <w:sz w:val="18"/>
                <w:szCs w:val="18"/>
                <w:highlight w:val="none"/>
              </w:rPr>
              <w:t>密封性</w:t>
            </w:r>
          </w:p>
        </w:tc>
        <w:tc>
          <w:tcPr>
            <w:tcW w:w="1058" w:type="dxa"/>
            <w:vAlign w:val="center"/>
          </w:tcPr>
          <w:p>
            <w:pPr>
              <w:jc w:val="center"/>
              <w:rPr>
                <w:sz w:val="18"/>
                <w:szCs w:val="18"/>
                <w:highlight w:val="none"/>
              </w:rPr>
            </w:pPr>
            <w:r>
              <w:rPr>
                <w:rFonts w:hint="eastAsia"/>
                <w:sz w:val="18"/>
                <w:szCs w:val="18"/>
                <w:highlight w:val="none"/>
              </w:rPr>
              <w:t>有无法定代表人证明书及授权委托证明书</w:t>
            </w:r>
          </w:p>
        </w:tc>
        <w:tc>
          <w:tcPr>
            <w:tcW w:w="770" w:type="dxa"/>
            <w:vAlign w:val="center"/>
          </w:tcPr>
          <w:p>
            <w:pPr>
              <w:jc w:val="center"/>
              <w:rPr>
                <w:sz w:val="18"/>
                <w:szCs w:val="18"/>
                <w:highlight w:val="none"/>
              </w:rPr>
            </w:pPr>
            <w:r>
              <w:rPr>
                <w:rFonts w:hint="eastAsia"/>
                <w:sz w:val="18"/>
                <w:szCs w:val="18"/>
                <w:highlight w:val="none"/>
              </w:rPr>
              <w:t>有无递交投标保</w:t>
            </w:r>
            <w:r>
              <w:rPr>
                <w:rFonts w:hint="eastAsia"/>
                <w:sz w:val="18"/>
                <w:szCs w:val="18"/>
                <w:highlight w:val="none"/>
                <w:lang w:eastAsia="zh-CN"/>
              </w:rPr>
              <w:t>证</w:t>
            </w:r>
            <w:r>
              <w:rPr>
                <w:rFonts w:hint="eastAsia"/>
                <w:sz w:val="18"/>
                <w:szCs w:val="18"/>
                <w:highlight w:val="none"/>
              </w:rPr>
              <w:t>金</w:t>
            </w:r>
          </w:p>
        </w:tc>
        <w:tc>
          <w:tcPr>
            <w:tcW w:w="800" w:type="dxa"/>
            <w:vAlign w:val="center"/>
          </w:tcPr>
          <w:p>
            <w:pPr>
              <w:jc w:val="center"/>
              <w:rPr>
                <w:sz w:val="18"/>
                <w:szCs w:val="18"/>
                <w:highlight w:val="none"/>
              </w:rPr>
            </w:pPr>
            <w:r>
              <w:rPr>
                <w:rFonts w:hint="eastAsia"/>
                <w:sz w:val="18"/>
                <w:szCs w:val="18"/>
                <w:highlight w:val="none"/>
              </w:rPr>
              <w:t>工期（日历天）</w:t>
            </w:r>
          </w:p>
        </w:tc>
        <w:tc>
          <w:tcPr>
            <w:tcW w:w="715" w:type="dxa"/>
            <w:vAlign w:val="center"/>
          </w:tcPr>
          <w:p>
            <w:pPr>
              <w:jc w:val="center"/>
              <w:rPr>
                <w:sz w:val="18"/>
                <w:szCs w:val="18"/>
                <w:highlight w:val="none"/>
              </w:rPr>
            </w:pPr>
            <w:r>
              <w:rPr>
                <w:rFonts w:hint="eastAsia"/>
                <w:sz w:val="18"/>
                <w:szCs w:val="18"/>
                <w:highlight w:val="none"/>
              </w:rPr>
              <w:t>质量标准</w:t>
            </w:r>
          </w:p>
        </w:tc>
        <w:tc>
          <w:tcPr>
            <w:tcW w:w="1209"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（万元）</w:t>
            </w:r>
          </w:p>
        </w:tc>
        <w:tc>
          <w:tcPr>
            <w:tcW w:w="1046" w:type="dxa"/>
            <w:vAlign w:val="center"/>
          </w:tcPr>
          <w:p>
            <w:pPr>
              <w:jc w:val="center"/>
              <w:rPr>
                <w:sz w:val="18"/>
                <w:szCs w:val="18"/>
                <w:highlight w:val="none"/>
              </w:rPr>
            </w:pPr>
            <w:r>
              <w:rPr>
                <w:rFonts w:hint="eastAsia"/>
                <w:sz w:val="18"/>
                <w:szCs w:val="18"/>
                <w:highlight w:val="none"/>
              </w:rPr>
              <w:t>施工费（万元）</w:t>
            </w:r>
          </w:p>
        </w:tc>
        <w:tc>
          <w:tcPr>
            <w:tcW w:w="1747" w:type="dxa"/>
            <w:vAlign w:val="center"/>
          </w:tcPr>
          <w:p>
            <w:pPr>
              <w:jc w:val="center"/>
              <w:rPr>
                <w:sz w:val="18"/>
                <w:szCs w:val="18"/>
                <w:highlight w:val="none"/>
              </w:rPr>
            </w:pPr>
            <w:r>
              <w:rPr>
                <w:rFonts w:hint="eastAsia"/>
                <w:sz w:val="18"/>
                <w:szCs w:val="18"/>
                <w:highlight w:val="none"/>
              </w:rPr>
              <w:t>投标人代表</w:t>
            </w:r>
          </w:p>
          <w:p>
            <w:pPr>
              <w:jc w:val="center"/>
              <w:rPr>
                <w:sz w:val="18"/>
                <w:szCs w:val="18"/>
                <w:highlight w:val="none"/>
              </w:rPr>
            </w:pPr>
            <w:r>
              <w:rPr>
                <w:rFonts w:hint="eastAsia"/>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8" w:type="dxa"/>
            <w:vAlign w:val="center"/>
          </w:tcPr>
          <w:p>
            <w:pPr>
              <w:spacing w:line="620" w:lineRule="exact"/>
              <w:jc w:val="center"/>
              <w:rPr>
                <w:szCs w:val="21"/>
                <w:highlight w:val="none"/>
              </w:rPr>
            </w:pPr>
          </w:p>
        </w:tc>
        <w:tc>
          <w:tcPr>
            <w:tcW w:w="1933" w:type="dxa"/>
            <w:vAlign w:val="center"/>
          </w:tcPr>
          <w:p>
            <w:pPr>
              <w:spacing w:line="620" w:lineRule="exact"/>
              <w:jc w:val="center"/>
              <w:rPr>
                <w:szCs w:val="21"/>
                <w:highlight w:val="none"/>
              </w:rPr>
            </w:pPr>
          </w:p>
        </w:tc>
        <w:tc>
          <w:tcPr>
            <w:tcW w:w="723" w:type="dxa"/>
            <w:vAlign w:val="center"/>
          </w:tcPr>
          <w:p>
            <w:pPr>
              <w:spacing w:line="620" w:lineRule="exact"/>
              <w:jc w:val="center"/>
              <w:rPr>
                <w:szCs w:val="21"/>
                <w:highlight w:val="none"/>
              </w:rPr>
            </w:pPr>
          </w:p>
        </w:tc>
        <w:tc>
          <w:tcPr>
            <w:tcW w:w="1058" w:type="dxa"/>
            <w:vAlign w:val="center"/>
          </w:tcPr>
          <w:p>
            <w:pPr>
              <w:spacing w:line="620" w:lineRule="exact"/>
              <w:jc w:val="center"/>
              <w:rPr>
                <w:szCs w:val="21"/>
                <w:highlight w:val="none"/>
              </w:rPr>
            </w:pPr>
          </w:p>
        </w:tc>
        <w:tc>
          <w:tcPr>
            <w:tcW w:w="770" w:type="dxa"/>
            <w:vAlign w:val="center"/>
          </w:tcPr>
          <w:p>
            <w:pPr>
              <w:spacing w:line="620" w:lineRule="exact"/>
              <w:jc w:val="center"/>
              <w:rPr>
                <w:szCs w:val="21"/>
                <w:highlight w:val="none"/>
              </w:rPr>
            </w:pPr>
          </w:p>
        </w:tc>
        <w:tc>
          <w:tcPr>
            <w:tcW w:w="800" w:type="dxa"/>
            <w:vAlign w:val="center"/>
          </w:tcPr>
          <w:p>
            <w:pPr>
              <w:spacing w:line="620" w:lineRule="exact"/>
              <w:jc w:val="center"/>
              <w:rPr>
                <w:szCs w:val="21"/>
                <w:highlight w:val="none"/>
              </w:rPr>
            </w:pPr>
          </w:p>
        </w:tc>
        <w:tc>
          <w:tcPr>
            <w:tcW w:w="715" w:type="dxa"/>
            <w:vAlign w:val="center"/>
          </w:tcPr>
          <w:p>
            <w:pPr>
              <w:spacing w:line="620" w:lineRule="exact"/>
              <w:jc w:val="center"/>
              <w:rPr>
                <w:szCs w:val="21"/>
                <w:highlight w:val="none"/>
              </w:rPr>
            </w:pPr>
          </w:p>
        </w:tc>
        <w:tc>
          <w:tcPr>
            <w:tcW w:w="1209" w:type="dxa"/>
            <w:vAlign w:val="center"/>
          </w:tcPr>
          <w:p>
            <w:pPr>
              <w:spacing w:line="620" w:lineRule="exact"/>
              <w:jc w:val="center"/>
              <w:rPr>
                <w:szCs w:val="21"/>
                <w:highlight w:val="none"/>
              </w:rPr>
            </w:pPr>
          </w:p>
        </w:tc>
        <w:tc>
          <w:tcPr>
            <w:tcW w:w="1046" w:type="dxa"/>
          </w:tcPr>
          <w:p>
            <w:pPr>
              <w:spacing w:line="620" w:lineRule="exact"/>
              <w:jc w:val="center"/>
              <w:rPr>
                <w:szCs w:val="21"/>
                <w:highlight w:val="none"/>
              </w:rPr>
            </w:pPr>
          </w:p>
        </w:tc>
        <w:tc>
          <w:tcPr>
            <w:tcW w:w="1747" w:type="dxa"/>
          </w:tcPr>
          <w:p>
            <w:pPr>
              <w:spacing w:line="620" w:lineRule="exact"/>
              <w:jc w:val="center"/>
              <w:rPr>
                <w:szCs w:val="21"/>
                <w:highlight w:val="none"/>
              </w:rPr>
            </w:pPr>
          </w:p>
        </w:tc>
      </w:tr>
    </w:tbl>
    <w:p>
      <w:pPr>
        <w:spacing w:line="620" w:lineRule="exact"/>
        <w:rPr>
          <w:szCs w:val="21"/>
          <w:highlight w:val="none"/>
        </w:rPr>
      </w:pPr>
      <w:r>
        <w:rPr>
          <w:rFonts w:hint="eastAsia"/>
          <w:szCs w:val="21"/>
          <w:highlight w:val="none"/>
        </w:rPr>
        <w:t>监管单位：                                             招标人：</w:t>
      </w:r>
    </w:p>
    <w:p>
      <w:pPr>
        <w:pStyle w:val="16"/>
        <w:rPr>
          <w:szCs w:val="21"/>
          <w:highlight w:val="none"/>
        </w:rPr>
      </w:pPr>
    </w:p>
    <w:p>
      <w:pPr>
        <w:pStyle w:val="16"/>
        <w:rPr>
          <w:szCs w:val="21"/>
          <w:highlight w:val="none"/>
        </w:rPr>
        <w:sectPr>
          <w:pgSz w:w="16838" w:h="11906" w:orient="landscape"/>
          <w:pgMar w:top="1247" w:right="1134" w:bottom="1247" w:left="1361" w:header="851" w:footer="992" w:gutter="0"/>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49" w:name="_Toc12479"/>
      <w:bookmarkStart w:id="850" w:name="_Toc3567"/>
      <w:bookmarkStart w:id="851" w:name="_Toc21214"/>
      <w:bookmarkStart w:id="852" w:name="_Toc247514022"/>
      <w:bookmarkStart w:id="853" w:name="_Toc247527623"/>
      <w:bookmarkStart w:id="854" w:name="_Toc144974565"/>
      <w:bookmarkStart w:id="855" w:name="_Toc29364"/>
      <w:bookmarkStart w:id="856" w:name="_Toc152045598"/>
      <w:bookmarkStart w:id="857" w:name="_Toc436834776"/>
      <w:bookmarkStart w:id="858" w:name="_Toc494371566"/>
      <w:bookmarkStart w:id="859" w:name="_Toc26793"/>
      <w:bookmarkStart w:id="860" w:name="_Toc4886"/>
      <w:bookmarkStart w:id="861" w:name="_Toc152042375"/>
      <w:r>
        <w:rPr>
          <w:rFonts w:hint="eastAsia" w:ascii="宋体" w:hAnsi="宋体"/>
          <w:highlight w:val="none"/>
        </w:rPr>
        <w:t>第三章评标办法（</w:t>
      </w:r>
      <w:r>
        <w:rPr>
          <w:rFonts w:hint="eastAsia" w:ascii="宋体" w:hAnsi="宋体"/>
          <w:highlight w:val="none"/>
          <w:lang w:eastAsia="zh-CN"/>
        </w:rPr>
        <w:t>综合评分法</w:t>
      </w:r>
      <w:r>
        <w:rPr>
          <w:rFonts w:hint="eastAsia" w:ascii="宋体" w:hAnsi="宋体"/>
          <w:highlight w:val="none"/>
        </w:rPr>
        <w:t>）</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highlight w:val="none"/>
        </w:rPr>
      </w:pPr>
      <w:bookmarkStart w:id="862" w:name="_Toc152042376"/>
      <w:bookmarkStart w:id="863" w:name="_Toc399165430"/>
      <w:bookmarkStart w:id="864" w:name="_Toc16897"/>
      <w:bookmarkStart w:id="865" w:name="_Toc247527624"/>
      <w:bookmarkStart w:id="866" w:name="_Toc14287"/>
      <w:bookmarkStart w:id="867" w:name="_Toc152045599"/>
      <w:bookmarkStart w:id="868" w:name="_Toc25647"/>
      <w:bookmarkStart w:id="869" w:name="_Toc16563"/>
      <w:bookmarkStart w:id="870" w:name="_Toc27045"/>
      <w:bookmarkStart w:id="871" w:name="_Toc5317"/>
      <w:bookmarkStart w:id="872" w:name="_Toc494371567"/>
      <w:bookmarkStart w:id="873" w:name="_Toc300835009"/>
      <w:bookmarkStart w:id="874" w:name="_Toc144974566"/>
      <w:bookmarkStart w:id="875" w:name="_Toc247514023"/>
      <w:bookmarkStart w:id="876" w:name="_Toc436834184"/>
      <w:bookmarkStart w:id="877" w:name="_Toc436834777"/>
      <w:r>
        <w:rPr>
          <w:rFonts w:hint="eastAsia" w:ascii="宋体" w:hAnsi="宋体" w:eastAsia="宋体"/>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附表2《</w:t>
            </w:r>
            <w:r>
              <w:rPr>
                <w:rFonts w:hint="eastAsia"/>
                <w:szCs w:val="21"/>
                <w:highlight w:val="none"/>
                <w:lang w:eastAsia="zh-CN"/>
              </w:rPr>
              <w:t>工程施工总承包实施方案</w:t>
            </w:r>
            <w:r>
              <w:rPr>
                <w:rFonts w:hint="eastAsia"/>
                <w:szCs w:val="21"/>
                <w:highlight w:val="none"/>
              </w:rPr>
              <w:t>（含资信部分）文件有效性审查表》、附表4《投标报价文件有效性审查表》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240" w:lineRule="auto"/>
              <w:rPr>
                <w:rFonts w:hint="eastAsia"/>
                <w:color w:val="FF0000"/>
                <w:szCs w:val="21"/>
                <w:highlight w:val="none"/>
              </w:rPr>
            </w:pPr>
            <w:r>
              <w:rPr>
                <w:rFonts w:hint="eastAsia"/>
                <w:color w:val="FF0000"/>
                <w:szCs w:val="21"/>
                <w:highlight w:val="none"/>
              </w:rPr>
              <w:t>投标人总得分满分为100分，</w:t>
            </w:r>
            <w:r>
              <w:rPr>
                <w:rFonts w:hint="eastAsia"/>
                <w:color w:val="FF0000"/>
                <w:szCs w:val="21"/>
                <w:highlight w:val="none"/>
                <w:lang w:eastAsia="zh-CN"/>
              </w:rPr>
              <w:t>总得分=资信得分</w:t>
            </w:r>
            <w:r>
              <w:rPr>
                <w:rFonts w:hint="eastAsia"/>
                <w:color w:val="FF0000"/>
                <w:szCs w:val="21"/>
                <w:highlight w:val="none"/>
                <w:lang w:val="en-US" w:eastAsia="zh-CN"/>
              </w:rPr>
              <w:t>(30%)+</w:t>
            </w:r>
            <w:r>
              <w:rPr>
                <w:rFonts w:hint="eastAsia"/>
                <w:color w:val="FF0000"/>
                <w:szCs w:val="21"/>
                <w:highlight w:val="none"/>
                <w:lang w:eastAsia="zh-CN"/>
              </w:rPr>
              <w:t>技术得分</w:t>
            </w:r>
            <w:r>
              <w:rPr>
                <w:rFonts w:hint="eastAsia"/>
                <w:color w:val="FF0000"/>
                <w:szCs w:val="21"/>
                <w:highlight w:val="none"/>
                <w:lang w:val="en-US" w:eastAsia="zh-CN"/>
              </w:rPr>
              <w:t>(30%)+</w:t>
            </w:r>
            <w:r>
              <w:rPr>
                <w:rFonts w:hint="eastAsia"/>
                <w:color w:val="FF0000"/>
                <w:szCs w:val="21"/>
                <w:highlight w:val="none"/>
                <w:lang w:eastAsia="zh-CN"/>
              </w:rPr>
              <w:t>投标报价得分（</w:t>
            </w:r>
            <w:r>
              <w:rPr>
                <w:rFonts w:hint="eastAsia"/>
                <w:color w:val="FF0000"/>
                <w:szCs w:val="21"/>
                <w:highlight w:val="none"/>
                <w:lang w:val="en-US" w:eastAsia="zh-CN"/>
              </w:rPr>
              <w:t>40%）</w:t>
            </w:r>
            <w:r>
              <w:rPr>
                <w:rFonts w:hint="eastAsia"/>
                <w:color w:val="FF0000"/>
                <w:szCs w:val="21"/>
                <w:highlight w:val="none"/>
              </w:rPr>
              <w:t>。</w:t>
            </w:r>
          </w:p>
          <w:p>
            <w:pPr>
              <w:spacing w:line="240" w:lineRule="auto"/>
              <w:rPr>
                <w:rFonts w:ascii="宋体" w:hAnsi="宋体"/>
                <w:szCs w:val="21"/>
                <w:highlight w:val="red"/>
              </w:rPr>
            </w:pPr>
            <w:r>
              <w:rPr>
                <w:rFonts w:hint="eastAsia"/>
                <w:color w:val="FF0000"/>
                <w:szCs w:val="21"/>
                <w:highlight w:val="none"/>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lang w:eastAsia="zh-CN"/>
              </w:rPr>
              <w:t>工程施工总承包实施方案</w:t>
            </w:r>
            <w:r>
              <w:rPr>
                <w:rFonts w:hint="eastAsia"/>
                <w:szCs w:val="21"/>
                <w:highlight w:val="none"/>
              </w:rPr>
              <w:t>（含资信部分）文件详细审查评分标准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lang w:eastAsia="zh-CN"/>
              </w:rPr>
              <w:t>工程施工总承包实施方案</w:t>
            </w:r>
            <w:r>
              <w:rPr>
                <w:rFonts w:hint="eastAsia"/>
                <w:szCs w:val="21"/>
                <w:highlight w:val="none"/>
              </w:rPr>
              <w:t>（含资信部分）文件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见附表3《</w:t>
            </w:r>
            <w:r>
              <w:rPr>
                <w:rFonts w:hint="eastAsia"/>
                <w:szCs w:val="21"/>
                <w:highlight w:val="none"/>
                <w:lang w:eastAsia="zh-CN"/>
              </w:rPr>
              <w:t>工程施工总承包实施方案</w:t>
            </w:r>
            <w:r>
              <w:rPr>
                <w:rFonts w:hint="eastAsia"/>
                <w:szCs w:val="21"/>
                <w:highlight w:val="none"/>
              </w:rPr>
              <w:t>（含资信部分）文件评分表》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100" w:after="100" w:line="360" w:lineRule="auto"/>
        <w:rPr>
          <w:rFonts w:ascii="宋体" w:hAnsi="宋体" w:eastAsia="宋体"/>
          <w:highlight w:val="none"/>
        </w:rPr>
      </w:pPr>
      <w:r>
        <w:rPr>
          <w:highlight w:val="none"/>
        </w:rPr>
        <w:br w:type="page"/>
      </w:r>
      <w:bookmarkStart w:id="878" w:name="_Toc247527625"/>
      <w:bookmarkStart w:id="879" w:name="_Toc152042377"/>
      <w:bookmarkStart w:id="880" w:name="_Toc152045600"/>
      <w:bookmarkStart w:id="881" w:name="_Toc436834778"/>
      <w:bookmarkStart w:id="882" w:name="_Toc494371568"/>
      <w:bookmarkStart w:id="883" w:name="_Toc25246"/>
      <w:bookmarkStart w:id="884" w:name="_Toc20806"/>
      <w:bookmarkStart w:id="885" w:name="_Toc144974567"/>
      <w:bookmarkStart w:id="886" w:name="_Toc300835010"/>
      <w:bookmarkStart w:id="887" w:name="_Toc25710"/>
      <w:bookmarkStart w:id="888" w:name="_Toc436834185"/>
      <w:bookmarkStart w:id="889" w:name="_Toc399165431"/>
      <w:bookmarkStart w:id="890" w:name="_Toc10123"/>
      <w:bookmarkStart w:id="891" w:name="_Toc16222"/>
      <w:bookmarkStart w:id="892" w:name="_Toc23786"/>
      <w:bookmarkStart w:id="893" w:name="_Toc247514024"/>
      <w:r>
        <w:rPr>
          <w:rFonts w:ascii="宋体" w:hAnsi="宋体" w:eastAsia="宋体"/>
          <w:highlight w:val="none"/>
        </w:rPr>
        <w:t xml:space="preserve">1. </w:t>
      </w:r>
      <w:r>
        <w:rPr>
          <w:rFonts w:hint="eastAsia" w:ascii="宋体" w:hAnsi="宋体" w:eastAsia="宋体"/>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highlight w:val="none"/>
        </w:rPr>
      </w:pPr>
      <w:r>
        <w:rPr>
          <w:rFonts w:hint="eastAsia" w:ascii="宋体" w:hAnsi="宋体"/>
          <w:highlight w:val="none"/>
        </w:rPr>
        <w:t>本次评标采用</w:t>
      </w:r>
      <w:r>
        <w:rPr>
          <w:rFonts w:hint="eastAsia" w:ascii="宋体" w:hAnsi="宋体"/>
          <w:highlight w:val="none"/>
          <w:lang w:eastAsia="zh-CN"/>
        </w:rPr>
        <w:t>综合评分法</w:t>
      </w:r>
      <w:r>
        <w:rPr>
          <w:rFonts w:hint="eastAsia" w:ascii="宋体" w:hAnsi="宋体"/>
          <w:highlight w:val="none"/>
        </w:rPr>
        <w:t>。评标委员会对满足招标文件实质性要求的投标文件，按照本章第</w:t>
      </w:r>
      <w:r>
        <w:rPr>
          <w:rFonts w:ascii="宋体" w:hAnsi="宋体"/>
          <w:highlight w:val="none"/>
        </w:rPr>
        <w:t>2.2</w:t>
      </w:r>
      <w:r>
        <w:rPr>
          <w:rFonts w:hint="eastAsia" w:ascii="宋体" w:hAnsi="宋体"/>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highlight w:val="none"/>
        </w:rPr>
      </w:pPr>
      <w:bookmarkStart w:id="894" w:name="_Toc144974568"/>
      <w:bookmarkStart w:id="895" w:name="_Toc436834779"/>
      <w:bookmarkStart w:id="896" w:name="_Toc14150"/>
      <w:bookmarkStart w:id="897" w:name="_Toc436834186"/>
      <w:bookmarkStart w:id="898" w:name="_Toc300835011"/>
      <w:bookmarkStart w:id="899" w:name="_Toc152045601"/>
      <w:bookmarkStart w:id="900" w:name="_Toc30197"/>
      <w:bookmarkStart w:id="901" w:name="_Toc16219"/>
      <w:bookmarkStart w:id="902" w:name="_Toc247514025"/>
      <w:bookmarkStart w:id="903" w:name="_Toc494371569"/>
      <w:bookmarkStart w:id="904" w:name="_Toc65"/>
      <w:bookmarkStart w:id="905" w:name="_Toc247527626"/>
      <w:bookmarkStart w:id="906" w:name="_Toc9484"/>
      <w:bookmarkStart w:id="907" w:name="_Toc399165432"/>
      <w:bookmarkStart w:id="908" w:name="_Toc17632"/>
      <w:bookmarkStart w:id="909" w:name="_Toc152042378"/>
      <w:r>
        <w:rPr>
          <w:rFonts w:ascii="宋体" w:hAnsi="宋体" w:eastAsia="宋体"/>
          <w:highlight w:val="none"/>
        </w:rPr>
        <w:t xml:space="preserve">2. </w:t>
      </w:r>
      <w:r>
        <w:rPr>
          <w:rFonts w:hint="eastAsia" w:ascii="宋体" w:hAnsi="宋体" w:eastAsia="宋体"/>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highlight w:val="none"/>
        </w:rPr>
      </w:pPr>
      <w:bookmarkStart w:id="910" w:name="_Toc436834187"/>
      <w:bookmarkStart w:id="911" w:name="_Toc152045602"/>
      <w:bookmarkStart w:id="912" w:name="_Toc300835012"/>
      <w:bookmarkStart w:id="913" w:name="_Toc247527627"/>
      <w:bookmarkStart w:id="914" w:name="_Toc13888"/>
      <w:bookmarkStart w:id="915" w:name="_Toc32127"/>
      <w:bookmarkStart w:id="916" w:name="_Toc17113"/>
      <w:bookmarkStart w:id="917" w:name="_Toc247514026"/>
      <w:bookmarkStart w:id="918" w:name="_Toc399165433"/>
      <w:bookmarkStart w:id="919" w:name="_Toc436834780"/>
      <w:bookmarkStart w:id="920" w:name="_Toc144974569"/>
      <w:bookmarkStart w:id="921" w:name="_Toc2867"/>
      <w:bookmarkStart w:id="922" w:name="_Toc494371570"/>
      <w:bookmarkStart w:id="923" w:name="_Toc152042379"/>
      <w:r>
        <w:rPr>
          <w:rFonts w:ascii="宋体" w:eastAsia="宋体"/>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highlight w:val="none"/>
        </w:rPr>
      </w:pPr>
      <w:r>
        <w:rPr>
          <w:rFonts w:ascii="宋体" w:hAnsi="宋体"/>
          <w:highlight w:val="none"/>
        </w:rPr>
        <w:t>2.1.1 资格审查标准：见评标办法前附表。</w:t>
      </w:r>
    </w:p>
    <w:p>
      <w:pPr>
        <w:spacing w:line="400" w:lineRule="exact"/>
        <w:ind w:firstLine="420" w:firstLineChars="200"/>
        <w:rPr>
          <w:rFonts w:ascii="宋体" w:hAnsi="宋体"/>
          <w:highlight w:val="none"/>
        </w:rPr>
      </w:pPr>
      <w:bookmarkStart w:id="924" w:name="_Toc247514027"/>
      <w:bookmarkStart w:id="925" w:name="_Toc300835013"/>
      <w:bookmarkStart w:id="926" w:name="_Toc152042380"/>
      <w:bookmarkStart w:id="927" w:name="_Toc152045603"/>
      <w:bookmarkStart w:id="928" w:name="_Toc399165434"/>
      <w:bookmarkStart w:id="929" w:name="_Toc144974570"/>
      <w:bookmarkStart w:id="930" w:name="_Toc247527628"/>
      <w:r>
        <w:rPr>
          <w:rFonts w:ascii="宋体" w:hAnsi="宋体"/>
          <w:highlight w:val="none"/>
        </w:rPr>
        <w:t>2.1.2</w:t>
      </w:r>
      <w:r>
        <w:rPr>
          <w:rFonts w:hint="eastAsia" w:ascii="宋体" w:hAnsi="宋体"/>
          <w:highlight w:val="none"/>
        </w:rPr>
        <w:t>投标文件有效性审查标准：见评标办法前附表。</w:t>
      </w:r>
    </w:p>
    <w:p>
      <w:pPr>
        <w:pStyle w:val="5"/>
        <w:spacing w:before="100" w:after="100" w:line="360" w:lineRule="auto"/>
        <w:rPr>
          <w:rFonts w:ascii="宋体" w:eastAsia="宋体"/>
          <w:highlight w:val="none"/>
        </w:rPr>
      </w:pPr>
      <w:bookmarkStart w:id="931" w:name="_Toc16804"/>
      <w:bookmarkStart w:id="932" w:name="_Toc436834781"/>
      <w:bookmarkStart w:id="933" w:name="_Toc32259"/>
      <w:bookmarkStart w:id="934" w:name="_Toc14736"/>
      <w:bookmarkStart w:id="935" w:name="_Toc494371571"/>
      <w:bookmarkStart w:id="936" w:name="_Toc436834188"/>
      <w:bookmarkStart w:id="937" w:name="_Toc25188"/>
      <w:r>
        <w:rPr>
          <w:rFonts w:ascii="宋体" w:eastAsia="宋体"/>
          <w:highlight w:val="none"/>
        </w:rPr>
        <w:t xml:space="preserve">2.2 </w:t>
      </w:r>
      <w:r>
        <w:rPr>
          <w:rFonts w:hint="eastAsia" w:ascii="宋体" w:eastAsia="宋体"/>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hint="eastAsia" w:ascii="宋体" w:hAnsi="宋体"/>
          <w:highlight w:val="none"/>
        </w:rPr>
      </w:pPr>
      <w:bookmarkStart w:id="938" w:name="_Toc300835014"/>
      <w:bookmarkStart w:id="939" w:name="_Toc247527629"/>
      <w:bookmarkStart w:id="940" w:name="_Toc247514028"/>
      <w:bookmarkStart w:id="941" w:name="_Toc152045604"/>
      <w:bookmarkStart w:id="942" w:name="_Toc144974571"/>
      <w:bookmarkStart w:id="943" w:name="_Toc152042381"/>
      <w:bookmarkStart w:id="944" w:name="_Toc399165435"/>
      <w:r>
        <w:rPr>
          <w:rFonts w:ascii="宋体" w:hAnsi="宋体"/>
          <w:highlight w:val="none"/>
        </w:rPr>
        <w:t>2.2.1</w:t>
      </w:r>
      <w:r>
        <w:rPr>
          <w:rFonts w:ascii="宋体" w:hAnsi="宋体"/>
          <w:szCs w:val="21"/>
          <w:highlight w:val="none"/>
        </w:rPr>
        <w:t>分值构成</w:t>
      </w:r>
      <w:r>
        <w:rPr>
          <w:rFonts w:hint="eastAsia" w:ascii="宋体" w:hAnsi="宋体"/>
          <w:szCs w:val="21"/>
          <w:highlight w:val="none"/>
        </w:rPr>
        <w:t>及权重</w:t>
      </w:r>
      <w:r>
        <w:rPr>
          <w:rFonts w:hint="eastAsia" w:ascii="宋体" w:hAnsi="宋体"/>
          <w:highlight w:val="none"/>
        </w:rPr>
        <w:t>：</w:t>
      </w:r>
    </w:p>
    <w:p>
      <w:pPr>
        <w:numPr>
          <w:ilvl w:val="0"/>
          <w:numId w:val="0"/>
        </w:numPr>
        <w:tabs>
          <w:tab w:val="left" w:pos="945"/>
        </w:tabs>
        <w:spacing w:line="360" w:lineRule="auto"/>
        <w:ind w:leftChars="0"/>
        <w:rPr>
          <w:rFonts w:hint="eastAsia" w:ascii="宋体" w:hAnsi="宋体"/>
          <w:color w:val="FF0000"/>
        </w:rPr>
      </w:pPr>
      <w:r>
        <w:rPr>
          <w:rFonts w:hint="eastAsia" w:ascii="宋体" w:hAnsi="宋体"/>
          <w:color w:val="FF0000"/>
        </w:rPr>
        <w:t>评分总值最高为100分，资信</w:t>
      </w:r>
      <w:r>
        <w:rPr>
          <w:rFonts w:hint="eastAsia" w:ascii="宋体" w:hAnsi="宋体"/>
          <w:color w:val="FF0000"/>
          <w:lang w:eastAsia="zh-CN"/>
        </w:rPr>
        <w:t>、技术</w:t>
      </w:r>
      <w:r>
        <w:rPr>
          <w:rFonts w:hint="eastAsia" w:ascii="宋体" w:hAnsi="宋体"/>
          <w:color w:val="FF0000"/>
        </w:rPr>
        <w:t>及投标报价得分分值（权重）分配、分值设置如下：</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2332"/>
        <w:gridCol w:w="2428"/>
        <w:gridCol w:w="22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b/>
                <w:color w:val="FF0000"/>
              </w:rPr>
            </w:pPr>
            <w:r>
              <w:rPr>
                <w:rFonts w:hint="eastAsia" w:ascii="宋体" w:hAnsi="宋体"/>
                <w:b/>
                <w:color w:val="FF0000"/>
              </w:rPr>
              <w:t>分值比例（100%）</w:t>
            </w:r>
          </w:p>
        </w:tc>
        <w:tc>
          <w:tcPr>
            <w:tcW w:w="2332" w:type="dxa"/>
            <w:vAlign w:val="bottom"/>
          </w:tcPr>
          <w:p>
            <w:pPr>
              <w:snapToGrid w:val="0"/>
              <w:spacing w:line="360" w:lineRule="auto"/>
              <w:jc w:val="center"/>
              <w:rPr>
                <w:rFonts w:hint="eastAsia" w:ascii="宋体" w:hAnsi="宋体"/>
                <w:b/>
                <w:color w:val="FF0000"/>
              </w:rPr>
            </w:pPr>
            <w:r>
              <w:rPr>
                <w:rFonts w:hint="eastAsia" w:ascii="宋体" w:hAnsi="宋体"/>
                <w:b/>
                <w:bCs/>
                <w:color w:val="FF0000"/>
                <w:szCs w:val="21"/>
              </w:rPr>
              <w:t>资信</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428" w:type="dxa"/>
            <w:vAlign w:val="bottom"/>
          </w:tcPr>
          <w:p>
            <w:pPr>
              <w:snapToGrid w:val="0"/>
              <w:spacing w:line="360" w:lineRule="auto"/>
              <w:jc w:val="center"/>
              <w:rPr>
                <w:rFonts w:hint="eastAsia" w:ascii="宋体" w:hAnsi="宋体"/>
                <w:b/>
                <w:color w:val="FF0000"/>
              </w:rPr>
            </w:pPr>
            <w:r>
              <w:rPr>
                <w:rFonts w:hint="eastAsia" w:ascii="宋体" w:hAnsi="宋体"/>
                <w:b/>
                <w:bCs/>
                <w:color w:val="FF0000"/>
                <w:szCs w:val="21"/>
                <w:lang w:eastAsia="zh-CN"/>
              </w:rPr>
              <w:t>技术</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205" w:type="dxa"/>
            <w:vAlign w:val="bottom"/>
          </w:tcPr>
          <w:p>
            <w:pPr>
              <w:snapToGrid w:val="0"/>
              <w:spacing w:line="360" w:lineRule="auto"/>
              <w:jc w:val="center"/>
              <w:rPr>
                <w:rFonts w:hint="eastAsia" w:ascii="宋体" w:hAnsi="宋体"/>
                <w:b/>
                <w:color w:val="FF0000"/>
              </w:rPr>
            </w:pPr>
            <w:r>
              <w:rPr>
                <w:rFonts w:hint="eastAsia" w:ascii="宋体" w:hAnsi="宋体"/>
                <w:b/>
                <w:color w:val="FF0000"/>
                <w:spacing w:val="-4"/>
              </w:rPr>
              <w:t>投标报价得分（</w:t>
            </w:r>
            <w:r>
              <w:rPr>
                <w:rFonts w:hint="eastAsia" w:ascii="宋体" w:hAnsi="宋体"/>
                <w:b/>
                <w:color w:val="FF0000"/>
                <w:spacing w:val="-4"/>
                <w:lang w:val="en-US" w:eastAsia="zh-CN"/>
              </w:rPr>
              <w:t>4</w:t>
            </w:r>
            <w:r>
              <w:rPr>
                <w:rFonts w:hint="eastAsia" w:ascii="宋体" w:hAnsi="宋体"/>
                <w:b/>
                <w:color w:val="FF0000"/>
                <w:spacing w:val="-4"/>
              </w:rPr>
              <w:t>0</w:t>
            </w:r>
            <w:r>
              <w:rPr>
                <w:rFonts w:hint="eastAsia" w:ascii="宋体" w:hAnsi="宋体"/>
                <w:b/>
                <w:color w:val="FF0000"/>
              </w:rPr>
              <w:t>%</w:t>
            </w:r>
            <w:r>
              <w:rPr>
                <w:rFonts w:hint="eastAsia" w:ascii="宋体" w:hAnsi="宋体"/>
                <w:b/>
                <w:color w:val="FF0000"/>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color w:val="FF0000"/>
              </w:rPr>
            </w:pPr>
            <w:r>
              <w:rPr>
                <w:rFonts w:hint="eastAsia" w:ascii="宋体" w:hAnsi="宋体"/>
                <w:color w:val="FF0000"/>
              </w:rPr>
              <w:t>得分100</w:t>
            </w:r>
          </w:p>
        </w:tc>
        <w:tc>
          <w:tcPr>
            <w:tcW w:w="2332"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30</w:t>
            </w:r>
            <w:r>
              <w:rPr>
                <w:rFonts w:hint="eastAsia" w:ascii="宋体" w:hAnsi="宋体"/>
                <w:color w:val="FF0000"/>
              </w:rPr>
              <w:t>分</w:t>
            </w:r>
          </w:p>
        </w:tc>
        <w:tc>
          <w:tcPr>
            <w:tcW w:w="2428"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30</w:t>
            </w:r>
            <w:r>
              <w:rPr>
                <w:rFonts w:hint="eastAsia" w:ascii="宋体" w:hAnsi="宋体"/>
                <w:color w:val="FF0000"/>
              </w:rPr>
              <w:t>分</w:t>
            </w:r>
          </w:p>
        </w:tc>
        <w:tc>
          <w:tcPr>
            <w:tcW w:w="2205" w:type="dxa"/>
            <w:vAlign w:val="bottom"/>
          </w:tcPr>
          <w:p>
            <w:pPr>
              <w:snapToGrid w:val="0"/>
              <w:spacing w:line="360" w:lineRule="auto"/>
              <w:jc w:val="center"/>
              <w:rPr>
                <w:rFonts w:hint="eastAsia" w:ascii="宋体" w:hAnsi="宋体"/>
                <w:color w:val="FF0000"/>
              </w:rPr>
            </w:pPr>
            <w:r>
              <w:rPr>
                <w:rFonts w:hint="eastAsia" w:ascii="宋体" w:hAnsi="宋体"/>
                <w:color w:val="FF0000"/>
                <w:lang w:val="en-US" w:eastAsia="zh-CN"/>
              </w:rPr>
              <w:t>4</w:t>
            </w:r>
            <w:r>
              <w:rPr>
                <w:rFonts w:hint="eastAsia" w:ascii="宋体" w:hAnsi="宋体"/>
                <w:color w:val="FF0000"/>
              </w:rPr>
              <w:t>0分</w:t>
            </w:r>
          </w:p>
        </w:tc>
      </w:tr>
    </w:tbl>
    <w:p>
      <w:pPr>
        <w:spacing w:line="400" w:lineRule="exact"/>
        <w:ind w:firstLine="420" w:firstLineChars="200"/>
        <w:rPr>
          <w:rFonts w:ascii="宋体" w:hAnsi="宋体"/>
          <w:highlight w:val="none"/>
        </w:rPr>
      </w:pPr>
      <w:r>
        <w:rPr>
          <w:rFonts w:ascii="宋体" w:hAnsi="宋体"/>
          <w:highlight w:val="none"/>
        </w:rPr>
        <w:t>2.2.2 评分标准</w:t>
      </w:r>
    </w:p>
    <w:p>
      <w:pPr>
        <w:spacing w:line="400" w:lineRule="exact"/>
        <w:ind w:firstLine="420" w:firstLineChars="200"/>
        <w:rPr>
          <w:rFonts w:ascii="宋体" w:hAnsi="宋体"/>
          <w:highlight w:val="none"/>
        </w:rPr>
      </w:pPr>
      <w:bookmarkStart w:id="945" w:name="_Toc13060"/>
      <w:bookmarkStart w:id="946" w:name="_Toc24656"/>
      <w:bookmarkStart w:id="947" w:name="_Toc11029"/>
      <w:bookmarkStart w:id="948" w:name="_Toc436834782"/>
      <w:bookmarkStart w:id="949" w:name="_Toc494371572"/>
      <w:bookmarkStart w:id="950" w:name="_Toc210"/>
      <w:bookmarkStart w:id="951" w:name="_Toc29432"/>
      <w:bookmarkStart w:id="952" w:name="_Toc436834189"/>
      <w:r>
        <w:rPr>
          <w:rFonts w:hint="eastAsia" w:ascii="宋体" w:hAnsi="宋体"/>
          <w:highlight w:val="none"/>
        </w:rPr>
        <w:t>（1）</w:t>
      </w:r>
      <w:r>
        <w:rPr>
          <w:rFonts w:hint="eastAsia" w:ascii="宋体" w:hAnsi="宋体"/>
          <w:highlight w:val="none"/>
          <w:lang w:eastAsia="zh-CN"/>
        </w:rPr>
        <w:t>工程施工总承包实施方案</w:t>
      </w:r>
      <w:r>
        <w:rPr>
          <w:rFonts w:hint="eastAsia" w:ascii="宋体" w:hAnsi="宋体"/>
          <w:highlight w:val="none"/>
        </w:rPr>
        <w:t>（含资信部分）文件详细审查评分标准：见评标办法前附表。</w:t>
      </w:r>
    </w:p>
    <w:p>
      <w:pPr>
        <w:spacing w:line="400" w:lineRule="exact"/>
        <w:ind w:firstLine="420" w:firstLineChars="200"/>
        <w:rPr>
          <w:rFonts w:ascii="宋体" w:hAnsi="宋体"/>
          <w:highlight w:val="none"/>
        </w:rPr>
      </w:pPr>
      <w:r>
        <w:rPr>
          <w:rFonts w:hint="eastAsia" w:ascii="宋体" w:hAnsi="宋体"/>
          <w:highlight w:val="none"/>
        </w:rPr>
        <w:t>（2）投标报价文件详细审查评分标准：见评标办法前附表。</w:t>
      </w:r>
    </w:p>
    <w:p>
      <w:pPr>
        <w:pStyle w:val="4"/>
        <w:spacing w:before="100" w:after="100" w:line="360" w:lineRule="auto"/>
        <w:rPr>
          <w:rFonts w:ascii="宋体" w:hAnsi="宋体" w:eastAsia="宋体"/>
          <w:highlight w:val="none"/>
        </w:rPr>
      </w:pPr>
      <w:bookmarkStart w:id="953" w:name="_Toc23123"/>
      <w:r>
        <w:rPr>
          <w:rFonts w:ascii="宋体" w:hAnsi="宋体" w:eastAsia="宋体"/>
          <w:highlight w:val="none"/>
        </w:rPr>
        <w:t xml:space="preserve">3. </w:t>
      </w:r>
      <w:r>
        <w:rPr>
          <w:rFonts w:hint="eastAsia" w:ascii="宋体" w:hAnsi="宋体" w:eastAsia="宋体"/>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highlight w:val="none"/>
        </w:rPr>
      </w:pPr>
      <w:bookmarkStart w:id="954" w:name="_Toc24446"/>
      <w:bookmarkStart w:id="955" w:name="_Toc263"/>
      <w:bookmarkStart w:id="956" w:name="_Toc494371574"/>
      <w:bookmarkStart w:id="957" w:name="_Toc5646"/>
      <w:bookmarkStart w:id="958" w:name="_Toc1082"/>
      <w:r>
        <w:rPr>
          <w:rFonts w:ascii="宋体" w:eastAsia="宋体"/>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3.1.1</w:t>
      </w:r>
      <w:r>
        <w:rPr>
          <w:rFonts w:hint="eastAsia" w:ascii="宋体" w:hAnsi="宋体"/>
          <w:highlight w:val="none"/>
        </w:rPr>
        <w:t>资格审查采用非电子化审查方式进行，评标委员会对投标人递交的资格审查文件</w:t>
      </w:r>
      <w:r>
        <w:rPr>
          <w:rFonts w:hint="eastAsia" w:ascii="宋体" w:hAnsi="宋体"/>
          <w:szCs w:val="21"/>
          <w:highlight w:val="none"/>
        </w:rPr>
        <w:t>进行评审。</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3汇总资格审查情况，编写资格审查报告。</w:t>
      </w:r>
    </w:p>
    <w:p>
      <w:pPr>
        <w:spacing w:line="400" w:lineRule="exact"/>
        <w:ind w:firstLine="457" w:firstLineChars="218"/>
        <w:rPr>
          <w:rFonts w:ascii="宋体" w:hAnsi="宋体"/>
          <w:kern w:val="0"/>
          <w:szCs w:val="21"/>
          <w:highlight w:val="none"/>
        </w:rPr>
      </w:pPr>
      <w:r>
        <w:rPr>
          <w:rFonts w:ascii="宋体" w:hAnsi="宋体"/>
          <w:kern w:val="0"/>
          <w:szCs w:val="21"/>
          <w:highlight w:val="none"/>
        </w:rPr>
        <w:t>3.1.</w:t>
      </w:r>
      <w:r>
        <w:rPr>
          <w:rFonts w:hint="eastAsia" w:ascii="宋体" w:hAnsi="宋体"/>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kern w:val="0"/>
          <w:szCs w:val="21"/>
          <w:highlight w:val="none"/>
        </w:rPr>
      </w:pPr>
      <w:r>
        <w:rPr>
          <w:rFonts w:hint="eastAsia" w:ascii="宋体" w:hAnsi="宋体"/>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szCs w:val="21"/>
          <w:highlight w:val="none"/>
        </w:rPr>
      </w:pPr>
      <w:bookmarkStart w:id="959" w:name="_Toc26253"/>
      <w:bookmarkStart w:id="960" w:name="_Toc436834783"/>
      <w:bookmarkStart w:id="961" w:name="_Toc30033"/>
      <w:bookmarkStart w:id="962" w:name="_Toc436834190"/>
      <w:bookmarkStart w:id="963" w:name="_Toc22209"/>
      <w:bookmarkStart w:id="964" w:name="_Toc494371575"/>
      <w:bookmarkStart w:id="965" w:name="_Toc15835"/>
      <w:bookmarkStart w:id="966" w:name="_Toc144974575"/>
      <w:bookmarkStart w:id="967" w:name="_Toc300835017"/>
      <w:bookmarkStart w:id="968" w:name="_Toc247527632"/>
      <w:bookmarkStart w:id="969" w:name="_Toc247514031"/>
      <w:bookmarkStart w:id="970" w:name="_Toc152042385"/>
      <w:bookmarkStart w:id="971" w:name="_Toc152045607"/>
      <w:bookmarkStart w:id="972" w:name="_Toc399165439"/>
      <w:r>
        <w:rPr>
          <w:rFonts w:hint="eastAsia" w:ascii="宋体" w:eastAsia="宋体" w:cs="宋体"/>
          <w:highlight w:val="none"/>
        </w:rPr>
        <w:t>3.2</w:t>
      </w:r>
      <w:r>
        <w:rPr>
          <w:rFonts w:hint="eastAsia" w:ascii="宋体" w:eastAsia="宋体" w:cs="宋体"/>
          <w:highlight w:val="none"/>
          <w:lang w:eastAsia="zh-CN"/>
        </w:rPr>
        <w:t>工程施工总承包实施方案</w:t>
      </w:r>
      <w:r>
        <w:rPr>
          <w:rFonts w:hint="eastAsia" w:ascii="宋体" w:eastAsia="宋体" w:cs="宋体"/>
          <w:highlight w:val="none"/>
        </w:rPr>
        <w:t>（含资信部分）文件评审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szCs w:val="21"/>
          <w:highlight w:val="none"/>
        </w:rPr>
      </w:pPr>
      <w:bookmarkStart w:id="973" w:name="_Toc436834191"/>
      <w:bookmarkStart w:id="974" w:name="_Toc436834784"/>
      <w:r>
        <w:rPr>
          <w:rFonts w:ascii="宋体" w:hAnsi="宋体"/>
          <w:szCs w:val="21"/>
          <w:highlight w:val="none"/>
        </w:rPr>
        <w:t>3.2.1</w:t>
      </w:r>
      <w:r>
        <w:rPr>
          <w:rFonts w:hint="eastAsia" w:ascii="宋体" w:hAnsi="宋体"/>
          <w:szCs w:val="21"/>
          <w:highlight w:val="none"/>
        </w:rPr>
        <w:t>评标委员会按本办法附表2《</w:t>
      </w:r>
      <w:r>
        <w:rPr>
          <w:rFonts w:hint="eastAsia" w:ascii="宋体" w:hAnsi="宋体"/>
          <w:szCs w:val="21"/>
          <w:highlight w:val="none"/>
          <w:lang w:eastAsia="zh-CN"/>
        </w:rPr>
        <w:t>工程施工总承包实施方案</w:t>
      </w:r>
      <w:r>
        <w:rPr>
          <w:rFonts w:hint="eastAsia" w:ascii="宋体" w:hAnsi="宋体"/>
          <w:szCs w:val="21"/>
          <w:highlight w:val="none"/>
        </w:rPr>
        <w:t>（含资信部分）文件有效性审查表》</w:t>
      </w:r>
      <w:r>
        <w:rPr>
          <w:rFonts w:ascii="宋体" w:hAnsi="宋体"/>
          <w:szCs w:val="21"/>
          <w:highlight w:val="none"/>
        </w:rPr>
        <w:t>对各投标文件进行评审，只有通过有效性审查的投标文件方可进入下一阶段的评审。如果</w:t>
      </w:r>
      <w:r>
        <w:rPr>
          <w:rFonts w:hint="eastAsia" w:ascii="宋体" w:hAnsi="宋体"/>
          <w:szCs w:val="21"/>
          <w:highlight w:val="none"/>
        </w:rPr>
        <w:t>有废标提议，则评标委员会成员共同表决，按照少数服从多数的原则决定是否废标。</w:t>
      </w:r>
    </w:p>
    <w:p>
      <w:pPr>
        <w:spacing w:line="400" w:lineRule="exact"/>
        <w:ind w:firstLine="457" w:firstLineChars="218"/>
        <w:rPr>
          <w:rFonts w:ascii="宋体"/>
          <w:szCs w:val="21"/>
          <w:highlight w:val="none"/>
        </w:rPr>
      </w:pPr>
      <w:r>
        <w:rPr>
          <w:rFonts w:ascii="宋体" w:hAnsi="宋体"/>
          <w:szCs w:val="21"/>
          <w:highlight w:val="none"/>
        </w:rPr>
        <w:t>3.2.2</w:t>
      </w:r>
      <w:r>
        <w:rPr>
          <w:rFonts w:hint="eastAsia" w:ascii="宋体"/>
          <w:szCs w:val="21"/>
          <w:highlight w:val="none"/>
        </w:rPr>
        <w:t>评标委员会按本办法附表3《</w:t>
      </w:r>
      <w:r>
        <w:rPr>
          <w:rFonts w:hint="eastAsia" w:ascii="宋体"/>
          <w:szCs w:val="21"/>
          <w:highlight w:val="none"/>
          <w:lang w:eastAsia="zh-CN"/>
        </w:rPr>
        <w:t>工程施工总承包实施方案</w:t>
      </w:r>
      <w:r>
        <w:rPr>
          <w:rFonts w:hint="eastAsia" w:ascii="宋体"/>
          <w:szCs w:val="21"/>
          <w:highlight w:val="none"/>
        </w:rPr>
        <w:t>（含资信部分）文件评分表》对各投标人的进行综合评分，投标人得分为评标委员会各成员对其评分合计的算术平均值。分数出现小数点，保留小数点后二位小数，第三位小数四舍五入。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highlight w:val="none"/>
        </w:rPr>
      </w:pPr>
      <w:bookmarkStart w:id="975" w:name="_Toc29017"/>
      <w:bookmarkStart w:id="976" w:name="_Toc10463"/>
      <w:bookmarkStart w:id="977" w:name="_Toc494371576"/>
      <w:bookmarkStart w:id="978" w:name="_Toc23957"/>
      <w:bookmarkStart w:id="979" w:name="_Toc23184"/>
      <w:r>
        <w:rPr>
          <w:rFonts w:ascii="宋体" w:eastAsia="宋体"/>
          <w:highlight w:val="none"/>
        </w:rPr>
        <w:t>3.3</w:t>
      </w:r>
      <w:bookmarkEnd w:id="973"/>
      <w:bookmarkEnd w:id="974"/>
      <w:bookmarkEnd w:id="975"/>
      <w:bookmarkEnd w:id="976"/>
      <w:bookmarkEnd w:id="977"/>
      <w:bookmarkEnd w:id="978"/>
      <w:bookmarkEnd w:id="979"/>
      <w:r>
        <w:rPr>
          <w:rFonts w:hint="eastAsia" w:ascii="宋体" w:eastAsia="宋体"/>
          <w:highlight w:val="none"/>
        </w:rPr>
        <w:t>投标报价文件评审</w:t>
      </w:r>
    </w:p>
    <w:p>
      <w:pPr>
        <w:spacing w:line="400" w:lineRule="exact"/>
        <w:ind w:firstLine="420" w:firstLineChars="200"/>
        <w:rPr>
          <w:rFonts w:ascii="宋体" w:hAnsi="宋体"/>
          <w:szCs w:val="21"/>
          <w:highlight w:val="none"/>
        </w:rPr>
      </w:pPr>
      <w:r>
        <w:rPr>
          <w:rFonts w:hint="eastAsia" w:ascii="宋体" w:hAnsi="宋体"/>
          <w:szCs w:val="21"/>
          <w:highlight w:val="none"/>
        </w:rPr>
        <w:t>3.3.1投标报价文件有效性审查：评标委员会对通过</w:t>
      </w:r>
      <w:r>
        <w:rPr>
          <w:rFonts w:hint="eastAsia" w:ascii="宋体" w:hAnsi="宋体"/>
          <w:szCs w:val="21"/>
          <w:highlight w:val="none"/>
          <w:lang w:eastAsia="zh-CN"/>
        </w:rPr>
        <w:t>工程施工总承包实施方案</w:t>
      </w:r>
      <w:r>
        <w:rPr>
          <w:rFonts w:hint="eastAsia" w:ascii="宋体" w:hAnsi="宋体"/>
          <w:szCs w:val="21"/>
          <w:highlight w:val="none"/>
        </w:rPr>
        <w:t>（含资信部分）文件有效性审查的投标文件按本办法附表4《投标报价文件有效性审查表》的评审内容进行</w:t>
      </w:r>
      <w:r>
        <w:rPr>
          <w:rFonts w:hint="eastAsia" w:ascii="宋体"/>
          <w:highlight w:val="none"/>
        </w:rPr>
        <w:t>投标报价文件</w:t>
      </w:r>
      <w:r>
        <w:rPr>
          <w:rFonts w:hint="eastAsia" w:ascii="宋体" w:hAnsi="宋体"/>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szCs w:val="21"/>
          <w:highlight w:val="none"/>
        </w:rPr>
      </w:pPr>
      <w:r>
        <w:rPr>
          <w:rFonts w:ascii="宋体" w:hAnsi="宋体"/>
          <w:szCs w:val="21"/>
          <w:highlight w:val="none"/>
        </w:rPr>
        <w:t>3.3.2</w:t>
      </w:r>
      <w:r>
        <w:rPr>
          <w:rFonts w:hint="eastAsia" w:ascii="宋体" w:hAnsi="宋体"/>
          <w:szCs w:val="21"/>
          <w:highlight w:val="none"/>
        </w:rPr>
        <w:t>建安工程费报价的算术校核。施工组评标委员会对通过</w:t>
      </w:r>
      <w:r>
        <w:rPr>
          <w:rFonts w:hint="eastAsia" w:ascii="宋体" w:hAnsi="宋体"/>
          <w:highlight w:val="none"/>
        </w:rPr>
        <w:t>经济标投标文件</w:t>
      </w:r>
      <w:r>
        <w:rPr>
          <w:rFonts w:hint="eastAsia" w:ascii="宋体" w:hAnsi="宋体"/>
          <w:szCs w:val="21"/>
          <w:highlight w:val="none"/>
        </w:rPr>
        <w:t>有效性审查的投标文件的建安工程费报价进行算术校核，具体标准如下：</w:t>
      </w:r>
    </w:p>
    <w:p>
      <w:pPr>
        <w:spacing w:line="400" w:lineRule="exact"/>
        <w:ind w:firstLine="457" w:firstLineChars="218"/>
        <w:rPr>
          <w:rFonts w:ascii="宋体" w:hAnsi="宋体"/>
          <w:szCs w:val="21"/>
          <w:highlight w:val="none"/>
        </w:rPr>
      </w:pPr>
      <w:r>
        <w:rPr>
          <w:rFonts w:hint="eastAsia" w:ascii="宋体" w:hAnsi="宋体"/>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3）如果分项报价累加不等总价的，以分项报价累加为准，修正总价；</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4）投标文件存在其他计算性错误的，按正确的方法计算并修正；</w:t>
      </w:r>
    </w:p>
    <w:p>
      <w:pPr>
        <w:spacing w:line="400" w:lineRule="exact"/>
        <w:ind w:firstLine="457" w:firstLineChars="218"/>
        <w:rPr>
          <w:rFonts w:ascii="宋体" w:hAnsi="宋体"/>
          <w:szCs w:val="21"/>
          <w:highlight w:val="none"/>
        </w:rPr>
      </w:pPr>
      <w:r>
        <w:rPr>
          <w:rFonts w:hint="eastAsia" w:ascii="宋体" w:hAnsi="宋体"/>
          <w:szCs w:val="21"/>
          <w:highlight w:val="none"/>
        </w:rPr>
        <w:t>（</w:t>
      </w:r>
      <w:r>
        <w:rPr>
          <w:rFonts w:ascii="宋体" w:hAnsi="宋体"/>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ascii="宋体" w:hAnsi="宋体"/>
          <w:highlight w:val="none"/>
        </w:rPr>
      </w:pPr>
      <w:r>
        <w:rPr>
          <w:rFonts w:ascii="宋体" w:hAnsi="宋体"/>
          <w:szCs w:val="21"/>
          <w:highlight w:val="none"/>
        </w:rPr>
        <w:t>3.3.</w:t>
      </w:r>
      <w:r>
        <w:rPr>
          <w:rFonts w:hint="eastAsia" w:ascii="宋体" w:hAnsi="宋体"/>
          <w:szCs w:val="21"/>
          <w:highlight w:val="none"/>
        </w:rPr>
        <w:t>3建安工程费投标报价评分：</w:t>
      </w:r>
      <w:r>
        <w:rPr>
          <w:rFonts w:hint="eastAsia" w:ascii="宋体" w:hAnsi="宋体"/>
          <w:highlight w:val="none"/>
        </w:rPr>
        <w:t>①以通过投标文件有效性审查（包括资格审查文件、</w:t>
      </w:r>
      <w:r>
        <w:rPr>
          <w:rFonts w:hint="eastAsia" w:ascii="宋体" w:hAnsi="宋体"/>
          <w:highlight w:val="none"/>
          <w:lang w:eastAsia="zh-CN"/>
        </w:rPr>
        <w:t>工程设计施工总承包实施方案</w:t>
      </w:r>
      <w:r>
        <w:rPr>
          <w:rFonts w:hint="eastAsia" w:ascii="宋体" w:hAnsi="宋体"/>
          <w:highlight w:val="none"/>
        </w:rPr>
        <w:t>（含资信部分）文件和</w:t>
      </w:r>
      <w:r>
        <w:rPr>
          <w:rFonts w:hint="eastAsia"/>
          <w:szCs w:val="21"/>
          <w:highlight w:val="none"/>
        </w:rPr>
        <w:t>投标报价</w:t>
      </w:r>
      <w:r>
        <w:rPr>
          <w:rFonts w:hint="eastAsia" w:ascii="宋体" w:hAnsi="宋体"/>
          <w:highlight w:val="none"/>
        </w:rPr>
        <w:t>文件）的投标文件的建安工程费报价中，在位于</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区间的投标价大于三个时，去掉一个最高价和一个最低价后，剩余报价的算术平均值为评标参考价。若位于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区间的投标价少于或等于三个，直接取区间中的投标价的算术平均值为评标参考价。若没有投标价位于</w:t>
      </w:r>
      <w:r>
        <w:rPr>
          <w:highlight w:val="none"/>
        </w:rPr>
        <w:t>[</w:t>
      </w:r>
      <w:r>
        <w:rPr>
          <w:rFonts w:ascii="宋体" w:hAnsi="宋体"/>
          <w:highlight w:val="none"/>
        </w:rPr>
        <w:t>建安工程费</w:t>
      </w:r>
      <w:r>
        <w:rPr>
          <w:rFonts w:hint="eastAsia" w:ascii="宋体" w:hAnsi="宋体"/>
          <w:highlight w:val="none"/>
        </w:rPr>
        <w:t>最高投标限价</w:t>
      </w:r>
      <w:r>
        <w:rPr>
          <w:rFonts w:ascii="宋体" w:hAnsi="宋体"/>
          <w:highlight w:val="none"/>
        </w:rPr>
        <w:t>×</w:t>
      </w:r>
      <w:r>
        <w:rPr>
          <w:rFonts w:hint="eastAsia" w:ascii="宋体" w:hAnsi="宋体"/>
          <w:highlight w:val="none"/>
        </w:rPr>
        <w:t>90</w:t>
      </w:r>
      <w:r>
        <w:rPr>
          <w:highlight w:val="none"/>
        </w:rPr>
        <w:t>%</w:t>
      </w:r>
      <w:r>
        <w:rPr>
          <w:rFonts w:hint="eastAsia" w:ascii="宋体" w:hAnsi="宋体"/>
          <w:highlight w:val="none"/>
        </w:rPr>
        <w:t>，建安工程费最高投标限价</w:t>
      </w:r>
      <w:r>
        <w:rPr>
          <w:highlight w:val="none"/>
        </w:rPr>
        <w:t>]</w:t>
      </w:r>
      <w:r>
        <w:rPr>
          <w:rFonts w:hint="eastAsia" w:ascii="宋体" w:hAnsi="宋体"/>
          <w:highlight w:val="none"/>
        </w:rPr>
        <w:t>区间，则由招标人依法重新招标；</w:t>
      </w:r>
    </w:p>
    <w:p>
      <w:pPr>
        <w:spacing w:line="360" w:lineRule="auto"/>
        <w:ind w:firstLine="420" w:firstLineChars="200"/>
        <w:rPr>
          <w:rFonts w:ascii="宋体" w:hAnsi="宋体"/>
          <w:highlight w:val="none"/>
        </w:rPr>
      </w:pPr>
      <w:r>
        <w:rPr>
          <w:rFonts w:hint="eastAsia" w:ascii="宋体" w:hAnsi="宋体"/>
          <w:highlight w:val="none"/>
        </w:rPr>
        <w:t>②建安工程费投标报价等于评标参考价时得</w:t>
      </w:r>
      <w:r>
        <w:rPr>
          <w:rFonts w:ascii="宋体" w:hAnsi="宋体"/>
          <w:highlight w:val="none"/>
        </w:rPr>
        <w:t>100分，投标价每高于评标参考价</w:t>
      </w:r>
      <w:r>
        <w:rPr>
          <w:highlight w:val="none"/>
        </w:rPr>
        <w:t>1%</w:t>
      </w:r>
      <w:r>
        <w:rPr>
          <w:rFonts w:hint="eastAsia" w:ascii="宋体" w:hAnsi="宋体"/>
          <w:highlight w:val="none"/>
        </w:rPr>
        <w:t>，扣</w:t>
      </w:r>
      <w:r>
        <w:rPr>
          <w:rFonts w:hint="eastAsia"/>
          <w:highlight w:val="none"/>
          <w:lang w:val="en-US" w:eastAsia="zh-CN"/>
        </w:rPr>
        <w:t>3</w:t>
      </w:r>
      <w:r>
        <w:rPr>
          <w:rFonts w:hint="eastAsia" w:ascii="宋体" w:hAnsi="宋体"/>
          <w:highlight w:val="none"/>
        </w:rPr>
        <w:t>分，每低于评标参考价</w:t>
      </w:r>
      <w:r>
        <w:rPr>
          <w:highlight w:val="none"/>
        </w:rPr>
        <w:t>1%</w:t>
      </w:r>
      <w:r>
        <w:rPr>
          <w:rFonts w:hint="eastAsia" w:ascii="宋体" w:hAnsi="宋体"/>
          <w:highlight w:val="none"/>
        </w:rPr>
        <w:t>，扣</w:t>
      </w:r>
      <w:r>
        <w:rPr>
          <w:rFonts w:hint="eastAsia"/>
          <w:highlight w:val="none"/>
          <w:lang w:val="en-US" w:eastAsia="zh-CN"/>
        </w:rPr>
        <w:t>2</w:t>
      </w:r>
      <w:r>
        <w:rPr>
          <w:rFonts w:hint="eastAsia" w:ascii="宋体" w:hAnsi="宋体"/>
          <w:highlight w:val="none"/>
        </w:rPr>
        <w:t>分，扣至</w:t>
      </w:r>
      <w:r>
        <w:rPr>
          <w:highlight w:val="none"/>
        </w:rPr>
        <w:t>0</w:t>
      </w:r>
      <w:r>
        <w:rPr>
          <w:rFonts w:hint="eastAsia" w:ascii="宋体" w:hAnsi="宋体"/>
          <w:highlight w:val="none"/>
        </w:rPr>
        <w:t>分为止，得出的投标报价得分乘以</w:t>
      </w:r>
      <w:r>
        <w:rPr>
          <w:rFonts w:hint="eastAsia" w:ascii="宋体" w:hAnsi="宋体"/>
          <w:highlight w:val="none"/>
          <w:lang w:val="en-US" w:eastAsia="zh-CN"/>
        </w:rPr>
        <w:t>40</w:t>
      </w:r>
      <w:r>
        <w:rPr>
          <w:rFonts w:hint="eastAsia" w:ascii="宋体" w:hAnsi="宋体"/>
          <w:highlight w:val="none"/>
        </w:rPr>
        <w:t>%作为最终</w:t>
      </w:r>
      <w:r>
        <w:rPr>
          <w:rFonts w:hint="eastAsia"/>
          <w:szCs w:val="21"/>
          <w:highlight w:val="none"/>
        </w:rPr>
        <w:t>投标报价</w:t>
      </w:r>
      <w:r>
        <w:rPr>
          <w:rFonts w:hint="eastAsia" w:ascii="宋体" w:hAnsi="宋体"/>
          <w:highlight w:val="none"/>
        </w:rPr>
        <w:t>文件得分，精确到小数点后两位，第三位小数四舍五入。</w:t>
      </w:r>
    </w:p>
    <w:p>
      <w:pPr>
        <w:pStyle w:val="20"/>
        <w:rPr>
          <w:highlight w:val="none"/>
        </w:rPr>
      </w:pPr>
    </w:p>
    <w:p>
      <w:pPr>
        <w:pStyle w:val="5"/>
        <w:spacing w:before="100" w:after="100" w:line="360" w:lineRule="auto"/>
        <w:rPr>
          <w:rFonts w:ascii="宋体" w:eastAsia="宋体"/>
          <w:highlight w:val="none"/>
        </w:rPr>
      </w:pPr>
      <w:bookmarkStart w:id="980" w:name="_Toc436834786"/>
      <w:bookmarkStart w:id="981" w:name="_Toc27882"/>
      <w:bookmarkStart w:id="982" w:name="_Toc436834193"/>
      <w:bookmarkStart w:id="983" w:name="_Toc10879"/>
      <w:bookmarkStart w:id="984" w:name="_Toc494371578"/>
      <w:bookmarkStart w:id="985" w:name="_Toc23723"/>
      <w:bookmarkStart w:id="986" w:name="_Toc10214"/>
      <w:r>
        <w:rPr>
          <w:rFonts w:hint="eastAsia" w:ascii="宋体" w:eastAsia="宋体"/>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szCs w:val="21"/>
          <w:highlight w:val="none"/>
        </w:rPr>
      </w:pPr>
      <w:r>
        <w:rPr>
          <w:rFonts w:ascii="宋体" w:hAnsi="宋体"/>
          <w:szCs w:val="21"/>
          <w:highlight w:val="none"/>
        </w:rPr>
        <w:t>3.5.1</w:t>
      </w:r>
      <w:r>
        <w:rPr>
          <w:rFonts w:hint="eastAsia" w:ascii="宋体" w:hAnsi="宋体"/>
          <w:szCs w:val="21"/>
          <w:highlight w:val="none"/>
        </w:rPr>
        <w:t>投标人总得分满分为</w:t>
      </w:r>
      <w:r>
        <w:rPr>
          <w:rFonts w:ascii="宋体" w:hAnsi="宋体"/>
          <w:szCs w:val="21"/>
          <w:highlight w:val="none"/>
        </w:rPr>
        <w:t>100分，总分权重分配见:评标办法前附表。</w:t>
      </w:r>
    </w:p>
    <w:p>
      <w:pPr>
        <w:spacing w:line="400" w:lineRule="exact"/>
        <w:ind w:firstLine="457" w:firstLineChars="218"/>
        <w:rPr>
          <w:rFonts w:ascii="宋体" w:hAnsi="宋体"/>
          <w:szCs w:val="21"/>
          <w:highlight w:val="none"/>
        </w:rPr>
      </w:pPr>
      <w:r>
        <w:rPr>
          <w:rFonts w:ascii="宋体" w:hAnsi="宋体"/>
          <w:szCs w:val="21"/>
          <w:highlight w:val="none"/>
        </w:rPr>
        <w:t>3.5.2</w:t>
      </w:r>
      <w:r>
        <w:rPr>
          <w:rFonts w:hint="eastAsia" w:ascii="宋体" w:hAnsi="宋体"/>
          <w:szCs w:val="21"/>
          <w:highlight w:val="none"/>
        </w:rPr>
        <w:t>评标委员会按照“评标办法前附表</w:t>
      </w:r>
      <w:r>
        <w:rPr>
          <w:rFonts w:ascii="宋体" w:hAnsi="宋体"/>
          <w:szCs w:val="21"/>
          <w:highlight w:val="none"/>
        </w:rPr>
        <w:t>”</w:t>
      </w:r>
      <w:r>
        <w:rPr>
          <w:rFonts w:hint="eastAsia" w:ascii="宋体" w:hAnsi="宋体"/>
          <w:szCs w:val="21"/>
          <w:highlight w:val="none"/>
        </w:rPr>
        <w:t>所述公式，计算各有效投标文件的总分，并按照总分从高到低排列先后次序。</w:t>
      </w:r>
      <w:r>
        <w:rPr>
          <w:rFonts w:hint="eastAsia" w:ascii="宋体" w:hAnsi="宋体"/>
          <w:szCs w:val="21"/>
          <w:highlight w:val="yellow"/>
        </w:rPr>
        <w:t>如存在相同情况，则对具有相同情况的投标人，按中标候选人数量规定，由评标委员会采用记名投票方式，确定中标候选人的排序。</w:t>
      </w:r>
      <w:r>
        <w:rPr>
          <w:rFonts w:hint="eastAsia" w:ascii="宋体" w:hAnsi="宋体"/>
          <w:szCs w:val="21"/>
          <w:highlight w:val="none"/>
        </w:rPr>
        <w:t>评标委员会应按排序先后，在招标文件有效的投标人中，向招标人推荐前</w:t>
      </w:r>
      <w:r>
        <w:rPr>
          <w:rFonts w:ascii="宋体" w:hAnsi="宋体"/>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highlight w:val="none"/>
        </w:rPr>
      </w:pPr>
      <w:bookmarkStart w:id="987" w:name="_Toc436834787"/>
      <w:bookmarkStart w:id="988" w:name="_Toc5720"/>
      <w:bookmarkStart w:id="989" w:name="_Toc11454"/>
      <w:bookmarkStart w:id="990" w:name="_Toc494371579"/>
      <w:bookmarkStart w:id="991" w:name="_Toc28563"/>
      <w:bookmarkStart w:id="992" w:name="_Toc436834194"/>
      <w:bookmarkStart w:id="993" w:name="_Toc4315"/>
      <w:bookmarkStart w:id="994" w:name="_Toc399165441"/>
      <w:r>
        <w:rPr>
          <w:rFonts w:ascii="宋体" w:eastAsia="宋体"/>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highlight w:val="none"/>
        </w:rPr>
      </w:pPr>
      <w:r>
        <w:rPr>
          <w:rFonts w:ascii="宋体" w:hAnsi="宋体"/>
          <w:highlight w:val="none"/>
        </w:rPr>
        <w:t>3.6.1</w:t>
      </w:r>
      <w:r>
        <w:rPr>
          <w:rFonts w:hint="eastAsia" w:ascii="宋体" w:hAnsi="宋体"/>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highlight w:val="none"/>
        </w:rPr>
      </w:pPr>
      <w:r>
        <w:rPr>
          <w:rFonts w:ascii="宋体" w:hAnsi="宋体"/>
          <w:highlight w:val="none"/>
        </w:rPr>
        <w:t xml:space="preserve">3.6.2 </w:t>
      </w:r>
      <w:r>
        <w:rPr>
          <w:rFonts w:hint="eastAsia" w:ascii="宋体" w:hAnsi="宋体"/>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highlight w:val="none"/>
        </w:rPr>
      </w:pPr>
      <w:r>
        <w:rPr>
          <w:rFonts w:ascii="宋体" w:hAnsi="宋体"/>
          <w:highlight w:val="none"/>
        </w:rPr>
        <w:t>3.6.3 评标委员会成员均应当阅读投标人的澄清，但应独立参考澄清对投标文件进行评审。</w:t>
      </w:r>
    </w:p>
    <w:p>
      <w:pPr>
        <w:spacing w:line="400" w:lineRule="exact"/>
        <w:ind w:firstLine="420" w:firstLineChars="200"/>
        <w:rPr>
          <w:rFonts w:ascii="宋体" w:hAnsi="宋体"/>
          <w:highlight w:val="none"/>
        </w:rPr>
      </w:pPr>
      <w:r>
        <w:rPr>
          <w:rFonts w:ascii="宋体" w:hAnsi="宋体"/>
          <w:highlight w:val="none"/>
        </w:rPr>
        <w:t>3.6.4</w:t>
      </w:r>
      <w:r>
        <w:rPr>
          <w:rFonts w:hint="eastAsia" w:ascii="宋体" w:hAnsi="宋体"/>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highlight w:val="none"/>
        </w:rPr>
      </w:pPr>
      <w:bookmarkStart w:id="995" w:name="_Toc30749"/>
      <w:bookmarkStart w:id="996" w:name="_Toc494371580"/>
      <w:bookmarkStart w:id="997" w:name="_Toc436834195"/>
      <w:bookmarkStart w:id="998" w:name="_Toc4464"/>
      <w:bookmarkStart w:id="999" w:name="_Toc15072"/>
      <w:bookmarkStart w:id="1000" w:name="_Toc436834788"/>
      <w:bookmarkStart w:id="1001" w:name="_Toc17293"/>
      <w:r>
        <w:rPr>
          <w:rFonts w:ascii="宋体" w:eastAsia="宋体"/>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highlight w:val="none"/>
        </w:rPr>
      </w:pPr>
      <w:bookmarkStart w:id="1002" w:name="_Toc436834196"/>
      <w:bookmarkStart w:id="1003" w:name="_Toc436834789"/>
      <w:r>
        <w:rPr>
          <w:rFonts w:hint="eastAsia" w:ascii="宋体" w:hAnsi="宋体"/>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highlight w:val="none"/>
        </w:rPr>
      </w:pPr>
      <w:bookmarkStart w:id="1004" w:name="_Toc19275"/>
      <w:bookmarkStart w:id="1005" w:name="_Toc28901"/>
      <w:bookmarkStart w:id="1006" w:name="_Toc23502"/>
      <w:bookmarkStart w:id="1007" w:name="_Toc5262"/>
      <w:bookmarkStart w:id="1008" w:name="_Toc28257"/>
      <w:bookmarkStart w:id="1009" w:name="_Toc18452"/>
      <w:bookmarkStart w:id="1010" w:name="_Toc494371581"/>
      <w:r>
        <w:rPr>
          <w:rFonts w:ascii="宋体" w:hAnsi="宋体" w:eastAsia="宋体"/>
          <w:highlight w:val="none"/>
        </w:rPr>
        <w:t xml:space="preserve">4. </w:t>
      </w:r>
      <w:r>
        <w:rPr>
          <w:rFonts w:hint="eastAsia" w:ascii="宋体" w:hAnsi="宋体" w:eastAsia="宋体"/>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r>
        <w:rPr>
          <w:rFonts w:hint="eastAsia" w:ascii="宋体" w:hAnsi="宋体"/>
          <w:b/>
          <w:sz w:val="28"/>
          <w:szCs w:val="28"/>
          <w:highlight w:val="none"/>
        </w:rPr>
        <w:t>附表</w:t>
      </w:r>
      <w:r>
        <w:rPr>
          <w:rFonts w:ascii="宋体" w:hAnsi="宋体"/>
          <w:b/>
          <w:sz w:val="28"/>
          <w:szCs w:val="28"/>
          <w:highlight w:val="none"/>
        </w:rPr>
        <w:t xml:space="preserve">1： </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cs="宋体"/>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none"/>
              </w:rPr>
            </w:pPr>
            <w:r>
              <w:rPr>
                <w:rFonts w:hint="eastAsia" w:ascii="宋体" w:hAnsi="宋体" w:cs="宋体"/>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none"/>
              </w:rPr>
            </w:pPr>
            <w:r>
              <w:rPr>
                <w:rFonts w:hint="eastAsia" w:ascii="宋体" w:hAnsi="宋体" w:cs="宋体"/>
                <w:kern w:val="0"/>
                <w:szCs w:val="21"/>
                <w:highlight w:val="none"/>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yellow"/>
                <w:lang w:val="en-US" w:eastAsia="zh-CN"/>
              </w:rPr>
            </w:pPr>
            <w:r>
              <w:rPr>
                <w:rFonts w:hint="eastAsia" w:ascii="宋体" w:hAnsi="宋体"/>
                <w:highlight w:val="yellow"/>
                <w:lang w:val="en-US" w:eastAsia="zh-CN"/>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highlight w:val="yellow"/>
              </w:rPr>
            </w:pPr>
            <w:r>
              <w:rPr>
                <w:rFonts w:hint="eastAsia" w:ascii="宋体" w:hAnsi="宋体" w:cs="宋体"/>
                <w:kern w:val="0"/>
                <w:szCs w:val="21"/>
                <w:highlight w:val="yellow"/>
              </w:rPr>
              <w:t>专职安全员安全生产考核合格证（C类）或广东省建筑施工企业管理人员安全生产考核信息系统安全生产管理人员证书信息的打印页,项目负责人和安全员不为同一人。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eastAsia="zh-CN"/>
              </w:rPr>
            </w:pPr>
            <w:r>
              <w:rPr>
                <w:rFonts w:hint="eastAsia" w:ascii="宋体" w:hAnsi="宋体"/>
                <w:highlight w:val="none"/>
                <w:lang w:val="en-US" w:eastAsia="zh-CN"/>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highlight w:val="none"/>
              </w:rPr>
            </w:pPr>
            <w:r>
              <w:rPr>
                <w:rFonts w:hint="eastAsia" w:ascii="宋体" w:hAnsi="宋体" w:cs="宋体"/>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rPr>
            </w:pPr>
            <w:r>
              <w:rPr>
                <w:rFonts w:hint="eastAsia" w:ascii="宋体" w:hAnsi="宋体"/>
                <w:highlight w:val="none"/>
                <w:lang w:val="en-US" w:eastAsia="zh-CN"/>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ind w:right="102"/>
        <w:jc w:val="left"/>
        <w:rPr>
          <w:rFonts w:ascii="宋体" w:hAnsi="宋体"/>
          <w:highlight w:val="none"/>
        </w:rPr>
      </w:pPr>
      <w:r>
        <w:rPr>
          <w:rFonts w:hint="eastAsia" w:ascii="宋体" w:hAnsi="宋体"/>
          <w:highlight w:val="none"/>
        </w:rPr>
        <w:t>评委签名：</w:t>
      </w:r>
      <w:r>
        <w:rPr>
          <w:rFonts w:ascii="宋体" w:hAnsi="宋体"/>
          <w:szCs w:val="21"/>
          <w:highlight w:val="none"/>
        </w:rPr>
        <w:t xml:space="preserve">                     日期：</w:t>
      </w:r>
    </w:p>
    <w:p>
      <w:pPr>
        <w:spacing w:line="400" w:lineRule="exact"/>
        <w:rPr>
          <w:rFonts w:ascii="宋体" w:hAnsi="宋体"/>
          <w:b/>
          <w:sz w:val="28"/>
          <w:szCs w:val="28"/>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附表2</w:t>
      </w:r>
      <w:r>
        <w:rPr>
          <w:rFonts w:ascii="宋体" w:hAnsi="宋体"/>
          <w:b/>
          <w:sz w:val="28"/>
          <w:szCs w:val="28"/>
          <w:highlight w:val="none"/>
        </w:rPr>
        <w:t xml:space="preserve">： </w:t>
      </w:r>
    </w:p>
    <w:p>
      <w:pPr>
        <w:widowControl/>
        <w:jc w:val="left"/>
        <w:rPr>
          <w:rFonts w:ascii="宋体" w:hAnsi="宋体"/>
          <w:highlight w:val="none"/>
        </w:rPr>
      </w:pP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w:t>
      </w:r>
      <w:r>
        <w:rPr>
          <w:rFonts w:hint="eastAsia" w:ascii="黑体" w:hAnsi="黑体" w:eastAsia="黑体" w:cs="黑体"/>
          <w:b/>
          <w:sz w:val="32"/>
          <w:szCs w:val="32"/>
          <w:highlight w:val="none"/>
          <w:lang w:eastAsia="zh-CN"/>
        </w:rPr>
        <w:t>施工</w:t>
      </w:r>
      <w:r>
        <w:rPr>
          <w:rFonts w:hint="eastAsia" w:ascii="黑体" w:hAnsi="黑体" w:eastAsia="黑体" w:cs="黑体"/>
          <w:b/>
          <w:sz w:val="32"/>
          <w:szCs w:val="32"/>
          <w:highlight w:val="none"/>
        </w:rPr>
        <w:t>总承包实施方案（含资信部分）文件有效性审查表</w:t>
      </w:r>
    </w:p>
    <w:p>
      <w:pPr>
        <w:tabs>
          <w:tab w:val="left" w:pos="720"/>
        </w:tabs>
        <w:snapToGrid w:val="0"/>
        <w:spacing w:line="360" w:lineRule="auto"/>
        <w:rPr>
          <w:rFonts w:ascii="宋体" w:hAnsi="宋体"/>
          <w:bCs/>
          <w:szCs w:val="21"/>
          <w:highlight w:val="none"/>
        </w:rPr>
      </w:pPr>
      <w:r>
        <w:rPr>
          <w:rFonts w:hint="eastAsia" w:ascii="宋体" w:hAnsi="宋体"/>
          <w:bCs/>
          <w:szCs w:val="21"/>
          <w:highlight w:val="none"/>
        </w:rPr>
        <w:t>工程名称：</w:t>
      </w:r>
    </w:p>
    <w:tbl>
      <w:tblPr>
        <w:tblStyle w:val="38"/>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highlight w:val="none"/>
              </w:rPr>
            </w:pPr>
            <w:r>
              <w:rPr>
                <w:rFonts w:hint="eastAsia" w:ascii="宋体" w:hAnsi="宋体"/>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szCs w:val="21"/>
                <w:highlight w:val="none"/>
              </w:rPr>
            </w:pPr>
            <w:r>
              <w:rPr>
                <w:rFonts w:hint="eastAsia" w:ascii="宋体" w:hAnsi="宋体"/>
                <w:szCs w:val="21"/>
                <w:highlight w:val="none"/>
              </w:rPr>
              <w:t>投标单位</w:t>
            </w:r>
          </w:p>
          <w:p>
            <w:pPr>
              <w:rPr>
                <w:rFonts w:ascii="宋体" w:hAnsi="宋体"/>
                <w:szCs w:val="21"/>
                <w:highlight w:val="none"/>
              </w:rPr>
            </w:pPr>
            <w:r>
              <w:rPr>
                <w:rFonts w:hint="eastAsia" w:ascii="宋体" w:hAnsi="宋体"/>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highlight w:val="none"/>
              </w:rPr>
            </w:pPr>
            <w:r>
              <w:rPr>
                <w:rFonts w:hint="eastAsia"/>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5733"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bCs/>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highlight w:val="none"/>
              </w:rPr>
            </w:pPr>
            <w:r>
              <w:rPr>
                <w:rFonts w:hint="eastAsia" w:ascii="宋体" w:hAnsi="宋体"/>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shd w:val="pct10" w:color="auto" w:fill="FFFFFF"/>
              </w:rPr>
            </w:pPr>
          </w:p>
        </w:tc>
      </w:tr>
    </w:tbl>
    <w:p>
      <w:pPr>
        <w:tabs>
          <w:tab w:val="left" w:pos="720"/>
        </w:tabs>
        <w:snapToGrid w:val="0"/>
        <w:rPr>
          <w:rFonts w:ascii="宋体" w:hAnsi="宋体" w:cs="宋体"/>
          <w:bCs/>
          <w:szCs w:val="21"/>
          <w:highlight w:val="none"/>
        </w:rPr>
      </w:pPr>
      <w:r>
        <w:rPr>
          <w:rFonts w:hint="eastAsia" w:ascii="宋体" w:hAnsi="宋体"/>
          <w:szCs w:val="21"/>
          <w:highlight w:val="none"/>
        </w:rPr>
        <w:t>注：</w:t>
      </w:r>
      <w:r>
        <w:rPr>
          <w:rFonts w:hint="eastAsia" w:ascii="宋体" w:hAnsi="宋体" w:cs="宋体"/>
          <w:bCs/>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szCs w:val="21"/>
          <w:highlight w:val="none"/>
        </w:rPr>
      </w:pPr>
      <w:r>
        <w:rPr>
          <w:rFonts w:hint="eastAsia" w:ascii="宋体" w:hAnsi="宋体" w:cs="宋体"/>
          <w:bCs/>
          <w:szCs w:val="21"/>
          <w:highlight w:val="none"/>
        </w:rPr>
        <w:t>3、表中全部评审结果为“○”，即该投标人的评审结论为“通过”。</w:t>
      </w:r>
    </w:p>
    <w:p>
      <w:pPr>
        <w:ind w:firstLine="420" w:firstLineChars="200"/>
        <w:rPr>
          <w:highlight w:val="none"/>
        </w:rPr>
      </w:pPr>
      <w:r>
        <w:rPr>
          <w:rFonts w:hint="eastAsia" w:ascii="宋体" w:hAnsi="宋体" w:cs="宋体"/>
          <w:bCs/>
          <w:szCs w:val="21"/>
          <w:highlight w:val="none"/>
        </w:rPr>
        <w:t>4、若评委意见不一致时，则按少数服从多数的原则，决定该投标人是否通过符合性审查，进入下一阶段评审。</w:t>
      </w:r>
    </w:p>
    <w:p>
      <w:pPr>
        <w:pStyle w:val="20"/>
        <w:rPr>
          <w:rFonts w:hAnsi="宋体"/>
          <w:szCs w:val="21"/>
          <w:highlight w:val="none"/>
        </w:rPr>
      </w:pPr>
    </w:p>
    <w:p>
      <w:pPr>
        <w:pStyle w:val="20"/>
        <w:rPr>
          <w:rFonts w:hint="eastAsia" w:hAnsi="宋体"/>
          <w:sz w:val="21"/>
          <w:szCs w:val="21"/>
          <w:highlight w:val="none"/>
        </w:rPr>
      </w:pPr>
      <w:r>
        <w:rPr>
          <w:rFonts w:hint="eastAsia" w:hAnsi="宋体"/>
          <w:sz w:val="21"/>
          <w:szCs w:val="21"/>
          <w:highlight w:val="none"/>
        </w:rPr>
        <w:t>评委签名：</w:t>
      </w:r>
    </w:p>
    <w:p>
      <w:pPr>
        <w:pStyle w:val="20"/>
        <w:rPr>
          <w:rFonts w:hAnsi="宋体"/>
          <w:b/>
          <w:sz w:val="21"/>
          <w:szCs w:val="21"/>
          <w:highlight w:val="none"/>
        </w:rPr>
      </w:pPr>
      <w:r>
        <w:rPr>
          <w:rFonts w:hint="eastAsia" w:hAnsi="宋体"/>
          <w:sz w:val="21"/>
          <w:szCs w:val="21"/>
          <w:highlight w:val="none"/>
        </w:rPr>
        <w:t>日期：</w:t>
      </w:r>
    </w:p>
    <w:p>
      <w:pPr>
        <w:spacing w:line="400" w:lineRule="exact"/>
        <w:rPr>
          <w:rFonts w:ascii="宋体" w:hAnsi="宋体"/>
          <w:b/>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附表3</w:t>
      </w:r>
      <w:r>
        <w:rPr>
          <w:rFonts w:ascii="宋体" w:hAnsi="宋体"/>
          <w:b/>
          <w:sz w:val="28"/>
          <w:szCs w:val="28"/>
          <w:highlight w:val="none"/>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工程施工总承包实施方案（含资信部分）文件评分表</w:t>
      </w:r>
    </w:p>
    <w:p>
      <w:pPr>
        <w:snapToGrid w:val="0"/>
        <w:jc w:val="center"/>
        <w:rPr>
          <w:rFonts w:ascii="宋体" w:hAnsi="宋体"/>
          <w:b/>
          <w:sz w:val="24"/>
        </w:rPr>
      </w:pPr>
      <w:r>
        <w:rPr>
          <w:rFonts w:hint="eastAsia" w:ascii="宋体" w:hAnsi="宋体"/>
          <w:b/>
          <w:sz w:val="24"/>
        </w:rPr>
        <w:t>资信评分表</w:t>
      </w:r>
    </w:p>
    <w:tbl>
      <w:tblPr>
        <w:tblStyle w:val="38"/>
        <w:tblpPr w:leftFromText="180" w:rightFromText="180" w:vertAnchor="text" w:horzAnchor="page" w:tblpX="1331" w:tblpY="467"/>
        <w:tblOverlap w:val="never"/>
        <w:tblW w:w="94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690"/>
        <w:gridCol w:w="867"/>
        <w:gridCol w:w="6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811" w:type="dxa"/>
            <w:vAlign w:val="center"/>
          </w:tcPr>
          <w:p>
            <w:pPr>
              <w:spacing w:line="276" w:lineRule="auto"/>
              <w:jc w:val="center"/>
              <w:rPr>
                <w:rFonts w:ascii="宋体" w:hAnsi="宋体"/>
                <w:b/>
                <w:bCs/>
                <w:sz w:val="21"/>
                <w:szCs w:val="21"/>
                <w:highlight w:val="none"/>
              </w:rPr>
            </w:pPr>
            <w:r>
              <w:rPr>
                <w:rFonts w:hint="eastAsia" w:ascii="宋体" w:hAnsi="宋体"/>
                <w:b/>
                <w:bCs/>
                <w:sz w:val="21"/>
                <w:szCs w:val="21"/>
                <w:highlight w:val="none"/>
              </w:rPr>
              <w:t>序号</w:t>
            </w:r>
          </w:p>
        </w:tc>
        <w:tc>
          <w:tcPr>
            <w:tcW w:w="1690" w:type="dxa"/>
            <w:vAlign w:val="center"/>
          </w:tcPr>
          <w:p>
            <w:pPr>
              <w:spacing w:line="276" w:lineRule="auto"/>
              <w:jc w:val="center"/>
              <w:rPr>
                <w:rFonts w:ascii="宋体" w:hAnsi="宋体"/>
                <w:b/>
                <w:bCs/>
                <w:sz w:val="21"/>
                <w:szCs w:val="21"/>
                <w:highlight w:val="none"/>
              </w:rPr>
            </w:pPr>
            <w:r>
              <w:rPr>
                <w:rFonts w:hint="eastAsia" w:ascii="宋体" w:hAnsi="宋体"/>
                <w:b/>
                <w:bCs/>
                <w:sz w:val="21"/>
                <w:szCs w:val="21"/>
                <w:highlight w:val="none"/>
              </w:rPr>
              <w:t>评估项目</w:t>
            </w:r>
          </w:p>
        </w:tc>
        <w:tc>
          <w:tcPr>
            <w:tcW w:w="867" w:type="dxa"/>
            <w:vAlign w:val="center"/>
          </w:tcPr>
          <w:p>
            <w:pPr>
              <w:spacing w:line="276" w:lineRule="auto"/>
              <w:jc w:val="center"/>
              <w:rPr>
                <w:rFonts w:ascii="宋体" w:hAnsi="宋体"/>
                <w:b/>
                <w:bCs/>
                <w:sz w:val="21"/>
                <w:szCs w:val="21"/>
                <w:highlight w:val="none"/>
              </w:rPr>
            </w:pPr>
            <w:r>
              <w:rPr>
                <w:rFonts w:hint="eastAsia" w:ascii="宋体" w:hAnsi="宋体"/>
                <w:b/>
                <w:bCs/>
                <w:sz w:val="21"/>
                <w:szCs w:val="21"/>
                <w:highlight w:val="none"/>
              </w:rPr>
              <w:t>分值</w:t>
            </w:r>
          </w:p>
        </w:tc>
        <w:tc>
          <w:tcPr>
            <w:tcW w:w="6048" w:type="dxa"/>
            <w:vAlign w:val="center"/>
          </w:tcPr>
          <w:p>
            <w:pPr>
              <w:spacing w:line="276" w:lineRule="auto"/>
              <w:jc w:val="center"/>
              <w:rPr>
                <w:rFonts w:ascii="宋体" w:hAnsi="宋体"/>
                <w:b/>
                <w:bCs/>
                <w:sz w:val="21"/>
                <w:szCs w:val="21"/>
                <w:highlight w:val="none"/>
              </w:rPr>
            </w:pPr>
            <w:r>
              <w:rPr>
                <w:rFonts w:hint="eastAsia" w:ascii="宋体" w:hAnsi="宋体"/>
                <w:b/>
                <w:bCs/>
                <w:sz w:val="21"/>
                <w:szCs w:val="21"/>
                <w:highlight w:val="none"/>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ascii="宋体" w:hAnsi="宋体"/>
                <w:bCs/>
                <w:sz w:val="21"/>
                <w:szCs w:val="21"/>
                <w:highlight w:val="none"/>
              </w:rPr>
            </w:pPr>
            <w:r>
              <w:rPr>
                <w:rFonts w:hint="eastAsia" w:ascii="宋体" w:hAnsi="宋体"/>
                <w:bCs/>
                <w:sz w:val="21"/>
                <w:szCs w:val="21"/>
                <w:highlight w:val="none"/>
              </w:rPr>
              <w:t>1</w:t>
            </w:r>
          </w:p>
        </w:tc>
        <w:tc>
          <w:tcPr>
            <w:tcW w:w="1690" w:type="dxa"/>
            <w:vAlign w:val="center"/>
          </w:tcPr>
          <w:p>
            <w:pPr>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需求响应程度</w:t>
            </w:r>
          </w:p>
        </w:tc>
        <w:tc>
          <w:tcPr>
            <w:tcW w:w="867" w:type="dxa"/>
            <w:vAlign w:val="center"/>
          </w:tcPr>
          <w:p>
            <w:pPr>
              <w:spacing w:line="276" w:lineRule="auto"/>
              <w:jc w:val="center"/>
              <w:rPr>
                <w:rFonts w:ascii="宋体" w:hAnsi="宋体" w:cs="宋体"/>
                <w:sz w:val="21"/>
                <w:szCs w:val="21"/>
                <w:highlight w:val="none"/>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分</w:t>
            </w:r>
          </w:p>
        </w:tc>
        <w:tc>
          <w:tcPr>
            <w:tcW w:w="6048" w:type="dxa"/>
            <w:vAlign w:val="center"/>
          </w:tcPr>
          <w:p>
            <w:pPr>
              <w:snapToGrid w:val="0"/>
              <w:rPr>
                <w:rFonts w:ascii="宋体" w:hAnsi="宋体" w:cs="宋体"/>
                <w:sz w:val="21"/>
                <w:szCs w:val="21"/>
                <w:highlight w:val="none"/>
              </w:rPr>
            </w:pPr>
            <w:r>
              <w:rPr>
                <w:rFonts w:hint="eastAsia" w:ascii="宋体" w:hAnsi="宋体" w:cs="宋体"/>
                <w:sz w:val="21"/>
                <w:szCs w:val="21"/>
                <w:highlight w:val="none"/>
              </w:rPr>
              <w:t>1.完全响应招标文件要求，</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pPr>
              <w:snapToGrid w:val="0"/>
              <w:rPr>
                <w:rFonts w:ascii="宋体" w:hAnsi="宋体" w:cs="宋体"/>
                <w:sz w:val="21"/>
                <w:szCs w:val="21"/>
                <w:highlight w:val="none"/>
              </w:rPr>
            </w:pPr>
            <w:r>
              <w:rPr>
                <w:rFonts w:hint="eastAsia" w:ascii="宋体" w:hAnsi="宋体" w:cs="宋体"/>
                <w:sz w:val="21"/>
                <w:szCs w:val="21"/>
                <w:highlight w:val="none"/>
              </w:rPr>
              <w:t>2.基本响应招标文件要求，1分；</w:t>
            </w:r>
          </w:p>
          <w:p>
            <w:pPr>
              <w:snapToGrid w:val="0"/>
              <w:rPr>
                <w:rFonts w:ascii="宋体" w:hAnsi="宋体" w:cs="宋体"/>
                <w:sz w:val="21"/>
                <w:szCs w:val="21"/>
                <w:highlight w:val="none"/>
              </w:rPr>
            </w:pPr>
            <w:r>
              <w:rPr>
                <w:rFonts w:hint="eastAsia" w:ascii="宋体" w:hAnsi="宋体" w:cs="宋体"/>
                <w:sz w:val="21"/>
                <w:szCs w:val="21"/>
                <w:highlight w:val="none"/>
              </w:rPr>
              <w:t>3.个别条款不响应招标文件要求：0分。</w:t>
            </w:r>
          </w:p>
          <w:p>
            <w:pPr>
              <w:snapToGrid w:val="0"/>
              <w:rPr>
                <w:rFonts w:ascii="宋体" w:hAnsi="宋体" w:cs="宋体"/>
                <w:kern w:val="0"/>
                <w:sz w:val="21"/>
                <w:szCs w:val="21"/>
                <w:highlight w:val="none"/>
              </w:rPr>
            </w:pPr>
            <w:r>
              <w:rPr>
                <w:rFonts w:hint="eastAsia" w:ascii="宋体" w:hAnsi="宋体" w:cs="宋体"/>
                <w:sz w:val="21"/>
                <w:szCs w:val="21"/>
                <w:highlight w:val="none"/>
              </w:rPr>
              <w:t>无提供不得</w:t>
            </w:r>
            <w:r>
              <w:rPr>
                <w:rFonts w:hint="eastAsia" w:ascii="宋体" w:hAnsi="宋体" w:cs="宋体"/>
                <w:color w:val="000000"/>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2</w:t>
            </w:r>
          </w:p>
        </w:tc>
        <w:tc>
          <w:tcPr>
            <w:tcW w:w="1690" w:type="dxa"/>
            <w:vAlign w:val="center"/>
          </w:tcPr>
          <w:p>
            <w:pPr>
              <w:spacing w:line="276" w:lineRule="auto"/>
              <w:jc w:val="center"/>
              <w:rPr>
                <w:rFonts w:ascii="宋体" w:hAnsi="宋体" w:cs="宋体"/>
                <w:sz w:val="21"/>
                <w:szCs w:val="21"/>
                <w:highlight w:val="none"/>
              </w:rPr>
            </w:pPr>
            <w:r>
              <w:rPr>
                <w:sz w:val="21"/>
                <w:szCs w:val="21"/>
                <w:highlight w:val="none"/>
              </w:rPr>
              <w:t>非重大违法违规记录的扣分</w:t>
            </w:r>
          </w:p>
        </w:tc>
        <w:tc>
          <w:tcPr>
            <w:tcW w:w="867" w:type="dxa"/>
            <w:vAlign w:val="center"/>
          </w:tcPr>
          <w:p>
            <w:pPr>
              <w:widowControl/>
              <w:spacing w:line="276" w:lineRule="auto"/>
              <w:jc w:val="center"/>
              <w:rPr>
                <w:rFonts w:ascii="宋体" w:hAnsi="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6048" w:type="dxa"/>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以“信用中国”( www.creditchina. gov.cn）网站为查询渠道:</w:t>
            </w:r>
          </w:p>
          <w:p>
            <w:pPr>
              <w:numPr>
                <w:ilvl w:val="0"/>
                <w:numId w:val="1"/>
              </w:numPr>
              <w:snapToGrid w:val="0"/>
              <w:rPr>
                <w:rFonts w:hint="eastAsia" w:ascii="宋体" w:hAnsi="宋体" w:cs="宋体"/>
                <w:sz w:val="21"/>
                <w:szCs w:val="21"/>
                <w:highlight w:val="none"/>
              </w:rPr>
            </w:pPr>
            <w:r>
              <w:rPr>
                <w:rFonts w:hint="eastAsia" w:ascii="宋体" w:hAnsi="宋体" w:cs="宋体"/>
                <w:sz w:val="21"/>
                <w:szCs w:val="21"/>
                <w:highlight w:val="none"/>
              </w:rPr>
              <w:t>对列入行政处罚的供应商每一条记录扣</w:t>
            </w:r>
            <w:r>
              <w:rPr>
                <w:rFonts w:hint="eastAsia" w:ascii="宋体" w:hAnsi="宋体" w:cs="宋体"/>
                <w:sz w:val="21"/>
                <w:szCs w:val="21"/>
                <w:highlight w:val="none"/>
                <w:lang w:val="en-US" w:eastAsia="zh-CN"/>
              </w:rPr>
              <w:t>2</w:t>
            </w:r>
            <w:r>
              <w:rPr>
                <w:rFonts w:hint="eastAsia" w:ascii="宋体" w:hAnsi="宋体" w:cs="宋体"/>
                <w:sz w:val="21"/>
                <w:szCs w:val="21"/>
                <w:highlight w:val="none"/>
              </w:rPr>
              <w:t xml:space="preserve">分； </w:t>
            </w:r>
          </w:p>
          <w:p>
            <w:pPr>
              <w:numPr>
                <w:ilvl w:val="0"/>
                <w:numId w:val="1"/>
              </w:numPr>
              <w:snapToGrid w:val="0"/>
              <w:rPr>
                <w:rFonts w:ascii="宋体" w:hAnsi="宋体" w:cs="宋体"/>
                <w:sz w:val="21"/>
                <w:szCs w:val="21"/>
                <w:highlight w:val="none"/>
              </w:rPr>
            </w:pPr>
            <w:r>
              <w:rPr>
                <w:rFonts w:hint="eastAsia" w:ascii="宋体" w:hAnsi="宋体" w:cs="宋体"/>
                <w:sz w:val="21"/>
                <w:szCs w:val="21"/>
                <w:highlight w:val="none"/>
              </w:rPr>
              <w:t xml:space="preserve">对列入失信惩戒的供应商每一条记录扣2分。 </w:t>
            </w:r>
          </w:p>
          <w:p>
            <w:pPr>
              <w:numPr>
                <w:ilvl w:val="0"/>
                <w:numId w:val="0"/>
              </w:numPr>
              <w:snapToGrid w:val="0"/>
              <w:rPr>
                <w:rFonts w:ascii="宋体" w:hAnsi="宋体" w:cs="宋体"/>
                <w:sz w:val="21"/>
                <w:szCs w:val="21"/>
                <w:highlight w:val="none"/>
              </w:rPr>
            </w:pPr>
            <w:r>
              <w:rPr>
                <w:rFonts w:hint="eastAsia" w:ascii="宋体" w:hAnsi="宋体" w:cs="宋体"/>
                <w:sz w:val="21"/>
                <w:szCs w:val="21"/>
                <w:highlight w:val="none"/>
                <w:lang w:val="en-US" w:eastAsia="zh-CN"/>
              </w:rPr>
              <w:t>注：</w:t>
            </w:r>
            <w:r>
              <w:rPr>
                <w:rFonts w:hint="eastAsia" w:ascii="宋体" w:hAnsi="宋体" w:cs="宋体"/>
                <w:sz w:val="21"/>
                <w:szCs w:val="21"/>
                <w:highlight w:val="none"/>
              </w:rPr>
              <w:t>以上合计最高扣</w:t>
            </w:r>
            <w:r>
              <w:rPr>
                <w:rFonts w:hint="eastAsia" w:ascii="宋体" w:hAnsi="宋体" w:cs="宋体"/>
                <w:sz w:val="21"/>
                <w:szCs w:val="21"/>
                <w:highlight w:val="none"/>
                <w:lang w:val="en-US" w:eastAsia="zh-CN"/>
              </w:rPr>
              <w:t>4</w:t>
            </w:r>
            <w:r>
              <w:rPr>
                <w:rFonts w:hint="eastAsia" w:ascii="宋体" w:hAnsi="宋体" w:cs="宋体"/>
                <w:sz w:val="21"/>
                <w:szCs w:val="21"/>
                <w:highlight w:val="none"/>
              </w:rPr>
              <w:t>分。如查询结果显示没有相关记录，视为没有上述非重大违法违规记录，则不扣分。以磋商小组于评审时在上述网站查询结果为准，评审小组应将上述记录查询情况截图存档。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3</w:t>
            </w:r>
          </w:p>
        </w:tc>
        <w:tc>
          <w:tcPr>
            <w:tcW w:w="1690" w:type="dxa"/>
            <w:vAlign w:val="center"/>
          </w:tcPr>
          <w:p>
            <w:pPr>
              <w:spacing w:line="276" w:lineRule="auto"/>
              <w:jc w:val="center"/>
              <w:rPr>
                <w:rFonts w:ascii="宋体" w:hAnsi="宋体" w:cs="宋体"/>
                <w:sz w:val="21"/>
                <w:szCs w:val="21"/>
                <w:highlight w:val="none"/>
              </w:rPr>
            </w:pPr>
            <w:r>
              <w:rPr>
                <w:rFonts w:hint="eastAsia" w:ascii="宋体" w:hAnsi="宋体"/>
                <w:sz w:val="21"/>
                <w:szCs w:val="21"/>
                <w:highlight w:val="none"/>
              </w:rPr>
              <w:t>同类项目业绩情况</w:t>
            </w:r>
          </w:p>
        </w:tc>
        <w:tc>
          <w:tcPr>
            <w:tcW w:w="867" w:type="dxa"/>
            <w:vAlign w:val="center"/>
          </w:tcPr>
          <w:p>
            <w:pPr>
              <w:widowControl/>
              <w:spacing w:line="276" w:lineRule="auto"/>
              <w:jc w:val="center"/>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cs="宋体"/>
                <w:sz w:val="21"/>
                <w:szCs w:val="21"/>
                <w:highlight w:val="none"/>
              </w:rPr>
              <w:t>分</w:t>
            </w:r>
          </w:p>
        </w:tc>
        <w:tc>
          <w:tcPr>
            <w:tcW w:w="6048" w:type="dxa"/>
            <w:vAlign w:val="center"/>
          </w:tcPr>
          <w:p>
            <w:pPr>
              <w:snapToGrid w:val="0"/>
              <w:rPr>
                <w:rFonts w:ascii="宋体" w:hAnsi="宋体" w:cs="宋体"/>
                <w:sz w:val="21"/>
                <w:szCs w:val="21"/>
                <w:highlight w:val="none"/>
              </w:rPr>
            </w:pPr>
            <w:r>
              <w:rPr>
                <w:rFonts w:hint="eastAsia" w:ascii="宋体" w:hAnsi="宋体" w:cs="宋体"/>
                <w:sz w:val="21"/>
                <w:szCs w:val="21"/>
                <w:highlight w:val="none"/>
              </w:rPr>
              <w:t>投标人2019年1月1日至今（以合同签订时间为准）具有的同类公园改造或公园修缮项目业绩，每项得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分，最高</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pPr>
              <w:snapToGrid w:val="0"/>
              <w:rPr>
                <w:rFonts w:ascii="宋体" w:hAnsi="宋体"/>
                <w:sz w:val="21"/>
                <w:szCs w:val="21"/>
                <w:highlight w:val="none"/>
              </w:rPr>
            </w:pPr>
            <w:r>
              <w:rPr>
                <w:rFonts w:hint="eastAsia" w:ascii="宋体" w:hAnsi="宋体" w:cs="宋体"/>
                <w:sz w:val="21"/>
                <w:szCs w:val="21"/>
                <w:highlight w:val="none"/>
              </w:rPr>
              <w:t>注：需同时提供合同复印件，不提供、提供不全的不得分。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4</w:t>
            </w:r>
          </w:p>
        </w:tc>
        <w:tc>
          <w:tcPr>
            <w:tcW w:w="1690" w:type="dxa"/>
            <w:vAlign w:val="center"/>
          </w:tcPr>
          <w:p>
            <w:pPr>
              <w:spacing w:line="276" w:lineRule="auto"/>
              <w:jc w:val="center"/>
              <w:rPr>
                <w:rFonts w:ascii="宋体" w:hAnsi="宋体"/>
                <w:bCs/>
                <w:sz w:val="21"/>
                <w:szCs w:val="21"/>
                <w:highlight w:val="none"/>
              </w:rPr>
            </w:pPr>
            <w:r>
              <w:rPr>
                <w:sz w:val="21"/>
                <w:szCs w:val="21"/>
                <w:highlight w:val="none"/>
              </w:rPr>
              <w:t>法律顾问情况</w:t>
            </w:r>
          </w:p>
        </w:tc>
        <w:tc>
          <w:tcPr>
            <w:tcW w:w="867" w:type="dxa"/>
            <w:vAlign w:val="center"/>
          </w:tcPr>
          <w:p>
            <w:pPr>
              <w:spacing w:line="276" w:lineRule="auto"/>
              <w:jc w:val="center"/>
              <w:rPr>
                <w:rFonts w:ascii="宋体" w:hAnsi="宋体"/>
                <w:bCs/>
                <w:sz w:val="21"/>
                <w:szCs w:val="21"/>
                <w:highlight w:val="none"/>
              </w:rPr>
            </w:pPr>
            <w:r>
              <w:rPr>
                <w:rFonts w:hint="eastAsia" w:ascii="宋体" w:hAnsi="宋体"/>
                <w:bCs/>
                <w:sz w:val="21"/>
                <w:szCs w:val="21"/>
                <w:highlight w:val="none"/>
                <w:lang w:val="en-US" w:eastAsia="zh-CN"/>
              </w:rPr>
              <w:t>2</w:t>
            </w:r>
            <w:r>
              <w:rPr>
                <w:rFonts w:hint="eastAsia" w:ascii="宋体" w:hAnsi="宋体"/>
                <w:bCs/>
                <w:sz w:val="21"/>
                <w:szCs w:val="21"/>
                <w:highlight w:val="none"/>
              </w:rPr>
              <w:t>分</w:t>
            </w:r>
          </w:p>
        </w:tc>
        <w:tc>
          <w:tcPr>
            <w:tcW w:w="6048" w:type="dxa"/>
          </w:tcPr>
          <w:p>
            <w:pPr>
              <w:snapToGrid w:val="0"/>
              <w:rPr>
                <w:rFonts w:hint="eastAsia" w:ascii="宋体" w:hAnsi="宋体" w:cs="宋体"/>
                <w:sz w:val="21"/>
                <w:szCs w:val="21"/>
                <w:highlight w:val="none"/>
              </w:rPr>
            </w:pPr>
            <w:r>
              <w:rPr>
                <w:rFonts w:hint="eastAsia" w:ascii="宋体" w:hAnsi="宋体" w:cs="宋体"/>
                <w:sz w:val="21"/>
                <w:szCs w:val="21"/>
                <w:highlight w:val="none"/>
              </w:rPr>
              <w:t>投标人承诺委派具有律师执业资格证的人员作为本项目法律顾问团队负责人得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分；注：提供承诺函作为评审依据。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5</w:t>
            </w:r>
          </w:p>
        </w:tc>
        <w:tc>
          <w:tcPr>
            <w:tcW w:w="1690" w:type="dxa"/>
            <w:vAlign w:val="center"/>
          </w:tcPr>
          <w:p>
            <w:pPr>
              <w:spacing w:line="320" w:lineRule="exact"/>
              <w:ind w:right="134" w:rightChars="64"/>
              <w:jc w:val="center"/>
              <w:rPr>
                <w:rFonts w:ascii="宋体" w:hAnsi="宋体"/>
                <w:sz w:val="21"/>
                <w:szCs w:val="21"/>
                <w:highlight w:val="none"/>
              </w:rPr>
            </w:pPr>
            <w:r>
              <w:rPr>
                <w:rFonts w:hint="eastAsia" w:ascii="宋体" w:hAnsi="宋体"/>
                <w:sz w:val="21"/>
                <w:szCs w:val="21"/>
                <w:highlight w:val="none"/>
              </w:rPr>
              <w:t>项目负责人综合力</w:t>
            </w:r>
          </w:p>
        </w:tc>
        <w:tc>
          <w:tcPr>
            <w:tcW w:w="867" w:type="dxa"/>
            <w:vAlign w:val="center"/>
          </w:tcPr>
          <w:p>
            <w:pPr>
              <w:widowControl/>
              <w:jc w:val="center"/>
              <w:rPr>
                <w:rFonts w:ascii="宋体" w:hAnsi="宋体"/>
                <w:sz w:val="21"/>
                <w:szCs w:val="21"/>
                <w:highlight w:val="none"/>
              </w:rPr>
            </w:pPr>
            <w:r>
              <w:rPr>
                <w:rFonts w:hint="eastAsia" w:ascii="宋体" w:hAnsi="宋体"/>
                <w:sz w:val="21"/>
                <w:szCs w:val="21"/>
                <w:highlight w:val="none"/>
                <w:lang w:val="en-US" w:eastAsia="zh-CN"/>
              </w:rPr>
              <w:t>8</w:t>
            </w:r>
            <w:r>
              <w:rPr>
                <w:rFonts w:hint="eastAsia" w:ascii="宋体" w:hAnsi="宋体"/>
                <w:sz w:val="21"/>
                <w:szCs w:val="21"/>
                <w:highlight w:val="none"/>
              </w:rPr>
              <w:t>分</w:t>
            </w:r>
          </w:p>
        </w:tc>
        <w:tc>
          <w:tcPr>
            <w:tcW w:w="6048" w:type="dxa"/>
            <w:vAlign w:val="center"/>
          </w:tcPr>
          <w:p>
            <w:pPr>
              <w:numPr>
                <w:ilvl w:val="0"/>
                <w:numId w:val="2"/>
              </w:numPr>
              <w:jc w:val="left"/>
              <w:rPr>
                <w:rFonts w:hint="eastAsia" w:ascii="宋体" w:hAnsi="宋体" w:cs="宋体"/>
                <w:b w:val="0"/>
                <w:bCs w:val="0"/>
                <w:i w:val="0"/>
                <w:iCs w:val="0"/>
                <w:sz w:val="21"/>
                <w:szCs w:val="21"/>
                <w:highlight w:val="none"/>
                <w:lang w:eastAsia="zh-CN"/>
              </w:rPr>
            </w:pPr>
            <w:r>
              <w:rPr>
                <w:rFonts w:hint="eastAsia" w:ascii="宋体" w:hAnsi="宋体" w:cs="宋体"/>
                <w:b w:val="0"/>
                <w:bCs w:val="0"/>
                <w:i w:val="0"/>
                <w:iCs w:val="0"/>
                <w:sz w:val="21"/>
                <w:szCs w:val="21"/>
                <w:highlight w:val="none"/>
              </w:rPr>
              <w:t>具有工程类高级（或以上）职称，得</w:t>
            </w:r>
            <w:r>
              <w:rPr>
                <w:rFonts w:hint="eastAsia" w:ascii="宋体" w:hAnsi="宋体" w:cs="宋体"/>
                <w:b w:val="0"/>
                <w:bCs w:val="0"/>
                <w:i w:val="0"/>
                <w:iCs w:val="0"/>
                <w:sz w:val="21"/>
                <w:szCs w:val="21"/>
                <w:highlight w:val="none"/>
                <w:lang w:val="en-US" w:eastAsia="zh-CN"/>
              </w:rPr>
              <w:t>2</w:t>
            </w:r>
            <w:r>
              <w:rPr>
                <w:rFonts w:hint="eastAsia" w:ascii="宋体" w:hAnsi="宋体" w:cs="宋体"/>
                <w:b w:val="0"/>
                <w:bCs w:val="0"/>
                <w:i w:val="0"/>
                <w:iCs w:val="0"/>
                <w:sz w:val="21"/>
                <w:szCs w:val="21"/>
                <w:highlight w:val="none"/>
              </w:rPr>
              <w:t>分</w:t>
            </w:r>
            <w:r>
              <w:rPr>
                <w:rFonts w:hint="eastAsia" w:ascii="宋体" w:hAnsi="宋体" w:cs="宋体"/>
                <w:b w:val="0"/>
                <w:bCs w:val="0"/>
                <w:i w:val="0"/>
                <w:iCs w:val="0"/>
                <w:sz w:val="21"/>
                <w:szCs w:val="21"/>
                <w:highlight w:val="none"/>
                <w:lang w:eastAsia="zh-CN"/>
              </w:rPr>
              <w:t>；</w:t>
            </w:r>
          </w:p>
          <w:p>
            <w:pPr>
              <w:numPr>
                <w:ilvl w:val="0"/>
                <w:numId w:val="2"/>
              </w:numPr>
              <w:jc w:val="left"/>
              <w:rPr>
                <w:rFonts w:ascii="宋体" w:hAnsi="宋体"/>
                <w:b w:val="0"/>
                <w:bCs w:val="0"/>
                <w:i w:val="0"/>
                <w:iCs w:val="0"/>
                <w:sz w:val="21"/>
                <w:szCs w:val="21"/>
                <w:highlight w:val="none"/>
              </w:rPr>
            </w:pPr>
            <w:r>
              <w:rPr>
                <w:rFonts w:hint="eastAsia" w:ascii="宋体" w:hAnsi="宋体" w:cs="宋体"/>
                <w:sz w:val="21"/>
                <w:szCs w:val="21"/>
                <w:highlight w:val="none"/>
              </w:rPr>
              <w:t>具有15年或以上工作经验的，得3分；</w:t>
            </w:r>
          </w:p>
          <w:p>
            <w:pPr>
              <w:numPr>
                <w:ilvl w:val="0"/>
                <w:numId w:val="2"/>
              </w:numPr>
              <w:jc w:val="left"/>
              <w:rPr>
                <w:rFonts w:ascii="宋体" w:hAnsi="宋体"/>
                <w:b w:val="0"/>
                <w:bCs w:val="0"/>
                <w:i w:val="0"/>
                <w:iCs w:val="0"/>
                <w:sz w:val="21"/>
                <w:szCs w:val="21"/>
                <w:highlight w:val="none"/>
              </w:rPr>
            </w:pPr>
            <w:r>
              <w:rPr>
                <w:rFonts w:hint="eastAsia" w:ascii="宋体" w:hAnsi="宋体" w:cs="宋体"/>
                <w:b w:val="0"/>
                <w:bCs w:val="0"/>
                <w:i w:val="0"/>
                <w:iCs w:val="0"/>
                <w:sz w:val="21"/>
                <w:szCs w:val="21"/>
                <w:highlight w:val="none"/>
              </w:rPr>
              <w:t>具有建筑工程、市政公用工程、机电工程建造师证，每个专业得1分，最高3分。</w:t>
            </w:r>
          </w:p>
          <w:p>
            <w:pPr>
              <w:numPr>
                <w:ilvl w:val="0"/>
                <w:numId w:val="0"/>
              </w:numPr>
              <w:jc w:val="left"/>
              <w:rPr>
                <w:rFonts w:ascii="宋体" w:hAnsi="宋体"/>
                <w:b w:val="0"/>
                <w:bCs w:val="0"/>
                <w:i w:val="0"/>
                <w:iCs w:val="0"/>
                <w:sz w:val="21"/>
                <w:szCs w:val="21"/>
                <w:highlight w:val="none"/>
              </w:rPr>
            </w:pPr>
            <w:r>
              <w:rPr>
                <w:rFonts w:hint="eastAsia" w:ascii="宋体" w:hAnsi="宋体" w:cs="宋体"/>
                <w:b w:val="0"/>
                <w:bCs w:val="0"/>
                <w:i w:val="0"/>
                <w:iCs w:val="0"/>
                <w:color w:val="000000"/>
                <w:sz w:val="21"/>
                <w:szCs w:val="21"/>
                <w:highlight w:val="none"/>
              </w:rPr>
              <w:t>注：</w:t>
            </w:r>
            <w:r>
              <w:rPr>
                <w:rFonts w:hint="eastAsia" w:ascii="宋体" w:hAnsi="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分；须提供职称证复印件或相关岗位证件复印件、毕业证书复印件（工作经验以毕业证的发证日期开始计算到投标截止时间为止）、身份证复印件、</w:t>
            </w:r>
            <w:r>
              <w:rPr>
                <w:rFonts w:hint="eastAsia" w:ascii="宋体" w:hAnsi="宋体" w:cs="宋体"/>
                <w:sz w:val="21"/>
                <w:szCs w:val="21"/>
                <w:highlight w:val="none"/>
                <w:lang w:val="en-US" w:eastAsia="zh-CN"/>
              </w:rPr>
              <w:t>注册证、</w:t>
            </w:r>
            <w:r>
              <w:rPr>
                <w:rFonts w:hint="eastAsia" w:ascii="宋体" w:hAnsi="宋体" w:cs="宋体"/>
                <w:sz w:val="21"/>
                <w:szCs w:val="21"/>
                <w:highlight w:val="none"/>
              </w:rPr>
              <w:t>投标人为其购买的投标前近1个月（不含投标当月）社保证明。（若当地政府部门允许企业在疫情期间缓缴社会保险费且投标人未缴纳的，投标人可提供当地政府部门允许缓缴社保的相关文件作为缴纳社保的证明），不满足上述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6</w:t>
            </w:r>
          </w:p>
        </w:tc>
        <w:tc>
          <w:tcPr>
            <w:tcW w:w="1690" w:type="dxa"/>
            <w:vAlign w:val="center"/>
          </w:tcPr>
          <w:p>
            <w:pPr>
              <w:spacing w:line="320" w:lineRule="exact"/>
              <w:ind w:right="134" w:rightChars="64"/>
              <w:jc w:val="center"/>
              <w:rPr>
                <w:rFonts w:hint="eastAsia" w:ascii="宋体" w:hAnsi="宋体"/>
                <w:sz w:val="21"/>
                <w:szCs w:val="21"/>
                <w:highlight w:val="none"/>
              </w:rPr>
            </w:pPr>
            <w:r>
              <w:rPr>
                <w:sz w:val="21"/>
                <w:szCs w:val="21"/>
                <w:highlight w:val="none"/>
              </w:rPr>
              <w:t>技术负责人</w:t>
            </w:r>
          </w:p>
        </w:tc>
        <w:tc>
          <w:tcPr>
            <w:tcW w:w="867" w:type="dxa"/>
            <w:vAlign w:val="center"/>
          </w:tcPr>
          <w:p>
            <w:pPr>
              <w:widowControl/>
              <w:jc w:val="center"/>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c>
          <w:tcPr>
            <w:tcW w:w="6048" w:type="dxa"/>
            <w:vAlign w:val="center"/>
          </w:tcPr>
          <w:p>
            <w:pPr>
              <w:widowControl/>
              <w:numPr>
                <w:ilvl w:val="0"/>
                <w:numId w:val="3"/>
              </w:numPr>
              <w:rPr>
                <w:rFonts w:hint="eastAsia" w:ascii="宋体" w:hAnsi="宋体" w:cs="宋体"/>
                <w:sz w:val="21"/>
                <w:szCs w:val="21"/>
                <w:highlight w:val="none"/>
              </w:rPr>
            </w:pPr>
            <w:r>
              <w:rPr>
                <w:rFonts w:hint="eastAsia" w:ascii="宋体" w:hAnsi="宋体" w:cs="宋体"/>
                <w:sz w:val="21"/>
                <w:szCs w:val="21"/>
                <w:highlight w:val="none"/>
              </w:rPr>
              <w:t>具有</w:t>
            </w:r>
            <w:r>
              <w:rPr>
                <w:rFonts w:hint="eastAsia" w:ascii="宋体" w:hAnsi="宋体" w:cs="宋体"/>
                <w:sz w:val="21"/>
                <w:szCs w:val="21"/>
                <w:highlight w:val="none"/>
                <w:lang w:val="en-US" w:eastAsia="zh-CN"/>
              </w:rPr>
              <w:t>工程</w:t>
            </w:r>
            <w:r>
              <w:rPr>
                <w:rFonts w:hint="eastAsia" w:ascii="宋体" w:hAnsi="宋体" w:cs="宋体"/>
                <w:sz w:val="21"/>
                <w:szCs w:val="21"/>
                <w:highlight w:val="none"/>
              </w:rPr>
              <w:t>类高级工程师或以上职称的，得2分；</w:t>
            </w:r>
          </w:p>
          <w:p>
            <w:pPr>
              <w:widowControl/>
              <w:numPr>
                <w:ilvl w:val="0"/>
                <w:numId w:val="3"/>
              </w:numPr>
              <w:rPr>
                <w:rFonts w:hint="eastAsia" w:ascii="宋体" w:hAnsi="宋体" w:cs="宋体"/>
                <w:b/>
                <w:bCs/>
                <w:color w:val="000000"/>
                <w:sz w:val="21"/>
                <w:szCs w:val="21"/>
                <w:highlight w:val="none"/>
              </w:rPr>
            </w:pPr>
            <w:r>
              <w:rPr>
                <w:rFonts w:hint="eastAsia" w:ascii="宋体" w:hAnsi="宋体" w:cs="宋体"/>
                <w:sz w:val="21"/>
                <w:szCs w:val="21"/>
                <w:highlight w:val="none"/>
              </w:rPr>
              <w:t xml:space="preserve">具有15年或以上工作经验的，得3分； </w:t>
            </w:r>
          </w:p>
          <w:p>
            <w:pPr>
              <w:widowControl/>
              <w:numPr>
                <w:ilvl w:val="0"/>
                <w:numId w:val="0"/>
              </w:numPr>
              <w:rPr>
                <w:rFonts w:hint="eastAsia" w:ascii="宋体" w:hAnsi="宋体" w:cs="宋体"/>
                <w:b/>
                <w:bCs/>
                <w:color w:val="000000"/>
                <w:sz w:val="21"/>
                <w:szCs w:val="21"/>
                <w:highlight w:val="none"/>
              </w:rPr>
            </w:pPr>
            <w:r>
              <w:rPr>
                <w:rFonts w:hint="eastAsia" w:ascii="宋体" w:hAnsi="宋体" w:cs="宋体"/>
                <w:sz w:val="21"/>
                <w:szCs w:val="21"/>
                <w:highlight w:val="none"/>
              </w:rPr>
              <w:t>注：本项最高得5分；须提供职称证复印件或相关岗位证件复印件、毕业证书复印件（工作经验以毕业证的发证日期开始计算到投标截止时间为止）、身份证复印件、投标人为其购买的投标前近1个月（不含投标当月）社保证明。（若当地政府部门允许企业在疫情期间缓缴社会保险费且投标人未缴纳的，投标人可提供当地政府部门允许缓缴社保的相关文件作为缴纳社保的证明），不满足上述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11" w:type="dxa"/>
            <w:vAlign w:val="center"/>
          </w:tcPr>
          <w:p>
            <w:pPr>
              <w:spacing w:line="276" w:lineRule="auto"/>
              <w:jc w:val="center"/>
              <w:rPr>
                <w:rFonts w:hint="eastAsia" w:ascii="宋体" w:hAnsi="宋体" w:eastAsia="宋体"/>
                <w:bCs/>
                <w:sz w:val="21"/>
                <w:szCs w:val="21"/>
                <w:highlight w:val="none"/>
                <w:lang w:val="en-US" w:eastAsia="zh-CN"/>
              </w:rPr>
            </w:pPr>
            <w:r>
              <w:rPr>
                <w:rFonts w:hint="eastAsia" w:ascii="宋体" w:hAnsi="宋体"/>
                <w:bCs/>
                <w:sz w:val="21"/>
                <w:szCs w:val="21"/>
                <w:highlight w:val="none"/>
                <w:lang w:val="en-US" w:eastAsia="zh-CN"/>
              </w:rPr>
              <w:t>8</w:t>
            </w:r>
          </w:p>
        </w:tc>
        <w:tc>
          <w:tcPr>
            <w:tcW w:w="1690" w:type="dxa"/>
            <w:vAlign w:val="center"/>
          </w:tcPr>
          <w:p>
            <w:pPr>
              <w:spacing w:line="320" w:lineRule="exact"/>
              <w:ind w:right="134" w:rightChars="64"/>
              <w:jc w:val="center"/>
              <w:rPr>
                <w:rFonts w:ascii="宋体" w:hAnsi="宋体"/>
                <w:sz w:val="21"/>
                <w:szCs w:val="21"/>
                <w:highlight w:val="none"/>
              </w:rPr>
            </w:pPr>
            <w:r>
              <w:rPr>
                <w:rFonts w:hint="eastAsia" w:ascii="宋体" w:hAnsi="宋体"/>
                <w:sz w:val="21"/>
                <w:szCs w:val="21"/>
                <w:highlight w:val="none"/>
              </w:rPr>
              <w:t>应急响应能力</w:t>
            </w:r>
          </w:p>
        </w:tc>
        <w:tc>
          <w:tcPr>
            <w:tcW w:w="867" w:type="dxa"/>
            <w:vAlign w:val="center"/>
          </w:tcPr>
          <w:p>
            <w:pPr>
              <w:widowControl/>
              <w:jc w:val="center"/>
              <w:rPr>
                <w:rFonts w:ascii="宋体" w:hAnsi="宋体"/>
                <w:sz w:val="21"/>
                <w:szCs w:val="21"/>
                <w:highlight w:val="none"/>
              </w:rPr>
            </w:pPr>
            <w:r>
              <w:rPr>
                <w:rFonts w:hint="eastAsia" w:ascii="宋体" w:hAnsi="宋体"/>
                <w:sz w:val="21"/>
                <w:szCs w:val="21"/>
                <w:highlight w:val="none"/>
              </w:rPr>
              <w:t>5分</w:t>
            </w:r>
          </w:p>
        </w:tc>
        <w:tc>
          <w:tcPr>
            <w:tcW w:w="6048" w:type="dxa"/>
            <w:vAlign w:val="center"/>
          </w:tcPr>
          <w:p>
            <w:pPr>
              <w:jc w:val="left"/>
              <w:rPr>
                <w:rFonts w:ascii="宋体" w:hAnsi="宋体" w:cs="宋体"/>
                <w:sz w:val="21"/>
                <w:szCs w:val="21"/>
                <w:highlight w:val="none"/>
              </w:rPr>
            </w:pPr>
            <w:r>
              <w:rPr>
                <w:rFonts w:hint="eastAsia" w:ascii="宋体" w:hAnsi="宋体" w:cs="宋体"/>
                <w:sz w:val="21"/>
                <w:szCs w:val="21"/>
                <w:highlight w:val="none"/>
              </w:rPr>
              <w:t>具有合法经营证照服务点，服务及时便捷、响应及时。如遇紧急情况：</w:t>
            </w:r>
          </w:p>
          <w:p>
            <w:pPr>
              <w:jc w:val="left"/>
              <w:rPr>
                <w:rFonts w:ascii="宋体" w:hAnsi="宋体" w:cs="宋体"/>
                <w:sz w:val="21"/>
                <w:szCs w:val="21"/>
                <w:highlight w:val="none"/>
              </w:rPr>
            </w:pPr>
            <w:r>
              <w:rPr>
                <w:rFonts w:hint="eastAsia" w:ascii="宋体" w:hAnsi="宋体" w:cs="宋体"/>
                <w:sz w:val="21"/>
                <w:szCs w:val="21"/>
                <w:highlight w:val="none"/>
              </w:rPr>
              <w:t>60分钟（不含）内可到达现场，得5分；60分钟≤到达现场时间＜90分钟，得3分；90分钟≤到达现场时间＜120分钟，得1分；其他不得分</w:t>
            </w:r>
          </w:p>
          <w:p>
            <w:pPr>
              <w:jc w:val="left"/>
              <w:rPr>
                <w:rFonts w:ascii="宋体" w:hAnsi="宋体"/>
                <w:sz w:val="21"/>
                <w:szCs w:val="21"/>
                <w:highlight w:val="none"/>
              </w:rPr>
            </w:pPr>
            <w:r>
              <w:rPr>
                <w:rFonts w:hint="eastAsia" w:ascii="宋体" w:hAnsi="宋体" w:cs="宋体"/>
                <w:sz w:val="21"/>
                <w:szCs w:val="21"/>
                <w:highlight w:val="none"/>
              </w:rPr>
              <w:t>注：服务机构与采购人距离以高德地图测算的最短公路距离为准，须提供营业执照</w:t>
            </w:r>
            <w:r>
              <w:rPr>
                <w:rFonts w:hint="eastAsia" w:ascii="宋体" w:hAnsi="宋体" w:cs="宋体"/>
                <w:sz w:val="21"/>
                <w:szCs w:val="21"/>
                <w:highlight w:val="none"/>
                <w:lang w:val="en-US" w:eastAsia="zh-CN"/>
              </w:rPr>
              <w:t>或</w:t>
            </w:r>
            <w:r>
              <w:rPr>
                <w:rFonts w:hint="eastAsia" w:ascii="宋体" w:hAnsi="宋体" w:cs="宋体"/>
                <w:sz w:val="21"/>
                <w:szCs w:val="21"/>
                <w:highlight w:val="none"/>
              </w:rPr>
              <w:t>办公场所产权证明或房屋租赁备案合同复印件和高德地图截图，不提供、提供不全的不得分。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416" w:type="dxa"/>
            <w:gridSpan w:val="4"/>
            <w:vAlign w:val="center"/>
          </w:tcPr>
          <w:p>
            <w:pPr>
              <w:spacing w:line="276" w:lineRule="auto"/>
              <w:jc w:val="center"/>
              <w:rPr>
                <w:rFonts w:ascii="宋体" w:hAnsi="宋体"/>
                <w:bCs/>
                <w:sz w:val="21"/>
                <w:szCs w:val="21"/>
                <w:highlight w:val="none"/>
              </w:rPr>
            </w:pPr>
            <w:r>
              <w:rPr>
                <w:rFonts w:hint="eastAsia" w:ascii="宋体" w:hAnsi="宋体"/>
                <w:bCs/>
                <w:sz w:val="21"/>
                <w:szCs w:val="21"/>
                <w:highlight w:val="none"/>
              </w:rPr>
              <w:t>合计：30分</w:t>
            </w:r>
          </w:p>
        </w:tc>
      </w:tr>
    </w:tbl>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技术评分表</w:t>
      </w:r>
    </w:p>
    <w:tbl>
      <w:tblPr>
        <w:tblStyle w:val="38"/>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1501"/>
        <w:gridCol w:w="851"/>
        <w:gridCol w:w="6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020" w:type="dxa"/>
            <w:tcBorders>
              <w:top w:val="single" w:color="auto" w:sz="12" w:space="0"/>
              <w:bottom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序号</w:t>
            </w:r>
          </w:p>
        </w:tc>
        <w:tc>
          <w:tcPr>
            <w:tcW w:w="1501" w:type="dxa"/>
            <w:tcBorders>
              <w:top w:val="single" w:color="auto" w:sz="12" w:space="0"/>
              <w:bottom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评估项目</w:t>
            </w:r>
          </w:p>
        </w:tc>
        <w:tc>
          <w:tcPr>
            <w:tcW w:w="851" w:type="dxa"/>
            <w:tcBorders>
              <w:top w:val="single" w:color="auto" w:sz="12" w:space="0"/>
              <w:bottom w:val="single" w:color="auto" w:sz="6" w:space="0"/>
            </w:tcBorders>
          </w:tcPr>
          <w:p>
            <w:pPr>
              <w:spacing w:line="400" w:lineRule="exact"/>
              <w:jc w:val="center"/>
              <w:rPr>
                <w:rFonts w:ascii="宋体" w:hAnsi="宋体"/>
                <w:b/>
                <w:bCs/>
                <w:szCs w:val="21"/>
              </w:rPr>
            </w:pPr>
            <w:r>
              <w:rPr>
                <w:rFonts w:hint="eastAsia" w:ascii="宋体" w:hAnsi="宋体"/>
                <w:b/>
                <w:bCs/>
                <w:szCs w:val="21"/>
              </w:rPr>
              <w:t>分值</w:t>
            </w:r>
          </w:p>
        </w:tc>
        <w:tc>
          <w:tcPr>
            <w:tcW w:w="6148" w:type="dxa"/>
            <w:tcBorders>
              <w:top w:val="single" w:color="auto" w:sz="12" w:space="0"/>
              <w:bottom w:val="single" w:color="auto" w:sz="6" w:space="0"/>
            </w:tcBorders>
            <w:vAlign w:val="center"/>
          </w:tcPr>
          <w:p>
            <w:pPr>
              <w:spacing w:line="400" w:lineRule="exact"/>
              <w:jc w:val="center"/>
              <w:rPr>
                <w:rFonts w:ascii="宋体" w:hAnsi="宋体"/>
                <w:b/>
                <w:bCs/>
                <w:szCs w:val="21"/>
              </w:rPr>
            </w:pPr>
            <w:r>
              <w:rPr>
                <w:rFonts w:hint="eastAsia" w:ascii="宋体" w:hAnsi="宋体"/>
                <w:b/>
                <w:bCs/>
                <w:szCs w:val="21"/>
              </w:rPr>
              <w:t>评估内容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020" w:type="dxa"/>
            <w:tcBorders>
              <w:top w:val="single" w:color="auto" w:sz="12" w:space="0"/>
              <w:bottom w:val="single" w:color="auto" w:sz="6" w:space="0"/>
            </w:tcBorders>
            <w:vAlign w:val="center"/>
          </w:tcPr>
          <w:p>
            <w:pPr>
              <w:ind w:left="7"/>
              <w:jc w:val="center"/>
              <w:rPr>
                <w:rFonts w:ascii="宋体" w:hAnsi="宋体" w:cs="宋体"/>
                <w:kern w:val="0"/>
                <w:szCs w:val="21"/>
              </w:rPr>
            </w:pPr>
            <w:r>
              <w:rPr>
                <w:rFonts w:hint="eastAsia" w:ascii="宋体" w:hAnsi="宋体" w:cs="宋体"/>
                <w:kern w:val="0"/>
                <w:szCs w:val="21"/>
              </w:rPr>
              <w:t>1</w:t>
            </w:r>
          </w:p>
        </w:tc>
        <w:tc>
          <w:tcPr>
            <w:tcW w:w="1501" w:type="dxa"/>
            <w:tcBorders>
              <w:top w:val="single" w:color="auto" w:sz="12" w:space="0"/>
              <w:bottom w:val="single" w:color="auto" w:sz="6" w:space="0"/>
            </w:tcBorders>
            <w:vAlign w:val="center"/>
          </w:tcPr>
          <w:p>
            <w:pPr>
              <w:ind w:left="7"/>
              <w:jc w:val="center"/>
              <w:rPr>
                <w:rFonts w:ascii="宋体" w:hAnsi="宋体" w:cs="宋体"/>
                <w:kern w:val="0"/>
                <w:sz w:val="24"/>
              </w:rPr>
            </w:pPr>
            <w:r>
              <w:rPr>
                <w:rFonts w:hint="eastAsia" w:ascii="宋体" w:hAnsi="宋体" w:cs="宋体"/>
                <w:color w:val="000000"/>
                <w:kern w:val="0"/>
                <w:szCs w:val="20"/>
              </w:rPr>
              <w:t>对本项目的熟悉程度</w:t>
            </w:r>
          </w:p>
        </w:tc>
        <w:tc>
          <w:tcPr>
            <w:tcW w:w="851" w:type="dxa"/>
            <w:tcBorders>
              <w:top w:val="single" w:color="auto" w:sz="12" w:space="0"/>
              <w:bottom w:val="single" w:color="auto" w:sz="6" w:space="0"/>
            </w:tcBorders>
            <w:vAlign w:val="center"/>
          </w:tcPr>
          <w:p>
            <w:pPr>
              <w:tabs>
                <w:tab w:val="left" w:pos="840"/>
              </w:tabs>
              <w:spacing w:before="1"/>
              <w:ind w:right="-97"/>
              <w:jc w:val="center"/>
              <w:rPr>
                <w:rFonts w:ascii="宋体" w:hAnsi="宋体" w:cs="宋体"/>
                <w:kern w:val="0"/>
                <w:szCs w:val="21"/>
              </w:rPr>
            </w:pPr>
            <w:r>
              <w:rPr>
                <w:rFonts w:hint="eastAsia" w:ascii="宋体" w:hAnsi="宋体" w:cs="宋体"/>
                <w:kern w:val="0"/>
                <w:szCs w:val="21"/>
              </w:rPr>
              <w:t>5分</w:t>
            </w:r>
          </w:p>
        </w:tc>
        <w:tc>
          <w:tcPr>
            <w:tcW w:w="6148" w:type="dxa"/>
            <w:tcBorders>
              <w:top w:val="single" w:color="auto" w:sz="12" w:space="0"/>
              <w:bottom w:val="single" w:color="auto" w:sz="6" w:space="0"/>
            </w:tcBorders>
            <w:vAlign w:val="center"/>
          </w:tcPr>
          <w:p>
            <w:pPr>
              <w:jc w:val="left"/>
              <w:rPr>
                <w:rFonts w:ascii="宋体" w:hAnsi="宋体" w:cs="宋体"/>
                <w:sz w:val="18"/>
                <w:szCs w:val="18"/>
              </w:rPr>
            </w:pPr>
            <w:r>
              <w:rPr>
                <w:rFonts w:hint="eastAsia" w:ascii="宋体" w:hAnsi="宋体" w:cs="宋体"/>
                <w:sz w:val="18"/>
                <w:szCs w:val="18"/>
              </w:rPr>
              <w:t>①深刻了解本项目需求的必要性、重要性，熟悉本项目市政设施公园改造维修情况，能准确把握市政设施维修改造工作内容，符合采购人的需求，得5分；</w:t>
            </w:r>
          </w:p>
          <w:p>
            <w:pPr>
              <w:jc w:val="left"/>
              <w:rPr>
                <w:rFonts w:ascii="宋体" w:hAnsi="宋体" w:cs="宋体"/>
                <w:sz w:val="18"/>
                <w:szCs w:val="18"/>
              </w:rPr>
            </w:pPr>
            <w:r>
              <w:rPr>
                <w:rFonts w:hint="eastAsia" w:ascii="宋体" w:hAnsi="宋体" w:cs="宋体"/>
                <w:sz w:val="18"/>
                <w:szCs w:val="18"/>
              </w:rPr>
              <w:t>②基本了解本项目市政设施公园改造维修情况，基本符合采购人的需求，得3分；</w:t>
            </w:r>
          </w:p>
          <w:p>
            <w:pPr>
              <w:jc w:val="left"/>
              <w:rPr>
                <w:rFonts w:ascii="宋体" w:hAnsi="宋体" w:cs="宋体"/>
                <w:sz w:val="18"/>
                <w:szCs w:val="18"/>
              </w:rPr>
            </w:pPr>
            <w:r>
              <w:rPr>
                <w:rFonts w:hint="eastAsia" w:ascii="宋体" w:hAnsi="宋体" w:cs="宋体"/>
                <w:sz w:val="18"/>
                <w:szCs w:val="18"/>
              </w:rPr>
              <w:t>③不了解本项目市政设施公园改造维修情况，与采购人的需求有一定差距，得2分。</w:t>
            </w:r>
          </w:p>
          <w:p>
            <w:pPr>
              <w:ind w:left="7"/>
              <w:jc w:val="left"/>
              <w:rPr>
                <w:rFonts w:ascii="宋体" w:hAnsi="宋体" w:cs="宋体"/>
                <w:color w:val="000000"/>
                <w:kern w:val="0"/>
                <w:szCs w:val="20"/>
              </w:rPr>
            </w:pPr>
            <w:r>
              <w:rPr>
                <w:rFonts w:hint="eastAsia" w:ascii="宋体" w:hAnsi="宋体"/>
                <w:b/>
                <w:kern w:val="0"/>
                <w:szCs w:val="21"/>
              </w:rPr>
              <w:t>注：未提供上述材料不得分。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1020" w:type="dxa"/>
            <w:tcBorders>
              <w:top w:val="single" w:color="auto" w:sz="12" w:space="0"/>
              <w:bottom w:val="single" w:color="auto" w:sz="6" w:space="0"/>
            </w:tcBorders>
            <w:vAlign w:val="center"/>
          </w:tcPr>
          <w:p>
            <w:pPr>
              <w:ind w:left="7"/>
              <w:jc w:val="center"/>
              <w:rPr>
                <w:rFonts w:ascii="宋体" w:hAnsi="宋体" w:cs="宋体"/>
                <w:kern w:val="0"/>
                <w:szCs w:val="21"/>
              </w:rPr>
            </w:pPr>
            <w:r>
              <w:rPr>
                <w:rFonts w:hint="eastAsia" w:ascii="宋体" w:hAnsi="宋体" w:cs="宋体"/>
                <w:kern w:val="0"/>
                <w:szCs w:val="21"/>
              </w:rPr>
              <w:t>2</w:t>
            </w:r>
          </w:p>
        </w:tc>
        <w:tc>
          <w:tcPr>
            <w:tcW w:w="1501" w:type="dxa"/>
            <w:tcBorders>
              <w:top w:val="single" w:color="auto" w:sz="12" w:space="0"/>
              <w:bottom w:val="single" w:color="auto" w:sz="6" w:space="0"/>
            </w:tcBorders>
            <w:vAlign w:val="center"/>
          </w:tcPr>
          <w:p>
            <w:pPr>
              <w:ind w:left="7"/>
              <w:jc w:val="center"/>
              <w:rPr>
                <w:rFonts w:ascii="宋体" w:hAnsi="宋体" w:cs="宋体"/>
                <w:kern w:val="0"/>
                <w:sz w:val="24"/>
              </w:rPr>
            </w:pPr>
            <w:r>
              <w:rPr>
                <w:rFonts w:hint="eastAsia" w:ascii="宋体" w:hAnsi="宋体" w:cs="宋体"/>
                <w:color w:val="000000"/>
                <w:kern w:val="0"/>
                <w:szCs w:val="20"/>
              </w:rPr>
              <w:t>项目实施方案</w:t>
            </w:r>
          </w:p>
        </w:tc>
        <w:tc>
          <w:tcPr>
            <w:tcW w:w="851" w:type="dxa"/>
            <w:tcBorders>
              <w:top w:val="single" w:color="auto" w:sz="12" w:space="0"/>
              <w:bottom w:val="single" w:color="auto" w:sz="6" w:space="0"/>
            </w:tcBorders>
            <w:vAlign w:val="center"/>
          </w:tcPr>
          <w:p>
            <w:pPr>
              <w:tabs>
                <w:tab w:val="left" w:pos="840"/>
              </w:tabs>
              <w:spacing w:before="1"/>
              <w:ind w:right="-97"/>
              <w:jc w:val="center"/>
              <w:rPr>
                <w:rFonts w:ascii="宋体" w:hAnsi="宋体" w:cs="宋体"/>
                <w:kern w:val="0"/>
                <w:szCs w:val="21"/>
              </w:rPr>
            </w:pPr>
            <w:r>
              <w:rPr>
                <w:rFonts w:hint="eastAsia" w:ascii="宋体" w:hAnsi="宋体" w:cs="宋体"/>
                <w:kern w:val="0"/>
                <w:szCs w:val="21"/>
              </w:rPr>
              <w:t>20分</w:t>
            </w:r>
          </w:p>
        </w:tc>
        <w:tc>
          <w:tcPr>
            <w:tcW w:w="6148" w:type="dxa"/>
            <w:tcBorders>
              <w:top w:val="single" w:color="auto" w:sz="12" w:space="0"/>
              <w:bottom w:val="single" w:color="auto" w:sz="6" w:space="0"/>
            </w:tcBorders>
            <w:vAlign w:val="center"/>
          </w:tcPr>
          <w:p>
            <w:pPr>
              <w:jc w:val="left"/>
              <w:rPr>
                <w:rFonts w:ascii="宋体" w:hAnsi="宋体" w:cs="宋体"/>
                <w:sz w:val="18"/>
                <w:szCs w:val="18"/>
              </w:rPr>
            </w:pPr>
            <w:r>
              <w:rPr>
                <w:rFonts w:hint="eastAsia" w:ascii="宋体" w:hAnsi="宋体" w:cs="宋体"/>
                <w:sz w:val="18"/>
                <w:szCs w:val="18"/>
              </w:rPr>
              <w:t>综合对比各投标人实施方案（包括但不限于现场作业管理方案及措施、安全生产管理方案及措施、现场文明施工方案及措施、市政设施公园改造维修作业工期保证方案及措施、市政设施公园改造维修方案及承诺、施工现场的清表、残土清运方案及措施、现场工作人员操作规范实施方案等）、投入本项目机械设备情况：</w:t>
            </w:r>
          </w:p>
          <w:p>
            <w:pPr>
              <w:jc w:val="left"/>
              <w:rPr>
                <w:rFonts w:ascii="宋体" w:hAnsi="宋体" w:cs="宋体"/>
                <w:sz w:val="18"/>
                <w:szCs w:val="18"/>
              </w:rPr>
            </w:pPr>
            <w:r>
              <w:rPr>
                <w:rFonts w:hint="eastAsia" w:ascii="宋体" w:hAnsi="宋体" w:cs="宋体"/>
                <w:sz w:val="18"/>
                <w:szCs w:val="18"/>
              </w:rPr>
              <w:t>1.方案内容齐全，措施有效可行、具有针对性，承诺详细具体，能满足本项目需求，得15～20分；</w:t>
            </w:r>
          </w:p>
          <w:p>
            <w:pPr>
              <w:jc w:val="left"/>
              <w:rPr>
                <w:rFonts w:ascii="宋体" w:hAnsi="宋体" w:cs="宋体"/>
                <w:sz w:val="18"/>
                <w:szCs w:val="18"/>
              </w:rPr>
            </w:pPr>
            <w:r>
              <w:rPr>
                <w:rFonts w:hint="eastAsia" w:ascii="宋体" w:hAnsi="宋体" w:cs="宋体"/>
                <w:sz w:val="18"/>
                <w:szCs w:val="18"/>
              </w:rPr>
              <w:t>2.方案内容较齐全，措施较有效可行、具有针对性，承诺较详细具体，基本满足本项目需求，得10～15分；</w:t>
            </w:r>
          </w:p>
          <w:p>
            <w:pPr>
              <w:jc w:val="left"/>
              <w:rPr>
                <w:rFonts w:ascii="宋体" w:hAnsi="宋体" w:cs="宋体"/>
                <w:sz w:val="18"/>
                <w:szCs w:val="18"/>
              </w:rPr>
            </w:pPr>
            <w:r>
              <w:rPr>
                <w:rFonts w:hint="eastAsia" w:ascii="宋体" w:hAnsi="宋体" w:cs="宋体"/>
                <w:sz w:val="18"/>
                <w:szCs w:val="18"/>
              </w:rPr>
              <w:t>3.方案内容有缺漏，措施较有效可行、针对性一般，承诺较详细，较能满足本项目需求，得5～10分；</w:t>
            </w:r>
          </w:p>
          <w:p>
            <w:pPr>
              <w:jc w:val="left"/>
              <w:rPr>
                <w:rFonts w:ascii="宋体" w:hAnsi="宋体"/>
                <w:color w:val="000000"/>
                <w:szCs w:val="21"/>
              </w:rPr>
            </w:pPr>
            <w:r>
              <w:rPr>
                <w:rFonts w:hint="eastAsia" w:ascii="宋体" w:hAnsi="宋体" w:cs="宋体"/>
                <w:sz w:val="18"/>
                <w:szCs w:val="18"/>
              </w:rPr>
              <w:t>不提供方案不得分。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1020" w:type="dxa"/>
            <w:vAlign w:val="center"/>
          </w:tcPr>
          <w:p>
            <w:pPr>
              <w:ind w:firstLine="420" w:firstLineChars="200"/>
              <w:jc w:val="center"/>
              <w:rPr>
                <w:rFonts w:ascii="宋体" w:hAnsi="宋体"/>
              </w:rPr>
            </w:pPr>
            <w:r>
              <w:rPr>
                <w:rFonts w:hint="eastAsia" w:ascii="宋体" w:hAnsi="宋体"/>
              </w:rPr>
              <w:t>3</w:t>
            </w:r>
          </w:p>
        </w:tc>
        <w:tc>
          <w:tcPr>
            <w:tcW w:w="1501" w:type="dxa"/>
            <w:vAlign w:val="center"/>
          </w:tcPr>
          <w:p>
            <w:pPr>
              <w:jc w:val="center"/>
              <w:rPr>
                <w:rFonts w:ascii="宋体" w:hAnsi="宋体"/>
              </w:rPr>
            </w:pPr>
            <w:r>
              <w:rPr>
                <w:rFonts w:hint="eastAsia" w:ascii="宋体" w:hAnsi="宋体"/>
              </w:rPr>
              <w:t>应急方案</w:t>
            </w:r>
          </w:p>
        </w:tc>
        <w:tc>
          <w:tcPr>
            <w:tcW w:w="851" w:type="dxa"/>
            <w:vAlign w:val="center"/>
          </w:tcPr>
          <w:p>
            <w:pPr>
              <w:jc w:val="center"/>
              <w:rPr>
                <w:rFonts w:ascii="宋体" w:hAnsi="宋体"/>
              </w:rPr>
            </w:pPr>
            <w:r>
              <w:rPr>
                <w:rFonts w:hint="eastAsia" w:ascii="宋体" w:hAnsi="宋体"/>
              </w:rPr>
              <w:t>5分</w:t>
            </w:r>
          </w:p>
        </w:tc>
        <w:tc>
          <w:tcPr>
            <w:tcW w:w="6148" w:type="dxa"/>
          </w:tcPr>
          <w:p>
            <w:pPr>
              <w:jc w:val="left"/>
              <w:rPr>
                <w:rFonts w:ascii="宋体" w:hAnsi="宋体" w:cs="宋体"/>
                <w:sz w:val="18"/>
                <w:szCs w:val="18"/>
              </w:rPr>
            </w:pPr>
            <w:r>
              <w:rPr>
                <w:rFonts w:hint="eastAsia" w:ascii="宋体" w:hAnsi="宋体" w:cs="宋体"/>
                <w:sz w:val="18"/>
                <w:szCs w:val="18"/>
              </w:rPr>
              <w:t>1.投标人提出的突发事件的应急预案和处理措施（包括应急响应时间、处理措施等）优秀，内容详细全面，可实施性强，得5分；</w:t>
            </w:r>
          </w:p>
          <w:p>
            <w:pPr>
              <w:jc w:val="left"/>
              <w:rPr>
                <w:rFonts w:ascii="宋体" w:hAnsi="宋体" w:cs="宋体"/>
                <w:sz w:val="18"/>
                <w:szCs w:val="18"/>
              </w:rPr>
            </w:pPr>
            <w:r>
              <w:rPr>
                <w:rFonts w:hint="eastAsia" w:ascii="宋体" w:hAnsi="宋体" w:cs="宋体"/>
                <w:sz w:val="18"/>
                <w:szCs w:val="18"/>
              </w:rPr>
              <w:t>2.报价人提出的突发事件的应急预案和处理措施（包括应急响应时间、处理措施等）良好，内容较详细，可实施性较强，得3分；</w:t>
            </w:r>
          </w:p>
          <w:p>
            <w:pPr>
              <w:jc w:val="left"/>
              <w:rPr>
                <w:rFonts w:ascii="宋体" w:hAnsi="宋体" w:cs="宋体"/>
                <w:sz w:val="18"/>
                <w:szCs w:val="18"/>
              </w:rPr>
            </w:pPr>
            <w:r>
              <w:rPr>
                <w:rFonts w:hint="eastAsia" w:ascii="宋体" w:hAnsi="宋体" w:cs="宋体"/>
                <w:sz w:val="18"/>
                <w:szCs w:val="18"/>
              </w:rPr>
              <w:t>3.报价人提出的突发事件的应急预案和处理措施（包括应急响应时间、处理措施等）一般，内容一般，可实施性不强，得2分；</w:t>
            </w:r>
          </w:p>
          <w:p>
            <w:pPr>
              <w:jc w:val="left"/>
              <w:rPr>
                <w:rFonts w:ascii="宋体" w:hAnsi="宋体"/>
              </w:rPr>
            </w:pPr>
            <w:r>
              <w:rPr>
                <w:rFonts w:hint="eastAsia" w:ascii="宋体" w:hAnsi="宋体" w:cs="宋体"/>
                <w:sz w:val="18"/>
                <w:szCs w:val="18"/>
              </w:rPr>
              <w:t>不提供方案不得分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520" w:type="dxa"/>
            <w:gridSpan w:val="4"/>
            <w:vAlign w:val="center"/>
          </w:tcPr>
          <w:p>
            <w:pPr>
              <w:spacing w:line="400" w:lineRule="exact"/>
              <w:jc w:val="center"/>
              <w:rPr>
                <w:rFonts w:ascii="宋体" w:hAnsi="宋体"/>
                <w:bCs/>
                <w:szCs w:val="21"/>
              </w:rPr>
            </w:pPr>
            <w:r>
              <w:rPr>
                <w:rFonts w:hint="eastAsia" w:ascii="宋体" w:hAnsi="宋体"/>
                <w:bCs/>
                <w:szCs w:val="21"/>
              </w:rPr>
              <w:t>合计：30分</w:t>
            </w:r>
          </w:p>
        </w:tc>
      </w:tr>
    </w:tbl>
    <w:p>
      <w:pPr>
        <w:rPr>
          <w:rFonts w:hint="eastAsia" w:ascii="宋体" w:hAnsi="宋体"/>
          <w:b/>
          <w:sz w:val="28"/>
          <w:szCs w:val="28"/>
          <w:highlight w:val="none"/>
        </w:rPr>
      </w:pPr>
    </w:p>
    <w:p>
      <w:pPr>
        <w:spacing w:line="360" w:lineRule="exact"/>
        <w:jc w:val="left"/>
        <w:rPr>
          <w:rFonts w:ascii="宋体" w:hAnsi="宋体"/>
          <w:b/>
          <w:sz w:val="36"/>
          <w:szCs w:val="36"/>
          <w:highlight w:val="none"/>
        </w:rPr>
      </w:pPr>
      <w:r>
        <w:rPr>
          <w:rFonts w:hint="eastAsia" w:ascii="宋体" w:hAnsi="宋体"/>
          <w:b/>
          <w:sz w:val="28"/>
          <w:szCs w:val="28"/>
          <w:highlight w:val="none"/>
        </w:rPr>
        <w:t>附表4</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投标报价文件有效性审查表</w:t>
      </w:r>
    </w:p>
    <w:p>
      <w:pPr>
        <w:rPr>
          <w:szCs w:val="21"/>
          <w:highlight w:val="none"/>
        </w:rPr>
      </w:pPr>
      <w:r>
        <w:rPr>
          <w:rFonts w:hint="eastAsia" w:ascii="宋体" w:hAnsi="宋体"/>
          <w:highlight w:val="none"/>
        </w:rPr>
        <w:t>工程名称：</w:t>
      </w:r>
    </w:p>
    <w:p>
      <w:pPr>
        <w:spacing w:line="300" w:lineRule="exact"/>
        <w:rPr>
          <w:rFonts w:ascii="宋体" w:hAnsi="宋体"/>
          <w:szCs w:val="21"/>
          <w:highlight w:val="none"/>
        </w:rPr>
      </w:pPr>
    </w:p>
    <w:tbl>
      <w:tblPr>
        <w:tblStyle w:val="38"/>
        <w:tblW w:w="935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4597"/>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szCs w:val="21"/>
                <w:highlight w:val="none"/>
              </w:rPr>
            </w:pPr>
            <w:r>
              <w:rPr>
                <w:rFonts w:hint="eastAsia"/>
                <w:szCs w:val="21"/>
                <w:highlight w:val="none"/>
              </w:rPr>
              <w:t>序号</w:t>
            </w:r>
          </w:p>
        </w:tc>
        <w:tc>
          <w:tcPr>
            <w:tcW w:w="4597"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szCs w:val="21"/>
                <w:highlight w:val="none"/>
              </w:rPr>
            </w:pPr>
            <w:r>
              <w:rPr>
                <w:rFonts w:hint="eastAsia"/>
                <w:szCs w:val="21"/>
                <w:highlight w:val="none"/>
                <w:lang w:bidi="ar"/>
              </w:rPr>
              <w:t xml:space="preserve">投标单位  </w:t>
            </w:r>
          </w:p>
          <w:p>
            <w:pPr>
              <w:tabs>
                <w:tab w:val="left" w:pos="0"/>
              </w:tabs>
              <w:snapToGrid w:val="0"/>
              <w:ind w:firstLine="210" w:firstLineChars="100"/>
              <w:rPr>
                <w:szCs w:val="21"/>
                <w:highlight w:val="none"/>
              </w:rPr>
            </w:pPr>
            <w:r>
              <w:rPr>
                <w:rFonts w:hint="eastAsia"/>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1</w:t>
            </w:r>
          </w:p>
        </w:tc>
        <w:tc>
          <w:tcPr>
            <w:tcW w:w="4597"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投标文件的封面</w:t>
            </w:r>
            <w:r>
              <w:rPr>
                <w:rFonts w:hint="eastAsia"/>
                <w:szCs w:val="21"/>
                <w:highlight w:val="none"/>
                <w:lang w:val="en-US" w:eastAsia="zh-CN"/>
              </w:rPr>
              <w:t>有</w:t>
            </w:r>
            <w:r>
              <w:rPr>
                <w:rFonts w:hint="eastAsia"/>
                <w:szCs w:val="21"/>
                <w:highlight w:val="none"/>
              </w:rPr>
              <w:t>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2</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对同一招标项目</w:t>
            </w:r>
            <w:r>
              <w:rPr>
                <w:rFonts w:hint="eastAsia"/>
                <w:szCs w:val="21"/>
                <w:highlight w:val="none"/>
                <w:lang w:val="en-US" w:eastAsia="zh-CN"/>
              </w:rPr>
              <w:t>没有</w:t>
            </w:r>
            <w:r>
              <w:rPr>
                <w:rFonts w:hint="eastAsia"/>
                <w:szCs w:val="21"/>
                <w:highlight w:val="none"/>
              </w:rPr>
              <w:t>出现两个或以上的投标报价。</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highlight w:val="none"/>
              </w:rPr>
            </w:pPr>
            <w:r>
              <w:rPr>
                <w:rFonts w:hint="eastAsia"/>
                <w:szCs w:val="21"/>
                <w:highlight w:val="none"/>
              </w:rPr>
              <w:t>3</w:t>
            </w:r>
          </w:p>
        </w:tc>
        <w:tc>
          <w:tcPr>
            <w:tcW w:w="4597" w:type="dxa"/>
            <w:tcBorders>
              <w:top w:val="single" w:color="auto" w:sz="6" w:space="0"/>
              <w:left w:val="single" w:color="auto" w:sz="6" w:space="0"/>
              <w:bottom w:val="single" w:color="auto" w:sz="6" w:space="0"/>
              <w:right w:val="single" w:color="auto" w:sz="6" w:space="0"/>
            </w:tcBorders>
            <w:vAlign w:val="center"/>
          </w:tcPr>
          <w:p>
            <w:pPr>
              <w:jc w:val="left"/>
              <w:rPr>
                <w:b/>
                <w:szCs w:val="21"/>
                <w:highlight w:val="none"/>
              </w:rPr>
            </w:pPr>
            <w:r>
              <w:rPr>
                <w:rFonts w:hint="eastAsia"/>
                <w:szCs w:val="21"/>
                <w:highlight w:val="none"/>
              </w:rPr>
              <w:t>投标报价总价</w:t>
            </w:r>
            <w:r>
              <w:rPr>
                <w:rFonts w:hint="eastAsia"/>
                <w:szCs w:val="21"/>
                <w:highlight w:val="none"/>
                <w:lang w:val="en-US" w:eastAsia="zh-CN"/>
              </w:rPr>
              <w:t>不</w:t>
            </w:r>
            <w:r>
              <w:rPr>
                <w:rFonts w:hint="eastAsia"/>
                <w:szCs w:val="21"/>
                <w:highlight w:val="none"/>
              </w:rPr>
              <w:t>高于最高投标限价总价的，</w:t>
            </w:r>
            <w:r>
              <w:rPr>
                <w:rFonts w:hint="eastAsia"/>
                <w:szCs w:val="21"/>
                <w:highlight w:val="none"/>
                <w:u w:val="single"/>
              </w:rPr>
              <w:t>各分项报价</w:t>
            </w:r>
            <w:r>
              <w:rPr>
                <w:rFonts w:hint="eastAsia"/>
                <w:szCs w:val="21"/>
                <w:highlight w:val="none"/>
                <w:u w:val="single"/>
                <w:lang w:val="en-US" w:eastAsia="zh-CN"/>
              </w:rPr>
              <w:t>不</w:t>
            </w:r>
            <w:r>
              <w:rPr>
                <w:rFonts w:hint="eastAsia"/>
                <w:szCs w:val="21"/>
                <w:highlight w:val="none"/>
                <w:u w:val="single"/>
              </w:rPr>
              <w:t>高于分项投标限价的</w:t>
            </w:r>
            <w:r>
              <w:rPr>
                <w:rFonts w:hint="eastAsia"/>
                <w:szCs w:val="21"/>
                <w:highlight w:val="none"/>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4</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算术复核后的投标报价总价与原投标报价总价相比</w:t>
            </w:r>
            <w:r>
              <w:rPr>
                <w:rFonts w:hint="eastAsia"/>
                <w:szCs w:val="21"/>
                <w:highlight w:val="none"/>
                <w:lang w:val="en-US" w:eastAsia="zh-CN"/>
              </w:rPr>
              <w:t>不</w:t>
            </w:r>
            <w:r>
              <w:rPr>
                <w:rFonts w:hint="eastAsia"/>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5</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szCs w:val="21"/>
                <w:highlight w:val="none"/>
                <w:lang w:eastAsia="zh-CN"/>
              </w:rPr>
            </w:pPr>
            <w:r>
              <w:rPr>
                <w:rFonts w:hint="eastAsia"/>
                <w:szCs w:val="21"/>
                <w:highlight w:val="none"/>
                <w:lang w:val="en-US" w:eastAsia="zh-CN"/>
              </w:rPr>
              <w:t>6</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highlight w:val="none"/>
              </w:rPr>
            </w:pPr>
            <w:r>
              <w:rPr>
                <w:rFonts w:hint="eastAsia"/>
                <w:szCs w:val="21"/>
                <w:highlight w:val="none"/>
                <w:lang w:val="en-US" w:eastAsia="zh-CN"/>
              </w:rPr>
              <w:t>不</w:t>
            </w:r>
            <w:r>
              <w:rPr>
                <w:rFonts w:hint="eastAsia"/>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szCs w:val="21"/>
                <w:highlight w:val="none"/>
              </w:rPr>
            </w:pPr>
            <w:r>
              <w:rPr>
                <w:rFonts w:hint="eastAsia"/>
                <w:bCs/>
                <w:szCs w:val="21"/>
                <w:highlight w:val="none"/>
              </w:rPr>
              <w:t>结论</w:t>
            </w:r>
          </w:p>
        </w:tc>
        <w:tc>
          <w:tcPr>
            <w:tcW w:w="4597" w:type="dxa"/>
            <w:tcBorders>
              <w:top w:val="single" w:color="auto" w:sz="6" w:space="0"/>
              <w:left w:val="single" w:color="auto" w:sz="6" w:space="0"/>
              <w:bottom w:val="single" w:color="auto" w:sz="4" w:space="0"/>
              <w:right w:val="single" w:color="auto" w:sz="6" w:space="0"/>
            </w:tcBorders>
            <w:vAlign w:val="center"/>
          </w:tcPr>
          <w:p>
            <w:pPr>
              <w:spacing w:line="360" w:lineRule="auto"/>
              <w:rPr>
                <w:szCs w:val="21"/>
                <w:highlight w:val="none"/>
              </w:rPr>
            </w:pPr>
            <w:r>
              <w:rPr>
                <w:rFonts w:hint="eastAsia"/>
                <w:bCs/>
                <w:szCs w:val="21"/>
                <w:highlight w:val="none"/>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highlight w:val="none"/>
              </w:rPr>
            </w:pPr>
          </w:p>
        </w:tc>
      </w:tr>
    </w:tbl>
    <w:p>
      <w:pPr>
        <w:spacing w:line="300" w:lineRule="exact"/>
        <w:rPr>
          <w:rFonts w:ascii="宋体" w:hAnsi="宋体"/>
          <w:szCs w:val="21"/>
          <w:highlight w:val="none"/>
        </w:rPr>
      </w:pPr>
    </w:p>
    <w:p>
      <w:pPr>
        <w:spacing w:line="30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根据本表审查项目，符合的填“○”，</w:t>
      </w:r>
      <w:r>
        <w:rPr>
          <w:rFonts w:hint="eastAsia" w:ascii="宋体" w:hAnsi="宋体"/>
          <w:szCs w:val="21"/>
          <w:highlight w:val="none"/>
          <w:lang w:val="en-US" w:eastAsia="zh-CN"/>
        </w:rPr>
        <w:t>不</w:t>
      </w:r>
      <w:r>
        <w:rPr>
          <w:rFonts w:hint="eastAsia" w:ascii="宋体" w:hAnsi="宋体"/>
          <w:szCs w:val="21"/>
          <w:highlight w:val="none"/>
        </w:rPr>
        <w:t>符合的填“×”，评审结论填“通过“或“不通过”。。</w:t>
      </w:r>
    </w:p>
    <w:p>
      <w:pPr>
        <w:spacing w:line="3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本表中出现一个（或以上）“×”，投标人的评审结论为“不通过”，即该投标人不进入下一阶段评审。</w:t>
      </w:r>
    </w:p>
    <w:p>
      <w:pPr>
        <w:spacing w:line="30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本表中评审项目全部为“○”，投标人的评审结论为“通过”，即该投标人进入下一阶段评审。</w:t>
      </w:r>
    </w:p>
    <w:p>
      <w:pPr>
        <w:ind w:firstLine="420" w:firstLineChars="200"/>
        <w:rPr>
          <w:highlight w:val="none"/>
        </w:rPr>
      </w:pPr>
      <w:r>
        <w:rPr>
          <w:rFonts w:ascii="宋体" w:hAnsi="宋体"/>
          <w:szCs w:val="21"/>
          <w:highlight w:val="none"/>
        </w:rPr>
        <w:t>4.</w:t>
      </w:r>
      <w:r>
        <w:rPr>
          <w:rFonts w:hint="eastAsia" w:ascii="宋体" w:hAnsi="宋体"/>
          <w:szCs w:val="21"/>
          <w:highlight w:val="none"/>
        </w:rPr>
        <w:t>如对本表中某种情形的评审意见不一致时，以评审组过半数成员的意见作为评审组对该情形的认定结论。</w:t>
      </w:r>
    </w:p>
    <w:p>
      <w:pPr>
        <w:rPr>
          <w:rFonts w:hAnsi="宋体"/>
          <w:szCs w:val="21"/>
          <w:highlight w:val="none"/>
        </w:rPr>
      </w:pPr>
    </w:p>
    <w:p>
      <w:pPr>
        <w:rPr>
          <w:rFonts w:hAnsi="宋体"/>
          <w:b/>
          <w:szCs w:val="21"/>
          <w:highlight w:val="none"/>
        </w:rPr>
      </w:pPr>
      <w:r>
        <w:rPr>
          <w:rFonts w:hint="eastAsia" w:hAnsi="宋体"/>
          <w:szCs w:val="21"/>
          <w:highlight w:val="none"/>
        </w:rPr>
        <w:t>评委签名：                                           日期：</w:t>
      </w:r>
    </w:p>
    <w:p>
      <w:pPr>
        <w:spacing w:line="360" w:lineRule="auto"/>
        <w:rPr>
          <w:rFonts w:ascii="宋体" w:hAnsi="宋体"/>
          <w:szCs w:val="21"/>
          <w:highlight w:val="none"/>
        </w:rPr>
        <w:sectPr>
          <w:pgSz w:w="11906" w:h="16838"/>
          <w:pgMar w:top="1440" w:right="1134" w:bottom="1440" w:left="1134" w:header="851" w:footer="992" w:gutter="0"/>
          <w:cols w:space="720" w:num="1"/>
          <w:docGrid w:type="lines" w:linePitch="312" w:charSpace="0"/>
        </w:sectPr>
      </w:pPr>
    </w:p>
    <w:p>
      <w:pPr>
        <w:spacing w:line="400" w:lineRule="exact"/>
        <w:rPr>
          <w:rFonts w:ascii="宋体" w:hAnsi="宋体"/>
          <w:b/>
          <w:sz w:val="28"/>
          <w:szCs w:val="28"/>
          <w:highlight w:val="none"/>
        </w:rPr>
      </w:pPr>
      <w:r>
        <w:rPr>
          <w:rFonts w:hint="eastAsia" w:ascii="宋体" w:hAnsi="宋体"/>
          <w:b/>
          <w:sz w:val="28"/>
          <w:szCs w:val="28"/>
          <w:highlight w:val="none"/>
        </w:rPr>
        <w:t>附表5</w:t>
      </w:r>
      <w:r>
        <w:rPr>
          <w:rFonts w:ascii="宋体" w:hAnsi="宋体"/>
          <w:b/>
          <w:sz w:val="28"/>
          <w:szCs w:val="28"/>
          <w:highlight w:val="none"/>
        </w:rPr>
        <w:t>：</w:t>
      </w:r>
    </w:p>
    <w:p>
      <w:pPr>
        <w:spacing w:line="360" w:lineRule="auto"/>
        <w:jc w:val="center"/>
        <w:rPr>
          <w:rFonts w:ascii="宋体" w:hAnsi="宋体"/>
          <w:b/>
          <w:sz w:val="36"/>
          <w:szCs w:val="36"/>
          <w:highlight w:val="none"/>
        </w:rPr>
      </w:pPr>
      <w:r>
        <w:rPr>
          <w:rFonts w:hint="eastAsia" w:ascii="宋体" w:hAnsi="宋体"/>
          <w:b/>
          <w:sz w:val="32"/>
          <w:szCs w:val="32"/>
          <w:highlight w:val="none"/>
        </w:rPr>
        <w:t>建安工程费算术复核表</w:t>
      </w:r>
    </w:p>
    <w:p>
      <w:pPr>
        <w:spacing w:line="360" w:lineRule="auto"/>
        <w:rPr>
          <w:rFonts w:ascii="宋体" w:hAnsi="宋体"/>
          <w:bCs/>
          <w:szCs w:val="21"/>
          <w:highlight w:val="none"/>
        </w:rPr>
      </w:pPr>
      <w:r>
        <w:rPr>
          <w:rFonts w:hint="eastAsia" w:ascii="宋体" w:hAnsi="宋体"/>
          <w:bCs/>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sz w:val="24"/>
                <w:highlight w:val="none"/>
              </w:rPr>
            </w:pPr>
            <w:r>
              <w:rPr>
                <w:rFonts w:hint="eastAsia" w:ascii="宋体" w:hAnsi="宋体"/>
                <w:sz w:val="24"/>
                <w:highlight w:val="none"/>
              </w:rPr>
              <w:t>序号</w:t>
            </w:r>
          </w:p>
        </w:tc>
        <w:tc>
          <w:tcPr>
            <w:tcW w:w="3775" w:type="dxa"/>
            <w:vAlign w:val="center"/>
          </w:tcPr>
          <w:p>
            <w:pPr>
              <w:jc w:val="center"/>
              <w:rPr>
                <w:rFonts w:ascii="宋体" w:hAnsi="宋体"/>
                <w:sz w:val="24"/>
                <w:highlight w:val="none"/>
              </w:rPr>
            </w:pPr>
            <w:r>
              <w:rPr>
                <w:rFonts w:hint="eastAsia" w:ascii="宋体" w:hAnsi="宋体"/>
                <w:sz w:val="24"/>
                <w:highlight w:val="none"/>
              </w:rPr>
              <w:t>投标单位</w:t>
            </w:r>
          </w:p>
        </w:tc>
        <w:tc>
          <w:tcPr>
            <w:tcW w:w="2363" w:type="dxa"/>
            <w:vAlign w:val="center"/>
          </w:tcPr>
          <w:p>
            <w:pPr>
              <w:jc w:val="center"/>
              <w:rPr>
                <w:rFonts w:ascii="宋体" w:hAnsi="宋体"/>
                <w:sz w:val="24"/>
                <w:highlight w:val="none"/>
              </w:rPr>
            </w:pPr>
            <w:r>
              <w:rPr>
                <w:rFonts w:hint="eastAsia" w:ascii="宋体" w:hAnsi="宋体"/>
                <w:sz w:val="24"/>
                <w:highlight w:val="none"/>
              </w:rPr>
              <w:t>建安工程费报价（元）</w:t>
            </w:r>
          </w:p>
        </w:tc>
        <w:tc>
          <w:tcPr>
            <w:tcW w:w="1841" w:type="dxa"/>
            <w:vAlign w:val="center"/>
          </w:tcPr>
          <w:p>
            <w:pPr>
              <w:jc w:val="center"/>
              <w:rPr>
                <w:rFonts w:ascii="宋体" w:hAnsi="宋体"/>
                <w:sz w:val="24"/>
                <w:highlight w:val="none"/>
              </w:rPr>
            </w:pPr>
            <w:r>
              <w:rPr>
                <w:rFonts w:hint="eastAsia" w:ascii="宋体" w:hAnsi="宋体"/>
                <w:sz w:val="24"/>
                <w:highlight w:val="none"/>
              </w:rPr>
              <w:t>算术复核后报价（元）</w:t>
            </w:r>
          </w:p>
        </w:tc>
        <w:tc>
          <w:tcPr>
            <w:tcW w:w="1995" w:type="dxa"/>
            <w:vAlign w:val="center"/>
          </w:tcPr>
          <w:p>
            <w:pPr>
              <w:jc w:val="center"/>
              <w:rPr>
                <w:rFonts w:ascii="宋体" w:hAnsi="宋体"/>
                <w:sz w:val="24"/>
                <w:highlight w:val="none"/>
              </w:rPr>
            </w:pPr>
            <w:r>
              <w:rPr>
                <w:rFonts w:hint="eastAsia" w:ascii="宋体" w:hAnsi="宋体"/>
                <w:sz w:val="24"/>
                <w:highlight w:val="none"/>
              </w:rPr>
              <w:t>经评审的最终建安工程费报价（元）</w:t>
            </w:r>
          </w:p>
        </w:tc>
        <w:tc>
          <w:tcPr>
            <w:tcW w:w="2205" w:type="dxa"/>
            <w:vAlign w:val="center"/>
          </w:tcPr>
          <w:p>
            <w:pPr>
              <w:jc w:val="center"/>
              <w:rPr>
                <w:rFonts w:ascii="宋体" w:hAnsi="宋体"/>
                <w:sz w:val="24"/>
                <w:highlight w:val="none"/>
              </w:rPr>
            </w:pPr>
            <w:r>
              <w:rPr>
                <w:rFonts w:hint="eastAsia" w:ascii="宋体" w:hAnsi="宋体"/>
                <w:sz w:val="24"/>
                <w:highlight w:val="none"/>
              </w:rPr>
              <w:t>偏差率</w:t>
            </w:r>
          </w:p>
        </w:tc>
        <w:tc>
          <w:tcPr>
            <w:tcW w:w="1048" w:type="dxa"/>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sz w:val="24"/>
                <w:highlight w:val="none"/>
              </w:rPr>
            </w:pPr>
          </w:p>
        </w:tc>
        <w:tc>
          <w:tcPr>
            <w:tcW w:w="3775" w:type="dxa"/>
          </w:tcPr>
          <w:p>
            <w:pPr>
              <w:spacing w:line="360" w:lineRule="auto"/>
              <w:jc w:val="center"/>
              <w:rPr>
                <w:rFonts w:ascii="宋体" w:hAnsi="宋体"/>
                <w:sz w:val="24"/>
                <w:highlight w:val="none"/>
              </w:rPr>
            </w:pPr>
          </w:p>
        </w:tc>
        <w:tc>
          <w:tcPr>
            <w:tcW w:w="2363" w:type="dxa"/>
          </w:tcPr>
          <w:p>
            <w:pPr>
              <w:spacing w:line="360" w:lineRule="auto"/>
              <w:jc w:val="center"/>
              <w:rPr>
                <w:rFonts w:ascii="宋体" w:hAnsi="宋体"/>
                <w:sz w:val="24"/>
                <w:highlight w:val="none"/>
              </w:rPr>
            </w:pPr>
          </w:p>
        </w:tc>
        <w:tc>
          <w:tcPr>
            <w:tcW w:w="1841" w:type="dxa"/>
          </w:tcPr>
          <w:p>
            <w:pPr>
              <w:spacing w:line="360" w:lineRule="auto"/>
              <w:jc w:val="center"/>
              <w:rPr>
                <w:rFonts w:ascii="宋体" w:hAnsi="宋体"/>
                <w:sz w:val="24"/>
                <w:highlight w:val="none"/>
              </w:rPr>
            </w:pPr>
          </w:p>
        </w:tc>
        <w:tc>
          <w:tcPr>
            <w:tcW w:w="1995" w:type="dxa"/>
          </w:tcPr>
          <w:p>
            <w:pPr>
              <w:spacing w:line="360" w:lineRule="auto"/>
              <w:jc w:val="center"/>
              <w:rPr>
                <w:rFonts w:ascii="宋体" w:hAnsi="宋体"/>
                <w:sz w:val="24"/>
                <w:highlight w:val="none"/>
              </w:rPr>
            </w:pPr>
          </w:p>
        </w:tc>
        <w:tc>
          <w:tcPr>
            <w:tcW w:w="2205" w:type="dxa"/>
          </w:tcPr>
          <w:p>
            <w:pPr>
              <w:spacing w:line="360" w:lineRule="auto"/>
              <w:jc w:val="center"/>
              <w:rPr>
                <w:rFonts w:ascii="宋体" w:hAnsi="宋体"/>
                <w:sz w:val="24"/>
                <w:highlight w:val="none"/>
              </w:rPr>
            </w:pPr>
          </w:p>
        </w:tc>
        <w:tc>
          <w:tcPr>
            <w:tcW w:w="1048" w:type="dxa"/>
          </w:tcPr>
          <w:p>
            <w:pPr>
              <w:spacing w:line="360" w:lineRule="auto"/>
              <w:jc w:val="center"/>
              <w:rPr>
                <w:rFonts w:ascii="宋体" w:hAnsi="宋体"/>
                <w:sz w:val="24"/>
                <w:highlight w:val="none"/>
              </w:rPr>
            </w:pPr>
          </w:p>
        </w:tc>
      </w:tr>
    </w:tbl>
    <w:p>
      <w:pPr>
        <w:spacing w:line="360" w:lineRule="auto"/>
        <w:rPr>
          <w:rFonts w:ascii="宋体" w:hAnsi="宋体"/>
          <w:highlight w:val="none"/>
        </w:rPr>
      </w:pPr>
    </w:p>
    <w:p>
      <w:pPr>
        <w:spacing w:line="360" w:lineRule="auto"/>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日期：</w:t>
      </w:r>
    </w:p>
    <w:p>
      <w:pPr>
        <w:rPr>
          <w:rFonts w:ascii="宋体" w:hAnsi="宋体"/>
          <w:szCs w:val="21"/>
          <w:highlight w:val="none"/>
        </w:rPr>
        <w:sectPr>
          <w:pgSz w:w="16838" w:h="11906" w:orient="landscape"/>
          <w:pgMar w:top="1276" w:right="1440" w:bottom="1797" w:left="1440" w:header="851" w:footer="992" w:gutter="0"/>
          <w:cols w:space="720" w:num="1"/>
          <w:docGrid w:linePitch="312" w:charSpace="0"/>
        </w:sectPr>
      </w:pPr>
    </w:p>
    <w:p>
      <w:pPr>
        <w:snapToGrid w:val="0"/>
        <w:rPr>
          <w:rFonts w:ascii="黑体" w:hAnsi="黑体" w:eastAsia="黑体"/>
          <w:b/>
          <w:sz w:val="24"/>
          <w:highlight w:val="none"/>
        </w:rPr>
      </w:pPr>
      <w:r>
        <w:rPr>
          <w:rFonts w:hint="eastAsia" w:ascii="宋体" w:hAnsi="宋体"/>
          <w:b/>
          <w:sz w:val="28"/>
          <w:szCs w:val="28"/>
          <w:highlight w:val="none"/>
        </w:rPr>
        <w:t xml:space="preserve">附表6：    </w:t>
      </w:r>
      <w:r>
        <w:rPr>
          <w:rFonts w:hint="eastAsia" w:ascii="黑体" w:hAnsi="黑体" w:eastAsia="黑体"/>
          <w:b/>
          <w:sz w:val="24"/>
          <w:highlight w:val="none"/>
        </w:rPr>
        <w:t xml:space="preserve">                      </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建安工程费投标报价评分表</w:t>
      </w:r>
    </w:p>
    <w:p>
      <w:pPr>
        <w:spacing w:line="360" w:lineRule="auto"/>
        <w:rPr>
          <w:rFonts w:ascii="宋体" w:hAnsi="宋体"/>
          <w:sz w:val="24"/>
          <w:highlight w:val="none"/>
        </w:rPr>
      </w:pPr>
      <w:r>
        <w:rPr>
          <w:rFonts w:hint="eastAsia" w:ascii="宋体" w:hAnsi="宋体"/>
          <w:sz w:val="24"/>
          <w:highlight w:val="none"/>
        </w:rPr>
        <w:t>工程名称：</w:t>
      </w:r>
    </w:p>
    <w:tbl>
      <w:tblPr>
        <w:tblStyle w:val="38"/>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建安工程费投标报价</w:t>
            </w:r>
            <w:r>
              <w:rPr>
                <w:rFonts w:ascii="宋体" w:hAnsi="宋体"/>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sz w:val="24"/>
                <w:highlight w:val="none"/>
              </w:rPr>
            </w:pPr>
            <w:r>
              <w:rPr>
                <w:rFonts w:hint="eastAsia" w:ascii="宋体" w:hAnsi="宋体"/>
                <w:highlight w:val="none"/>
              </w:rPr>
              <w:t>评标参考价（</w:t>
            </w:r>
            <w:r>
              <w:rPr>
                <w:rFonts w:ascii="宋体" w:hAnsi="宋体"/>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10"/>
                <w:sz w:val="24"/>
                <w:highlight w:val="none"/>
              </w:rPr>
            </w:pPr>
            <w:r>
              <w:rPr>
                <w:rFonts w:hint="eastAsia" w:ascii="宋体" w:hAnsi="宋体"/>
                <w:spacing w:val="-10"/>
                <w:sz w:val="24"/>
                <w:highlight w:val="none"/>
              </w:rPr>
              <w:t>偏差（（</w:t>
            </w:r>
            <w:r>
              <w:rPr>
                <w:rFonts w:ascii="宋体" w:hAnsi="宋体"/>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减分（</w:t>
            </w:r>
            <w:r>
              <w:rPr>
                <w:rFonts w:ascii="宋体" w:hAnsi="宋体"/>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经济标得分</w:t>
            </w:r>
            <w:r>
              <w:rPr>
                <w:rFonts w:ascii="宋体" w:hAnsi="宋体"/>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评委签名：                   日期：</w:t>
      </w:r>
    </w:p>
    <w:p>
      <w:pPr>
        <w:spacing w:line="400" w:lineRule="exact"/>
        <w:rPr>
          <w:rFonts w:ascii="宋体" w:hAnsi="宋体"/>
          <w:b/>
          <w:sz w:val="28"/>
          <w:szCs w:val="28"/>
          <w:highlight w:val="none"/>
        </w:rPr>
      </w:pPr>
      <w:r>
        <w:rPr>
          <w:rFonts w:hint="eastAsia" w:ascii="宋体" w:hAnsi="宋体"/>
          <w:b/>
          <w:sz w:val="28"/>
          <w:szCs w:val="28"/>
          <w:highlight w:val="none"/>
        </w:rPr>
        <w:br w:type="page"/>
      </w:r>
    </w:p>
    <w:p>
      <w:pPr>
        <w:spacing w:line="400" w:lineRule="exact"/>
        <w:rPr>
          <w:rFonts w:ascii="宋体" w:hAnsi="宋体"/>
          <w:b/>
          <w:color w:val="FF0000"/>
          <w:sz w:val="28"/>
          <w:szCs w:val="28"/>
          <w:highlight w:val="none"/>
        </w:rPr>
      </w:pPr>
      <w:r>
        <w:rPr>
          <w:rFonts w:hint="eastAsia" w:ascii="宋体" w:hAnsi="宋体"/>
          <w:b/>
          <w:color w:val="FF0000"/>
          <w:sz w:val="28"/>
          <w:szCs w:val="28"/>
          <w:highlight w:val="none"/>
        </w:rPr>
        <w:t>附表7：</w:t>
      </w:r>
    </w:p>
    <w:p>
      <w:pPr>
        <w:spacing w:line="360" w:lineRule="auto"/>
        <w:jc w:val="center"/>
        <w:rPr>
          <w:rFonts w:ascii="黑体" w:hAnsi="黑体" w:eastAsia="黑体" w:cs="黑体"/>
          <w:b/>
          <w:color w:val="FF0000"/>
          <w:sz w:val="32"/>
          <w:szCs w:val="32"/>
          <w:highlight w:val="none"/>
        </w:rPr>
      </w:pPr>
      <w:r>
        <w:rPr>
          <w:rFonts w:hint="eastAsia" w:ascii="黑体" w:hAnsi="黑体" w:eastAsia="黑体" w:cs="黑体"/>
          <w:b/>
          <w:color w:val="FF0000"/>
          <w:sz w:val="32"/>
          <w:szCs w:val="32"/>
          <w:highlight w:val="none"/>
        </w:rPr>
        <w:t>总得分汇总表</w:t>
      </w:r>
    </w:p>
    <w:p>
      <w:pPr>
        <w:spacing w:line="360" w:lineRule="auto"/>
        <w:jc w:val="left"/>
        <w:rPr>
          <w:color w:val="FF0000"/>
          <w:szCs w:val="21"/>
          <w:highlight w:val="none"/>
        </w:rPr>
      </w:pPr>
      <w:r>
        <w:rPr>
          <w:rFonts w:hint="eastAsia"/>
          <w:color w:val="FF0000"/>
          <w:szCs w:val="21"/>
          <w:highlight w:val="none"/>
        </w:rPr>
        <w:t xml:space="preserve">项目名称：                                                                                           </w:t>
      </w:r>
    </w:p>
    <w:tbl>
      <w:tblPr>
        <w:tblStyle w:val="38"/>
        <w:tblW w:w="13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405"/>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序号</w:t>
            </w:r>
          </w:p>
        </w:tc>
        <w:tc>
          <w:tcPr>
            <w:tcW w:w="3405" w:type="dxa"/>
            <w:vAlign w:val="center"/>
          </w:tcPr>
          <w:p>
            <w:pPr>
              <w:spacing w:line="360" w:lineRule="auto"/>
              <w:jc w:val="center"/>
              <w:rPr>
                <w:color w:val="FF0000"/>
                <w:szCs w:val="21"/>
                <w:highlight w:val="none"/>
              </w:rPr>
            </w:pPr>
            <w:r>
              <w:rPr>
                <w:rFonts w:hint="eastAsia"/>
                <w:color w:val="FF0000"/>
                <w:szCs w:val="21"/>
                <w:highlight w:val="none"/>
              </w:rPr>
              <w:t>权重</w:t>
            </w:r>
          </w:p>
        </w:tc>
        <w:tc>
          <w:tcPr>
            <w:tcW w:w="2760" w:type="dxa"/>
            <w:vAlign w:val="center"/>
          </w:tcPr>
          <w:p>
            <w:pPr>
              <w:spacing w:line="360" w:lineRule="auto"/>
              <w:jc w:val="center"/>
              <w:rPr>
                <w:color w:val="FF0000"/>
                <w:szCs w:val="21"/>
                <w:highlight w:val="none"/>
              </w:rPr>
            </w:pPr>
            <w:r>
              <w:rPr>
                <w:rFonts w:hint="eastAsia"/>
                <w:color w:val="FF0000"/>
                <w:szCs w:val="21"/>
                <w:highlight w:val="none"/>
              </w:rPr>
              <w:t>项目</w:t>
            </w:r>
          </w:p>
        </w:tc>
        <w:tc>
          <w:tcPr>
            <w:tcW w:w="1984" w:type="dxa"/>
            <w:vAlign w:val="center"/>
          </w:tcPr>
          <w:p>
            <w:pPr>
              <w:spacing w:line="360" w:lineRule="auto"/>
              <w:jc w:val="center"/>
              <w:rPr>
                <w:color w:val="FF0000"/>
                <w:szCs w:val="21"/>
                <w:highlight w:val="none"/>
              </w:rPr>
            </w:pPr>
            <w:r>
              <w:rPr>
                <w:rFonts w:hint="eastAsia"/>
                <w:color w:val="FF0000"/>
                <w:szCs w:val="21"/>
                <w:highlight w:val="none"/>
              </w:rPr>
              <w:t>投标人1</w:t>
            </w:r>
          </w:p>
        </w:tc>
        <w:tc>
          <w:tcPr>
            <w:tcW w:w="1701" w:type="dxa"/>
            <w:vAlign w:val="center"/>
          </w:tcPr>
          <w:p>
            <w:pPr>
              <w:spacing w:line="360" w:lineRule="auto"/>
              <w:jc w:val="center"/>
              <w:rPr>
                <w:color w:val="FF0000"/>
                <w:szCs w:val="21"/>
                <w:highlight w:val="none"/>
              </w:rPr>
            </w:pPr>
            <w:r>
              <w:rPr>
                <w:rFonts w:hint="eastAsia"/>
                <w:color w:val="FF0000"/>
                <w:szCs w:val="21"/>
                <w:highlight w:val="none"/>
              </w:rPr>
              <w:t>投标人2</w:t>
            </w:r>
          </w:p>
        </w:tc>
        <w:tc>
          <w:tcPr>
            <w:tcW w:w="1589" w:type="dxa"/>
            <w:vAlign w:val="center"/>
          </w:tcPr>
          <w:p>
            <w:pPr>
              <w:spacing w:line="360" w:lineRule="auto"/>
              <w:jc w:val="center"/>
              <w:rPr>
                <w:color w:val="FF0000"/>
                <w:szCs w:val="21"/>
                <w:highlight w:val="none"/>
              </w:rPr>
            </w:pPr>
            <w:r>
              <w:rPr>
                <w:rFonts w:hint="eastAsia"/>
                <w:color w:val="FF0000"/>
                <w:szCs w:val="21"/>
                <w:highlight w:val="none"/>
              </w:rPr>
              <w:t>……</w:t>
            </w:r>
          </w:p>
        </w:tc>
        <w:tc>
          <w:tcPr>
            <w:tcW w:w="876" w:type="dxa"/>
            <w:vAlign w:val="center"/>
          </w:tcPr>
          <w:p>
            <w:pPr>
              <w:spacing w:line="360" w:lineRule="auto"/>
              <w:jc w:val="center"/>
              <w:rPr>
                <w:color w:val="FF0000"/>
                <w:szCs w:val="21"/>
                <w:highlight w:val="none"/>
              </w:rPr>
            </w:pPr>
            <w:r>
              <w:rPr>
                <w:rFonts w:hint="eastAsia"/>
                <w:color w:val="FF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1</w:t>
            </w:r>
          </w:p>
        </w:tc>
        <w:tc>
          <w:tcPr>
            <w:tcW w:w="3405" w:type="dxa"/>
            <w:vAlign w:val="center"/>
          </w:tcPr>
          <w:p>
            <w:pPr>
              <w:spacing w:line="360" w:lineRule="auto"/>
              <w:jc w:val="center"/>
              <w:rPr>
                <w:color w:val="FF0000"/>
                <w:szCs w:val="21"/>
                <w:highlight w:val="none"/>
              </w:rPr>
            </w:pPr>
            <w:r>
              <w:rPr>
                <w:rFonts w:hint="eastAsia" w:ascii="宋体" w:hAnsi="宋体"/>
                <w:b/>
                <w:bCs/>
                <w:color w:val="FF0000"/>
                <w:szCs w:val="21"/>
              </w:rPr>
              <w:t>资信</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color w:val="FF0000"/>
                <w:szCs w:val="21"/>
                <w:highlight w:val="none"/>
              </w:rPr>
            </w:pPr>
            <w:r>
              <w:rPr>
                <w:rFonts w:hint="eastAsia" w:ascii="宋体" w:hAnsi="宋体"/>
                <w:b/>
                <w:bCs/>
                <w:color w:val="FF0000"/>
                <w:szCs w:val="21"/>
              </w:rPr>
              <w:t>资信</w:t>
            </w:r>
            <w:r>
              <w:rPr>
                <w:rFonts w:hint="eastAsia" w:ascii="宋体" w:hAnsi="宋体"/>
                <w:b/>
                <w:color w:val="FF0000"/>
                <w:spacing w:val="-4"/>
                <w:lang w:eastAsia="zh-CN"/>
              </w:rPr>
              <w:t>得</w:t>
            </w:r>
            <w:r>
              <w:rPr>
                <w:rFonts w:hint="eastAsia" w:ascii="宋体" w:hAnsi="宋体"/>
                <w:b/>
                <w:color w:val="FF0000"/>
                <w:spacing w:val="-4"/>
              </w:rPr>
              <w:t>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rFonts w:hint="eastAsia"/>
                <w:color w:val="FF0000"/>
                <w:szCs w:val="21"/>
                <w:highlight w:val="none"/>
              </w:rPr>
            </w:pPr>
          </w:p>
        </w:tc>
        <w:tc>
          <w:tcPr>
            <w:tcW w:w="3405" w:type="dxa"/>
            <w:vAlign w:val="center"/>
          </w:tcPr>
          <w:p>
            <w:pPr>
              <w:spacing w:line="360" w:lineRule="auto"/>
              <w:jc w:val="center"/>
              <w:rPr>
                <w:rFonts w:hint="eastAsia"/>
                <w:color w:val="FF0000"/>
                <w:szCs w:val="21"/>
                <w:highlight w:val="none"/>
              </w:rPr>
            </w:pPr>
            <w:r>
              <w:rPr>
                <w:rFonts w:hint="eastAsia" w:ascii="宋体" w:hAnsi="宋体"/>
                <w:b/>
                <w:bCs/>
                <w:color w:val="FF0000"/>
                <w:szCs w:val="21"/>
                <w:lang w:eastAsia="zh-CN"/>
              </w:rPr>
              <w:t>技术</w:t>
            </w:r>
            <w:r>
              <w:rPr>
                <w:rFonts w:hint="eastAsia" w:ascii="宋体" w:hAnsi="宋体"/>
                <w:b/>
                <w:color w:val="FF0000"/>
                <w:spacing w:val="-4"/>
              </w:rPr>
              <w:t>评分（</w:t>
            </w:r>
            <w:r>
              <w:rPr>
                <w:rFonts w:hint="eastAsia" w:ascii="宋体" w:hAnsi="宋体"/>
                <w:b/>
                <w:color w:val="FF0000"/>
                <w:spacing w:val="-4"/>
                <w:lang w:val="en-US" w:eastAsia="zh-CN"/>
              </w:rPr>
              <w:t>30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rFonts w:hint="eastAsia"/>
                <w:color w:val="FF0000"/>
                <w:szCs w:val="21"/>
                <w:highlight w:val="none"/>
              </w:rPr>
            </w:pPr>
            <w:r>
              <w:rPr>
                <w:rFonts w:hint="eastAsia" w:ascii="宋体" w:hAnsi="宋体"/>
                <w:b/>
                <w:color w:val="FF0000"/>
                <w:spacing w:val="-4"/>
                <w:lang w:eastAsia="zh-CN"/>
              </w:rPr>
              <w:t>技术得</w:t>
            </w:r>
            <w:r>
              <w:rPr>
                <w:rFonts w:hint="eastAsia" w:ascii="宋体" w:hAnsi="宋体"/>
                <w:b/>
                <w:color w:val="FF0000"/>
                <w:spacing w:val="-4"/>
              </w:rPr>
              <w:t>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FF0000"/>
                <w:szCs w:val="21"/>
                <w:highlight w:val="none"/>
              </w:rPr>
            </w:pPr>
            <w:r>
              <w:rPr>
                <w:rFonts w:hint="eastAsia"/>
                <w:color w:val="FF0000"/>
                <w:szCs w:val="21"/>
                <w:highlight w:val="none"/>
              </w:rPr>
              <w:t>2</w:t>
            </w:r>
          </w:p>
        </w:tc>
        <w:tc>
          <w:tcPr>
            <w:tcW w:w="3405" w:type="dxa"/>
            <w:vAlign w:val="center"/>
          </w:tcPr>
          <w:p>
            <w:pPr>
              <w:spacing w:line="360" w:lineRule="auto"/>
              <w:jc w:val="center"/>
              <w:rPr>
                <w:color w:val="FF0000"/>
                <w:szCs w:val="21"/>
                <w:highlight w:val="none"/>
              </w:rPr>
            </w:pPr>
            <w:r>
              <w:rPr>
                <w:rFonts w:hint="eastAsia" w:ascii="宋体" w:hAnsi="宋体"/>
                <w:b/>
                <w:color w:val="FF0000"/>
                <w:spacing w:val="-4"/>
              </w:rPr>
              <w:t>投标报价得分（</w:t>
            </w:r>
            <w:r>
              <w:rPr>
                <w:rFonts w:hint="eastAsia" w:ascii="宋体" w:hAnsi="宋体"/>
                <w:b/>
                <w:color w:val="FF0000"/>
                <w:spacing w:val="-4"/>
                <w:lang w:val="en-US" w:eastAsia="zh-CN"/>
              </w:rPr>
              <w:t>4</w:t>
            </w:r>
            <w:r>
              <w:rPr>
                <w:rFonts w:hint="eastAsia" w:ascii="宋体" w:hAnsi="宋体"/>
                <w:b/>
                <w:color w:val="FF0000"/>
                <w:spacing w:val="-4"/>
              </w:rPr>
              <w:t>0</w:t>
            </w:r>
            <w:r>
              <w:rPr>
                <w:rFonts w:hint="eastAsia" w:ascii="宋体" w:hAnsi="宋体"/>
                <w:b/>
                <w:color w:val="FF0000"/>
              </w:rPr>
              <w:t>%</w:t>
            </w:r>
            <w:r>
              <w:rPr>
                <w:rFonts w:hint="eastAsia" w:ascii="宋体" w:hAnsi="宋体"/>
                <w:b/>
                <w:color w:val="FF0000"/>
                <w:spacing w:val="-4"/>
              </w:rPr>
              <w:t>）</w:t>
            </w:r>
          </w:p>
        </w:tc>
        <w:tc>
          <w:tcPr>
            <w:tcW w:w="2760" w:type="dxa"/>
            <w:vAlign w:val="center"/>
          </w:tcPr>
          <w:p>
            <w:pPr>
              <w:spacing w:line="360" w:lineRule="auto"/>
              <w:jc w:val="center"/>
              <w:rPr>
                <w:color w:val="FF0000"/>
                <w:szCs w:val="21"/>
                <w:highlight w:val="none"/>
              </w:rPr>
            </w:pPr>
            <w:r>
              <w:rPr>
                <w:rFonts w:hint="eastAsia" w:ascii="宋体" w:hAnsi="宋体"/>
                <w:b/>
                <w:color w:val="FF0000"/>
                <w:spacing w:val="-4"/>
              </w:rPr>
              <w:t>投标报价得分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45" w:type="dxa"/>
            <w:gridSpan w:val="3"/>
            <w:vAlign w:val="center"/>
          </w:tcPr>
          <w:p>
            <w:pPr>
              <w:spacing w:line="360" w:lineRule="auto"/>
              <w:jc w:val="center"/>
              <w:rPr>
                <w:rFonts w:hint="eastAsia" w:eastAsia="宋体"/>
                <w:color w:val="FF0000"/>
                <w:szCs w:val="21"/>
                <w:highlight w:val="none"/>
                <w:lang w:val="en-US" w:eastAsia="zh-CN"/>
              </w:rPr>
            </w:pPr>
            <w:r>
              <w:rPr>
                <w:rFonts w:hint="eastAsia"/>
                <w:color w:val="FF0000"/>
                <w:szCs w:val="21"/>
                <w:highlight w:val="none"/>
              </w:rPr>
              <w:t>总得分=</w:t>
            </w:r>
            <w:r>
              <w:rPr>
                <w:rFonts w:hint="eastAsia" w:ascii="宋体" w:hAnsi="宋体"/>
                <w:b/>
                <w:bCs/>
                <w:color w:val="FF0000"/>
                <w:szCs w:val="21"/>
              </w:rPr>
              <w:t>资信</w:t>
            </w:r>
            <w:r>
              <w:rPr>
                <w:rFonts w:hint="eastAsia" w:ascii="宋体" w:hAnsi="宋体"/>
                <w:b/>
                <w:color w:val="FF0000"/>
                <w:spacing w:val="-4"/>
                <w:lang w:eastAsia="zh-CN"/>
              </w:rPr>
              <w:t>得</w:t>
            </w:r>
            <w:r>
              <w:rPr>
                <w:rFonts w:hint="eastAsia" w:ascii="宋体" w:hAnsi="宋体"/>
                <w:b/>
                <w:color w:val="FF0000"/>
                <w:spacing w:val="-4"/>
              </w:rPr>
              <w:t>分</w:t>
            </w:r>
            <w:r>
              <w:rPr>
                <w:rFonts w:hint="eastAsia" w:ascii="宋体" w:hAnsi="宋体"/>
                <w:b/>
                <w:color w:val="FF0000"/>
                <w:spacing w:val="-4"/>
                <w:lang w:val="en-US" w:eastAsia="zh-CN"/>
              </w:rPr>
              <w:t>+</w:t>
            </w:r>
            <w:r>
              <w:rPr>
                <w:rFonts w:hint="eastAsia" w:ascii="宋体" w:hAnsi="宋体"/>
                <w:b/>
                <w:color w:val="FF0000"/>
                <w:spacing w:val="-4"/>
                <w:lang w:eastAsia="zh-CN"/>
              </w:rPr>
              <w:t>技术得</w:t>
            </w:r>
            <w:r>
              <w:rPr>
                <w:rFonts w:hint="eastAsia" w:ascii="宋体" w:hAnsi="宋体"/>
                <w:b/>
                <w:color w:val="FF0000"/>
                <w:spacing w:val="-4"/>
              </w:rPr>
              <w:t>分</w:t>
            </w:r>
            <w:r>
              <w:rPr>
                <w:rFonts w:hint="eastAsia" w:ascii="宋体" w:hAnsi="宋体"/>
                <w:b/>
                <w:color w:val="FF0000"/>
                <w:spacing w:val="-4"/>
                <w:lang w:val="en-US" w:eastAsia="zh-CN"/>
              </w:rPr>
              <w:t>+</w:t>
            </w:r>
            <w:r>
              <w:rPr>
                <w:rFonts w:hint="eastAsia" w:ascii="宋体" w:hAnsi="宋体"/>
                <w:b/>
                <w:color w:val="FF0000"/>
                <w:spacing w:val="-4"/>
              </w:rPr>
              <w:t>投标报价得分</w:t>
            </w:r>
          </w:p>
        </w:tc>
        <w:tc>
          <w:tcPr>
            <w:tcW w:w="1984" w:type="dxa"/>
            <w:vAlign w:val="center"/>
          </w:tcPr>
          <w:p>
            <w:pPr>
              <w:spacing w:line="360" w:lineRule="auto"/>
              <w:jc w:val="center"/>
              <w:rPr>
                <w:color w:val="FF0000"/>
                <w:szCs w:val="21"/>
                <w:highlight w:val="none"/>
              </w:rPr>
            </w:pPr>
          </w:p>
        </w:tc>
        <w:tc>
          <w:tcPr>
            <w:tcW w:w="1701" w:type="dxa"/>
            <w:vAlign w:val="center"/>
          </w:tcPr>
          <w:p>
            <w:pPr>
              <w:spacing w:line="360" w:lineRule="auto"/>
              <w:jc w:val="center"/>
              <w:rPr>
                <w:color w:val="FF0000"/>
                <w:szCs w:val="21"/>
                <w:highlight w:val="none"/>
              </w:rPr>
            </w:pPr>
          </w:p>
        </w:tc>
        <w:tc>
          <w:tcPr>
            <w:tcW w:w="1589" w:type="dxa"/>
            <w:vAlign w:val="center"/>
          </w:tcPr>
          <w:p>
            <w:pPr>
              <w:spacing w:line="360" w:lineRule="auto"/>
              <w:jc w:val="center"/>
              <w:rPr>
                <w:color w:val="FF0000"/>
                <w:szCs w:val="21"/>
                <w:highlight w:val="none"/>
              </w:rPr>
            </w:pPr>
          </w:p>
        </w:tc>
        <w:tc>
          <w:tcPr>
            <w:tcW w:w="876" w:type="dxa"/>
            <w:vAlign w:val="center"/>
          </w:tcPr>
          <w:p>
            <w:pPr>
              <w:spacing w:line="360" w:lineRule="auto"/>
              <w:jc w:val="center"/>
              <w:rPr>
                <w:color w:val="FF0000"/>
                <w:szCs w:val="21"/>
                <w:highlight w:val="none"/>
              </w:rPr>
            </w:pPr>
          </w:p>
        </w:tc>
      </w:tr>
    </w:tbl>
    <w:p>
      <w:pPr>
        <w:spacing w:line="360" w:lineRule="auto"/>
        <w:rPr>
          <w:color w:val="FF0000"/>
          <w:szCs w:val="21"/>
          <w:highlight w:val="none"/>
        </w:rPr>
      </w:pPr>
      <w:r>
        <w:rPr>
          <w:rFonts w:hint="eastAsia"/>
          <w:color w:val="FF0000"/>
          <w:szCs w:val="21"/>
          <w:highlight w:val="none"/>
        </w:rPr>
        <w:t>注：精确到小数点后两位，第三位四舍五入。</w:t>
      </w:r>
    </w:p>
    <w:p>
      <w:pPr>
        <w:spacing w:line="360" w:lineRule="auto"/>
        <w:ind w:firstLine="405"/>
        <w:rPr>
          <w:color w:val="FF0000"/>
          <w:szCs w:val="21"/>
          <w:highlight w:val="none"/>
        </w:rPr>
      </w:pPr>
    </w:p>
    <w:p>
      <w:pPr>
        <w:rPr>
          <w:rFonts w:ascii="宋体" w:hAnsi="宋体"/>
          <w:color w:val="FF0000"/>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color w:val="FF0000"/>
          <w:szCs w:val="21"/>
          <w:highlight w:val="none"/>
        </w:rPr>
        <w:t>评委签名：                                           日期：</w:t>
      </w:r>
    </w:p>
    <w:p>
      <w:pPr>
        <w:spacing w:line="400" w:lineRule="exact"/>
        <w:rPr>
          <w:rFonts w:ascii="宋体" w:hAnsi="宋体"/>
          <w:b/>
          <w:sz w:val="28"/>
          <w:szCs w:val="28"/>
          <w:highlight w:val="none"/>
        </w:rPr>
      </w:pPr>
    </w:p>
    <w:p>
      <w:pPr>
        <w:rPr>
          <w:highlight w:val="none"/>
        </w:rPr>
      </w:pPr>
    </w:p>
    <w:p>
      <w:pPr>
        <w:rPr>
          <w:highlight w:val="none"/>
        </w:rPr>
      </w:pPr>
    </w:p>
    <w:p>
      <w:pPr>
        <w:pStyle w:val="3"/>
        <w:jc w:val="center"/>
        <w:rPr>
          <w:highlight w:val="none"/>
        </w:rPr>
      </w:pPr>
      <w:bookmarkStart w:id="1011" w:name="_Toc17385"/>
      <w:bookmarkStart w:id="1012" w:name="_Toc144974577"/>
      <w:bookmarkStart w:id="1013" w:name="_Toc4736"/>
      <w:bookmarkStart w:id="1014" w:name="_Toc300835030"/>
      <w:bookmarkStart w:id="1015" w:name="_Toc247527634"/>
      <w:bookmarkStart w:id="1016" w:name="_Toc2984"/>
      <w:bookmarkStart w:id="1017" w:name="_Toc16000"/>
      <w:bookmarkStart w:id="1018" w:name="_Toc152042387"/>
      <w:bookmarkStart w:id="1019" w:name="_Toc494371582"/>
      <w:bookmarkStart w:id="1020" w:name="_Toc22634"/>
      <w:bookmarkStart w:id="1021" w:name="_Toc247514033"/>
      <w:bookmarkStart w:id="1022" w:name="_Toc152045609"/>
      <w:bookmarkStart w:id="1023" w:name="_Toc29492"/>
      <w:bookmarkStart w:id="1024" w:name="_Toc2492"/>
      <w:bookmarkStart w:id="1025" w:name="_Toc31763"/>
      <w:bookmarkStart w:id="1026" w:name="_Toc13990"/>
      <w:bookmarkStart w:id="1027" w:name="_Toc29140"/>
      <w:bookmarkStart w:id="1028" w:name="_Toc13994"/>
      <w:r>
        <w:rPr>
          <w:rFonts w:hint="eastAsia"/>
          <w:highlight w:val="none"/>
        </w:rPr>
        <w:t>第四章合同条款及格式</w:t>
      </w:r>
      <w:bookmarkEnd w:id="1011"/>
      <w:bookmarkEnd w:id="1012"/>
      <w:bookmarkEnd w:id="1013"/>
      <w:bookmarkEnd w:id="1014"/>
      <w:bookmarkEnd w:id="1015"/>
      <w:bookmarkEnd w:id="1016"/>
      <w:bookmarkEnd w:id="1017"/>
      <w:bookmarkEnd w:id="1018"/>
      <w:bookmarkEnd w:id="1019"/>
      <w:bookmarkEnd w:id="1020"/>
      <w:bookmarkEnd w:id="1021"/>
      <w:bookmarkEnd w:id="1022"/>
      <w:bookmarkStart w:id="1029" w:name="_Toc184635097"/>
      <w:bookmarkStart w:id="1030" w:name="_Toc144974578"/>
      <w:bookmarkStart w:id="1031" w:name="_Toc247514034"/>
      <w:bookmarkStart w:id="1032" w:name="_Toc247527635"/>
      <w:bookmarkStart w:id="1033" w:name="_Toc152045610"/>
      <w:bookmarkStart w:id="1034" w:name="_Toc152042388"/>
      <w:r>
        <w:rPr>
          <w:rFonts w:hint="eastAsia"/>
          <w:highlight w:val="none"/>
        </w:rPr>
        <w:t>（另册）</w:t>
      </w:r>
      <w:bookmarkEnd w:id="1023"/>
      <w:bookmarkEnd w:id="1024"/>
      <w:bookmarkEnd w:id="1025"/>
      <w:bookmarkEnd w:id="1026"/>
      <w:bookmarkEnd w:id="1027"/>
      <w:bookmarkEnd w:id="1028"/>
    </w:p>
    <w:p>
      <w:pPr>
        <w:rPr>
          <w:highlight w:val="none"/>
        </w:rPr>
      </w:pPr>
      <w:r>
        <w:rPr>
          <w:highlight w:val="none"/>
        </w:rPr>
        <w:br w:type="page"/>
      </w:r>
    </w:p>
    <w:p>
      <w:pPr>
        <w:rPr>
          <w:highlight w:val="none"/>
        </w:rPr>
      </w:pPr>
    </w:p>
    <w:bookmarkEnd w:id="1029"/>
    <w:bookmarkEnd w:id="1030"/>
    <w:bookmarkEnd w:id="1031"/>
    <w:bookmarkEnd w:id="1032"/>
    <w:bookmarkEnd w:id="1033"/>
    <w:bookmarkEnd w:id="1034"/>
    <w:p>
      <w:pPr>
        <w:rPr>
          <w:highlight w:val="none"/>
        </w:rPr>
      </w:pPr>
    </w:p>
    <w:p>
      <w:pPr>
        <w:rPr>
          <w:highlight w:val="none"/>
        </w:rPr>
      </w:pPr>
      <w:bookmarkStart w:id="1035" w:name="_Toc152045772"/>
      <w:bookmarkEnd w:id="1035"/>
      <w:bookmarkStart w:id="1036" w:name="_Toc152042554"/>
      <w:bookmarkEnd w:id="1036"/>
      <w:bookmarkStart w:id="1037" w:name="_Toc144974834"/>
      <w:bookmarkEnd w:id="1037"/>
      <w:bookmarkStart w:id="1038" w:name="_Toc247527803"/>
      <w:bookmarkEnd w:id="1038"/>
      <w:bookmarkStart w:id="1039" w:name="_Toc247514202"/>
      <w:bookmarkEnd w:id="1039"/>
    </w:p>
    <w:p>
      <w:pPr>
        <w:spacing w:line="400" w:lineRule="exact"/>
        <w:rPr>
          <w:highlight w:val="none"/>
        </w:rPr>
      </w:pPr>
    </w:p>
    <w:p>
      <w:pPr>
        <w:pStyle w:val="3"/>
        <w:rPr>
          <w:highlight w:val="none"/>
        </w:rPr>
      </w:pPr>
      <w:bookmarkStart w:id="1040" w:name="_Toc247514232"/>
      <w:bookmarkStart w:id="1041" w:name="_Toc247527819"/>
      <w:bookmarkStart w:id="1042" w:name="_Toc300835204"/>
      <w:bookmarkStart w:id="1043" w:name="_Toc2710"/>
      <w:bookmarkStart w:id="1044" w:name="_Toc494371583"/>
      <w:bookmarkStart w:id="1045" w:name="_Toc28468"/>
      <w:bookmarkStart w:id="1046" w:name="_Toc7709"/>
      <w:bookmarkStart w:id="1047" w:name="_Toc6632"/>
      <w:bookmarkStart w:id="1048" w:name="_Toc22"/>
      <w:bookmarkStart w:id="1049" w:name="_Toc13932"/>
      <w:bookmarkStart w:id="1050" w:name="_Toc28286"/>
      <w:bookmarkStart w:id="1051" w:name="_Toc2433"/>
      <w:bookmarkStart w:id="1052" w:name="_Toc30942"/>
      <w:bookmarkStart w:id="1053" w:name="_Toc25726"/>
    </w:p>
    <w:p>
      <w:pPr>
        <w:pStyle w:val="3"/>
        <w:rPr>
          <w:highlight w:val="none"/>
        </w:rPr>
      </w:pPr>
    </w:p>
    <w:p>
      <w:pPr>
        <w:pStyle w:val="3"/>
        <w:rPr>
          <w:highlight w:val="none"/>
        </w:rPr>
      </w:pPr>
    </w:p>
    <w:p>
      <w:pPr>
        <w:pStyle w:val="3"/>
        <w:jc w:val="center"/>
        <w:rPr>
          <w:sz w:val="24"/>
          <w:highlight w:val="none"/>
        </w:rPr>
      </w:pPr>
      <w:bookmarkStart w:id="1054" w:name="_Toc17655"/>
      <w:r>
        <w:rPr>
          <w:rFonts w:hint="eastAsia"/>
          <w:highlight w:val="none"/>
        </w:rPr>
        <w:t>第二卷</w:t>
      </w:r>
      <w:bookmarkEnd w:id="1040"/>
      <w:bookmarkEnd w:id="1041"/>
      <w:bookmarkEnd w:id="1042"/>
      <w:r>
        <w:rPr>
          <w:highlight w:val="none"/>
        </w:rPr>
        <w:br w:type="page"/>
      </w:r>
      <w:bookmarkEnd w:id="1043"/>
      <w:bookmarkEnd w:id="1044"/>
      <w:bookmarkEnd w:id="1045"/>
      <w:bookmarkEnd w:id="1046"/>
      <w:bookmarkEnd w:id="1047"/>
      <w:bookmarkEnd w:id="1048"/>
      <w:bookmarkEnd w:id="1049"/>
      <w:bookmarkEnd w:id="1050"/>
      <w:bookmarkEnd w:id="1051"/>
      <w:bookmarkEnd w:id="1052"/>
      <w:bookmarkEnd w:id="1053"/>
      <w:bookmarkEnd w:id="1054"/>
    </w:p>
    <w:p>
      <w:pPr>
        <w:pStyle w:val="20"/>
        <w:spacing w:line="360" w:lineRule="auto"/>
        <w:rPr>
          <w:sz w:val="24"/>
          <w:highlight w:val="none"/>
        </w:rPr>
      </w:pPr>
      <w:r>
        <w:rPr>
          <w:rFonts w:hint="eastAsia"/>
          <w:sz w:val="24"/>
          <w:highlight w:val="none"/>
        </w:rPr>
        <w:t xml:space="preserve">            </w:t>
      </w:r>
    </w:p>
    <w:p>
      <w:pPr>
        <w:pStyle w:val="3"/>
        <w:numPr>
          <w:ilvl w:val="0"/>
          <w:numId w:val="4"/>
        </w:numPr>
        <w:jc w:val="center"/>
        <w:rPr>
          <w:highlight w:val="none"/>
        </w:rPr>
      </w:pPr>
      <w:bookmarkStart w:id="1055" w:name="_Toc300835205"/>
      <w:bookmarkStart w:id="1056" w:name="_Toc15946"/>
      <w:bookmarkStart w:id="1057" w:name="_Toc21889"/>
      <w:bookmarkStart w:id="1058" w:name="_Toc21618"/>
      <w:bookmarkStart w:id="1059" w:name="_Toc18278"/>
      <w:bookmarkStart w:id="1060" w:name="_Toc300835206"/>
      <w:bookmarkStart w:id="1061" w:name="_Toc32466"/>
      <w:bookmarkStart w:id="1062" w:name="_Toc29491"/>
      <w:bookmarkStart w:id="1063" w:name="_Toc494371585"/>
      <w:bookmarkStart w:id="1064" w:name="_Toc11303"/>
      <w:bookmarkStart w:id="1065" w:name="_Toc25249"/>
      <w:bookmarkStart w:id="1066" w:name="_Toc32359"/>
      <w:bookmarkStart w:id="1067" w:name="_Toc8482"/>
      <w:bookmarkStart w:id="1068" w:name="_Toc18835"/>
      <w:r>
        <w:rPr>
          <w:rFonts w:hint="eastAsia"/>
          <w:highlight w:val="none"/>
        </w:rPr>
        <w:t>发包人要求</w:t>
      </w:r>
      <w:bookmarkEnd w:id="1055"/>
      <w:r>
        <w:rPr>
          <w:rFonts w:hint="eastAsia"/>
          <w:highlight w:val="none"/>
        </w:rPr>
        <w:t>（另册）</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spacing w:line="360" w:lineRule="auto"/>
        <w:rPr>
          <w:highlight w:val="none"/>
        </w:rPr>
      </w:pPr>
      <w:r>
        <w:rPr>
          <w:highlight w:val="none"/>
        </w:rPr>
        <w:br w:type="page"/>
      </w:r>
    </w:p>
    <w:p>
      <w:pPr>
        <w:spacing w:line="360" w:lineRule="auto"/>
        <w:rPr>
          <w:highlight w:val="none"/>
        </w:rPr>
      </w:pPr>
    </w:p>
    <w:p>
      <w:pPr>
        <w:pStyle w:val="3"/>
        <w:numPr>
          <w:ilvl w:val="0"/>
          <w:numId w:val="4"/>
        </w:numPr>
        <w:jc w:val="center"/>
        <w:rPr>
          <w:highlight w:val="none"/>
        </w:rPr>
      </w:pPr>
      <w:bookmarkStart w:id="1069" w:name="_Toc23074"/>
      <w:r>
        <w:rPr>
          <w:rFonts w:hint="eastAsia"/>
          <w:highlight w:val="none"/>
        </w:rPr>
        <w:t>发包人提供的资料（另册）</w:t>
      </w:r>
      <w:bookmarkEnd w:id="1069"/>
    </w:p>
    <w:p>
      <w:pPr>
        <w:spacing w:line="400" w:lineRule="exact"/>
        <w:rPr>
          <w:highlight w:val="none"/>
        </w:rPr>
      </w:pPr>
    </w:p>
    <w:p>
      <w:pPr>
        <w:spacing w:line="400" w:lineRule="exact"/>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pStyle w:val="20"/>
        <w:rPr>
          <w:highlight w:val="none"/>
        </w:rPr>
      </w:pPr>
    </w:p>
    <w:p>
      <w:pPr>
        <w:spacing w:line="400" w:lineRule="exact"/>
        <w:rPr>
          <w:highlight w:val="none"/>
        </w:rPr>
      </w:pPr>
    </w:p>
    <w:p>
      <w:pPr>
        <w:pStyle w:val="3"/>
        <w:jc w:val="center"/>
        <w:rPr>
          <w:highlight w:val="none"/>
        </w:rPr>
      </w:pPr>
      <w:bookmarkStart w:id="1070" w:name="_Toc1901"/>
      <w:bookmarkStart w:id="1071" w:name="_Toc25694"/>
      <w:bookmarkStart w:id="1072" w:name="_Toc24911"/>
      <w:bookmarkStart w:id="1073" w:name="_Toc247514244"/>
      <w:bookmarkStart w:id="1074" w:name="_Toc300835207"/>
      <w:bookmarkStart w:id="1075" w:name="_Toc5743"/>
      <w:bookmarkStart w:id="1076" w:name="_Toc1451"/>
      <w:bookmarkStart w:id="1077" w:name="_Toc494371586"/>
      <w:bookmarkStart w:id="1078" w:name="_Toc16430"/>
      <w:bookmarkStart w:id="1079" w:name="_Toc27414"/>
      <w:bookmarkStart w:id="1080" w:name="_Toc247527825"/>
      <w:bookmarkStart w:id="1081" w:name="_Toc7732"/>
      <w:bookmarkStart w:id="1082" w:name="_Toc20209"/>
      <w:bookmarkStart w:id="1083" w:name="_Toc15004"/>
      <w:bookmarkStart w:id="1084" w:name="_Toc152042575"/>
      <w:bookmarkStart w:id="1085" w:name="_Toc152045786"/>
      <w:bookmarkStart w:id="1086" w:name="_Toc144974855"/>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p>
    <w:p>
      <w:pPr>
        <w:pStyle w:val="3"/>
        <w:jc w:val="center"/>
        <w:rPr>
          <w:highlight w:val="none"/>
        </w:rPr>
      </w:pPr>
      <w:bookmarkStart w:id="1087" w:name="_Toc11589"/>
      <w:r>
        <w:rPr>
          <w:rFonts w:hint="eastAsia"/>
          <w:highlight w:val="none"/>
        </w:rPr>
        <w:t>第三卷</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7"/>
    </w:p>
    <w:p>
      <w:pPr>
        <w:spacing w:line="400" w:lineRule="exact"/>
        <w:jc w:val="center"/>
        <w:rPr>
          <w:highlight w:val="none"/>
        </w:rPr>
      </w:pPr>
      <w:r>
        <w:rPr>
          <w:rFonts w:ascii="黑体" w:hAnsi="黑体" w:eastAsia="黑体"/>
          <w:b/>
          <w:bCs/>
          <w:sz w:val="32"/>
          <w:highlight w:val="none"/>
        </w:rPr>
        <w:br w:type="page"/>
      </w:r>
    </w:p>
    <w:p>
      <w:pPr>
        <w:spacing w:line="400" w:lineRule="exact"/>
        <w:jc w:val="center"/>
        <w:rPr>
          <w:highlight w:val="none"/>
        </w:rPr>
      </w:pPr>
    </w:p>
    <w:p>
      <w:pPr>
        <w:pStyle w:val="3"/>
        <w:jc w:val="center"/>
        <w:rPr>
          <w:highlight w:val="none"/>
        </w:rPr>
      </w:pPr>
      <w:bookmarkStart w:id="1088" w:name="_Toc18331"/>
      <w:bookmarkStart w:id="1089" w:name="_Toc5024"/>
      <w:bookmarkStart w:id="1090" w:name="_Toc26681"/>
      <w:bookmarkStart w:id="1091" w:name="_Toc2828"/>
      <w:bookmarkStart w:id="1092" w:name="_Toc300835208"/>
      <w:bookmarkStart w:id="1093" w:name="_Toc494371587"/>
      <w:bookmarkStart w:id="1094" w:name="_Toc17793"/>
      <w:bookmarkStart w:id="1095" w:name="_Toc15238"/>
      <w:bookmarkStart w:id="1096" w:name="_Toc247527826"/>
      <w:bookmarkStart w:id="1097" w:name="_Toc24639"/>
      <w:bookmarkStart w:id="1098" w:name="_Toc247514245"/>
      <w:bookmarkStart w:id="1099" w:name="_Toc8886"/>
      <w:bookmarkStart w:id="1100" w:name="_Toc12601"/>
      <w:bookmarkStart w:id="1101" w:name="_Toc13416"/>
      <w:bookmarkStart w:id="1102" w:name="_Toc10445"/>
      <w:r>
        <w:rPr>
          <w:rFonts w:hint="eastAsia"/>
          <w:highlight w:val="none"/>
        </w:rPr>
        <w:t>第七章投标文件格式</w:t>
      </w:r>
      <w:bookmarkEnd w:id="1084"/>
      <w:bookmarkEnd w:id="1085"/>
      <w:bookmarkEnd w:id="1086"/>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spacing w:line="400" w:lineRule="exact"/>
        <w:rPr>
          <w:highlight w:val="none"/>
        </w:rPr>
      </w:pPr>
    </w:p>
    <w:p>
      <w:pPr>
        <w:widowControl/>
        <w:jc w:val="left"/>
        <w:rPr>
          <w:b/>
          <w:sz w:val="24"/>
          <w:highlight w:val="none"/>
        </w:rPr>
      </w:pPr>
      <w:r>
        <w:rPr>
          <w:highlight w:val="none"/>
        </w:rPr>
        <w:br w:type="page"/>
      </w:r>
      <w:bookmarkStart w:id="1103" w:name="_Toc271821942"/>
      <w:bookmarkStart w:id="1104" w:name="_Toc2218"/>
      <w:bookmarkStart w:id="1105" w:name="_Toc8323"/>
      <w:bookmarkStart w:id="1106" w:name="_Toc8355"/>
      <w:bookmarkStart w:id="1107" w:name="_Toc494371589"/>
      <w:bookmarkStart w:id="1108" w:name="_Toc300835233"/>
      <w:bookmarkStart w:id="1109" w:name="_Toc194"/>
      <w:bookmarkStart w:id="1110" w:name="_Toc10741"/>
      <w:bookmarkStart w:id="1111" w:name="_Toc14611"/>
    </w:p>
    <w:bookmarkEnd w:id="1103"/>
    <w:bookmarkEnd w:id="1104"/>
    <w:bookmarkEnd w:id="1105"/>
    <w:bookmarkEnd w:id="1106"/>
    <w:bookmarkEnd w:id="1107"/>
    <w:bookmarkEnd w:id="1108"/>
    <w:bookmarkEnd w:id="1109"/>
    <w:bookmarkEnd w:id="1110"/>
    <w:bookmarkEnd w:id="1111"/>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eastAsia="zh-CN"/>
        </w:rPr>
        <w:t>湿地景区</w:t>
      </w:r>
      <w:r>
        <w:rPr>
          <w:rFonts w:hint="eastAsia" w:ascii="方正小标宋简体" w:hAnsi="方正小标宋简体" w:eastAsia="方正小标宋简体" w:cs="方正小标宋简体"/>
          <w:sz w:val="44"/>
          <w:szCs w:val="44"/>
          <w:lang w:val="en-US" w:eastAsia="zh-CN"/>
        </w:rPr>
        <w:t>科普长廊维修事项</w:t>
      </w:r>
      <w:r>
        <w:rPr>
          <w:rFonts w:hint="eastAsia" w:ascii="方正小标宋简体" w:hAnsi="方正小标宋简体" w:eastAsia="方正小标宋简体" w:cs="方正小标宋简体"/>
          <w:color w:val="auto"/>
          <w:sz w:val="44"/>
          <w:szCs w:val="44"/>
          <w:highlight w:val="none"/>
        </w:rPr>
        <w:t>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5"/>
        </w:numPr>
        <w:spacing w:line="360" w:lineRule="auto"/>
        <w:jc w:val="left"/>
        <w:rPr>
          <w:bCs/>
          <w:szCs w:val="21"/>
          <w:highlight w:val="none"/>
        </w:rPr>
      </w:pPr>
      <w:r>
        <w:rPr>
          <w:rFonts w:hint="eastAsia"/>
          <w:bCs/>
          <w:szCs w:val="21"/>
          <w:highlight w:val="none"/>
        </w:rPr>
        <w:t>投标申请公函</w:t>
      </w:r>
    </w:p>
    <w:p>
      <w:pPr>
        <w:numPr>
          <w:ilvl w:val="0"/>
          <w:numId w:val="5"/>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5"/>
        </w:numPr>
        <w:spacing w:line="360" w:lineRule="auto"/>
        <w:jc w:val="left"/>
        <w:rPr>
          <w:bCs/>
          <w:szCs w:val="21"/>
          <w:highlight w:val="none"/>
        </w:rPr>
      </w:pPr>
      <w:r>
        <w:rPr>
          <w:rFonts w:hint="eastAsia"/>
          <w:szCs w:val="21"/>
          <w:highlight w:val="none"/>
        </w:rPr>
        <w:t>事业单位法人证书或法人营业执照</w:t>
      </w:r>
    </w:p>
    <w:p>
      <w:pPr>
        <w:numPr>
          <w:ilvl w:val="0"/>
          <w:numId w:val="5"/>
        </w:numPr>
        <w:spacing w:line="360" w:lineRule="auto"/>
        <w:jc w:val="left"/>
        <w:rPr>
          <w:bCs/>
          <w:szCs w:val="21"/>
          <w:highlight w:val="none"/>
        </w:rPr>
      </w:pPr>
      <w:r>
        <w:rPr>
          <w:rFonts w:hint="eastAsia"/>
          <w:szCs w:val="21"/>
          <w:highlight w:val="none"/>
        </w:rPr>
        <w:t>企业资质证书</w:t>
      </w:r>
    </w:p>
    <w:p>
      <w:pPr>
        <w:numPr>
          <w:ilvl w:val="0"/>
          <w:numId w:val="5"/>
        </w:numPr>
        <w:spacing w:line="360" w:lineRule="auto"/>
        <w:jc w:val="left"/>
        <w:rPr>
          <w:bCs/>
          <w:szCs w:val="21"/>
          <w:highlight w:val="none"/>
        </w:rPr>
      </w:pPr>
      <w:r>
        <w:rPr>
          <w:rFonts w:hint="eastAsia"/>
          <w:szCs w:val="21"/>
          <w:highlight w:val="none"/>
        </w:rPr>
        <w:t>投标人安全生产许可证</w:t>
      </w:r>
    </w:p>
    <w:p>
      <w:pPr>
        <w:numPr>
          <w:ilvl w:val="0"/>
          <w:numId w:val="5"/>
        </w:numPr>
        <w:spacing w:line="360" w:lineRule="auto"/>
        <w:jc w:val="left"/>
        <w:rPr>
          <w:bCs/>
          <w:szCs w:val="21"/>
          <w:highlight w:val="none"/>
        </w:rPr>
      </w:pPr>
      <w:r>
        <w:rPr>
          <w:rFonts w:hint="eastAsia"/>
          <w:szCs w:val="21"/>
          <w:highlight w:val="none"/>
        </w:rPr>
        <w:t>主要负责人资格要求资料</w:t>
      </w:r>
    </w:p>
    <w:p>
      <w:pPr>
        <w:numPr>
          <w:ilvl w:val="0"/>
          <w:numId w:val="5"/>
        </w:numPr>
        <w:spacing w:line="360" w:lineRule="auto"/>
        <w:jc w:val="left"/>
        <w:rPr>
          <w:bCs/>
          <w:szCs w:val="21"/>
          <w:highlight w:val="none"/>
        </w:rPr>
      </w:pPr>
      <w:r>
        <w:rPr>
          <w:rFonts w:hint="eastAsia"/>
          <w:kern w:val="0"/>
          <w:szCs w:val="21"/>
          <w:highlight w:val="none"/>
        </w:rPr>
        <w:t>投标人声明</w:t>
      </w:r>
    </w:p>
    <w:p>
      <w:pPr>
        <w:numPr>
          <w:ilvl w:val="0"/>
          <w:numId w:val="5"/>
        </w:numPr>
        <w:spacing w:line="360" w:lineRule="auto"/>
        <w:jc w:val="left"/>
        <w:rPr>
          <w:bCs/>
          <w:sz w:val="24"/>
          <w:highlight w:val="none"/>
        </w:rPr>
      </w:pPr>
      <w:r>
        <w:rPr>
          <w:rFonts w:hint="eastAsia"/>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bCs/>
          <w:szCs w:val="21"/>
          <w:highlight w:val="none"/>
        </w:rPr>
      </w:pPr>
      <w:r>
        <w:rPr>
          <w:rFonts w:hint="eastAsia"/>
          <w:bCs/>
          <w:szCs w:val="21"/>
          <w:highlight w:val="none"/>
        </w:rPr>
        <w:t>按照本工程招标公告的要求，我们递交有关资料文件，以便贵单位审查我们参加</w:t>
      </w:r>
      <w:r>
        <w:rPr>
          <w:rFonts w:hint="eastAsia" w:ascii="宋体" w:hAnsi="宋体" w:cs="宋体"/>
          <w:color w:val="auto"/>
          <w:sz w:val="24"/>
          <w:highlight w:val="none"/>
          <w:u w:val="single"/>
          <w:lang w:val="en-US" w:eastAsia="zh-CN"/>
        </w:rPr>
        <w:t xml:space="preserve">  （项目名称）       </w:t>
      </w:r>
      <w:r>
        <w:rPr>
          <w:rFonts w:hint="eastAsia"/>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8"/>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8"/>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bCs/>
          <w:sz w:val="24"/>
          <w:highlight w:val="none"/>
        </w:rPr>
      </w:pPr>
      <w:r>
        <w:rPr>
          <w:rFonts w:hint="eastAsia"/>
          <w:bCs/>
          <w:sz w:val="24"/>
          <w:highlight w:val="none"/>
        </w:rPr>
        <w:br w:type="page"/>
      </w: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 xml:space="preserve">第二部分 </w:t>
      </w:r>
      <w:r>
        <w:rPr>
          <w:rFonts w:hint="eastAsia" w:ascii="黑体" w:hAnsi="黑体" w:eastAsia="黑体" w:cs="黑体"/>
          <w:b/>
          <w:sz w:val="30"/>
          <w:szCs w:val="30"/>
          <w:highlight w:val="none"/>
          <w:lang w:eastAsia="zh-CN"/>
        </w:rPr>
        <w:t>工程施工总承包实施方案</w:t>
      </w:r>
      <w:r>
        <w:rPr>
          <w:rFonts w:hint="eastAsia" w:ascii="黑体" w:hAnsi="黑体" w:eastAsia="黑体" w:cs="黑体"/>
          <w:b/>
          <w:sz w:val="30"/>
          <w:szCs w:val="30"/>
          <w:highlight w:val="none"/>
        </w:rPr>
        <w:t>（含资信部分）文件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黑体" w:hAnsi="黑体" w:eastAsia="黑体" w:cs="黑体"/>
          <w:b/>
          <w:kern w:val="0"/>
          <w:sz w:val="36"/>
          <w:szCs w:val="36"/>
          <w:highlight w:val="none"/>
          <w:u w:val="none"/>
          <w:lang w:val="en-US" w:eastAsia="zh-CN" w:bidi="ar"/>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eastAsia="zh-CN"/>
        </w:rPr>
        <w:t>湿地景区</w:t>
      </w:r>
      <w:r>
        <w:rPr>
          <w:rFonts w:hint="eastAsia" w:ascii="方正小标宋简体" w:hAnsi="方正小标宋简体" w:eastAsia="方正小标宋简体" w:cs="方正小标宋简体"/>
          <w:sz w:val="44"/>
          <w:szCs w:val="44"/>
          <w:lang w:val="en-US" w:eastAsia="zh-CN"/>
        </w:rPr>
        <w:t>科普长廊维修事项</w:t>
      </w:r>
      <w:r>
        <w:rPr>
          <w:rFonts w:hint="eastAsia" w:ascii="方正小标宋简体" w:hAnsi="方正小标宋简体" w:eastAsia="方正小标宋简体" w:cs="方正小标宋简体"/>
          <w:color w:val="auto"/>
          <w:sz w:val="44"/>
          <w:szCs w:val="44"/>
          <w:highlight w:val="none"/>
        </w:rPr>
        <w:t>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w:t>
      </w:r>
      <w:r>
        <w:rPr>
          <w:rFonts w:hint="eastAsia" w:ascii="黑体" w:hAnsi="黑体" w:eastAsia="黑体" w:cs="黑体"/>
          <w:b/>
          <w:sz w:val="36"/>
          <w:szCs w:val="36"/>
          <w:highlight w:val="none"/>
          <w:lang w:eastAsia="zh-CN" w:bidi="ar"/>
        </w:rPr>
        <w:t>工程施工总承包实施方案</w:t>
      </w:r>
      <w:r>
        <w:rPr>
          <w:rFonts w:hint="eastAsia" w:ascii="黑体" w:hAnsi="黑体" w:eastAsia="黑体" w:cs="黑体"/>
          <w:b/>
          <w:sz w:val="36"/>
          <w:szCs w:val="36"/>
          <w:highlight w:val="none"/>
          <w:lang w:bidi="ar"/>
        </w:rPr>
        <w:t>（含资信部分）文件）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szCs w:val="21"/>
          <w:highlight w:val="none"/>
        </w:rPr>
      </w:pPr>
      <w:r>
        <w:rPr>
          <w:rFonts w:hint="eastAsia"/>
          <w:szCs w:val="21"/>
          <w:highlight w:val="none"/>
        </w:rPr>
        <w:t>二、投标承诺书</w:t>
      </w:r>
    </w:p>
    <w:p>
      <w:pPr>
        <w:spacing w:line="360" w:lineRule="auto"/>
        <w:rPr>
          <w:szCs w:val="21"/>
          <w:highlight w:val="yellow"/>
        </w:rPr>
      </w:pPr>
      <w:r>
        <w:rPr>
          <w:rFonts w:hint="eastAsia"/>
          <w:szCs w:val="21"/>
          <w:highlight w:val="none"/>
          <w:lang w:val="en-US" w:eastAsia="zh-CN"/>
        </w:rPr>
        <w:t>三</w:t>
      </w:r>
      <w:r>
        <w:rPr>
          <w:rFonts w:hint="eastAsia"/>
          <w:szCs w:val="21"/>
          <w:highlight w:val="none"/>
        </w:rPr>
        <w:t>、施工技术评分资料（按《</w:t>
      </w:r>
      <w:r>
        <w:rPr>
          <w:rFonts w:hint="eastAsia"/>
          <w:szCs w:val="21"/>
          <w:highlight w:val="none"/>
          <w:lang w:eastAsia="zh-CN"/>
        </w:rPr>
        <w:t>工程施工总承包实施方案</w:t>
      </w:r>
      <w:r>
        <w:rPr>
          <w:rFonts w:hint="eastAsia"/>
          <w:szCs w:val="21"/>
          <w:highlight w:val="none"/>
        </w:rPr>
        <w:t>（含资信部分）文件评分表》要求提交）</w:t>
      </w:r>
    </w:p>
    <w:p>
      <w:pPr>
        <w:spacing w:line="360" w:lineRule="auto"/>
        <w:rPr>
          <w:szCs w:val="21"/>
          <w:highlight w:val="none"/>
        </w:rPr>
      </w:pPr>
      <w:r>
        <w:rPr>
          <w:rFonts w:hint="eastAsia"/>
          <w:szCs w:val="21"/>
          <w:highlight w:val="none"/>
          <w:lang w:val="en-US" w:eastAsia="zh-CN"/>
        </w:rPr>
        <w:t>四</w:t>
      </w:r>
      <w:r>
        <w:rPr>
          <w:rFonts w:hint="eastAsia"/>
          <w:szCs w:val="21"/>
          <w:highlight w:val="none"/>
        </w:rPr>
        <w:t>、投标人认为应提供的其他资料</w:t>
      </w:r>
    </w:p>
    <w:p>
      <w:pPr>
        <w:spacing w:line="360" w:lineRule="auto"/>
        <w:rPr>
          <w:szCs w:val="21"/>
          <w:highlight w:val="none"/>
        </w:rPr>
      </w:pP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szCs w:val="21"/>
                <w:highlight w:val="yellow"/>
              </w:rPr>
            </w:pPr>
            <w:r>
              <w:rPr>
                <w:rFonts w:hint="eastAsia"/>
                <w:bCs/>
                <w:szCs w:val="21"/>
                <w:highlight w:val="yellow"/>
              </w:rPr>
              <w:t>项目负责人（</w:t>
            </w:r>
            <w:r>
              <w:rPr>
                <w:rFonts w:hint="eastAsia"/>
                <w:szCs w:val="21"/>
                <w:highlight w:val="yellow"/>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lang w:val="zh-CN"/>
              </w:rPr>
            </w:pPr>
            <w:r>
              <w:rPr>
                <w:rFonts w:hint="eastAsia"/>
                <w:bCs/>
                <w:szCs w:val="21"/>
                <w:highlight w:val="yellow"/>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lang w:val="zh-CN"/>
              </w:rPr>
            </w:pPr>
            <w:r>
              <w:rPr>
                <w:rFonts w:hint="eastAsia"/>
                <w:bCs/>
                <w:szCs w:val="21"/>
                <w:highlight w:val="yellow"/>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yellow"/>
              </w:rPr>
            </w:pPr>
            <w:r>
              <w:rPr>
                <w:rFonts w:hint="eastAsia"/>
                <w:bCs/>
                <w:szCs w:val="21"/>
                <w:highlight w:val="yellow"/>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szCs w:val="21"/>
                <w:highlight w:val="yellow"/>
              </w:rPr>
            </w:pPr>
            <w:r>
              <w:rPr>
                <w:rFonts w:hint="eastAsia"/>
                <w:bCs/>
                <w:szCs w:val="21"/>
                <w:highlight w:val="yellow"/>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szCs w:val="21"/>
                <w:highlight w:val="yellow"/>
              </w:rPr>
            </w:pPr>
            <w:r>
              <w:rPr>
                <w:rFonts w:hint="eastAsia"/>
                <w:szCs w:val="21"/>
                <w:highlight w:val="yellow"/>
                <w:lang w:val="zh-CN"/>
              </w:rPr>
              <w:t>姓</w:t>
            </w:r>
            <w:r>
              <w:rPr>
                <w:szCs w:val="21"/>
                <w:highlight w:val="yellow"/>
                <w:lang w:val="zh-CN"/>
              </w:rPr>
              <w:t xml:space="preserve">   </w:t>
            </w:r>
            <w:r>
              <w:rPr>
                <w:rFonts w:hint="eastAsia"/>
                <w:szCs w:val="21"/>
                <w:highlight w:val="yellow"/>
                <w:lang w:val="zh-CN"/>
              </w:rPr>
              <w:t>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Cs w:val="21"/>
                <w:highlight w:val="yellow"/>
              </w:rPr>
            </w:pPr>
            <w:r>
              <w:rPr>
                <w:rFonts w:hint="eastAsia"/>
                <w:szCs w:val="21"/>
                <w:highlight w:val="yellow"/>
              </w:rPr>
              <w:t>安全生产考核</w:t>
            </w:r>
          </w:p>
          <w:p>
            <w:pPr>
              <w:autoSpaceDE w:val="0"/>
              <w:autoSpaceDN w:val="0"/>
              <w:adjustRightInd w:val="0"/>
              <w:spacing w:line="360" w:lineRule="auto"/>
              <w:jc w:val="center"/>
              <w:rPr>
                <w:szCs w:val="21"/>
                <w:highlight w:val="yellow"/>
              </w:rPr>
            </w:pPr>
            <w:r>
              <w:rPr>
                <w:rFonts w:hint="eastAsia"/>
                <w:szCs w:val="21"/>
                <w:highlight w:val="yellow"/>
              </w:rPr>
              <w:t>合格证（</w:t>
            </w:r>
            <w:r>
              <w:rPr>
                <w:szCs w:val="21"/>
                <w:highlight w:val="yellow"/>
              </w:rPr>
              <w:t>C</w:t>
            </w:r>
            <w:r>
              <w:rPr>
                <w:rFonts w:hint="eastAsia"/>
                <w:szCs w:val="21"/>
                <w:highlight w:val="yellow"/>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szCs w:val="21"/>
                <w:highlight w:val="none"/>
                <w:lang w:val="zh-CN"/>
              </w:rPr>
            </w:pPr>
          </w:p>
        </w:tc>
      </w:tr>
    </w:tbl>
    <w:p>
      <w:pPr>
        <w:pStyle w:val="20"/>
        <w:spacing w:line="360" w:lineRule="auto"/>
        <w:jc w:val="left"/>
        <w:rPr>
          <w:rFonts w:hAnsi="黑体" w:cs="黑体"/>
          <w:spacing w:val="0"/>
          <w:sz w:val="32"/>
          <w:szCs w:val="32"/>
          <w:highlight w:val="none"/>
        </w:rPr>
      </w:pPr>
      <w:r>
        <w:rPr>
          <w:b/>
          <w:szCs w:val="21"/>
          <w:highlight w:val="none"/>
        </w:rPr>
        <w:br w:type="page"/>
      </w:r>
    </w:p>
    <w:p>
      <w:pPr>
        <w:pStyle w:val="91"/>
        <w:spacing w:beforeLines="0" w:afterLines="0" w:line="360" w:lineRule="auto"/>
        <w:jc w:val="center"/>
        <w:rPr>
          <w:rFonts w:hAnsi="黑体" w:cs="黑体"/>
          <w:spacing w:val="0"/>
          <w:sz w:val="32"/>
          <w:szCs w:val="32"/>
          <w:highlight w:val="none"/>
        </w:rPr>
      </w:pPr>
    </w:p>
    <w:p>
      <w:pPr>
        <w:pStyle w:val="91"/>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w:t>
      </w:r>
      <w:r>
        <w:rPr>
          <w:rFonts w:hint="eastAsia"/>
          <w:szCs w:val="21"/>
          <w:highlight w:val="none"/>
          <w:u w:val="single"/>
          <w:lang w:eastAsia="zh-CN"/>
        </w:rPr>
        <w:t>湿地</w:t>
      </w:r>
      <w:r>
        <w:rPr>
          <w:rFonts w:hint="eastAsia"/>
          <w:szCs w:val="21"/>
          <w:highlight w:val="none"/>
          <w:u w:val="single"/>
        </w:rPr>
        <w:t>旅游发展有</w:t>
      </w:r>
      <w:r>
        <w:rPr>
          <w:rFonts w:hint="eastAsia" w:cs="Times New Roman"/>
          <w:szCs w:val="21"/>
          <w:highlight w:val="none"/>
          <w:u w:val="single"/>
          <w:lang w:eastAsia="zh-CN"/>
        </w:rPr>
        <w:t>限公司</w:t>
      </w:r>
      <w:r>
        <w:rPr>
          <w:rFonts w:hint="eastAsia"/>
          <w:szCs w:val="21"/>
          <w:highlight w:val="none"/>
        </w:rPr>
        <w:t>：</w:t>
      </w:r>
    </w:p>
    <w:p>
      <w:pPr>
        <w:spacing w:line="360" w:lineRule="auto"/>
        <w:ind w:firstLine="420" w:firstLineChars="200"/>
        <w:rPr>
          <w:szCs w:val="21"/>
          <w:highlight w:val="none"/>
        </w:rPr>
      </w:pPr>
    </w:p>
    <w:p>
      <w:pPr>
        <w:spacing w:line="360" w:lineRule="auto"/>
        <w:ind w:firstLine="420" w:firstLineChars="200"/>
        <w:rPr>
          <w:szCs w:val="21"/>
          <w:highlight w:val="none"/>
        </w:rPr>
      </w:pPr>
      <w:r>
        <w:rPr>
          <w:rFonts w:hint="eastAsia"/>
          <w:szCs w:val="21"/>
          <w:highlight w:val="none"/>
        </w:rPr>
        <w:t>若我方成为</w:t>
      </w:r>
      <w:r>
        <w:rPr>
          <w:rFonts w:hint="eastAsia"/>
          <w:szCs w:val="21"/>
          <w:highlight w:val="none"/>
          <w:u w:val="single"/>
        </w:rPr>
        <w:t>“</w:t>
      </w:r>
      <w:r>
        <w:rPr>
          <w:rFonts w:hint="eastAsia" w:eastAsia="宋体"/>
          <w:szCs w:val="21"/>
          <w:highlight w:val="none"/>
          <w:u w:val="single"/>
          <w:lang w:eastAsia="zh-CN"/>
        </w:rPr>
        <w:t>湿地景区</w:t>
      </w:r>
      <w:r>
        <w:rPr>
          <w:rFonts w:hint="eastAsia"/>
          <w:szCs w:val="21"/>
          <w:highlight w:val="none"/>
          <w:u w:val="single"/>
          <w:lang w:val="en-US" w:eastAsia="zh-CN"/>
        </w:rPr>
        <w:t>科普长廊维修事项</w:t>
      </w:r>
      <w:r>
        <w:rPr>
          <w:rFonts w:hint="eastAsia" w:eastAsia="宋体"/>
          <w:szCs w:val="21"/>
          <w:highlight w:val="none"/>
          <w:u w:val="single"/>
        </w:rPr>
        <w:t>总承包</w:t>
      </w:r>
      <w:r>
        <w:rPr>
          <w:rFonts w:hint="eastAsia"/>
          <w:szCs w:val="21"/>
          <w:highlight w:val="none"/>
          <w:u w:val="single"/>
        </w:rPr>
        <w:t>”</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w:t>
      </w:r>
      <w:r>
        <w:rPr>
          <w:rFonts w:hint="eastAsia"/>
          <w:szCs w:val="21"/>
          <w:highlight w:val="none"/>
          <w:lang w:val="en-US" w:eastAsia="zh-CN"/>
        </w:rPr>
        <w:t>招标人</w:t>
      </w:r>
      <w:r>
        <w:rPr>
          <w:rFonts w:hint="eastAsia"/>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pStyle w:val="2"/>
        <w:rPr>
          <w:szCs w:val="21"/>
          <w:highlight w:val="none"/>
        </w:rPr>
      </w:pPr>
    </w:p>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0"/>
        <w:ind w:right="458" w:firstLine="0"/>
        <w:jc w:val="right"/>
        <w:rPr>
          <w:rFonts w:ascii="宋体" w:hAnsi="宋体" w:eastAsia="宋体"/>
          <w:color w:val="auto"/>
          <w:sz w:val="21"/>
          <w:szCs w:val="21"/>
          <w:highlight w:val="none"/>
        </w:rPr>
      </w:pPr>
    </w:p>
    <w:p>
      <w:pPr>
        <w:pStyle w:val="70"/>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szCs w:val="21"/>
          <w:highlight w:val="none"/>
        </w:rPr>
      </w:pPr>
    </w:p>
    <w:p>
      <w:pPr>
        <w:pStyle w:val="89"/>
        <w:rPr>
          <w:b/>
          <w:sz w:val="30"/>
          <w:szCs w:val="30"/>
          <w:highlight w:val="none"/>
        </w:rPr>
      </w:pPr>
      <w:r>
        <w:rPr>
          <w:b/>
          <w:szCs w:val="21"/>
          <w:highlight w:val="none"/>
        </w:rPr>
        <w:br w:type="page"/>
      </w:r>
    </w:p>
    <w:p>
      <w:pPr>
        <w:spacing w:line="360" w:lineRule="auto"/>
        <w:jc w:val="center"/>
        <w:rPr>
          <w:b/>
          <w:sz w:val="30"/>
          <w:szCs w:val="30"/>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w:t>
      </w:r>
      <w:r>
        <w:rPr>
          <w:rFonts w:hint="eastAsia" w:ascii="黑体" w:hAnsi="黑体" w:eastAsia="黑体" w:cs="黑体"/>
          <w:b/>
          <w:sz w:val="30"/>
          <w:szCs w:val="30"/>
          <w:highlight w:val="none"/>
          <w:lang w:eastAsia="zh-CN"/>
        </w:rPr>
        <w:t>三</w:t>
      </w:r>
      <w:r>
        <w:rPr>
          <w:rFonts w:hint="eastAsia" w:ascii="黑体" w:hAnsi="黑体" w:eastAsia="黑体" w:cs="黑体"/>
          <w:b/>
          <w:sz w:val="30"/>
          <w:szCs w:val="30"/>
          <w:highlight w:val="none"/>
        </w:rPr>
        <w:t>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eastAsia="zh-CN"/>
        </w:rPr>
        <w:t>湿地景区</w:t>
      </w:r>
      <w:r>
        <w:rPr>
          <w:rFonts w:hint="eastAsia" w:ascii="方正小标宋简体" w:hAnsi="方正小标宋简体" w:eastAsia="方正小标宋简体" w:cs="方正小标宋简体"/>
          <w:sz w:val="44"/>
          <w:szCs w:val="44"/>
          <w:lang w:val="en-US" w:eastAsia="zh-CN"/>
        </w:rPr>
        <w:t>科普长廊维修事项</w:t>
      </w:r>
      <w:r>
        <w:rPr>
          <w:rFonts w:hint="eastAsia" w:ascii="方正小标宋简体" w:hAnsi="方正小标宋简体" w:eastAsia="方正小标宋简体" w:cs="方正小标宋简体"/>
          <w:color w:val="auto"/>
          <w:sz w:val="44"/>
          <w:szCs w:val="44"/>
          <w:highlight w:val="none"/>
        </w:rPr>
        <w:t>总承包</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szCs w:val="21"/>
          <w:highlight w:val="none"/>
        </w:rPr>
      </w:pPr>
      <w:r>
        <w:rPr>
          <w:rFonts w:hint="eastAsia"/>
          <w:szCs w:val="21"/>
          <w:highlight w:val="none"/>
        </w:rPr>
        <w:t>二、投标人认为应提供的其他资料</w:t>
      </w:r>
    </w:p>
    <w:p>
      <w:pPr>
        <w:spacing w:line="360" w:lineRule="auto"/>
        <w:rPr>
          <w:szCs w:val="21"/>
          <w:highlight w:val="none"/>
        </w:rPr>
      </w:pP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gridSpan w:val="2"/>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restart"/>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r>
              <w:rPr>
                <w:rFonts w:hint="eastAsia"/>
                <w:bCs/>
                <w:szCs w:val="21"/>
                <w:highlight w:val="none"/>
                <w:lang w:val="en-US" w:eastAsia="zh-CN"/>
              </w:rPr>
              <w:t>建安</w:t>
            </w:r>
            <w:r>
              <w:rPr>
                <w:rFonts w:hint="eastAsia"/>
                <w:bCs/>
                <w:szCs w:val="21"/>
                <w:highlight w:val="none"/>
                <w:lang w:val="zh-CN"/>
              </w:rPr>
              <w:t>费（元）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lang w:val="zh-CN"/>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6"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1764" w:type="dxa"/>
            <w:vMerge w:val="continue"/>
            <w:tcBorders>
              <w:left w:val="single" w:color="auto" w:sz="4" w:space="0"/>
              <w:right w:val="single" w:color="auto" w:sz="4" w:space="0"/>
            </w:tcBorders>
            <w:vAlign w:val="center"/>
          </w:tcPr>
          <w:p>
            <w:pPr>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u w:val="single"/>
                <w:lang w:val="zh-CN"/>
              </w:rPr>
            </w:pPr>
            <w:r>
              <w:rPr>
                <w:rFonts w:hint="eastAsia"/>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pStyle w:val="14"/>
        <w:rPr>
          <w:highlight w:val="none"/>
        </w:rPr>
      </w:pPr>
    </w:p>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1FC5A"/>
    <w:multiLevelType w:val="singleLevel"/>
    <w:tmpl w:val="EC11FC5A"/>
    <w:lvl w:ilvl="0" w:tentative="0">
      <w:start w:val="5"/>
      <w:numFmt w:val="chineseCounting"/>
      <w:suff w:val="space"/>
      <w:lvlText w:val="第%1章"/>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rPr>
        <w:rFonts w:hint="eastAsia"/>
      </w:rPr>
    </w:lvl>
  </w:abstractNum>
  <w:abstractNum w:abstractNumId="2">
    <w:nsid w:val="02A55D52"/>
    <w:multiLevelType w:val="singleLevel"/>
    <w:tmpl w:val="02A55D52"/>
    <w:lvl w:ilvl="0" w:tentative="0">
      <w:start w:val="1"/>
      <w:numFmt w:val="decimal"/>
      <w:lvlText w:val="%1."/>
      <w:lvlJc w:val="left"/>
      <w:pPr>
        <w:tabs>
          <w:tab w:val="left" w:pos="312"/>
        </w:tabs>
      </w:pPr>
    </w:lvl>
  </w:abstractNum>
  <w:abstractNum w:abstractNumId="3">
    <w:nsid w:val="0AFBC693"/>
    <w:multiLevelType w:val="singleLevel"/>
    <w:tmpl w:val="0AFBC693"/>
    <w:lvl w:ilvl="0" w:tentative="0">
      <w:start w:val="1"/>
      <w:numFmt w:val="decimal"/>
      <w:lvlText w:val="%1."/>
      <w:lvlJc w:val="left"/>
      <w:pPr>
        <w:tabs>
          <w:tab w:val="left" w:pos="312"/>
        </w:tabs>
      </w:pPr>
    </w:lvl>
  </w:abstractNum>
  <w:abstractNum w:abstractNumId="4">
    <w:nsid w:val="74FA560B"/>
    <w:multiLevelType w:val="singleLevel"/>
    <w:tmpl w:val="74FA560B"/>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210"/>
  <w:drawingGridVerticalSpacing w:val="160"/>
  <w:displayVerticalDrawingGridEvery w:val="2"/>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jM5NzgyZjdkNGRmNGNkODc4MjAwNGMzMmM4Y2Q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1C1"/>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42733A"/>
    <w:rsid w:val="02671768"/>
    <w:rsid w:val="026736B8"/>
    <w:rsid w:val="0269377A"/>
    <w:rsid w:val="028E4DDB"/>
    <w:rsid w:val="02C52150"/>
    <w:rsid w:val="02DB6548"/>
    <w:rsid w:val="02DC03F4"/>
    <w:rsid w:val="02DE6B83"/>
    <w:rsid w:val="02F27EAE"/>
    <w:rsid w:val="02FA119A"/>
    <w:rsid w:val="030502E0"/>
    <w:rsid w:val="032F22E2"/>
    <w:rsid w:val="0331353B"/>
    <w:rsid w:val="034372F4"/>
    <w:rsid w:val="036916F4"/>
    <w:rsid w:val="036D7EE4"/>
    <w:rsid w:val="03B8267A"/>
    <w:rsid w:val="03C21F10"/>
    <w:rsid w:val="03EA07D9"/>
    <w:rsid w:val="046E6F3C"/>
    <w:rsid w:val="04762458"/>
    <w:rsid w:val="04942A4D"/>
    <w:rsid w:val="04AB667F"/>
    <w:rsid w:val="04B276B1"/>
    <w:rsid w:val="04D764F5"/>
    <w:rsid w:val="04F77729"/>
    <w:rsid w:val="052B5C4D"/>
    <w:rsid w:val="0547174E"/>
    <w:rsid w:val="057476A3"/>
    <w:rsid w:val="05802F9C"/>
    <w:rsid w:val="059D6AAA"/>
    <w:rsid w:val="05A207AE"/>
    <w:rsid w:val="05C66AF7"/>
    <w:rsid w:val="05E56E6E"/>
    <w:rsid w:val="06216546"/>
    <w:rsid w:val="06257654"/>
    <w:rsid w:val="06267B2A"/>
    <w:rsid w:val="06330903"/>
    <w:rsid w:val="064A7DDF"/>
    <w:rsid w:val="067558A7"/>
    <w:rsid w:val="068C1967"/>
    <w:rsid w:val="06947230"/>
    <w:rsid w:val="06AB5199"/>
    <w:rsid w:val="06B203E6"/>
    <w:rsid w:val="06E75E06"/>
    <w:rsid w:val="06EA07A8"/>
    <w:rsid w:val="07244B6B"/>
    <w:rsid w:val="072B3E1E"/>
    <w:rsid w:val="073672C8"/>
    <w:rsid w:val="074F405B"/>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5A0176"/>
    <w:rsid w:val="0997692D"/>
    <w:rsid w:val="09CB7DBA"/>
    <w:rsid w:val="09E85792"/>
    <w:rsid w:val="09EF7D98"/>
    <w:rsid w:val="0A1870FD"/>
    <w:rsid w:val="0A576C98"/>
    <w:rsid w:val="0A5B31A0"/>
    <w:rsid w:val="0AB51B04"/>
    <w:rsid w:val="0AE2394F"/>
    <w:rsid w:val="0AF669C7"/>
    <w:rsid w:val="0AF824BB"/>
    <w:rsid w:val="0B1B0ED2"/>
    <w:rsid w:val="0B261B7D"/>
    <w:rsid w:val="0B2A1901"/>
    <w:rsid w:val="0B4C33E8"/>
    <w:rsid w:val="0B5F6424"/>
    <w:rsid w:val="0B9C5CFE"/>
    <w:rsid w:val="0BA57E29"/>
    <w:rsid w:val="0C444B52"/>
    <w:rsid w:val="0C833461"/>
    <w:rsid w:val="0C930B8B"/>
    <w:rsid w:val="0CBA5558"/>
    <w:rsid w:val="0CC6479D"/>
    <w:rsid w:val="0CD361AE"/>
    <w:rsid w:val="0CEF1DD4"/>
    <w:rsid w:val="0D193E25"/>
    <w:rsid w:val="0D1D2641"/>
    <w:rsid w:val="0D2D41AC"/>
    <w:rsid w:val="0D364901"/>
    <w:rsid w:val="0D3B401D"/>
    <w:rsid w:val="0D3E2BC2"/>
    <w:rsid w:val="0D4E6308"/>
    <w:rsid w:val="0D511930"/>
    <w:rsid w:val="0D6E463D"/>
    <w:rsid w:val="0D93638B"/>
    <w:rsid w:val="0DAF5AF8"/>
    <w:rsid w:val="0DB83735"/>
    <w:rsid w:val="0DE46919"/>
    <w:rsid w:val="0DF65E24"/>
    <w:rsid w:val="0E165C5A"/>
    <w:rsid w:val="0E215250"/>
    <w:rsid w:val="0E415CE8"/>
    <w:rsid w:val="0E4D2492"/>
    <w:rsid w:val="0E537719"/>
    <w:rsid w:val="0E650431"/>
    <w:rsid w:val="0E721069"/>
    <w:rsid w:val="0E80158E"/>
    <w:rsid w:val="0EAC7CBC"/>
    <w:rsid w:val="0ECC55BC"/>
    <w:rsid w:val="0ECD68A1"/>
    <w:rsid w:val="0EDC3A7D"/>
    <w:rsid w:val="0F0710E1"/>
    <w:rsid w:val="0F120D4E"/>
    <w:rsid w:val="0F1D5312"/>
    <w:rsid w:val="0F587BBB"/>
    <w:rsid w:val="0F6018A7"/>
    <w:rsid w:val="0F97156B"/>
    <w:rsid w:val="0FA978A5"/>
    <w:rsid w:val="0FB5357C"/>
    <w:rsid w:val="1001579B"/>
    <w:rsid w:val="10141CD8"/>
    <w:rsid w:val="101A7974"/>
    <w:rsid w:val="102C6025"/>
    <w:rsid w:val="103D6844"/>
    <w:rsid w:val="1056152C"/>
    <w:rsid w:val="108D6BDC"/>
    <w:rsid w:val="10B04615"/>
    <w:rsid w:val="10B564AE"/>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6C46F4"/>
    <w:rsid w:val="139D1AD6"/>
    <w:rsid w:val="13AF75FF"/>
    <w:rsid w:val="13B401F1"/>
    <w:rsid w:val="13ED394E"/>
    <w:rsid w:val="1407788E"/>
    <w:rsid w:val="14157B94"/>
    <w:rsid w:val="141D110B"/>
    <w:rsid w:val="142D74CC"/>
    <w:rsid w:val="14565475"/>
    <w:rsid w:val="1468688A"/>
    <w:rsid w:val="14AA1960"/>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8960C6"/>
    <w:rsid w:val="1692644F"/>
    <w:rsid w:val="16931DB3"/>
    <w:rsid w:val="169D6502"/>
    <w:rsid w:val="16A47360"/>
    <w:rsid w:val="16C06660"/>
    <w:rsid w:val="16DB1024"/>
    <w:rsid w:val="16E87689"/>
    <w:rsid w:val="17150BFB"/>
    <w:rsid w:val="173F6C31"/>
    <w:rsid w:val="17400F9C"/>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9FF34EC"/>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B4142"/>
    <w:rsid w:val="1EEE706A"/>
    <w:rsid w:val="1EF56774"/>
    <w:rsid w:val="1F00136A"/>
    <w:rsid w:val="1F445432"/>
    <w:rsid w:val="1F4A3B9F"/>
    <w:rsid w:val="1F9048FC"/>
    <w:rsid w:val="1FA56D3B"/>
    <w:rsid w:val="1FF32162"/>
    <w:rsid w:val="2018173E"/>
    <w:rsid w:val="201D5E0C"/>
    <w:rsid w:val="203B7048"/>
    <w:rsid w:val="204775B2"/>
    <w:rsid w:val="206A4C40"/>
    <w:rsid w:val="20A522BB"/>
    <w:rsid w:val="20B0162F"/>
    <w:rsid w:val="20E27E60"/>
    <w:rsid w:val="20F62E33"/>
    <w:rsid w:val="21304699"/>
    <w:rsid w:val="214E7870"/>
    <w:rsid w:val="215E4FAB"/>
    <w:rsid w:val="216D5541"/>
    <w:rsid w:val="21734926"/>
    <w:rsid w:val="217F7A86"/>
    <w:rsid w:val="21E23326"/>
    <w:rsid w:val="22133E8F"/>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1B1A95"/>
    <w:rsid w:val="282A2FBF"/>
    <w:rsid w:val="284D4CE1"/>
    <w:rsid w:val="28884F3F"/>
    <w:rsid w:val="288A3A6E"/>
    <w:rsid w:val="289B53DE"/>
    <w:rsid w:val="28EA36A0"/>
    <w:rsid w:val="29230D98"/>
    <w:rsid w:val="29734AA2"/>
    <w:rsid w:val="29975184"/>
    <w:rsid w:val="29B27D0E"/>
    <w:rsid w:val="29B60371"/>
    <w:rsid w:val="29B96DA4"/>
    <w:rsid w:val="29EB44B2"/>
    <w:rsid w:val="2A482381"/>
    <w:rsid w:val="2A560798"/>
    <w:rsid w:val="2A6B032A"/>
    <w:rsid w:val="2A7864C1"/>
    <w:rsid w:val="2A8D307C"/>
    <w:rsid w:val="2A9F612F"/>
    <w:rsid w:val="2AAF2EFC"/>
    <w:rsid w:val="2ADD4741"/>
    <w:rsid w:val="2AF66151"/>
    <w:rsid w:val="2AF9698D"/>
    <w:rsid w:val="2B09048E"/>
    <w:rsid w:val="2B1400CF"/>
    <w:rsid w:val="2B1701F4"/>
    <w:rsid w:val="2B4138A5"/>
    <w:rsid w:val="2B843AC4"/>
    <w:rsid w:val="2B8A15BC"/>
    <w:rsid w:val="2B947C37"/>
    <w:rsid w:val="2B960392"/>
    <w:rsid w:val="2BAC24A6"/>
    <w:rsid w:val="2BAC6B19"/>
    <w:rsid w:val="2BBF0E89"/>
    <w:rsid w:val="2BC75583"/>
    <w:rsid w:val="2BEB29E9"/>
    <w:rsid w:val="2C336D31"/>
    <w:rsid w:val="2C337AAD"/>
    <w:rsid w:val="2C461694"/>
    <w:rsid w:val="2C4E6FBB"/>
    <w:rsid w:val="2C623D16"/>
    <w:rsid w:val="2C875270"/>
    <w:rsid w:val="2C965415"/>
    <w:rsid w:val="2CB23F2C"/>
    <w:rsid w:val="2CD813D3"/>
    <w:rsid w:val="2CE74F46"/>
    <w:rsid w:val="2D084BDC"/>
    <w:rsid w:val="2D0869D1"/>
    <w:rsid w:val="2D266300"/>
    <w:rsid w:val="2D430728"/>
    <w:rsid w:val="2D470279"/>
    <w:rsid w:val="2D67146E"/>
    <w:rsid w:val="2D786683"/>
    <w:rsid w:val="2D962B7E"/>
    <w:rsid w:val="2DED5358"/>
    <w:rsid w:val="2DEE79B2"/>
    <w:rsid w:val="2DF410A0"/>
    <w:rsid w:val="2DF64E15"/>
    <w:rsid w:val="2DF802B3"/>
    <w:rsid w:val="2E152094"/>
    <w:rsid w:val="2E1F33B7"/>
    <w:rsid w:val="2E2B674B"/>
    <w:rsid w:val="2E3B4D8F"/>
    <w:rsid w:val="2E690389"/>
    <w:rsid w:val="2E705D56"/>
    <w:rsid w:val="2E93460F"/>
    <w:rsid w:val="2ED628B7"/>
    <w:rsid w:val="2EF354FE"/>
    <w:rsid w:val="2F0371B0"/>
    <w:rsid w:val="2F6273BF"/>
    <w:rsid w:val="2F7560D1"/>
    <w:rsid w:val="2F822E24"/>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F84A14"/>
    <w:rsid w:val="34FD55E0"/>
    <w:rsid w:val="350C652A"/>
    <w:rsid w:val="355634B1"/>
    <w:rsid w:val="35597C05"/>
    <w:rsid w:val="355A1802"/>
    <w:rsid w:val="35842B40"/>
    <w:rsid w:val="35B25B7D"/>
    <w:rsid w:val="35C0722D"/>
    <w:rsid w:val="35C91C5E"/>
    <w:rsid w:val="3642530D"/>
    <w:rsid w:val="36436038"/>
    <w:rsid w:val="36546FA8"/>
    <w:rsid w:val="367C374B"/>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7F19CE"/>
    <w:rsid w:val="38AC1CC4"/>
    <w:rsid w:val="390455C8"/>
    <w:rsid w:val="392711B7"/>
    <w:rsid w:val="394043E4"/>
    <w:rsid w:val="394A00C4"/>
    <w:rsid w:val="39704603"/>
    <w:rsid w:val="399A2295"/>
    <w:rsid w:val="39D73083"/>
    <w:rsid w:val="39F914B3"/>
    <w:rsid w:val="3A076BBA"/>
    <w:rsid w:val="3A0D1C58"/>
    <w:rsid w:val="3A136626"/>
    <w:rsid w:val="3A2E4CC2"/>
    <w:rsid w:val="3A45433C"/>
    <w:rsid w:val="3A486CF8"/>
    <w:rsid w:val="3A66264B"/>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E443F3"/>
    <w:rsid w:val="3D00259E"/>
    <w:rsid w:val="3D0C105D"/>
    <w:rsid w:val="3D3F0331"/>
    <w:rsid w:val="3D80093F"/>
    <w:rsid w:val="3D9520B5"/>
    <w:rsid w:val="3D9C10B4"/>
    <w:rsid w:val="3DA9522F"/>
    <w:rsid w:val="3DC908C6"/>
    <w:rsid w:val="3E0471BD"/>
    <w:rsid w:val="3E5102CA"/>
    <w:rsid w:val="3E9075B2"/>
    <w:rsid w:val="3EA730B9"/>
    <w:rsid w:val="3EC2087A"/>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4C1C85"/>
    <w:rsid w:val="407601C7"/>
    <w:rsid w:val="408D38DE"/>
    <w:rsid w:val="40A1023E"/>
    <w:rsid w:val="40B64517"/>
    <w:rsid w:val="40BA4DAE"/>
    <w:rsid w:val="40E816EB"/>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732E22"/>
    <w:rsid w:val="44EC7F57"/>
    <w:rsid w:val="456D6971"/>
    <w:rsid w:val="456F617D"/>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22754"/>
    <w:rsid w:val="49B465E4"/>
    <w:rsid w:val="49D36B22"/>
    <w:rsid w:val="4A2D795D"/>
    <w:rsid w:val="4A5339DF"/>
    <w:rsid w:val="4A786F8C"/>
    <w:rsid w:val="4ABD1827"/>
    <w:rsid w:val="4AD51900"/>
    <w:rsid w:val="4AE75E3F"/>
    <w:rsid w:val="4B091A24"/>
    <w:rsid w:val="4B1F151D"/>
    <w:rsid w:val="4B4E43C2"/>
    <w:rsid w:val="4B7C795F"/>
    <w:rsid w:val="4B9E1622"/>
    <w:rsid w:val="4B9E5499"/>
    <w:rsid w:val="4BAA7DA5"/>
    <w:rsid w:val="4BD73E5B"/>
    <w:rsid w:val="4BDC61D3"/>
    <w:rsid w:val="4C30340E"/>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E547C"/>
    <w:rsid w:val="50001812"/>
    <w:rsid w:val="500451B4"/>
    <w:rsid w:val="50513DBE"/>
    <w:rsid w:val="50634346"/>
    <w:rsid w:val="506E0E2C"/>
    <w:rsid w:val="50A12BDE"/>
    <w:rsid w:val="50A22415"/>
    <w:rsid w:val="50D13A2E"/>
    <w:rsid w:val="51246EB8"/>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C3E6A"/>
    <w:rsid w:val="51CF3A07"/>
    <w:rsid w:val="51D171E5"/>
    <w:rsid w:val="51D25FE1"/>
    <w:rsid w:val="51E1750A"/>
    <w:rsid w:val="51E33E74"/>
    <w:rsid w:val="520B7B24"/>
    <w:rsid w:val="521C0BB6"/>
    <w:rsid w:val="521C3A78"/>
    <w:rsid w:val="52363A6E"/>
    <w:rsid w:val="523A133F"/>
    <w:rsid w:val="52435D15"/>
    <w:rsid w:val="52736C91"/>
    <w:rsid w:val="5293771F"/>
    <w:rsid w:val="529B64F9"/>
    <w:rsid w:val="52AB57B0"/>
    <w:rsid w:val="52BC6B1E"/>
    <w:rsid w:val="52D16BF7"/>
    <w:rsid w:val="53072F3F"/>
    <w:rsid w:val="5324447A"/>
    <w:rsid w:val="53301796"/>
    <w:rsid w:val="53431B52"/>
    <w:rsid w:val="535378DE"/>
    <w:rsid w:val="53A25C1A"/>
    <w:rsid w:val="53C26E85"/>
    <w:rsid w:val="540E28F0"/>
    <w:rsid w:val="542E491F"/>
    <w:rsid w:val="543B6AE0"/>
    <w:rsid w:val="546062BA"/>
    <w:rsid w:val="546C4910"/>
    <w:rsid w:val="547D3B66"/>
    <w:rsid w:val="54922220"/>
    <w:rsid w:val="549B7165"/>
    <w:rsid w:val="54D53B92"/>
    <w:rsid w:val="54E925B3"/>
    <w:rsid w:val="55002B5A"/>
    <w:rsid w:val="556C3448"/>
    <w:rsid w:val="558B56DE"/>
    <w:rsid w:val="559A60A0"/>
    <w:rsid w:val="56426652"/>
    <w:rsid w:val="56535110"/>
    <w:rsid w:val="566057C7"/>
    <w:rsid w:val="566A15A8"/>
    <w:rsid w:val="569354B1"/>
    <w:rsid w:val="569F2C55"/>
    <w:rsid w:val="56B471B4"/>
    <w:rsid w:val="56BC5B54"/>
    <w:rsid w:val="56C13B29"/>
    <w:rsid w:val="57064EA9"/>
    <w:rsid w:val="57305B52"/>
    <w:rsid w:val="573060C7"/>
    <w:rsid w:val="575631D2"/>
    <w:rsid w:val="5762594A"/>
    <w:rsid w:val="576D7290"/>
    <w:rsid w:val="57C33473"/>
    <w:rsid w:val="57EB4109"/>
    <w:rsid w:val="580751C1"/>
    <w:rsid w:val="58471CAD"/>
    <w:rsid w:val="585574D5"/>
    <w:rsid w:val="58582053"/>
    <w:rsid w:val="58680E1B"/>
    <w:rsid w:val="58705FC5"/>
    <w:rsid w:val="58745084"/>
    <w:rsid w:val="587D1CE7"/>
    <w:rsid w:val="59076E25"/>
    <w:rsid w:val="592E4D8C"/>
    <w:rsid w:val="59321703"/>
    <w:rsid w:val="594930E9"/>
    <w:rsid w:val="5959534D"/>
    <w:rsid w:val="596B460B"/>
    <w:rsid w:val="59A66247"/>
    <w:rsid w:val="59AD0976"/>
    <w:rsid w:val="59BA7A63"/>
    <w:rsid w:val="59EE166C"/>
    <w:rsid w:val="59EF00DD"/>
    <w:rsid w:val="59FA3DCB"/>
    <w:rsid w:val="5A4A011A"/>
    <w:rsid w:val="5A9B5664"/>
    <w:rsid w:val="5AAF1D42"/>
    <w:rsid w:val="5AB56805"/>
    <w:rsid w:val="5AC926ED"/>
    <w:rsid w:val="5AD672EA"/>
    <w:rsid w:val="5AE62910"/>
    <w:rsid w:val="5AF654A7"/>
    <w:rsid w:val="5B2E25C1"/>
    <w:rsid w:val="5B526DEA"/>
    <w:rsid w:val="5B5E600E"/>
    <w:rsid w:val="5B93240F"/>
    <w:rsid w:val="5BA814CE"/>
    <w:rsid w:val="5BAD3376"/>
    <w:rsid w:val="5BC46201"/>
    <w:rsid w:val="5BC648F3"/>
    <w:rsid w:val="5C1A514B"/>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35397A"/>
    <w:rsid w:val="5E424B36"/>
    <w:rsid w:val="5E575074"/>
    <w:rsid w:val="5E6B289C"/>
    <w:rsid w:val="5E6D68CE"/>
    <w:rsid w:val="5E706ACF"/>
    <w:rsid w:val="5E771697"/>
    <w:rsid w:val="5E9C653C"/>
    <w:rsid w:val="5EA3001C"/>
    <w:rsid w:val="5ECB712B"/>
    <w:rsid w:val="5EE13914"/>
    <w:rsid w:val="5EFA66AB"/>
    <w:rsid w:val="5F0251E8"/>
    <w:rsid w:val="5F095D8A"/>
    <w:rsid w:val="5F0B2DAF"/>
    <w:rsid w:val="5F135C40"/>
    <w:rsid w:val="5F3563C3"/>
    <w:rsid w:val="5F4D5468"/>
    <w:rsid w:val="5FC25AB6"/>
    <w:rsid w:val="5FC363A7"/>
    <w:rsid w:val="5FD96164"/>
    <w:rsid w:val="5FDC67AF"/>
    <w:rsid w:val="600C03BB"/>
    <w:rsid w:val="60135AAD"/>
    <w:rsid w:val="60212DA9"/>
    <w:rsid w:val="60215989"/>
    <w:rsid w:val="602C59C3"/>
    <w:rsid w:val="60506531"/>
    <w:rsid w:val="606A3BE4"/>
    <w:rsid w:val="607118EE"/>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B605C"/>
    <w:rsid w:val="622D2C02"/>
    <w:rsid w:val="6233790A"/>
    <w:rsid w:val="62523F0C"/>
    <w:rsid w:val="62687D5B"/>
    <w:rsid w:val="62701383"/>
    <w:rsid w:val="62752629"/>
    <w:rsid w:val="627D4BC8"/>
    <w:rsid w:val="62871E0E"/>
    <w:rsid w:val="629501CE"/>
    <w:rsid w:val="62A220EF"/>
    <w:rsid w:val="62D17084"/>
    <w:rsid w:val="62D65955"/>
    <w:rsid w:val="62E223F2"/>
    <w:rsid w:val="62FC405D"/>
    <w:rsid w:val="63175D3F"/>
    <w:rsid w:val="632F59FF"/>
    <w:rsid w:val="633C0395"/>
    <w:rsid w:val="634B08FB"/>
    <w:rsid w:val="634B337E"/>
    <w:rsid w:val="636C0CDB"/>
    <w:rsid w:val="63772071"/>
    <w:rsid w:val="63B72EE5"/>
    <w:rsid w:val="63ED50B6"/>
    <w:rsid w:val="640763BE"/>
    <w:rsid w:val="64416D9B"/>
    <w:rsid w:val="64761778"/>
    <w:rsid w:val="647A3012"/>
    <w:rsid w:val="64873E0F"/>
    <w:rsid w:val="64C70A52"/>
    <w:rsid w:val="64F14070"/>
    <w:rsid w:val="6540192B"/>
    <w:rsid w:val="65D515B1"/>
    <w:rsid w:val="661659C4"/>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212D5"/>
    <w:rsid w:val="6B4414F0"/>
    <w:rsid w:val="6B565AA8"/>
    <w:rsid w:val="6B5748FF"/>
    <w:rsid w:val="6B7B2B55"/>
    <w:rsid w:val="6B9F0C46"/>
    <w:rsid w:val="6BAC1D32"/>
    <w:rsid w:val="6BC321EF"/>
    <w:rsid w:val="6BD41082"/>
    <w:rsid w:val="6BE06CBA"/>
    <w:rsid w:val="6BE43EF7"/>
    <w:rsid w:val="6BF9582A"/>
    <w:rsid w:val="6C1C58EB"/>
    <w:rsid w:val="6C2B64B6"/>
    <w:rsid w:val="6C4B06A2"/>
    <w:rsid w:val="6C6555E3"/>
    <w:rsid w:val="6C6F1CAD"/>
    <w:rsid w:val="6C8501AE"/>
    <w:rsid w:val="6CA060FB"/>
    <w:rsid w:val="6CA06AC4"/>
    <w:rsid w:val="6D2263C3"/>
    <w:rsid w:val="6D357968"/>
    <w:rsid w:val="6D427AF4"/>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6FB87E06"/>
    <w:rsid w:val="7014078E"/>
    <w:rsid w:val="703062F3"/>
    <w:rsid w:val="706E1F45"/>
    <w:rsid w:val="706F49DA"/>
    <w:rsid w:val="7071160C"/>
    <w:rsid w:val="709F2080"/>
    <w:rsid w:val="70A2025E"/>
    <w:rsid w:val="70A30984"/>
    <w:rsid w:val="70D41C98"/>
    <w:rsid w:val="70E819EC"/>
    <w:rsid w:val="70F02008"/>
    <w:rsid w:val="70F14C5F"/>
    <w:rsid w:val="711676FB"/>
    <w:rsid w:val="7132631C"/>
    <w:rsid w:val="71786358"/>
    <w:rsid w:val="717E1969"/>
    <w:rsid w:val="7184468B"/>
    <w:rsid w:val="71BB560F"/>
    <w:rsid w:val="71C9747B"/>
    <w:rsid w:val="71CD5DBA"/>
    <w:rsid w:val="71DA1C38"/>
    <w:rsid w:val="71E05DC1"/>
    <w:rsid w:val="721026A7"/>
    <w:rsid w:val="721C3518"/>
    <w:rsid w:val="721E66BD"/>
    <w:rsid w:val="723104CD"/>
    <w:rsid w:val="72536B56"/>
    <w:rsid w:val="72787E4E"/>
    <w:rsid w:val="729E164B"/>
    <w:rsid w:val="72C3452E"/>
    <w:rsid w:val="72F70913"/>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3D4076"/>
    <w:rsid w:val="754B71DC"/>
    <w:rsid w:val="756539D7"/>
    <w:rsid w:val="757A4188"/>
    <w:rsid w:val="757F3C79"/>
    <w:rsid w:val="759444D0"/>
    <w:rsid w:val="75B207EF"/>
    <w:rsid w:val="75B96A41"/>
    <w:rsid w:val="75DC6E28"/>
    <w:rsid w:val="75E05530"/>
    <w:rsid w:val="762A5C5B"/>
    <w:rsid w:val="76557DF7"/>
    <w:rsid w:val="767D12A6"/>
    <w:rsid w:val="76826F54"/>
    <w:rsid w:val="76987D42"/>
    <w:rsid w:val="76992F80"/>
    <w:rsid w:val="76C52F8C"/>
    <w:rsid w:val="76D35374"/>
    <w:rsid w:val="76DB7DBB"/>
    <w:rsid w:val="76F740F6"/>
    <w:rsid w:val="76FC652B"/>
    <w:rsid w:val="7729054A"/>
    <w:rsid w:val="772D3436"/>
    <w:rsid w:val="772F2752"/>
    <w:rsid w:val="77C667E4"/>
    <w:rsid w:val="77DD6545"/>
    <w:rsid w:val="77FA1E94"/>
    <w:rsid w:val="7835260B"/>
    <w:rsid w:val="78402416"/>
    <w:rsid w:val="78572C09"/>
    <w:rsid w:val="78AC2E84"/>
    <w:rsid w:val="78B26C4E"/>
    <w:rsid w:val="78C91043"/>
    <w:rsid w:val="79292F6F"/>
    <w:rsid w:val="792B19AA"/>
    <w:rsid w:val="793F37F2"/>
    <w:rsid w:val="79AE1496"/>
    <w:rsid w:val="79EF2CEB"/>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C42145"/>
    <w:rsid w:val="7BF90168"/>
    <w:rsid w:val="7C0E27F5"/>
    <w:rsid w:val="7C1B2050"/>
    <w:rsid w:val="7C3009AD"/>
    <w:rsid w:val="7C3837D0"/>
    <w:rsid w:val="7C553194"/>
    <w:rsid w:val="7C627104"/>
    <w:rsid w:val="7C6B7CF2"/>
    <w:rsid w:val="7C6C2208"/>
    <w:rsid w:val="7C6F7FDF"/>
    <w:rsid w:val="7C7472F4"/>
    <w:rsid w:val="7C8731E9"/>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rPr>
      <w:rFonts w:ascii="Times New Roman" w:hAnsi="Times New Roman"/>
    </w:rPr>
  </w:style>
  <w:style w:type="paragraph" w:styleId="14">
    <w:name w:val="annotation text"/>
    <w:basedOn w:val="1"/>
    <w:link w:val="60"/>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link w:val="58"/>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3"/>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50"/>
    <w:qFormat/>
    <w:uiPriority w:val="0"/>
    <w:pPr>
      <w:jc w:val="both"/>
    </w:pPr>
    <w:rPr>
      <w:b/>
      <w:bCs/>
    </w:rPr>
  </w:style>
  <w:style w:type="paragraph" w:styleId="37">
    <w:name w:val="Body Text First Indent"/>
    <w:basedOn w:val="16"/>
    <w:link w:val="56"/>
    <w:qFormat/>
    <w:uiPriority w:val="0"/>
    <w:pPr>
      <w:spacing w:line="312" w:lineRule="auto"/>
      <w:ind w:firstLine="42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000000"/>
      <w:u w:val="none"/>
    </w:rPr>
  </w:style>
  <w:style w:type="character" w:styleId="43">
    <w:name w:val="Hyperlink"/>
    <w:qFormat/>
    <w:uiPriority w:val="0"/>
    <w:rPr>
      <w:color w:val="000000"/>
      <w:u w:val="non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Char"/>
    <w:link w:val="3"/>
    <w:qFormat/>
    <w:uiPriority w:val="0"/>
    <w:rPr>
      <w:rFonts w:eastAsia="宋体"/>
      <w:b/>
      <w:bCs/>
      <w:kern w:val="44"/>
      <w:sz w:val="44"/>
      <w:szCs w:val="44"/>
      <w:lang w:val="en-US" w:eastAsia="zh-CN" w:bidi="ar-SA"/>
    </w:rPr>
  </w:style>
  <w:style w:type="character" w:customStyle="1" w:styleId="47">
    <w:name w:val="times1"/>
    <w:qFormat/>
    <w:uiPriority w:val="0"/>
    <w:rPr>
      <w:color w:val="CDCDCD"/>
      <w:bdr w:val="single" w:color="CDCDCD" w:sz="6" w:space="0"/>
      <w:shd w:val="clear" w:color="auto" w:fill="EFEFEF"/>
    </w:rPr>
  </w:style>
  <w:style w:type="character" w:customStyle="1" w:styleId="48">
    <w:name w:val="页脚 Char"/>
    <w:link w:val="24"/>
    <w:qFormat/>
    <w:uiPriority w:val="99"/>
    <w:rPr>
      <w:rFonts w:eastAsia="宋体"/>
      <w:kern w:val="2"/>
      <w:sz w:val="18"/>
      <w:szCs w:val="18"/>
      <w:lang w:val="en-US" w:eastAsia="zh-CN" w:bidi="ar-SA"/>
    </w:rPr>
  </w:style>
  <w:style w:type="character" w:customStyle="1" w:styleId="49">
    <w:name w:val="font161"/>
    <w:qFormat/>
    <w:uiPriority w:val="0"/>
    <w:rPr>
      <w:b/>
      <w:bCs/>
      <w:sz w:val="32"/>
      <w:szCs w:val="32"/>
    </w:rPr>
  </w:style>
  <w:style w:type="character" w:customStyle="1" w:styleId="50">
    <w:name w:val="批注主题 Char"/>
    <w:link w:val="36"/>
    <w:qFormat/>
    <w:uiPriority w:val="0"/>
    <w:rPr>
      <w:rFonts w:eastAsia="宋体"/>
      <w:b/>
      <w:bCs/>
      <w:kern w:val="2"/>
      <w:sz w:val="21"/>
      <w:szCs w:val="24"/>
      <w:lang w:val="en-US" w:eastAsia="zh-CN" w:bidi="ar-SA"/>
    </w:rPr>
  </w:style>
  <w:style w:type="character" w:customStyle="1" w:styleId="51">
    <w:name w:val="文档结构图 Char"/>
    <w:link w:val="13"/>
    <w:qFormat/>
    <w:uiPriority w:val="0"/>
    <w:rPr>
      <w:rFonts w:eastAsia="宋体"/>
      <w:kern w:val="2"/>
      <w:sz w:val="21"/>
      <w:szCs w:val="24"/>
      <w:lang w:val="en-US" w:eastAsia="zh-CN" w:bidi="ar-SA"/>
    </w:rPr>
  </w:style>
  <w:style w:type="character" w:customStyle="1" w:styleId="52">
    <w:name w:val="标题 2 Char"/>
    <w:link w:val="4"/>
    <w:qFormat/>
    <w:uiPriority w:val="0"/>
    <w:rPr>
      <w:rFonts w:ascii="Arial" w:hAnsi="Arial" w:eastAsia="黑体"/>
      <w:b/>
      <w:bCs/>
      <w:kern w:val="2"/>
      <w:sz w:val="32"/>
      <w:szCs w:val="32"/>
      <w:lang w:val="en-US" w:eastAsia="zh-CN" w:bidi="ar-SA"/>
    </w:rPr>
  </w:style>
  <w:style w:type="character" w:customStyle="1" w:styleId="53">
    <w:name w:val="纯文本 Char"/>
    <w:basedOn w:val="40"/>
    <w:link w:val="20"/>
    <w:qFormat/>
    <w:uiPriority w:val="0"/>
    <w:rPr>
      <w:rFonts w:hint="eastAsia" w:ascii="宋体" w:hAnsi="Courier New" w:eastAsia="宋体" w:cs="Courier New"/>
      <w:kern w:val="2"/>
      <w:sz w:val="21"/>
      <w:szCs w:val="21"/>
    </w:rPr>
  </w:style>
  <w:style w:type="character" w:customStyle="1" w:styleId="54">
    <w:name w:val="hover41"/>
    <w:basedOn w:val="40"/>
    <w:qFormat/>
    <w:uiPriority w:val="0"/>
  </w:style>
  <w:style w:type="character" w:customStyle="1" w:styleId="55">
    <w:name w:val="页眉 Char"/>
    <w:link w:val="25"/>
    <w:qFormat/>
    <w:uiPriority w:val="99"/>
    <w:rPr>
      <w:rFonts w:eastAsia="宋体"/>
      <w:kern w:val="2"/>
      <w:sz w:val="18"/>
      <w:szCs w:val="18"/>
      <w:lang w:val="en-US" w:eastAsia="zh-CN" w:bidi="ar-SA"/>
    </w:rPr>
  </w:style>
  <w:style w:type="character" w:customStyle="1" w:styleId="56">
    <w:name w:val="正文首行缩进 Char"/>
    <w:link w:val="37"/>
    <w:qFormat/>
    <w:uiPriority w:val="0"/>
    <w:rPr>
      <w:rFonts w:eastAsia="宋体"/>
      <w:kern w:val="2"/>
      <w:sz w:val="21"/>
      <w:szCs w:val="24"/>
      <w:lang w:val="en-US" w:eastAsia="zh-CN" w:bidi="ar-SA"/>
    </w:rPr>
  </w:style>
  <w:style w:type="character" w:customStyle="1" w:styleId="57">
    <w:name w:val="标题 3 Char"/>
    <w:link w:val="5"/>
    <w:qFormat/>
    <w:uiPriority w:val="0"/>
    <w:rPr>
      <w:rFonts w:ascii="黑体" w:hAnsi="宋体" w:eastAsia="黑体"/>
      <w:bCs/>
      <w:kern w:val="2"/>
      <w:sz w:val="28"/>
      <w:szCs w:val="28"/>
      <w:lang w:val="en-US" w:eastAsia="zh-CN" w:bidi="ar-SA"/>
    </w:rPr>
  </w:style>
  <w:style w:type="character" w:customStyle="1" w:styleId="58">
    <w:name w:val="正文文本 Char"/>
    <w:link w:val="16"/>
    <w:qFormat/>
    <w:uiPriority w:val="0"/>
    <w:rPr>
      <w:rFonts w:eastAsia="宋体"/>
      <w:kern w:val="2"/>
      <w:sz w:val="21"/>
      <w:szCs w:val="24"/>
      <w:lang w:val="en-US" w:eastAsia="zh-CN" w:bidi="ar-SA"/>
    </w:rPr>
  </w:style>
  <w:style w:type="character" w:customStyle="1" w:styleId="59">
    <w:name w:val="times"/>
    <w:qFormat/>
    <w:uiPriority w:val="0"/>
    <w:rPr>
      <w:color w:val="3399FF"/>
      <w:bdr w:val="single" w:color="D1EDF8" w:sz="6" w:space="0"/>
      <w:shd w:val="clear" w:color="auto" w:fill="EAF9FF"/>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p12"/>
    <w:basedOn w:val="40"/>
    <w:qFormat/>
    <w:uiPriority w:val="0"/>
  </w:style>
  <w:style w:type="character" w:customStyle="1" w:styleId="62">
    <w:name w:val="标题 4 Char"/>
    <w:link w:val="6"/>
    <w:qFormat/>
    <w:uiPriority w:val="0"/>
    <w:rPr>
      <w:rFonts w:ascii="Arial" w:hAnsi="Arial" w:eastAsia="黑体"/>
      <w:b/>
      <w:bCs/>
      <w:kern w:val="2"/>
      <w:sz w:val="28"/>
      <w:szCs w:val="28"/>
      <w:lang w:val="en-US" w:eastAsia="zh-CN" w:bidi="ar-SA"/>
    </w:rPr>
  </w:style>
  <w:style w:type="paragraph" w:customStyle="1" w:styleId="63">
    <w:name w:val="修订1"/>
    <w:qFormat/>
    <w:uiPriority w:val="0"/>
    <w:rPr>
      <w:rFonts w:ascii="Calibri" w:hAnsi="Calibri" w:eastAsia="宋体" w:cs="Times New Roman"/>
      <w:kern w:val="2"/>
      <w:sz w:val="21"/>
      <w:szCs w:val="24"/>
      <w:lang w:val="en-US" w:eastAsia="zh-CN" w:bidi="ar-SA"/>
    </w:rPr>
  </w:style>
  <w:style w:type="paragraph" w:customStyle="1" w:styleId="64">
    <w:name w:val="Char Char Char Char"/>
    <w:basedOn w:val="1"/>
    <w:qFormat/>
    <w:uiPriority w:val="0"/>
    <w:rPr>
      <w:rFonts w:eastAsia="楷体_GB2312"/>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9">
    <w:name w:val="样式2"/>
    <w:basedOn w:val="5"/>
    <w:qFormat/>
    <w:uiPriority w:val="0"/>
    <w:rPr>
      <w:i/>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1">
    <w:name w:val="List Paragraph"/>
    <w:basedOn w:val="1"/>
    <w:qFormat/>
    <w:uiPriority w:val="34"/>
    <w:pPr>
      <w:ind w:firstLine="420" w:firstLineChars="200"/>
    </w:pPr>
    <w:rPr>
      <w:szCs w:val="22"/>
    </w:rPr>
  </w:style>
  <w:style w:type="paragraph" w:customStyle="1" w:styleId="72">
    <w:name w:val="表格"/>
    <w:basedOn w:val="1"/>
    <w:qFormat/>
    <w:uiPriority w:val="0"/>
    <w:pPr>
      <w:jc w:val="center"/>
      <w:textAlignment w:val="center"/>
    </w:pPr>
    <w:rPr>
      <w:rFonts w:ascii="华文细黑" w:hAnsi="华文细黑"/>
      <w:kern w:val="0"/>
      <w:szCs w:val="20"/>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4">
    <w:name w:val="1"/>
    <w:basedOn w:val="1"/>
    <w:qFormat/>
    <w:uiPriority w:val="0"/>
  </w:style>
  <w:style w:type="paragraph" w:customStyle="1" w:styleId="7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tabs>
        <w:tab w:val="left" w:pos="360"/>
      </w:tabs>
    </w:pPr>
    <w:rPr>
      <w:sz w:val="24"/>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rPr>
      <w:szCs w:val="20"/>
    </w:rPr>
  </w:style>
  <w:style w:type="paragraph" w:customStyle="1" w:styleId="80">
    <w:name w:val="文二"/>
    <w:basedOn w:val="1"/>
    <w:qFormat/>
    <w:uiPriority w:val="0"/>
    <w:pPr>
      <w:jc w:val="left"/>
    </w:pPr>
    <w:rPr>
      <w:rFonts w:ascii="宋体" w:hAnsi="宋体"/>
      <w:szCs w:val="21"/>
    </w:rPr>
  </w:style>
  <w:style w:type="paragraph" w:customStyle="1" w:styleId="81">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头"/>
    <w:basedOn w:val="1"/>
    <w:qFormat/>
    <w:uiPriority w:val="0"/>
    <w:pPr>
      <w:spacing w:line="360" w:lineRule="auto"/>
      <w:jc w:val="center"/>
    </w:pPr>
    <w:rPr>
      <w:rFonts w:ascii="黑体" w:eastAsia="黑体"/>
      <w:kern w:val="0"/>
      <w:sz w:val="24"/>
      <w:szCs w:val="20"/>
    </w:rPr>
  </w:style>
  <w:style w:type="paragraph" w:customStyle="1" w:styleId="8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5">
    <w:name w:val="正题"/>
    <w:basedOn w:val="73"/>
    <w:next w:val="73"/>
    <w:qFormat/>
    <w:uiPriority w:val="0"/>
    <w:pPr>
      <w:ind w:firstLine="0" w:firstLineChars="0"/>
      <w:jc w:val="center"/>
    </w:pPr>
    <w:rPr>
      <w:rFonts w:eastAsia="黑体"/>
      <w:b/>
      <w:sz w:val="36"/>
      <w:szCs w:val="36"/>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7">
    <w:name w:val="Char1"/>
    <w:basedOn w:val="1"/>
    <w:qFormat/>
    <w:uiPriority w:val="0"/>
    <w:pPr>
      <w:tabs>
        <w:tab w:val="left" w:pos="360"/>
      </w:tabs>
    </w:pPr>
    <w:rPr>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BodyText"/>
    <w:basedOn w:val="1"/>
    <w:qFormat/>
    <w:uiPriority w:val="0"/>
    <w:pPr>
      <w:spacing w:after="120"/>
    </w:pPr>
    <w:rPr>
      <w:rFonts w:ascii="Times New Roman" w:hAnsi="Times New Roman"/>
      <w:kern w:val="0"/>
      <w:sz w:val="20"/>
      <w:szCs w:val="20"/>
    </w:rPr>
  </w:style>
  <w:style w:type="paragraph" w:customStyle="1" w:styleId="9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15041</Words>
  <Characters>15787</Characters>
  <Lines>155</Lines>
  <Paragraphs>43</Paragraphs>
  <TotalTime>16</TotalTime>
  <ScaleCrop>false</ScaleCrop>
  <LinksUpToDate>false</LinksUpToDate>
  <CharactersWithSpaces>17008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2021-11-18T08:34:00Z</cp:lastPrinted>
  <dcterms:modified xsi:type="dcterms:W3CDTF">2023-01-11T06:37:25Z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2C0B94F119434CB1B6952EE23E4235A6</vt:lpwstr>
  </property>
</Properties>
</file>