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400"/>
        <w:rPr>
          <w:color w:val="auto"/>
          <w:sz w:val="20"/>
          <w:szCs w:val="20"/>
          <w:highlight w:val="none"/>
        </w:rPr>
      </w:pPr>
      <w:bookmarkStart w:id="1112" w:name="_GoBack"/>
    </w:p>
    <w:p>
      <w:pPr>
        <w:spacing w:line="400" w:lineRule="exact"/>
        <w:rPr>
          <w:color w:val="auto"/>
          <w:highlight w:val="none"/>
        </w:rPr>
      </w:pPr>
    </w:p>
    <w:p>
      <w:pPr>
        <w:spacing w:line="400" w:lineRule="exact"/>
        <w:rPr>
          <w:color w:val="auto"/>
          <w:highlight w:val="none"/>
        </w:rPr>
      </w:pPr>
    </w:p>
    <w:p>
      <w:pPr>
        <w:spacing w:line="400" w:lineRule="exact"/>
        <w:rPr>
          <w:rFonts w:hint="eastAsia" w:ascii="方正小标宋简体" w:hAnsi="方正小标宋简体" w:eastAsia="方正小标宋简体" w:cs="方正小标宋简体"/>
          <w:color w:val="auto"/>
          <w:sz w:val="44"/>
          <w:szCs w:val="44"/>
          <w:highlight w:val="none"/>
          <w:u w:val="single"/>
        </w:rPr>
      </w:pPr>
    </w:p>
    <w:p>
      <w:pPr>
        <w:jc w:val="center"/>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lang w:eastAsia="zh-CN"/>
        </w:rPr>
        <w:t>湿地二期艺术区提升绿化景观项目</w:t>
      </w:r>
    </w:p>
    <w:p>
      <w:pPr>
        <w:adjustRightInd w:val="0"/>
        <w:snapToGrid w:val="0"/>
        <w:spacing w:line="360" w:lineRule="auto"/>
        <w:jc w:val="center"/>
        <w:rPr>
          <w:rFonts w:ascii="黑体" w:eastAsia="黑体"/>
          <w:color w:val="auto"/>
          <w:sz w:val="48"/>
          <w:szCs w:val="4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jc w:val="center"/>
        <w:rPr>
          <w:rFonts w:ascii="黑体" w:eastAsia="黑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招标文件</w:t>
      </w: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tabs>
          <w:tab w:val="left" w:pos="7067"/>
        </w:tabs>
        <w:spacing w:line="360" w:lineRule="auto"/>
        <w:ind w:firstLine="1506" w:firstLineChars="500"/>
        <w:rPr>
          <w:rFonts w:hint="eastAsia" w:ascii="宋体" w:hAnsi="宋体" w:cs="宋体"/>
          <w:b/>
          <w:color w:val="auto"/>
          <w:sz w:val="30"/>
          <w:szCs w:val="30"/>
          <w:highlight w:val="none"/>
          <w:lang w:eastAsia="zh-CN"/>
        </w:rPr>
      </w:pPr>
      <w:bookmarkStart w:id="0" w:name="_Toc726"/>
      <w:bookmarkStart w:id="1" w:name="_Toc24489"/>
      <w:bookmarkStart w:id="2" w:name="_Toc20398"/>
      <w:bookmarkStart w:id="3" w:name="_Toc144974478"/>
      <w:bookmarkStart w:id="4" w:name="_Toc247527532"/>
      <w:bookmarkStart w:id="5" w:name="_Toc24129"/>
      <w:bookmarkStart w:id="6" w:name="_Toc494371510"/>
      <w:bookmarkStart w:id="7" w:name="_Toc23644"/>
      <w:bookmarkStart w:id="8" w:name="_Toc152042286"/>
      <w:bookmarkStart w:id="9" w:name="_Toc27659"/>
      <w:bookmarkStart w:id="10" w:name="_Toc17935"/>
      <w:bookmarkStart w:id="11" w:name="_Toc19474"/>
      <w:bookmarkStart w:id="12" w:name="_Toc363"/>
      <w:bookmarkStart w:id="13" w:name="_Toc28091"/>
      <w:bookmarkStart w:id="14" w:name="_Toc300834926"/>
      <w:r>
        <w:rPr>
          <w:rFonts w:hint="eastAsia" w:ascii="宋体" w:hAnsi="宋体" w:cs="宋体"/>
          <w:b/>
          <w:color w:val="auto"/>
          <w:sz w:val="30"/>
          <w:szCs w:val="30"/>
          <w:highlight w:val="none"/>
          <w:lang w:eastAsia="zh-CN"/>
        </w:rPr>
        <w:t>业主</w:t>
      </w:r>
      <w:r>
        <w:rPr>
          <w:rFonts w:hint="eastAsia" w:ascii="宋体" w:hAnsi="宋体" w:cs="宋体"/>
          <w:b/>
          <w:color w:val="auto"/>
          <w:sz w:val="30"/>
          <w:szCs w:val="30"/>
          <w:highlight w:val="none"/>
        </w:rPr>
        <w:t>单位</w:t>
      </w:r>
      <w:r>
        <w:rPr>
          <w:rFonts w:hint="eastAsia" w:ascii="宋体" w:hAnsi="宋体" w:cs="宋体"/>
          <w:b/>
          <w:color w:val="auto"/>
          <w:sz w:val="30"/>
          <w:szCs w:val="30"/>
          <w:highlight w:val="none"/>
          <w:lang w:eastAsia="zh-CN"/>
        </w:rPr>
        <w:t xml:space="preserve">：广州南沙湿地旅游发展有限公司 </w:t>
      </w:r>
    </w:p>
    <w:p>
      <w:pPr>
        <w:tabs>
          <w:tab w:val="left" w:pos="7067"/>
        </w:tabs>
        <w:spacing w:line="360" w:lineRule="auto"/>
        <w:ind w:firstLine="1506" w:firstLineChars="500"/>
        <w:rPr>
          <w:rFonts w:ascii="宋体" w:hAnsi="宋体" w:cs="宋体"/>
          <w:b/>
          <w:color w:val="auto"/>
          <w:sz w:val="30"/>
          <w:szCs w:val="30"/>
          <w:highlight w:val="none"/>
        </w:rPr>
      </w:pPr>
      <w:r>
        <w:rPr>
          <w:rFonts w:hint="eastAsia" w:ascii="宋体" w:hAnsi="宋体" w:cs="宋体"/>
          <w:b/>
          <w:color w:val="auto"/>
          <w:sz w:val="30"/>
          <w:szCs w:val="30"/>
          <w:highlight w:val="none"/>
        </w:rPr>
        <w:t>日    期：二〇二</w:t>
      </w:r>
      <w:r>
        <w:rPr>
          <w:rFonts w:hint="eastAsia" w:ascii="宋体" w:hAnsi="宋体" w:cs="宋体"/>
          <w:b/>
          <w:color w:val="auto"/>
          <w:sz w:val="30"/>
          <w:szCs w:val="30"/>
          <w:highlight w:val="none"/>
          <w:lang w:val="en-US" w:eastAsia="zh-CN"/>
        </w:rPr>
        <w:t>三</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二</w:t>
      </w:r>
      <w:r>
        <w:rPr>
          <w:rFonts w:hint="eastAsia" w:ascii="宋体" w:hAnsi="宋体" w:cs="宋体"/>
          <w:b/>
          <w:color w:val="auto"/>
          <w:sz w:val="30"/>
          <w:szCs w:val="30"/>
          <w:highlight w:val="none"/>
        </w:rPr>
        <w:t>月</w:t>
      </w:r>
    </w:p>
    <w:p>
      <w:pPr>
        <w:pStyle w:val="32"/>
        <w:ind w:firstLine="405"/>
        <w:jc w:val="center"/>
        <w:rPr>
          <w:b/>
          <w:color w:val="auto"/>
          <w:sz w:val="32"/>
          <w:szCs w:val="32"/>
          <w:highlight w:val="none"/>
        </w:rPr>
        <w:sectPr>
          <w:headerReference r:id="rId3" w:type="default"/>
          <w:endnotePr>
            <w:numFmt w:val="decimal"/>
          </w:endnotePr>
          <w:pgSz w:w="11906" w:h="16838"/>
          <w:pgMar w:top="1361" w:right="1304" w:bottom="1247" w:left="1304" w:header="851" w:footer="992" w:gutter="0"/>
          <w:cols w:space="720" w:num="1"/>
          <w:docGrid w:type="lines" w:linePitch="312" w:charSpace="0"/>
        </w:sectPr>
      </w:pPr>
    </w:p>
    <w:p>
      <w:pPr>
        <w:pStyle w:val="3"/>
        <w:jc w:val="center"/>
        <w:rPr>
          <w:color w:val="auto"/>
          <w:highlight w:val="none"/>
        </w:rPr>
      </w:pPr>
      <w:bookmarkStart w:id="15" w:name="_Toc816"/>
      <w:r>
        <w:rPr>
          <w:rFonts w:hint="eastAsia"/>
          <w:color w:val="auto"/>
          <w:highlight w:val="none"/>
        </w:rPr>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26"/>
        <w:tabs>
          <w:tab w:val="right" w:leader="dot" w:pos="9411"/>
        </w:tabs>
        <w:rPr>
          <w:color w:val="auto"/>
          <w:highlight w:val="none"/>
        </w:rPr>
      </w:pPr>
      <w:bookmarkStart w:id="16" w:name="_Toc247527533"/>
      <w:bookmarkStart w:id="17" w:name="_Toc247513932"/>
      <w:bookmarkStart w:id="18" w:name="_Toc152042287"/>
      <w:bookmarkStart w:id="19" w:name="_Toc144974479"/>
      <w:bookmarkStart w:id="20" w:name="_Toc152045511"/>
      <w:r>
        <w:rPr>
          <w:caps w:val="0"/>
          <w:color w:val="auto"/>
          <w:sz w:val="28"/>
          <w:szCs w:val="28"/>
          <w:highlight w:val="none"/>
        </w:rPr>
        <w:fldChar w:fldCharType="begin"/>
      </w:r>
      <w:r>
        <w:rPr>
          <w:caps w:val="0"/>
          <w:color w:val="auto"/>
          <w:sz w:val="28"/>
          <w:szCs w:val="28"/>
          <w:highlight w:val="none"/>
        </w:rPr>
        <w:instrText xml:space="preserve">TOC \o "1-2" \h \u </w:instrText>
      </w:r>
      <w:r>
        <w:rPr>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"_Toc816" </w:instrText>
      </w:r>
      <w:r>
        <w:rPr>
          <w:color w:val="auto"/>
          <w:highlight w:val="none"/>
        </w:rPr>
        <w:fldChar w:fldCharType="separate"/>
      </w:r>
      <w:r>
        <w:rPr>
          <w:rFonts w:hint="eastAsia"/>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_Toc816 </w:instrText>
      </w:r>
      <w:r>
        <w:rPr>
          <w:color w:val="auto"/>
          <w:highlight w:val="none"/>
        </w:rPr>
        <w:fldChar w:fldCharType="separate"/>
      </w:r>
      <w:r>
        <w:rPr>
          <w:color w:val="auto"/>
          <w:highlight w:val="none"/>
        </w:rPr>
        <w:t>I</w:t>
      </w:r>
      <w:r>
        <w:rPr>
          <w:color w:val="auto"/>
          <w:highlight w:val="none"/>
        </w:rPr>
        <w:fldChar w:fldCharType="end"/>
      </w:r>
      <w:r>
        <w:rPr>
          <w:color w:val="auto"/>
          <w:highlight w:val="none"/>
        </w:rPr>
        <w:fldChar w:fldCharType="end"/>
      </w:r>
    </w:p>
    <w:p>
      <w:pPr>
        <w:pStyle w:val="26"/>
        <w:tabs>
          <w:tab w:val="right" w:leader="dot" w:pos="9411"/>
        </w:tabs>
        <w:rPr>
          <w:color w:val="auto"/>
          <w:highlight w:val="none"/>
        </w:rPr>
      </w:pPr>
      <w:r>
        <w:rPr>
          <w:color w:val="auto"/>
          <w:highlight w:val="none"/>
        </w:rPr>
        <w:fldChar w:fldCharType="begin"/>
      </w:r>
      <w:r>
        <w:rPr>
          <w:color w:val="auto"/>
          <w:highlight w:val="none"/>
        </w:rPr>
        <w:instrText xml:space="preserve"> HYPERLINK \l "_Toc9829" </w:instrText>
      </w:r>
      <w:r>
        <w:rPr>
          <w:color w:val="auto"/>
          <w:highlight w:val="none"/>
        </w:rPr>
        <w:fldChar w:fldCharType="separate"/>
      </w:r>
      <w:r>
        <w:rPr>
          <w:rFonts w:hint="eastAsia"/>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_Toc9829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6"/>
        <w:tabs>
          <w:tab w:val="right" w:leader="dot" w:pos="9411"/>
        </w:tabs>
        <w:rPr>
          <w:color w:val="auto"/>
          <w:highlight w:val="none"/>
        </w:rPr>
      </w:pPr>
      <w:r>
        <w:rPr>
          <w:color w:val="auto"/>
          <w:highlight w:val="none"/>
        </w:rPr>
        <w:fldChar w:fldCharType="begin"/>
      </w:r>
      <w:r>
        <w:rPr>
          <w:color w:val="auto"/>
          <w:highlight w:val="none"/>
        </w:rPr>
        <w:instrText xml:space="preserve"> HYPERLINK \l "_Toc16845" </w:instrText>
      </w:r>
      <w:r>
        <w:rPr>
          <w:color w:val="auto"/>
          <w:highlight w:val="none"/>
        </w:rPr>
        <w:fldChar w:fldCharType="separate"/>
      </w:r>
      <w:r>
        <w:rPr>
          <w:rFonts w:hint="eastAsia"/>
          <w:color w:val="auto"/>
          <w:kern w:val="44"/>
          <w:szCs w:val="44"/>
          <w:highlight w:val="none"/>
        </w:rPr>
        <w:t>第一章招标公告（另册）</w:t>
      </w:r>
      <w:r>
        <w:rPr>
          <w:color w:val="auto"/>
          <w:highlight w:val="none"/>
        </w:rPr>
        <w:tab/>
      </w:r>
      <w:r>
        <w:rPr>
          <w:color w:val="auto"/>
          <w:highlight w:val="none"/>
        </w:rPr>
        <w:fldChar w:fldCharType="begin"/>
      </w:r>
      <w:r>
        <w:rPr>
          <w:color w:val="auto"/>
          <w:highlight w:val="none"/>
        </w:rPr>
        <w:instrText xml:space="preserve"> PAGEREF _Toc16845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6"/>
        <w:tabs>
          <w:tab w:val="right" w:leader="dot" w:pos="9411"/>
        </w:tabs>
        <w:rPr>
          <w:color w:val="auto"/>
          <w:highlight w:val="none"/>
        </w:rPr>
      </w:pPr>
      <w:r>
        <w:rPr>
          <w:color w:val="auto"/>
          <w:highlight w:val="none"/>
        </w:rPr>
        <w:fldChar w:fldCharType="begin"/>
      </w:r>
      <w:r>
        <w:rPr>
          <w:color w:val="auto"/>
          <w:highlight w:val="none"/>
        </w:rPr>
        <w:instrText xml:space="preserve"> HYPERLINK \l "_Toc29549" </w:instrText>
      </w:r>
      <w:r>
        <w:rPr>
          <w:color w:val="auto"/>
          <w:highlight w:val="none"/>
        </w:rPr>
        <w:fldChar w:fldCharType="separate"/>
      </w:r>
      <w:r>
        <w:rPr>
          <w:rFonts w:hint="eastAsia"/>
          <w:color w:val="auto"/>
          <w:kern w:val="44"/>
          <w:szCs w:val="44"/>
          <w:highlight w:val="none"/>
        </w:rPr>
        <w:t>第二章投标人须知</w:t>
      </w:r>
      <w:r>
        <w:rPr>
          <w:color w:val="auto"/>
          <w:highlight w:val="none"/>
        </w:rPr>
        <w:tab/>
      </w:r>
      <w:r>
        <w:rPr>
          <w:color w:val="auto"/>
          <w:highlight w:val="none"/>
        </w:rPr>
        <w:fldChar w:fldCharType="begin"/>
      </w:r>
      <w:r>
        <w:rPr>
          <w:color w:val="auto"/>
          <w:highlight w:val="none"/>
        </w:rPr>
        <w:instrText xml:space="preserve"> PAGEREF _Toc29549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"_Toc23094" </w:instrText>
      </w:r>
      <w:r>
        <w:rPr>
          <w:color w:val="auto"/>
          <w:highlight w:val="none"/>
        </w:rPr>
        <w:fldChar w:fldCharType="separate"/>
      </w:r>
      <w:r>
        <w:rPr>
          <w:rFonts w:hint="eastAsia"/>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_Toc23094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"_Toc23892" </w:instrText>
      </w:r>
      <w:r>
        <w:rPr>
          <w:color w:val="auto"/>
          <w:highlight w:val="none"/>
        </w:rPr>
        <w:fldChar w:fldCharType="separate"/>
      </w:r>
      <w:r>
        <w:rPr>
          <w:color w:val="auto"/>
          <w:highlight w:val="none"/>
        </w:rPr>
        <w:t xml:space="preserve">1. </w:t>
      </w:r>
      <w:r>
        <w:rPr>
          <w:rFonts w:hint="eastAsia"/>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_Toc23892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"_Toc28224" </w:instrText>
      </w:r>
      <w:r>
        <w:rPr>
          <w:color w:val="auto"/>
          <w:highlight w:val="none"/>
        </w:rPr>
        <w:fldChar w:fldCharType="separate"/>
      </w:r>
      <w:r>
        <w:rPr>
          <w:color w:val="auto"/>
          <w:highlight w:val="none"/>
        </w:rPr>
        <w:t xml:space="preserve">2. </w:t>
      </w:r>
      <w:r>
        <w:rPr>
          <w:rFonts w:hint="eastAsia"/>
          <w:color w:val="auto"/>
          <w:highlight w:val="none"/>
        </w:rPr>
        <w:t>招标文件</w:t>
      </w:r>
      <w:r>
        <w:rPr>
          <w:color w:val="auto"/>
          <w:highlight w:val="none"/>
        </w:rPr>
        <w:tab/>
      </w:r>
      <w:r>
        <w:rPr>
          <w:color w:val="auto"/>
          <w:highlight w:val="none"/>
        </w:rPr>
        <w:fldChar w:fldCharType="begin"/>
      </w:r>
      <w:r>
        <w:rPr>
          <w:color w:val="auto"/>
          <w:highlight w:val="none"/>
        </w:rPr>
        <w:instrText xml:space="preserve"> PAGEREF _Toc28224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"_Toc27286" </w:instrText>
      </w:r>
      <w:r>
        <w:rPr>
          <w:color w:val="auto"/>
          <w:highlight w:val="none"/>
        </w:rPr>
        <w:fldChar w:fldCharType="separate"/>
      </w:r>
      <w:r>
        <w:rPr>
          <w:color w:val="auto"/>
          <w:highlight w:val="none"/>
        </w:rPr>
        <w:t xml:space="preserve">3. </w:t>
      </w:r>
      <w:r>
        <w:rPr>
          <w:rFonts w:hint="eastAsia"/>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_Toc27286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"_Toc11889" </w:instrText>
      </w:r>
      <w:r>
        <w:rPr>
          <w:color w:val="auto"/>
          <w:highlight w:val="none"/>
        </w:rPr>
        <w:fldChar w:fldCharType="separate"/>
      </w:r>
      <w:r>
        <w:rPr>
          <w:color w:val="auto"/>
          <w:highlight w:val="none"/>
        </w:rPr>
        <w:t xml:space="preserve">4. </w:t>
      </w:r>
      <w:r>
        <w:rPr>
          <w:rFonts w:hint="eastAsia"/>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_Toc11889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"_Toc9659" </w:instrText>
      </w:r>
      <w:r>
        <w:rPr>
          <w:color w:val="auto"/>
          <w:highlight w:val="none"/>
        </w:rPr>
        <w:fldChar w:fldCharType="separate"/>
      </w:r>
      <w:r>
        <w:rPr>
          <w:color w:val="auto"/>
          <w:highlight w:val="none"/>
        </w:rPr>
        <w:t xml:space="preserve">5. </w:t>
      </w:r>
      <w:r>
        <w:rPr>
          <w:rFonts w:hint="eastAsia"/>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_Toc9659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"_Toc28414" </w:instrText>
      </w:r>
      <w:r>
        <w:rPr>
          <w:color w:val="auto"/>
          <w:highlight w:val="none"/>
        </w:rPr>
        <w:fldChar w:fldCharType="separate"/>
      </w:r>
      <w:r>
        <w:rPr>
          <w:color w:val="auto"/>
          <w:highlight w:val="none"/>
        </w:rPr>
        <w:t xml:space="preserve">6. </w:t>
      </w:r>
      <w:r>
        <w:rPr>
          <w:rFonts w:hint="eastAsia"/>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_Toc28414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"_Toc24255" </w:instrText>
      </w:r>
      <w:r>
        <w:rPr>
          <w:color w:val="auto"/>
          <w:highlight w:val="none"/>
        </w:rPr>
        <w:fldChar w:fldCharType="separate"/>
      </w:r>
      <w:r>
        <w:rPr>
          <w:color w:val="auto"/>
          <w:highlight w:val="none"/>
        </w:rPr>
        <w:t xml:space="preserve">7. </w:t>
      </w:r>
      <w:r>
        <w:rPr>
          <w:rFonts w:hint="eastAsia"/>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_Toc24255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"_Toc25097" </w:instrText>
      </w:r>
      <w:r>
        <w:rPr>
          <w:color w:val="auto"/>
          <w:highlight w:val="none"/>
        </w:rPr>
        <w:fldChar w:fldCharType="separate"/>
      </w:r>
      <w:r>
        <w:rPr>
          <w:color w:val="auto"/>
          <w:highlight w:val="none"/>
        </w:rPr>
        <w:t>8</w:t>
      </w:r>
      <w:r>
        <w:rPr>
          <w:rFonts w:hint="eastAsia"/>
          <w:color w:val="auto"/>
          <w:highlight w:val="none"/>
        </w:rPr>
        <w:t>. 纪律和监督</w:t>
      </w:r>
      <w:r>
        <w:rPr>
          <w:color w:val="auto"/>
          <w:highlight w:val="none"/>
        </w:rPr>
        <w:tab/>
      </w:r>
      <w:r>
        <w:rPr>
          <w:color w:val="auto"/>
          <w:highlight w:val="none"/>
        </w:rPr>
        <w:fldChar w:fldCharType="begin"/>
      </w:r>
      <w:r>
        <w:rPr>
          <w:color w:val="auto"/>
          <w:highlight w:val="none"/>
        </w:rPr>
        <w:instrText xml:space="preserve"> PAGEREF _Toc25097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"_Toc2189" </w:instrText>
      </w:r>
      <w:r>
        <w:rPr>
          <w:color w:val="auto"/>
          <w:highlight w:val="none"/>
        </w:rPr>
        <w:fldChar w:fldCharType="separate"/>
      </w:r>
      <w:r>
        <w:rPr>
          <w:color w:val="auto"/>
          <w:highlight w:val="none"/>
        </w:rPr>
        <w:t xml:space="preserve">9. </w:t>
      </w:r>
      <w:r>
        <w:rPr>
          <w:rFonts w:hint="eastAsia"/>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_Toc2189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9411"/>
        </w:tabs>
        <w:rPr>
          <w:color w:val="auto"/>
          <w:highlight w:val="none"/>
        </w:rPr>
      </w:pPr>
      <w:r>
        <w:rPr>
          <w:color w:val="auto"/>
          <w:highlight w:val="none"/>
        </w:rPr>
        <w:fldChar w:fldCharType="begin"/>
      </w:r>
      <w:r>
        <w:rPr>
          <w:color w:val="auto"/>
          <w:highlight w:val="none"/>
        </w:rPr>
        <w:instrText xml:space="preserve"> HYPERLINK \l "_Toc26793" </w:instrText>
      </w:r>
      <w:r>
        <w:rPr>
          <w:color w:val="auto"/>
          <w:highlight w:val="none"/>
        </w:rPr>
        <w:fldChar w:fldCharType="separate"/>
      </w:r>
      <w:r>
        <w:rPr>
          <w:rFonts w:hint="eastAsia" w:ascii="宋体" w:hAnsi="宋体"/>
          <w:color w:val="auto"/>
          <w:highlight w:val="none"/>
        </w:rPr>
        <w:t>第三章评标办法（</w:t>
      </w:r>
      <w:r>
        <w:rPr>
          <w:rFonts w:hint="eastAsia" w:ascii="宋体" w:hAnsi="宋体"/>
          <w:color w:val="auto"/>
          <w:highlight w:val="none"/>
          <w:lang w:eastAsia="zh-CN"/>
        </w:rPr>
        <w:t>综合评分法</w:t>
      </w:r>
      <w:r>
        <w:rPr>
          <w:rFonts w:hint="eastAsia" w:ascii="宋体" w:hAnsi="宋体"/>
          <w:color w:val="auto"/>
          <w:highlight w:val="none"/>
        </w:rPr>
        <w:t>）</w:t>
      </w:r>
      <w:r>
        <w:rPr>
          <w:color w:val="auto"/>
          <w:highlight w:val="none"/>
        </w:rPr>
        <w:tab/>
      </w:r>
      <w:r>
        <w:rPr>
          <w:color w:val="auto"/>
          <w:highlight w:val="none"/>
        </w:rPr>
        <w:fldChar w:fldCharType="begin"/>
      </w:r>
      <w:r>
        <w:rPr>
          <w:color w:val="auto"/>
          <w:highlight w:val="none"/>
        </w:rPr>
        <w:instrText xml:space="preserve"> PAGEREF _Toc26793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"_Toc14287" </w:instrText>
      </w:r>
      <w:r>
        <w:rPr>
          <w:color w:val="auto"/>
          <w:highlight w:val="none"/>
        </w:rPr>
        <w:fldChar w:fldCharType="separate"/>
      </w:r>
      <w:r>
        <w:rPr>
          <w:rFonts w:hint="eastAsia" w:ascii="宋体" w:hAnsi="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_Toc14287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"_Toc16222" </w:instrText>
      </w:r>
      <w:r>
        <w:rPr>
          <w:color w:val="auto"/>
          <w:highlight w:val="none"/>
        </w:rPr>
        <w:fldChar w:fldCharType="separate"/>
      </w:r>
      <w:r>
        <w:rPr>
          <w:rFonts w:ascii="宋体" w:hAnsi="宋体"/>
          <w:color w:val="auto"/>
          <w:highlight w:val="none"/>
        </w:rPr>
        <w:t xml:space="preserve">1. </w:t>
      </w:r>
      <w:r>
        <w:rPr>
          <w:rFonts w:hint="eastAsia" w:ascii="宋体" w:hAnsi="宋体"/>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_Toc16222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"_Toc16219" </w:instrText>
      </w:r>
      <w:r>
        <w:rPr>
          <w:color w:val="auto"/>
          <w:highlight w:val="none"/>
        </w:rPr>
        <w:fldChar w:fldCharType="separate"/>
      </w:r>
      <w:r>
        <w:rPr>
          <w:rFonts w:ascii="宋体" w:hAnsi="宋体"/>
          <w:color w:val="auto"/>
          <w:highlight w:val="none"/>
        </w:rPr>
        <w:t xml:space="preserve">2. </w:t>
      </w:r>
      <w:r>
        <w:rPr>
          <w:rFonts w:hint="eastAsia" w:ascii="宋体" w:hAnsi="宋体"/>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_Toc16219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"_Toc23123" </w:instrText>
      </w:r>
      <w:r>
        <w:rPr>
          <w:color w:val="auto"/>
          <w:highlight w:val="none"/>
        </w:rPr>
        <w:fldChar w:fldCharType="separate"/>
      </w:r>
      <w:r>
        <w:rPr>
          <w:rFonts w:ascii="宋体" w:hAnsi="宋体"/>
          <w:color w:val="auto"/>
          <w:highlight w:val="none"/>
        </w:rPr>
        <w:t xml:space="preserve">3. </w:t>
      </w:r>
      <w:r>
        <w:rPr>
          <w:rFonts w:hint="eastAsia" w:ascii="宋体" w:hAnsi="宋体"/>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_Toc23123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0"/>
        <w:tabs>
          <w:tab w:val="right" w:leader="dot" w:pos="9411"/>
        </w:tabs>
        <w:rPr>
          <w:color w:val="auto"/>
          <w:highlight w:val="none"/>
        </w:rPr>
      </w:pPr>
      <w:r>
        <w:rPr>
          <w:color w:val="auto"/>
          <w:highlight w:val="none"/>
        </w:rPr>
        <w:fldChar w:fldCharType="begin"/>
      </w:r>
      <w:r>
        <w:rPr>
          <w:color w:val="auto"/>
          <w:highlight w:val="none"/>
        </w:rPr>
        <w:instrText xml:space="preserve"> HYPERLINK \l "_Toc23502" </w:instrText>
      </w:r>
      <w:r>
        <w:rPr>
          <w:color w:val="auto"/>
          <w:highlight w:val="none"/>
        </w:rPr>
        <w:fldChar w:fldCharType="separate"/>
      </w:r>
      <w:r>
        <w:rPr>
          <w:rFonts w:ascii="宋体" w:hAnsi="宋体"/>
          <w:color w:val="auto"/>
          <w:highlight w:val="none"/>
        </w:rPr>
        <w:t xml:space="preserve">4. </w:t>
      </w:r>
      <w:r>
        <w:rPr>
          <w:rFonts w:hint="eastAsia" w:ascii="宋体" w:hAnsi="宋体"/>
          <w:color w:val="auto"/>
          <w:highlight w:val="none"/>
        </w:rPr>
        <w:t>评标表格</w:t>
      </w:r>
      <w:r>
        <w:rPr>
          <w:color w:val="auto"/>
          <w:highlight w:val="none"/>
        </w:rPr>
        <w:tab/>
      </w:r>
      <w:r>
        <w:rPr>
          <w:color w:val="auto"/>
          <w:highlight w:val="none"/>
        </w:rPr>
        <w:fldChar w:fldCharType="begin"/>
      </w:r>
      <w:r>
        <w:rPr>
          <w:color w:val="auto"/>
          <w:highlight w:val="none"/>
        </w:rPr>
        <w:instrText xml:space="preserve"> PAGEREF _Toc23502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9411"/>
        </w:tabs>
        <w:rPr>
          <w:color w:val="auto"/>
          <w:highlight w:val="none"/>
        </w:rPr>
      </w:pPr>
      <w:r>
        <w:rPr>
          <w:color w:val="auto"/>
          <w:highlight w:val="none"/>
        </w:rPr>
        <w:fldChar w:fldCharType="begin"/>
      </w:r>
      <w:r>
        <w:rPr>
          <w:color w:val="auto"/>
          <w:highlight w:val="none"/>
        </w:rPr>
        <w:instrText xml:space="preserve"> HYPERLINK \l "_Toc13990" </w:instrText>
      </w:r>
      <w:r>
        <w:rPr>
          <w:color w:val="auto"/>
          <w:highlight w:val="none"/>
        </w:rPr>
        <w:fldChar w:fldCharType="separate"/>
      </w:r>
      <w:r>
        <w:rPr>
          <w:rFonts w:hint="eastAsia"/>
          <w:color w:val="auto"/>
          <w:highlight w:val="none"/>
        </w:rPr>
        <w:t>第四章合同条款及格式（另册）</w:t>
      </w:r>
      <w:r>
        <w:rPr>
          <w:color w:val="auto"/>
          <w:highlight w:val="none"/>
        </w:rPr>
        <w:tab/>
      </w:r>
      <w:r>
        <w:rPr>
          <w:color w:val="auto"/>
          <w:highlight w:val="none"/>
        </w:rPr>
        <w:fldChar w:fldCharType="begin"/>
      </w:r>
      <w:r>
        <w:rPr>
          <w:color w:val="auto"/>
          <w:highlight w:val="none"/>
        </w:rPr>
        <w:instrText xml:space="preserve"> PAGEREF _Toc13990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26"/>
        <w:tabs>
          <w:tab w:val="right" w:leader="dot" w:pos="9411"/>
        </w:tabs>
        <w:rPr>
          <w:color w:val="auto"/>
          <w:highlight w:val="none"/>
        </w:rPr>
      </w:pPr>
      <w:r>
        <w:rPr>
          <w:color w:val="auto"/>
          <w:highlight w:val="none"/>
        </w:rPr>
        <w:fldChar w:fldCharType="begin"/>
      </w:r>
      <w:r>
        <w:rPr>
          <w:color w:val="auto"/>
          <w:highlight w:val="none"/>
        </w:rPr>
        <w:instrText xml:space="preserve"> HYPERLINK \l "_Toc17655" </w:instrText>
      </w:r>
      <w:r>
        <w:rPr>
          <w:color w:val="auto"/>
          <w:highlight w:val="none"/>
        </w:rPr>
        <w:fldChar w:fldCharType="separate"/>
      </w:r>
      <w:r>
        <w:rPr>
          <w:rFonts w:hint="eastAsia"/>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_Toc17655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26"/>
        <w:tabs>
          <w:tab w:val="right" w:leader="dot" w:pos="9411"/>
        </w:tabs>
        <w:rPr>
          <w:color w:val="auto"/>
          <w:highlight w:val="none"/>
        </w:rPr>
      </w:pPr>
      <w:r>
        <w:rPr>
          <w:color w:val="auto"/>
          <w:highlight w:val="none"/>
        </w:rPr>
        <w:fldChar w:fldCharType="begin"/>
      </w:r>
      <w:r>
        <w:rPr>
          <w:color w:val="auto"/>
          <w:highlight w:val="none"/>
        </w:rPr>
        <w:instrText xml:space="preserve"> HYPERLINK \l "_Toc18278" </w:instrText>
      </w:r>
      <w:r>
        <w:rPr>
          <w:color w:val="auto"/>
          <w:highlight w:val="none"/>
        </w:rPr>
        <w:fldChar w:fldCharType="separate"/>
      </w:r>
      <w:r>
        <w:rPr>
          <w:rFonts w:hint="eastAsia"/>
          <w:color w:val="auto"/>
          <w:highlight w:val="none"/>
        </w:rPr>
        <w:t xml:space="preserve">第五章 </w:t>
      </w:r>
      <w:r>
        <w:rPr>
          <w:rFonts w:hint="eastAsia" w:ascii="Times New Roman" w:hAnsi="Times New Roman"/>
          <w:color w:val="auto"/>
          <w:highlight w:val="none"/>
        </w:rPr>
        <w:t>发包人要求（另册）</w:t>
      </w:r>
      <w:r>
        <w:rPr>
          <w:color w:val="auto"/>
          <w:highlight w:val="none"/>
        </w:rPr>
        <w:tab/>
      </w:r>
      <w:r>
        <w:rPr>
          <w:color w:val="auto"/>
          <w:highlight w:val="none"/>
        </w:rPr>
        <w:fldChar w:fldCharType="begin"/>
      </w:r>
      <w:r>
        <w:rPr>
          <w:color w:val="auto"/>
          <w:highlight w:val="none"/>
        </w:rPr>
        <w:instrText xml:space="preserve"> PAGEREF _Toc18278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6"/>
        <w:tabs>
          <w:tab w:val="right" w:leader="dot" w:pos="9411"/>
        </w:tabs>
        <w:rPr>
          <w:color w:val="auto"/>
          <w:highlight w:val="none"/>
        </w:rPr>
      </w:pPr>
      <w:r>
        <w:rPr>
          <w:color w:val="auto"/>
          <w:highlight w:val="none"/>
        </w:rPr>
        <w:fldChar w:fldCharType="begin"/>
      </w:r>
      <w:r>
        <w:rPr>
          <w:color w:val="auto"/>
          <w:highlight w:val="none"/>
        </w:rPr>
        <w:instrText xml:space="preserve"> HYPERLINK \l "_Toc23074" </w:instrText>
      </w:r>
      <w:r>
        <w:rPr>
          <w:color w:val="auto"/>
          <w:highlight w:val="none"/>
        </w:rPr>
        <w:fldChar w:fldCharType="separate"/>
      </w:r>
      <w:r>
        <w:rPr>
          <w:rFonts w:hint="eastAsia" w:ascii="Times New Roman" w:hAnsi="Times New Roman"/>
          <w:color w:val="auto"/>
          <w:highlight w:val="none"/>
        </w:rPr>
        <w:t>第六章 发包人提供的资料（另册）</w:t>
      </w:r>
      <w:r>
        <w:rPr>
          <w:color w:val="auto"/>
          <w:highlight w:val="none"/>
        </w:rPr>
        <w:tab/>
      </w:r>
      <w:r>
        <w:rPr>
          <w:color w:val="auto"/>
          <w:highlight w:val="none"/>
        </w:rPr>
        <w:fldChar w:fldCharType="begin"/>
      </w:r>
      <w:r>
        <w:rPr>
          <w:color w:val="auto"/>
          <w:highlight w:val="none"/>
        </w:rPr>
        <w:instrText xml:space="preserve"> PAGEREF _Toc23074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6"/>
        <w:tabs>
          <w:tab w:val="right" w:leader="dot" w:pos="9411"/>
        </w:tabs>
        <w:rPr>
          <w:color w:val="auto"/>
          <w:highlight w:val="none"/>
        </w:rPr>
      </w:pPr>
      <w:r>
        <w:rPr>
          <w:color w:val="auto"/>
          <w:highlight w:val="none"/>
        </w:rPr>
        <w:fldChar w:fldCharType="begin"/>
      </w:r>
      <w:r>
        <w:rPr>
          <w:color w:val="auto"/>
          <w:highlight w:val="none"/>
        </w:rPr>
        <w:instrText xml:space="preserve"> HYPERLINK \l "_Toc11589" </w:instrText>
      </w:r>
      <w:r>
        <w:rPr>
          <w:color w:val="auto"/>
          <w:highlight w:val="none"/>
        </w:rPr>
        <w:fldChar w:fldCharType="separate"/>
      </w:r>
      <w:r>
        <w:rPr>
          <w:rFonts w:hint="eastAsia"/>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_Toc11589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26"/>
        <w:tabs>
          <w:tab w:val="right" w:leader="dot" w:pos="9411"/>
        </w:tabs>
        <w:rPr>
          <w:color w:val="auto"/>
          <w:highlight w:val="none"/>
        </w:rPr>
      </w:pPr>
      <w:r>
        <w:rPr>
          <w:color w:val="auto"/>
          <w:highlight w:val="none"/>
        </w:rPr>
        <w:fldChar w:fldCharType="begin"/>
      </w:r>
      <w:r>
        <w:rPr>
          <w:color w:val="auto"/>
          <w:highlight w:val="none"/>
        </w:rPr>
        <w:instrText xml:space="preserve"> HYPERLINK \l "_Toc17793" </w:instrText>
      </w:r>
      <w:r>
        <w:rPr>
          <w:color w:val="auto"/>
          <w:highlight w:val="none"/>
        </w:rPr>
        <w:fldChar w:fldCharType="separate"/>
      </w:r>
      <w:r>
        <w:rPr>
          <w:rFonts w:hint="eastAsia"/>
          <w:color w:val="auto"/>
          <w:highlight w:val="none"/>
        </w:rPr>
        <w:t>第七章投标文件格式</w:t>
      </w:r>
      <w:r>
        <w:rPr>
          <w:color w:val="auto"/>
          <w:highlight w:val="none"/>
        </w:rPr>
        <w:tab/>
      </w:r>
      <w:r>
        <w:rPr>
          <w:color w:val="auto"/>
          <w:highlight w:val="none"/>
        </w:rPr>
        <w:fldChar w:fldCharType="begin"/>
      </w:r>
      <w:r>
        <w:rPr>
          <w:color w:val="auto"/>
          <w:highlight w:val="none"/>
        </w:rPr>
        <w:instrText xml:space="preserve"> PAGEREF _Toc17793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3"/>
        <w:rPr>
          <w:color w:val="auto"/>
          <w:highlight w:val="none"/>
        </w:rPr>
        <w:sectPr>
          <w:headerReference r:id="rId4" w:type="default"/>
          <w:footerReference r:id="rId5" w:type="default"/>
          <w:pgSz w:w="11906" w:h="16838"/>
          <w:pgMar w:top="1247" w:right="1134" w:bottom="1247" w:left="1361" w:header="851" w:footer="992" w:gutter="0"/>
          <w:pgNumType w:fmt="upperRoman" w:start="1"/>
          <w:cols w:space="720" w:num="1"/>
          <w:docGrid w:type="lines" w:linePitch="312" w:charSpace="0"/>
        </w:sectPr>
      </w:pPr>
      <w:r>
        <w:rPr>
          <w:caps/>
          <w:color w:val="auto"/>
          <w:szCs w:val="28"/>
          <w:highlight w:val="none"/>
        </w:rPr>
        <w:fldChar w:fldCharType="end"/>
      </w: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pStyle w:val="3"/>
        <w:jc w:val="center"/>
        <w:rPr>
          <w:color w:val="auto"/>
          <w:highlight w:val="none"/>
        </w:rPr>
      </w:pPr>
      <w:bookmarkStart w:id="21" w:name="_Toc9829"/>
      <w:bookmarkStart w:id="22" w:name="_Toc5664"/>
      <w:bookmarkStart w:id="23" w:name="_Toc11431"/>
      <w:bookmarkStart w:id="24" w:name="_Toc20772"/>
      <w:bookmarkStart w:id="25" w:name="_Toc14632"/>
      <w:bookmarkStart w:id="26" w:name="_Toc24226"/>
      <w:bookmarkStart w:id="27" w:name="_Toc300834927"/>
      <w:bookmarkStart w:id="28" w:name="_Toc1856"/>
      <w:bookmarkStart w:id="29" w:name="_Toc494371511"/>
      <w:bookmarkStart w:id="30" w:name="_Toc3317"/>
      <w:bookmarkStart w:id="31" w:name="_Toc6648"/>
      <w:bookmarkStart w:id="32" w:name="_Toc23631"/>
      <w:bookmarkStart w:id="33" w:name="_Toc11363"/>
      <w:r>
        <w:rPr>
          <w:rFonts w:hint="eastAsia"/>
          <w:color w:val="auto"/>
          <w:highlight w:val="none"/>
        </w:rPr>
        <w:t>第一卷</w:t>
      </w:r>
      <w:bookmarkEnd w:id="16"/>
      <w:bookmarkEnd w:id="17"/>
      <w:bookmarkEnd w:id="21"/>
      <w:bookmarkEnd w:id="22"/>
      <w:bookmarkEnd w:id="23"/>
      <w:bookmarkEnd w:id="24"/>
      <w:bookmarkEnd w:id="25"/>
      <w:bookmarkEnd w:id="26"/>
      <w:bookmarkEnd w:id="27"/>
      <w:bookmarkEnd w:id="28"/>
      <w:bookmarkEnd w:id="29"/>
      <w:bookmarkEnd w:id="30"/>
      <w:bookmarkEnd w:id="31"/>
      <w:bookmarkEnd w:id="32"/>
      <w:bookmarkEnd w:id="33"/>
    </w:p>
    <w:p>
      <w:pPr>
        <w:spacing w:line="360" w:lineRule="auto"/>
        <w:jc w:val="center"/>
        <w:rPr>
          <w:rFonts w:ascii="宋体" w:hAnsi="宋体" w:cs="宋体"/>
          <w:color w:val="auto"/>
          <w:sz w:val="24"/>
          <w:highlight w:val="none"/>
        </w:rPr>
      </w:pPr>
      <w:bookmarkStart w:id="34" w:name="_Toc247527534"/>
      <w:bookmarkStart w:id="35" w:name="_Toc300834928"/>
      <w:bookmarkStart w:id="36" w:name="_Toc247513933"/>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jc w:val="center"/>
        <w:outlineLvl w:val="0"/>
        <w:rPr>
          <w:b/>
          <w:bCs/>
          <w:color w:val="auto"/>
          <w:kern w:val="44"/>
          <w:sz w:val="44"/>
          <w:szCs w:val="44"/>
          <w:highlight w:val="none"/>
        </w:rPr>
      </w:pPr>
      <w:bookmarkStart w:id="37" w:name="_Toc7717"/>
      <w:bookmarkStart w:id="38" w:name="_Toc7616"/>
      <w:bookmarkStart w:id="39" w:name="_Toc16845"/>
      <w:bookmarkStart w:id="40" w:name="_Toc28981"/>
      <w:bookmarkStart w:id="41" w:name="_Toc7403"/>
      <w:bookmarkStart w:id="42" w:name="_Toc494371512"/>
      <w:bookmarkStart w:id="43" w:name="_Toc9002"/>
      <w:r>
        <w:rPr>
          <w:rFonts w:hint="eastAsia"/>
          <w:b/>
          <w:bCs/>
          <w:color w:val="auto"/>
          <w:kern w:val="44"/>
          <w:sz w:val="44"/>
          <w:szCs w:val="44"/>
          <w:highlight w:val="none"/>
        </w:rPr>
        <w:t>第一章招标公告（另册）</w:t>
      </w:r>
      <w:bookmarkEnd w:id="37"/>
      <w:bookmarkEnd w:id="38"/>
      <w:bookmarkEnd w:id="39"/>
      <w:bookmarkEnd w:id="40"/>
      <w:bookmarkEnd w:id="41"/>
      <w:bookmarkEnd w:id="42"/>
      <w:bookmarkEnd w:id="43"/>
    </w:p>
    <w:bookmarkEnd w:id="18"/>
    <w:bookmarkEnd w:id="19"/>
    <w:bookmarkEnd w:id="20"/>
    <w:bookmarkEnd w:id="34"/>
    <w:bookmarkEnd w:id="35"/>
    <w:bookmarkEnd w:id="36"/>
    <w:p>
      <w:pPr>
        <w:jc w:val="center"/>
        <w:outlineLvl w:val="0"/>
        <w:rPr>
          <w:b/>
          <w:bCs/>
          <w:color w:val="auto"/>
          <w:kern w:val="44"/>
          <w:sz w:val="44"/>
          <w:szCs w:val="44"/>
          <w:highlight w:val="none"/>
        </w:rPr>
      </w:pPr>
      <w:bookmarkStart w:id="44" w:name="_Toc144974495"/>
      <w:bookmarkStart w:id="45" w:name="_Toc300834947"/>
      <w:bookmarkStart w:id="46" w:name="_Toc20453"/>
      <w:bookmarkStart w:id="47" w:name="_Toc247527551"/>
      <w:bookmarkStart w:id="48" w:name="_Toc152042303"/>
      <w:bookmarkStart w:id="49" w:name="_Toc247513950"/>
      <w:bookmarkStart w:id="50" w:name="_Toc152045527"/>
      <w:bookmarkStart w:id="51" w:name="_Toc18861"/>
      <w:bookmarkStart w:id="52" w:name="_Toc1178"/>
      <w:r>
        <w:rPr>
          <w:b/>
          <w:bCs/>
          <w:color w:val="auto"/>
          <w:kern w:val="44"/>
          <w:sz w:val="44"/>
          <w:szCs w:val="44"/>
          <w:highlight w:val="none"/>
        </w:rPr>
        <w:br w:type="page"/>
      </w:r>
      <w:bookmarkStart w:id="53" w:name="_Toc9024"/>
      <w:bookmarkStart w:id="54" w:name="_Toc494371513"/>
      <w:bookmarkStart w:id="55" w:name="_Toc25745"/>
      <w:bookmarkStart w:id="56" w:name="_Toc27217"/>
      <w:bookmarkStart w:id="57" w:name="_Toc8440"/>
      <w:bookmarkStart w:id="58" w:name="_Toc15284"/>
      <w:bookmarkStart w:id="59" w:name="_Toc21868"/>
      <w:bookmarkStart w:id="60" w:name="_Toc29549"/>
      <w:bookmarkStart w:id="61" w:name="_Toc3615"/>
      <w:r>
        <w:rPr>
          <w:rFonts w:hint="eastAsia"/>
          <w:b/>
          <w:bCs/>
          <w:color w:val="auto"/>
          <w:kern w:val="44"/>
          <w:sz w:val="44"/>
          <w:szCs w:val="44"/>
          <w:highlight w:val="none"/>
        </w:rPr>
        <w:t>第二章投标人须知</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4"/>
        <w:spacing w:line="240" w:lineRule="auto"/>
        <w:jc w:val="center"/>
        <w:rPr>
          <w:color w:val="auto"/>
          <w:highlight w:val="none"/>
        </w:rPr>
      </w:pPr>
      <w:bookmarkStart w:id="62" w:name="_Toc300834948"/>
      <w:bookmarkStart w:id="63" w:name="_Toc247527552"/>
      <w:bookmarkStart w:id="64" w:name="_Toc23094"/>
      <w:bookmarkStart w:id="65" w:name="_Toc2677"/>
      <w:bookmarkStart w:id="66" w:name="_Toc15181"/>
      <w:bookmarkStart w:id="67" w:name="_Toc24688"/>
      <w:bookmarkStart w:id="68" w:name="_Toc23877"/>
      <w:bookmarkStart w:id="69" w:name="_Toc152045528"/>
      <w:bookmarkStart w:id="70" w:name="_Toc12687"/>
      <w:bookmarkStart w:id="71" w:name="_Toc20316"/>
      <w:bookmarkStart w:id="72" w:name="_Toc3039"/>
      <w:bookmarkStart w:id="73" w:name="_Toc16066"/>
      <w:bookmarkStart w:id="74" w:name="_Toc247513951"/>
      <w:bookmarkStart w:id="75" w:name="_Toc494371514"/>
      <w:bookmarkStart w:id="76" w:name="_Toc19769"/>
      <w:bookmarkStart w:id="77" w:name="_Toc24123"/>
      <w:bookmarkStart w:id="78" w:name="_Toc152042304"/>
      <w:bookmarkStart w:id="79" w:name="_Toc25706"/>
      <w:bookmarkStart w:id="80" w:name="_Toc144974496"/>
      <w:r>
        <w:rPr>
          <w:rFonts w:hint="eastAsia"/>
          <w:color w:val="auto"/>
          <w:highlight w:val="none"/>
        </w:rPr>
        <w:t>投标人须知前附表</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tbl>
      <w:tblPr>
        <w:tblStyle w:val="38"/>
        <w:tblW w:w="98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816"/>
        <w:gridCol w:w="59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65" w:type="dxa"/>
            <w:tcBorders>
              <w:bottom w:val="double" w:color="auto" w:sz="4" w:space="0"/>
            </w:tcBorders>
            <w:vAlign w:val="center"/>
          </w:tcPr>
          <w:p>
            <w:pPr>
              <w:adjustRightInd w:val="0"/>
              <w:snapToGrid w:val="0"/>
              <w:spacing w:before="156" w:beforeLines="50"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816" w:type="dxa"/>
            <w:tcBorders>
              <w:bottom w:val="double" w:color="auto" w:sz="4" w:space="0"/>
            </w:tcBorders>
            <w:vAlign w:val="center"/>
          </w:tcPr>
          <w:p>
            <w:pPr>
              <w:adjustRightInd w:val="0"/>
              <w:snapToGrid w:val="0"/>
              <w:spacing w:before="156" w:beforeLines="50"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5908" w:type="dxa"/>
            <w:tcBorders>
              <w:bottom w:val="double" w:color="auto" w:sz="4" w:space="0"/>
            </w:tcBorders>
            <w:vAlign w:val="center"/>
          </w:tcPr>
          <w:p>
            <w:pPr>
              <w:adjustRightInd w:val="0"/>
              <w:snapToGrid w:val="0"/>
              <w:spacing w:before="156" w:beforeLines="50" w:line="360" w:lineRule="auto"/>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tcBorders>
              <w:top w:val="double" w:color="auto" w:sz="4" w:space="0"/>
            </w:tcBorders>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816" w:type="dxa"/>
            <w:tcBorders>
              <w:top w:val="double" w:color="auto" w:sz="4" w:space="0"/>
            </w:tcBorders>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color w:val="auto"/>
                <w:highlight w:val="none"/>
              </w:rPr>
              <w:t>招标单位</w:t>
            </w:r>
          </w:p>
        </w:tc>
        <w:tc>
          <w:tcPr>
            <w:tcW w:w="5908" w:type="dxa"/>
            <w:tcBorders>
              <w:top w:val="double" w:color="auto" w:sz="4" w:space="0"/>
            </w:tcBorders>
            <w:vAlign w:val="center"/>
          </w:tcPr>
          <w:p>
            <w:pPr>
              <w:adjustRightInd w:val="0"/>
              <w:snapToGrid w:val="0"/>
              <w:spacing w:before="156" w:beforeLines="50" w:line="360" w:lineRule="auto"/>
              <w:rPr>
                <w:rFonts w:hint="eastAsia" w:ascii="宋体" w:hAnsi="宋体" w:cs="Calibri"/>
                <w:color w:val="auto"/>
                <w:szCs w:val="21"/>
                <w:highlight w:val="none"/>
                <w:lang w:val="en-US" w:eastAsia="zh-CN"/>
              </w:rPr>
            </w:pPr>
            <w:r>
              <w:rPr>
                <w:rFonts w:hint="eastAsia" w:ascii="宋体" w:hAnsi="宋体" w:cs="Calibri"/>
                <w:color w:val="auto"/>
                <w:szCs w:val="21"/>
                <w:highlight w:val="none"/>
                <w:lang w:val="en-US" w:eastAsia="zh-CN"/>
              </w:rPr>
              <w:t>业主单位：广州南沙湿地旅游发展有限公司</w:t>
            </w:r>
          </w:p>
          <w:p>
            <w:pPr>
              <w:adjustRightInd w:val="0"/>
              <w:snapToGrid w:val="0"/>
              <w:spacing w:before="156" w:beforeLines="50" w:line="360" w:lineRule="auto"/>
              <w:rPr>
                <w:rFonts w:hint="eastAsia" w:ascii="宋体" w:hAnsi="宋体" w:cs="Calibri"/>
                <w:color w:val="auto"/>
                <w:szCs w:val="21"/>
                <w:highlight w:val="none"/>
                <w:lang w:val="en-US" w:eastAsia="zh-CN"/>
              </w:rPr>
            </w:pPr>
            <w:r>
              <w:rPr>
                <w:rFonts w:hint="eastAsia" w:ascii="宋体" w:hAnsi="宋体" w:cs="Calibri"/>
                <w:color w:val="auto"/>
                <w:szCs w:val="21"/>
                <w:highlight w:val="none"/>
                <w:lang w:val="en-US" w:eastAsia="zh-CN"/>
              </w:rPr>
              <w:t>联系人：杨海群     联系电话：</w:t>
            </w:r>
            <w:r>
              <w:rPr>
                <w:rFonts w:hint="eastAsia" w:ascii="宋体" w:hAnsi="宋体" w:cs="宋体"/>
                <w:color w:val="auto"/>
                <w:kern w:val="0"/>
                <w:sz w:val="24"/>
                <w:szCs w:val="24"/>
                <w:highlight w:val="none"/>
              </w:rPr>
              <w:t>39081066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908" w:type="dxa"/>
            <w:vAlign w:val="center"/>
          </w:tcPr>
          <w:p>
            <w:pPr>
              <w:adjustRightInd w:val="0"/>
              <w:snapToGrid w:val="0"/>
              <w:spacing w:before="156" w:beforeLines="50" w:line="360" w:lineRule="auto"/>
              <w:rPr>
                <w:rFonts w:hint="eastAsia" w:ascii="宋体" w:hAnsi="宋体" w:cs="Calibri"/>
                <w:color w:val="auto"/>
                <w:szCs w:val="21"/>
                <w:highlight w:val="none"/>
                <w:lang w:val="en-US" w:eastAsia="zh-CN"/>
              </w:rPr>
            </w:pPr>
            <w:r>
              <w:rPr>
                <w:rFonts w:hint="eastAsia" w:ascii="宋体" w:hAnsi="宋体" w:cs="宋体"/>
                <w:color w:val="auto"/>
                <w:szCs w:val="21"/>
                <w:highlight w:val="none"/>
                <w:lang w:eastAsia="zh-CN"/>
              </w:rPr>
              <w:t>湿地二期艺术区提升绿化景观项目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建设地点</w:t>
            </w:r>
          </w:p>
        </w:tc>
        <w:tc>
          <w:tcPr>
            <w:tcW w:w="5908" w:type="dxa"/>
            <w:vAlign w:val="center"/>
          </w:tcPr>
          <w:p>
            <w:pPr>
              <w:adjustRightInd w:val="0"/>
              <w:snapToGrid w:val="0"/>
              <w:spacing w:before="156" w:beforeLines="50" w:line="360" w:lineRule="auto"/>
              <w:rPr>
                <w:rFonts w:hint="eastAsia" w:ascii="宋体" w:hAnsi="宋体" w:cs="Calibri"/>
                <w:color w:val="auto"/>
                <w:szCs w:val="21"/>
                <w:highlight w:val="none"/>
                <w:lang w:val="en-US" w:eastAsia="zh-CN"/>
              </w:rPr>
            </w:pPr>
            <w:r>
              <w:rPr>
                <w:rFonts w:hint="eastAsia" w:ascii="宋体" w:hAnsi="宋体" w:cs="Calibri"/>
                <w:color w:val="auto"/>
                <w:szCs w:val="21"/>
                <w:highlight w:val="none"/>
                <w:lang w:val="en-US" w:eastAsia="zh-CN"/>
              </w:rPr>
              <w:t>广州市南沙区万顷沙镇湿地公园景区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5908" w:type="dxa"/>
            <w:vAlign w:val="center"/>
          </w:tcPr>
          <w:p>
            <w:pPr>
              <w:adjustRightInd w:val="0"/>
              <w:snapToGrid w:val="0"/>
              <w:spacing w:before="156" w:beforeLines="50" w:line="360" w:lineRule="auto"/>
              <w:rPr>
                <w:rFonts w:ascii="宋体" w:hAnsi="宋体" w:cs="Calibri"/>
                <w:color w:val="auto"/>
                <w:szCs w:val="21"/>
                <w:highlight w:val="none"/>
              </w:rPr>
            </w:pPr>
            <w:r>
              <w:rPr>
                <w:rFonts w:hint="eastAsia" w:ascii="宋体" w:hAnsi="宋体" w:cs="Calibri"/>
                <w:color w:val="auto"/>
                <w:szCs w:val="21"/>
                <w:highlight w:val="none"/>
                <w:lang w:eastAsia="zh-CN"/>
              </w:rPr>
              <w:t>总投资</w:t>
            </w:r>
            <w:r>
              <w:rPr>
                <w:rFonts w:hint="eastAsia" w:ascii="宋体" w:hAnsi="宋体" w:cs="Calibri"/>
                <w:color w:val="auto"/>
                <w:szCs w:val="21"/>
                <w:highlight w:val="none"/>
              </w:rPr>
              <w:t>约</w:t>
            </w:r>
            <w:r>
              <w:rPr>
                <w:rFonts w:hint="eastAsia" w:ascii="宋体" w:hAnsi="宋体" w:cs="Calibri"/>
                <w:color w:val="auto"/>
                <w:szCs w:val="21"/>
                <w:highlight w:val="none"/>
                <w:lang w:val="en-US" w:eastAsia="zh-CN"/>
              </w:rPr>
              <w:t>49.8</w:t>
            </w:r>
            <w:r>
              <w:rPr>
                <w:rFonts w:hint="eastAsia" w:ascii="宋体" w:hAnsi="宋体" w:cs="Calibri"/>
                <w:color w:val="auto"/>
                <w:szCs w:val="21"/>
                <w:highlight w:val="none"/>
              </w:rPr>
              <w:t>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资金来源及比例</w:t>
            </w:r>
          </w:p>
        </w:tc>
        <w:tc>
          <w:tcPr>
            <w:tcW w:w="5908" w:type="dxa"/>
            <w:vAlign w:val="center"/>
          </w:tcPr>
          <w:p>
            <w:pPr>
              <w:adjustRightInd w:val="0"/>
              <w:snapToGrid w:val="0"/>
              <w:spacing w:before="156" w:beforeLines="50" w:line="360" w:lineRule="auto"/>
              <w:rPr>
                <w:rFonts w:ascii="宋体" w:hAnsi="宋体" w:cs="宋体"/>
                <w:color w:val="auto"/>
                <w:szCs w:val="21"/>
                <w:highlight w:val="none"/>
              </w:rPr>
            </w:pPr>
            <w:r>
              <w:rPr>
                <w:rFonts w:hint="eastAsia" w:ascii="宋体" w:hAnsi="宋体" w:cs="Calibri"/>
                <w:color w:val="auto"/>
                <w:szCs w:val="21"/>
                <w:highlight w:val="none"/>
              </w:rPr>
              <w:t>企业自筹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908" w:type="dxa"/>
            <w:vAlign w:val="center"/>
          </w:tcPr>
          <w:p>
            <w:pPr>
              <w:adjustRightInd w:val="0"/>
              <w:snapToGrid w:val="0"/>
              <w:spacing w:before="156" w:beforeLines="50" w:line="360" w:lineRule="auto"/>
              <w:rPr>
                <w:rFonts w:ascii="宋体" w:hAnsi="宋体" w:cs="宋体"/>
                <w:color w:val="auto"/>
                <w:szCs w:val="21"/>
                <w:highlight w:val="none"/>
              </w:rPr>
            </w:pPr>
            <w:r>
              <w:rPr>
                <w:rFonts w:hint="eastAsia" w:ascii="宋体" w:hAnsi="宋体" w:cs="宋体"/>
                <w:color w:val="auto"/>
                <w:szCs w:val="21"/>
                <w:highlight w:val="none"/>
              </w:rPr>
              <w:t>资金已落实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承包方式</w:t>
            </w:r>
          </w:p>
        </w:tc>
        <w:tc>
          <w:tcPr>
            <w:tcW w:w="5908" w:type="dxa"/>
            <w:vAlign w:val="center"/>
          </w:tcPr>
          <w:p>
            <w:pPr>
              <w:adjustRightInd w:val="0"/>
              <w:snapToGrid w:val="0"/>
              <w:spacing w:before="156" w:beforeLines="50" w:line="360" w:lineRule="auto"/>
              <w:rPr>
                <w:color w:val="auto"/>
                <w:highlight w:val="none"/>
              </w:rPr>
            </w:pPr>
            <w:r>
              <w:rPr>
                <w:rFonts w:hint="eastAsia"/>
                <w:color w:val="auto"/>
                <w:highlight w:val="none"/>
              </w:rPr>
              <w:t>（1）施工部分：</w:t>
            </w:r>
            <w:r>
              <w:rPr>
                <w:rFonts w:hint="eastAsia" w:eastAsia="宋体"/>
                <w:color w:val="auto"/>
                <w:highlight w:val="none"/>
                <w:lang w:val="en-US" w:eastAsia="zh-CN"/>
              </w:rPr>
              <w:t>综合单价包干；以招标公布的工程量清单为基础，结合景区内设施的实际情况确定实际维修内容</w:t>
            </w:r>
            <w:r>
              <w:rPr>
                <w:rFonts w:hint="eastAsia" w:eastAsia="宋体"/>
                <w:color w:val="auto"/>
                <w:highlight w:val="none"/>
                <w:lang w:eastAsia="zh-CN"/>
              </w:rPr>
              <w:t>；</w:t>
            </w:r>
            <w:r>
              <w:rPr>
                <w:rFonts w:hint="eastAsia" w:eastAsia="宋体"/>
                <w:color w:val="auto"/>
                <w:highlight w:val="none"/>
              </w:rPr>
              <w:t>合同结算价</w:t>
            </w:r>
            <w:r>
              <w:rPr>
                <w:rFonts w:hint="eastAsia" w:eastAsia="宋体"/>
                <w:color w:val="auto"/>
                <w:highlight w:val="none"/>
                <w:lang w:val="en-US" w:eastAsia="zh-CN"/>
              </w:rPr>
              <w:t>以经业主确认的现场实际维修的工程量乘以中标合同单价，</w:t>
            </w:r>
            <w:r>
              <w:rPr>
                <w:rFonts w:hint="eastAsia" w:eastAsia="宋体"/>
                <w:color w:val="auto"/>
                <w:highlight w:val="none"/>
              </w:rPr>
              <w:t>最终</w:t>
            </w:r>
            <w:r>
              <w:rPr>
                <w:rFonts w:hint="eastAsia" w:eastAsia="宋体"/>
                <w:color w:val="auto"/>
                <w:highlight w:val="none"/>
                <w:lang w:val="en-US" w:eastAsia="zh-CN"/>
              </w:rPr>
              <w:t>结算价</w:t>
            </w:r>
            <w:r>
              <w:rPr>
                <w:rFonts w:hint="eastAsia" w:eastAsia="宋体"/>
                <w:color w:val="auto"/>
                <w:highlight w:val="none"/>
              </w:rPr>
              <w:t>以</w:t>
            </w:r>
            <w:r>
              <w:rPr>
                <w:rFonts w:hint="eastAsia" w:eastAsia="宋体"/>
                <w:color w:val="auto"/>
                <w:highlight w:val="none"/>
                <w:lang w:val="en-US" w:eastAsia="zh-CN"/>
              </w:rPr>
              <w:t>第三方</w:t>
            </w:r>
            <w:r>
              <w:rPr>
                <w:rFonts w:hint="eastAsia" w:eastAsia="宋体"/>
                <w:color w:val="auto"/>
                <w:highlight w:val="none"/>
              </w:rPr>
              <w:t>评审审定金额为准。完成本工程项目</w:t>
            </w:r>
            <w:r>
              <w:rPr>
                <w:rFonts w:hint="eastAsia" w:eastAsia="宋体"/>
                <w:color w:val="auto"/>
                <w:highlight w:val="none"/>
                <w:lang w:val="en-US" w:eastAsia="zh-CN"/>
              </w:rPr>
              <w:t>招标</w:t>
            </w:r>
            <w:r>
              <w:rPr>
                <w:rFonts w:hint="eastAsia" w:eastAsia="宋体"/>
                <w:color w:val="auto"/>
                <w:highlight w:val="none"/>
              </w:rPr>
              <w:t>范围内所有</w:t>
            </w:r>
            <w:r>
              <w:rPr>
                <w:rFonts w:hint="eastAsia" w:eastAsia="宋体"/>
                <w:color w:val="auto"/>
                <w:highlight w:val="none"/>
                <w:lang w:val="en-US" w:eastAsia="zh-CN"/>
              </w:rPr>
              <w:t>市政园林、</w:t>
            </w:r>
            <w:r>
              <w:rPr>
                <w:rFonts w:hint="eastAsia" w:eastAsia="宋体"/>
                <w:color w:val="auto"/>
                <w:highlight w:val="none"/>
              </w:rPr>
              <w:t>建筑工程及设备安装工程，负责项目施工实施阶段采购、制作安装，直至项目竣工验收合格并移交，包括但不限于包深化设计包工、包料、包设备、包质量、包安全生产、包文明施工、包工期、包承包范围内工程验收通过、包移交、包结算、包资料整理、包施工总承包管理和现场整体组织、包专业协调及配合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5908" w:type="dxa"/>
            <w:vAlign w:val="center"/>
          </w:tcPr>
          <w:p>
            <w:pPr>
              <w:snapToGrid w:val="0"/>
              <w:spacing w:before="156" w:beforeLines="50" w:line="360" w:lineRule="auto"/>
              <w:rPr>
                <w:rFonts w:ascii="宋体" w:hAnsi="宋体" w:cs="宋体"/>
                <w:color w:val="auto"/>
                <w:szCs w:val="21"/>
                <w:highlight w:val="none"/>
              </w:rPr>
            </w:pPr>
            <w:r>
              <w:rPr>
                <w:rFonts w:hint="eastAsia"/>
                <w:color w:val="auto"/>
                <w:szCs w:val="21"/>
                <w:highlight w:val="none"/>
              </w:rPr>
              <w:t>详见公告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工期要求</w:t>
            </w:r>
          </w:p>
        </w:tc>
        <w:tc>
          <w:tcPr>
            <w:tcW w:w="5908" w:type="dxa"/>
            <w:vAlign w:val="center"/>
          </w:tcPr>
          <w:p>
            <w:pPr>
              <w:adjustRightInd w:val="0"/>
              <w:snapToGrid w:val="0"/>
              <w:spacing w:before="156" w:beforeLines="50" w:line="360" w:lineRule="auto"/>
              <w:rPr>
                <w:color w:val="auto"/>
                <w:highlight w:val="none"/>
              </w:rPr>
            </w:pPr>
            <w:r>
              <w:rPr>
                <w:rFonts w:hint="eastAsia" w:ascii="宋体" w:hAnsi="宋体" w:cs="宋体"/>
                <w:color w:val="auto"/>
                <w:szCs w:val="21"/>
                <w:highlight w:val="none"/>
              </w:rPr>
              <w:t>收到中标通知书后</w:t>
            </w:r>
            <w:r>
              <w:rPr>
                <w:rFonts w:hint="eastAsia" w:ascii="宋体" w:hAnsi="宋体" w:cs="宋体"/>
                <w:color w:val="auto"/>
                <w:szCs w:val="21"/>
                <w:highlight w:val="none"/>
                <w:lang w:val="en-US" w:eastAsia="zh-CN"/>
              </w:rPr>
              <w:t>10日</w:t>
            </w:r>
            <w:r>
              <w:rPr>
                <w:rFonts w:hint="eastAsia" w:ascii="宋体" w:hAnsi="宋体" w:cs="宋体"/>
                <w:color w:val="auto"/>
                <w:szCs w:val="21"/>
                <w:highlight w:val="none"/>
              </w:rPr>
              <w:t>历天</w:t>
            </w:r>
            <w:r>
              <w:rPr>
                <w:rFonts w:hint="eastAsia" w:ascii="宋体" w:hAnsi="宋体" w:cs="宋体"/>
                <w:color w:val="auto"/>
                <w:szCs w:val="21"/>
                <w:highlight w:val="none"/>
              </w:rPr>
              <w:t>内完成竣工验收合格，并交付使用。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908" w:type="dxa"/>
            <w:vAlign w:val="center"/>
          </w:tcPr>
          <w:p>
            <w:pPr>
              <w:snapToGrid w:val="0"/>
              <w:spacing w:before="156" w:beforeLines="50" w:line="360" w:lineRule="auto"/>
              <w:rPr>
                <w:rFonts w:hint="eastAsia" w:eastAsia="宋体"/>
                <w:color w:val="auto"/>
                <w:szCs w:val="21"/>
                <w:highlight w:val="none"/>
                <w:lang w:eastAsia="zh-CN"/>
              </w:rPr>
            </w:pPr>
            <w:r>
              <w:rPr>
                <w:rFonts w:hint="eastAsia"/>
                <w:color w:val="auto"/>
                <w:szCs w:val="21"/>
                <w:highlight w:val="none"/>
                <w:lang w:val="en-US" w:eastAsia="zh-CN"/>
              </w:rPr>
              <w:t>综合单价</w:t>
            </w:r>
            <w:r>
              <w:rPr>
                <w:rFonts w:hint="eastAsia" w:ascii="Times New Roman" w:hAnsi="Times New Roman"/>
                <w:color w:val="auto"/>
                <w:szCs w:val="21"/>
                <w:highlight w:val="none"/>
              </w:rPr>
              <w:t>包干，</w:t>
            </w:r>
            <w:r>
              <w:rPr>
                <w:rFonts w:hint="eastAsia" w:ascii="Times New Roman" w:hAnsi="Times New Roman"/>
                <w:color w:val="auto"/>
                <w:szCs w:val="21"/>
                <w:highlight w:val="none"/>
                <w:lang w:val="en-US" w:eastAsia="zh-CN"/>
              </w:rPr>
              <w:t>以</w:t>
            </w:r>
            <w:r>
              <w:rPr>
                <w:rFonts w:hint="eastAsia" w:eastAsia="宋体"/>
                <w:color w:val="auto"/>
                <w:highlight w:val="none"/>
                <w:lang w:val="en-US" w:eastAsia="zh-CN"/>
              </w:rPr>
              <w:t>经业主确认的现场实际维修的工程量</w:t>
            </w:r>
            <w:r>
              <w:rPr>
                <w:rFonts w:hint="eastAsia" w:ascii="Times New Roman" w:hAnsi="Times New Roman"/>
                <w:color w:val="auto"/>
                <w:szCs w:val="21"/>
                <w:highlight w:val="none"/>
                <w:lang w:val="en-US" w:eastAsia="zh-CN"/>
              </w:rPr>
              <w:t>按实结算，该投标</w:t>
            </w:r>
            <w:r>
              <w:rPr>
                <w:rFonts w:hint="eastAsia" w:ascii="Times New Roman" w:hAnsi="Times New Roman"/>
                <w:color w:val="auto"/>
                <w:szCs w:val="21"/>
                <w:highlight w:val="none"/>
              </w:rPr>
              <w:t>报价包含本项目的</w:t>
            </w:r>
            <w:r>
              <w:rPr>
                <w:rFonts w:hint="eastAsia" w:ascii="Times New Roman" w:hAnsi="Times New Roman"/>
                <w:color w:val="auto"/>
                <w:szCs w:val="21"/>
                <w:highlight w:val="none"/>
                <w:lang w:val="en-US" w:eastAsia="zh-CN"/>
              </w:rPr>
              <w:t>建安</w:t>
            </w:r>
            <w:r>
              <w:rPr>
                <w:rFonts w:hint="eastAsia" w:ascii="Times New Roman" w:hAnsi="Times New Roman"/>
                <w:color w:val="auto"/>
                <w:szCs w:val="21"/>
                <w:highlight w:val="none"/>
              </w:rPr>
              <w:t>费</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按照招标公告要求均不得超过相应的招标限价</w:t>
            </w:r>
            <w:r>
              <w:rPr>
                <w:rFonts w:hint="eastAsia" w:ascii="Times New Roman" w:hAnsi="Times New Roman"/>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5908" w:type="dxa"/>
            <w:vAlign w:val="center"/>
          </w:tcPr>
          <w:p>
            <w:pPr>
              <w:adjustRightInd w:val="0"/>
              <w:snapToGrid w:val="0"/>
              <w:spacing w:before="156" w:beforeLines="50" w:line="360" w:lineRule="auto"/>
              <w:rPr>
                <w:rFonts w:ascii="宋体" w:hAnsi="宋体" w:cs="宋体"/>
                <w:color w:val="auto"/>
                <w:szCs w:val="21"/>
                <w:highlight w:val="none"/>
              </w:rPr>
            </w:pPr>
            <w:r>
              <w:rPr>
                <w:rFonts w:hint="eastAsia" w:ascii="宋体" w:hAnsi="宋体" w:cs="宋体"/>
                <w:color w:val="auto"/>
                <w:szCs w:val="21"/>
                <w:highlight w:val="none"/>
              </w:rPr>
              <w:t>设计质量标准：符合《建设工程质量管理条例》等国家及地方有关工程勘察设计管理法规和规章。</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工程质量标准：合格。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908" w:type="dxa"/>
            <w:vAlign w:val="center"/>
          </w:tcPr>
          <w:p>
            <w:pPr>
              <w:adjustRightInd w:val="0"/>
              <w:snapToGrid w:val="0"/>
              <w:spacing w:before="156" w:beforeLines="50" w:line="360" w:lineRule="auto"/>
              <w:rPr>
                <w:rFonts w:ascii="宋体" w:hAnsi="宋体" w:cs="宋体"/>
                <w:color w:val="auto"/>
                <w:szCs w:val="21"/>
                <w:highlight w:val="none"/>
              </w:rPr>
            </w:pPr>
            <w:r>
              <w:rPr>
                <w:rFonts w:hint="eastAsia" w:ascii="宋体" w:hAnsi="宋体" w:cs="宋体"/>
                <w:color w:val="auto"/>
                <w:szCs w:val="21"/>
                <w:highlight w:val="none"/>
              </w:rPr>
              <w:t>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13</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投标人合格条件</w:t>
            </w:r>
          </w:p>
        </w:tc>
        <w:tc>
          <w:tcPr>
            <w:tcW w:w="5908" w:type="dxa"/>
            <w:vAlign w:val="center"/>
          </w:tcPr>
          <w:p>
            <w:pPr>
              <w:adjustRightInd w:val="0"/>
              <w:snapToGrid w:val="0"/>
              <w:spacing w:before="156" w:beforeLines="50" w:line="360" w:lineRule="auto"/>
              <w:rPr>
                <w:rFonts w:ascii="宋体" w:hAnsi="宋体" w:cs="宋体"/>
                <w:strike/>
                <w:color w:val="auto"/>
                <w:szCs w:val="21"/>
                <w:highlight w:val="none"/>
              </w:rPr>
            </w:pPr>
            <w:r>
              <w:rPr>
                <w:rFonts w:hint="eastAsia" w:ascii="宋体" w:hAnsi="宋体" w:cs="宋体"/>
                <w:color w:val="auto"/>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14</w:t>
            </w:r>
          </w:p>
        </w:tc>
        <w:tc>
          <w:tcPr>
            <w:tcW w:w="2816" w:type="dxa"/>
            <w:vAlign w:val="center"/>
          </w:tcPr>
          <w:p>
            <w:pPr>
              <w:adjustRightInd w:val="0"/>
              <w:snapToGrid w:val="0"/>
              <w:spacing w:before="156" w:beforeLines="50" w:line="360" w:lineRule="auto"/>
              <w:jc w:val="center"/>
              <w:rPr>
                <w:rFonts w:ascii="宋体" w:hAnsi="宋体"/>
                <w:color w:val="auto"/>
                <w:szCs w:val="21"/>
                <w:highlight w:val="none"/>
              </w:rPr>
            </w:pPr>
            <w:r>
              <w:rPr>
                <w:rFonts w:ascii="宋体" w:hAnsi="宋体"/>
                <w:color w:val="auto"/>
                <w:szCs w:val="21"/>
                <w:highlight w:val="none"/>
              </w:rPr>
              <w:t>是否接受联合体投标</w:t>
            </w:r>
          </w:p>
        </w:tc>
        <w:tc>
          <w:tcPr>
            <w:tcW w:w="5908" w:type="dxa"/>
            <w:vAlign w:val="center"/>
          </w:tcPr>
          <w:p>
            <w:pPr>
              <w:pStyle w:val="15"/>
              <w:topLinePunct/>
              <w:adjustRightInd w:val="0"/>
              <w:snapToGrid w:val="0"/>
              <w:spacing w:before="156" w:beforeLines="50" w:line="360" w:lineRule="auto"/>
              <w:rPr>
                <w:rFonts w:hAnsi="宋体"/>
                <w:color w:val="auto"/>
                <w:sz w:val="21"/>
                <w:szCs w:val="21"/>
                <w:highlight w:val="none"/>
              </w:rPr>
            </w:pPr>
            <w:r>
              <w:rPr>
                <w:rFonts w:hint="eastAsia" w:hAnsi="宋体"/>
                <w:color w:val="auto"/>
                <w:kern w:val="0"/>
                <w:sz w:val="21"/>
                <w:szCs w:val="21"/>
                <w:highlight w:val="none"/>
              </w:rPr>
              <w:t>■</w:t>
            </w:r>
            <w:r>
              <w:rPr>
                <w:rFonts w:hint="eastAsia" w:hAnsi="宋体"/>
                <w:color w:val="auto"/>
                <w:sz w:val="21"/>
                <w:szCs w:val="21"/>
                <w:highlight w:val="none"/>
              </w:rPr>
              <w:t>不接受</w:t>
            </w:r>
          </w:p>
          <w:p>
            <w:pPr>
              <w:pStyle w:val="15"/>
              <w:topLinePunct/>
              <w:adjustRightInd w:val="0"/>
              <w:snapToGrid w:val="0"/>
              <w:spacing w:before="156" w:beforeLines="50" w:line="360" w:lineRule="auto"/>
              <w:rPr>
                <w:rFonts w:hAnsi="宋体"/>
                <w:color w:val="auto"/>
                <w:sz w:val="21"/>
                <w:szCs w:val="21"/>
                <w:highlight w:val="none"/>
              </w:rPr>
            </w:pPr>
            <w:r>
              <w:rPr>
                <w:rFonts w:hint="eastAsia" w:hAnsi="宋体" w:cs="宋体"/>
                <w:color w:val="auto"/>
                <w:sz w:val="21"/>
                <w:szCs w:val="21"/>
                <w:highlight w:val="none"/>
              </w:rPr>
              <w:t>□</w:t>
            </w:r>
            <w:r>
              <w:rPr>
                <w:rFonts w:hint="eastAsia" w:hAnsi="宋体"/>
                <w:color w:val="auto"/>
                <w:sz w:val="21"/>
                <w:szCs w:val="21"/>
                <w:highlight w:val="none"/>
              </w:rPr>
              <w:t>接受，应满足下列要求：</w:t>
            </w:r>
            <w:r>
              <w:rPr>
                <w:rFonts w:hint="eastAsia" w:hAnsi="宋体" w:cs="宋体"/>
                <w:color w:val="auto"/>
                <w:sz w:val="21"/>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15</w:t>
            </w:r>
          </w:p>
        </w:tc>
        <w:tc>
          <w:tcPr>
            <w:tcW w:w="2816"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最高投标限价或其计算方法</w:t>
            </w:r>
          </w:p>
        </w:tc>
        <w:tc>
          <w:tcPr>
            <w:tcW w:w="5908" w:type="dxa"/>
            <w:vAlign w:val="center"/>
          </w:tcPr>
          <w:p>
            <w:pPr>
              <w:adjustRightInd w:val="0"/>
              <w:snapToGrid w:val="0"/>
              <w:spacing w:before="156"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本项目最高投标限价详见本项目招标公告。</w:t>
            </w:r>
          </w:p>
          <w:p>
            <w:pPr>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投标人的投标总报价、建安工程费报价超过对应最高投标限价的为无效标。</w:t>
            </w:r>
          </w:p>
          <w:p>
            <w:pPr>
              <w:adjustRightInd w:val="0"/>
              <w:snapToGrid w:val="0"/>
              <w:spacing w:line="360" w:lineRule="auto"/>
              <w:jc w:val="left"/>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投标人总得分满分为100分，总得分=资信</w:t>
            </w:r>
            <w:r>
              <w:rPr>
                <w:rFonts w:hint="eastAsia" w:ascii="宋体" w:hAnsi="宋体" w:cs="宋体"/>
                <w:color w:val="auto"/>
                <w:szCs w:val="21"/>
                <w:highlight w:val="none"/>
                <w:lang w:eastAsia="zh-CN"/>
              </w:rPr>
              <w:t>得</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投标报价得分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16</w:t>
            </w:r>
          </w:p>
        </w:tc>
        <w:tc>
          <w:tcPr>
            <w:tcW w:w="2816" w:type="dxa"/>
            <w:vAlign w:val="center"/>
          </w:tcPr>
          <w:p>
            <w:pPr>
              <w:adjustRightInd w:val="0"/>
              <w:snapToGrid w:val="0"/>
              <w:spacing w:before="156" w:beforeLines="50" w:line="360" w:lineRule="auto"/>
              <w:jc w:val="center"/>
              <w:rPr>
                <w:rFonts w:ascii="宋体" w:hAnsi="宋体"/>
                <w:color w:val="auto"/>
                <w:szCs w:val="21"/>
                <w:highlight w:val="none"/>
              </w:rPr>
            </w:pPr>
            <w:r>
              <w:rPr>
                <w:rFonts w:ascii="宋体" w:hAnsi="宋体"/>
                <w:color w:val="auto"/>
                <w:szCs w:val="21"/>
                <w:highlight w:val="none"/>
              </w:rPr>
              <w:t>投标有效期</w:t>
            </w:r>
          </w:p>
        </w:tc>
        <w:tc>
          <w:tcPr>
            <w:tcW w:w="5908" w:type="dxa"/>
            <w:vAlign w:val="center"/>
          </w:tcPr>
          <w:p>
            <w:pPr>
              <w:adjustRightInd w:val="0"/>
              <w:snapToGrid w:val="0"/>
              <w:spacing w:before="156" w:beforeLines="50" w:line="360" w:lineRule="auto"/>
              <w:rPr>
                <w:rFonts w:ascii="宋体" w:hAnsi="宋体"/>
                <w:color w:val="auto"/>
                <w:szCs w:val="21"/>
                <w:highlight w:val="none"/>
              </w:rPr>
            </w:pPr>
            <w:r>
              <w:rPr>
                <w:rFonts w:hint="eastAsia" w:ascii="宋体" w:hAnsi="宋体"/>
                <w:color w:val="auto"/>
                <w:szCs w:val="21"/>
                <w:highlight w:val="none"/>
                <w:u w:val="single"/>
              </w:rPr>
              <w:t>60</w:t>
            </w:r>
            <w:r>
              <w:rPr>
                <w:rFonts w:ascii="宋体" w:hAnsi="宋体"/>
                <w:color w:val="auto"/>
                <w:szCs w:val="21"/>
                <w:highlight w:val="none"/>
              </w:rPr>
              <w:t>日历天（从递交投标文件截止之日计起），如出现异议或投诉，则投标有效期自动延长至异议或投诉处理结束，确定中标人并发放中标通知书为止。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17</w:t>
            </w:r>
          </w:p>
        </w:tc>
        <w:tc>
          <w:tcPr>
            <w:tcW w:w="2816" w:type="dxa"/>
            <w:vAlign w:val="center"/>
          </w:tcPr>
          <w:p>
            <w:pPr>
              <w:adjustRightInd w:val="0"/>
              <w:snapToGrid w:val="0"/>
              <w:spacing w:before="156" w:beforeLines="50" w:line="360" w:lineRule="auto"/>
              <w:jc w:val="center"/>
              <w:rPr>
                <w:rFonts w:ascii="宋体" w:hAnsi="宋体"/>
                <w:color w:val="auto"/>
                <w:szCs w:val="21"/>
                <w:highlight w:val="none"/>
              </w:rPr>
            </w:pPr>
            <w:r>
              <w:rPr>
                <w:rFonts w:ascii="宋体" w:hAnsi="宋体"/>
                <w:color w:val="auto"/>
                <w:szCs w:val="21"/>
                <w:highlight w:val="none"/>
              </w:rPr>
              <w:t>投标文件份数</w:t>
            </w:r>
          </w:p>
        </w:tc>
        <w:tc>
          <w:tcPr>
            <w:tcW w:w="5908" w:type="dxa"/>
            <w:vAlign w:val="center"/>
          </w:tcPr>
          <w:p>
            <w:pPr>
              <w:jc w:val="left"/>
              <w:rPr>
                <w:b/>
                <w:bCs/>
                <w:color w:val="auto"/>
                <w:szCs w:val="21"/>
                <w:highlight w:val="none"/>
              </w:rPr>
            </w:pPr>
            <w:r>
              <w:rPr>
                <w:rFonts w:hint="eastAsia"/>
                <w:b/>
                <w:bCs/>
                <w:color w:val="auto"/>
                <w:szCs w:val="21"/>
                <w:highlight w:val="none"/>
              </w:rPr>
              <w:t>资格审查文件：</w:t>
            </w:r>
            <w:r>
              <w:rPr>
                <w:rFonts w:hint="eastAsia"/>
                <w:color w:val="auto"/>
                <w:szCs w:val="21"/>
                <w:highlight w:val="none"/>
                <w:u w:val="single"/>
              </w:rPr>
              <w:t>1份正本（含电子文件一套），</w:t>
            </w:r>
            <w:r>
              <w:rPr>
                <w:rFonts w:hint="eastAsia"/>
                <w:color w:val="auto"/>
                <w:szCs w:val="21"/>
                <w:highlight w:val="none"/>
                <w:u w:val="single"/>
                <w:lang w:val="en-US" w:eastAsia="zh-CN"/>
              </w:rPr>
              <w:t>5</w:t>
            </w:r>
            <w:r>
              <w:rPr>
                <w:rFonts w:hint="eastAsia"/>
                <w:color w:val="auto"/>
                <w:szCs w:val="21"/>
                <w:highlight w:val="none"/>
                <w:u w:val="single"/>
              </w:rPr>
              <w:t>份副本；</w:t>
            </w:r>
          </w:p>
          <w:p>
            <w:pPr>
              <w:jc w:val="left"/>
              <w:rPr>
                <w:color w:val="auto"/>
                <w:szCs w:val="21"/>
                <w:highlight w:val="none"/>
                <w:u w:val="single"/>
              </w:rPr>
            </w:pPr>
            <w:r>
              <w:rPr>
                <w:rFonts w:hint="eastAsia"/>
                <w:b/>
                <w:bCs/>
                <w:color w:val="auto"/>
                <w:szCs w:val="21"/>
                <w:highlight w:val="none"/>
                <w:lang w:val="en-US" w:eastAsia="zh-CN"/>
              </w:rPr>
              <w:t>工程施工</w:t>
            </w:r>
            <w:r>
              <w:rPr>
                <w:rFonts w:hint="eastAsia"/>
                <w:b/>
                <w:bCs/>
                <w:color w:val="auto"/>
                <w:szCs w:val="21"/>
                <w:highlight w:val="none"/>
                <w:lang w:eastAsia="zh-CN"/>
              </w:rPr>
              <w:t>总承包实施方案</w:t>
            </w:r>
            <w:r>
              <w:rPr>
                <w:rFonts w:hint="eastAsia"/>
                <w:b/>
                <w:bCs/>
                <w:color w:val="auto"/>
                <w:szCs w:val="21"/>
                <w:highlight w:val="none"/>
              </w:rPr>
              <w:t>（含资信部分）文件</w:t>
            </w:r>
            <w:r>
              <w:rPr>
                <w:rFonts w:hint="eastAsia"/>
                <w:color w:val="auto"/>
                <w:szCs w:val="21"/>
                <w:highlight w:val="none"/>
              </w:rPr>
              <w:t>：</w:t>
            </w:r>
            <w:r>
              <w:rPr>
                <w:rFonts w:hint="eastAsia"/>
                <w:color w:val="auto"/>
                <w:szCs w:val="21"/>
                <w:highlight w:val="none"/>
                <w:u w:val="single"/>
              </w:rPr>
              <w:t>1份正本（含电子文件一套），</w:t>
            </w:r>
            <w:r>
              <w:rPr>
                <w:rFonts w:hint="eastAsia"/>
                <w:color w:val="auto"/>
                <w:szCs w:val="21"/>
                <w:highlight w:val="none"/>
                <w:u w:val="single"/>
                <w:lang w:val="en-US" w:eastAsia="zh-CN"/>
              </w:rPr>
              <w:t>5</w:t>
            </w:r>
            <w:r>
              <w:rPr>
                <w:rFonts w:hint="eastAsia"/>
                <w:color w:val="auto"/>
                <w:szCs w:val="21"/>
                <w:highlight w:val="none"/>
                <w:u w:val="single"/>
              </w:rPr>
              <w:t>份副本；</w:t>
            </w:r>
          </w:p>
          <w:p>
            <w:pPr>
              <w:jc w:val="left"/>
              <w:rPr>
                <w:color w:val="auto"/>
                <w:szCs w:val="21"/>
                <w:highlight w:val="none"/>
                <w:u w:val="single"/>
              </w:rPr>
            </w:pPr>
            <w:r>
              <w:rPr>
                <w:rFonts w:hint="eastAsia"/>
                <w:b/>
                <w:bCs/>
                <w:color w:val="auto"/>
                <w:szCs w:val="21"/>
                <w:highlight w:val="none"/>
              </w:rPr>
              <w:t>投标报价文件</w:t>
            </w:r>
            <w:r>
              <w:rPr>
                <w:rFonts w:hint="eastAsia"/>
                <w:color w:val="auto"/>
                <w:szCs w:val="21"/>
                <w:highlight w:val="none"/>
              </w:rPr>
              <w:t>：</w:t>
            </w:r>
            <w:r>
              <w:rPr>
                <w:rFonts w:hint="eastAsia"/>
                <w:color w:val="auto"/>
                <w:szCs w:val="21"/>
                <w:highlight w:val="none"/>
                <w:u w:val="single"/>
              </w:rPr>
              <w:t>1份正本（含电子文件一套），</w:t>
            </w:r>
            <w:r>
              <w:rPr>
                <w:rFonts w:hint="eastAsia"/>
                <w:color w:val="auto"/>
                <w:szCs w:val="21"/>
                <w:highlight w:val="none"/>
                <w:u w:val="single"/>
                <w:lang w:val="en-US" w:eastAsia="zh-CN"/>
              </w:rPr>
              <w:t>5</w:t>
            </w:r>
            <w:r>
              <w:rPr>
                <w:rFonts w:hint="eastAsia"/>
                <w:color w:val="auto"/>
                <w:szCs w:val="21"/>
                <w:highlight w:val="none"/>
                <w:u w:val="single"/>
              </w:rPr>
              <w:t>份副本。</w:t>
            </w:r>
          </w:p>
          <w:p>
            <w:pPr>
              <w:jc w:val="left"/>
              <w:rPr>
                <w:color w:val="auto"/>
                <w:szCs w:val="21"/>
                <w:highlight w:val="none"/>
              </w:rPr>
            </w:pPr>
            <w:r>
              <w:rPr>
                <w:rFonts w:hint="eastAsia"/>
                <w:color w:val="auto"/>
                <w:szCs w:val="21"/>
                <w:highlight w:val="none"/>
              </w:rPr>
              <w:t>独自分开的封包数共为</w:t>
            </w:r>
            <w:r>
              <w:rPr>
                <w:rFonts w:hint="eastAsia"/>
                <w:color w:val="auto"/>
                <w:szCs w:val="21"/>
                <w:highlight w:val="none"/>
                <w:lang w:val="en-US" w:eastAsia="zh-CN"/>
              </w:rPr>
              <w:t>3</w:t>
            </w:r>
            <w:r>
              <w:rPr>
                <w:rFonts w:hint="eastAsia"/>
                <w:color w:val="auto"/>
                <w:szCs w:val="21"/>
                <w:highlight w:val="none"/>
              </w:rPr>
              <w:t>包：</w:t>
            </w:r>
          </w:p>
          <w:p>
            <w:pPr>
              <w:jc w:val="left"/>
              <w:rPr>
                <w:b/>
                <w:bCs/>
                <w:color w:val="auto"/>
                <w:szCs w:val="21"/>
                <w:highlight w:val="none"/>
                <w:u w:val="single"/>
              </w:rPr>
            </w:pPr>
            <w:r>
              <w:rPr>
                <w:rFonts w:hint="eastAsia"/>
                <w:b/>
                <w:bCs/>
                <w:color w:val="auto"/>
                <w:szCs w:val="21"/>
                <w:highlight w:val="none"/>
                <w:u w:val="single"/>
              </w:rPr>
              <w:t>资格审查文件1包；</w:t>
            </w:r>
          </w:p>
          <w:p>
            <w:pPr>
              <w:jc w:val="left"/>
              <w:rPr>
                <w:b/>
                <w:bCs/>
                <w:color w:val="auto"/>
                <w:szCs w:val="21"/>
                <w:highlight w:val="none"/>
                <w:u w:val="single"/>
              </w:rPr>
            </w:pPr>
            <w:r>
              <w:rPr>
                <w:rFonts w:hint="eastAsia"/>
                <w:b/>
                <w:bCs/>
                <w:color w:val="auto"/>
                <w:szCs w:val="21"/>
                <w:highlight w:val="none"/>
                <w:u w:val="single"/>
                <w:lang w:val="en-US" w:eastAsia="zh-CN"/>
              </w:rPr>
              <w:t>工程施工</w:t>
            </w:r>
            <w:r>
              <w:rPr>
                <w:rFonts w:hint="eastAsia"/>
                <w:b/>
                <w:bCs/>
                <w:color w:val="auto"/>
                <w:szCs w:val="21"/>
                <w:highlight w:val="none"/>
                <w:u w:val="single"/>
                <w:lang w:eastAsia="zh-CN"/>
              </w:rPr>
              <w:t>总承包实施方案</w:t>
            </w:r>
            <w:r>
              <w:rPr>
                <w:rFonts w:hint="eastAsia"/>
                <w:b/>
                <w:bCs/>
                <w:color w:val="auto"/>
                <w:szCs w:val="21"/>
                <w:highlight w:val="none"/>
                <w:u w:val="single"/>
              </w:rPr>
              <w:t>（含资信部分）文件1包；</w:t>
            </w:r>
          </w:p>
          <w:p>
            <w:pPr>
              <w:jc w:val="left"/>
              <w:rPr>
                <w:b/>
                <w:bCs/>
                <w:color w:val="auto"/>
                <w:szCs w:val="21"/>
                <w:highlight w:val="none"/>
                <w:u w:val="single"/>
              </w:rPr>
            </w:pPr>
            <w:r>
              <w:rPr>
                <w:rFonts w:hint="eastAsia"/>
                <w:b/>
                <w:bCs/>
                <w:color w:val="auto"/>
                <w:szCs w:val="21"/>
                <w:highlight w:val="none"/>
                <w:u w:val="single"/>
              </w:rPr>
              <w:t>投标报价文件1包。</w:t>
            </w:r>
          </w:p>
          <w:p>
            <w:pPr>
              <w:adjustRightInd w:val="0"/>
              <w:snapToGrid w:val="0"/>
              <w:spacing w:line="360" w:lineRule="auto"/>
              <w:rPr>
                <w:color w:val="auto"/>
                <w:highlight w:val="none"/>
              </w:rPr>
            </w:pPr>
            <w:r>
              <w:rPr>
                <w:rFonts w:hint="eastAsia"/>
                <w:color w:val="auto"/>
                <w:szCs w:val="21"/>
                <w:highlight w:val="none"/>
                <w:u w:val="single"/>
              </w:rPr>
              <w:t>要求提供的电子文件光盘（或U盘）必须无病毒、无加密、可打开、可编辑。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p>
        </w:tc>
        <w:tc>
          <w:tcPr>
            <w:tcW w:w="2816" w:type="dxa"/>
            <w:vAlign w:val="center"/>
          </w:tcPr>
          <w:p>
            <w:pPr>
              <w:adjustRightInd w:val="0"/>
              <w:snapToGrid w:val="0"/>
              <w:spacing w:before="156" w:beforeLines="50" w:line="360" w:lineRule="auto"/>
              <w:jc w:val="center"/>
              <w:rPr>
                <w:rFonts w:ascii="宋体" w:hAnsi="宋体"/>
                <w:color w:val="auto"/>
                <w:szCs w:val="21"/>
                <w:highlight w:val="none"/>
              </w:rPr>
            </w:pPr>
            <w:r>
              <w:rPr>
                <w:rFonts w:ascii="宋体" w:hAnsi="宋体"/>
                <w:color w:val="auto"/>
                <w:szCs w:val="21"/>
                <w:highlight w:val="none"/>
              </w:rPr>
              <w:t>封套上</w:t>
            </w:r>
            <w:r>
              <w:rPr>
                <w:rFonts w:hint="eastAsia" w:ascii="宋体" w:hAnsi="宋体"/>
                <w:color w:val="auto"/>
                <w:szCs w:val="21"/>
                <w:highlight w:val="none"/>
              </w:rPr>
              <w:t>应载明的信息</w:t>
            </w:r>
          </w:p>
        </w:tc>
        <w:tc>
          <w:tcPr>
            <w:tcW w:w="5908" w:type="dxa"/>
            <w:vAlign w:val="center"/>
          </w:tcPr>
          <w:p>
            <w:pPr>
              <w:jc w:val="left"/>
              <w:rPr>
                <w:b/>
                <w:bCs/>
                <w:color w:val="auto"/>
                <w:szCs w:val="21"/>
                <w:highlight w:val="none"/>
              </w:rPr>
            </w:pPr>
            <w:r>
              <w:rPr>
                <w:rFonts w:hint="eastAsia"/>
                <w:b/>
                <w:bCs/>
                <w:color w:val="auto"/>
                <w:szCs w:val="21"/>
                <w:highlight w:val="none"/>
              </w:rPr>
              <w:t>1、资格审查文件/</w:t>
            </w:r>
            <w:r>
              <w:rPr>
                <w:rFonts w:hint="eastAsia"/>
                <w:b/>
                <w:bCs/>
                <w:color w:val="auto"/>
                <w:szCs w:val="21"/>
                <w:highlight w:val="none"/>
                <w:lang w:eastAsia="zh-CN"/>
              </w:rPr>
              <w:t>工程施工总承包实施方案</w:t>
            </w:r>
            <w:r>
              <w:rPr>
                <w:rFonts w:hint="eastAsia"/>
                <w:b/>
                <w:bCs/>
                <w:color w:val="auto"/>
                <w:szCs w:val="21"/>
                <w:highlight w:val="none"/>
              </w:rPr>
              <w:t>（含资信部分）文件/投标报价文件</w:t>
            </w:r>
          </w:p>
          <w:p>
            <w:pPr>
              <w:jc w:val="left"/>
              <w:rPr>
                <w:color w:val="auto"/>
                <w:szCs w:val="21"/>
                <w:highlight w:val="none"/>
              </w:rPr>
            </w:pPr>
            <w:r>
              <w:rPr>
                <w:rFonts w:hint="eastAsia"/>
                <w:color w:val="auto"/>
                <w:szCs w:val="21"/>
                <w:highlight w:val="none"/>
              </w:rPr>
              <w:t>招标人名称：</w:t>
            </w:r>
          </w:p>
          <w:p>
            <w:pPr>
              <w:jc w:val="left"/>
              <w:rPr>
                <w:color w:val="auto"/>
                <w:szCs w:val="21"/>
                <w:highlight w:val="none"/>
              </w:rPr>
            </w:pPr>
            <w:r>
              <w:rPr>
                <w:rFonts w:hint="eastAsia" w:ascii="宋体" w:hAnsi="宋体" w:cs="宋体"/>
                <w:color w:val="auto"/>
                <w:szCs w:val="21"/>
                <w:highlight w:val="none"/>
                <w:u w:val="single"/>
                <w:lang w:eastAsia="zh-CN"/>
              </w:rPr>
              <w:t>湿地二期艺术区提升绿化景观项目</w:t>
            </w:r>
            <w:r>
              <w:rPr>
                <w:rFonts w:hint="eastAsia"/>
                <w:color w:val="auto"/>
                <w:szCs w:val="21"/>
                <w:highlight w:val="none"/>
              </w:rPr>
              <w:t>投标文件（</w:t>
            </w:r>
            <w:r>
              <w:rPr>
                <w:rFonts w:hint="eastAsia"/>
                <w:b/>
                <w:bCs/>
                <w:color w:val="auto"/>
                <w:szCs w:val="21"/>
                <w:highlight w:val="none"/>
              </w:rPr>
              <w:t>资格审查文件/</w:t>
            </w:r>
            <w:r>
              <w:rPr>
                <w:rFonts w:hint="eastAsia"/>
                <w:b/>
                <w:bCs/>
                <w:color w:val="auto"/>
                <w:szCs w:val="21"/>
                <w:highlight w:val="none"/>
                <w:lang w:eastAsia="zh-CN"/>
              </w:rPr>
              <w:t>工程施工总承包实施方案</w:t>
            </w:r>
            <w:r>
              <w:rPr>
                <w:rFonts w:hint="eastAsia"/>
                <w:b/>
                <w:bCs/>
                <w:color w:val="auto"/>
                <w:szCs w:val="21"/>
                <w:highlight w:val="none"/>
              </w:rPr>
              <w:t>（含资信部分）文件/投标报价文件</w:t>
            </w:r>
            <w:r>
              <w:rPr>
                <w:rFonts w:hint="eastAsia"/>
                <w:color w:val="auto"/>
                <w:szCs w:val="21"/>
                <w:highlight w:val="none"/>
              </w:rPr>
              <w:t>）</w:t>
            </w:r>
          </w:p>
          <w:p>
            <w:pPr>
              <w:jc w:val="left"/>
              <w:rPr>
                <w:color w:val="auto"/>
                <w:szCs w:val="21"/>
                <w:highlight w:val="none"/>
              </w:rPr>
            </w:pPr>
            <w:r>
              <w:rPr>
                <w:rFonts w:hint="eastAsia"/>
                <w:color w:val="auto"/>
                <w:szCs w:val="21"/>
                <w:highlight w:val="none"/>
              </w:rPr>
              <w:t>在</w:t>
            </w:r>
            <w:r>
              <w:rPr>
                <w:rFonts w:hint="eastAsia"/>
                <w:color w:val="auto"/>
                <w:szCs w:val="21"/>
                <w:highlight w:val="none"/>
                <w:u w:val="single"/>
                <w:lang w:val="en-US" w:eastAsia="zh-CN"/>
              </w:rPr>
              <w:t>2023</w:t>
            </w:r>
            <w:r>
              <w:rPr>
                <w:rFonts w:hint="eastAsia"/>
                <w:color w:val="auto"/>
                <w:szCs w:val="21"/>
                <w:highlight w:val="none"/>
              </w:rPr>
              <w:t>年</w:t>
            </w:r>
            <w:r>
              <w:rPr>
                <w:rFonts w:hint="eastAsia"/>
                <w:color w:val="auto"/>
                <w:szCs w:val="21"/>
                <w:highlight w:val="none"/>
                <w:lang w:val="en-US" w:eastAsia="zh-CN"/>
              </w:rPr>
              <w:t>2</w:t>
            </w:r>
            <w:r>
              <w:rPr>
                <w:rFonts w:hint="eastAsia"/>
                <w:color w:val="auto"/>
                <w:szCs w:val="21"/>
                <w:highlight w:val="none"/>
              </w:rPr>
              <w:t>月</w:t>
            </w:r>
            <w:r>
              <w:rPr>
                <w:rFonts w:hint="eastAsia"/>
                <w:color w:val="auto"/>
                <w:szCs w:val="21"/>
                <w:highlight w:val="none"/>
                <w:lang w:val="en-US" w:eastAsia="zh-CN"/>
              </w:rPr>
              <w:t xml:space="preserve">17 </w:t>
            </w:r>
            <w:r>
              <w:rPr>
                <w:rFonts w:hint="eastAsia"/>
                <w:color w:val="auto"/>
                <w:szCs w:val="21"/>
                <w:highlight w:val="none"/>
              </w:rPr>
              <w:t>日</w:t>
            </w:r>
            <w:r>
              <w:rPr>
                <w:rFonts w:hint="eastAsia"/>
                <w:color w:val="auto"/>
                <w:szCs w:val="21"/>
                <w:highlight w:val="none"/>
                <w:u w:val="single"/>
                <w:lang w:val="en-US" w:eastAsia="zh-CN"/>
              </w:rPr>
              <w:t>10</w:t>
            </w:r>
            <w:r>
              <w:rPr>
                <w:rFonts w:hint="eastAsia"/>
                <w:color w:val="auto"/>
                <w:szCs w:val="21"/>
                <w:highlight w:val="none"/>
              </w:rPr>
              <w:t>时</w:t>
            </w:r>
            <w:r>
              <w:rPr>
                <w:rFonts w:hint="eastAsia"/>
                <w:color w:val="auto"/>
                <w:szCs w:val="21"/>
                <w:highlight w:val="none"/>
                <w:lang w:val="en-US" w:eastAsia="zh-CN"/>
              </w:rPr>
              <w:t>0</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分</w:t>
            </w:r>
            <w:r>
              <w:rPr>
                <w:rFonts w:hint="eastAsia"/>
                <w:color w:val="auto"/>
                <w:szCs w:val="21"/>
                <w:highlight w:val="none"/>
              </w:rPr>
              <w:t>前不得开启</w:t>
            </w:r>
          </w:p>
          <w:p>
            <w:pPr>
              <w:jc w:val="left"/>
              <w:rPr>
                <w:rFonts w:ascii="宋体" w:hAnsi="宋体"/>
                <w:color w:val="auto"/>
                <w:szCs w:val="21"/>
                <w:highlight w:val="none"/>
              </w:rPr>
            </w:pPr>
            <w:r>
              <w:rPr>
                <w:rFonts w:hint="eastAsia"/>
                <w:color w:val="auto"/>
                <w:szCs w:val="21"/>
                <w:highlight w:val="none"/>
                <w:u w:val="single"/>
              </w:rPr>
              <w:t>投标人名称：（并加盖公章。）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19</w:t>
            </w:r>
          </w:p>
        </w:tc>
        <w:tc>
          <w:tcPr>
            <w:tcW w:w="2816" w:type="dxa"/>
            <w:vAlign w:val="center"/>
          </w:tcPr>
          <w:p>
            <w:pPr>
              <w:snapToGrid w:val="0"/>
              <w:spacing w:before="156" w:beforeLines="50" w:line="360" w:lineRule="auto"/>
              <w:jc w:val="center"/>
              <w:rPr>
                <w:rFonts w:ascii="宋体" w:hAnsi="宋体"/>
                <w:color w:val="auto"/>
                <w:szCs w:val="21"/>
                <w:highlight w:val="none"/>
              </w:rPr>
            </w:pPr>
            <w:r>
              <w:rPr>
                <w:rFonts w:hint="eastAsia"/>
                <w:color w:val="auto"/>
                <w:szCs w:val="21"/>
                <w:highlight w:val="none"/>
              </w:rPr>
              <w:t>报名</w:t>
            </w:r>
            <w:r>
              <w:rPr>
                <w:rFonts w:hint="eastAsia"/>
                <w:color w:val="auto"/>
                <w:szCs w:val="21"/>
                <w:highlight w:val="none"/>
                <w:lang w:eastAsia="zh-CN"/>
              </w:rPr>
              <w:t>登记</w:t>
            </w:r>
            <w:r>
              <w:rPr>
                <w:rFonts w:hint="eastAsia"/>
                <w:color w:val="auto"/>
                <w:szCs w:val="21"/>
                <w:highlight w:val="none"/>
              </w:rPr>
              <w:t>地点和时间</w:t>
            </w:r>
          </w:p>
        </w:tc>
        <w:tc>
          <w:tcPr>
            <w:tcW w:w="5908" w:type="dxa"/>
            <w:vAlign w:val="center"/>
          </w:tcPr>
          <w:p>
            <w:pPr>
              <w:snapToGrid w:val="0"/>
              <w:spacing w:before="156" w:beforeLines="50"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rPr>
              <w:t>地点：</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u w:val="single"/>
              </w:rPr>
              <w:t>广州市南沙区</w:t>
            </w:r>
            <w:r>
              <w:rPr>
                <w:rFonts w:hint="eastAsia" w:ascii="宋体" w:hAnsi="宋体" w:eastAsia="宋体"/>
                <w:color w:val="auto"/>
                <w:szCs w:val="21"/>
                <w:highlight w:val="none"/>
                <w:u w:val="single"/>
                <w:lang w:eastAsia="zh-CN"/>
              </w:rPr>
              <w:t>万顷沙镇</w:t>
            </w:r>
            <w:r>
              <w:rPr>
                <w:rFonts w:hint="eastAsia" w:ascii="宋体" w:hAnsi="宋体" w:eastAsia="宋体"/>
                <w:color w:val="auto"/>
                <w:szCs w:val="21"/>
                <w:highlight w:val="none"/>
                <w:u w:val="single"/>
                <w:lang w:val="en-US" w:eastAsia="zh-CN"/>
              </w:rPr>
              <w:t>湿地景区一期工程部</w:t>
            </w:r>
          </w:p>
          <w:p>
            <w:pPr>
              <w:snapToGrid w:val="0"/>
              <w:spacing w:before="156" w:beforeLines="50"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登记日期：2023年2 月15日至2023年2月15 日（周六、周日和节假日不受理）</w:t>
            </w:r>
          </w:p>
          <w:p>
            <w:pPr>
              <w:snapToGrid w:val="0"/>
              <w:spacing w:before="156" w:beforeLines="50" w:line="360" w:lineRule="auto"/>
              <w:rPr>
                <w:rFonts w:ascii="宋体" w:hAnsi="宋体"/>
                <w:color w:val="auto"/>
                <w:szCs w:val="21"/>
                <w:highlight w:val="none"/>
              </w:rPr>
            </w:pPr>
            <w:r>
              <w:rPr>
                <w:rFonts w:hint="eastAsia" w:ascii="宋体" w:hAnsi="宋体"/>
                <w:color w:val="auto"/>
                <w:szCs w:val="21"/>
                <w:highlight w:val="none"/>
                <w:lang w:val="en-US" w:eastAsia="zh-CN"/>
              </w:rPr>
              <w:t>登记时间：上午9时30分11：30分，下午14：00至16时00分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20</w:t>
            </w:r>
          </w:p>
        </w:tc>
        <w:tc>
          <w:tcPr>
            <w:tcW w:w="2816" w:type="dxa"/>
            <w:vAlign w:val="center"/>
          </w:tcPr>
          <w:p>
            <w:pPr>
              <w:snapToGrid w:val="0"/>
              <w:spacing w:before="156" w:beforeLines="50" w:line="360" w:lineRule="auto"/>
              <w:jc w:val="center"/>
              <w:rPr>
                <w:color w:val="auto"/>
                <w:szCs w:val="21"/>
                <w:highlight w:val="none"/>
              </w:rPr>
            </w:pPr>
            <w:r>
              <w:rPr>
                <w:rFonts w:hint="eastAsia"/>
                <w:color w:val="auto"/>
                <w:szCs w:val="21"/>
                <w:highlight w:val="none"/>
              </w:rPr>
              <w:t>投标文件递交地点</w:t>
            </w:r>
          </w:p>
        </w:tc>
        <w:tc>
          <w:tcPr>
            <w:tcW w:w="5908" w:type="dxa"/>
            <w:vAlign w:val="center"/>
          </w:tcPr>
          <w:p>
            <w:pPr>
              <w:snapToGrid w:val="0"/>
              <w:spacing w:before="156" w:beforeLines="50" w:line="360" w:lineRule="auto"/>
              <w:rPr>
                <w:rFonts w:ascii="宋体" w:hAnsi="宋体"/>
                <w:color w:val="auto"/>
                <w:szCs w:val="21"/>
                <w:highlight w:val="none"/>
              </w:rPr>
            </w:pPr>
            <w:r>
              <w:rPr>
                <w:rFonts w:hint="eastAsia"/>
                <w:color w:val="auto"/>
                <w:highlight w:val="none"/>
              </w:rPr>
              <w:t>联系人：</w:t>
            </w:r>
            <w:r>
              <w:rPr>
                <w:rFonts w:hint="eastAsia"/>
                <w:color w:val="auto"/>
                <w:highlight w:val="none"/>
                <w:lang w:val="en-US" w:eastAsia="zh-CN"/>
              </w:rPr>
              <w:t>杨海群</w:t>
            </w:r>
            <w:r>
              <w:rPr>
                <w:rFonts w:hint="eastAsia"/>
                <w:color w:val="auto"/>
                <w:highlight w:val="none"/>
              </w:rPr>
              <w:t xml:space="preserve">    联系电话：</w:t>
            </w:r>
            <w:r>
              <w:rPr>
                <w:rFonts w:hint="eastAsia"/>
                <w:color w:val="auto"/>
                <w:highlight w:val="none"/>
                <w:lang w:val="en-US" w:eastAsia="zh-CN"/>
              </w:rPr>
              <w:t>39081066</w:t>
            </w:r>
            <w:r>
              <w:rPr>
                <w:rFonts w:ascii="宋体" w:hAnsi="宋体"/>
                <w:color w:val="auto"/>
                <w:szCs w:val="21"/>
                <w:highlight w:val="none"/>
              </w:rPr>
              <w:t xml:space="preserve"> </w:t>
            </w:r>
          </w:p>
          <w:p>
            <w:pPr>
              <w:snapToGrid w:val="0"/>
              <w:spacing w:before="156" w:beforeLines="50" w:line="360" w:lineRule="auto"/>
              <w:rPr>
                <w:rFonts w:ascii="宋体" w:hAnsi="宋体"/>
                <w:color w:val="auto"/>
                <w:szCs w:val="21"/>
                <w:highlight w:val="none"/>
              </w:rPr>
            </w:pPr>
            <w:r>
              <w:rPr>
                <w:rFonts w:hint="eastAsia" w:ascii="宋体" w:hAnsi="宋体"/>
                <w:color w:val="auto"/>
                <w:szCs w:val="21"/>
                <w:highlight w:val="none"/>
              </w:rPr>
              <w:t xml:space="preserve">地 </w:t>
            </w:r>
            <w:r>
              <w:rPr>
                <w:rFonts w:ascii="宋体" w:hAnsi="宋体"/>
                <w:color w:val="auto"/>
                <w:szCs w:val="21"/>
                <w:highlight w:val="none"/>
              </w:rPr>
              <w:t xml:space="preserve"> </w:t>
            </w:r>
            <w:r>
              <w:rPr>
                <w:rFonts w:hint="eastAsia" w:ascii="宋体" w:hAnsi="宋体"/>
                <w:color w:val="auto"/>
                <w:szCs w:val="21"/>
                <w:highlight w:val="none"/>
              </w:rPr>
              <w:t>点：</w:t>
            </w:r>
            <w:r>
              <w:rPr>
                <w:rFonts w:hint="eastAsia" w:ascii="宋体" w:hAnsi="宋体"/>
                <w:color w:val="auto"/>
                <w:szCs w:val="21"/>
                <w:highlight w:val="none"/>
              </w:rPr>
              <w:t>南沙</w:t>
            </w:r>
            <w:r>
              <w:rPr>
                <w:rFonts w:hint="eastAsia" w:ascii="宋体" w:hAnsi="宋体"/>
                <w:color w:val="auto"/>
                <w:szCs w:val="21"/>
                <w:highlight w:val="none"/>
                <w:lang w:val="en-US" w:eastAsia="zh-CN"/>
              </w:rPr>
              <w:t>天后宫旅游公司206评标室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21</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5908" w:type="dxa"/>
            <w:vAlign w:val="center"/>
          </w:tcPr>
          <w:p>
            <w:pPr>
              <w:adjustRightInd w:val="0"/>
              <w:snapToGrid w:val="0"/>
              <w:spacing w:before="156" w:beforeLines="50"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开始接收投标文件时间：</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年</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17</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 xml:space="preserve">9 </w:t>
            </w:r>
            <w:r>
              <w:rPr>
                <w:rFonts w:hint="eastAsia" w:ascii="宋体" w:hAnsi="宋体" w:cs="宋体"/>
                <w:color w:val="auto"/>
                <w:kern w:val="0"/>
                <w:szCs w:val="21"/>
                <w:highlight w:val="none"/>
                <w:u w:val="single"/>
              </w:rPr>
              <w:t>时</w:t>
            </w:r>
            <w:r>
              <w:rPr>
                <w:rFonts w:hint="eastAsia" w:ascii="宋体" w:hAnsi="宋体" w:cs="宋体"/>
                <w:color w:val="auto"/>
                <w:kern w:val="0"/>
                <w:szCs w:val="21"/>
                <w:highlight w:val="none"/>
                <w:u w:val="single"/>
                <w:lang w:val="en-US" w:eastAsia="zh-CN"/>
              </w:rPr>
              <w:t>3</w:t>
            </w:r>
            <w:r>
              <w:rPr>
                <w:rFonts w:hint="eastAsia" w:ascii="宋体" w:hAnsi="宋体" w:cs="宋体"/>
                <w:color w:val="auto"/>
                <w:szCs w:val="21"/>
                <w:highlight w:val="none"/>
                <w:u w:val="single"/>
                <w:lang w:val="en-US" w:eastAsia="zh-CN"/>
              </w:rPr>
              <w:t xml:space="preserve">0 </w:t>
            </w:r>
            <w:r>
              <w:rPr>
                <w:rFonts w:hint="eastAsia" w:ascii="宋体" w:hAnsi="宋体" w:cs="宋体"/>
                <w:color w:val="auto"/>
                <w:kern w:val="0"/>
                <w:szCs w:val="21"/>
                <w:highlight w:val="none"/>
                <w:u w:val="single"/>
              </w:rPr>
              <w:t>分</w:t>
            </w:r>
            <w:r>
              <w:rPr>
                <w:rFonts w:hint="eastAsia" w:ascii="宋体" w:hAnsi="宋体" w:cs="宋体"/>
                <w:color w:val="auto"/>
                <w:kern w:val="0"/>
                <w:szCs w:val="21"/>
                <w:highlight w:val="none"/>
              </w:rPr>
              <w:t>。</w:t>
            </w:r>
          </w:p>
          <w:p>
            <w:pPr>
              <w:adjustRightInd w:val="0"/>
              <w:snapToGrid w:val="0"/>
              <w:spacing w:before="156" w:beforeLines="50"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 xml:space="preserve">2 </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17</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 xml:space="preserve">00 </w:t>
            </w:r>
            <w:r>
              <w:rPr>
                <w:rFonts w:hint="eastAsia" w:ascii="宋体" w:hAnsi="宋体"/>
                <w:color w:val="auto"/>
                <w:szCs w:val="21"/>
                <w:highlight w:val="none"/>
                <w:u w:val="single"/>
              </w:rPr>
              <w:t>分</w:t>
            </w:r>
            <w:r>
              <w:rPr>
                <w:rFonts w:hint="eastAsia" w:ascii="宋体" w:hAnsi="宋体" w:cs="宋体"/>
                <w:color w:val="auto"/>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22</w:t>
            </w:r>
          </w:p>
        </w:tc>
        <w:tc>
          <w:tcPr>
            <w:tcW w:w="2816"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开标时间和地点</w:t>
            </w:r>
          </w:p>
        </w:tc>
        <w:tc>
          <w:tcPr>
            <w:tcW w:w="5908" w:type="dxa"/>
            <w:vAlign w:val="center"/>
          </w:tcPr>
          <w:p>
            <w:pPr>
              <w:snapToGrid w:val="0"/>
              <w:spacing w:before="156" w:beforeLines="50" w:line="360" w:lineRule="auto"/>
              <w:rPr>
                <w:color w:val="auto"/>
                <w:szCs w:val="21"/>
                <w:highlight w:val="none"/>
              </w:rPr>
            </w:pPr>
            <w:r>
              <w:rPr>
                <w:rFonts w:hint="eastAsia"/>
                <w:color w:val="auto"/>
                <w:szCs w:val="21"/>
                <w:highlight w:val="none"/>
              </w:rPr>
              <w:t>本项目资格审查文件、</w:t>
            </w:r>
            <w:r>
              <w:rPr>
                <w:rFonts w:hint="eastAsia"/>
                <w:color w:val="auto"/>
                <w:szCs w:val="21"/>
                <w:highlight w:val="none"/>
                <w:lang w:eastAsia="zh-CN"/>
              </w:rPr>
              <w:t>工程施工总承包实施方案</w:t>
            </w:r>
            <w:r>
              <w:rPr>
                <w:rFonts w:hint="eastAsia"/>
                <w:color w:val="auto"/>
                <w:szCs w:val="21"/>
                <w:highlight w:val="none"/>
              </w:rPr>
              <w:t>（含资信部分）文件、投标报价文件同时开启。</w:t>
            </w:r>
          </w:p>
          <w:p>
            <w:pPr>
              <w:snapToGrid w:val="0"/>
              <w:spacing w:before="156" w:beforeLines="50" w:line="360" w:lineRule="auto"/>
              <w:rPr>
                <w:rFonts w:ascii="宋体" w:hAnsi="宋体"/>
                <w:color w:val="auto"/>
                <w:szCs w:val="21"/>
                <w:highlight w:val="none"/>
              </w:rPr>
            </w:pPr>
            <w:r>
              <w:rPr>
                <w:rFonts w:hint="eastAsia" w:ascii="宋体" w:hAnsi="宋体"/>
                <w:color w:val="auto"/>
                <w:szCs w:val="21"/>
                <w:highlight w:val="none"/>
              </w:rPr>
              <w:t>开</w:t>
            </w:r>
            <w:r>
              <w:rPr>
                <w:rFonts w:hint="eastAsia" w:ascii="宋体" w:hAnsi="宋体"/>
                <w:color w:val="auto"/>
                <w:szCs w:val="21"/>
                <w:highlight w:val="none"/>
              </w:rPr>
              <w:t>标时间：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17</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 xml:space="preserve">00 </w:t>
            </w:r>
            <w:r>
              <w:rPr>
                <w:rFonts w:hint="eastAsia" w:ascii="宋体" w:hAnsi="宋体"/>
                <w:color w:val="auto"/>
                <w:szCs w:val="21"/>
                <w:highlight w:val="none"/>
                <w:u w:val="single"/>
              </w:rPr>
              <w:t>分</w:t>
            </w:r>
          </w:p>
          <w:p>
            <w:pPr>
              <w:pStyle w:val="20"/>
              <w:snapToGrid w:val="0"/>
              <w:spacing w:before="156" w:beforeLines="50" w:line="360" w:lineRule="auto"/>
              <w:rPr>
                <w:color w:val="auto"/>
                <w:sz w:val="21"/>
                <w:szCs w:val="21"/>
                <w:highlight w:val="none"/>
              </w:rPr>
            </w:pPr>
            <w:r>
              <w:rPr>
                <w:rFonts w:hint="eastAsia" w:ascii="宋体" w:hAnsi="宋体"/>
                <w:color w:val="auto"/>
                <w:sz w:val="21"/>
                <w:szCs w:val="21"/>
                <w:highlight w:val="none"/>
              </w:rPr>
              <w:t>开标地点：</w:t>
            </w:r>
            <w:r>
              <w:rPr>
                <w:rFonts w:hint="eastAsia" w:ascii="宋体" w:hAnsi="宋体"/>
                <w:color w:val="auto"/>
                <w:szCs w:val="21"/>
                <w:highlight w:val="none"/>
              </w:rPr>
              <w:t>南沙</w:t>
            </w:r>
            <w:r>
              <w:rPr>
                <w:rFonts w:hint="eastAsia" w:ascii="宋体" w:hAnsi="宋体"/>
                <w:color w:val="auto"/>
                <w:szCs w:val="21"/>
                <w:highlight w:val="none"/>
                <w:lang w:val="en-US" w:eastAsia="zh-CN"/>
              </w:rPr>
              <w:t>天后宫旅游公司206评标室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23</w:t>
            </w:r>
          </w:p>
        </w:tc>
        <w:tc>
          <w:tcPr>
            <w:tcW w:w="2816" w:type="dxa"/>
            <w:vAlign w:val="center"/>
          </w:tcPr>
          <w:p>
            <w:pPr>
              <w:adjustRightInd w:val="0"/>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开标评标办法</w:t>
            </w:r>
          </w:p>
        </w:tc>
        <w:tc>
          <w:tcPr>
            <w:tcW w:w="5908" w:type="dxa"/>
            <w:vAlign w:val="center"/>
          </w:tcPr>
          <w:p>
            <w:pPr>
              <w:snapToGrid w:val="0"/>
              <w:spacing w:before="156" w:beforeLines="50" w:line="360" w:lineRule="auto"/>
              <w:rPr>
                <w:color w:val="auto"/>
                <w:szCs w:val="21"/>
                <w:highlight w:val="none"/>
              </w:rPr>
            </w:pPr>
            <w:r>
              <w:rPr>
                <w:rFonts w:hint="eastAsia" w:ascii="Times New Roman" w:hAnsi="Times New Roman"/>
                <w:color w:val="auto"/>
                <w:szCs w:val="21"/>
                <w:highlight w:val="none"/>
              </w:rPr>
              <w:t>综合评</w:t>
            </w:r>
            <w:r>
              <w:rPr>
                <w:rFonts w:hint="eastAsia" w:ascii="Times New Roman" w:hAnsi="Times New Roman"/>
                <w:color w:val="auto"/>
                <w:szCs w:val="21"/>
                <w:highlight w:val="none"/>
                <w:lang w:val="en-US" w:eastAsia="zh-CN"/>
              </w:rPr>
              <w:t>分</w:t>
            </w:r>
            <w:r>
              <w:rPr>
                <w:rFonts w:hint="eastAsia" w:ascii="Times New Roman" w:hAnsi="Times New Roman"/>
                <w:color w:val="auto"/>
                <w:szCs w:val="21"/>
                <w:highlight w:val="none"/>
              </w:rPr>
              <w:t>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color w:val="auto"/>
                <w:szCs w:val="21"/>
                <w:highlight w:val="none"/>
              </w:rPr>
            </w:pPr>
            <w:r>
              <w:rPr>
                <w:rFonts w:hint="eastAsia" w:ascii="宋体" w:hAnsi="宋体"/>
                <w:color w:val="auto"/>
                <w:szCs w:val="21"/>
                <w:highlight w:val="none"/>
              </w:rPr>
              <w:t>24</w:t>
            </w:r>
          </w:p>
        </w:tc>
        <w:tc>
          <w:tcPr>
            <w:tcW w:w="2816" w:type="dxa"/>
            <w:vAlign w:val="center"/>
          </w:tcPr>
          <w:p>
            <w:pPr>
              <w:snapToGrid w:val="0"/>
              <w:spacing w:before="156" w:beforeLines="50" w:line="360" w:lineRule="auto"/>
              <w:jc w:val="center"/>
              <w:rPr>
                <w:color w:val="auto"/>
                <w:szCs w:val="21"/>
                <w:highlight w:val="none"/>
              </w:rPr>
            </w:pPr>
            <w:r>
              <w:rPr>
                <w:rFonts w:hint="eastAsia"/>
                <w:color w:val="auto"/>
                <w:szCs w:val="21"/>
                <w:highlight w:val="none"/>
              </w:rPr>
              <w:t>招标控制价</w:t>
            </w:r>
          </w:p>
        </w:tc>
        <w:tc>
          <w:tcPr>
            <w:tcW w:w="5908" w:type="dxa"/>
            <w:vAlign w:val="center"/>
          </w:tcPr>
          <w:p>
            <w:pPr>
              <w:snapToGrid w:val="0"/>
              <w:spacing w:before="156" w:beforeLines="50" w:line="360" w:lineRule="auto"/>
              <w:rPr>
                <w:rFonts w:ascii="宋体" w:hAnsi="宋体"/>
                <w:color w:val="auto"/>
                <w:szCs w:val="21"/>
                <w:highlight w:val="none"/>
              </w:rPr>
            </w:pPr>
            <w:r>
              <w:rPr>
                <w:rFonts w:hint="eastAsia" w:ascii="宋体" w:hAnsi="宋体"/>
                <w:color w:val="auto"/>
                <w:szCs w:val="21"/>
                <w:highlight w:val="none"/>
              </w:rPr>
              <w:t>项目最高招标限价为：人民币</w:t>
            </w:r>
            <w:r>
              <w:rPr>
                <w:rFonts w:hint="eastAsia" w:ascii="宋体" w:hAnsi="宋体"/>
                <w:color w:val="auto"/>
                <w:szCs w:val="21"/>
                <w:highlight w:val="none"/>
                <w:u w:val="single"/>
                <w:lang w:val="en-US" w:eastAsia="zh-CN"/>
              </w:rPr>
              <w:t xml:space="preserve">  447204.74  </w:t>
            </w:r>
            <w:r>
              <w:rPr>
                <w:rFonts w:hint="eastAsia" w:ascii="宋体" w:hAnsi="宋体"/>
                <w:color w:val="auto"/>
                <w:szCs w:val="21"/>
                <w:highlight w:val="none"/>
              </w:rPr>
              <w:t>元。</w:t>
            </w:r>
          </w:p>
          <w:p>
            <w:pPr>
              <w:snapToGrid w:val="0"/>
              <w:spacing w:line="360" w:lineRule="auto"/>
              <w:rPr>
                <w:rFonts w:ascii="宋体" w:hAnsi="宋体"/>
                <w:color w:val="auto"/>
                <w:szCs w:val="21"/>
                <w:highlight w:val="none"/>
              </w:rPr>
            </w:pPr>
            <w:r>
              <w:rPr>
                <w:rFonts w:hint="eastAsia" w:ascii="宋体" w:hAnsi="宋体"/>
                <w:color w:val="auto"/>
                <w:szCs w:val="21"/>
                <w:highlight w:val="none"/>
              </w:rPr>
              <w:t>投标总报价、施工费超过招标控制价的投标文件均作废标处理。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bCs/>
                <w:color w:val="auto"/>
                <w:szCs w:val="21"/>
                <w:highlight w:val="none"/>
              </w:rPr>
            </w:pPr>
            <w:r>
              <w:rPr>
                <w:rFonts w:hint="eastAsia" w:ascii="宋体" w:hAnsi="宋体"/>
                <w:bCs/>
                <w:color w:val="auto"/>
                <w:szCs w:val="21"/>
                <w:highlight w:val="none"/>
              </w:rPr>
              <w:t>25</w:t>
            </w:r>
          </w:p>
        </w:tc>
        <w:tc>
          <w:tcPr>
            <w:tcW w:w="2816" w:type="dxa"/>
            <w:vAlign w:val="center"/>
          </w:tcPr>
          <w:p>
            <w:pPr>
              <w:adjustRightInd w:val="0"/>
              <w:snapToGrid w:val="0"/>
              <w:spacing w:before="156" w:beforeLines="50" w:line="360" w:lineRule="auto"/>
              <w:jc w:val="center"/>
              <w:rPr>
                <w:rFonts w:ascii="宋体" w:hAnsi="宋体"/>
                <w:color w:val="auto"/>
                <w:szCs w:val="21"/>
                <w:highlight w:val="none"/>
              </w:rPr>
            </w:pPr>
            <w:r>
              <w:rPr>
                <w:rFonts w:ascii="宋体" w:hAnsi="宋体"/>
                <w:color w:val="auto"/>
                <w:szCs w:val="21"/>
                <w:highlight w:val="none"/>
              </w:rPr>
              <w:t>投标保证金</w:t>
            </w:r>
          </w:p>
        </w:tc>
        <w:tc>
          <w:tcPr>
            <w:tcW w:w="5908" w:type="dxa"/>
            <w:vAlign w:val="center"/>
          </w:tcPr>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w:t>
            </w:r>
            <w:r>
              <w:rPr>
                <w:rFonts w:hint="eastAsia" w:asciiTheme="minorEastAsia" w:hAnsiTheme="minorEastAsia" w:eastAsiaTheme="minorEastAsia"/>
                <w:color w:val="auto"/>
                <w:szCs w:val="21"/>
                <w:highlight w:val="none"/>
              </w:rPr>
              <w:t>标保</w:t>
            </w:r>
            <w:r>
              <w:rPr>
                <w:rFonts w:hint="eastAsia" w:asciiTheme="minorEastAsia" w:hAnsiTheme="minorEastAsia" w:eastAsiaTheme="minorEastAsia"/>
                <w:color w:val="auto"/>
                <w:szCs w:val="21"/>
                <w:highlight w:val="none"/>
                <w:lang w:eastAsia="zh-CN"/>
              </w:rPr>
              <w:t>证</w:t>
            </w:r>
            <w:r>
              <w:rPr>
                <w:rFonts w:hint="eastAsia" w:asciiTheme="minorEastAsia" w:hAnsiTheme="minorEastAsia" w:eastAsiaTheme="minorEastAsia"/>
                <w:color w:val="auto"/>
                <w:szCs w:val="21"/>
                <w:highlight w:val="none"/>
              </w:rPr>
              <w:t>的金额：人民币</w:t>
            </w:r>
            <w:r>
              <w:rPr>
                <w:rFonts w:hint="eastAsia" w:asciiTheme="minorEastAsia" w:hAnsiTheme="minorEastAsia" w:eastAsiaTheme="minorEastAsia"/>
                <w:color w:val="auto"/>
                <w:szCs w:val="21"/>
                <w:highlight w:val="none"/>
                <w:u w:val="single"/>
                <w:lang w:val="en-US" w:eastAsia="zh-CN"/>
              </w:rPr>
              <w:t>伍千</w:t>
            </w:r>
            <w:r>
              <w:rPr>
                <w:rFonts w:hint="eastAsia" w:asciiTheme="minorEastAsia" w:hAnsiTheme="minorEastAsia" w:eastAsiaTheme="minorEastAsia"/>
                <w:color w:val="auto"/>
                <w:szCs w:val="21"/>
                <w:highlight w:val="none"/>
              </w:rPr>
              <w:t>元。</w:t>
            </w:r>
          </w:p>
          <w:p>
            <w:pPr>
              <w:adjustRightInd w:val="0"/>
              <w:snapToGrid w:val="0"/>
              <w:spacing w:line="360" w:lineRule="auto"/>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2、缴纳方式：</w:t>
            </w:r>
            <w:r>
              <w:rPr>
                <w:rFonts w:hint="eastAsia" w:asciiTheme="minorEastAsia" w:hAnsiTheme="minorEastAsia" w:eastAsiaTheme="minorEastAsia"/>
                <w:color w:val="auto"/>
                <w:szCs w:val="21"/>
                <w:highlight w:val="none"/>
                <w:lang w:val="en-US" w:eastAsia="zh-CN"/>
              </w:rPr>
              <w:t>转账</w:t>
            </w:r>
          </w:p>
          <w:p>
            <w:pPr>
              <w:pStyle w:val="20"/>
              <w:snapToGrid w:val="0"/>
              <w:spacing w:line="360" w:lineRule="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账户名称</w:t>
            </w:r>
            <w:r>
              <w:rPr>
                <w:rFonts w:hint="eastAsia" w:ascii="宋体" w:hAnsi="宋体"/>
                <w:color w:val="auto"/>
                <w:sz w:val="21"/>
                <w:szCs w:val="21"/>
                <w:highlight w:val="none"/>
              </w:rPr>
              <w:t>：</w:t>
            </w:r>
            <w:r>
              <w:rPr>
                <w:rFonts w:hint="eastAsia" w:ascii="宋体" w:hAnsi="宋体" w:cs="宋体"/>
                <w:color w:val="auto"/>
                <w:sz w:val="21"/>
                <w:szCs w:val="21"/>
                <w:highlight w:val="none"/>
              </w:rPr>
              <w:t>广州南沙湿地旅游发展有限公司</w:t>
            </w:r>
          </w:p>
          <w:p>
            <w:pPr>
              <w:pStyle w:val="20"/>
              <w:snapToGrid w:val="0"/>
              <w:spacing w:line="360" w:lineRule="auto"/>
              <w:rPr>
                <w:rFonts w:hint="eastAsia" w:ascii="宋体" w:hAnsi="宋体" w:eastAsia="宋体" w:cs="宋体"/>
                <w:color w:val="auto"/>
                <w:sz w:val="21"/>
                <w:szCs w:val="21"/>
                <w:highlight w:val="none"/>
                <w:lang w:eastAsia="zh-CN"/>
              </w:rPr>
            </w:pPr>
            <w:r>
              <w:rPr>
                <w:rFonts w:hint="eastAsia" w:ascii="宋体" w:hAnsi="宋体"/>
                <w:color w:val="auto"/>
                <w:sz w:val="21"/>
                <w:szCs w:val="21"/>
                <w:highlight w:val="none"/>
              </w:rPr>
              <w:t>开户银行</w:t>
            </w:r>
            <w:r>
              <w:rPr>
                <w:rFonts w:hint="eastAsia" w:ascii="宋体" w:hAnsi="宋体"/>
                <w:color w:val="auto"/>
                <w:sz w:val="21"/>
                <w:szCs w:val="21"/>
                <w:highlight w:val="none"/>
              </w:rPr>
              <w:t>：</w:t>
            </w:r>
            <w:r>
              <w:rPr>
                <w:rFonts w:hint="eastAsia" w:ascii="宋体" w:hAnsi="宋体" w:cs="宋体"/>
                <w:color w:val="auto"/>
                <w:sz w:val="21"/>
                <w:szCs w:val="21"/>
                <w:highlight w:val="none"/>
              </w:rPr>
              <w:t>广州农村商业银行十四冲支行</w:t>
            </w:r>
            <w:r>
              <w:rPr>
                <w:rFonts w:hint="eastAsia" w:ascii="宋体" w:hAnsi="宋体" w:cs="宋体"/>
                <w:color w:val="auto"/>
                <w:sz w:val="21"/>
                <w:szCs w:val="21"/>
                <w:highlight w:val="none"/>
                <w:lang w:val="en-US" w:eastAsia="zh-CN"/>
              </w:rPr>
              <w:t xml:space="preserve"> </w:t>
            </w:r>
          </w:p>
          <w:p>
            <w:pPr>
              <w:pStyle w:val="20"/>
              <w:snapToGrid w:val="0"/>
              <w:spacing w:line="360" w:lineRule="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rPr>
              <w:t>：</w:t>
            </w:r>
            <w:r>
              <w:rPr>
                <w:rFonts w:hint="eastAsia" w:ascii="宋体" w:hAnsi="宋体" w:cs="宋体"/>
                <w:color w:val="auto"/>
                <w:sz w:val="21"/>
                <w:szCs w:val="21"/>
                <w:highlight w:val="none"/>
              </w:rPr>
              <w:t>05621949000000074</w:t>
            </w:r>
          </w:p>
          <w:p>
            <w:pPr>
              <w:adjustRightInd w:val="0"/>
              <w:snapToGrid w:val="0"/>
              <w:spacing w:line="360"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缴纳时间：投标单位须在</w:t>
            </w:r>
            <w:r>
              <w:rPr>
                <w:rFonts w:hint="eastAsia" w:asciiTheme="minorEastAsia" w:hAnsiTheme="minorEastAsia" w:eastAsiaTheme="minorEastAsia"/>
                <w:color w:val="auto"/>
                <w:szCs w:val="21"/>
                <w:highlight w:val="none"/>
                <w:u w:val="single"/>
              </w:rPr>
              <w:t>202</w:t>
            </w:r>
            <w:r>
              <w:rPr>
                <w:rFonts w:hint="eastAsia" w:asciiTheme="minorEastAsia" w:hAnsiTheme="minorEastAsia" w:eastAsiaTheme="minorEastAsia"/>
                <w:color w:val="auto"/>
                <w:szCs w:val="21"/>
                <w:highlight w:val="none"/>
                <w:u w:val="single"/>
                <w:lang w:val="en-US" w:eastAsia="zh-CN"/>
              </w:rPr>
              <w:t>3</w:t>
            </w:r>
            <w:r>
              <w:rPr>
                <w:rFonts w:hint="eastAsia" w:asciiTheme="minorEastAsia" w:hAnsiTheme="minorEastAsia" w:eastAsiaTheme="minorEastAsia"/>
                <w:color w:val="auto"/>
                <w:szCs w:val="21"/>
                <w:highlight w:val="none"/>
                <w:u w:val="single"/>
              </w:rPr>
              <w:t>年</w:t>
            </w:r>
            <w:r>
              <w:rPr>
                <w:rFonts w:hint="eastAsia" w:asciiTheme="minorEastAsia" w:hAnsiTheme="minorEastAsia" w:eastAsiaTheme="minorEastAsia"/>
                <w:color w:val="auto"/>
                <w:szCs w:val="21"/>
                <w:highlight w:val="none"/>
                <w:u w:val="single"/>
                <w:lang w:val="en-US" w:eastAsia="zh-CN"/>
              </w:rPr>
              <w:t>2</w:t>
            </w:r>
            <w:r>
              <w:rPr>
                <w:rFonts w:hint="eastAsia" w:asciiTheme="minorEastAsia" w:hAnsiTheme="minorEastAsia" w:eastAsiaTheme="minorEastAsia"/>
                <w:color w:val="auto"/>
                <w:szCs w:val="21"/>
                <w:highlight w:val="none"/>
                <w:u w:val="single"/>
              </w:rPr>
              <w:t>月</w:t>
            </w:r>
            <w:r>
              <w:rPr>
                <w:rFonts w:hint="eastAsia" w:asciiTheme="minorEastAsia" w:hAnsiTheme="minorEastAsia" w:eastAsiaTheme="minorEastAsia"/>
                <w:color w:val="auto"/>
                <w:szCs w:val="21"/>
                <w:highlight w:val="none"/>
                <w:u w:val="single"/>
                <w:lang w:val="en-US" w:eastAsia="zh-CN"/>
              </w:rPr>
              <w:t xml:space="preserve">16 </w:t>
            </w:r>
            <w:r>
              <w:rPr>
                <w:rFonts w:hint="eastAsia" w:asciiTheme="minorEastAsia" w:hAnsiTheme="minorEastAsia" w:eastAsiaTheme="minorEastAsia"/>
                <w:color w:val="auto"/>
                <w:szCs w:val="21"/>
                <w:highlight w:val="none"/>
                <w:u w:val="single"/>
              </w:rPr>
              <w:t>日</w:t>
            </w:r>
            <w:r>
              <w:rPr>
                <w:rFonts w:hint="eastAsia" w:asciiTheme="minorEastAsia" w:hAnsiTheme="minorEastAsia" w:eastAsiaTheme="minorEastAsia"/>
                <w:color w:val="auto"/>
                <w:szCs w:val="21"/>
                <w:highlight w:val="none"/>
                <w:u w:val="single"/>
                <w:lang w:val="en-US" w:eastAsia="zh-CN"/>
              </w:rPr>
              <w:t>17时</w:t>
            </w:r>
            <w:r>
              <w:rPr>
                <w:rFonts w:hint="eastAsia" w:asciiTheme="minorEastAsia" w:hAnsiTheme="minorEastAsia" w:eastAsiaTheme="minorEastAsia"/>
                <w:color w:val="auto"/>
                <w:szCs w:val="21"/>
                <w:highlight w:val="none"/>
              </w:rPr>
              <w:t>前以</w:t>
            </w:r>
            <w:r>
              <w:rPr>
                <w:rFonts w:hint="eastAsia"/>
                <w:color w:val="auto"/>
                <w:szCs w:val="21"/>
                <w:highlight w:val="none"/>
              </w:rPr>
              <w:t>投标人转出【以招标单位查询的信息为准，汇款时备注：</w:t>
            </w:r>
            <w:r>
              <w:rPr>
                <w:rFonts w:hint="eastAsia" w:ascii="宋体" w:hAnsi="宋体" w:cs="宋体"/>
                <w:color w:val="auto"/>
                <w:szCs w:val="21"/>
                <w:highlight w:val="none"/>
                <w:lang w:eastAsia="zh-CN"/>
              </w:rPr>
              <w:t>湿地二期艺术区提升绿化景观项目</w:t>
            </w:r>
            <w:r>
              <w:rPr>
                <w:rFonts w:hint="eastAsia" w:asciiTheme="minorEastAsia" w:hAnsiTheme="minorEastAsia" w:eastAsiaTheme="minorEastAsia"/>
                <w:color w:val="auto"/>
                <w:szCs w:val="21"/>
                <w:highlight w:val="none"/>
              </w:rPr>
              <w:t>投标保证金】</w:t>
            </w:r>
          </w:p>
          <w:p>
            <w:pPr>
              <w:adjustRightInd w:val="0"/>
              <w:snapToGrid w:val="0"/>
              <w:spacing w:line="360" w:lineRule="auto"/>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4、未按规定缴纳投标保证金的正式投标人将被视为自动放弃本工程的投标资格。</w:t>
            </w:r>
          </w:p>
          <w:p>
            <w:pPr>
              <w:numPr>
                <w:ilvl w:val="0"/>
                <w:numId w:val="0"/>
              </w:numPr>
              <w:adjustRightInd w:val="0"/>
              <w:snapToGrid w:val="0"/>
              <w:spacing w:line="360" w:lineRule="auto"/>
              <w:rPr>
                <w:rFonts w:hint="eastAsia" w:eastAsia="宋体"/>
                <w:color w:val="auto"/>
                <w:szCs w:val="21"/>
                <w:highlight w:val="none"/>
                <w:lang w:val="en-US" w:eastAsia="zh-CN"/>
              </w:rPr>
            </w:pPr>
            <w:r>
              <w:rPr>
                <w:rFonts w:hint="eastAsia"/>
                <w:color w:val="auto"/>
                <w:szCs w:val="21"/>
                <w:highlight w:val="none"/>
                <w:lang w:val="en-US" w:eastAsia="zh-CN"/>
              </w:rPr>
              <w:t>5、招标人在中标通知书发出后10个工作日内无息退还未中标投标人的投标保证金，在合同签订后10个工作日内无息退还中标投标人的投标保证金。所有投标人的投标保证金以转账的方式予以退还。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156" w:beforeLines="50" w:line="360" w:lineRule="auto"/>
              <w:jc w:val="center"/>
              <w:rPr>
                <w:rFonts w:ascii="宋体" w:hAnsi="宋体"/>
                <w:bCs/>
                <w:color w:val="auto"/>
                <w:szCs w:val="21"/>
                <w:highlight w:val="none"/>
              </w:rPr>
            </w:pPr>
            <w:r>
              <w:rPr>
                <w:rFonts w:hint="eastAsia" w:ascii="宋体" w:hAnsi="宋体"/>
                <w:bCs/>
                <w:color w:val="auto"/>
                <w:szCs w:val="21"/>
                <w:highlight w:val="none"/>
              </w:rPr>
              <w:t>26</w:t>
            </w:r>
          </w:p>
        </w:tc>
        <w:tc>
          <w:tcPr>
            <w:tcW w:w="2816" w:type="dxa"/>
            <w:vAlign w:val="center"/>
          </w:tcPr>
          <w:p>
            <w:pPr>
              <w:pStyle w:val="37"/>
              <w:adjustRightInd w:val="0"/>
              <w:snapToGrid w:val="0"/>
              <w:spacing w:before="156" w:beforeLines="50" w:after="0" w:line="360" w:lineRule="auto"/>
              <w:ind w:firstLine="0"/>
              <w:jc w:val="center"/>
              <w:rPr>
                <w:rFonts w:ascii="宋体" w:hAnsi="宋体"/>
                <w:bCs/>
                <w:color w:val="auto"/>
                <w:szCs w:val="21"/>
                <w:highlight w:val="none"/>
              </w:rPr>
            </w:pPr>
            <w:r>
              <w:rPr>
                <w:rFonts w:hint="eastAsia" w:ascii="宋体" w:hAnsi="宋体"/>
                <w:color w:val="auto"/>
                <w:szCs w:val="21"/>
                <w:highlight w:val="none"/>
              </w:rPr>
              <w:t>保修期</w:t>
            </w:r>
          </w:p>
        </w:tc>
        <w:tc>
          <w:tcPr>
            <w:tcW w:w="5908" w:type="dxa"/>
            <w:vAlign w:val="center"/>
          </w:tcPr>
          <w:p>
            <w:pPr>
              <w:adjustRightInd w:val="0"/>
              <w:snapToGrid w:val="0"/>
              <w:spacing w:before="156" w:beforeLines="50" w:line="360" w:lineRule="auto"/>
              <w:rPr>
                <w:rFonts w:ascii="宋体" w:hAnsi="宋体"/>
                <w:bCs/>
                <w:color w:val="auto"/>
                <w:szCs w:val="21"/>
                <w:highlight w:val="none"/>
              </w:rPr>
            </w:pPr>
            <w:r>
              <w:rPr>
                <w:rFonts w:hint="eastAsia" w:ascii="宋体" w:hAnsi="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165" w:type="dxa"/>
            <w:vAlign w:val="center"/>
          </w:tcPr>
          <w:p>
            <w:pPr>
              <w:adjustRightInd w:val="0"/>
              <w:snapToGrid w:val="0"/>
              <w:spacing w:before="156" w:beforeLines="50" w:line="360" w:lineRule="auto"/>
              <w:jc w:val="center"/>
              <w:rPr>
                <w:rFonts w:ascii="宋体" w:hAnsi="宋体"/>
                <w:bCs/>
                <w:color w:val="auto"/>
                <w:szCs w:val="21"/>
                <w:highlight w:val="none"/>
              </w:rPr>
            </w:pPr>
            <w:r>
              <w:rPr>
                <w:rFonts w:hint="eastAsia" w:ascii="宋体" w:hAnsi="宋体"/>
                <w:bCs/>
                <w:color w:val="auto"/>
                <w:szCs w:val="21"/>
                <w:highlight w:val="none"/>
              </w:rPr>
              <w:t>27</w:t>
            </w:r>
          </w:p>
        </w:tc>
        <w:tc>
          <w:tcPr>
            <w:tcW w:w="2816" w:type="dxa"/>
            <w:vAlign w:val="center"/>
          </w:tcPr>
          <w:p>
            <w:pPr>
              <w:adjustRightInd w:val="0"/>
              <w:snapToGrid w:val="0"/>
              <w:spacing w:before="156" w:beforeLines="50" w:line="360" w:lineRule="auto"/>
              <w:jc w:val="center"/>
              <w:rPr>
                <w:rFonts w:ascii="宋体" w:hAnsi="宋体"/>
                <w:bCs/>
                <w:color w:val="auto"/>
                <w:szCs w:val="21"/>
                <w:highlight w:val="none"/>
              </w:rPr>
            </w:pPr>
            <w:r>
              <w:rPr>
                <w:rFonts w:hint="eastAsia" w:ascii="宋体" w:hAnsi="宋体"/>
                <w:bCs/>
                <w:color w:val="auto"/>
                <w:szCs w:val="21"/>
                <w:highlight w:val="none"/>
              </w:rPr>
              <w:t>其他</w:t>
            </w:r>
          </w:p>
        </w:tc>
        <w:tc>
          <w:tcPr>
            <w:tcW w:w="5908" w:type="dxa"/>
            <w:vAlign w:val="center"/>
          </w:tcPr>
          <w:p>
            <w:pPr>
              <w:autoSpaceDE w:val="0"/>
              <w:autoSpaceDN w:val="0"/>
              <w:adjustRightInd w:val="0"/>
              <w:snapToGrid w:val="0"/>
              <w:spacing w:before="156" w:beforeLines="50" w:line="360" w:lineRule="auto"/>
              <w:jc w:val="left"/>
              <w:rPr>
                <w:rFonts w:ascii="宋体" w:hAnsi="宋体"/>
                <w:bCs/>
                <w:color w:val="auto"/>
                <w:szCs w:val="21"/>
                <w:highlight w:val="none"/>
              </w:rPr>
            </w:pPr>
            <w:r>
              <w:rPr>
                <w:rFonts w:hint="eastAsia" w:ascii="宋体" w:hAnsi="宋体"/>
                <w:color w:val="auto"/>
                <w:szCs w:val="21"/>
                <w:highlight w:val="none"/>
              </w:rPr>
              <w:t>/</w:t>
            </w:r>
          </w:p>
        </w:tc>
      </w:tr>
    </w:tbl>
    <w:p>
      <w:pPr>
        <w:adjustRightInd w:val="0"/>
        <w:spacing w:line="440" w:lineRule="exact"/>
        <w:textAlignment w:val="baseline"/>
        <w:rPr>
          <w:rFonts w:ascii="宋体" w:hAnsi="宋体" w:cs="宋体"/>
          <w:bCs/>
          <w:color w:val="auto"/>
          <w:kern w:val="0"/>
          <w:sz w:val="24"/>
          <w:highlight w:val="none"/>
        </w:rPr>
        <w:sectPr>
          <w:footerReference r:id="rId6" w:type="default"/>
          <w:pgSz w:w="11906" w:h="16838"/>
          <w:pgMar w:top="1247" w:right="1134" w:bottom="1247" w:left="1361" w:header="851" w:footer="992" w:gutter="0"/>
          <w:pgNumType w:start="1"/>
          <w:cols w:space="720" w:num="1"/>
          <w:docGrid w:type="lines" w:linePitch="312" w:charSpace="0"/>
        </w:sectPr>
      </w:pPr>
    </w:p>
    <w:p>
      <w:pPr>
        <w:pStyle w:val="4"/>
        <w:jc w:val="center"/>
        <w:rPr>
          <w:color w:val="auto"/>
          <w:highlight w:val="none"/>
        </w:rPr>
      </w:pPr>
      <w:bookmarkStart w:id="81" w:name="_Toc494371515"/>
      <w:bookmarkStart w:id="82" w:name="_Toc247527553"/>
      <w:bookmarkStart w:id="83" w:name="_Toc30938"/>
      <w:bookmarkStart w:id="84" w:name="_Toc2174"/>
      <w:bookmarkStart w:id="85" w:name="_Toc144974497"/>
      <w:bookmarkStart w:id="86" w:name="_Toc493"/>
      <w:bookmarkStart w:id="87" w:name="_Toc19435"/>
      <w:bookmarkStart w:id="88" w:name="_Toc152045529"/>
      <w:bookmarkStart w:id="89" w:name="_Toc247513952"/>
      <w:bookmarkStart w:id="90" w:name="_Toc152042305"/>
      <w:bookmarkStart w:id="91" w:name="_Toc300834949"/>
      <w:bookmarkStart w:id="92" w:name="_Toc14621"/>
      <w:bookmarkStart w:id="93" w:name="_Toc5556"/>
      <w:bookmarkStart w:id="94" w:name="_Toc5310"/>
      <w:bookmarkStart w:id="95" w:name="_Toc31351"/>
      <w:bookmarkStart w:id="96" w:name="_Toc376"/>
      <w:bookmarkStart w:id="97" w:name="_Toc8466"/>
      <w:bookmarkStart w:id="98" w:name="_Toc22983"/>
      <w:bookmarkStart w:id="99" w:name="_Toc23892"/>
      <w:r>
        <w:rPr>
          <w:color w:val="auto"/>
          <w:highlight w:val="none"/>
        </w:rPr>
        <w:t xml:space="preserve">1. </w:t>
      </w:r>
      <w:r>
        <w:rPr>
          <w:rFonts w:hint="eastAsia"/>
          <w:color w:val="auto"/>
          <w:highlight w:val="none"/>
        </w:rPr>
        <w:t>总则</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5"/>
        <w:rPr>
          <w:color w:val="auto"/>
          <w:highlight w:val="none"/>
        </w:rPr>
      </w:pPr>
      <w:bookmarkStart w:id="100" w:name="_Toc247527554"/>
      <w:bookmarkStart w:id="101" w:name="_Toc300834950"/>
      <w:bookmarkStart w:id="102" w:name="_Toc6146"/>
      <w:bookmarkStart w:id="103" w:name="_Toc494371516"/>
      <w:bookmarkStart w:id="104" w:name="_Toc152042306"/>
      <w:bookmarkStart w:id="105" w:name="_Toc247513953"/>
      <w:bookmarkStart w:id="106" w:name="_Toc152045530"/>
      <w:bookmarkStart w:id="107" w:name="_Toc3327"/>
      <w:bookmarkStart w:id="108" w:name="_Toc27599"/>
      <w:bookmarkStart w:id="109" w:name="_Toc16499"/>
      <w:bookmarkStart w:id="110" w:name="_Toc16159"/>
      <w:bookmarkStart w:id="111" w:name="_Toc23702"/>
      <w:bookmarkStart w:id="112" w:name="_Toc144974498"/>
      <w:bookmarkStart w:id="113" w:name="_Toc8430"/>
      <w:bookmarkStart w:id="114" w:name="_Toc12263"/>
      <w:bookmarkStart w:id="115" w:name="_Toc30762"/>
      <w:bookmarkStart w:id="116" w:name="_Toc22928"/>
      <w:r>
        <w:rPr>
          <w:rFonts w:ascii="Times New Roman" w:hAnsi="Times New Roman"/>
          <w:color w:val="auto"/>
          <w:highlight w:val="none"/>
        </w:rPr>
        <w:t>1.1</w:t>
      </w:r>
      <w:r>
        <w:rPr>
          <w:color w:val="auto"/>
          <w:highlight w:val="none"/>
        </w:rPr>
        <w:t xml:space="preserve"> 项目概况</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400" w:lineRule="exact"/>
        <w:ind w:firstLine="420" w:firstLineChars="200"/>
        <w:rPr>
          <w:color w:val="auto"/>
          <w:highlight w:val="none"/>
        </w:rPr>
      </w:pPr>
      <w:r>
        <w:rPr>
          <w:color w:val="auto"/>
          <w:highlight w:val="none"/>
        </w:rPr>
        <w:t>1.1.1</w:t>
      </w:r>
      <w:r>
        <w:rPr>
          <w:rFonts w:hint="eastAsia"/>
          <w:color w:val="auto"/>
          <w:highlight w:val="none"/>
        </w:rPr>
        <w:t>根据《中华人民共和国招标投标法》等有关法律、法规和规章的规定，本招标项目已具备招标条件，现对该项目施工进行总承包招标。</w:t>
      </w:r>
    </w:p>
    <w:p>
      <w:pPr>
        <w:spacing w:line="400" w:lineRule="exact"/>
        <w:ind w:firstLine="420" w:firstLineChars="200"/>
        <w:rPr>
          <w:color w:val="auto"/>
          <w:highlight w:val="none"/>
        </w:rPr>
      </w:pPr>
      <w:r>
        <w:rPr>
          <w:color w:val="auto"/>
          <w:highlight w:val="none"/>
        </w:rPr>
        <w:t xml:space="preserve">1.1.2 </w:t>
      </w:r>
      <w:r>
        <w:rPr>
          <w:rFonts w:hint="eastAsia"/>
          <w:color w:val="auto"/>
          <w:highlight w:val="none"/>
        </w:rPr>
        <w:t>招标单位：见投标人须知前附表。</w:t>
      </w:r>
    </w:p>
    <w:p>
      <w:pPr>
        <w:spacing w:line="400" w:lineRule="exact"/>
        <w:ind w:firstLine="420" w:firstLineChars="200"/>
        <w:rPr>
          <w:color w:val="auto"/>
          <w:highlight w:val="none"/>
        </w:rPr>
      </w:pPr>
      <w:r>
        <w:rPr>
          <w:color w:val="auto"/>
          <w:highlight w:val="none"/>
        </w:rPr>
        <w:t>1.1.</w:t>
      </w:r>
      <w:r>
        <w:rPr>
          <w:rFonts w:hint="eastAsia"/>
          <w:color w:val="auto"/>
          <w:highlight w:val="none"/>
        </w:rPr>
        <w:t>3</w:t>
      </w:r>
      <w:r>
        <w:rPr>
          <w:color w:val="auto"/>
          <w:highlight w:val="none"/>
        </w:rPr>
        <w:t xml:space="preserve"> </w:t>
      </w:r>
      <w:r>
        <w:rPr>
          <w:rFonts w:hint="eastAsia"/>
          <w:color w:val="auto"/>
          <w:highlight w:val="none"/>
        </w:rPr>
        <w:t>招标项目名称：见投标人须知前附表。</w:t>
      </w:r>
    </w:p>
    <w:p>
      <w:pPr>
        <w:spacing w:line="400" w:lineRule="exact"/>
        <w:ind w:firstLine="420" w:firstLineChars="200"/>
        <w:rPr>
          <w:color w:val="auto"/>
          <w:highlight w:val="none"/>
        </w:rPr>
      </w:pPr>
      <w:r>
        <w:rPr>
          <w:color w:val="auto"/>
          <w:highlight w:val="none"/>
        </w:rPr>
        <w:t>1.1.</w:t>
      </w:r>
      <w:r>
        <w:rPr>
          <w:rFonts w:hint="eastAsia"/>
          <w:color w:val="auto"/>
          <w:highlight w:val="none"/>
        </w:rPr>
        <w:t>4</w:t>
      </w:r>
      <w:r>
        <w:rPr>
          <w:color w:val="auto"/>
          <w:highlight w:val="none"/>
        </w:rPr>
        <w:t xml:space="preserve"> </w:t>
      </w:r>
      <w:r>
        <w:rPr>
          <w:rFonts w:hint="eastAsia"/>
          <w:color w:val="auto"/>
          <w:highlight w:val="none"/>
        </w:rPr>
        <w:t>项目建设地点：见投标人须知前附表。</w:t>
      </w:r>
    </w:p>
    <w:p>
      <w:pPr>
        <w:pStyle w:val="5"/>
        <w:rPr>
          <w:color w:val="auto"/>
          <w:highlight w:val="none"/>
        </w:rPr>
      </w:pPr>
      <w:bookmarkStart w:id="117" w:name="_Toc22426"/>
      <w:bookmarkStart w:id="118" w:name="_Toc6619"/>
      <w:bookmarkStart w:id="119" w:name="_Toc28164"/>
      <w:bookmarkStart w:id="120" w:name="_Toc21962"/>
      <w:bookmarkStart w:id="121" w:name="_Toc23335"/>
      <w:bookmarkStart w:id="122" w:name="_Toc17611"/>
      <w:bookmarkStart w:id="123" w:name="_Toc152045531"/>
      <w:bookmarkStart w:id="124" w:name="_Toc494371517"/>
      <w:bookmarkStart w:id="125" w:name="_Toc10866"/>
      <w:bookmarkStart w:id="126" w:name="_Toc2014"/>
      <w:bookmarkStart w:id="127" w:name="_Toc247527555"/>
      <w:bookmarkStart w:id="128" w:name="_Toc24580"/>
      <w:bookmarkStart w:id="129" w:name="_Toc152042307"/>
      <w:bookmarkStart w:id="130" w:name="_Toc144974499"/>
      <w:bookmarkStart w:id="131" w:name="_Toc300834951"/>
      <w:bookmarkStart w:id="132" w:name="_Toc247513954"/>
      <w:bookmarkStart w:id="133" w:name="_Toc5082"/>
      <w:r>
        <w:rPr>
          <w:rFonts w:ascii="Times New Roman" w:hAnsi="Times New Roman"/>
          <w:color w:val="auto"/>
          <w:highlight w:val="none"/>
        </w:rPr>
        <w:t xml:space="preserve">1.2 </w:t>
      </w:r>
      <w:r>
        <w:rPr>
          <w:rFonts w:hint="eastAsia"/>
          <w:color w:val="auto"/>
          <w:highlight w:val="none"/>
        </w:rPr>
        <w:t>项目的资金来源和落实情况</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spacing w:line="400" w:lineRule="exact"/>
        <w:ind w:firstLine="420" w:firstLineChars="200"/>
        <w:rPr>
          <w:color w:val="auto"/>
          <w:highlight w:val="none"/>
        </w:rPr>
      </w:pPr>
      <w:r>
        <w:rPr>
          <w:color w:val="auto"/>
          <w:highlight w:val="none"/>
        </w:rPr>
        <w:t xml:space="preserve">1.2.1 </w:t>
      </w:r>
      <w:r>
        <w:rPr>
          <w:rFonts w:hint="eastAsia"/>
          <w:color w:val="auto"/>
          <w:highlight w:val="none"/>
        </w:rPr>
        <w:t>资金来源及比例：见投标人须知前附表。</w:t>
      </w:r>
    </w:p>
    <w:p>
      <w:pPr>
        <w:spacing w:line="400" w:lineRule="exact"/>
        <w:ind w:firstLine="420" w:firstLineChars="200"/>
        <w:rPr>
          <w:color w:val="auto"/>
          <w:highlight w:val="none"/>
        </w:rPr>
      </w:pPr>
      <w:r>
        <w:rPr>
          <w:color w:val="auto"/>
          <w:highlight w:val="none"/>
        </w:rPr>
        <w:t xml:space="preserve">1.2.2 </w:t>
      </w:r>
      <w:r>
        <w:rPr>
          <w:rFonts w:hint="eastAsia"/>
          <w:color w:val="auto"/>
          <w:highlight w:val="none"/>
        </w:rPr>
        <w:t>资金落实情况：见投标人须知前附表。</w:t>
      </w:r>
    </w:p>
    <w:p>
      <w:pPr>
        <w:pStyle w:val="5"/>
        <w:rPr>
          <w:color w:val="auto"/>
          <w:highlight w:val="none"/>
        </w:rPr>
      </w:pPr>
      <w:bookmarkStart w:id="134" w:name="_Toc247513955"/>
      <w:bookmarkStart w:id="135" w:name="_Toc152042308"/>
      <w:bookmarkStart w:id="136" w:name="_Toc144974500"/>
      <w:bookmarkStart w:id="137" w:name="_Toc152045532"/>
      <w:bookmarkStart w:id="138" w:name="_Toc247527556"/>
      <w:bookmarkStart w:id="139" w:name="_Toc5144"/>
      <w:bookmarkStart w:id="140" w:name="_Toc10055"/>
      <w:bookmarkStart w:id="141" w:name="_Toc6852"/>
      <w:bookmarkStart w:id="142" w:name="_Toc20564"/>
      <w:bookmarkStart w:id="143" w:name="_Toc21315"/>
      <w:bookmarkStart w:id="144" w:name="_Toc12593"/>
      <w:bookmarkStart w:id="145" w:name="_Toc300834952"/>
      <w:bookmarkStart w:id="146" w:name="_Toc494371518"/>
      <w:bookmarkStart w:id="147" w:name="_Toc30791"/>
      <w:bookmarkStart w:id="148" w:name="_Toc8046"/>
      <w:bookmarkStart w:id="149" w:name="_Toc12223"/>
      <w:bookmarkStart w:id="150" w:name="_Toc24250"/>
      <w:r>
        <w:rPr>
          <w:rFonts w:ascii="Times New Roman" w:hAnsi="Times New Roman"/>
          <w:color w:val="auto"/>
          <w:highlight w:val="none"/>
        </w:rPr>
        <w:t>1.3</w:t>
      </w:r>
      <w:r>
        <w:rPr>
          <w:color w:val="auto"/>
          <w:highlight w:val="none"/>
        </w:rPr>
        <w:t xml:space="preserve"> 招标范围、</w:t>
      </w:r>
      <w:r>
        <w:rPr>
          <w:rFonts w:hint="eastAsia"/>
          <w:color w:val="auto"/>
          <w:highlight w:val="none"/>
        </w:rPr>
        <w:t>工期要求</w:t>
      </w:r>
      <w:r>
        <w:rPr>
          <w:color w:val="auto"/>
          <w:highlight w:val="none"/>
        </w:rPr>
        <w:t>和</w:t>
      </w:r>
      <w:bookmarkEnd w:id="134"/>
      <w:bookmarkEnd w:id="135"/>
      <w:bookmarkEnd w:id="136"/>
      <w:bookmarkEnd w:id="137"/>
      <w:bookmarkEnd w:id="138"/>
      <w:r>
        <w:rPr>
          <w:rFonts w:hint="eastAsia"/>
          <w:color w:val="auto"/>
          <w:highlight w:val="none"/>
        </w:rPr>
        <w:t>质量标准</w:t>
      </w:r>
      <w:bookmarkEnd w:id="139"/>
      <w:bookmarkEnd w:id="140"/>
      <w:bookmarkEnd w:id="141"/>
      <w:bookmarkEnd w:id="142"/>
      <w:bookmarkEnd w:id="143"/>
      <w:bookmarkEnd w:id="144"/>
      <w:bookmarkEnd w:id="145"/>
      <w:bookmarkEnd w:id="146"/>
      <w:bookmarkEnd w:id="147"/>
      <w:bookmarkEnd w:id="148"/>
      <w:bookmarkEnd w:id="149"/>
      <w:bookmarkEnd w:id="150"/>
    </w:p>
    <w:p>
      <w:pPr>
        <w:spacing w:line="400" w:lineRule="exact"/>
        <w:ind w:firstLine="420" w:firstLineChars="200"/>
        <w:rPr>
          <w:color w:val="auto"/>
          <w:highlight w:val="none"/>
        </w:rPr>
      </w:pPr>
      <w:r>
        <w:rPr>
          <w:color w:val="auto"/>
          <w:highlight w:val="none"/>
        </w:rPr>
        <w:t xml:space="preserve">1.3.1 </w:t>
      </w:r>
      <w:r>
        <w:rPr>
          <w:rFonts w:hint="eastAsia"/>
          <w:color w:val="auto"/>
          <w:highlight w:val="none"/>
        </w:rPr>
        <w:t>招标范围：见投标人须知前附表。</w:t>
      </w:r>
    </w:p>
    <w:p>
      <w:pPr>
        <w:spacing w:line="400" w:lineRule="exact"/>
        <w:ind w:firstLine="420" w:firstLineChars="200"/>
        <w:rPr>
          <w:color w:val="auto"/>
          <w:highlight w:val="none"/>
        </w:rPr>
      </w:pPr>
      <w:r>
        <w:rPr>
          <w:color w:val="auto"/>
          <w:highlight w:val="none"/>
        </w:rPr>
        <w:t xml:space="preserve">1.3.2 </w:t>
      </w:r>
      <w:r>
        <w:rPr>
          <w:rFonts w:hint="eastAsia"/>
          <w:color w:val="auto"/>
          <w:highlight w:val="none"/>
        </w:rPr>
        <w:t>计划工期：见投标人须知前附表。</w:t>
      </w:r>
    </w:p>
    <w:p>
      <w:pPr>
        <w:spacing w:line="400" w:lineRule="exact"/>
        <w:ind w:firstLine="420" w:firstLineChars="200"/>
        <w:rPr>
          <w:color w:val="auto"/>
          <w:highlight w:val="none"/>
        </w:rPr>
      </w:pPr>
      <w:r>
        <w:rPr>
          <w:color w:val="auto"/>
          <w:highlight w:val="none"/>
        </w:rPr>
        <w:t xml:space="preserve">1.3.3 </w:t>
      </w:r>
      <w:r>
        <w:rPr>
          <w:rFonts w:hint="eastAsia"/>
          <w:color w:val="auto"/>
          <w:highlight w:val="none"/>
        </w:rPr>
        <w:t>质量标准：见投标人须知前附表。</w:t>
      </w:r>
    </w:p>
    <w:p>
      <w:pPr>
        <w:pStyle w:val="5"/>
        <w:rPr>
          <w:color w:val="auto"/>
          <w:highlight w:val="none"/>
        </w:rPr>
      </w:pPr>
      <w:bookmarkStart w:id="151" w:name="_Toc16204"/>
      <w:bookmarkStart w:id="152" w:name="_Toc9786"/>
      <w:bookmarkStart w:id="153" w:name="_Toc494371519"/>
      <w:bookmarkStart w:id="154" w:name="_Toc247527557"/>
      <w:bookmarkStart w:id="155" w:name="_Toc30070"/>
      <w:bookmarkStart w:id="156" w:name="_Toc29837"/>
      <w:bookmarkStart w:id="157" w:name="_Toc152042309"/>
      <w:bookmarkStart w:id="158" w:name="_Toc10308"/>
      <w:bookmarkStart w:id="159" w:name="_Toc152045533"/>
      <w:bookmarkStart w:id="160" w:name="_Toc144974501"/>
      <w:bookmarkStart w:id="161" w:name="_Toc300834953"/>
      <w:bookmarkStart w:id="162" w:name="_Toc21278"/>
      <w:bookmarkStart w:id="163" w:name="_Toc27548"/>
      <w:bookmarkStart w:id="164" w:name="_Toc25165"/>
      <w:bookmarkStart w:id="165" w:name="_Toc247513956"/>
      <w:bookmarkStart w:id="166" w:name="_Toc15022"/>
      <w:bookmarkStart w:id="167" w:name="_Toc27436"/>
      <w:r>
        <w:rPr>
          <w:rFonts w:ascii="Times New Roman" w:hAnsi="Times New Roman"/>
          <w:color w:val="auto"/>
          <w:highlight w:val="none"/>
        </w:rPr>
        <w:t>1.4</w:t>
      </w:r>
      <w:r>
        <w:rPr>
          <w:color w:val="auto"/>
          <w:highlight w:val="none"/>
        </w:rPr>
        <w:t xml:space="preserve"> 投标人</w:t>
      </w:r>
      <w:r>
        <w:rPr>
          <w:rFonts w:hint="eastAsia"/>
          <w:color w:val="auto"/>
          <w:highlight w:val="none"/>
        </w:rPr>
        <w:t>合格条件</w:t>
      </w:r>
      <w:r>
        <w:rPr>
          <w:color w:val="auto"/>
          <w:highlight w:val="none"/>
        </w:rPr>
        <w:t>（详见招标公告要求）</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5"/>
        <w:tabs>
          <w:tab w:val="left" w:pos="5769"/>
        </w:tabs>
        <w:rPr>
          <w:color w:val="auto"/>
          <w:highlight w:val="none"/>
        </w:rPr>
      </w:pPr>
      <w:bookmarkStart w:id="168" w:name="_Toc247513959"/>
      <w:bookmarkStart w:id="169" w:name="_Toc247527560"/>
      <w:bookmarkStart w:id="170" w:name="_Toc15250"/>
      <w:bookmarkStart w:id="171" w:name="_Toc9983"/>
      <w:bookmarkStart w:id="172" w:name="_Toc300834956"/>
      <w:bookmarkStart w:id="173" w:name="_Toc31463"/>
      <w:bookmarkStart w:id="174" w:name="_Toc29204"/>
      <w:bookmarkStart w:id="175" w:name="_Toc17087"/>
      <w:bookmarkStart w:id="176" w:name="_Toc152045536"/>
      <w:bookmarkStart w:id="177" w:name="_Toc1809"/>
      <w:bookmarkStart w:id="178" w:name="_Toc494371521"/>
      <w:bookmarkStart w:id="179" w:name="_Toc20208"/>
      <w:bookmarkStart w:id="180" w:name="_Toc25667"/>
      <w:bookmarkStart w:id="181" w:name="_Toc144974504"/>
      <w:bookmarkStart w:id="182" w:name="_Toc152042312"/>
      <w:bookmarkStart w:id="183" w:name="_Toc13053"/>
      <w:bookmarkStart w:id="184" w:name="_Toc29962"/>
      <w:r>
        <w:rPr>
          <w:rFonts w:ascii="Times New Roman" w:hAnsi="Times New Roman"/>
          <w:color w:val="auto"/>
          <w:highlight w:val="none"/>
        </w:rPr>
        <w:t>1</w:t>
      </w:r>
      <w:r>
        <w:rPr>
          <w:rFonts w:hint="eastAsia" w:ascii="Times New Roman" w:hAnsi="Times New Roman"/>
          <w:color w:val="auto"/>
          <w:highlight w:val="none"/>
        </w:rPr>
        <w:t>.5</w:t>
      </w:r>
      <w:r>
        <w:rPr>
          <w:rFonts w:ascii="Times New Roman" w:hAnsi="Times New Roman"/>
          <w:color w:val="auto"/>
          <w:highlight w:val="none"/>
        </w:rPr>
        <w:t xml:space="preserve"> </w:t>
      </w:r>
      <w:r>
        <w:rPr>
          <w:rFonts w:hint="eastAsia"/>
          <w:color w:val="auto"/>
          <w:highlight w:val="none"/>
        </w:rPr>
        <w:t>保密</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color w:val="auto"/>
          <w:highlight w:val="none"/>
        </w:rPr>
        <w:tab/>
      </w:r>
    </w:p>
    <w:p>
      <w:pPr>
        <w:spacing w:line="400" w:lineRule="exact"/>
        <w:ind w:firstLine="420" w:firstLineChars="200"/>
        <w:rPr>
          <w:color w:val="auto"/>
          <w:highlight w:val="none"/>
        </w:rPr>
      </w:pPr>
      <w:r>
        <w:rPr>
          <w:rFonts w:hint="eastAsia"/>
          <w:color w:val="auto"/>
          <w:highlight w:val="none"/>
        </w:rPr>
        <w:t>参与招标投标活动的各方应对招标文件和投标文件中的商业和技术等秘密保密，否则应承担相应的法律责任。</w:t>
      </w:r>
    </w:p>
    <w:p>
      <w:pPr>
        <w:pStyle w:val="5"/>
        <w:rPr>
          <w:color w:val="auto"/>
          <w:highlight w:val="none"/>
        </w:rPr>
      </w:pPr>
      <w:bookmarkStart w:id="185" w:name="_Toc144974505"/>
      <w:bookmarkStart w:id="186" w:name="_Toc10710"/>
      <w:bookmarkStart w:id="187" w:name="_Toc27206"/>
      <w:bookmarkStart w:id="188" w:name="_Toc152042313"/>
      <w:bookmarkStart w:id="189" w:name="_Toc247513960"/>
      <w:bookmarkStart w:id="190" w:name="_Toc31702"/>
      <w:bookmarkStart w:id="191" w:name="_Toc247527561"/>
      <w:bookmarkStart w:id="192" w:name="_Toc11478"/>
      <w:bookmarkStart w:id="193" w:name="_Toc12677"/>
      <w:bookmarkStart w:id="194" w:name="_Toc29984"/>
      <w:bookmarkStart w:id="195" w:name="_Toc15952"/>
      <w:bookmarkStart w:id="196" w:name="_Toc494371522"/>
      <w:bookmarkStart w:id="197" w:name="_Toc152045537"/>
      <w:bookmarkStart w:id="198" w:name="_Toc300834957"/>
      <w:bookmarkStart w:id="199" w:name="_Toc15403"/>
      <w:bookmarkStart w:id="200" w:name="_Toc21141"/>
      <w:bookmarkStart w:id="201" w:name="_Toc7984"/>
      <w:r>
        <w:rPr>
          <w:rFonts w:ascii="Times New Roman" w:hAnsi="Times New Roman"/>
          <w:color w:val="auto"/>
          <w:highlight w:val="none"/>
        </w:rPr>
        <w:t>1.</w:t>
      </w:r>
      <w:r>
        <w:rPr>
          <w:rFonts w:hint="eastAsia" w:ascii="Times New Roman" w:hAnsi="Times New Roman"/>
          <w:color w:val="auto"/>
          <w:highlight w:val="none"/>
        </w:rPr>
        <w:t>6</w:t>
      </w:r>
      <w:r>
        <w:rPr>
          <w:color w:val="auto"/>
          <w:highlight w:val="none"/>
        </w:rPr>
        <w:t xml:space="preserve"> 语言</w:t>
      </w:r>
      <w:bookmarkEnd w:id="185"/>
      <w:r>
        <w:rPr>
          <w:rFonts w:hint="eastAsia"/>
          <w:color w:val="auto"/>
          <w:highlight w:val="none"/>
        </w:rPr>
        <w:t>文字</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spacing w:line="400" w:lineRule="exact"/>
        <w:ind w:firstLine="420" w:firstLineChars="200"/>
        <w:rPr>
          <w:color w:val="auto"/>
          <w:highlight w:val="none"/>
        </w:rPr>
      </w:pPr>
      <w:r>
        <w:rPr>
          <w:rFonts w:hint="eastAsia"/>
          <w:color w:val="auto"/>
          <w:highlight w:val="none"/>
        </w:rPr>
        <w:t>招标投标文件使用的语言文字为中文。专用术语使用外文的，应附有中文注释。</w:t>
      </w:r>
    </w:p>
    <w:p>
      <w:pPr>
        <w:pStyle w:val="5"/>
        <w:rPr>
          <w:color w:val="auto"/>
          <w:highlight w:val="none"/>
        </w:rPr>
      </w:pPr>
      <w:bookmarkStart w:id="202" w:name="_Toc300834958"/>
      <w:bookmarkStart w:id="203" w:name="_Toc13627"/>
      <w:bookmarkStart w:id="204" w:name="_Toc31715"/>
      <w:bookmarkStart w:id="205" w:name="_Toc247527562"/>
      <w:bookmarkStart w:id="206" w:name="_Toc144974506"/>
      <w:bookmarkStart w:id="207" w:name="_Toc18979"/>
      <w:bookmarkStart w:id="208" w:name="_Toc24995"/>
      <w:bookmarkStart w:id="209" w:name="_Toc247513961"/>
      <w:bookmarkStart w:id="210" w:name="_Toc152045538"/>
      <w:bookmarkStart w:id="211" w:name="_Toc32144"/>
      <w:bookmarkStart w:id="212" w:name="_Toc3503"/>
      <w:bookmarkStart w:id="213" w:name="_Toc28646"/>
      <w:bookmarkStart w:id="214" w:name="_Toc494371523"/>
      <w:bookmarkStart w:id="215" w:name="_Toc6208"/>
      <w:bookmarkStart w:id="216" w:name="_Toc27006"/>
      <w:bookmarkStart w:id="217" w:name="_Toc152042314"/>
      <w:bookmarkStart w:id="218" w:name="_Toc27884"/>
      <w:r>
        <w:rPr>
          <w:rFonts w:ascii="Times New Roman" w:hAnsi="Times New Roman"/>
          <w:color w:val="auto"/>
          <w:highlight w:val="none"/>
        </w:rPr>
        <w:t>1.</w:t>
      </w:r>
      <w:r>
        <w:rPr>
          <w:rFonts w:hint="eastAsia" w:ascii="Times New Roman" w:hAnsi="Times New Roman"/>
          <w:color w:val="auto"/>
          <w:highlight w:val="none"/>
        </w:rPr>
        <w:t>7</w:t>
      </w:r>
      <w:r>
        <w:rPr>
          <w:rFonts w:ascii="Times New Roman" w:hAnsi="Times New Roman"/>
          <w:color w:val="auto"/>
          <w:highlight w:val="none"/>
        </w:rPr>
        <w:t xml:space="preserve"> </w:t>
      </w:r>
      <w:r>
        <w:rPr>
          <w:rFonts w:hint="eastAsia"/>
          <w:color w:val="auto"/>
          <w:highlight w:val="none"/>
        </w:rPr>
        <w:t>计量单位</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spacing w:line="400" w:lineRule="exact"/>
        <w:ind w:firstLine="420" w:firstLineChars="200"/>
        <w:rPr>
          <w:color w:val="auto"/>
          <w:highlight w:val="none"/>
        </w:rPr>
      </w:pPr>
      <w:r>
        <w:rPr>
          <w:color w:val="auto"/>
          <w:highlight w:val="none"/>
        </w:rPr>
        <w:t>1.8.1</w:t>
      </w:r>
      <w:r>
        <w:rPr>
          <w:rFonts w:hint="eastAsia"/>
          <w:color w:val="auto"/>
          <w:highlight w:val="none"/>
        </w:rPr>
        <w:t>所有计量均采用中华人民共和国法定计量单位。</w:t>
      </w:r>
    </w:p>
    <w:p>
      <w:pPr>
        <w:spacing w:line="400" w:lineRule="exact"/>
        <w:ind w:firstLine="420" w:firstLineChars="200"/>
        <w:rPr>
          <w:color w:val="auto"/>
          <w:highlight w:val="none"/>
        </w:rPr>
      </w:pPr>
      <w:r>
        <w:rPr>
          <w:color w:val="auto"/>
          <w:highlight w:val="none"/>
        </w:rPr>
        <w:t xml:space="preserve">1.8.2 </w:t>
      </w:r>
      <w:r>
        <w:rPr>
          <w:rFonts w:hint="eastAsia"/>
          <w:color w:val="auto"/>
          <w:highlight w:val="none"/>
        </w:rPr>
        <w:t>本工程投标报价采用的的币种为人民币。</w:t>
      </w:r>
    </w:p>
    <w:p>
      <w:pPr>
        <w:pStyle w:val="5"/>
        <w:rPr>
          <w:color w:val="auto"/>
          <w:highlight w:val="none"/>
        </w:rPr>
      </w:pPr>
      <w:bookmarkStart w:id="219" w:name="_Toc26270"/>
      <w:bookmarkStart w:id="220" w:name="_Toc152045539"/>
      <w:bookmarkStart w:id="221" w:name="_Toc24491"/>
      <w:bookmarkStart w:id="222" w:name="_Toc16330"/>
      <w:bookmarkStart w:id="223" w:name="_Toc32089"/>
      <w:bookmarkStart w:id="224" w:name="_Toc14018"/>
      <w:bookmarkStart w:id="225" w:name="_Toc300834959"/>
      <w:bookmarkStart w:id="226" w:name="_Toc23415"/>
      <w:bookmarkStart w:id="227" w:name="_Toc247513962"/>
      <w:bookmarkStart w:id="228" w:name="_Toc144974507"/>
      <w:bookmarkStart w:id="229" w:name="_Toc21709"/>
      <w:bookmarkStart w:id="230" w:name="_Toc21627"/>
      <w:bookmarkStart w:id="231" w:name="_Toc494371524"/>
      <w:bookmarkStart w:id="232" w:name="_Toc13153"/>
      <w:bookmarkStart w:id="233" w:name="_Toc7578"/>
      <w:bookmarkStart w:id="234" w:name="_Toc152042315"/>
      <w:bookmarkStart w:id="235" w:name="_Toc247527563"/>
      <w:r>
        <w:rPr>
          <w:rFonts w:ascii="Times New Roman" w:hAnsi="Times New Roman"/>
          <w:color w:val="auto"/>
          <w:highlight w:val="none"/>
        </w:rPr>
        <w:t>1.</w:t>
      </w:r>
      <w:r>
        <w:rPr>
          <w:rFonts w:hint="eastAsia" w:ascii="Times New Roman" w:hAnsi="Times New Roman"/>
          <w:color w:val="auto"/>
          <w:highlight w:val="none"/>
        </w:rPr>
        <w:t>8</w:t>
      </w:r>
      <w:r>
        <w:rPr>
          <w:color w:val="auto"/>
          <w:highlight w:val="none"/>
        </w:rPr>
        <w:t xml:space="preserve"> 踏勘现场</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pacing w:line="400" w:lineRule="exact"/>
        <w:ind w:firstLine="420" w:firstLineChars="200"/>
        <w:rPr>
          <w:color w:val="auto"/>
          <w:highlight w:val="none"/>
        </w:rPr>
      </w:pPr>
      <w:r>
        <w:rPr>
          <w:color w:val="auto"/>
          <w:highlight w:val="none"/>
        </w:rPr>
        <w:t>1.</w:t>
      </w:r>
      <w:r>
        <w:rPr>
          <w:rFonts w:hint="eastAsia"/>
          <w:color w:val="auto"/>
          <w:highlight w:val="none"/>
        </w:rPr>
        <w:t>8</w:t>
      </w:r>
      <w:r>
        <w:rPr>
          <w:color w:val="auto"/>
          <w:highlight w:val="none"/>
        </w:rPr>
        <w:t xml:space="preserve">.1 </w:t>
      </w:r>
      <w:r>
        <w:rPr>
          <w:rFonts w:hint="eastAsia"/>
          <w:color w:val="auto"/>
          <w:highlight w:val="none"/>
        </w:rPr>
        <w:t>投标人须知前附表规定组织踏勘现场的，招标人按投标人须知前附表规定的时间、地点组织投标人踏勘项目现场。</w:t>
      </w:r>
    </w:p>
    <w:p>
      <w:pPr>
        <w:spacing w:line="400" w:lineRule="exact"/>
        <w:ind w:firstLine="420" w:firstLineChars="200"/>
        <w:rPr>
          <w:color w:val="auto"/>
          <w:highlight w:val="none"/>
        </w:rPr>
      </w:pPr>
      <w:r>
        <w:rPr>
          <w:color w:val="auto"/>
          <w:highlight w:val="none"/>
        </w:rPr>
        <w:t>1.</w:t>
      </w:r>
      <w:r>
        <w:rPr>
          <w:rFonts w:hint="eastAsia"/>
          <w:color w:val="auto"/>
          <w:highlight w:val="none"/>
        </w:rPr>
        <w:t>8</w:t>
      </w:r>
      <w:r>
        <w:rPr>
          <w:color w:val="auto"/>
          <w:highlight w:val="none"/>
        </w:rPr>
        <w:t xml:space="preserve">.2 </w:t>
      </w:r>
      <w:r>
        <w:rPr>
          <w:rFonts w:hint="eastAsia"/>
          <w:color w:val="auto"/>
          <w:highlight w:val="none"/>
        </w:rPr>
        <w:t>投标人踏勘现场发生的费用自理。</w:t>
      </w:r>
    </w:p>
    <w:p>
      <w:pPr>
        <w:spacing w:line="400" w:lineRule="exact"/>
        <w:ind w:firstLine="420" w:firstLineChars="200"/>
        <w:rPr>
          <w:color w:val="auto"/>
          <w:highlight w:val="none"/>
        </w:rPr>
      </w:pPr>
      <w:r>
        <w:rPr>
          <w:color w:val="auto"/>
          <w:highlight w:val="none"/>
        </w:rPr>
        <w:t>1.</w:t>
      </w:r>
      <w:r>
        <w:rPr>
          <w:rFonts w:hint="eastAsia"/>
          <w:color w:val="auto"/>
          <w:highlight w:val="none"/>
        </w:rPr>
        <w:t>8</w:t>
      </w:r>
      <w:r>
        <w:rPr>
          <w:color w:val="auto"/>
          <w:highlight w:val="none"/>
        </w:rPr>
        <w:t xml:space="preserve">.3 </w:t>
      </w:r>
      <w:r>
        <w:rPr>
          <w:rFonts w:hint="eastAsia"/>
          <w:color w:val="auto"/>
          <w:highlight w:val="none"/>
        </w:rPr>
        <w:t>除招标人的原因外，投标人自行负责在踏勘现场中所发生的人员伤亡和财产损失。</w:t>
      </w:r>
    </w:p>
    <w:p>
      <w:pPr>
        <w:spacing w:line="400" w:lineRule="exact"/>
        <w:ind w:firstLine="420" w:firstLineChars="200"/>
        <w:rPr>
          <w:color w:val="auto"/>
          <w:highlight w:val="none"/>
        </w:rPr>
      </w:pPr>
      <w:r>
        <w:rPr>
          <w:color w:val="auto"/>
          <w:highlight w:val="none"/>
        </w:rPr>
        <w:t>1.</w:t>
      </w:r>
      <w:r>
        <w:rPr>
          <w:rFonts w:hint="eastAsia"/>
          <w:color w:val="auto"/>
          <w:highlight w:val="none"/>
        </w:rPr>
        <w:t>8</w:t>
      </w:r>
      <w:r>
        <w:rPr>
          <w:color w:val="auto"/>
          <w:highlight w:val="none"/>
        </w:rPr>
        <w:t xml:space="preserve">.4 </w:t>
      </w:r>
      <w:r>
        <w:rPr>
          <w:rFonts w:hint="eastAsia"/>
          <w:color w:val="auto"/>
          <w:highlight w:val="none"/>
        </w:rPr>
        <w:t>现场由投标人自行踏勘，投标人不进行踏勘的，视为已熟知现场条件，自行承担相关风险。招标人不对投标人自行踏勘现场作出的判断和决策负责。</w:t>
      </w:r>
    </w:p>
    <w:p>
      <w:pPr>
        <w:pStyle w:val="4"/>
        <w:rPr>
          <w:color w:val="auto"/>
          <w:highlight w:val="none"/>
        </w:rPr>
      </w:pPr>
      <w:bookmarkStart w:id="236" w:name="_Toc23852"/>
      <w:bookmarkStart w:id="237" w:name="_Toc247527567"/>
      <w:bookmarkStart w:id="238" w:name="_Toc152042318"/>
      <w:bookmarkStart w:id="239" w:name="_Toc28224"/>
      <w:bookmarkStart w:id="240" w:name="_Toc152045542"/>
      <w:bookmarkStart w:id="241" w:name="_Toc14358"/>
      <w:bookmarkStart w:id="242" w:name="_Toc28780"/>
      <w:bookmarkStart w:id="243" w:name="_Toc13096"/>
      <w:bookmarkStart w:id="244" w:name="_Toc300834963"/>
      <w:bookmarkStart w:id="245" w:name="_Toc18406"/>
      <w:bookmarkStart w:id="246" w:name="_Toc22361"/>
      <w:bookmarkStart w:id="247" w:name="_Toc22778"/>
      <w:bookmarkStart w:id="248" w:name="_Toc20199"/>
      <w:bookmarkStart w:id="249" w:name="_Toc25933"/>
      <w:bookmarkStart w:id="250" w:name="_Toc144974510"/>
      <w:bookmarkStart w:id="251" w:name="_Toc247513966"/>
      <w:bookmarkStart w:id="252" w:name="_Toc9925"/>
      <w:bookmarkStart w:id="253" w:name="_Toc25753"/>
      <w:bookmarkStart w:id="254" w:name="_Toc494371528"/>
      <w:r>
        <w:rPr>
          <w:color w:val="auto"/>
          <w:highlight w:val="none"/>
        </w:rPr>
        <w:t xml:space="preserve">2. </w:t>
      </w:r>
      <w:r>
        <w:rPr>
          <w:rFonts w:hint="eastAsia"/>
          <w:color w:val="auto"/>
          <w:highlight w:val="none"/>
        </w:rPr>
        <w:t>招标文件</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pStyle w:val="5"/>
        <w:rPr>
          <w:color w:val="auto"/>
          <w:highlight w:val="none"/>
        </w:rPr>
      </w:pPr>
      <w:bookmarkStart w:id="255" w:name="_Toc644"/>
      <w:bookmarkStart w:id="256" w:name="_Toc12130"/>
      <w:bookmarkStart w:id="257" w:name="_Toc22589"/>
      <w:bookmarkStart w:id="258" w:name="_Toc247527568"/>
      <w:bookmarkStart w:id="259" w:name="_Toc152042319"/>
      <w:bookmarkStart w:id="260" w:name="_Toc14514"/>
      <w:bookmarkStart w:id="261" w:name="_Toc247513967"/>
      <w:bookmarkStart w:id="262" w:name="_Toc18571"/>
      <w:bookmarkStart w:id="263" w:name="_Toc494371529"/>
      <w:bookmarkStart w:id="264" w:name="_Toc244"/>
      <w:bookmarkStart w:id="265" w:name="_Toc27602"/>
      <w:bookmarkStart w:id="266" w:name="_Toc19518"/>
      <w:bookmarkStart w:id="267" w:name="_Toc144974511"/>
      <w:bookmarkStart w:id="268" w:name="_Toc11154"/>
      <w:bookmarkStart w:id="269" w:name="_Toc300834964"/>
      <w:bookmarkStart w:id="270" w:name="_Toc16384"/>
      <w:bookmarkStart w:id="271" w:name="_Toc152045543"/>
      <w:r>
        <w:rPr>
          <w:rFonts w:ascii="Times New Roman" w:hAnsi="Times New Roman"/>
          <w:color w:val="auto"/>
          <w:highlight w:val="none"/>
        </w:rPr>
        <w:t>2.1</w:t>
      </w:r>
      <w:r>
        <w:rPr>
          <w:color w:val="auto"/>
          <w:highlight w:val="none"/>
        </w:rPr>
        <w:t xml:space="preserve"> 招标文件的组成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spacing w:line="400" w:lineRule="exact"/>
        <w:rPr>
          <w:color w:val="auto"/>
          <w:highlight w:val="none"/>
        </w:rPr>
      </w:pPr>
      <w:r>
        <w:rPr>
          <w:rFonts w:hint="eastAsia"/>
          <w:color w:val="auto"/>
          <w:highlight w:val="none"/>
        </w:rPr>
        <w:t>　　本招标文件包括：</w:t>
      </w:r>
    </w:p>
    <w:p>
      <w:pPr>
        <w:spacing w:line="400" w:lineRule="exact"/>
        <w:ind w:firstLine="359" w:firstLineChars="171"/>
        <w:rPr>
          <w:color w:val="auto"/>
          <w:highlight w:val="none"/>
        </w:rPr>
      </w:pPr>
      <w:r>
        <w:rPr>
          <w:rFonts w:hint="eastAsia"/>
          <w:color w:val="auto"/>
          <w:highlight w:val="none"/>
        </w:rPr>
        <w:t>（</w:t>
      </w:r>
      <w:r>
        <w:rPr>
          <w:color w:val="auto"/>
          <w:highlight w:val="none"/>
        </w:rPr>
        <w:t>1</w:t>
      </w:r>
      <w:r>
        <w:rPr>
          <w:rFonts w:hint="eastAsia"/>
          <w:color w:val="auto"/>
          <w:highlight w:val="none"/>
        </w:rPr>
        <w:t>）招标公告（或投标邀请书）；</w:t>
      </w:r>
    </w:p>
    <w:p>
      <w:pPr>
        <w:spacing w:line="400" w:lineRule="exact"/>
        <w:ind w:firstLine="359" w:firstLineChars="171"/>
        <w:rPr>
          <w:color w:val="auto"/>
          <w:highlight w:val="none"/>
        </w:rPr>
      </w:pPr>
      <w:r>
        <w:rPr>
          <w:rFonts w:hint="eastAsia"/>
          <w:color w:val="auto"/>
          <w:highlight w:val="none"/>
        </w:rPr>
        <w:t>（</w:t>
      </w:r>
      <w:r>
        <w:rPr>
          <w:color w:val="auto"/>
          <w:highlight w:val="none"/>
        </w:rPr>
        <w:t>2</w:t>
      </w:r>
      <w:r>
        <w:rPr>
          <w:rFonts w:hint="eastAsia"/>
          <w:color w:val="auto"/>
          <w:highlight w:val="none"/>
        </w:rPr>
        <w:t>）投标人须知；</w:t>
      </w:r>
    </w:p>
    <w:p>
      <w:pPr>
        <w:spacing w:line="400" w:lineRule="exact"/>
        <w:ind w:firstLine="359" w:firstLineChars="171"/>
        <w:rPr>
          <w:color w:val="auto"/>
          <w:highlight w:val="none"/>
        </w:rPr>
      </w:pPr>
      <w:r>
        <w:rPr>
          <w:rFonts w:hint="eastAsia"/>
          <w:color w:val="auto"/>
          <w:highlight w:val="none"/>
        </w:rPr>
        <w:t>（</w:t>
      </w:r>
      <w:r>
        <w:rPr>
          <w:color w:val="auto"/>
          <w:highlight w:val="none"/>
        </w:rPr>
        <w:t>3</w:t>
      </w:r>
      <w:r>
        <w:rPr>
          <w:rFonts w:hint="eastAsia"/>
          <w:color w:val="auto"/>
          <w:highlight w:val="none"/>
        </w:rPr>
        <w:t>）评标办法；</w:t>
      </w:r>
    </w:p>
    <w:p>
      <w:pPr>
        <w:spacing w:line="400" w:lineRule="exact"/>
        <w:ind w:firstLine="359" w:firstLineChars="171"/>
        <w:rPr>
          <w:color w:val="auto"/>
          <w:highlight w:val="none"/>
        </w:rPr>
      </w:pPr>
      <w:r>
        <w:rPr>
          <w:rFonts w:hint="eastAsia"/>
          <w:color w:val="auto"/>
          <w:highlight w:val="none"/>
        </w:rPr>
        <w:t>（</w:t>
      </w:r>
      <w:r>
        <w:rPr>
          <w:color w:val="auto"/>
          <w:highlight w:val="none"/>
        </w:rPr>
        <w:t>4</w:t>
      </w:r>
      <w:r>
        <w:rPr>
          <w:rFonts w:hint="eastAsia"/>
          <w:color w:val="auto"/>
          <w:highlight w:val="none"/>
        </w:rPr>
        <w:t>）合同条款及格式（另册）；</w:t>
      </w:r>
    </w:p>
    <w:p>
      <w:pPr>
        <w:spacing w:line="400" w:lineRule="exact"/>
        <w:ind w:firstLine="359" w:firstLineChars="171"/>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）发包人提供的资料（另册）；</w:t>
      </w:r>
    </w:p>
    <w:p>
      <w:pPr>
        <w:spacing w:line="400" w:lineRule="exact"/>
        <w:ind w:firstLine="359" w:firstLineChars="171"/>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）投标文件格式；</w:t>
      </w:r>
    </w:p>
    <w:p>
      <w:pPr>
        <w:spacing w:line="400" w:lineRule="exact"/>
        <w:ind w:firstLine="359" w:firstLineChars="171"/>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）投标人须知前附表规定的其他资料。</w:t>
      </w:r>
    </w:p>
    <w:p>
      <w:pPr>
        <w:pStyle w:val="5"/>
        <w:rPr>
          <w:color w:val="auto"/>
          <w:highlight w:val="none"/>
        </w:rPr>
      </w:pPr>
      <w:bookmarkStart w:id="272" w:name="_Toc152045544"/>
      <w:bookmarkStart w:id="273" w:name="_Toc152042320"/>
      <w:bookmarkStart w:id="274" w:name="_Toc3890"/>
      <w:bookmarkStart w:id="275" w:name="_Toc13489"/>
      <w:bookmarkStart w:id="276" w:name="_Toc28374"/>
      <w:bookmarkStart w:id="277" w:name="_Toc24642"/>
      <w:bookmarkStart w:id="278" w:name="_Toc24802"/>
      <w:bookmarkStart w:id="279" w:name="_Toc28197"/>
      <w:bookmarkStart w:id="280" w:name="_Toc247513968"/>
      <w:bookmarkStart w:id="281" w:name="_Toc144974512"/>
      <w:bookmarkStart w:id="282" w:name="_Toc14693"/>
      <w:bookmarkStart w:id="283" w:name="_Toc494371530"/>
      <w:bookmarkStart w:id="284" w:name="_Toc300834965"/>
      <w:bookmarkStart w:id="285" w:name="_Toc2920"/>
      <w:bookmarkStart w:id="286" w:name="_Toc247527569"/>
      <w:bookmarkStart w:id="287" w:name="_Toc6072"/>
      <w:bookmarkStart w:id="288" w:name="_Toc10715"/>
      <w:r>
        <w:rPr>
          <w:color w:val="auto"/>
          <w:highlight w:val="none"/>
        </w:rPr>
        <w:t xml:space="preserve">2.2 </w:t>
      </w:r>
      <w:r>
        <w:rPr>
          <w:rFonts w:hint="eastAsia"/>
          <w:color w:val="auto"/>
          <w:highlight w:val="none"/>
        </w:rPr>
        <w:t>招标文件的澄清</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spacing w:line="400" w:lineRule="exact"/>
        <w:ind w:firstLine="420" w:firstLineChars="200"/>
        <w:rPr>
          <w:rFonts w:ascii="宋体" w:hAnsi="宋体"/>
          <w:color w:val="auto"/>
          <w:szCs w:val="21"/>
          <w:highlight w:val="none"/>
        </w:rPr>
      </w:pPr>
      <w:r>
        <w:rPr>
          <w:color w:val="auto"/>
          <w:highlight w:val="none"/>
        </w:rPr>
        <w:t xml:space="preserve">2.2.1 </w:t>
      </w:r>
      <w:r>
        <w:rPr>
          <w:rFonts w:hint="eastAsia"/>
          <w:color w:val="auto"/>
          <w:highlight w:val="none"/>
        </w:rPr>
        <w:t>投标人应仔细阅读和检查招标文件的全部内容。</w:t>
      </w:r>
      <w:r>
        <w:rPr>
          <w:rFonts w:hint="eastAsia" w:ascii="宋体" w:hAnsi="宋体"/>
          <w:color w:val="auto"/>
          <w:szCs w:val="21"/>
          <w:highlight w:val="none"/>
        </w:rPr>
        <w:t>如发现缺页或附件不全，应及时向招标人提出，以便补齐。</w:t>
      </w:r>
    </w:p>
    <w:p>
      <w:pPr>
        <w:spacing w:line="400" w:lineRule="exact"/>
        <w:ind w:firstLine="420" w:firstLineChars="200"/>
        <w:rPr>
          <w:rFonts w:ascii="宋体" w:hAnsi="宋体"/>
          <w:color w:val="auto"/>
          <w:szCs w:val="21"/>
          <w:highlight w:val="none"/>
        </w:rPr>
      </w:pPr>
      <w:r>
        <w:rPr>
          <w:color w:val="auto"/>
          <w:highlight w:val="none"/>
        </w:rPr>
        <w:t>2.2.</w:t>
      </w:r>
      <w:r>
        <w:rPr>
          <w:rFonts w:hint="eastAsia"/>
          <w:color w:val="auto"/>
          <w:highlight w:val="none"/>
        </w:rPr>
        <w:t>2</w:t>
      </w:r>
      <w:r>
        <w:rPr>
          <w:color w:val="auto"/>
          <w:highlight w:val="none"/>
        </w:rPr>
        <w:t xml:space="preserve"> </w:t>
      </w:r>
      <w:r>
        <w:rPr>
          <w:rFonts w:hint="eastAsia" w:ascii="宋体" w:hAnsi="宋体"/>
          <w:color w:val="auto"/>
          <w:szCs w:val="21"/>
          <w:highlight w:val="none"/>
        </w:rPr>
        <w:t>招标补充公告一经</w:t>
      </w:r>
      <w:r>
        <w:rPr>
          <w:rFonts w:hint="eastAsia" w:ascii="宋体" w:hAnsi="宋体"/>
          <w:color w:val="auto"/>
          <w:szCs w:val="21"/>
          <w:highlight w:val="none"/>
        </w:rPr>
        <w:t>在</w:t>
      </w:r>
      <w:r>
        <w:rPr>
          <w:rFonts w:hint="eastAsia" w:ascii="宋体" w:hAnsi="宋体"/>
          <w:color w:val="auto"/>
          <w:szCs w:val="21"/>
          <w:highlight w:val="none"/>
        </w:rPr>
        <w:t>广州南沙资产经营集团有限公司网站</w:t>
      </w:r>
      <w:r>
        <w:rPr>
          <w:rFonts w:hint="eastAsia" w:ascii="宋体" w:hAnsi="宋体"/>
          <w:color w:val="auto"/>
          <w:szCs w:val="21"/>
          <w:highlight w:val="none"/>
        </w:rPr>
        <w:t>（http://www.gnao.com.cn）</w:t>
      </w:r>
      <w:r>
        <w:rPr>
          <w:rFonts w:hint="eastAsia" w:ascii="宋体" w:hAnsi="宋体"/>
          <w:color w:val="auto"/>
          <w:szCs w:val="21"/>
          <w:highlight w:val="none"/>
        </w:rPr>
        <w:t xml:space="preserve"> 发布，视作已发放给所有投标人。</w:t>
      </w:r>
    </w:p>
    <w:p>
      <w:pPr>
        <w:pStyle w:val="5"/>
        <w:rPr>
          <w:color w:val="auto"/>
          <w:highlight w:val="none"/>
        </w:rPr>
      </w:pPr>
      <w:bookmarkStart w:id="289" w:name="_Toc494371531"/>
      <w:bookmarkStart w:id="290" w:name="_Toc152045545"/>
      <w:bookmarkStart w:id="291" w:name="_Toc300834966"/>
      <w:bookmarkStart w:id="292" w:name="_Toc21917"/>
      <w:bookmarkStart w:id="293" w:name="_Toc3897"/>
      <w:bookmarkStart w:id="294" w:name="_Toc152042321"/>
      <w:bookmarkStart w:id="295" w:name="_Toc1392"/>
      <w:bookmarkStart w:id="296" w:name="_Toc144974513"/>
      <w:bookmarkStart w:id="297" w:name="_Toc5512"/>
      <w:bookmarkStart w:id="298" w:name="_Toc247527570"/>
      <w:bookmarkStart w:id="299" w:name="_Toc28122"/>
      <w:bookmarkStart w:id="300" w:name="_Toc13973"/>
      <w:bookmarkStart w:id="301" w:name="_Toc18567"/>
      <w:bookmarkStart w:id="302" w:name="_Toc24839"/>
      <w:bookmarkStart w:id="303" w:name="_Toc247513969"/>
      <w:bookmarkStart w:id="304" w:name="_Toc29656"/>
      <w:bookmarkStart w:id="305" w:name="_Toc2421"/>
      <w:r>
        <w:rPr>
          <w:rFonts w:ascii="Times New Roman" w:hAnsi="Times New Roman"/>
          <w:color w:val="auto"/>
          <w:highlight w:val="none"/>
        </w:rPr>
        <w:t>2.3</w:t>
      </w:r>
      <w:r>
        <w:rPr>
          <w:color w:val="auto"/>
          <w:highlight w:val="none"/>
        </w:rPr>
        <w:t xml:space="preserve"> 招标文件的修改</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pStyle w:val="37"/>
        <w:spacing w:line="420" w:lineRule="exact"/>
        <w:ind w:firstLineChars="200"/>
        <w:rPr>
          <w:rFonts w:ascii="宋体" w:hAnsi="宋体"/>
          <w:color w:val="auto"/>
          <w:szCs w:val="21"/>
          <w:highlight w:val="none"/>
        </w:rPr>
      </w:pPr>
      <w:r>
        <w:rPr>
          <w:rFonts w:ascii="宋体" w:hAnsi="宋体"/>
          <w:color w:val="auto"/>
          <w:szCs w:val="21"/>
          <w:highlight w:val="none"/>
        </w:rPr>
        <w:t>2.3.</w:t>
      </w:r>
      <w:r>
        <w:rPr>
          <w:rFonts w:hint="eastAsia" w:ascii="宋体" w:hAnsi="宋体"/>
          <w:color w:val="auto"/>
          <w:szCs w:val="21"/>
          <w:highlight w:val="none"/>
        </w:rPr>
        <w:t>1招标文件的澄清、修改均以在广州南沙资产经营集团有限公司</w:t>
      </w:r>
      <w:r>
        <w:rPr>
          <w:rFonts w:hint="eastAsia" w:ascii="宋体" w:hAnsi="宋体"/>
          <w:color w:val="auto"/>
          <w:szCs w:val="21"/>
          <w:highlight w:val="none"/>
        </w:rPr>
        <w:t>网</w:t>
      </w:r>
      <w:r>
        <w:rPr>
          <w:rFonts w:hint="eastAsia" w:ascii="宋体" w:hAnsi="宋体"/>
          <w:color w:val="auto"/>
          <w:szCs w:val="21"/>
          <w:highlight w:val="none"/>
        </w:rPr>
        <w:t>站进行发布。当招标文件的澄清、修改在同一内容的表述不一致时，以广州南沙资产经营集团有限公司</w:t>
      </w:r>
      <w:r>
        <w:rPr>
          <w:rFonts w:hint="eastAsia" w:ascii="宋体" w:hAnsi="宋体"/>
          <w:color w:val="auto"/>
          <w:szCs w:val="21"/>
          <w:highlight w:val="none"/>
        </w:rPr>
        <w:t>网站</w:t>
      </w:r>
      <w:r>
        <w:rPr>
          <w:rFonts w:hint="eastAsia" w:ascii="宋体" w:hAnsi="宋体"/>
          <w:color w:val="auto"/>
          <w:szCs w:val="21"/>
          <w:highlight w:val="none"/>
        </w:rPr>
        <w:t>最后发布的内容为准。</w:t>
      </w:r>
    </w:p>
    <w:p>
      <w:pPr>
        <w:spacing w:line="400" w:lineRule="exact"/>
        <w:ind w:firstLine="420" w:firstLineChars="200"/>
        <w:rPr>
          <w:strike/>
          <w:color w:val="auto"/>
          <w:highlight w:val="none"/>
        </w:rPr>
      </w:pPr>
      <w:r>
        <w:rPr>
          <w:rFonts w:ascii="宋体" w:hAnsi="宋体"/>
          <w:color w:val="auto"/>
          <w:szCs w:val="21"/>
          <w:highlight w:val="none"/>
        </w:rPr>
        <w:t>2.3.</w:t>
      </w:r>
      <w:r>
        <w:rPr>
          <w:rFonts w:hint="eastAsia" w:ascii="宋体" w:hAnsi="宋体"/>
          <w:color w:val="auto"/>
          <w:szCs w:val="21"/>
          <w:highlight w:val="none"/>
        </w:rPr>
        <w:t>2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4"/>
        <w:rPr>
          <w:color w:val="auto"/>
          <w:highlight w:val="none"/>
        </w:rPr>
      </w:pPr>
      <w:bookmarkStart w:id="306" w:name="_Toc152042322"/>
      <w:bookmarkStart w:id="307" w:name="_Toc26021"/>
      <w:bookmarkStart w:id="308" w:name="_Toc27286"/>
      <w:bookmarkStart w:id="309" w:name="_Toc2051"/>
      <w:bookmarkStart w:id="310" w:name="_Toc5036"/>
      <w:bookmarkStart w:id="311" w:name="_Toc247527571"/>
      <w:bookmarkStart w:id="312" w:name="_Toc494371532"/>
      <w:bookmarkStart w:id="313" w:name="_Toc247513970"/>
      <w:bookmarkStart w:id="314" w:name="_Toc8312"/>
      <w:bookmarkStart w:id="315" w:name="_Toc3337"/>
      <w:bookmarkStart w:id="316" w:name="_Toc28135"/>
      <w:bookmarkStart w:id="317" w:name="_Toc29199"/>
      <w:bookmarkStart w:id="318" w:name="_Toc300834967"/>
      <w:bookmarkStart w:id="319" w:name="_Toc144974514"/>
      <w:bookmarkStart w:id="320" w:name="_Toc26603"/>
      <w:bookmarkStart w:id="321" w:name="_Toc25826"/>
      <w:bookmarkStart w:id="322" w:name="_Toc152045546"/>
      <w:bookmarkStart w:id="323" w:name="_Toc31255"/>
      <w:bookmarkStart w:id="324" w:name="_Toc5391"/>
      <w:r>
        <w:rPr>
          <w:color w:val="auto"/>
          <w:highlight w:val="none"/>
        </w:rPr>
        <w:t xml:space="preserve">3. </w:t>
      </w:r>
      <w:r>
        <w:rPr>
          <w:rFonts w:hint="eastAsia"/>
          <w:color w:val="auto"/>
          <w:highlight w:val="none"/>
        </w:rPr>
        <w:t>投标文件</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5"/>
        <w:rPr>
          <w:color w:val="auto"/>
          <w:highlight w:val="none"/>
        </w:rPr>
      </w:pPr>
      <w:bookmarkStart w:id="325" w:name="_Toc18809"/>
      <w:bookmarkStart w:id="326" w:name="_Toc24076"/>
      <w:bookmarkStart w:id="327" w:name="_Toc26505"/>
      <w:bookmarkStart w:id="328" w:name="_Toc152045547"/>
      <w:bookmarkStart w:id="329" w:name="_Toc15668"/>
      <w:bookmarkStart w:id="330" w:name="_Toc247513971"/>
      <w:bookmarkStart w:id="331" w:name="_Toc10837"/>
      <w:bookmarkStart w:id="332" w:name="_Toc152042323"/>
      <w:bookmarkStart w:id="333" w:name="_Toc144974515"/>
      <w:bookmarkStart w:id="334" w:name="_Toc16929"/>
      <w:bookmarkStart w:id="335" w:name="_Toc4137"/>
      <w:bookmarkStart w:id="336" w:name="_Toc494371533"/>
      <w:bookmarkStart w:id="337" w:name="_Toc300834968"/>
      <w:bookmarkStart w:id="338" w:name="_Toc21128"/>
      <w:bookmarkStart w:id="339" w:name="_Toc247527572"/>
      <w:bookmarkStart w:id="340" w:name="_Toc2343"/>
      <w:bookmarkStart w:id="341" w:name="_Toc3199"/>
      <w:r>
        <w:rPr>
          <w:rFonts w:ascii="Times New Roman" w:hAnsi="Times New Roman"/>
          <w:color w:val="auto"/>
          <w:highlight w:val="none"/>
        </w:rPr>
        <w:t>3.1</w:t>
      </w:r>
      <w:r>
        <w:rPr>
          <w:color w:val="auto"/>
          <w:highlight w:val="none"/>
        </w:rPr>
        <w:t xml:space="preserve"> 投标文件的组成</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spacing w:line="400" w:lineRule="exact"/>
        <w:ind w:firstLine="420" w:firstLineChars="200"/>
        <w:rPr>
          <w:color w:val="auto"/>
          <w:highlight w:val="none"/>
        </w:rPr>
      </w:pPr>
      <w:r>
        <w:rPr>
          <w:rFonts w:hint="eastAsia"/>
          <w:color w:val="auto"/>
          <w:highlight w:val="none"/>
        </w:rPr>
        <w:t>详见本招标文件第七章“投标文件格式”。</w:t>
      </w:r>
    </w:p>
    <w:p>
      <w:pPr>
        <w:pStyle w:val="5"/>
        <w:rPr>
          <w:color w:val="auto"/>
          <w:highlight w:val="none"/>
        </w:rPr>
      </w:pPr>
      <w:bookmarkStart w:id="342" w:name="_Toc32538"/>
      <w:bookmarkStart w:id="343" w:name="_Toc1905"/>
      <w:bookmarkStart w:id="344" w:name="_Toc144974516"/>
      <w:bookmarkStart w:id="345" w:name="_Toc27324"/>
      <w:bookmarkStart w:id="346" w:name="_Toc152045548"/>
      <w:bookmarkStart w:id="347" w:name="_Toc18850"/>
      <w:bookmarkStart w:id="348" w:name="_Toc18309"/>
      <w:bookmarkStart w:id="349" w:name="_Toc7389"/>
      <w:bookmarkStart w:id="350" w:name="_Toc152042324"/>
      <w:bookmarkStart w:id="351" w:name="_Toc300834969"/>
      <w:bookmarkStart w:id="352" w:name="_Toc247527573"/>
      <w:bookmarkStart w:id="353" w:name="_Toc23649"/>
      <w:bookmarkStart w:id="354" w:name="_Toc30945"/>
      <w:bookmarkStart w:id="355" w:name="_Toc247513972"/>
      <w:bookmarkStart w:id="356" w:name="_Toc494371534"/>
      <w:bookmarkStart w:id="357" w:name="_Toc16226"/>
      <w:bookmarkStart w:id="358" w:name="_Toc31604"/>
      <w:r>
        <w:rPr>
          <w:rFonts w:ascii="Times New Roman" w:hAnsi="Times New Roman"/>
          <w:color w:val="auto"/>
          <w:highlight w:val="none"/>
        </w:rPr>
        <w:t>3.2</w:t>
      </w:r>
      <w:r>
        <w:rPr>
          <w:color w:val="auto"/>
          <w:highlight w:val="none"/>
        </w:rPr>
        <w:t xml:space="preserve"> 投标报价</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spacing w:line="400" w:lineRule="exact"/>
        <w:ind w:firstLine="420" w:firstLineChars="200"/>
        <w:rPr>
          <w:color w:val="auto"/>
          <w:highlight w:val="none"/>
        </w:rPr>
      </w:pPr>
      <w:r>
        <w:rPr>
          <w:color w:val="auto"/>
          <w:highlight w:val="none"/>
        </w:rPr>
        <w:t xml:space="preserve">3.2.1 </w:t>
      </w:r>
      <w:r>
        <w:rPr>
          <w:rFonts w:hint="eastAsia"/>
          <w:color w:val="auto"/>
          <w:highlight w:val="none"/>
        </w:rPr>
        <w:t>本工程的投标报价采用投标须知前附表第10款所规定的方式。</w:t>
      </w:r>
    </w:p>
    <w:p>
      <w:pPr>
        <w:spacing w:line="440" w:lineRule="exact"/>
        <w:ind w:firstLine="420" w:firstLineChars="200"/>
        <w:rPr>
          <w:color w:val="auto"/>
          <w:szCs w:val="21"/>
          <w:highlight w:val="none"/>
        </w:rPr>
      </w:pPr>
      <w:r>
        <w:rPr>
          <w:color w:val="auto"/>
          <w:highlight w:val="none"/>
        </w:rPr>
        <w:t xml:space="preserve">3.2.2 </w:t>
      </w:r>
      <w:r>
        <w:rPr>
          <w:rFonts w:hint="eastAsia"/>
          <w:color w:val="auto"/>
          <w:szCs w:val="21"/>
          <w:highlight w:val="none"/>
        </w:rPr>
        <w:t>投标人应充分了解施工场地的位置、周边环境、道路、装卸、保管、安装限制以及影响投标报价的其他要素。投标人根据投标设计，结合市场情况进行投标报价。</w:t>
      </w:r>
    </w:p>
    <w:p>
      <w:pPr>
        <w:spacing w:line="400" w:lineRule="exact"/>
        <w:ind w:firstLine="420" w:firstLineChars="200"/>
        <w:rPr>
          <w:color w:val="auto"/>
          <w:highlight w:val="none"/>
        </w:rPr>
      </w:pPr>
      <w:r>
        <w:rPr>
          <w:color w:val="auto"/>
          <w:highlight w:val="none"/>
        </w:rPr>
        <w:t xml:space="preserve">3.2.3 </w:t>
      </w:r>
      <w:r>
        <w:rPr>
          <w:rFonts w:hint="eastAsia"/>
          <w:color w:val="auto"/>
          <w:highlight w:val="none"/>
        </w:rPr>
        <w:t>招标人设有最高投标限价的，投标人的投标报价不得超过最高投标限价。</w:t>
      </w:r>
    </w:p>
    <w:p>
      <w:pPr>
        <w:spacing w:line="400" w:lineRule="exact"/>
        <w:ind w:firstLine="420" w:firstLineChars="200"/>
        <w:rPr>
          <w:color w:val="auto"/>
          <w:highlight w:val="none"/>
        </w:rPr>
      </w:pPr>
      <w:r>
        <w:rPr>
          <w:color w:val="auto"/>
          <w:highlight w:val="none"/>
        </w:rPr>
        <w:t xml:space="preserve">3.2.4 </w:t>
      </w:r>
      <w:r>
        <w:rPr>
          <w:rFonts w:hint="eastAsia"/>
          <w:color w:val="auto"/>
          <w:highlight w:val="none"/>
        </w:rPr>
        <w:t>投标报价的其他要求见投标人须知前附表。</w:t>
      </w:r>
    </w:p>
    <w:p>
      <w:pPr>
        <w:pStyle w:val="5"/>
        <w:rPr>
          <w:color w:val="auto"/>
          <w:highlight w:val="none"/>
        </w:rPr>
      </w:pPr>
      <w:bookmarkStart w:id="359" w:name="_Toc25305"/>
      <w:bookmarkStart w:id="360" w:name="_Toc247527574"/>
      <w:bookmarkStart w:id="361" w:name="_Toc1581"/>
      <w:bookmarkStart w:id="362" w:name="_Toc152045549"/>
      <w:bookmarkStart w:id="363" w:name="_Toc5732"/>
      <w:bookmarkStart w:id="364" w:name="_Toc32500"/>
      <w:bookmarkStart w:id="365" w:name="_Toc25744"/>
      <w:bookmarkStart w:id="366" w:name="_Toc144974517"/>
      <w:bookmarkStart w:id="367" w:name="_Toc1280"/>
      <w:bookmarkStart w:id="368" w:name="_Toc29718"/>
      <w:bookmarkStart w:id="369" w:name="_Toc152042325"/>
      <w:bookmarkStart w:id="370" w:name="_Toc300834970"/>
      <w:bookmarkStart w:id="371" w:name="_Toc494371535"/>
      <w:bookmarkStart w:id="372" w:name="_Toc3740"/>
      <w:bookmarkStart w:id="373" w:name="_Toc247513973"/>
      <w:bookmarkStart w:id="374" w:name="_Toc15196"/>
      <w:bookmarkStart w:id="375" w:name="_Toc22353"/>
      <w:r>
        <w:rPr>
          <w:rFonts w:ascii="Times New Roman" w:hAnsi="Times New Roman"/>
          <w:color w:val="auto"/>
          <w:highlight w:val="none"/>
        </w:rPr>
        <w:t>3.3</w:t>
      </w:r>
      <w:r>
        <w:rPr>
          <w:color w:val="auto"/>
          <w:highlight w:val="none"/>
        </w:rPr>
        <w:t xml:space="preserve"> 投标有效期</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spacing w:line="400" w:lineRule="exact"/>
        <w:ind w:firstLine="420" w:firstLineChars="200"/>
        <w:rPr>
          <w:color w:val="auto"/>
          <w:highlight w:val="none"/>
        </w:rPr>
      </w:pPr>
      <w:r>
        <w:rPr>
          <w:color w:val="auto"/>
          <w:highlight w:val="none"/>
        </w:rPr>
        <w:t xml:space="preserve">3.3.1 </w:t>
      </w:r>
      <w:r>
        <w:rPr>
          <w:rFonts w:hint="eastAsia"/>
          <w:color w:val="auto"/>
          <w:highlight w:val="none"/>
        </w:rPr>
        <w:t>投标有效期按须知前附表的规定。</w:t>
      </w:r>
    </w:p>
    <w:p>
      <w:pPr>
        <w:spacing w:line="400" w:lineRule="exact"/>
        <w:ind w:firstLine="420" w:firstLineChars="200"/>
        <w:rPr>
          <w:color w:val="auto"/>
          <w:highlight w:val="none"/>
        </w:rPr>
      </w:pPr>
      <w:r>
        <w:rPr>
          <w:color w:val="auto"/>
          <w:highlight w:val="none"/>
        </w:rPr>
        <w:t xml:space="preserve">3.3.2 </w:t>
      </w:r>
      <w:r>
        <w:rPr>
          <w:rFonts w:hint="eastAsia"/>
          <w:color w:val="auto"/>
          <w:highlight w:val="none"/>
        </w:rPr>
        <w:t>在投标有效期内，投标人撤销或修改其投标文件的，应承担招标文件和法律规定的责任。</w:t>
      </w:r>
    </w:p>
    <w:p>
      <w:pPr>
        <w:spacing w:line="400" w:lineRule="exact"/>
        <w:ind w:firstLine="420" w:firstLineChars="200"/>
        <w:rPr>
          <w:color w:val="auto"/>
          <w:highlight w:val="none"/>
        </w:rPr>
      </w:pPr>
      <w:r>
        <w:rPr>
          <w:color w:val="auto"/>
          <w:highlight w:val="none"/>
        </w:rPr>
        <w:t xml:space="preserve">3.3.3 </w:t>
      </w:r>
      <w:r>
        <w:rPr>
          <w:rFonts w:hint="eastAsia"/>
          <w:color w:val="auto"/>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rPr>
          <w:color w:val="auto"/>
          <w:highlight w:val="none"/>
        </w:rPr>
      </w:pPr>
      <w:bookmarkStart w:id="376" w:name="_Toc204"/>
      <w:bookmarkStart w:id="377" w:name="_Toc247527575"/>
      <w:bookmarkStart w:id="378" w:name="_Toc28467"/>
      <w:bookmarkStart w:id="379" w:name="_Toc300834971"/>
      <w:bookmarkStart w:id="380" w:name="_Toc31972"/>
      <w:bookmarkStart w:id="381" w:name="_Toc28691"/>
      <w:bookmarkStart w:id="382" w:name="_Toc247513974"/>
      <w:bookmarkStart w:id="383" w:name="_Toc25607"/>
      <w:bookmarkStart w:id="384" w:name="_Toc3863"/>
      <w:bookmarkStart w:id="385" w:name="_Toc31983"/>
      <w:bookmarkStart w:id="386" w:name="_Toc152042326"/>
      <w:bookmarkStart w:id="387" w:name="_Toc3081"/>
      <w:bookmarkStart w:id="388" w:name="_Toc24047"/>
      <w:bookmarkStart w:id="389" w:name="_Toc494371536"/>
      <w:bookmarkStart w:id="390" w:name="_Toc152045550"/>
      <w:bookmarkStart w:id="391" w:name="_Toc13372"/>
      <w:bookmarkStart w:id="392" w:name="_Toc144974518"/>
      <w:r>
        <w:rPr>
          <w:rFonts w:ascii="Times New Roman" w:hAnsi="Times New Roman"/>
          <w:color w:val="auto"/>
          <w:highlight w:val="none"/>
        </w:rPr>
        <w:t>3.4</w:t>
      </w:r>
      <w:r>
        <w:rPr>
          <w:color w:val="auto"/>
          <w:highlight w:val="none"/>
        </w:rPr>
        <w:t xml:space="preserve"> 投标保证金</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spacing w:line="400" w:lineRule="exact"/>
        <w:ind w:firstLine="420" w:firstLineChars="200"/>
        <w:rPr>
          <w:color w:val="auto"/>
          <w:highlight w:val="none"/>
        </w:rPr>
      </w:pPr>
      <w:r>
        <w:rPr>
          <w:color w:val="auto"/>
          <w:highlight w:val="none"/>
        </w:rPr>
        <w:t xml:space="preserve">3.4.1 </w:t>
      </w:r>
      <w:r>
        <w:rPr>
          <w:rFonts w:hint="eastAsia"/>
          <w:color w:val="auto"/>
          <w:highlight w:val="none"/>
        </w:rPr>
        <w:t>投标人须在开标前按投标人须知前附表规定的金额、担保形式递交投标保证金。并应符合投标人须知前附表的规定。</w:t>
      </w:r>
    </w:p>
    <w:p>
      <w:pPr>
        <w:spacing w:line="400" w:lineRule="exact"/>
        <w:ind w:firstLine="420" w:firstLineChars="200"/>
        <w:rPr>
          <w:color w:val="auto"/>
          <w:highlight w:val="none"/>
        </w:rPr>
      </w:pPr>
      <w:r>
        <w:rPr>
          <w:color w:val="auto"/>
          <w:highlight w:val="none"/>
        </w:rPr>
        <w:t>3.4.</w:t>
      </w:r>
      <w:r>
        <w:rPr>
          <w:rFonts w:hint="eastAsia"/>
          <w:color w:val="auto"/>
          <w:highlight w:val="none"/>
        </w:rPr>
        <w:t>2</w:t>
      </w:r>
      <w:r>
        <w:rPr>
          <w:color w:val="auto"/>
          <w:highlight w:val="none"/>
        </w:rPr>
        <w:t xml:space="preserve"> </w:t>
      </w:r>
      <w:r>
        <w:rPr>
          <w:rFonts w:hint="eastAsia"/>
          <w:color w:val="auto"/>
          <w:highlight w:val="none"/>
        </w:rPr>
        <w:t>有下列情形之一的，投标保证金将不予退还：</w:t>
      </w:r>
    </w:p>
    <w:p>
      <w:pPr>
        <w:spacing w:line="400" w:lineRule="exact"/>
        <w:ind w:firstLine="315" w:firstLineChars="150"/>
        <w:rPr>
          <w:color w:val="auto"/>
          <w:highlight w:val="none"/>
        </w:rPr>
      </w:pPr>
      <w:r>
        <w:rPr>
          <w:rFonts w:hint="eastAsia"/>
          <w:color w:val="auto"/>
          <w:highlight w:val="none"/>
        </w:rPr>
        <w:t>（</w:t>
      </w:r>
      <w:r>
        <w:rPr>
          <w:color w:val="auto"/>
          <w:highlight w:val="none"/>
        </w:rPr>
        <w:t>1</w:t>
      </w:r>
      <w:r>
        <w:rPr>
          <w:rFonts w:hint="eastAsia"/>
          <w:color w:val="auto"/>
          <w:highlight w:val="none"/>
        </w:rPr>
        <w:t>）投标人在投标有效期内撤回投标标书；</w:t>
      </w:r>
    </w:p>
    <w:p>
      <w:pPr>
        <w:spacing w:line="400" w:lineRule="exact"/>
        <w:ind w:firstLine="315" w:firstLineChars="150"/>
        <w:rPr>
          <w:color w:val="auto"/>
          <w:highlight w:val="none"/>
        </w:rPr>
      </w:pPr>
      <w:r>
        <w:rPr>
          <w:rFonts w:hint="eastAsia"/>
          <w:color w:val="auto"/>
          <w:highlight w:val="none"/>
        </w:rPr>
        <w:t>（</w:t>
      </w:r>
      <w:r>
        <w:rPr>
          <w:color w:val="auto"/>
          <w:highlight w:val="none"/>
        </w:rPr>
        <w:t>2</w:t>
      </w:r>
      <w:r>
        <w:rPr>
          <w:rFonts w:hint="eastAsia"/>
          <w:color w:val="auto"/>
          <w:highlight w:val="none"/>
        </w:rPr>
        <w:t>）中标人未在规定期限内按要求递交履约担保；</w:t>
      </w:r>
    </w:p>
    <w:p>
      <w:pPr>
        <w:spacing w:line="400" w:lineRule="exact"/>
        <w:ind w:firstLine="315" w:firstLineChars="150"/>
        <w:rPr>
          <w:color w:val="auto"/>
          <w:highlight w:val="none"/>
        </w:rPr>
      </w:pPr>
      <w:r>
        <w:rPr>
          <w:rFonts w:hint="eastAsia"/>
          <w:color w:val="auto"/>
          <w:highlight w:val="none"/>
        </w:rPr>
        <w:t>（</w:t>
      </w:r>
      <w:r>
        <w:rPr>
          <w:color w:val="auto"/>
          <w:highlight w:val="none"/>
        </w:rPr>
        <w:t>3</w:t>
      </w:r>
      <w:r>
        <w:rPr>
          <w:rFonts w:hint="eastAsia"/>
          <w:color w:val="auto"/>
          <w:highlight w:val="none"/>
        </w:rPr>
        <w:t>）中标人未在规定期限内签署合同协议。</w:t>
      </w:r>
    </w:p>
    <w:p>
      <w:pPr>
        <w:spacing w:line="400" w:lineRule="exact"/>
        <w:ind w:firstLine="315" w:firstLineChars="150"/>
        <w:rPr>
          <w:color w:val="auto"/>
          <w:highlight w:val="none"/>
        </w:rPr>
      </w:pPr>
      <w:r>
        <w:rPr>
          <w:rFonts w:hint="eastAsia"/>
          <w:color w:val="auto"/>
          <w:highlight w:val="none"/>
        </w:rPr>
        <w:t>（</w:t>
      </w:r>
      <w:r>
        <w:rPr>
          <w:color w:val="auto"/>
          <w:highlight w:val="none"/>
        </w:rPr>
        <w:t>4</w:t>
      </w:r>
      <w:r>
        <w:rPr>
          <w:rFonts w:hint="eastAsia"/>
          <w:color w:val="auto"/>
          <w:highlight w:val="none"/>
        </w:rPr>
        <w:t>）投标人在本项目投标过程中有违法违规行为的。</w:t>
      </w:r>
    </w:p>
    <w:p>
      <w:pPr>
        <w:pStyle w:val="5"/>
        <w:rPr>
          <w:color w:val="auto"/>
          <w:highlight w:val="none"/>
        </w:rPr>
      </w:pPr>
      <w:bookmarkStart w:id="393" w:name="_Toc300834973"/>
      <w:bookmarkStart w:id="394" w:name="_Toc152042328"/>
      <w:bookmarkStart w:id="395" w:name="_Toc30108"/>
      <w:bookmarkStart w:id="396" w:name="_Toc26931"/>
      <w:bookmarkStart w:id="397" w:name="_Toc8480"/>
      <w:bookmarkStart w:id="398" w:name="_Toc24365"/>
      <w:bookmarkStart w:id="399" w:name="_Toc955"/>
      <w:bookmarkStart w:id="400" w:name="_Toc247527577"/>
      <w:bookmarkStart w:id="401" w:name="_Toc29993"/>
      <w:bookmarkStart w:id="402" w:name="_Toc5908"/>
      <w:bookmarkStart w:id="403" w:name="_Toc5946"/>
      <w:bookmarkStart w:id="404" w:name="_Toc247513976"/>
      <w:bookmarkStart w:id="405" w:name="_Toc494371537"/>
      <w:bookmarkStart w:id="406" w:name="_Toc11498"/>
      <w:bookmarkStart w:id="407" w:name="_Toc152045552"/>
      <w:bookmarkStart w:id="408" w:name="_Toc144974520"/>
      <w:bookmarkStart w:id="409" w:name="_Toc28635"/>
      <w:r>
        <w:rPr>
          <w:rFonts w:ascii="Times New Roman" w:hAnsi="Times New Roman"/>
          <w:color w:val="auto"/>
          <w:highlight w:val="none"/>
        </w:rPr>
        <w:t>3.5</w:t>
      </w:r>
      <w:r>
        <w:rPr>
          <w:color w:val="auto"/>
          <w:highlight w:val="none"/>
        </w:rPr>
        <w:t xml:space="preserve"> 资格审查资料</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shd w:val="clear" w:color="auto" w:fill="FFFFFF"/>
        </w:rPr>
        <w:t>本项目采用非电子化资格后审，由评标委员会负责对投标人的资格进行审查，</w:t>
      </w:r>
      <w:r>
        <w:rPr>
          <w:rFonts w:hint="eastAsia" w:ascii="宋体" w:hAnsi="宋体"/>
          <w:color w:val="auto"/>
          <w:szCs w:val="21"/>
          <w:highlight w:val="none"/>
        </w:rPr>
        <w:t>评标时只对通过资格审查的投标人进行下一阶段的评审。</w:t>
      </w:r>
    </w:p>
    <w:p>
      <w:pPr>
        <w:pStyle w:val="5"/>
        <w:rPr>
          <w:rFonts w:ascii="Times New Roman" w:hAnsi="Times New Roman"/>
          <w:color w:val="auto"/>
          <w:highlight w:val="none"/>
        </w:rPr>
      </w:pPr>
      <w:bookmarkStart w:id="410" w:name="_Toc300834974"/>
      <w:bookmarkStart w:id="411" w:name="_Toc247527578"/>
      <w:bookmarkStart w:id="412" w:name="_Toc247513977"/>
      <w:bookmarkStart w:id="413" w:name="_Toc152045553"/>
      <w:bookmarkStart w:id="414" w:name="_Toc152042329"/>
      <w:bookmarkStart w:id="415" w:name="_Toc144974521"/>
      <w:r>
        <w:rPr>
          <w:rFonts w:hint="eastAsia" w:ascii="Times New Roman" w:hAnsi="Times New Roman"/>
          <w:color w:val="auto"/>
          <w:highlight w:val="none"/>
        </w:rPr>
        <w:t>3.6 备选投标方案</w:t>
      </w:r>
      <w:bookmarkEnd w:id="410"/>
      <w:bookmarkEnd w:id="411"/>
      <w:bookmarkEnd w:id="412"/>
      <w:bookmarkEnd w:id="413"/>
      <w:bookmarkEnd w:id="414"/>
      <w:bookmarkEnd w:id="415"/>
    </w:p>
    <w:p>
      <w:pPr>
        <w:spacing w:line="360" w:lineRule="auto"/>
        <w:ind w:firstLine="420" w:firstLineChars="200"/>
        <w:rPr>
          <w:strike/>
          <w:color w:val="auto"/>
          <w:highlight w:val="none"/>
        </w:rPr>
      </w:pPr>
      <w:r>
        <w:rPr>
          <w:rFonts w:hint="eastAsia"/>
          <w:color w:val="auto"/>
          <w:highlight w:val="none"/>
        </w:rPr>
        <w:t>除投标人须知前附表另有规定外，投标人不得递交备选投标方案。</w:t>
      </w:r>
    </w:p>
    <w:p>
      <w:pPr>
        <w:pStyle w:val="5"/>
        <w:rPr>
          <w:color w:val="auto"/>
          <w:highlight w:val="none"/>
        </w:rPr>
      </w:pPr>
      <w:bookmarkStart w:id="416" w:name="_Toc2595"/>
      <w:bookmarkStart w:id="417" w:name="_Toc8230"/>
      <w:bookmarkStart w:id="418" w:name="_Toc12571"/>
      <w:bookmarkStart w:id="419" w:name="_Toc144974522"/>
      <w:bookmarkStart w:id="420" w:name="_Toc4267"/>
      <w:bookmarkStart w:id="421" w:name="_Toc32158"/>
      <w:bookmarkStart w:id="422" w:name="_Toc494371539"/>
      <w:bookmarkStart w:id="423" w:name="_Toc152042330"/>
      <w:bookmarkStart w:id="424" w:name="_Toc300834975"/>
      <w:bookmarkStart w:id="425" w:name="_Toc29948"/>
      <w:bookmarkStart w:id="426" w:name="_Toc247513978"/>
      <w:bookmarkStart w:id="427" w:name="_Toc6939"/>
      <w:bookmarkStart w:id="428" w:name="_Toc1368"/>
      <w:bookmarkStart w:id="429" w:name="_Toc152045554"/>
      <w:bookmarkStart w:id="430" w:name="_Toc24511"/>
      <w:bookmarkStart w:id="431" w:name="_Toc1992"/>
      <w:bookmarkStart w:id="432" w:name="_Toc247527579"/>
      <w:r>
        <w:rPr>
          <w:rFonts w:ascii="Times New Roman" w:hAnsi="Times New Roman"/>
          <w:color w:val="auto"/>
          <w:highlight w:val="none"/>
        </w:rPr>
        <w:t>3.7</w:t>
      </w:r>
      <w:r>
        <w:rPr>
          <w:color w:val="auto"/>
          <w:highlight w:val="none"/>
        </w:rPr>
        <w:t xml:space="preserve"> 投标文件的编制</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400" w:lineRule="exact"/>
        <w:ind w:firstLine="420" w:firstLineChars="200"/>
        <w:rPr>
          <w:color w:val="auto"/>
          <w:highlight w:val="none"/>
        </w:rPr>
      </w:pPr>
      <w:r>
        <w:rPr>
          <w:color w:val="auto"/>
          <w:highlight w:val="none"/>
        </w:rPr>
        <w:t xml:space="preserve">3.7.1 </w:t>
      </w:r>
      <w:r>
        <w:rPr>
          <w:rFonts w:hint="eastAsia"/>
          <w:color w:val="auto"/>
          <w:highlight w:val="none"/>
        </w:rPr>
        <w:t>投标文件应按“投标文件格式”进行编写，如有必要，可以增加附页，作为投标文件的组成部分。其中，投标函附录在满足招标文件实质性要求的基础上，可以提出比招标文件要求更有利于招标人的承诺。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color w:val="auto"/>
          <w:szCs w:val="21"/>
          <w:highlight w:val="none"/>
        </w:rPr>
      </w:pPr>
      <w:r>
        <w:rPr>
          <w:color w:val="auto"/>
          <w:highlight w:val="none"/>
        </w:rPr>
        <w:t xml:space="preserve">3.7.2 </w:t>
      </w:r>
      <w:r>
        <w:rPr>
          <w:rFonts w:hint="eastAsia"/>
          <w:color w:val="auto"/>
          <w:highlight w:val="none"/>
        </w:rPr>
        <w:t>投标文件应当对招标文件有关</w:t>
      </w:r>
      <w:r>
        <w:rPr>
          <w:rFonts w:hint="eastAsia"/>
          <w:color w:val="auto"/>
          <w:szCs w:val="21"/>
          <w:highlight w:val="none"/>
        </w:rPr>
        <w:t>招标范围、投标有效期、工期、质量标准、发包人要求等实质性内容作出响应。</w:t>
      </w:r>
    </w:p>
    <w:p>
      <w:pPr>
        <w:spacing w:line="400" w:lineRule="exact"/>
        <w:ind w:firstLine="420" w:firstLineChars="200"/>
        <w:rPr>
          <w:color w:val="auto"/>
          <w:highlight w:val="none"/>
        </w:rPr>
      </w:pPr>
      <w:r>
        <w:rPr>
          <w:color w:val="auto"/>
          <w:highlight w:val="none"/>
        </w:rPr>
        <w:t xml:space="preserve">3.7.3 </w:t>
      </w:r>
      <w:r>
        <w:rPr>
          <w:rFonts w:hint="eastAsia"/>
          <w:color w:val="auto"/>
          <w:highlight w:val="none"/>
        </w:rPr>
        <w:t>投标文件编制要求：</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w:t>
      </w:r>
      <w:r>
        <w:rPr>
          <w:rFonts w:hint="eastAsia" w:ascii="宋体" w:hAnsi="宋体"/>
          <w:color w:val="auto"/>
          <w:highlight w:val="none"/>
        </w:rPr>
        <w:t>）投标文件正本壹份，副本份数见投标人须知前附表。正本和副本的封面上应清楚地标记“正本”或“副本”的字样。当副本和正本不一致时，以正本为准。副本可为是正本签字盖章后的复印件。</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）投标文件的正本与副本应分别装订成册，</w:t>
      </w:r>
      <w:r>
        <w:rPr>
          <w:rFonts w:hint="eastAsia" w:ascii="宋体" w:hAnsi="宋体"/>
          <w:color w:val="auto"/>
          <w:szCs w:val="21"/>
          <w:highlight w:val="none"/>
        </w:rPr>
        <w:t>各册独立装订的投标文件均采用不易松散的书式装订</w:t>
      </w:r>
      <w:r>
        <w:rPr>
          <w:rFonts w:hint="eastAsia" w:ascii="宋体" w:hAnsi="宋体"/>
          <w:color w:val="auto"/>
          <w:highlight w:val="none"/>
        </w:rPr>
        <w:t>。</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）投标文件的规格：资格审查文件、</w:t>
      </w:r>
      <w:r>
        <w:rPr>
          <w:rFonts w:hint="eastAsia" w:ascii="宋体" w:hAnsi="宋体"/>
          <w:color w:val="auto"/>
          <w:highlight w:val="none"/>
          <w:lang w:eastAsia="zh-CN"/>
        </w:rPr>
        <w:t>工程施工总承包实施方案</w:t>
      </w:r>
      <w:r>
        <w:rPr>
          <w:rFonts w:hint="eastAsia" w:ascii="宋体" w:hAnsi="宋体"/>
          <w:color w:val="auto"/>
          <w:highlight w:val="none"/>
        </w:rPr>
        <w:t>（含资信部分）文件、投标报价文件统一</w:t>
      </w:r>
      <w:r>
        <w:rPr>
          <w:rFonts w:ascii="宋体" w:hAnsi="宋体"/>
          <w:color w:val="auto"/>
          <w:highlight w:val="none"/>
        </w:rPr>
        <w:t>A4</w:t>
      </w:r>
      <w:r>
        <w:rPr>
          <w:rFonts w:hint="eastAsia" w:ascii="宋体" w:hAnsi="宋体"/>
          <w:color w:val="auto"/>
          <w:highlight w:val="none"/>
        </w:rPr>
        <w:t>印刷本，纸质封面，封面</w:t>
      </w:r>
      <w:r>
        <w:rPr>
          <w:rFonts w:hint="eastAsia" w:ascii="宋体" w:hAnsi="宋体"/>
          <w:color w:val="auto"/>
          <w:szCs w:val="21"/>
          <w:highlight w:val="none"/>
        </w:rPr>
        <w:t>格式见第七章</w:t>
      </w:r>
      <w:r>
        <w:rPr>
          <w:rFonts w:ascii="宋体" w:hAnsi="宋体"/>
          <w:color w:val="auto"/>
          <w:highlight w:val="none"/>
        </w:rPr>
        <w:t>,</w:t>
      </w:r>
      <w:r>
        <w:rPr>
          <w:rFonts w:hint="eastAsia" w:ascii="宋体" w:hAnsi="宋体"/>
          <w:color w:val="auto"/>
          <w:highlight w:val="none"/>
        </w:rPr>
        <w:t>使用书式装订。</w:t>
      </w:r>
    </w:p>
    <w:p>
      <w:pPr>
        <w:spacing w:line="400" w:lineRule="exact"/>
        <w:ind w:firstLine="420" w:firstLineChars="200"/>
        <w:rPr>
          <w:rFonts w:ascii="宋体" w:hAnsi="宋体"/>
          <w:color w:val="auto"/>
          <w:highlight w:val="none"/>
        </w:rPr>
      </w:pPr>
      <w:r>
        <w:rPr>
          <w:rFonts w:ascii="宋体" w:hAnsi="宋体"/>
          <w:color w:val="auto"/>
          <w:highlight w:val="none"/>
        </w:rPr>
        <w:t xml:space="preserve">3.7.4 </w:t>
      </w:r>
      <w:r>
        <w:rPr>
          <w:rFonts w:hint="eastAsia" w:ascii="宋体" w:hAnsi="宋体"/>
          <w:color w:val="auto"/>
          <w:highlight w:val="none"/>
        </w:rPr>
        <w:t>投标文件份数：按须知前附表的规定。</w:t>
      </w:r>
    </w:p>
    <w:p>
      <w:pPr>
        <w:pStyle w:val="4"/>
        <w:rPr>
          <w:color w:val="auto"/>
          <w:highlight w:val="none"/>
        </w:rPr>
      </w:pPr>
      <w:bookmarkStart w:id="433" w:name="_Toc300834976"/>
      <w:bookmarkStart w:id="434" w:name="_Toc144974523"/>
      <w:bookmarkStart w:id="435" w:name="_Toc26855"/>
      <w:bookmarkStart w:id="436" w:name="_Toc11889"/>
      <w:bookmarkStart w:id="437" w:name="_Toc152042331"/>
      <w:bookmarkStart w:id="438" w:name="_Toc24077"/>
      <w:bookmarkStart w:id="439" w:name="_Toc10739"/>
      <w:bookmarkStart w:id="440" w:name="_Toc152045555"/>
      <w:bookmarkStart w:id="441" w:name="_Toc16206"/>
      <w:bookmarkStart w:id="442" w:name="_Toc247513979"/>
      <w:bookmarkStart w:id="443" w:name="_Toc28992"/>
      <w:bookmarkStart w:id="444" w:name="_Toc24355"/>
      <w:bookmarkStart w:id="445" w:name="_Toc24913"/>
      <w:bookmarkStart w:id="446" w:name="_Toc21390"/>
      <w:bookmarkStart w:id="447" w:name="_Toc494371540"/>
      <w:bookmarkStart w:id="448" w:name="_Toc28527"/>
      <w:bookmarkStart w:id="449" w:name="_Toc2578"/>
      <w:bookmarkStart w:id="450" w:name="_Toc9443"/>
      <w:bookmarkStart w:id="451" w:name="_Toc247527580"/>
      <w:r>
        <w:rPr>
          <w:color w:val="auto"/>
          <w:highlight w:val="none"/>
        </w:rPr>
        <w:t xml:space="preserve">4. </w:t>
      </w:r>
      <w:r>
        <w:rPr>
          <w:rFonts w:hint="eastAsia"/>
          <w:color w:val="auto"/>
          <w:highlight w:val="none"/>
        </w:rPr>
        <w:t>投标</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pStyle w:val="5"/>
        <w:spacing w:before="0" w:after="0" w:line="360" w:lineRule="auto"/>
        <w:rPr>
          <w:color w:val="auto"/>
          <w:highlight w:val="none"/>
        </w:rPr>
      </w:pPr>
      <w:bookmarkStart w:id="452" w:name="_Toc152045556"/>
      <w:bookmarkStart w:id="453" w:name="_Toc247513980"/>
      <w:bookmarkStart w:id="454" w:name="_Toc144974524"/>
      <w:bookmarkStart w:id="455" w:name="_Toc300834977"/>
      <w:bookmarkStart w:id="456" w:name="_Toc247527581"/>
      <w:bookmarkStart w:id="457" w:name="_Toc152042332"/>
      <w:bookmarkStart w:id="458" w:name="_Toc247527582"/>
      <w:bookmarkStart w:id="459" w:name="_Toc144974525"/>
      <w:bookmarkStart w:id="460" w:name="_Toc7700"/>
      <w:bookmarkStart w:id="461" w:name="_Toc300834978"/>
      <w:bookmarkStart w:id="462" w:name="_Toc17033"/>
      <w:bookmarkStart w:id="463" w:name="_Toc247513981"/>
      <w:bookmarkStart w:id="464" w:name="_Toc152042333"/>
      <w:bookmarkStart w:id="465" w:name="_Toc2556"/>
      <w:bookmarkStart w:id="466" w:name="_Toc17435"/>
      <w:bookmarkStart w:id="467" w:name="_Toc20865"/>
      <w:bookmarkStart w:id="468" w:name="_Toc16217"/>
      <w:bookmarkStart w:id="469" w:name="_Toc152045557"/>
      <w:r>
        <w:rPr>
          <w:rFonts w:hint="eastAsia" w:hAnsi="黑体" w:cs="黑体"/>
          <w:color w:val="auto"/>
          <w:highlight w:val="none"/>
        </w:rPr>
        <w:t>4.1 投标文件的密封和标记</w:t>
      </w:r>
      <w:bookmarkEnd w:id="452"/>
      <w:bookmarkEnd w:id="453"/>
      <w:bookmarkEnd w:id="454"/>
      <w:bookmarkEnd w:id="455"/>
      <w:bookmarkEnd w:id="456"/>
      <w:bookmarkEnd w:id="457"/>
    </w:p>
    <w:p>
      <w:pPr>
        <w:spacing w:line="400" w:lineRule="exact"/>
        <w:ind w:firstLine="420" w:firstLineChars="200"/>
        <w:rPr>
          <w:rFonts w:ascii="宋体" w:hAnsi="宋体"/>
          <w:color w:val="auto"/>
          <w:highlight w:val="none"/>
        </w:rPr>
      </w:pPr>
      <w:r>
        <w:rPr>
          <w:rFonts w:hint="eastAsia" w:ascii="宋体" w:hAnsi="宋体"/>
          <w:color w:val="auto"/>
          <w:highlight w:val="none"/>
        </w:rPr>
        <w:t>4.1.1 投标文件应进行包装、加贴封条，并在封套的封口处加盖投标人单位章。</w:t>
      </w:r>
    </w:p>
    <w:p>
      <w:pPr>
        <w:spacing w:line="400" w:lineRule="exact"/>
        <w:ind w:firstLine="420" w:firstLineChars="200"/>
        <w:rPr>
          <w:rFonts w:ascii="宋体" w:hAnsi="宋体"/>
          <w:color w:val="auto"/>
          <w:highlight w:val="none"/>
        </w:rPr>
      </w:pPr>
      <w:r>
        <w:rPr>
          <w:rFonts w:hint="eastAsia" w:ascii="宋体" w:hAnsi="宋体"/>
          <w:color w:val="auto"/>
          <w:highlight w:val="none"/>
        </w:rPr>
        <w:t>4.1.2 投标文件封套上应写明的内容见投标人须知前附表。</w:t>
      </w:r>
    </w:p>
    <w:p>
      <w:pPr>
        <w:spacing w:line="400" w:lineRule="exact"/>
        <w:ind w:firstLine="420" w:firstLineChars="200"/>
        <w:rPr>
          <w:rFonts w:ascii="宋体" w:hAnsi="宋体"/>
          <w:color w:val="auto"/>
          <w:highlight w:val="none"/>
        </w:rPr>
      </w:pPr>
      <w:r>
        <w:rPr>
          <w:rFonts w:hint="eastAsia" w:ascii="宋体" w:hAnsi="宋体"/>
          <w:color w:val="auto"/>
          <w:highlight w:val="none"/>
        </w:rPr>
        <w:t>4.1.3 未按本章第4.1.1项或第4.1.2项要求密封和加写标记的投标文件，招标人不予受理。</w:t>
      </w:r>
    </w:p>
    <w:p>
      <w:pPr>
        <w:pStyle w:val="5"/>
        <w:rPr>
          <w:rFonts w:ascii="Times New Roman" w:hAnsi="Times New Roman"/>
          <w:color w:val="auto"/>
          <w:highlight w:val="none"/>
        </w:rPr>
      </w:pPr>
      <w:r>
        <w:rPr>
          <w:rFonts w:ascii="Times New Roman" w:hAnsi="Times New Roman"/>
          <w:color w:val="auto"/>
          <w:highlight w:val="none"/>
        </w:rPr>
        <w:t xml:space="preserve">4.2 </w:t>
      </w:r>
      <w:r>
        <w:rPr>
          <w:rFonts w:hint="eastAsia" w:ascii="Times New Roman" w:hAnsi="Times New Roman"/>
          <w:color w:val="auto"/>
          <w:highlight w:val="none"/>
        </w:rPr>
        <w:t>投标文件的递交</w:t>
      </w:r>
      <w:bookmarkEnd w:id="458"/>
      <w:bookmarkEnd w:id="459"/>
      <w:bookmarkEnd w:id="460"/>
      <w:bookmarkEnd w:id="461"/>
      <w:bookmarkEnd w:id="462"/>
      <w:bookmarkEnd w:id="463"/>
      <w:bookmarkEnd w:id="464"/>
      <w:bookmarkEnd w:id="465"/>
      <w:bookmarkEnd w:id="466"/>
      <w:bookmarkEnd w:id="467"/>
      <w:bookmarkEnd w:id="468"/>
      <w:bookmarkEnd w:id="469"/>
    </w:p>
    <w:p>
      <w:pPr>
        <w:spacing w:line="400" w:lineRule="exact"/>
        <w:ind w:firstLine="420" w:firstLineChars="200"/>
        <w:rPr>
          <w:rFonts w:ascii="宋体" w:hAnsi="宋体"/>
          <w:color w:val="auto"/>
          <w:highlight w:val="none"/>
        </w:rPr>
      </w:pPr>
      <w:r>
        <w:rPr>
          <w:color w:val="auto"/>
          <w:highlight w:val="none"/>
        </w:rPr>
        <w:t xml:space="preserve">4.2.1 </w:t>
      </w:r>
      <w:r>
        <w:rPr>
          <w:rFonts w:hint="eastAsia" w:ascii="宋体" w:hAnsi="宋体"/>
          <w:color w:val="auto"/>
          <w:highlight w:val="none"/>
        </w:rPr>
        <w:t>投标人代表应按投标须知前附表所规定的时间和地点向招标人提交投标文件。</w:t>
      </w:r>
    </w:p>
    <w:p>
      <w:pPr>
        <w:spacing w:line="400" w:lineRule="exact"/>
        <w:ind w:firstLine="420" w:firstLineChars="200"/>
        <w:rPr>
          <w:rFonts w:ascii="宋体" w:hAnsi="宋体"/>
          <w:color w:val="auto"/>
          <w:highlight w:val="none"/>
        </w:rPr>
      </w:pPr>
      <w:r>
        <w:rPr>
          <w:rFonts w:hint="eastAsia" w:ascii="宋体" w:hAnsi="宋体"/>
          <w:color w:val="auto"/>
          <w:highlight w:val="none"/>
        </w:rPr>
        <w:t>投标人代表应由投标人法定代表人或法定代表人书面授权的委托代理人担任。法定代表人应凭本人身份证和法定代表人证明书原件</w:t>
      </w:r>
      <w:r>
        <w:rPr>
          <w:rFonts w:hint="eastAsia" w:ascii="宋体" w:hAnsi="宋体"/>
          <w:bCs/>
          <w:color w:val="auto"/>
          <w:highlight w:val="none"/>
        </w:rPr>
        <w:t>提交</w:t>
      </w:r>
      <w:r>
        <w:rPr>
          <w:rFonts w:hint="eastAsia" w:ascii="宋体" w:hAnsi="宋体"/>
          <w:color w:val="auto"/>
          <w:highlight w:val="none"/>
        </w:rPr>
        <w:t>投标文件。委托代理人应凭本人身份证、法定代表人证明书原件和法定代表人授权委托证明书原件</w:t>
      </w:r>
      <w:r>
        <w:rPr>
          <w:rFonts w:hint="eastAsia" w:ascii="宋体" w:hAnsi="宋体"/>
          <w:bCs/>
          <w:color w:val="auto"/>
          <w:highlight w:val="none"/>
        </w:rPr>
        <w:t>提交</w:t>
      </w:r>
      <w:r>
        <w:rPr>
          <w:rFonts w:hint="eastAsia" w:ascii="宋体" w:hAnsi="宋体"/>
          <w:color w:val="auto"/>
          <w:highlight w:val="none"/>
        </w:rPr>
        <w:t>投标文件。</w:t>
      </w:r>
    </w:p>
    <w:p>
      <w:pPr>
        <w:spacing w:line="400" w:lineRule="exact"/>
        <w:ind w:firstLine="420" w:firstLineChars="200"/>
        <w:rPr>
          <w:color w:val="auto"/>
          <w:highlight w:val="none"/>
        </w:rPr>
      </w:pPr>
      <w:r>
        <w:rPr>
          <w:color w:val="auto"/>
          <w:highlight w:val="none"/>
        </w:rPr>
        <w:t xml:space="preserve">4.2.2 </w:t>
      </w:r>
      <w:r>
        <w:rPr>
          <w:rFonts w:hint="eastAsia"/>
          <w:color w:val="auto"/>
          <w:highlight w:val="none"/>
        </w:rPr>
        <w:t>投标人递交投标文件的地点：见投标人须知前附表。</w:t>
      </w:r>
    </w:p>
    <w:p>
      <w:pPr>
        <w:spacing w:line="400" w:lineRule="exact"/>
        <w:ind w:firstLine="420" w:firstLineChars="200"/>
        <w:rPr>
          <w:color w:val="auto"/>
          <w:highlight w:val="none"/>
        </w:rPr>
      </w:pPr>
      <w:r>
        <w:rPr>
          <w:color w:val="auto"/>
          <w:highlight w:val="none"/>
        </w:rPr>
        <w:t xml:space="preserve">4.2.3 </w:t>
      </w:r>
      <w:r>
        <w:rPr>
          <w:rFonts w:hint="eastAsia"/>
          <w:color w:val="auto"/>
          <w:highlight w:val="none"/>
        </w:rPr>
        <w:t>除投标人须知前附表另有规定外，投标人所递交的投标文件不予退还。</w:t>
      </w:r>
    </w:p>
    <w:p>
      <w:pPr>
        <w:spacing w:line="400" w:lineRule="exact"/>
        <w:ind w:firstLine="420" w:firstLineChars="200"/>
        <w:rPr>
          <w:color w:val="auto"/>
          <w:highlight w:val="none"/>
        </w:rPr>
      </w:pPr>
      <w:r>
        <w:rPr>
          <w:color w:val="auto"/>
          <w:highlight w:val="none"/>
        </w:rPr>
        <w:t xml:space="preserve">4.2.4 </w:t>
      </w:r>
      <w:r>
        <w:rPr>
          <w:rFonts w:hint="eastAsia"/>
          <w:color w:val="auto"/>
          <w:highlight w:val="none"/>
        </w:rPr>
        <w:t>逾期送达的或者未送达指定地点的投标文件，招标人不予受理。</w:t>
      </w:r>
    </w:p>
    <w:p>
      <w:pPr>
        <w:spacing w:line="400" w:lineRule="exact"/>
        <w:ind w:firstLine="420" w:firstLineChars="200"/>
        <w:rPr>
          <w:rFonts w:ascii="宋体" w:hAnsi="宋体"/>
          <w:color w:val="auto"/>
          <w:highlight w:val="none"/>
        </w:rPr>
      </w:pPr>
      <w:r>
        <w:rPr>
          <w:color w:val="auto"/>
          <w:highlight w:val="none"/>
        </w:rPr>
        <w:t>4.2.5</w:t>
      </w:r>
      <w:r>
        <w:rPr>
          <w:rFonts w:ascii="宋体" w:hAnsi="宋体"/>
          <w:color w:val="auto"/>
          <w:highlight w:val="none"/>
        </w:rPr>
        <w:t xml:space="preserve"> 若出现以下情况，招标人将拒绝接收投标文件：</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1）在投标截止期后逾期或未在指定地点递交投标文件的；</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2）投标文件未按招标文件要求密封的；</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3）投标人代表未按要求签到的；</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在投标截止期前，法定代表人提交投标文件，未同时提交本人身份证和法定代表人证明书原件，或委托代理人提交投标文件，未同时提交本人身份证、法定代表人证明书原件和法定代表人授权委托证明书原件的；</w:t>
      </w:r>
    </w:p>
    <w:p>
      <w:pPr>
        <w:spacing w:line="400" w:lineRule="exact"/>
        <w:ind w:firstLine="420" w:firstLineChars="200"/>
        <w:rPr>
          <w:rFonts w:ascii="宋体" w:hAnsi="宋体"/>
          <w:color w:val="auto"/>
          <w:highlight w:val="none"/>
          <w:u w:val="single"/>
        </w:rPr>
      </w:pPr>
      <w:r>
        <w:rPr>
          <w:rFonts w:hint="eastAsia" w:ascii="宋体" w:hAnsi="宋体"/>
          <w:color w:val="auto"/>
          <w:highlight w:val="none"/>
        </w:rPr>
        <w:t>（5）投标人未成功办理投标登记手续的。</w:t>
      </w:r>
    </w:p>
    <w:p>
      <w:pPr>
        <w:spacing w:line="400" w:lineRule="exact"/>
        <w:ind w:firstLine="420" w:firstLineChars="200"/>
        <w:rPr>
          <w:rFonts w:ascii="宋体"/>
          <w:color w:val="auto"/>
          <w:highlight w:val="none"/>
        </w:rPr>
      </w:pPr>
      <w:r>
        <w:rPr>
          <w:rFonts w:hint="eastAsia" w:ascii="宋体"/>
          <w:color w:val="auto"/>
          <w:highlight w:val="none"/>
        </w:rPr>
        <w:t>4.2.6投标截止前，招标人拒绝接收符合条件的投标文件，投标人可向招标监督机构投诉。</w:t>
      </w:r>
    </w:p>
    <w:p>
      <w:pPr>
        <w:spacing w:line="400" w:lineRule="exact"/>
        <w:ind w:firstLine="420" w:firstLineChars="200"/>
        <w:rPr>
          <w:rFonts w:ascii="宋体" w:hAnsi="宋体"/>
          <w:color w:val="auto"/>
          <w:highlight w:val="none"/>
          <w:u w:val="single"/>
        </w:rPr>
      </w:pPr>
      <w:r>
        <w:rPr>
          <w:rFonts w:hint="eastAsia" w:ascii="宋体"/>
          <w:color w:val="auto"/>
          <w:highlight w:val="none"/>
        </w:rPr>
        <w:t>4.2.7到投标截止时间止，若收到的投标文件少于3家的，本项目招标失败，将依法重新招标。</w:t>
      </w:r>
    </w:p>
    <w:p>
      <w:pPr>
        <w:pStyle w:val="5"/>
        <w:rPr>
          <w:color w:val="auto"/>
          <w:highlight w:val="none"/>
        </w:rPr>
      </w:pPr>
      <w:bookmarkStart w:id="470" w:name="_Toc247513982"/>
      <w:bookmarkStart w:id="471" w:name="_Toc247527583"/>
      <w:bookmarkStart w:id="472" w:name="_Toc152045558"/>
      <w:bookmarkStart w:id="473" w:name="_Toc494371542"/>
      <w:bookmarkStart w:id="474" w:name="_Toc13098"/>
      <w:bookmarkStart w:id="475" w:name="_Toc144974526"/>
      <w:bookmarkStart w:id="476" w:name="_Toc24863"/>
      <w:bookmarkStart w:id="477" w:name="_Toc23867"/>
      <w:bookmarkStart w:id="478" w:name="_Toc25096"/>
      <w:bookmarkStart w:id="479" w:name="_Toc29774"/>
      <w:bookmarkStart w:id="480" w:name="_Toc3022"/>
      <w:bookmarkStart w:id="481" w:name="_Toc1732"/>
      <w:bookmarkStart w:id="482" w:name="_Toc300834979"/>
      <w:bookmarkStart w:id="483" w:name="_Toc29846"/>
      <w:bookmarkStart w:id="484" w:name="_Toc152042334"/>
      <w:bookmarkStart w:id="485" w:name="_Toc28821"/>
      <w:bookmarkStart w:id="486" w:name="_Toc27188"/>
      <w:r>
        <w:rPr>
          <w:rFonts w:ascii="Times New Roman" w:hAnsi="Times New Roman"/>
          <w:color w:val="auto"/>
          <w:highlight w:val="none"/>
        </w:rPr>
        <w:t>4.3</w:t>
      </w:r>
      <w:r>
        <w:rPr>
          <w:color w:val="auto"/>
          <w:highlight w:val="none"/>
        </w:rPr>
        <w:t xml:space="preserve"> 投标文件的修改与撤回</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spacing w:line="400" w:lineRule="exact"/>
        <w:ind w:firstLine="420" w:firstLineChars="200"/>
        <w:rPr>
          <w:color w:val="auto"/>
          <w:highlight w:val="none"/>
        </w:rPr>
      </w:pPr>
      <w:r>
        <w:rPr>
          <w:color w:val="auto"/>
          <w:highlight w:val="none"/>
        </w:rPr>
        <w:t xml:space="preserve">4.3.1 </w:t>
      </w:r>
      <w:r>
        <w:rPr>
          <w:rFonts w:hint="eastAsia"/>
          <w:color w:val="auto"/>
          <w:highlight w:val="none"/>
        </w:rPr>
        <w:t>在规定的投标截止时间前，投标人可以修改或撤回已递交的投标文件，但应以书面形式通知招标人。</w:t>
      </w:r>
    </w:p>
    <w:p>
      <w:pPr>
        <w:spacing w:line="400" w:lineRule="exact"/>
        <w:ind w:firstLine="420" w:firstLineChars="200"/>
        <w:rPr>
          <w:color w:val="auto"/>
          <w:highlight w:val="none"/>
        </w:rPr>
      </w:pPr>
      <w:r>
        <w:rPr>
          <w:color w:val="auto"/>
          <w:highlight w:val="none"/>
        </w:rPr>
        <w:t xml:space="preserve">4.3.2 </w:t>
      </w:r>
      <w:r>
        <w:rPr>
          <w:rFonts w:hint="eastAsia"/>
          <w:color w:val="auto"/>
          <w:highlight w:val="none"/>
        </w:rPr>
        <w:t>投标人修改或撤回已递交投标文件的书面通知应按照本章第</w:t>
      </w:r>
      <w:r>
        <w:rPr>
          <w:color w:val="auto"/>
          <w:highlight w:val="none"/>
        </w:rPr>
        <w:t>3.7.3</w:t>
      </w:r>
      <w:r>
        <w:rPr>
          <w:rFonts w:hint="eastAsia"/>
          <w:color w:val="auto"/>
          <w:highlight w:val="none"/>
        </w:rPr>
        <w:t>项的要求签字或盖章。招标人收到书面通知后，向投标人出具签收凭证。</w:t>
      </w:r>
    </w:p>
    <w:p>
      <w:pPr>
        <w:spacing w:line="400" w:lineRule="exact"/>
        <w:ind w:firstLine="420" w:firstLineChars="200"/>
        <w:rPr>
          <w:color w:val="auto"/>
          <w:highlight w:val="none"/>
        </w:rPr>
      </w:pPr>
      <w:r>
        <w:rPr>
          <w:color w:val="auto"/>
          <w:highlight w:val="none"/>
        </w:rPr>
        <w:t xml:space="preserve">4.3.3 </w:t>
      </w:r>
      <w:r>
        <w:rPr>
          <w:rFonts w:hint="eastAsia"/>
          <w:color w:val="auto"/>
          <w:highlight w:val="none"/>
        </w:rPr>
        <w:t>投标人撤回投标文件的，招标人自收到投标人书面撤回通知之日起</w:t>
      </w:r>
      <w:r>
        <w:rPr>
          <w:color w:val="auto"/>
          <w:highlight w:val="none"/>
        </w:rPr>
        <w:t>5</w:t>
      </w:r>
      <w:r>
        <w:rPr>
          <w:rFonts w:hint="eastAsia"/>
          <w:color w:val="auto"/>
          <w:highlight w:val="none"/>
        </w:rPr>
        <w:t>日内退还已收取的投标保证金。</w:t>
      </w:r>
    </w:p>
    <w:p>
      <w:pPr>
        <w:spacing w:line="400" w:lineRule="exact"/>
        <w:ind w:firstLine="420" w:firstLineChars="200"/>
        <w:rPr>
          <w:color w:val="auto"/>
          <w:highlight w:val="none"/>
        </w:rPr>
      </w:pPr>
      <w:r>
        <w:rPr>
          <w:color w:val="auto"/>
          <w:highlight w:val="none"/>
        </w:rPr>
        <w:t xml:space="preserve">4.3.4 </w:t>
      </w:r>
      <w:r>
        <w:rPr>
          <w:rFonts w:hint="eastAsia"/>
          <w:color w:val="auto"/>
          <w:highlight w:val="none"/>
        </w:rPr>
        <w:t>修改的内容为投标文件的组成部分。修改的投标文件应按照本章第</w:t>
      </w:r>
      <w:r>
        <w:rPr>
          <w:color w:val="auto"/>
          <w:highlight w:val="none"/>
        </w:rPr>
        <w:t>3</w:t>
      </w:r>
      <w:r>
        <w:rPr>
          <w:rFonts w:hint="eastAsia"/>
          <w:color w:val="auto"/>
          <w:highlight w:val="none"/>
        </w:rPr>
        <w:t>条、第</w:t>
      </w:r>
      <w:r>
        <w:rPr>
          <w:color w:val="auto"/>
          <w:highlight w:val="none"/>
        </w:rPr>
        <w:t>4</w:t>
      </w:r>
      <w:r>
        <w:rPr>
          <w:rFonts w:hint="eastAsia"/>
          <w:color w:val="auto"/>
          <w:highlight w:val="none"/>
        </w:rPr>
        <w:t>条规定进行编制、密封、标记和递交，并标明“修改”字样。</w:t>
      </w:r>
    </w:p>
    <w:p>
      <w:pPr>
        <w:spacing w:line="400" w:lineRule="exact"/>
        <w:ind w:firstLine="420" w:firstLineChars="200"/>
        <w:rPr>
          <w:rFonts w:ascii="宋体" w:hAnsi="宋体"/>
          <w:color w:val="auto"/>
          <w:highlight w:val="none"/>
        </w:rPr>
      </w:pPr>
      <w:r>
        <w:rPr>
          <w:rFonts w:ascii="宋体" w:hAnsi="宋体"/>
          <w:color w:val="auto"/>
          <w:highlight w:val="none"/>
        </w:rPr>
        <w:t>4.3.5 在投标截止时间之后，投标人不得补充、修改和更换投标文件。</w:t>
      </w:r>
    </w:p>
    <w:p>
      <w:pPr>
        <w:spacing w:line="400" w:lineRule="exact"/>
        <w:ind w:firstLine="420" w:firstLineChars="200"/>
        <w:rPr>
          <w:color w:val="auto"/>
          <w:highlight w:val="none"/>
        </w:rPr>
      </w:pPr>
      <w:r>
        <w:rPr>
          <w:rFonts w:ascii="宋体" w:hAnsi="宋体"/>
          <w:color w:val="auto"/>
          <w:highlight w:val="none"/>
        </w:rPr>
        <w:t>4.3.6 在投标截止后，投标人在投标文件格式中规定的有效期终止日前，投标人不能撤</w:t>
      </w:r>
      <w:r>
        <w:rPr>
          <w:rFonts w:hint="eastAsia"/>
          <w:color w:val="auto"/>
          <w:highlight w:val="none"/>
        </w:rPr>
        <w:t>回投标文件，否则其投标担保将被没收，且招标人有权就其撤回行为报告政府主管部门载入不良信用记录。</w:t>
      </w:r>
    </w:p>
    <w:p>
      <w:pPr>
        <w:spacing w:line="400" w:lineRule="exact"/>
        <w:ind w:firstLine="420" w:firstLineChars="200"/>
        <w:rPr>
          <w:color w:val="auto"/>
          <w:highlight w:val="none"/>
        </w:rPr>
      </w:pPr>
    </w:p>
    <w:p>
      <w:pPr>
        <w:pStyle w:val="4"/>
        <w:rPr>
          <w:color w:val="auto"/>
          <w:highlight w:val="none"/>
        </w:rPr>
      </w:pPr>
      <w:bookmarkStart w:id="487" w:name="_Toc20912"/>
      <w:bookmarkStart w:id="488" w:name="_Toc247527584"/>
      <w:bookmarkStart w:id="489" w:name="_Toc19988"/>
      <w:bookmarkStart w:id="490" w:name="_Toc4190"/>
      <w:bookmarkStart w:id="491" w:name="_Toc7044"/>
      <w:bookmarkStart w:id="492" w:name="_Toc247513983"/>
      <w:bookmarkStart w:id="493" w:name="_Toc9659"/>
      <w:bookmarkStart w:id="494" w:name="_Toc4859"/>
      <w:bookmarkStart w:id="495" w:name="_Toc29122"/>
      <w:bookmarkStart w:id="496" w:name="_Toc21324"/>
      <w:bookmarkStart w:id="497" w:name="_Toc21626"/>
      <w:bookmarkStart w:id="498" w:name="_Toc12021"/>
      <w:bookmarkStart w:id="499" w:name="_Toc17327"/>
      <w:bookmarkStart w:id="500" w:name="_Toc152045559"/>
      <w:bookmarkStart w:id="501" w:name="_Toc494371543"/>
      <w:bookmarkStart w:id="502" w:name="_Toc19353"/>
      <w:bookmarkStart w:id="503" w:name="_Toc152042335"/>
      <w:bookmarkStart w:id="504" w:name="_Toc144974527"/>
      <w:bookmarkStart w:id="505" w:name="_Toc300834980"/>
      <w:r>
        <w:rPr>
          <w:color w:val="auto"/>
          <w:highlight w:val="none"/>
        </w:rPr>
        <w:t xml:space="preserve">5. </w:t>
      </w:r>
      <w:r>
        <w:rPr>
          <w:rFonts w:hint="eastAsia"/>
          <w:color w:val="auto"/>
          <w:highlight w:val="none"/>
        </w:rPr>
        <w:t>开标</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pPr>
        <w:pStyle w:val="5"/>
        <w:rPr>
          <w:color w:val="auto"/>
          <w:highlight w:val="none"/>
        </w:rPr>
      </w:pPr>
      <w:bookmarkStart w:id="506" w:name="_Toc25002"/>
      <w:bookmarkStart w:id="507" w:name="_Toc23891"/>
      <w:bookmarkStart w:id="508" w:name="_Toc21178"/>
      <w:bookmarkStart w:id="509" w:name="_Toc25302"/>
      <w:bookmarkStart w:id="510" w:name="_Toc11445"/>
      <w:bookmarkStart w:id="511" w:name="_Toc795"/>
      <w:bookmarkStart w:id="512" w:name="_Toc247527585"/>
      <w:bookmarkStart w:id="513" w:name="_Toc25808"/>
      <w:bookmarkStart w:id="514" w:name="_Toc494371544"/>
      <w:bookmarkStart w:id="515" w:name="_Toc144974528"/>
      <w:bookmarkStart w:id="516" w:name="_Toc27776"/>
      <w:bookmarkStart w:id="517" w:name="_Toc11407"/>
      <w:bookmarkStart w:id="518" w:name="_Toc152045560"/>
      <w:bookmarkStart w:id="519" w:name="_Toc300834981"/>
      <w:bookmarkStart w:id="520" w:name="_Toc152042336"/>
      <w:bookmarkStart w:id="521" w:name="_Toc22910"/>
      <w:bookmarkStart w:id="522" w:name="_Toc247513984"/>
      <w:r>
        <w:rPr>
          <w:rFonts w:ascii="Times New Roman" w:hAnsi="Times New Roman"/>
          <w:color w:val="auto"/>
          <w:highlight w:val="none"/>
        </w:rPr>
        <w:t>5.1</w:t>
      </w:r>
      <w:r>
        <w:rPr>
          <w:color w:val="auto"/>
          <w:highlight w:val="none"/>
        </w:rPr>
        <w:t xml:space="preserve"> 开标时间和地点</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spacing w:line="400" w:lineRule="exact"/>
        <w:ind w:firstLine="420" w:firstLineChars="200"/>
        <w:rPr>
          <w:color w:val="auto"/>
          <w:highlight w:val="none"/>
        </w:rPr>
      </w:pPr>
      <w:r>
        <w:rPr>
          <w:rFonts w:hint="eastAsia"/>
          <w:color w:val="auto"/>
          <w:highlight w:val="none"/>
        </w:rPr>
        <w:t>招标人在规定的投标截止时间（开标时间）和投标人须知前附表规定的地点公开开标，并邀请所有投标人的法定代表人或其委托代理人准时参加。</w:t>
      </w:r>
    </w:p>
    <w:p>
      <w:pPr>
        <w:pStyle w:val="5"/>
        <w:rPr>
          <w:color w:val="auto"/>
          <w:highlight w:val="none"/>
        </w:rPr>
      </w:pPr>
      <w:bookmarkStart w:id="523" w:name="_Toc15353"/>
      <w:bookmarkStart w:id="524" w:name="_Toc19222"/>
      <w:bookmarkStart w:id="525" w:name="_Toc144974529"/>
      <w:bookmarkStart w:id="526" w:name="_Toc247527586"/>
      <w:bookmarkStart w:id="527" w:name="_Toc22461"/>
      <w:bookmarkStart w:id="528" w:name="_Toc22540"/>
      <w:bookmarkStart w:id="529" w:name="_Toc3230"/>
      <w:bookmarkStart w:id="530" w:name="_Toc300834982"/>
      <w:bookmarkStart w:id="531" w:name="_Toc3986"/>
      <w:bookmarkStart w:id="532" w:name="_Toc25280"/>
      <w:bookmarkStart w:id="533" w:name="_Toc152045561"/>
      <w:bookmarkStart w:id="534" w:name="_Toc22493"/>
      <w:bookmarkStart w:id="535" w:name="_Toc247513985"/>
      <w:bookmarkStart w:id="536" w:name="_Toc2530"/>
      <w:bookmarkStart w:id="537" w:name="_Toc25227"/>
      <w:bookmarkStart w:id="538" w:name="_Toc152042337"/>
      <w:bookmarkStart w:id="539" w:name="_Toc494371545"/>
      <w:r>
        <w:rPr>
          <w:rFonts w:ascii="Times New Roman" w:hAnsi="Times New Roman"/>
          <w:color w:val="auto"/>
          <w:highlight w:val="none"/>
        </w:rPr>
        <w:t>5.2</w:t>
      </w:r>
      <w:r>
        <w:rPr>
          <w:color w:val="auto"/>
          <w:highlight w:val="none"/>
        </w:rPr>
        <w:t xml:space="preserve"> 开标程序</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pPr>
        <w:spacing w:line="360" w:lineRule="auto"/>
        <w:ind w:firstLine="457" w:firstLineChars="218"/>
        <w:rPr>
          <w:rFonts w:ascii="宋体" w:hAnsi="宋体"/>
          <w:color w:val="auto"/>
          <w:szCs w:val="21"/>
          <w:highlight w:val="none"/>
        </w:rPr>
      </w:pPr>
      <w:r>
        <w:rPr>
          <w:rFonts w:ascii="宋体" w:hAnsi="宋体"/>
          <w:color w:val="auto"/>
          <w:szCs w:val="21"/>
          <w:highlight w:val="none"/>
        </w:rPr>
        <w:t>5.2.1 招标人按投标须知前附表所规定的时间和地点公开开标，并邀请所有投标人参加。截标后，开标开始时间因故推迟的，</w:t>
      </w:r>
      <w:r>
        <w:rPr>
          <w:rFonts w:hint="eastAsia" w:ascii="宋体" w:hAnsi="宋体"/>
          <w:color w:val="auto"/>
          <w:szCs w:val="21"/>
          <w:highlight w:val="none"/>
        </w:rPr>
        <w:t>以实际开标时间为准。</w:t>
      </w:r>
    </w:p>
    <w:p>
      <w:pPr>
        <w:spacing w:line="360" w:lineRule="auto"/>
        <w:ind w:firstLine="457" w:firstLineChars="218"/>
        <w:rPr>
          <w:rFonts w:ascii="宋体" w:hAnsi="宋体"/>
          <w:color w:val="auto"/>
          <w:szCs w:val="21"/>
          <w:highlight w:val="none"/>
        </w:rPr>
      </w:pPr>
      <w:r>
        <w:rPr>
          <w:rFonts w:ascii="宋体" w:hAnsi="宋体"/>
          <w:color w:val="auto"/>
          <w:szCs w:val="21"/>
          <w:highlight w:val="none"/>
        </w:rPr>
        <w:t>5.2.2 开标时，出现下列情形之一的，不参与开标及后续评审工作：</w:t>
      </w:r>
    </w:p>
    <w:p>
      <w:pPr>
        <w:spacing w:line="360" w:lineRule="auto"/>
        <w:ind w:firstLine="457" w:firstLineChars="218"/>
        <w:rPr>
          <w:rFonts w:ascii="宋体" w:hAnsi="宋体"/>
          <w:color w:val="auto"/>
          <w:szCs w:val="21"/>
          <w:highlight w:val="none"/>
        </w:rPr>
      </w:pPr>
      <w:r>
        <w:rPr>
          <w:rFonts w:ascii="宋体" w:hAnsi="宋体"/>
          <w:color w:val="auto"/>
          <w:szCs w:val="21"/>
          <w:highlight w:val="none"/>
        </w:rPr>
        <w:t xml:space="preserve">5.2.2.1 </w:t>
      </w:r>
      <w:r>
        <w:rPr>
          <w:rFonts w:hint="eastAsia" w:ascii="宋体" w:hAnsi="宋体"/>
          <w:color w:val="auto"/>
          <w:szCs w:val="21"/>
          <w:highlight w:val="none"/>
        </w:rPr>
        <w:t>未按招标文件要求提供投标担保的；</w:t>
      </w:r>
    </w:p>
    <w:p>
      <w:pPr>
        <w:spacing w:line="360" w:lineRule="auto"/>
        <w:ind w:firstLine="457" w:firstLineChars="218"/>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3</w:t>
      </w:r>
      <w:r>
        <w:rPr>
          <w:rFonts w:ascii="宋体" w:hAnsi="宋体"/>
          <w:color w:val="auto"/>
          <w:szCs w:val="21"/>
          <w:highlight w:val="none"/>
        </w:rPr>
        <w:t xml:space="preserve"> 开标由招标人主持。</w:t>
      </w:r>
    </w:p>
    <w:p>
      <w:pPr>
        <w:spacing w:line="360" w:lineRule="auto"/>
        <w:ind w:firstLine="457" w:firstLineChars="218"/>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4</w:t>
      </w:r>
      <w:r>
        <w:rPr>
          <w:rFonts w:ascii="宋体" w:hAnsi="宋体"/>
          <w:color w:val="auto"/>
          <w:szCs w:val="21"/>
          <w:highlight w:val="none"/>
        </w:rPr>
        <w:t>由投标人或其推选的代表检查投标文件的包封、标记和密封情况。</w:t>
      </w:r>
    </w:p>
    <w:p>
      <w:pPr>
        <w:spacing w:line="360" w:lineRule="auto"/>
        <w:ind w:firstLine="457" w:firstLineChars="218"/>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5</w:t>
      </w:r>
      <w:r>
        <w:rPr>
          <w:rFonts w:ascii="宋体" w:hAnsi="宋体"/>
          <w:color w:val="auto"/>
          <w:szCs w:val="21"/>
          <w:highlight w:val="none"/>
        </w:rPr>
        <w:t>开标细则</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（1）资格审查文件、</w:t>
      </w:r>
      <w:r>
        <w:rPr>
          <w:rFonts w:hint="eastAsia" w:ascii="宋体" w:hAnsi="宋体"/>
          <w:color w:val="auto"/>
          <w:szCs w:val="21"/>
          <w:highlight w:val="none"/>
          <w:lang w:eastAsia="zh-CN"/>
        </w:rPr>
        <w:t>工程施工总承包实施方案</w:t>
      </w:r>
      <w:r>
        <w:rPr>
          <w:rFonts w:hint="eastAsia" w:ascii="宋体" w:hAnsi="宋体"/>
          <w:color w:val="auto"/>
          <w:szCs w:val="21"/>
          <w:highlight w:val="none"/>
        </w:rPr>
        <w:t>（含资信部分）文件评审、投标报价文件同时公开开标；</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（2）经确认无误后，由招标人当众拆封各投标人递交的资格审查文件、</w:t>
      </w:r>
      <w:r>
        <w:rPr>
          <w:rFonts w:hint="eastAsia" w:ascii="宋体" w:hAnsi="宋体"/>
          <w:color w:val="auto"/>
          <w:szCs w:val="21"/>
          <w:highlight w:val="none"/>
          <w:lang w:eastAsia="zh-CN"/>
        </w:rPr>
        <w:t>工程施工总承包实施方案</w:t>
      </w:r>
      <w:r>
        <w:rPr>
          <w:rFonts w:hint="eastAsia" w:ascii="宋体" w:hAnsi="宋体"/>
          <w:color w:val="auto"/>
          <w:szCs w:val="21"/>
          <w:highlight w:val="none"/>
        </w:rPr>
        <w:t>（含资信部分）文件评审、投标报价文件。开标时宣读下列内容，并予以记录，开标记录提交评标委员会评审：</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开标时，宣读</w:t>
      </w:r>
      <w:r>
        <w:rPr>
          <w:rFonts w:ascii="宋体" w:hAnsi="宋体"/>
          <w:color w:val="auto"/>
          <w:szCs w:val="21"/>
          <w:highlight w:val="none"/>
        </w:rPr>
        <w:t>a、投标人名称；b、标书密封情况；c、有无法定代表人证明书及授权委托证明书；d、投标担保递交情况；e、工期；f、质量标准；g、投标总报价等主要内容以及开标记录表中的其他必要内容。招标人或招标代理对开标过程进行记录，并存档备查。</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（3）资格审查文件评审；编制资格审查报告。</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工程施工总承包实施方案</w:t>
      </w:r>
      <w:r>
        <w:rPr>
          <w:rFonts w:hint="eastAsia" w:ascii="宋体" w:hAnsi="宋体"/>
          <w:color w:val="auto"/>
          <w:szCs w:val="21"/>
          <w:highlight w:val="none"/>
        </w:rPr>
        <w:t>（含资信部分）文件评审；</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（5）投标报价文件评审；</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（6）</w:t>
      </w:r>
      <w:r>
        <w:rPr>
          <w:rFonts w:hint="eastAsia"/>
          <w:color w:val="auto"/>
          <w:highlight w:val="none"/>
        </w:rPr>
        <w:t>评委</w:t>
      </w:r>
      <w:r>
        <w:rPr>
          <w:rFonts w:hint="eastAsia" w:ascii="宋体" w:hAnsi="宋体"/>
          <w:color w:val="auto"/>
          <w:szCs w:val="21"/>
          <w:highlight w:val="none"/>
        </w:rPr>
        <w:t>汇总</w:t>
      </w:r>
      <w:r>
        <w:rPr>
          <w:rFonts w:hint="eastAsia" w:ascii="宋体" w:hAnsi="宋体"/>
          <w:color w:val="auto"/>
          <w:szCs w:val="21"/>
          <w:highlight w:val="none"/>
          <w:lang w:eastAsia="zh-CN"/>
        </w:rPr>
        <w:t>工程施工总承包实施方案</w:t>
      </w:r>
      <w:r>
        <w:rPr>
          <w:rFonts w:hint="eastAsia" w:ascii="宋体" w:hAnsi="宋体"/>
          <w:color w:val="auto"/>
          <w:szCs w:val="21"/>
          <w:highlight w:val="none"/>
        </w:rPr>
        <w:t>（含资信部分）文件与投标报价文件得分，并按照总分从高到低排序；</w:t>
      </w:r>
    </w:p>
    <w:p>
      <w:pPr>
        <w:spacing w:line="360" w:lineRule="auto"/>
        <w:ind w:firstLine="457" w:firstLineChars="218"/>
        <w:rPr>
          <w:color w:val="auto"/>
          <w:highlight w:val="none"/>
        </w:rPr>
      </w:pPr>
      <w:r>
        <w:rPr>
          <w:rFonts w:hint="eastAsia" w:ascii="宋体" w:hAnsi="宋体"/>
          <w:color w:val="auto"/>
          <w:szCs w:val="21"/>
          <w:highlight w:val="none"/>
        </w:rPr>
        <w:t>（8）评标委员会向业主推荐中标候选人，编写评标报告。</w:t>
      </w:r>
    </w:p>
    <w:p>
      <w:pPr>
        <w:pStyle w:val="5"/>
        <w:rPr>
          <w:color w:val="auto"/>
          <w:highlight w:val="none"/>
        </w:rPr>
      </w:pPr>
      <w:bookmarkStart w:id="540" w:name="_Toc25032"/>
      <w:bookmarkStart w:id="541" w:name="_Toc10688"/>
      <w:bookmarkStart w:id="542" w:name="_Toc494371546"/>
      <w:bookmarkStart w:id="543" w:name="_Toc20975"/>
      <w:bookmarkStart w:id="544" w:name="_Toc29859"/>
      <w:bookmarkStart w:id="545" w:name="_Toc3531"/>
      <w:bookmarkStart w:id="546" w:name="_Toc16449"/>
      <w:bookmarkStart w:id="547" w:name="_Toc24887"/>
      <w:bookmarkStart w:id="548" w:name="_Toc300834983"/>
      <w:bookmarkStart w:id="549" w:name="_Toc7458"/>
      <w:bookmarkStart w:id="550" w:name="_Toc5505"/>
      <w:bookmarkStart w:id="551" w:name="_Toc12520"/>
      <w:r>
        <w:rPr>
          <w:rFonts w:ascii="Times New Roman" w:hAnsi="Times New Roman"/>
          <w:color w:val="auto"/>
          <w:highlight w:val="none"/>
        </w:rPr>
        <w:t>5.3</w:t>
      </w:r>
      <w:r>
        <w:rPr>
          <w:color w:val="auto"/>
          <w:highlight w:val="none"/>
        </w:rPr>
        <w:t xml:space="preserve"> 开标异议</w:t>
      </w:r>
      <w:bookmarkEnd w:id="540"/>
      <w:bookmarkEnd w:id="541"/>
      <w:bookmarkEnd w:id="542"/>
      <w:bookmarkEnd w:id="543"/>
      <w:bookmarkEnd w:id="544"/>
      <w:bookmarkEnd w:id="545"/>
      <w:bookmarkEnd w:id="546"/>
      <w:bookmarkEnd w:id="547"/>
      <w:bookmarkEnd w:id="548"/>
      <w:bookmarkEnd w:id="549"/>
      <w:bookmarkEnd w:id="550"/>
      <w:bookmarkEnd w:id="551"/>
    </w:p>
    <w:p>
      <w:pPr>
        <w:spacing w:line="400" w:lineRule="exact"/>
        <w:ind w:firstLine="359" w:firstLineChars="171"/>
        <w:rPr>
          <w:color w:val="auto"/>
          <w:highlight w:val="none"/>
        </w:rPr>
      </w:pPr>
      <w:r>
        <w:rPr>
          <w:rFonts w:hint="eastAsia"/>
          <w:color w:val="auto"/>
          <w:highlight w:val="none"/>
        </w:rPr>
        <w:t>投标人对开标有异议的，应当在开标现场提出，招标人当场作出答复，并制作记录。</w:t>
      </w:r>
    </w:p>
    <w:p>
      <w:pPr>
        <w:pStyle w:val="4"/>
        <w:rPr>
          <w:color w:val="auto"/>
          <w:highlight w:val="none"/>
        </w:rPr>
      </w:pPr>
      <w:bookmarkStart w:id="552" w:name="_Toc12313"/>
      <w:bookmarkStart w:id="553" w:name="_Toc15084"/>
      <w:bookmarkStart w:id="554" w:name="_Toc3149"/>
      <w:bookmarkStart w:id="555" w:name="_Toc30683"/>
      <w:bookmarkStart w:id="556" w:name="_Toc109"/>
      <w:bookmarkStart w:id="557" w:name="_Toc26333"/>
      <w:bookmarkStart w:id="558" w:name="_Toc247513986"/>
      <w:bookmarkStart w:id="559" w:name="_Toc144974530"/>
      <w:bookmarkStart w:id="560" w:name="_Toc152045562"/>
      <w:bookmarkStart w:id="561" w:name="_Toc27705"/>
      <w:bookmarkStart w:id="562" w:name="_Toc247527587"/>
      <w:bookmarkStart w:id="563" w:name="_Toc28414"/>
      <w:bookmarkStart w:id="564" w:name="_Toc152042338"/>
      <w:bookmarkStart w:id="565" w:name="_Toc837"/>
      <w:bookmarkStart w:id="566" w:name="_Toc494371547"/>
      <w:bookmarkStart w:id="567" w:name="_Toc15719"/>
      <w:bookmarkStart w:id="568" w:name="_Toc198"/>
      <w:bookmarkStart w:id="569" w:name="_Toc300834984"/>
      <w:bookmarkStart w:id="570" w:name="_Toc32048"/>
      <w:r>
        <w:rPr>
          <w:color w:val="auto"/>
          <w:highlight w:val="none"/>
        </w:rPr>
        <w:t xml:space="preserve">6. </w:t>
      </w:r>
      <w:r>
        <w:rPr>
          <w:rFonts w:hint="eastAsia"/>
          <w:color w:val="auto"/>
          <w:highlight w:val="none"/>
        </w:rPr>
        <w:t>评标</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pStyle w:val="5"/>
        <w:rPr>
          <w:color w:val="auto"/>
          <w:highlight w:val="none"/>
        </w:rPr>
      </w:pPr>
      <w:bookmarkStart w:id="571" w:name="_Toc300834985"/>
      <w:bookmarkStart w:id="572" w:name="_Toc247527588"/>
      <w:bookmarkStart w:id="573" w:name="_Toc3086"/>
      <w:bookmarkStart w:id="574" w:name="_Toc247513987"/>
      <w:bookmarkStart w:id="575" w:name="_Toc152042339"/>
      <w:bookmarkStart w:id="576" w:name="_Toc2807"/>
      <w:bookmarkStart w:id="577" w:name="_Toc15741"/>
      <w:bookmarkStart w:id="578" w:name="_Toc13286"/>
      <w:bookmarkStart w:id="579" w:name="_Toc7043"/>
      <w:bookmarkStart w:id="580" w:name="_Toc152045563"/>
      <w:bookmarkStart w:id="581" w:name="_Toc494371548"/>
      <w:bookmarkStart w:id="582" w:name="_Toc18724"/>
      <w:bookmarkStart w:id="583" w:name="_Toc29481"/>
      <w:bookmarkStart w:id="584" w:name="_Toc32379"/>
      <w:bookmarkStart w:id="585" w:name="_Toc8891"/>
      <w:bookmarkStart w:id="586" w:name="_Toc16291"/>
      <w:bookmarkStart w:id="587" w:name="_Toc144974531"/>
      <w:r>
        <w:rPr>
          <w:rFonts w:ascii="Times New Roman" w:hAnsi="Times New Roman"/>
          <w:color w:val="auto"/>
          <w:highlight w:val="none"/>
        </w:rPr>
        <w:t>6.1</w:t>
      </w:r>
      <w:r>
        <w:rPr>
          <w:color w:val="auto"/>
          <w:highlight w:val="none"/>
        </w:rPr>
        <w:t xml:space="preserve"> 评标委员会</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spacing w:line="400" w:lineRule="exact"/>
        <w:ind w:firstLine="420" w:firstLineChars="200"/>
        <w:rPr>
          <w:color w:val="auto"/>
          <w:highlight w:val="none"/>
        </w:rPr>
      </w:pPr>
      <w:r>
        <w:rPr>
          <w:color w:val="auto"/>
          <w:highlight w:val="none"/>
        </w:rPr>
        <w:t xml:space="preserve">6.1.1 </w:t>
      </w:r>
      <w:r>
        <w:rPr>
          <w:rFonts w:hint="eastAsia"/>
          <w:color w:val="auto"/>
          <w:highlight w:val="none"/>
        </w:rPr>
        <w:t>评标由招标人依法组建的评标委员会负责，成员人数为五人以上单数。</w:t>
      </w:r>
      <w:r>
        <w:rPr>
          <w:rFonts w:hint="eastAsia"/>
          <w:color w:val="auto"/>
          <w:highlight w:val="none"/>
          <w:lang w:val="en-US" w:eastAsia="zh-CN"/>
        </w:rPr>
        <w:t>建设单位</w:t>
      </w:r>
      <w:r>
        <w:rPr>
          <w:rFonts w:hint="eastAsia"/>
          <w:color w:val="auto"/>
          <w:highlight w:val="none"/>
        </w:rPr>
        <w:t>参加或派代表参加评标委员会的，人数原则上以一人为限，评标过程中不得以任何方式影响其他评标专家独立评标。</w:t>
      </w:r>
    </w:p>
    <w:p>
      <w:pPr>
        <w:pStyle w:val="5"/>
        <w:rPr>
          <w:color w:val="auto"/>
          <w:highlight w:val="none"/>
        </w:rPr>
      </w:pPr>
      <w:bookmarkStart w:id="588" w:name="_Toc247513988"/>
      <w:bookmarkStart w:id="589" w:name="_Toc30692"/>
      <w:bookmarkStart w:id="590" w:name="_Toc12970"/>
      <w:bookmarkStart w:id="591" w:name="_Toc494371549"/>
      <w:bookmarkStart w:id="592" w:name="_Toc152045564"/>
      <w:bookmarkStart w:id="593" w:name="_Toc14458"/>
      <w:bookmarkStart w:id="594" w:name="_Toc152042340"/>
      <w:bookmarkStart w:id="595" w:name="_Toc247527589"/>
      <w:bookmarkStart w:id="596" w:name="_Toc19377"/>
      <w:bookmarkStart w:id="597" w:name="_Toc6886"/>
      <w:bookmarkStart w:id="598" w:name="_Toc1462"/>
      <w:bookmarkStart w:id="599" w:name="_Toc19365"/>
      <w:bookmarkStart w:id="600" w:name="_Toc6335"/>
      <w:bookmarkStart w:id="601" w:name="_Toc18883"/>
      <w:bookmarkStart w:id="602" w:name="_Toc144974532"/>
      <w:bookmarkStart w:id="603" w:name="_Toc26316"/>
      <w:bookmarkStart w:id="604" w:name="_Toc300834986"/>
      <w:r>
        <w:rPr>
          <w:rFonts w:ascii="Times New Roman" w:hAnsi="Times New Roman"/>
          <w:color w:val="auto"/>
          <w:highlight w:val="none"/>
        </w:rPr>
        <w:t>6.2</w:t>
      </w:r>
      <w:r>
        <w:rPr>
          <w:color w:val="auto"/>
          <w:highlight w:val="none"/>
        </w:rPr>
        <w:t xml:space="preserve"> 评标原则</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spacing w:line="400" w:lineRule="exact"/>
        <w:ind w:firstLine="420" w:firstLineChars="200"/>
        <w:rPr>
          <w:color w:val="auto"/>
          <w:highlight w:val="none"/>
        </w:rPr>
      </w:pPr>
      <w:r>
        <w:rPr>
          <w:rFonts w:hint="eastAsia"/>
          <w:color w:val="auto"/>
          <w:highlight w:val="none"/>
        </w:rPr>
        <w:t>评标活动遵循公平、公正、科学和择优的原则。</w:t>
      </w:r>
    </w:p>
    <w:p>
      <w:pPr>
        <w:pStyle w:val="5"/>
        <w:rPr>
          <w:color w:val="auto"/>
          <w:highlight w:val="none"/>
        </w:rPr>
      </w:pPr>
      <w:bookmarkStart w:id="605" w:name="_Toc28220"/>
      <w:bookmarkStart w:id="606" w:name="_Toc144974533"/>
      <w:bookmarkStart w:id="607" w:name="_Toc300834987"/>
      <w:bookmarkStart w:id="608" w:name="_Toc16889"/>
      <w:bookmarkStart w:id="609" w:name="_Toc10168"/>
      <w:bookmarkStart w:id="610" w:name="_Toc11669"/>
      <w:bookmarkStart w:id="611" w:name="_Toc18237"/>
      <w:bookmarkStart w:id="612" w:name="_Toc494371550"/>
      <w:bookmarkStart w:id="613" w:name="_Toc247513989"/>
      <w:bookmarkStart w:id="614" w:name="_Toc25394"/>
      <w:bookmarkStart w:id="615" w:name="_Toc30595"/>
      <w:bookmarkStart w:id="616" w:name="_Toc152045565"/>
      <w:bookmarkStart w:id="617" w:name="_Toc25099"/>
      <w:bookmarkStart w:id="618" w:name="_Toc8724"/>
      <w:bookmarkStart w:id="619" w:name="_Toc247527590"/>
      <w:bookmarkStart w:id="620" w:name="_Toc17295"/>
      <w:bookmarkStart w:id="621" w:name="_Toc152042341"/>
      <w:r>
        <w:rPr>
          <w:rFonts w:ascii="Times New Roman" w:hAnsi="Times New Roman"/>
          <w:color w:val="auto"/>
          <w:highlight w:val="none"/>
        </w:rPr>
        <w:t>6.3</w:t>
      </w:r>
      <w:r>
        <w:rPr>
          <w:color w:val="auto"/>
          <w:highlight w:val="none"/>
        </w:rPr>
        <w:t xml:space="preserve"> 评标</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pPr>
        <w:spacing w:line="400" w:lineRule="exact"/>
        <w:ind w:firstLine="420" w:firstLineChars="200"/>
        <w:rPr>
          <w:color w:val="auto"/>
          <w:highlight w:val="none"/>
        </w:rPr>
      </w:pPr>
      <w:r>
        <w:rPr>
          <w:rFonts w:hint="eastAsia"/>
          <w:color w:val="auto"/>
          <w:highlight w:val="none"/>
        </w:rPr>
        <w:t>评标委员会按照第三章“评标办法”规定的方法、评审因素、标准和程序对投标文件进行评审。第三章“评标办法”没有规定的方法、评审因素和标准，不作为评标依据。</w:t>
      </w:r>
    </w:p>
    <w:p>
      <w:pPr>
        <w:pStyle w:val="4"/>
        <w:rPr>
          <w:color w:val="auto"/>
          <w:highlight w:val="none"/>
        </w:rPr>
      </w:pPr>
      <w:bookmarkStart w:id="622" w:name="_Toc247513990"/>
      <w:bookmarkStart w:id="623" w:name="_Toc24255"/>
      <w:bookmarkStart w:id="624" w:name="_Toc24084"/>
      <w:bookmarkStart w:id="625" w:name="_Toc494371551"/>
      <w:bookmarkStart w:id="626" w:name="_Toc22306"/>
      <w:bookmarkStart w:id="627" w:name="_Toc22878"/>
      <w:bookmarkStart w:id="628" w:name="_Toc144974534"/>
      <w:bookmarkStart w:id="629" w:name="_Toc30273"/>
      <w:bookmarkStart w:id="630" w:name="_Toc247527591"/>
      <w:bookmarkStart w:id="631" w:name="_Toc152042342"/>
      <w:bookmarkStart w:id="632" w:name="_Toc5422"/>
      <w:bookmarkStart w:id="633" w:name="_Toc152045566"/>
      <w:bookmarkStart w:id="634" w:name="_Toc6130"/>
      <w:bookmarkStart w:id="635" w:name="_Toc12877"/>
      <w:bookmarkStart w:id="636" w:name="_Toc26245"/>
      <w:bookmarkStart w:id="637" w:name="_Toc23086"/>
      <w:bookmarkStart w:id="638" w:name="_Toc17020"/>
      <w:bookmarkStart w:id="639" w:name="_Toc5557"/>
      <w:bookmarkStart w:id="640" w:name="_Toc300834988"/>
      <w:r>
        <w:rPr>
          <w:color w:val="auto"/>
          <w:highlight w:val="none"/>
        </w:rPr>
        <w:t xml:space="preserve">7. </w:t>
      </w:r>
      <w:r>
        <w:rPr>
          <w:rFonts w:hint="eastAsia"/>
          <w:color w:val="auto"/>
          <w:highlight w:val="none"/>
        </w:rPr>
        <w:t>合同授予</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pPr>
        <w:pStyle w:val="5"/>
        <w:rPr>
          <w:color w:val="auto"/>
          <w:highlight w:val="none"/>
        </w:rPr>
      </w:pPr>
      <w:bookmarkStart w:id="641" w:name="_Toc6661"/>
      <w:bookmarkStart w:id="642" w:name="_Toc152042343"/>
      <w:bookmarkStart w:id="643" w:name="_Toc2434"/>
      <w:bookmarkStart w:id="644" w:name="_Toc25537"/>
      <w:bookmarkStart w:id="645" w:name="_Toc28741"/>
      <w:bookmarkStart w:id="646" w:name="_Toc247527592"/>
      <w:bookmarkStart w:id="647" w:name="_Toc28912"/>
      <w:bookmarkStart w:id="648" w:name="_Toc29318"/>
      <w:bookmarkStart w:id="649" w:name="_Toc28811"/>
      <w:bookmarkStart w:id="650" w:name="_Toc300834989"/>
      <w:bookmarkStart w:id="651" w:name="_Toc144974535"/>
      <w:bookmarkStart w:id="652" w:name="_Toc7596"/>
      <w:bookmarkStart w:id="653" w:name="_Toc247513991"/>
      <w:bookmarkStart w:id="654" w:name="_Toc494371552"/>
      <w:bookmarkStart w:id="655" w:name="_Toc620"/>
      <w:bookmarkStart w:id="656" w:name="_Toc152045567"/>
      <w:bookmarkStart w:id="657" w:name="_Toc10016"/>
      <w:r>
        <w:rPr>
          <w:rFonts w:ascii="Times New Roman" w:hAnsi="Times New Roman"/>
          <w:color w:val="auto"/>
          <w:highlight w:val="none"/>
        </w:rPr>
        <w:t>7.1</w:t>
      </w:r>
      <w:r>
        <w:rPr>
          <w:color w:val="auto"/>
          <w:highlight w:val="none"/>
        </w:rPr>
        <w:t xml:space="preserve"> 定标方式</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spacing w:line="400" w:lineRule="exact"/>
        <w:ind w:firstLine="420" w:firstLineChars="200"/>
        <w:rPr>
          <w:rFonts w:ascii="宋体" w:hAnsi="宋体" w:cs="宋体"/>
          <w:color w:val="auto"/>
          <w:highlight w:val="none"/>
        </w:rPr>
      </w:pPr>
      <w:r>
        <w:rPr>
          <w:rFonts w:ascii="宋体" w:hAnsi="宋体" w:cs="宋体"/>
          <w:color w:val="auto"/>
          <w:highlight w:val="none"/>
        </w:rPr>
        <w:t>7.1.1</w:t>
      </w:r>
      <w:r>
        <w:rPr>
          <w:rFonts w:hint="eastAsia" w:ascii="宋体" w:hAnsi="宋体" w:cs="宋体"/>
          <w:color w:val="auto"/>
          <w:highlight w:val="none"/>
        </w:rPr>
        <w:t>除投标人须知前附表规定评标委员会直接确定中标人外，招标人依据评标委员会推荐的中标候选人确定中标人，评标委员会推荐中标候选人的人数见投标人须知前附表。</w:t>
      </w:r>
    </w:p>
    <w:p>
      <w:pPr>
        <w:spacing w:line="400" w:lineRule="exact"/>
        <w:ind w:firstLine="420" w:firstLineChars="200"/>
        <w:rPr>
          <w:rFonts w:ascii="宋体" w:hAnsi="宋体" w:cs="宋体"/>
          <w:color w:val="auto"/>
          <w:highlight w:val="none"/>
        </w:rPr>
      </w:pPr>
      <w:r>
        <w:rPr>
          <w:rFonts w:ascii="宋体" w:hAnsi="宋体" w:cs="宋体"/>
          <w:color w:val="auto"/>
          <w:highlight w:val="none"/>
        </w:rPr>
        <w:t>7.1.2 依法必须进行公开招标的项目，招标人应当确定排名第一的中标候选人为中标人。</w:t>
      </w:r>
    </w:p>
    <w:p>
      <w:pPr>
        <w:spacing w:line="400" w:lineRule="exact"/>
        <w:ind w:firstLine="420" w:firstLineChars="200"/>
        <w:rPr>
          <w:color w:val="auto"/>
          <w:highlight w:val="none"/>
        </w:rPr>
      </w:pPr>
      <w:r>
        <w:rPr>
          <w:rFonts w:ascii="宋体" w:hAnsi="宋体" w:cs="宋体"/>
          <w:color w:val="auto"/>
          <w:highlight w:val="none"/>
        </w:rPr>
        <w:t>7.1.3</w:t>
      </w:r>
      <w:r>
        <w:rPr>
          <w:rFonts w:hint="eastAsia" w:ascii="宋体" w:hAnsi="宋体" w:cs="宋体"/>
          <w:color w:val="auto"/>
          <w:highlight w:val="none"/>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rPr>
          <w:color w:val="auto"/>
          <w:highlight w:val="none"/>
        </w:rPr>
      </w:pPr>
      <w:bookmarkStart w:id="658" w:name="_Toc30311"/>
      <w:bookmarkStart w:id="659" w:name="_Toc21974"/>
      <w:bookmarkStart w:id="660" w:name="_Toc300834990"/>
      <w:bookmarkStart w:id="661" w:name="_Toc9281"/>
      <w:bookmarkStart w:id="662" w:name="_Toc10691"/>
      <w:bookmarkStart w:id="663" w:name="_Toc32142"/>
      <w:bookmarkStart w:id="664" w:name="_Toc494371553"/>
      <w:bookmarkStart w:id="665" w:name="_Toc25164"/>
      <w:bookmarkStart w:id="666" w:name="_Toc3190"/>
      <w:bookmarkStart w:id="667" w:name="_Toc8069"/>
      <w:bookmarkStart w:id="668" w:name="_Toc31309"/>
      <w:bookmarkStart w:id="669" w:name="_Toc16401"/>
      <w:r>
        <w:rPr>
          <w:rFonts w:ascii="Times New Roman" w:hAnsi="Times New Roman"/>
          <w:color w:val="auto"/>
          <w:highlight w:val="none"/>
        </w:rPr>
        <w:t>7.2</w:t>
      </w:r>
      <w:r>
        <w:rPr>
          <w:color w:val="auto"/>
          <w:highlight w:val="none"/>
        </w:rPr>
        <w:t xml:space="preserve"> 中标候选人公示</w:t>
      </w:r>
      <w:bookmarkEnd w:id="658"/>
      <w:bookmarkEnd w:id="659"/>
      <w:bookmarkEnd w:id="660"/>
      <w:bookmarkEnd w:id="661"/>
      <w:bookmarkEnd w:id="662"/>
      <w:bookmarkEnd w:id="663"/>
      <w:bookmarkEnd w:id="664"/>
      <w:bookmarkEnd w:id="665"/>
      <w:bookmarkEnd w:id="666"/>
      <w:bookmarkEnd w:id="667"/>
      <w:bookmarkEnd w:id="668"/>
      <w:bookmarkEnd w:id="669"/>
    </w:p>
    <w:p>
      <w:pPr>
        <w:spacing w:line="400" w:lineRule="exact"/>
        <w:ind w:firstLine="420" w:firstLineChars="200"/>
        <w:rPr>
          <w:color w:val="auto"/>
          <w:highlight w:val="none"/>
        </w:rPr>
      </w:pPr>
      <w:r>
        <w:rPr>
          <w:rFonts w:hint="eastAsia"/>
          <w:color w:val="auto"/>
          <w:highlight w:val="none"/>
        </w:rPr>
        <w:t>在广州南沙资产经营</w:t>
      </w:r>
      <w:r>
        <w:rPr>
          <w:rFonts w:hint="eastAsia"/>
          <w:color w:val="auto"/>
          <w:highlight w:val="none"/>
          <w:lang w:val="en-US" w:eastAsia="zh-CN"/>
        </w:rPr>
        <w:t>集团</w:t>
      </w:r>
      <w:r>
        <w:rPr>
          <w:rFonts w:hint="eastAsia"/>
          <w:color w:val="auto"/>
          <w:highlight w:val="none"/>
        </w:rPr>
        <w:t>有限公司</w:t>
      </w:r>
      <w:r>
        <w:rPr>
          <w:rFonts w:hint="eastAsia"/>
          <w:color w:val="auto"/>
          <w:highlight w:val="none"/>
        </w:rPr>
        <w:t>网站公示中标候选人。</w:t>
      </w:r>
    </w:p>
    <w:p>
      <w:pPr>
        <w:pStyle w:val="5"/>
        <w:rPr>
          <w:color w:val="auto"/>
          <w:highlight w:val="none"/>
        </w:rPr>
      </w:pPr>
      <w:bookmarkStart w:id="670" w:name="_Toc32373"/>
      <w:bookmarkStart w:id="671" w:name="_Toc16751"/>
      <w:bookmarkStart w:id="672" w:name="_Toc300834991"/>
      <w:bookmarkStart w:id="673" w:name="_Toc247527593"/>
      <w:bookmarkStart w:id="674" w:name="_Toc152045568"/>
      <w:bookmarkStart w:id="675" w:name="_Toc6019"/>
      <w:bookmarkStart w:id="676" w:name="_Toc15630"/>
      <w:bookmarkStart w:id="677" w:name="_Toc3421"/>
      <w:bookmarkStart w:id="678" w:name="_Toc775"/>
      <w:bookmarkStart w:id="679" w:name="_Toc14168"/>
      <w:bookmarkStart w:id="680" w:name="_Toc144974536"/>
      <w:bookmarkStart w:id="681" w:name="_Toc8897"/>
      <w:bookmarkStart w:id="682" w:name="_Toc14116"/>
      <w:bookmarkStart w:id="683" w:name="_Toc247513992"/>
      <w:bookmarkStart w:id="684" w:name="_Toc9148"/>
      <w:bookmarkStart w:id="685" w:name="_Toc494371554"/>
      <w:bookmarkStart w:id="686" w:name="_Toc152042344"/>
      <w:r>
        <w:rPr>
          <w:rFonts w:ascii="Times New Roman" w:hAnsi="Times New Roman"/>
          <w:color w:val="auto"/>
          <w:highlight w:val="none"/>
        </w:rPr>
        <w:t>7.3</w:t>
      </w:r>
      <w:r>
        <w:rPr>
          <w:color w:val="auto"/>
          <w:highlight w:val="none"/>
        </w:rPr>
        <w:t xml:space="preserve"> 中标通知</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pPr>
        <w:spacing w:line="400" w:lineRule="exact"/>
        <w:ind w:firstLine="420" w:firstLineChars="200"/>
        <w:rPr>
          <w:color w:val="auto"/>
          <w:highlight w:val="none"/>
        </w:rPr>
      </w:pPr>
      <w:r>
        <w:rPr>
          <w:rFonts w:hint="eastAsia"/>
          <w:color w:val="auto"/>
          <w:highlight w:val="none"/>
        </w:rPr>
        <w:t>评标公示后，在本章第</w:t>
      </w:r>
      <w:r>
        <w:rPr>
          <w:color w:val="auto"/>
          <w:highlight w:val="none"/>
        </w:rPr>
        <w:t xml:space="preserve">3.3 </w:t>
      </w:r>
      <w:r>
        <w:rPr>
          <w:rFonts w:hint="eastAsia"/>
          <w:color w:val="auto"/>
          <w:highlight w:val="none"/>
        </w:rPr>
        <w:t>款规定的投标有效期内，招标人以书面形式向中标人发出中标通知书。</w:t>
      </w:r>
    </w:p>
    <w:p>
      <w:pPr>
        <w:pStyle w:val="5"/>
        <w:rPr>
          <w:color w:val="auto"/>
          <w:highlight w:val="none"/>
        </w:rPr>
      </w:pPr>
      <w:bookmarkStart w:id="687" w:name="_Toc5220"/>
      <w:bookmarkStart w:id="688" w:name="_Toc21116"/>
      <w:bookmarkStart w:id="689" w:name="_Toc17963"/>
      <w:bookmarkStart w:id="690" w:name="_Toc21568"/>
      <w:bookmarkStart w:id="691" w:name="_Toc20159"/>
      <w:bookmarkStart w:id="692" w:name="_Toc8137"/>
      <w:bookmarkStart w:id="693" w:name="_Toc12825"/>
      <w:bookmarkStart w:id="694" w:name="_Toc247513994"/>
      <w:bookmarkStart w:id="695" w:name="_Toc152042346"/>
      <w:bookmarkStart w:id="696" w:name="_Toc1202"/>
      <w:bookmarkStart w:id="697" w:name="_Toc144974538"/>
      <w:bookmarkStart w:id="698" w:name="_Toc14095"/>
      <w:bookmarkStart w:id="699" w:name="_Toc300834993"/>
      <w:bookmarkStart w:id="700" w:name="_Toc20796"/>
      <w:bookmarkStart w:id="701" w:name="_Toc494371556"/>
      <w:bookmarkStart w:id="702" w:name="_Toc247527595"/>
      <w:bookmarkStart w:id="703" w:name="_Toc152045570"/>
      <w:r>
        <w:rPr>
          <w:rFonts w:ascii="Times New Roman" w:hAnsi="Times New Roman"/>
          <w:color w:val="auto"/>
          <w:highlight w:val="none"/>
        </w:rPr>
        <w:t>7.</w:t>
      </w:r>
      <w:r>
        <w:rPr>
          <w:rFonts w:hint="eastAsia" w:ascii="Times New Roman" w:hAnsi="Times New Roman"/>
          <w:color w:val="auto"/>
          <w:highlight w:val="none"/>
        </w:rPr>
        <w:t>4</w:t>
      </w:r>
      <w:r>
        <w:rPr>
          <w:color w:val="auto"/>
          <w:highlight w:val="none"/>
        </w:rPr>
        <w:t xml:space="preserve"> 签订合同</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spacing w:line="400" w:lineRule="exact"/>
        <w:ind w:firstLine="420" w:firstLineChars="200"/>
        <w:rPr>
          <w:color w:val="auto"/>
          <w:highlight w:val="none"/>
        </w:rPr>
      </w:pPr>
      <w:r>
        <w:rPr>
          <w:color w:val="auto"/>
          <w:highlight w:val="none"/>
        </w:rPr>
        <w:t xml:space="preserve">7.5.1 </w:t>
      </w:r>
      <w:r>
        <w:rPr>
          <w:rFonts w:hint="eastAsia"/>
          <w:color w:val="auto"/>
          <w:highlight w:val="none"/>
        </w:rPr>
        <w:t>招标人和中标人应当自中标通知书发出之日起</w:t>
      </w:r>
      <w:r>
        <w:rPr>
          <w:rFonts w:hint="eastAsia"/>
          <w:color w:val="auto"/>
          <w:highlight w:val="none"/>
          <w:lang w:val="en-US" w:eastAsia="zh-CN"/>
        </w:rPr>
        <w:t>20日历</w:t>
      </w:r>
      <w:r>
        <w:rPr>
          <w:rFonts w:hint="eastAsia"/>
          <w:color w:val="auto"/>
          <w:highlight w:val="none"/>
        </w:rPr>
        <w:t>天</w:t>
      </w:r>
      <w:r>
        <w:rPr>
          <w:rFonts w:hint="eastAsia"/>
          <w:color w:val="auto"/>
          <w:highlight w:val="none"/>
        </w:rPr>
        <w:t>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color w:val="auto"/>
          <w:highlight w:val="none"/>
        </w:rPr>
      </w:pPr>
      <w:r>
        <w:rPr>
          <w:color w:val="auto"/>
          <w:highlight w:val="none"/>
        </w:rPr>
        <w:t xml:space="preserve">7.5.2 </w:t>
      </w:r>
      <w:r>
        <w:rPr>
          <w:rFonts w:hint="eastAsia"/>
          <w:color w:val="auto"/>
          <w:highlight w:val="none"/>
        </w:rPr>
        <w:t>发出中标通知书后，招标人无正当理由拒签合同的，招标人向中标人退还投标保证金；给中标人造成损失的，还应当赔偿损失。</w:t>
      </w:r>
    </w:p>
    <w:p>
      <w:pPr>
        <w:pStyle w:val="4"/>
        <w:rPr>
          <w:color w:val="auto"/>
          <w:highlight w:val="none"/>
        </w:rPr>
      </w:pPr>
      <w:bookmarkStart w:id="704" w:name="_Toc247513995"/>
      <w:bookmarkStart w:id="705" w:name="_Toc247527596"/>
      <w:bookmarkStart w:id="706" w:name="_Toc152045571"/>
      <w:bookmarkStart w:id="707" w:name="_Toc144974539"/>
      <w:bookmarkStart w:id="708" w:name="_Toc152042347"/>
      <w:bookmarkStart w:id="709" w:name="_Toc494371557"/>
      <w:bookmarkStart w:id="710" w:name="_Toc300834994"/>
      <w:bookmarkStart w:id="711" w:name="_Toc5006"/>
      <w:bookmarkStart w:id="712" w:name="_Toc26309"/>
      <w:bookmarkStart w:id="713" w:name="_Toc24208"/>
      <w:bookmarkStart w:id="714" w:name="_Toc22337"/>
      <w:bookmarkStart w:id="715" w:name="_Toc25097"/>
      <w:bookmarkStart w:id="716" w:name="_Toc4387"/>
      <w:bookmarkStart w:id="717" w:name="_Toc1819"/>
      <w:bookmarkStart w:id="718" w:name="_Toc12071"/>
      <w:bookmarkStart w:id="719" w:name="_Toc27652"/>
      <w:bookmarkStart w:id="720" w:name="_Toc25920"/>
      <w:bookmarkStart w:id="721" w:name="_Toc3080"/>
      <w:bookmarkStart w:id="722" w:name="_Toc7104"/>
      <w:r>
        <w:rPr>
          <w:color w:val="auto"/>
          <w:highlight w:val="none"/>
        </w:rPr>
        <w:t>8</w:t>
      </w:r>
      <w:bookmarkEnd w:id="704"/>
      <w:bookmarkEnd w:id="705"/>
      <w:bookmarkEnd w:id="706"/>
      <w:bookmarkEnd w:id="707"/>
      <w:bookmarkEnd w:id="708"/>
      <w:bookmarkStart w:id="723" w:name="_Toc152042350"/>
      <w:bookmarkStart w:id="724" w:name="_Toc144974542"/>
      <w:bookmarkStart w:id="725" w:name="_Toc247513998"/>
      <w:bookmarkStart w:id="726" w:name="_Toc247527599"/>
      <w:bookmarkStart w:id="727" w:name="_Toc152045574"/>
      <w:r>
        <w:rPr>
          <w:rFonts w:hint="eastAsia"/>
          <w:color w:val="auto"/>
          <w:highlight w:val="none"/>
        </w:rPr>
        <w:t>. 纪律和监督</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pPr>
        <w:pStyle w:val="5"/>
        <w:rPr>
          <w:color w:val="auto"/>
          <w:highlight w:val="none"/>
        </w:rPr>
      </w:pPr>
      <w:bookmarkStart w:id="728" w:name="_Toc152045575"/>
      <w:bookmarkStart w:id="729" w:name="_Toc15792"/>
      <w:bookmarkStart w:id="730" w:name="_Toc247513999"/>
      <w:bookmarkStart w:id="731" w:name="_Toc32569"/>
      <w:bookmarkStart w:id="732" w:name="_Toc300834995"/>
      <w:bookmarkStart w:id="733" w:name="_Toc7513"/>
      <w:bookmarkStart w:id="734" w:name="_Toc23906"/>
      <w:bookmarkStart w:id="735" w:name="_Toc152042351"/>
      <w:bookmarkStart w:id="736" w:name="_Toc27050"/>
      <w:bookmarkStart w:id="737" w:name="_Toc247527600"/>
      <w:bookmarkStart w:id="738" w:name="_Toc22388"/>
      <w:bookmarkStart w:id="739" w:name="_Toc494371558"/>
      <w:bookmarkStart w:id="740" w:name="_Toc27460"/>
      <w:bookmarkStart w:id="741" w:name="_Toc26340"/>
      <w:bookmarkStart w:id="742" w:name="_Toc13879"/>
      <w:bookmarkStart w:id="743" w:name="_Toc12304"/>
      <w:bookmarkStart w:id="744" w:name="_Toc144974543"/>
      <w:r>
        <w:rPr>
          <w:rFonts w:ascii="Times New Roman" w:hAnsi="Times New Roman"/>
          <w:color w:val="auto"/>
          <w:highlight w:val="none"/>
        </w:rPr>
        <w:t>8.1</w:t>
      </w:r>
      <w:r>
        <w:rPr>
          <w:color w:val="auto"/>
          <w:highlight w:val="none"/>
        </w:rPr>
        <w:t xml:space="preserve"> 对招标人的纪律要求</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pPr>
        <w:spacing w:line="400" w:lineRule="exact"/>
        <w:ind w:firstLine="420" w:firstLineChars="200"/>
        <w:rPr>
          <w:color w:val="auto"/>
          <w:highlight w:val="none"/>
        </w:rPr>
      </w:pPr>
      <w:r>
        <w:rPr>
          <w:rFonts w:hint="eastAsia"/>
          <w:color w:val="auto"/>
          <w:highlight w:val="none"/>
        </w:rPr>
        <w:t>招标人不得泄漏招标投标活动中应当保密的情况和资料，不得与投标人串通损害国家利益、社会公共利益或者他人合法权益。</w:t>
      </w:r>
    </w:p>
    <w:p>
      <w:pPr>
        <w:pStyle w:val="5"/>
        <w:rPr>
          <w:color w:val="auto"/>
          <w:highlight w:val="none"/>
        </w:rPr>
      </w:pPr>
      <w:bookmarkStart w:id="745" w:name="_Toc144974544"/>
      <w:bookmarkStart w:id="746" w:name="_Toc19057"/>
      <w:bookmarkStart w:id="747" w:name="_Toc494371559"/>
      <w:bookmarkStart w:id="748" w:name="_Toc247527601"/>
      <w:bookmarkStart w:id="749" w:name="_Toc14942"/>
      <w:bookmarkStart w:id="750" w:name="_Toc300834996"/>
      <w:bookmarkStart w:id="751" w:name="_Toc247514000"/>
      <w:bookmarkStart w:id="752" w:name="_Toc25080"/>
      <w:bookmarkStart w:id="753" w:name="_Toc31828"/>
      <w:bookmarkStart w:id="754" w:name="_Toc152042352"/>
      <w:bookmarkStart w:id="755" w:name="_Toc15845"/>
      <w:bookmarkStart w:id="756" w:name="_Toc31880"/>
      <w:bookmarkStart w:id="757" w:name="_Toc2646"/>
      <w:bookmarkStart w:id="758" w:name="_Toc4332"/>
      <w:bookmarkStart w:id="759" w:name="_Toc152045576"/>
      <w:bookmarkStart w:id="760" w:name="_Toc26587"/>
      <w:bookmarkStart w:id="761" w:name="_Toc8212"/>
      <w:r>
        <w:rPr>
          <w:rFonts w:ascii="Times New Roman" w:hAnsi="Times New Roman"/>
          <w:color w:val="auto"/>
          <w:highlight w:val="none"/>
        </w:rPr>
        <w:t>8.2</w:t>
      </w:r>
      <w:r>
        <w:rPr>
          <w:color w:val="auto"/>
          <w:highlight w:val="none"/>
        </w:rPr>
        <w:t xml:space="preserve"> 对投标人的纪律要求</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pPr>
        <w:spacing w:line="400" w:lineRule="exact"/>
        <w:ind w:firstLine="420" w:firstLineChars="200"/>
        <w:rPr>
          <w:color w:val="auto"/>
          <w:highlight w:val="none"/>
        </w:rPr>
      </w:pPr>
      <w:r>
        <w:rPr>
          <w:rFonts w:hint="eastAsia"/>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rPr>
          <w:color w:val="auto"/>
          <w:highlight w:val="none"/>
        </w:rPr>
      </w:pPr>
      <w:bookmarkStart w:id="762" w:name="_Toc21624"/>
      <w:bookmarkStart w:id="763" w:name="_Toc144974545"/>
      <w:bookmarkStart w:id="764" w:name="_Toc17070"/>
      <w:bookmarkStart w:id="765" w:name="_Toc494371560"/>
      <w:bookmarkStart w:id="766" w:name="_Toc15492"/>
      <w:bookmarkStart w:id="767" w:name="_Toc9766"/>
      <w:bookmarkStart w:id="768" w:name="_Toc28024"/>
      <w:bookmarkStart w:id="769" w:name="_Toc23820"/>
      <w:bookmarkStart w:id="770" w:name="_Toc11809"/>
      <w:bookmarkStart w:id="771" w:name="_Toc247527602"/>
      <w:bookmarkStart w:id="772" w:name="_Toc152042353"/>
      <w:bookmarkStart w:id="773" w:name="_Toc402"/>
      <w:bookmarkStart w:id="774" w:name="_Toc152045577"/>
      <w:bookmarkStart w:id="775" w:name="_Toc15857"/>
      <w:bookmarkStart w:id="776" w:name="_Toc300834997"/>
      <w:bookmarkStart w:id="777" w:name="_Toc247514001"/>
      <w:bookmarkStart w:id="778" w:name="_Toc17727"/>
      <w:r>
        <w:rPr>
          <w:rFonts w:ascii="Times New Roman" w:hAnsi="Times New Roman"/>
          <w:color w:val="auto"/>
          <w:highlight w:val="none"/>
        </w:rPr>
        <w:t>8.3</w:t>
      </w:r>
      <w:r>
        <w:rPr>
          <w:color w:val="auto"/>
          <w:highlight w:val="none"/>
        </w:rPr>
        <w:t xml:space="preserve"> 对评标委员会成员的纪律要求</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pPr>
        <w:spacing w:line="400" w:lineRule="exact"/>
        <w:ind w:firstLine="420" w:firstLineChars="200"/>
        <w:rPr>
          <w:color w:val="auto"/>
          <w:highlight w:val="none"/>
        </w:rPr>
      </w:pPr>
      <w:r>
        <w:rPr>
          <w:rFonts w:hint="eastAsia"/>
          <w:color w:val="auto"/>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rPr>
          <w:color w:val="auto"/>
          <w:highlight w:val="none"/>
        </w:rPr>
      </w:pPr>
      <w:bookmarkStart w:id="779" w:name="_Toc11718"/>
      <w:bookmarkStart w:id="780" w:name="_Toc10968"/>
      <w:bookmarkStart w:id="781" w:name="_Toc15170"/>
      <w:bookmarkStart w:id="782" w:name="_Toc27915"/>
      <w:bookmarkStart w:id="783" w:name="_Toc247527603"/>
      <w:bookmarkStart w:id="784" w:name="_Toc21492"/>
      <w:bookmarkStart w:id="785" w:name="_Toc30457"/>
      <w:bookmarkStart w:id="786" w:name="_Toc300834998"/>
      <w:bookmarkStart w:id="787" w:name="_Toc247514002"/>
      <w:bookmarkStart w:id="788" w:name="_Toc7845"/>
      <w:bookmarkStart w:id="789" w:name="_Toc152042354"/>
      <w:bookmarkStart w:id="790" w:name="_Toc23511"/>
      <w:bookmarkStart w:id="791" w:name="_Toc494371561"/>
      <w:bookmarkStart w:id="792" w:name="_Toc4059"/>
      <w:bookmarkStart w:id="793" w:name="_Toc29753"/>
      <w:bookmarkStart w:id="794" w:name="_Toc152045578"/>
      <w:bookmarkStart w:id="795" w:name="_Toc144974546"/>
      <w:r>
        <w:rPr>
          <w:rFonts w:ascii="Times New Roman" w:hAnsi="Times New Roman"/>
          <w:color w:val="auto"/>
          <w:highlight w:val="none"/>
        </w:rPr>
        <w:t>8.4</w:t>
      </w:r>
      <w:r>
        <w:rPr>
          <w:color w:val="auto"/>
          <w:highlight w:val="none"/>
        </w:rPr>
        <w:t xml:space="preserve"> 对与评标活动有关的工作人员的纪律要求</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pPr>
        <w:spacing w:line="400" w:lineRule="exact"/>
        <w:ind w:firstLine="420" w:firstLineChars="200"/>
        <w:rPr>
          <w:color w:val="auto"/>
          <w:highlight w:val="none"/>
        </w:rPr>
      </w:pPr>
      <w:bookmarkStart w:id="796" w:name="_Toc152042355"/>
      <w:r>
        <w:rPr>
          <w:rFonts w:hint="eastAsia"/>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96"/>
    </w:p>
    <w:p>
      <w:pPr>
        <w:pStyle w:val="5"/>
        <w:rPr>
          <w:color w:val="auto"/>
          <w:highlight w:val="none"/>
        </w:rPr>
      </w:pPr>
      <w:bookmarkStart w:id="797" w:name="_Toc9764"/>
      <w:bookmarkStart w:id="798" w:name="_Toc152042356"/>
      <w:bookmarkStart w:id="799" w:name="_Toc152045579"/>
      <w:bookmarkStart w:id="800" w:name="_Toc300834999"/>
      <w:bookmarkStart w:id="801" w:name="_Toc26570"/>
      <w:bookmarkStart w:id="802" w:name="_Toc21044"/>
      <w:bookmarkStart w:id="803" w:name="_Toc494371562"/>
      <w:bookmarkStart w:id="804" w:name="_Toc24198"/>
      <w:bookmarkStart w:id="805" w:name="_Toc13039"/>
      <w:bookmarkStart w:id="806" w:name="_Toc18798"/>
      <w:bookmarkStart w:id="807" w:name="_Toc32045"/>
      <w:bookmarkStart w:id="808" w:name="_Toc19195"/>
      <w:bookmarkStart w:id="809" w:name="_Toc29127"/>
      <w:bookmarkStart w:id="810" w:name="_Toc247514003"/>
      <w:bookmarkStart w:id="811" w:name="_Toc1588"/>
      <w:bookmarkStart w:id="812" w:name="_Toc247527604"/>
      <w:r>
        <w:rPr>
          <w:rFonts w:ascii="Times New Roman" w:hAnsi="Times New Roman"/>
          <w:color w:val="auto"/>
          <w:highlight w:val="none"/>
        </w:rPr>
        <w:t>8.5</w:t>
      </w:r>
      <w:r>
        <w:rPr>
          <w:color w:val="auto"/>
          <w:highlight w:val="none"/>
        </w:rPr>
        <w:t xml:space="preserve"> 投诉</w:t>
      </w:r>
      <w:bookmarkEnd w:id="795"/>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spacing w:line="400" w:lineRule="exact"/>
        <w:ind w:firstLine="420" w:firstLineChars="200"/>
        <w:rPr>
          <w:color w:val="auto"/>
          <w:highlight w:val="none"/>
        </w:rPr>
      </w:pPr>
      <w:r>
        <w:rPr>
          <w:rFonts w:hint="eastAsia"/>
          <w:color w:val="auto"/>
          <w:highlight w:val="none"/>
        </w:rPr>
        <w:t>投标人和其他利害关系人认为本次招标活动违反法律、法规和规章规定的，有权向有关行政监督部门投诉。</w:t>
      </w:r>
    </w:p>
    <w:p>
      <w:pPr>
        <w:pStyle w:val="4"/>
        <w:rPr>
          <w:color w:val="auto"/>
          <w:highlight w:val="none"/>
        </w:rPr>
      </w:pPr>
      <w:bookmarkStart w:id="813" w:name="_Toc10294"/>
      <w:bookmarkStart w:id="814" w:name="_Toc797"/>
      <w:bookmarkStart w:id="815" w:name="_Toc15576"/>
      <w:bookmarkStart w:id="816" w:name="_Toc9682"/>
      <w:bookmarkStart w:id="817" w:name="_Toc32584"/>
      <w:bookmarkStart w:id="818" w:name="_Toc152042357"/>
      <w:bookmarkStart w:id="819" w:name="_Toc22887"/>
      <w:bookmarkStart w:id="820" w:name="_Toc2189"/>
      <w:bookmarkStart w:id="821" w:name="_Toc494371563"/>
      <w:bookmarkStart w:id="822" w:name="_Toc11552"/>
      <w:bookmarkStart w:id="823" w:name="_Toc24403"/>
      <w:bookmarkStart w:id="824" w:name="_Toc8751"/>
      <w:bookmarkStart w:id="825" w:name="_Toc247527605"/>
      <w:bookmarkStart w:id="826" w:name="_Toc28094"/>
      <w:bookmarkStart w:id="827" w:name="_Toc144974547"/>
      <w:bookmarkStart w:id="828" w:name="_Toc300835000"/>
      <w:bookmarkStart w:id="829" w:name="_Toc152045580"/>
      <w:bookmarkStart w:id="830" w:name="_Toc25605"/>
      <w:bookmarkStart w:id="831" w:name="_Toc247514004"/>
      <w:r>
        <w:rPr>
          <w:color w:val="auto"/>
          <w:highlight w:val="none"/>
        </w:rPr>
        <w:t xml:space="preserve">9. </w:t>
      </w:r>
      <w:r>
        <w:rPr>
          <w:rFonts w:hint="eastAsia"/>
          <w:color w:val="auto"/>
          <w:highlight w:val="none"/>
        </w:rPr>
        <w:t>需要补充的其他内容</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pPr>
        <w:spacing w:line="400" w:lineRule="exact"/>
        <w:ind w:firstLine="420" w:firstLineChars="200"/>
        <w:rPr>
          <w:color w:val="auto"/>
          <w:highlight w:val="none"/>
        </w:rPr>
      </w:pPr>
      <w:r>
        <w:rPr>
          <w:rFonts w:hint="eastAsia"/>
          <w:color w:val="auto"/>
          <w:highlight w:val="none"/>
        </w:rPr>
        <w:t>需要补充的其他内容：见投标人须知前附表。</w:t>
      </w:r>
    </w:p>
    <w:p>
      <w:pPr>
        <w:spacing w:line="400" w:lineRule="exact"/>
        <w:ind w:firstLine="420" w:firstLineChars="200"/>
        <w:rPr>
          <w:color w:val="auto"/>
          <w:highlight w:val="none"/>
        </w:rPr>
        <w:sectPr>
          <w:pgSz w:w="11906" w:h="16838"/>
          <w:pgMar w:top="1247" w:right="1134" w:bottom="1247" w:left="1361" w:header="851" w:footer="992" w:gutter="0"/>
          <w:cols w:space="720" w:num="1"/>
          <w:docGrid w:type="lines" w:linePitch="312" w:charSpace="0"/>
        </w:sectPr>
      </w:pPr>
    </w:p>
    <w:p>
      <w:pPr>
        <w:pStyle w:val="5"/>
        <w:rPr>
          <w:color w:val="auto"/>
          <w:highlight w:val="none"/>
        </w:rPr>
      </w:pPr>
      <w:bookmarkStart w:id="832" w:name="_Toc152042358"/>
      <w:bookmarkStart w:id="833" w:name="_Toc16200"/>
      <w:bookmarkStart w:id="834" w:name="_Toc32753"/>
      <w:bookmarkStart w:id="835" w:name="_Toc2797"/>
      <w:bookmarkStart w:id="836" w:name="_Toc9735"/>
      <w:bookmarkStart w:id="837" w:name="_Toc144974548"/>
      <w:bookmarkStart w:id="838" w:name="_Toc247527606"/>
      <w:bookmarkStart w:id="839" w:name="_Toc152045581"/>
      <w:bookmarkStart w:id="840" w:name="_Toc6420"/>
      <w:bookmarkStart w:id="841" w:name="_Toc30853"/>
      <w:bookmarkStart w:id="842" w:name="_Toc494371565"/>
      <w:bookmarkStart w:id="843" w:name="_Toc19905"/>
      <w:bookmarkStart w:id="844" w:name="_Toc32210"/>
      <w:bookmarkStart w:id="845" w:name="_Toc247514005"/>
      <w:bookmarkStart w:id="846" w:name="_Toc300835002"/>
      <w:bookmarkStart w:id="847" w:name="_Toc18813"/>
      <w:bookmarkStart w:id="848" w:name="_Toc15442"/>
      <w:r>
        <w:rPr>
          <w:rFonts w:hint="eastAsia"/>
          <w:color w:val="auto"/>
          <w:highlight w:val="none"/>
        </w:rPr>
        <w:t>附表：开标记录表</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pPr>
        <w:spacing w:line="400" w:lineRule="exact"/>
        <w:jc w:val="center"/>
        <w:rPr>
          <w:rFonts w:ascii="黑体" w:eastAsia="黑体"/>
          <w:color w:val="auto"/>
          <w:sz w:val="28"/>
          <w:szCs w:val="28"/>
          <w:highlight w:val="none"/>
        </w:rPr>
      </w:pPr>
      <w:r>
        <w:rPr>
          <w:rFonts w:hint="eastAsia" w:ascii="黑体" w:eastAsia="黑体"/>
          <w:color w:val="auto"/>
          <w:sz w:val="28"/>
          <w:szCs w:val="28"/>
          <w:highlight w:val="none"/>
        </w:rPr>
        <w:t>开标记录表</w:t>
      </w:r>
    </w:p>
    <w:p>
      <w:pPr>
        <w:spacing w:line="620" w:lineRule="exact"/>
        <w:rPr>
          <w:color w:val="auto"/>
          <w:szCs w:val="21"/>
          <w:highlight w:val="none"/>
          <w:u w:val="single"/>
        </w:rPr>
      </w:pPr>
    </w:p>
    <w:p>
      <w:pPr>
        <w:spacing w:line="400" w:lineRule="exact"/>
        <w:ind w:right="420"/>
        <w:jc w:val="left"/>
        <w:rPr>
          <w:color w:val="auto"/>
          <w:highlight w:val="none"/>
        </w:rPr>
      </w:pPr>
      <w:r>
        <w:rPr>
          <w:rFonts w:hint="eastAsia"/>
          <w:color w:val="auto"/>
          <w:szCs w:val="21"/>
          <w:highlight w:val="none"/>
        </w:rPr>
        <w:t>项目名称：</w:t>
      </w:r>
    </w:p>
    <w:tbl>
      <w:tblPr>
        <w:tblStyle w:val="38"/>
        <w:tblW w:w="10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933"/>
        <w:gridCol w:w="723"/>
        <w:gridCol w:w="1058"/>
        <w:gridCol w:w="770"/>
        <w:gridCol w:w="800"/>
        <w:gridCol w:w="715"/>
        <w:gridCol w:w="1209"/>
        <w:gridCol w:w="1046"/>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68" w:type="dxa"/>
            <w:vAlign w:val="center"/>
          </w:tcPr>
          <w:p>
            <w:pPr>
              <w:jc w:val="center"/>
              <w:rPr>
                <w:color w:val="auto"/>
                <w:sz w:val="18"/>
                <w:szCs w:val="18"/>
                <w:highlight w:val="none"/>
              </w:rPr>
            </w:pPr>
            <w:r>
              <w:rPr>
                <w:rFonts w:hint="eastAsia"/>
                <w:color w:val="auto"/>
                <w:sz w:val="18"/>
                <w:szCs w:val="18"/>
                <w:highlight w:val="none"/>
              </w:rPr>
              <w:t>序号</w:t>
            </w:r>
          </w:p>
        </w:tc>
        <w:tc>
          <w:tcPr>
            <w:tcW w:w="1933" w:type="dxa"/>
            <w:vAlign w:val="center"/>
          </w:tcPr>
          <w:p>
            <w:pPr>
              <w:jc w:val="center"/>
              <w:rPr>
                <w:color w:val="auto"/>
                <w:sz w:val="18"/>
                <w:szCs w:val="18"/>
                <w:highlight w:val="none"/>
              </w:rPr>
            </w:pPr>
            <w:r>
              <w:rPr>
                <w:rFonts w:hint="eastAsia"/>
                <w:color w:val="auto"/>
                <w:sz w:val="18"/>
                <w:szCs w:val="18"/>
                <w:highlight w:val="none"/>
              </w:rPr>
              <w:t>投标人名称</w:t>
            </w:r>
          </w:p>
        </w:tc>
        <w:tc>
          <w:tcPr>
            <w:tcW w:w="723" w:type="dxa"/>
            <w:vAlign w:val="center"/>
          </w:tcPr>
          <w:p>
            <w:pPr>
              <w:jc w:val="center"/>
              <w:rPr>
                <w:color w:val="auto"/>
                <w:sz w:val="18"/>
                <w:szCs w:val="18"/>
                <w:highlight w:val="none"/>
              </w:rPr>
            </w:pPr>
            <w:r>
              <w:rPr>
                <w:rFonts w:hint="eastAsia"/>
                <w:color w:val="auto"/>
                <w:sz w:val="18"/>
                <w:szCs w:val="18"/>
                <w:highlight w:val="none"/>
              </w:rPr>
              <w:t>投标文件</w:t>
            </w:r>
          </w:p>
          <w:p>
            <w:pPr>
              <w:jc w:val="center"/>
              <w:rPr>
                <w:color w:val="auto"/>
                <w:sz w:val="18"/>
                <w:szCs w:val="18"/>
                <w:highlight w:val="none"/>
              </w:rPr>
            </w:pPr>
            <w:r>
              <w:rPr>
                <w:rFonts w:hint="eastAsia"/>
                <w:color w:val="auto"/>
                <w:sz w:val="18"/>
                <w:szCs w:val="18"/>
                <w:highlight w:val="none"/>
              </w:rPr>
              <w:t>密封性</w:t>
            </w:r>
          </w:p>
        </w:tc>
        <w:tc>
          <w:tcPr>
            <w:tcW w:w="1058" w:type="dxa"/>
            <w:vAlign w:val="center"/>
          </w:tcPr>
          <w:p>
            <w:pPr>
              <w:jc w:val="center"/>
              <w:rPr>
                <w:color w:val="auto"/>
                <w:sz w:val="18"/>
                <w:szCs w:val="18"/>
                <w:highlight w:val="none"/>
              </w:rPr>
            </w:pPr>
            <w:r>
              <w:rPr>
                <w:rFonts w:hint="eastAsia"/>
                <w:color w:val="auto"/>
                <w:sz w:val="18"/>
                <w:szCs w:val="18"/>
                <w:highlight w:val="none"/>
              </w:rPr>
              <w:t>有无法定代表人证明书及授权委托证明书</w:t>
            </w:r>
          </w:p>
        </w:tc>
        <w:tc>
          <w:tcPr>
            <w:tcW w:w="770" w:type="dxa"/>
            <w:vAlign w:val="center"/>
          </w:tcPr>
          <w:p>
            <w:pPr>
              <w:jc w:val="center"/>
              <w:rPr>
                <w:color w:val="auto"/>
                <w:sz w:val="18"/>
                <w:szCs w:val="18"/>
                <w:highlight w:val="none"/>
              </w:rPr>
            </w:pPr>
            <w:r>
              <w:rPr>
                <w:rFonts w:hint="eastAsia"/>
                <w:color w:val="auto"/>
                <w:sz w:val="18"/>
                <w:szCs w:val="18"/>
                <w:highlight w:val="none"/>
              </w:rPr>
              <w:t>有无递交投标保</w:t>
            </w:r>
            <w:r>
              <w:rPr>
                <w:rFonts w:hint="eastAsia"/>
                <w:color w:val="auto"/>
                <w:sz w:val="18"/>
                <w:szCs w:val="18"/>
                <w:highlight w:val="none"/>
                <w:lang w:eastAsia="zh-CN"/>
              </w:rPr>
              <w:t>证</w:t>
            </w:r>
            <w:r>
              <w:rPr>
                <w:rFonts w:hint="eastAsia"/>
                <w:color w:val="auto"/>
                <w:sz w:val="18"/>
                <w:szCs w:val="18"/>
                <w:highlight w:val="none"/>
              </w:rPr>
              <w:t>金</w:t>
            </w:r>
          </w:p>
        </w:tc>
        <w:tc>
          <w:tcPr>
            <w:tcW w:w="800" w:type="dxa"/>
            <w:vAlign w:val="center"/>
          </w:tcPr>
          <w:p>
            <w:pPr>
              <w:jc w:val="center"/>
              <w:rPr>
                <w:color w:val="auto"/>
                <w:sz w:val="18"/>
                <w:szCs w:val="18"/>
                <w:highlight w:val="none"/>
              </w:rPr>
            </w:pPr>
            <w:r>
              <w:rPr>
                <w:rFonts w:hint="eastAsia"/>
                <w:color w:val="auto"/>
                <w:sz w:val="18"/>
                <w:szCs w:val="18"/>
                <w:highlight w:val="none"/>
              </w:rPr>
              <w:t>工期（日历天）</w:t>
            </w:r>
          </w:p>
        </w:tc>
        <w:tc>
          <w:tcPr>
            <w:tcW w:w="715" w:type="dxa"/>
            <w:vAlign w:val="center"/>
          </w:tcPr>
          <w:p>
            <w:pPr>
              <w:jc w:val="center"/>
              <w:rPr>
                <w:color w:val="auto"/>
                <w:sz w:val="18"/>
                <w:szCs w:val="18"/>
                <w:highlight w:val="none"/>
              </w:rPr>
            </w:pPr>
            <w:r>
              <w:rPr>
                <w:rFonts w:hint="eastAsia"/>
                <w:color w:val="auto"/>
                <w:sz w:val="18"/>
                <w:szCs w:val="18"/>
                <w:highlight w:val="none"/>
              </w:rPr>
              <w:t>质量标准</w:t>
            </w:r>
          </w:p>
        </w:tc>
        <w:tc>
          <w:tcPr>
            <w:tcW w:w="1209" w:type="dxa"/>
            <w:vAlign w:val="center"/>
          </w:tcPr>
          <w:p>
            <w:pPr>
              <w:jc w:val="center"/>
              <w:rPr>
                <w:color w:val="auto"/>
                <w:sz w:val="18"/>
                <w:szCs w:val="18"/>
                <w:highlight w:val="none"/>
              </w:rPr>
            </w:pPr>
            <w:r>
              <w:rPr>
                <w:rFonts w:hint="eastAsia"/>
                <w:color w:val="auto"/>
                <w:sz w:val="18"/>
                <w:szCs w:val="18"/>
                <w:highlight w:val="none"/>
              </w:rPr>
              <w:t>投标总报价</w:t>
            </w:r>
          </w:p>
          <w:p>
            <w:pPr>
              <w:jc w:val="center"/>
              <w:rPr>
                <w:color w:val="auto"/>
                <w:sz w:val="18"/>
                <w:szCs w:val="18"/>
                <w:highlight w:val="none"/>
              </w:rPr>
            </w:pPr>
            <w:r>
              <w:rPr>
                <w:rFonts w:hint="eastAsia"/>
                <w:color w:val="auto"/>
                <w:sz w:val="18"/>
                <w:szCs w:val="18"/>
                <w:highlight w:val="none"/>
              </w:rPr>
              <w:t>（万元）</w:t>
            </w:r>
          </w:p>
        </w:tc>
        <w:tc>
          <w:tcPr>
            <w:tcW w:w="1046" w:type="dxa"/>
            <w:vAlign w:val="center"/>
          </w:tcPr>
          <w:p>
            <w:pPr>
              <w:jc w:val="center"/>
              <w:rPr>
                <w:color w:val="auto"/>
                <w:sz w:val="18"/>
                <w:szCs w:val="18"/>
                <w:highlight w:val="none"/>
              </w:rPr>
            </w:pPr>
            <w:r>
              <w:rPr>
                <w:rFonts w:hint="eastAsia"/>
                <w:color w:val="auto"/>
                <w:sz w:val="18"/>
                <w:szCs w:val="18"/>
                <w:highlight w:val="none"/>
              </w:rPr>
              <w:t>施工费（万元）</w:t>
            </w:r>
          </w:p>
        </w:tc>
        <w:tc>
          <w:tcPr>
            <w:tcW w:w="1747" w:type="dxa"/>
            <w:vAlign w:val="center"/>
          </w:tcPr>
          <w:p>
            <w:pPr>
              <w:jc w:val="center"/>
              <w:rPr>
                <w:color w:val="auto"/>
                <w:sz w:val="18"/>
                <w:szCs w:val="18"/>
                <w:highlight w:val="none"/>
              </w:rPr>
            </w:pPr>
            <w:r>
              <w:rPr>
                <w:rFonts w:hint="eastAsia"/>
                <w:color w:val="auto"/>
                <w:sz w:val="18"/>
                <w:szCs w:val="18"/>
                <w:highlight w:val="none"/>
              </w:rPr>
              <w:t>投标人代表</w:t>
            </w:r>
          </w:p>
          <w:p>
            <w:pPr>
              <w:jc w:val="center"/>
              <w:rPr>
                <w:color w:val="auto"/>
                <w:sz w:val="18"/>
                <w:szCs w:val="18"/>
                <w:highlight w:val="none"/>
              </w:rPr>
            </w:pPr>
            <w:r>
              <w:rPr>
                <w:rFonts w:hint="eastAsia"/>
                <w:color w:val="auto"/>
                <w:sz w:val="18"/>
                <w:szCs w:val="18"/>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8" w:type="dxa"/>
            <w:vAlign w:val="center"/>
          </w:tcPr>
          <w:p>
            <w:pPr>
              <w:spacing w:line="620" w:lineRule="exact"/>
              <w:jc w:val="center"/>
              <w:rPr>
                <w:color w:val="auto"/>
                <w:szCs w:val="21"/>
                <w:highlight w:val="none"/>
              </w:rPr>
            </w:pPr>
          </w:p>
        </w:tc>
        <w:tc>
          <w:tcPr>
            <w:tcW w:w="1933" w:type="dxa"/>
            <w:vAlign w:val="center"/>
          </w:tcPr>
          <w:p>
            <w:pPr>
              <w:spacing w:line="620" w:lineRule="exact"/>
              <w:jc w:val="center"/>
              <w:rPr>
                <w:color w:val="auto"/>
                <w:szCs w:val="21"/>
                <w:highlight w:val="none"/>
              </w:rPr>
            </w:pPr>
          </w:p>
        </w:tc>
        <w:tc>
          <w:tcPr>
            <w:tcW w:w="723" w:type="dxa"/>
            <w:vAlign w:val="center"/>
          </w:tcPr>
          <w:p>
            <w:pPr>
              <w:spacing w:line="620" w:lineRule="exact"/>
              <w:jc w:val="center"/>
              <w:rPr>
                <w:color w:val="auto"/>
                <w:szCs w:val="21"/>
                <w:highlight w:val="none"/>
              </w:rPr>
            </w:pPr>
          </w:p>
        </w:tc>
        <w:tc>
          <w:tcPr>
            <w:tcW w:w="1058" w:type="dxa"/>
            <w:vAlign w:val="center"/>
          </w:tcPr>
          <w:p>
            <w:pPr>
              <w:spacing w:line="620" w:lineRule="exact"/>
              <w:jc w:val="center"/>
              <w:rPr>
                <w:color w:val="auto"/>
                <w:szCs w:val="21"/>
                <w:highlight w:val="none"/>
              </w:rPr>
            </w:pPr>
          </w:p>
        </w:tc>
        <w:tc>
          <w:tcPr>
            <w:tcW w:w="770" w:type="dxa"/>
            <w:vAlign w:val="center"/>
          </w:tcPr>
          <w:p>
            <w:pPr>
              <w:spacing w:line="620" w:lineRule="exact"/>
              <w:jc w:val="center"/>
              <w:rPr>
                <w:color w:val="auto"/>
                <w:szCs w:val="21"/>
                <w:highlight w:val="none"/>
              </w:rPr>
            </w:pPr>
          </w:p>
        </w:tc>
        <w:tc>
          <w:tcPr>
            <w:tcW w:w="800" w:type="dxa"/>
            <w:vAlign w:val="center"/>
          </w:tcPr>
          <w:p>
            <w:pPr>
              <w:spacing w:line="620" w:lineRule="exact"/>
              <w:jc w:val="center"/>
              <w:rPr>
                <w:color w:val="auto"/>
                <w:szCs w:val="21"/>
                <w:highlight w:val="none"/>
              </w:rPr>
            </w:pPr>
          </w:p>
        </w:tc>
        <w:tc>
          <w:tcPr>
            <w:tcW w:w="715" w:type="dxa"/>
            <w:vAlign w:val="center"/>
          </w:tcPr>
          <w:p>
            <w:pPr>
              <w:spacing w:line="620" w:lineRule="exact"/>
              <w:jc w:val="center"/>
              <w:rPr>
                <w:color w:val="auto"/>
                <w:szCs w:val="21"/>
                <w:highlight w:val="none"/>
              </w:rPr>
            </w:pPr>
          </w:p>
        </w:tc>
        <w:tc>
          <w:tcPr>
            <w:tcW w:w="1209" w:type="dxa"/>
            <w:vAlign w:val="center"/>
          </w:tcPr>
          <w:p>
            <w:pPr>
              <w:spacing w:line="620" w:lineRule="exact"/>
              <w:jc w:val="center"/>
              <w:rPr>
                <w:color w:val="auto"/>
                <w:szCs w:val="21"/>
                <w:highlight w:val="none"/>
              </w:rPr>
            </w:pPr>
          </w:p>
        </w:tc>
        <w:tc>
          <w:tcPr>
            <w:tcW w:w="1046" w:type="dxa"/>
          </w:tcPr>
          <w:p>
            <w:pPr>
              <w:spacing w:line="620" w:lineRule="exact"/>
              <w:jc w:val="center"/>
              <w:rPr>
                <w:color w:val="auto"/>
                <w:szCs w:val="21"/>
                <w:highlight w:val="none"/>
              </w:rPr>
            </w:pPr>
          </w:p>
        </w:tc>
        <w:tc>
          <w:tcPr>
            <w:tcW w:w="1747" w:type="dxa"/>
          </w:tcPr>
          <w:p>
            <w:pPr>
              <w:spacing w:line="62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8" w:type="dxa"/>
            <w:vAlign w:val="center"/>
          </w:tcPr>
          <w:p>
            <w:pPr>
              <w:spacing w:line="620" w:lineRule="exact"/>
              <w:jc w:val="center"/>
              <w:rPr>
                <w:color w:val="auto"/>
                <w:szCs w:val="21"/>
                <w:highlight w:val="none"/>
              </w:rPr>
            </w:pPr>
          </w:p>
        </w:tc>
        <w:tc>
          <w:tcPr>
            <w:tcW w:w="1933" w:type="dxa"/>
            <w:vAlign w:val="center"/>
          </w:tcPr>
          <w:p>
            <w:pPr>
              <w:spacing w:line="620" w:lineRule="exact"/>
              <w:jc w:val="center"/>
              <w:rPr>
                <w:color w:val="auto"/>
                <w:szCs w:val="21"/>
                <w:highlight w:val="none"/>
              </w:rPr>
            </w:pPr>
          </w:p>
        </w:tc>
        <w:tc>
          <w:tcPr>
            <w:tcW w:w="723" w:type="dxa"/>
            <w:vAlign w:val="center"/>
          </w:tcPr>
          <w:p>
            <w:pPr>
              <w:spacing w:line="620" w:lineRule="exact"/>
              <w:jc w:val="center"/>
              <w:rPr>
                <w:color w:val="auto"/>
                <w:szCs w:val="21"/>
                <w:highlight w:val="none"/>
              </w:rPr>
            </w:pPr>
          </w:p>
        </w:tc>
        <w:tc>
          <w:tcPr>
            <w:tcW w:w="1058" w:type="dxa"/>
            <w:vAlign w:val="center"/>
          </w:tcPr>
          <w:p>
            <w:pPr>
              <w:spacing w:line="620" w:lineRule="exact"/>
              <w:jc w:val="center"/>
              <w:rPr>
                <w:color w:val="auto"/>
                <w:szCs w:val="21"/>
                <w:highlight w:val="none"/>
              </w:rPr>
            </w:pPr>
          </w:p>
        </w:tc>
        <w:tc>
          <w:tcPr>
            <w:tcW w:w="770" w:type="dxa"/>
            <w:vAlign w:val="center"/>
          </w:tcPr>
          <w:p>
            <w:pPr>
              <w:spacing w:line="620" w:lineRule="exact"/>
              <w:jc w:val="center"/>
              <w:rPr>
                <w:color w:val="auto"/>
                <w:szCs w:val="21"/>
                <w:highlight w:val="none"/>
              </w:rPr>
            </w:pPr>
          </w:p>
        </w:tc>
        <w:tc>
          <w:tcPr>
            <w:tcW w:w="800" w:type="dxa"/>
            <w:vAlign w:val="center"/>
          </w:tcPr>
          <w:p>
            <w:pPr>
              <w:spacing w:line="620" w:lineRule="exact"/>
              <w:jc w:val="center"/>
              <w:rPr>
                <w:color w:val="auto"/>
                <w:szCs w:val="21"/>
                <w:highlight w:val="none"/>
              </w:rPr>
            </w:pPr>
          </w:p>
        </w:tc>
        <w:tc>
          <w:tcPr>
            <w:tcW w:w="715" w:type="dxa"/>
            <w:vAlign w:val="center"/>
          </w:tcPr>
          <w:p>
            <w:pPr>
              <w:spacing w:line="620" w:lineRule="exact"/>
              <w:jc w:val="center"/>
              <w:rPr>
                <w:color w:val="auto"/>
                <w:szCs w:val="21"/>
                <w:highlight w:val="none"/>
              </w:rPr>
            </w:pPr>
          </w:p>
        </w:tc>
        <w:tc>
          <w:tcPr>
            <w:tcW w:w="1209" w:type="dxa"/>
            <w:vAlign w:val="center"/>
          </w:tcPr>
          <w:p>
            <w:pPr>
              <w:spacing w:line="620" w:lineRule="exact"/>
              <w:jc w:val="center"/>
              <w:rPr>
                <w:color w:val="auto"/>
                <w:szCs w:val="21"/>
                <w:highlight w:val="none"/>
              </w:rPr>
            </w:pPr>
          </w:p>
        </w:tc>
        <w:tc>
          <w:tcPr>
            <w:tcW w:w="1046" w:type="dxa"/>
          </w:tcPr>
          <w:p>
            <w:pPr>
              <w:spacing w:line="620" w:lineRule="exact"/>
              <w:jc w:val="center"/>
              <w:rPr>
                <w:color w:val="auto"/>
                <w:szCs w:val="21"/>
                <w:highlight w:val="none"/>
              </w:rPr>
            </w:pPr>
          </w:p>
        </w:tc>
        <w:tc>
          <w:tcPr>
            <w:tcW w:w="1747" w:type="dxa"/>
          </w:tcPr>
          <w:p>
            <w:pPr>
              <w:spacing w:line="62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8" w:type="dxa"/>
            <w:vAlign w:val="center"/>
          </w:tcPr>
          <w:p>
            <w:pPr>
              <w:spacing w:line="620" w:lineRule="exact"/>
              <w:jc w:val="center"/>
              <w:rPr>
                <w:color w:val="auto"/>
                <w:szCs w:val="21"/>
                <w:highlight w:val="none"/>
              </w:rPr>
            </w:pPr>
          </w:p>
        </w:tc>
        <w:tc>
          <w:tcPr>
            <w:tcW w:w="1933" w:type="dxa"/>
            <w:vAlign w:val="center"/>
          </w:tcPr>
          <w:p>
            <w:pPr>
              <w:spacing w:line="620" w:lineRule="exact"/>
              <w:jc w:val="center"/>
              <w:rPr>
                <w:color w:val="auto"/>
                <w:szCs w:val="21"/>
                <w:highlight w:val="none"/>
              </w:rPr>
            </w:pPr>
          </w:p>
        </w:tc>
        <w:tc>
          <w:tcPr>
            <w:tcW w:w="723" w:type="dxa"/>
            <w:vAlign w:val="center"/>
          </w:tcPr>
          <w:p>
            <w:pPr>
              <w:spacing w:line="620" w:lineRule="exact"/>
              <w:jc w:val="center"/>
              <w:rPr>
                <w:color w:val="auto"/>
                <w:szCs w:val="21"/>
                <w:highlight w:val="none"/>
              </w:rPr>
            </w:pPr>
          </w:p>
        </w:tc>
        <w:tc>
          <w:tcPr>
            <w:tcW w:w="1058" w:type="dxa"/>
            <w:vAlign w:val="center"/>
          </w:tcPr>
          <w:p>
            <w:pPr>
              <w:spacing w:line="620" w:lineRule="exact"/>
              <w:jc w:val="center"/>
              <w:rPr>
                <w:color w:val="auto"/>
                <w:szCs w:val="21"/>
                <w:highlight w:val="none"/>
              </w:rPr>
            </w:pPr>
          </w:p>
        </w:tc>
        <w:tc>
          <w:tcPr>
            <w:tcW w:w="770" w:type="dxa"/>
            <w:vAlign w:val="center"/>
          </w:tcPr>
          <w:p>
            <w:pPr>
              <w:spacing w:line="620" w:lineRule="exact"/>
              <w:jc w:val="center"/>
              <w:rPr>
                <w:color w:val="auto"/>
                <w:szCs w:val="21"/>
                <w:highlight w:val="none"/>
              </w:rPr>
            </w:pPr>
          </w:p>
        </w:tc>
        <w:tc>
          <w:tcPr>
            <w:tcW w:w="800" w:type="dxa"/>
            <w:vAlign w:val="center"/>
          </w:tcPr>
          <w:p>
            <w:pPr>
              <w:spacing w:line="620" w:lineRule="exact"/>
              <w:jc w:val="center"/>
              <w:rPr>
                <w:color w:val="auto"/>
                <w:szCs w:val="21"/>
                <w:highlight w:val="none"/>
              </w:rPr>
            </w:pPr>
          </w:p>
        </w:tc>
        <w:tc>
          <w:tcPr>
            <w:tcW w:w="715" w:type="dxa"/>
            <w:vAlign w:val="center"/>
          </w:tcPr>
          <w:p>
            <w:pPr>
              <w:spacing w:line="620" w:lineRule="exact"/>
              <w:jc w:val="center"/>
              <w:rPr>
                <w:color w:val="auto"/>
                <w:szCs w:val="21"/>
                <w:highlight w:val="none"/>
              </w:rPr>
            </w:pPr>
          </w:p>
        </w:tc>
        <w:tc>
          <w:tcPr>
            <w:tcW w:w="1209" w:type="dxa"/>
            <w:vAlign w:val="center"/>
          </w:tcPr>
          <w:p>
            <w:pPr>
              <w:spacing w:line="620" w:lineRule="exact"/>
              <w:jc w:val="center"/>
              <w:rPr>
                <w:color w:val="auto"/>
                <w:szCs w:val="21"/>
                <w:highlight w:val="none"/>
              </w:rPr>
            </w:pPr>
          </w:p>
        </w:tc>
        <w:tc>
          <w:tcPr>
            <w:tcW w:w="1046" w:type="dxa"/>
          </w:tcPr>
          <w:p>
            <w:pPr>
              <w:spacing w:line="620" w:lineRule="exact"/>
              <w:jc w:val="center"/>
              <w:rPr>
                <w:color w:val="auto"/>
                <w:szCs w:val="21"/>
                <w:highlight w:val="none"/>
              </w:rPr>
            </w:pPr>
          </w:p>
        </w:tc>
        <w:tc>
          <w:tcPr>
            <w:tcW w:w="1747" w:type="dxa"/>
          </w:tcPr>
          <w:p>
            <w:pPr>
              <w:spacing w:line="62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8" w:type="dxa"/>
            <w:vAlign w:val="center"/>
          </w:tcPr>
          <w:p>
            <w:pPr>
              <w:spacing w:line="620" w:lineRule="exact"/>
              <w:jc w:val="center"/>
              <w:rPr>
                <w:color w:val="auto"/>
                <w:szCs w:val="21"/>
                <w:highlight w:val="none"/>
              </w:rPr>
            </w:pPr>
          </w:p>
        </w:tc>
        <w:tc>
          <w:tcPr>
            <w:tcW w:w="1933" w:type="dxa"/>
            <w:vAlign w:val="center"/>
          </w:tcPr>
          <w:p>
            <w:pPr>
              <w:spacing w:line="620" w:lineRule="exact"/>
              <w:jc w:val="center"/>
              <w:rPr>
                <w:color w:val="auto"/>
                <w:szCs w:val="21"/>
                <w:highlight w:val="none"/>
              </w:rPr>
            </w:pPr>
          </w:p>
        </w:tc>
        <w:tc>
          <w:tcPr>
            <w:tcW w:w="723" w:type="dxa"/>
            <w:vAlign w:val="center"/>
          </w:tcPr>
          <w:p>
            <w:pPr>
              <w:spacing w:line="620" w:lineRule="exact"/>
              <w:jc w:val="center"/>
              <w:rPr>
                <w:color w:val="auto"/>
                <w:szCs w:val="21"/>
                <w:highlight w:val="none"/>
              </w:rPr>
            </w:pPr>
          </w:p>
        </w:tc>
        <w:tc>
          <w:tcPr>
            <w:tcW w:w="1058" w:type="dxa"/>
            <w:vAlign w:val="center"/>
          </w:tcPr>
          <w:p>
            <w:pPr>
              <w:spacing w:line="620" w:lineRule="exact"/>
              <w:jc w:val="center"/>
              <w:rPr>
                <w:color w:val="auto"/>
                <w:szCs w:val="21"/>
                <w:highlight w:val="none"/>
              </w:rPr>
            </w:pPr>
          </w:p>
        </w:tc>
        <w:tc>
          <w:tcPr>
            <w:tcW w:w="770" w:type="dxa"/>
            <w:vAlign w:val="center"/>
          </w:tcPr>
          <w:p>
            <w:pPr>
              <w:spacing w:line="620" w:lineRule="exact"/>
              <w:jc w:val="center"/>
              <w:rPr>
                <w:color w:val="auto"/>
                <w:szCs w:val="21"/>
                <w:highlight w:val="none"/>
              </w:rPr>
            </w:pPr>
          </w:p>
        </w:tc>
        <w:tc>
          <w:tcPr>
            <w:tcW w:w="800" w:type="dxa"/>
            <w:vAlign w:val="center"/>
          </w:tcPr>
          <w:p>
            <w:pPr>
              <w:spacing w:line="620" w:lineRule="exact"/>
              <w:jc w:val="center"/>
              <w:rPr>
                <w:color w:val="auto"/>
                <w:szCs w:val="21"/>
                <w:highlight w:val="none"/>
              </w:rPr>
            </w:pPr>
          </w:p>
        </w:tc>
        <w:tc>
          <w:tcPr>
            <w:tcW w:w="715" w:type="dxa"/>
            <w:vAlign w:val="center"/>
          </w:tcPr>
          <w:p>
            <w:pPr>
              <w:spacing w:line="620" w:lineRule="exact"/>
              <w:jc w:val="center"/>
              <w:rPr>
                <w:color w:val="auto"/>
                <w:szCs w:val="21"/>
                <w:highlight w:val="none"/>
              </w:rPr>
            </w:pPr>
          </w:p>
        </w:tc>
        <w:tc>
          <w:tcPr>
            <w:tcW w:w="1209" w:type="dxa"/>
            <w:vAlign w:val="center"/>
          </w:tcPr>
          <w:p>
            <w:pPr>
              <w:spacing w:line="620" w:lineRule="exact"/>
              <w:jc w:val="center"/>
              <w:rPr>
                <w:color w:val="auto"/>
                <w:szCs w:val="21"/>
                <w:highlight w:val="none"/>
              </w:rPr>
            </w:pPr>
          </w:p>
        </w:tc>
        <w:tc>
          <w:tcPr>
            <w:tcW w:w="1046" w:type="dxa"/>
          </w:tcPr>
          <w:p>
            <w:pPr>
              <w:spacing w:line="620" w:lineRule="exact"/>
              <w:jc w:val="center"/>
              <w:rPr>
                <w:color w:val="auto"/>
                <w:szCs w:val="21"/>
                <w:highlight w:val="none"/>
              </w:rPr>
            </w:pPr>
          </w:p>
        </w:tc>
        <w:tc>
          <w:tcPr>
            <w:tcW w:w="1747" w:type="dxa"/>
          </w:tcPr>
          <w:p>
            <w:pPr>
              <w:spacing w:line="62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68" w:type="dxa"/>
            <w:vAlign w:val="center"/>
          </w:tcPr>
          <w:p>
            <w:pPr>
              <w:spacing w:line="620" w:lineRule="exact"/>
              <w:jc w:val="center"/>
              <w:rPr>
                <w:color w:val="auto"/>
                <w:szCs w:val="21"/>
                <w:highlight w:val="none"/>
              </w:rPr>
            </w:pPr>
          </w:p>
        </w:tc>
        <w:tc>
          <w:tcPr>
            <w:tcW w:w="1933" w:type="dxa"/>
            <w:vAlign w:val="center"/>
          </w:tcPr>
          <w:p>
            <w:pPr>
              <w:spacing w:line="620" w:lineRule="exact"/>
              <w:jc w:val="center"/>
              <w:rPr>
                <w:color w:val="auto"/>
                <w:szCs w:val="21"/>
                <w:highlight w:val="none"/>
              </w:rPr>
            </w:pPr>
          </w:p>
        </w:tc>
        <w:tc>
          <w:tcPr>
            <w:tcW w:w="723" w:type="dxa"/>
            <w:vAlign w:val="center"/>
          </w:tcPr>
          <w:p>
            <w:pPr>
              <w:spacing w:line="620" w:lineRule="exact"/>
              <w:jc w:val="center"/>
              <w:rPr>
                <w:color w:val="auto"/>
                <w:szCs w:val="21"/>
                <w:highlight w:val="none"/>
              </w:rPr>
            </w:pPr>
          </w:p>
        </w:tc>
        <w:tc>
          <w:tcPr>
            <w:tcW w:w="1058" w:type="dxa"/>
            <w:vAlign w:val="center"/>
          </w:tcPr>
          <w:p>
            <w:pPr>
              <w:spacing w:line="620" w:lineRule="exact"/>
              <w:jc w:val="center"/>
              <w:rPr>
                <w:color w:val="auto"/>
                <w:szCs w:val="21"/>
                <w:highlight w:val="none"/>
              </w:rPr>
            </w:pPr>
          </w:p>
        </w:tc>
        <w:tc>
          <w:tcPr>
            <w:tcW w:w="770" w:type="dxa"/>
            <w:vAlign w:val="center"/>
          </w:tcPr>
          <w:p>
            <w:pPr>
              <w:spacing w:line="620" w:lineRule="exact"/>
              <w:jc w:val="center"/>
              <w:rPr>
                <w:color w:val="auto"/>
                <w:szCs w:val="21"/>
                <w:highlight w:val="none"/>
              </w:rPr>
            </w:pPr>
          </w:p>
        </w:tc>
        <w:tc>
          <w:tcPr>
            <w:tcW w:w="800" w:type="dxa"/>
            <w:vAlign w:val="center"/>
          </w:tcPr>
          <w:p>
            <w:pPr>
              <w:spacing w:line="620" w:lineRule="exact"/>
              <w:jc w:val="center"/>
              <w:rPr>
                <w:color w:val="auto"/>
                <w:szCs w:val="21"/>
                <w:highlight w:val="none"/>
              </w:rPr>
            </w:pPr>
          </w:p>
        </w:tc>
        <w:tc>
          <w:tcPr>
            <w:tcW w:w="715" w:type="dxa"/>
            <w:vAlign w:val="center"/>
          </w:tcPr>
          <w:p>
            <w:pPr>
              <w:spacing w:line="620" w:lineRule="exact"/>
              <w:jc w:val="center"/>
              <w:rPr>
                <w:color w:val="auto"/>
                <w:szCs w:val="21"/>
                <w:highlight w:val="none"/>
              </w:rPr>
            </w:pPr>
          </w:p>
        </w:tc>
        <w:tc>
          <w:tcPr>
            <w:tcW w:w="1209" w:type="dxa"/>
            <w:vAlign w:val="center"/>
          </w:tcPr>
          <w:p>
            <w:pPr>
              <w:spacing w:line="620" w:lineRule="exact"/>
              <w:jc w:val="center"/>
              <w:rPr>
                <w:color w:val="auto"/>
                <w:szCs w:val="21"/>
                <w:highlight w:val="none"/>
              </w:rPr>
            </w:pPr>
          </w:p>
        </w:tc>
        <w:tc>
          <w:tcPr>
            <w:tcW w:w="1046" w:type="dxa"/>
          </w:tcPr>
          <w:p>
            <w:pPr>
              <w:spacing w:line="620" w:lineRule="exact"/>
              <w:jc w:val="center"/>
              <w:rPr>
                <w:color w:val="auto"/>
                <w:szCs w:val="21"/>
                <w:highlight w:val="none"/>
              </w:rPr>
            </w:pPr>
          </w:p>
        </w:tc>
        <w:tc>
          <w:tcPr>
            <w:tcW w:w="1747" w:type="dxa"/>
          </w:tcPr>
          <w:p>
            <w:pPr>
              <w:spacing w:line="620" w:lineRule="exact"/>
              <w:jc w:val="center"/>
              <w:rPr>
                <w:color w:val="auto"/>
                <w:szCs w:val="21"/>
                <w:highlight w:val="none"/>
              </w:rPr>
            </w:pPr>
          </w:p>
        </w:tc>
      </w:tr>
    </w:tbl>
    <w:p>
      <w:pPr>
        <w:spacing w:line="620" w:lineRule="exact"/>
        <w:rPr>
          <w:color w:val="auto"/>
          <w:szCs w:val="21"/>
          <w:highlight w:val="none"/>
        </w:rPr>
      </w:pPr>
      <w:r>
        <w:rPr>
          <w:rFonts w:hint="eastAsia"/>
          <w:color w:val="auto"/>
          <w:szCs w:val="21"/>
          <w:highlight w:val="none"/>
        </w:rPr>
        <w:t>监管单位：                                             招标人：</w:t>
      </w:r>
    </w:p>
    <w:p>
      <w:pPr>
        <w:pStyle w:val="16"/>
        <w:rPr>
          <w:color w:val="auto"/>
          <w:szCs w:val="21"/>
          <w:highlight w:val="none"/>
        </w:rPr>
      </w:pPr>
    </w:p>
    <w:p>
      <w:pPr>
        <w:pStyle w:val="16"/>
        <w:rPr>
          <w:color w:val="auto"/>
          <w:szCs w:val="21"/>
          <w:highlight w:val="none"/>
        </w:rPr>
        <w:sectPr>
          <w:pgSz w:w="16838" w:h="11906" w:orient="landscape"/>
          <w:pgMar w:top="1247" w:right="1134" w:bottom="1247" w:left="1361" w:header="851" w:footer="992" w:gutter="0"/>
          <w:cols w:space="720" w:num="1"/>
          <w:docGrid w:linePitch="312" w:charSpace="0"/>
        </w:sectPr>
      </w:pPr>
      <w:r>
        <w:rPr>
          <w:rFonts w:hint="eastAsia"/>
          <w:color w:val="auto"/>
          <w:szCs w:val="21"/>
          <w:highlight w:val="none"/>
        </w:rPr>
        <w:t>本表仅供参考，具体以开标时的开标记录表为准。</w:t>
      </w:r>
    </w:p>
    <w:p>
      <w:pPr>
        <w:pStyle w:val="3"/>
        <w:jc w:val="center"/>
        <w:rPr>
          <w:rFonts w:ascii="宋体" w:hAnsi="宋体"/>
          <w:color w:val="auto"/>
          <w:highlight w:val="none"/>
        </w:rPr>
      </w:pPr>
      <w:bookmarkStart w:id="849" w:name="_Toc29364"/>
      <w:bookmarkStart w:id="850" w:name="_Toc436834776"/>
      <w:bookmarkStart w:id="851" w:name="_Toc152045598"/>
      <w:bookmarkStart w:id="852" w:name="_Toc12479"/>
      <w:bookmarkStart w:id="853" w:name="_Toc247527623"/>
      <w:bookmarkStart w:id="854" w:name="_Toc144974565"/>
      <w:bookmarkStart w:id="855" w:name="_Toc247514022"/>
      <w:bookmarkStart w:id="856" w:name="_Toc26793"/>
      <w:bookmarkStart w:id="857" w:name="_Toc21214"/>
      <w:bookmarkStart w:id="858" w:name="_Toc152042375"/>
      <w:bookmarkStart w:id="859" w:name="_Toc4886"/>
      <w:bookmarkStart w:id="860" w:name="_Toc3567"/>
      <w:bookmarkStart w:id="861" w:name="_Toc494371566"/>
      <w:r>
        <w:rPr>
          <w:rFonts w:hint="eastAsia" w:ascii="宋体" w:hAnsi="宋体"/>
          <w:color w:val="auto"/>
          <w:highlight w:val="none"/>
        </w:rPr>
        <w:t>第三章评标办法（</w:t>
      </w:r>
      <w:r>
        <w:rPr>
          <w:rFonts w:hint="eastAsia" w:ascii="宋体" w:hAnsi="宋体"/>
          <w:color w:val="auto"/>
          <w:highlight w:val="none"/>
          <w:lang w:eastAsia="zh-CN"/>
        </w:rPr>
        <w:t>综合评分法</w:t>
      </w:r>
      <w:r>
        <w:rPr>
          <w:rFonts w:hint="eastAsia" w:ascii="宋体" w:hAnsi="宋体"/>
          <w:color w:val="auto"/>
          <w:highlight w:val="none"/>
        </w:rPr>
        <w:t>）</w:t>
      </w:r>
      <w:bookmarkEnd w:id="849"/>
      <w:bookmarkEnd w:id="850"/>
      <w:bookmarkEnd w:id="851"/>
      <w:bookmarkEnd w:id="852"/>
      <w:bookmarkEnd w:id="853"/>
      <w:bookmarkEnd w:id="854"/>
      <w:bookmarkEnd w:id="855"/>
      <w:bookmarkEnd w:id="856"/>
      <w:bookmarkEnd w:id="857"/>
      <w:bookmarkEnd w:id="858"/>
      <w:bookmarkEnd w:id="859"/>
      <w:bookmarkEnd w:id="860"/>
      <w:bookmarkEnd w:id="861"/>
    </w:p>
    <w:p>
      <w:pPr>
        <w:pStyle w:val="4"/>
        <w:spacing w:before="120" w:after="120"/>
        <w:jc w:val="center"/>
        <w:rPr>
          <w:rFonts w:ascii="宋体" w:hAnsi="宋体" w:eastAsia="宋体"/>
          <w:color w:val="auto"/>
          <w:highlight w:val="none"/>
        </w:rPr>
      </w:pPr>
      <w:bookmarkStart w:id="862" w:name="_Toc27045"/>
      <w:bookmarkStart w:id="863" w:name="_Toc14287"/>
      <w:bookmarkStart w:id="864" w:name="_Toc399165430"/>
      <w:bookmarkStart w:id="865" w:name="_Toc436834184"/>
      <w:bookmarkStart w:id="866" w:name="_Toc16563"/>
      <w:bookmarkStart w:id="867" w:name="_Toc300835009"/>
      <w:bookmarkStart w:id="868" w:name="_Toc494371567"/>
      <w:bookmarkStart w:id="869" w:name="_Toc144974566"/>
      <w:bookmarkStart w:id="870" w:name="_Toc152045599"/>
      <w:bookmarkStart w:id="871" w:name="_Toc152042376"/>
      <w:bookmarkStart w:id="872" w:name="_Toc247514023"/>
      <w:bookmarkStart w:id="873" w:name="_Toc5317"/>
      <w:bookmarkStart w:id="874" w:name="_Toc16897"/>
      <w:bookmarkStart w:id="875" w:name="_Toc247527624"/>
      <w:bookmarkStart w:id="876" w:name="_Toc25647"/>
      <w:bookmarkStart w:id="877" w:name="_Toc436834777"/>
      <w:r>
        <w:rPr>
          <w:rFonts w:hint="eastAsia" w:ascii="宋体" w:hAnsi="宋体" w:eastAsia="宋体"/>
          <w:color w:val="auto"/>
          <w:highlight w:val="none"/>
        </w:rPr>
        <w:t>评标办法前附表</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tbl>
      <w:tblPr>
        <w:tblStyle w:val="38"/>
        <w:tblW w:w="94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7"/>
        <w:gridCol w:w="1538"/>
        <w:gridCol w:w="1575"/>
        <w:gridCol w:w="55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1575"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评审因素</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2.1.1</w:t>
            </w:r>
          </w:p>
        </w:tc>
        <w:tc>
          <w:tcPr>
            <w:tcW w:w="1575"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资格审查</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left"/>
              <w:rPr>
                <w:rFonts w:ascii="宋体" w:hAnsi="宋体"/>
                <w:color w:val="auto"/>
                <w:szCs w:val="21"/>
                <w:highlight w:val="none"/>
              </w:rPr>
            </w:pPr>
            <w:r>
              <w:rPr>
                <w:rFonts w:hint="eastAsia" w:ascii="宋体" w:hAnsi="宋体"/>
                <w:color w:val="auto"/>
                <w:szCs w:val="21"/>
                <w:highlight w:val="none"/>
              </w:rPr>
              <w:t>见附表</w:t>
            </w:r>
            <w:r>
              <w:rPr>
                <w:rFonts w:ascii="宋体" w:hAnsi="宋体"/>
                <w:color w:val="auto"/>
                <w:szCs w:val="21"/>
                <w:highlight w:val="none"/>
              </w:rPr>
              <w:t>1《资格审查表》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2.1.2</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rPr>
            </w:pPr>
            <w:r>
              <w:rPr>
                <w:rFonts w:hint="eastAsia"/>
                <w:color w:val="auto"/>
                <w:szCs w:val="21"/>
                <w:highlight w:val="none"/>
              </w:rPr>
              <w:t>投标文件有效性审查表</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left"/>
              <w:rPr>
                <w:rFonts w:ascii="宋体" w:hAnsi="宋体"/>
                <w:color w:val="auto"/>
                <w:szCs w:val="21"/>
                <w:highlight w:val="none"/>
              </w:rPr>
            </w:pPr>
            <w:r>
              <w:rPr>
                <w:rFonts w:hint="eastAsia"/>
                <w:color w:val="auto"/>
                <w:szCs w:val="21"/>
                <w:highlight w:val="none"/>
              </w:rPr>
              <w:t>附表2《</w:t>
            </w:r>
            <w:r>
              <w:rPr>
                <w:rFonts w:hint="eastAsia"/>
                <w:color w:val="auto"/>
                <w:szCs w:val="21"/>
                <w:highlight w:val="none"/>
                <w:lang w:eastAsia="zh-CN"/>
              </w:rPr>
              <w:t>工程施工总承包实施方案</w:t>
            </w:r>
            <w:r>
              <w:rPr>
                <w:rFonts w:hint="eastAsia"/>
                <w:color w:val="auto"/>
                <w:szCs w:val="21"/>
                <w:highlight w:val="none"/>
              </w:rPr>
              <w:t>（含资信部分）文件有效性审查表》、附表4《投标报价文件有效性审查表》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条款内容</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2.2.1</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分值构成及权重</w:t>
            </w:r>
          </w:p>
        </w:tc>
        <w:tc>
          <w:tcPr>
            <w:tcW w:w="5508" w:type="dxa"/>
            <w:tcBorders>
              <w:top w:val="single" w:color="auto" w:sz="6" w:space="0"/>
              <w:left w:val="single" w:color="auto" w:sz="6" w:space="0"/>
              <w:bottom w:val="single" w:color="auto" w:sz="6" w:space="0"/>
              <w:right w:val="single" w:color="auto" w:sz="4" w:space="0"/>
            </w:tcBorders>
            <w:vAlign w:val="center"/>
          </w:tcPr>
          <w:p>
            <w:pPr>
              <w:spacing w:line="240" w:lineRule="auto"/>
              <w:rPr>
                <w:rFonts w:hint="eastAsia"/>
                <w:color w:val="auto"/>
                <w:szCs w:val="21"/>
                <w:highlight w:val="none"/>
              </w:rPr>
            </w:pPr>
            <w:r>
              <w:rPr>
                <w:rFonts w:hint="eastAsia"/>
                <w:color w:val="auto"/>
                <w:szCs w:val="21"/>
                <w:highlight w:val="none"/>
              </w:rPr>
              <w:t>投标人总得分满分为100分，</w:t>
            </w:r>
            <w:r>
              <w:rPr>
                <w:rFonts w:hint="eastAsia"/>
                <w:color w:val="auto"/>
                <w:szCs w:val="21"/>
                <w:highlight w:val="none"/>
                <w:lang w:eastAsia="zh-CN"/>
              </w:rPr>
              <w:t>总得分=资信得分</w:t>
            </w:r>
            <w:r>
              <w:rPr>
                <w:rFonts w:hint="eastAsia"/>
                <w:color w:val="auto"/>
                <w:szCs w:val="21"/>
                <w:highlight w:val="none"/>
                <w:lang w:val="en-US" w:eastAsia="zh-CN"/>
              </w:rPr>
              <w:t>(40%)+</w:t>
            </w:r>
            <w:r>
              <w:rPr>
                <w:rFonts w:hint="eastAsia"/>
                <w:color w:val="auto"/>
                <w:szCs w:val="21"/>
                <w:highlight w:val="none"/>
                <w:lang w:eastAsia="zh-CN"/>
              </w:rPr>
              <w:t>投标报价得分（</w:t>
            </w:r>
            <w:r>
              <w:rPr>
                <w:rFonts w:hint="eastAsia"/>
                <w:color w:val="auto"/>
                <w:szCs w:val="21"/>
                <w:highlight w:val="none"/>
                <w:lang w:val="en-US" w:eastAsia="zh-CN"/>
              </w:rPr>
              <w:t>60%）</w:t>
            </w:r>
            <w:r>
              <w:rPr>
                <w:rFonts w:hint="eastAsia"/>
                <w:color w:val="auto"/>
                <w:szCs w:val="21"/>
                <w:highlight w:val="none"/>
              </w:rPr>
              <w:t>。</w:t>
            </w:r>
          </w:p>
          <w:p>
            <w:pPr>
              <w:spacing w:line="240" w:lineRule="auto"/>
              <w:rPr>
                <w:rFonts w:ascii="宋体" w:hAnsi="宋体"/>
                <w:color w:val="auto"/>
                <w:szCs w:val="21"/>
                <w:highlight w:val="none"/>
              </w:rPr>
            </w:pPr>
            <w:r>
              <w:rPr>
                <w:rFonts w:hint="eastAsia"/>
                <w:color w:val="auto"/>
                <w:szCs w:val="21"/>
                <w:highlight w:val="none"/>
              </w:rPr>
              <w:t>注：精确到小数点后两位，第三位四舍五入。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hint="eastAsia" w:ascii="宋体" w:hAnsi="宋体"/>
                <w:b/>
                <w:color w:val="auto"/>
                <w:szCs w:val="21"/>
                <w:highlight w:val="none"/>
              </w:rPr>
              <w:t>条款号</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评分因素</w:t>
            </w:r>
          </w:p>
        </w:tc>
        <w:tc>
          <w:tcPr>
            <w:tcW w:w="5508"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color w:val="auto"/>
                <w:szCs w:val="21"/>
                <w:highlight w:val="none"/>
              </w:rPr>
            </w:pPr>
            <w:r>
              <w:rPr>
                <w:rFonts w:hint="eastAsia" w:ascii="宋体" w:hAnsi="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hint="eastAsia"/>
                <w:color w:val="auto"/>
                <w:szCs w:val="21"/>
                <w:highlight w:val="none"/>
                <w:lang w:eastAsia="zh-CN"/>
              </w:rPr>
              <w:t>工程施工总承包实施方案</w:t>
            </w:r>
            <w:r>
              <w:rPr>
                <w:rFonts w:hint="eastAsia"/>
                <w:color w:val="auto"/>
                <w:szCs w:val="21"/>
                <w:highlight w:val="none"/>
              </w:rPr>
              <w:t>（含资信部分）文件详细审查评分标准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rPr>
            </w:pPr>
            <w:r>
              <w:rPr>
                <w:rFonts w:hint="eastAsia"/>
                <w:color w:val="auto"/>
                <w:szCs w:val="21"/>
                <w:highlight w:val="none"/>
                <w:lang w:eastAsia="zh-CN"/>
              </w:rPr>
              <w:t>工程施工总承包实施方案</w:t>
            </w:r>
            <w:r>
              <w:rPr>
                <w:rFonts w:hint="eastAsia"/>
                <w:color w:val="auto"/>
                <w:szCs w:val="21"/>
                <w:highlight w:val="none"/>
              </w:rPr>
              <w:t>（含资信部分）文件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color w:val="auto"/>
                <w:szCs w:val="21"/>
                <w:highlight w:val="none"/>
              </w:rPr>
            </w:pPr>
            <w:r>
              <w:rPr>
                <w:rFonts w:hint="eastAsia"/>
                <w:color w:val="auto"/>
                <w:szCs w:val="21"/>
                <w:highlight w:val="none"/>
              </w:rPr>
              <w:t>见附表3《</w:t>
            </w:r>
            <w:r>
              <w:rPr>
                <w:rFonts w:hint="eastAsia"/>
                <w:color w:val="auto"/>
                <w:szCs w:val="21"/>
                <w:highlight w:val="none"/>
                <w:lang w:eastAsia="zh-CN"/>
              </w:rPr>
              <w:t>工程施工总承包实施方案</w:t>
            </w:r>
            <w:r>
              <w:rPr>
                <w:rFonts w:hint="eastAsia"/>
                <w:color w:val="auto"/>
                <w:szCs w:val="21"/>
                <w:highlight w:val="none"/>
              </w:rPr>
              <w:t>（含资信部分）文件评分表》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hint="eastAsia"/>
                <w:color w:val="auto"/>
                <w:szCs w:val="21"/>
                <w:highlight w:val="none"/>
              </w:rPr>
              <w:t>投标报价文件详细审查评分标准</w:t>
            </w:r>
          </w:p>
        </w:tc>
        <w:tc>
          <w:tcPr>
            <w:tcW w:w="1575" w:type="dxa"/>
            <w:tcBorders>
              <w:top w:val="single" w:color="auto" w:sz="6" w:space="0"/>
              <w:left w:val="single" w:color="auto" w:sz="6" w:space="0"/>
              <w:bottom w:val="single" w:color="auto" w:sz="6" w:space="0"/>
              <w:right w:val="single" w:color="auto" w:sz="4" w:space="0"/>
            </w:tcBorders>
            <w:vAlign w:val="center"/>
          </w:tcPr>
          <w:p>
            <w:pPr>
              <w:jc w:val="center"/>
              <w:rPr>
                <w:color w:val="auto"/>
                <w:szCs w:val="21"/>
                <w:highlight w:val="none"/>
              </w:rPr>
            </w:pPr>
            <w:r>
              <w:rPr>
                <w:rFonts w:hint="eastAsia"/>
                <w:color w:val="auto"/>
                <w:szCs w:val="21"/>
                <w:highlight w:val="none"/>
              </w:rPr>
              <w:t>投标报价文件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color w:val="auto"/>
                <w:szCs w:val="21"/>
                <w:highlight w:val="none"/>
              </w:rPr>
            </w:pPr>
            <w:r>
              <w:rPr>
                <w:rFonts w:hint="eastAsia"/>
                <w:color w:val="auto"/>
                <w:szCs w:val="21"/>
                <w:highlight w:val="none"/>
              </w:rPr>
              <w:t>见附表6《建安工程费投标报价得分计算表》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9498" w:type="dxa"/>
            <w:gridSpan w:val="4"/>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需要补充的其他内容</w:t>
            </w:r>
          </w:p>
        </w:tc>
      </w:tr>
    </w:tbl>
    <w:p>
      <w:pPr>
        <w:pStyle w:val="4"/>
        <w:spacing w:before="100" w:after="100" w:line="360" w:lineRule="auto"/>
        <w:rPr>
          <w:rFonts w:ascii="宋体" w:hAnsi="宋体" w:eastAsia="宋体"/>
          <w:color w:val="auto"/>
          <w:highlight w:val="none"/>
        </w:rPr>
      </w:pPr>
      <w:r>
        <w:rPr>
          <w:color w:val="auto"/>
          <w:highlight w:val="none"/>
        </w:rPr>
        <w:br w:type="page"/>
      </w:r>
      <w:bookmarkStart w:id="878" w:name="_Toc25246"/>
      <w:bookmarkStart w:id="879" w:name="_Toc10123"/>
      <w:bookmarkStart w:id="880" w:name="_Toc436834185"/>
      <w:bookmarkStart w:id="881" w:name="_Toc25710"/>
      <w:bookmarkStart w:id="882" w:name="_Toc23786"/>
      <w:bookmarkStart w:id="883" w:name="_Toc152045600"/>
      <w:bookmarkStart w:id="884" w:name="_Toc16222"/>
      <w:bookmarkStart w:id="885" w:name="_Toc494371568"/>
      <w:bookmarkStart w:id="886" w:name="_Toc399165431"/>
      <w:bookmarkStart w:id="887" w:name="_Toc144974567"/>
      <w:bookmarkStart w:id="888" w:name="_Toc300835010"/>
      <w:bookmarkStart w:id="889" w:name="_Toc247527625"/>
      <w:bookmarkStart w:id="890" w:name="_Toc152042377"/>
      <w:bookmarkStart w:id="891" w:name="_Toc20806"/>
      <w:bookmarkStart w:id="892" w:name="_Toc436834778"/>
      <w:bookmarkStart w:id="893" w:name="_Toc247514024"/>
      <w:r>
        <w:rPr>
          <w:rFonts w:ascii="宋体" w:hAnsi="宋体" w:eastAsia="宋体"/>
          <w:color w:val="auto"/>
          <w:highlight w:val="none"/>
        </w:rPr>
        <w:t xml:space="preserve">1. </w:t>
      </w:r>
      <w:r>
        <w:rPr>
          <w:rFonts w:hint="eastAsia" w:ascii="宋体" w:hAnsi="宋体" w:eastAsia="宋体"/>
          <w:color w:val="auto"/>
          <w:highlight w:val="none"/>
        </w:rPr>
        <w:t>评标方法</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pPr>
        <w:spacing w:line="400" w:lineRule="exact"/>
        <w:ind w:firstLine="420" w:firstLineChars="200"/>
        <w:rPr>
          <w:rFonts w:ascii="宋体" w:hAnsi="宋体"/>
          <w:color w:val="auto"/>
          <w:highlight w:val="none"/>
        </w:rPr>
      </w:pPr>
      <w:r>
        <w:rPr>
          <w:rFonts w:hint="eastAsia" w:ascii="宋体" w:hAnsi="宋体"/>
          <w:color w:val="auto"/>
          <w:highlight w:val="none"/>
        </w:rPr>
        <w:t>本次评标采用</w:t>
      </w:r>
      <w:r>
        <w:rPr>
          <w:rFonts w:hint="eastAsia" w:ascii="宋体" w:hAnsi="宋体"/>
          <w:color w:val="auto"/>
          <w:highlight w:val="none"/>
          <w:lang w:eastAsia="zh-CN"/>
        </w:rPr>
        <w:t>综合评分法</w:t>
      </w:r>
      <w:r>
        <w:rPr>
          <w:rFonts w:hint="eastAsia" w:ascii="宋体" w:hAnsi="宋体"/>
          <w:color w:val="auto"/>
          <w:highlight w:val="none"/>
        </w:rPr>
        <w:t>。评标委员会对满足招标文件实质性要求的投标文件，按照本章第</w:t>
      </w:r>
      <w:r>
        <w:rPr>
          <w:rFonts w:ascii="宋体" w:hAnsi="宋体"/>
          <w:color w:val="auto"/>
          <w:highlight w:val="none"/>
        </w:rPr>
        <w:t>2.2</w:t>
      </w:r>
      <w:r>
        <w:rPr>
          <w:rFonts w:hint="eastAsia" w:ascii="宋体" w:hAnsi="宋体"/>
          <w:color w:val="auto"/>
          <w:highlight w:val="none"/>
        </w:rPr>
        <w:t>款规定的评分标准进行打分，并按得分由高到低顺序推荐中标候选人，或根据招标人授权直接确定中标人，但投标报价低于其成本的除外。</w:t>
      </w:r>
    </w:p>
    <w:p>
      <w:pPr>
        <w:pStyle w:val="4"/>
        <w:spacing w:before="100" w:after="100" w:line="360" w:lineRule="auto"/>
        <w:rPr>
          <w:rFonts w:ascii="宋体" w:hAnsi="宋体" w:eastAsia="宋体"/>
          <w:color w:val="auto"/>
          <w:highlight w:val="none"/>
        </w:rPr>
      </w:pPr>
      <w:bookmarkStart w:id="894" w:name="_Toc494371569"/>
      <w:bookmarkStart w:id="895" w:name="_Toc9484"/>
      <w:bookmarkStart w:id="896" w:name="_Toc300835011"/>
      <w:bookmarkStart w:id="897" w:name="_Toc17632"/>
      <w:bookmarkStart w:id="898" w:name="_Toc247514025"/>
      <w:bookmarkStart w:id="899" w:name="_Toc30197"/>
      <w:bookmarkStart w:id="900" w:name="_Toc152042378"/>
      <w:bookmarkStart w:id="901" w:name="_Toc436834779"/>
      <w:bookmarkStart w:id="902" w:name="_Toc399165432"/>
      <w:bookmarkStart w:id="903" w:name="_Toc247527626"/>
      <w:bookmarkStart w:id="904" w:name="_Toc436834186"/>
      <w:bookmarkStart w:id="905" w:name="_Toc65"/>
      <w:bookmarkStart w:id="906" w:name="_Toc144974568"/>
      <w:bookmarkStart w:id="907" w:name="_Toc16219"/>
      <w:bookmarkStart w:id="908" w:name="_Toc14150"/>
      <w:bookmarkStart w:id="909" w:name="_Toc152045601"/>
      <w:r>
        <w:rPr>
          <w:rFonts w:ascii="宋体" w:hAnsi="宋体" w:eastAsia="宋体"/>
          <w:color w:val="auto"/>
          <w:highlight w:val="none"/>
        </w:rPr>
        <w:t xml:space="preserve">2. </w:t>
      </w:r>
      <w:r>
        <w:rPr>
          <w:rFonts w:hint="eastAsia" w:ascii="宋体" w:hAnsi="宋体" w:eastAsia="宋体"/>
          <w:color w:val="auto"/>
          <w:highlight w:val="none"/>
        </w:rPr>
        <w:t>评审标准</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pPr>
        <w:pStyle w:val="5"/>
        <w:spacing w:before="100" w:after="100" w:line="360" w:lineRule="auto"/>
        <w:rPr>
          <w:rFonts w:ascii="宋体" w:eastAsia="宋体"/>
          <w:color w:val="auto"/>
          <w:highlight w:val="none"/>
        </w:rPr>
      </w:pPr>
      <w:bookmarkStart w:id="910" w:name="_Toc399165433"/>
      <w:bookmarkStart w:id="911" w:name="_Toc436834187"/>
      <w:bookmarkStart w:id="912" w:name="_Toc13888"/>
      <w:bookmarkStart w:id="913" w:name="_Toc300835012"/>
      <w:bookmarkStart w:id="914" w:name="_Toc32127"/>
      <w:bookmarkStart w:id="915" w:name="_Toc152045602"/>
      <w:bookmarkStart w:id="916" w:name="_Toc152042379"/>
      <w:bookmarkStart w:id="917" w:name="_Toc247527627"/>
      <w:bookmarkStart w:id="918" w:name="_Toc2867"/>
      <w:bookmarkStart w:id="919" w:name="_Toc247514026"/>
      <w:bookmarkStart w:id="920" w:name="_Toc144974569"/>
      <w:bookmarkStart w:id="921" w:name="_Toc17113"/>
      <w:bookmarkStart w:id="922" w:name="_Toc436834780"/>
      <w:bookmarkStart w:id="923" w:name="_Toc494371570"/>
      <w:r>
        <w:rPr>
          <w:rFonts w:ascii="宋体" w:eastAsia="宋体"/>
          <w:color w:val="auto"/>
          <w:highlight w:val="none"/>
        </w:rPr>
        <w:t>2.1 初步评审标准</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pPr>
        <w:spacing w:line="400" w:lineRule="exact"/>
        <w:ind w:firstLine="420" w:firstLineChars="200"/>
        <w:rPr>
          <w:rFonts w:ascii="宋体" w:hAnsi="宋体"/>
          <w:color w:val="auto"/>
          <w:highlight w:val="none"/>
        </w:rPr>
      </w:pPr>
      <w:r>
        <w:rPr>
          <w:rFonts w:ascii="宋体" w:hAnsi="宋体"/>
          <w:color w:val="auto"/>
          <w:highlight w:val="none"/>
        </w:rPr>
        <w:t>2.1.1 资格审查标准：见评标办法前附表。</w:t>
      </w:r>
    </w:p>
    <w:p>
      <w:pPr>
        <w:spacing w:line="400" w:lineRule="exact"/>
        <w:ind w:firstLine="420" w:firstLineChars="200"/>
        <w:rPr>
          <w:rFonts w:ascii="宋体" w:hAnsi="宋体"/>
          <w:color w:val="auto"/>
          <w:highlight w:val="none"/>
        </w:rPr>
      </w:pPr>
      <w:bookmarkStart w:id="924" w:name="_Toc247514027"/>
      <w:bookmarkStart w:id="925" w:name="_Toc152045603"/>
      <w:bookmarkStart w:id="926" w:name="_Toc152042380"/>
      <w:bookmarkStart w:id="927" w:name="_Toc399165434"/>
      <w:bookmarkStart w:id="928" w:name="_Toc300835013"/>
      <w:bookmarkStart w:id="929" w:name="_Toc247527628"/>
      <w:bookmarkStart w:id="930" w:name="_Toc144974570"/>
      <w:r>
        <w:rPr>
          <w:rFonts w:ascii="宋体" w:hAnsi="宋体"/>
          <w:color w:val="auto"/>
          <w:highlight w:val="none"/>
        </w:rPr>
        <w:t>2.1.2</w:t>
      </w:r>
      <w:r>
        <w:rPr>
          <w:rFonts w:hint="eastAsia" w:ascii="宋体" w:hAnsi="宋体"/>
          <w:color w:val="auto"/>
          <w:highlight w:val="none"/>
        </w:rPr>
        <w:t>投标文件有效性审查标准：见评标办法前附表。</w:t>
      </w:r>
    </w:p>
    <w:p>
      <w:pPr>
        <w:pStyle w:val="5"/>
        <w:spacing w:before="100" w:after="100" w:line="360" w:lineRule="auto"/>
        <w:rPr>
          <w:rFonts w:ascii="宋体" w:eastAsia="宋体"/>
          <w:color w:val="auto"/>
          <w:highlight w:val="none"/>
        </w:rPr>
      </w:pPr>
      <w:bookmarkStart w:id="931" w:name="_Toc32259"/>
      <w:bookmarkStart w:id="932" w:name="_Toc436834188"/>
      <w:bookmarkStart w:id="933" w:name="_Toc436834781"/>
      <w:bookmarkStart w:id="934" w:name="_Toc494371571"/>
      <w:bookmarkStart w:id="935" w:name="_Toc14736"/>
      <w:bookmarkStart w:id="936" w:name="_Toc16804"/>
      <w:bookmarkStart w:id="937" w:name="_Toc25188"/>
      <w:r>
        <w:rPr>
          <w:rFonts w:ascii="宋体" w:eastAsia="宋体"/>
          <w:color w:val="auto"/>
          <w:highlight w:val="none"/>
        </w:rPr>
        <w:t xml:space="preserve">2.2 </w:t>
      </w:r>
      <w:r>
        <w:rPr>
          <w:rFonts w:hint="eastAsia" w:ascii="宋体" w:eastAsia="宋体"/>
          <w:color w:val="auto"/>
          <w:highlight w:val="none"/>
        </w:rPr>
        <w:t>分值构成与评分标准</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pPr>
        <w:spacing w:line="400" w:lineRule="exact"/>
        <w:ind w:firstLine="420" w:firstLineChars="200"/>
        <w:rPr>
          <w:rFonts w:hint="eastAsia" w:ascii="宋体" w:hAnsi="宋体"/>
          <w:color w:val="auto"/>
          <w:highlight w:val="none"/>
        </w:rPr>
      </w:pPr>
      <w:bookmarkStart w:id="938" w:name="_Toc247527629"/>
      <w:bookmarkStart w:id="939" w:name="_Toc247514028"/>
      <w:bookmarkStart w:id="940" w:name="_Toc152045604"/>
      <w:bookmarkStart w:id="941" w:name="_Toc152042381"/>
      <w:bookmarkStart w:id="942" w:name="_Toc144974571"/>
      <w:bookmarkStart w:id="943" w:name="_Toc300835014"/>
      <w:bookmarkStart w:id="944" w:name="_Toc399165435"/>
      <w:r>
        <w:rPr>
          <w:rFonts w:ascii="宋体" w:hAnsi="宋体"/>
          <w:color w:val="auto"/>
          <w:highlight w:val="none"/>
        </w:rPr>
        <w:t>2.2.1</w:t>
      </w:r>
      <w:r>
        <w:rPr>
          <w:rFonts w:ascii="宋体" w:hAnsi="宋体"/>
          <w:color w:val="auto"/>
          <w:szCs w:val="21"/>
          <w:highlight w:val="none"/>
        </w:rPr>
        <w:t>分值构成</w:t>
      </w:r>
      <w:r>
        <w:rPr>
          <w:rFonts w:hint="eastAsia" w:ascii="宋体" w:hAnsi="宋体"/>
          <w:color w:val="auto"/>
          <w:szCs w:val="21"/>
          <w:highlight w:val="none"/>
        </w:rPr>
        <w:t>及权重</w:t>
      </w:r>
      <w:r>
        <w:rPr>
          <w:rFonts w:hint="eastAsia" w:ascii="宋体" w:hAnsi="宋体"/>
          <w:color w:val="auto"/>
          <w:highlight w:val="none"/>
        </w:rPr>
        <w:t>：</w:t>
      </w:r>
    </w:p>
    <w:p>
      <w:pPr>
        <w:numPr>
          <w:ilvl w:val="0"/>
          <w:numId w:val="0"/>
        </w:numPr>
        <w:tabs>
          <w:tab w:val="left" w:pos="945"/>
        </w:tabs>
        <w:spacing w:line="360" w:lineRule="auto"/>
        <w:ind w:leftChars="0"/>
        <w:rPr>
          <w:rFonts w:hint="eastAsia" w:ascii="宋体" w:hAnsi="宋体"/>
          <w:color w:val="auto"/>
          <w:highlight w:val="none"/>
        </w:rPr>
      </w:pPr>
      <w:r>
        <w:rPr>
          <w:rFonts w:hint="eastAsia" w:ascii="宋体" w:hAnsi="宋体"/>
          <w:color w:val="auto"/>
          <w:highlight w:val="none"/>
        </w:rPr>
        <w:t>评分总值最高为100分，资信及投标报价得分分值（权重）分配、分值设置如下：</w:t>
      </w:r>
    </w:p>
    <w:tbl>
      <w:tblPr>
        <w:tblStyle w:val="38"/>
        <w:tblW w:w="675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20"/>
        <w:gridCol w:w="2332"/>
        <w:gridCol w:w="22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2220" w:type="dxa"/>
            <w:vAlign w:val="bottom"/>
          </w:tcPr>
          <w:p>
            <w:pPr>
              <w:snapToGrid w:val="0"/>
              <w:spacing w:line="360" w:lineRule="auto"/>
              <w:jc w:val="center"/>
              <w:rPr>
                <w:rFonts w:hint="eastAsia" w:ascii="宋体" w:hAnsi="宋体"/>
                <w:b/>
                <w:color w:val="auto"/>
                <w:highlight w:val="none"/>
              </w:rPr>
            </w:pPr>
            <w:r>
              <w:rPr>
                <w:rFonts w:hint="eastAsia" w:ascii="宋体" w:hAnsi="宋体"/>
                <w:b/>
                <w:color w:val="auto"/>
                <w:highlight w:val="none"/>
              </w:rPr>
              <w:t>分值比例（100%）</w:t>
            </w:r>
          </w:p>
        </w:tc>
        <w:tc>
          <w:tcPr>
            <w:tcW w:w="2332" w:type="dxa"/>
            <w:vAlign w:val="bottom"/>
          </w:tcPr>
          <w:p>
            <w:pPr>
              <w:snapToGrid w:val="0"/>
              <w:spacing w:line="360" w:lineRule="auto"/>
              <w:jc w:val="center"/>
              <w:rPr>
                <w:rFonts w:hint="eastAsia" w:ascii="宋体" w:hAnsi="宋体"/>
                <w:b/>
                <w:color w:val="auto"/>
                <w:highlight w:val="none"/>
              </w:rPr>
            </w:pPr>
            <w:r>
              <w:rPr>
                <w:rFonts w:hint="eastAsia" w:ascii="宋体" w:hAnsi="宋体"/>
                <w:b/>
                <w:bCs/>
                <w:color w:val="auto"/>
                <w:szCs w:val="21"/>
                <w:highlight w:val="none"/>
              </w:rPr>
              <w:t>资信</w:t>
            </w:r>
            <w:r>
              <w:rPr>
                <w:rFonts w:hint="eastAsia" w:ascii="宋体" w:hAnsi="宋体"/>
                <w:b/>
                <w:color w:val="auto"/>
                <w:spacing w:val="-4"/>
                <w:highlight w:val="none"/>
              </w:rPr>
              <w:t>评分（</w:t>
            </w:r>
            <w:r>
              <w:rPr>
                <w:rFonts w:hint="eastAsia" w:ascii="宋体" w:hAnsi="宋体"/>
                <w:b/>
                <w:color w:val="auto"/>
                <w:spacing w:val="-4"/>
                <w:highlight w:val="none"/>
                <w:lang w:val="en-US" w:eastAsia="zh-CN"/>
              </w:rPr>
              <w:t>40</w:t>
            </w:r>
            <w:r>
              <w:rPr>
                <w:rFonts w:hint="eastAsia" w:ascii="宋体" w:hAnsi="宋体"/>
                <w:b/>
                <w:color w:val="auto"/>
                <w:highlight w:val="none"/>
              </w:rPr>
              <w:t>%</w:t>
            </w:r>
            <w:r>
              <w:rPr>
                <w:rFonts w:hint="eastAsia" w:ascii="宋体" w:hAnsi="宋体"/>
                <w:b/>
                <w:color w:val="auto"/>
                <w:spacing w:val="-4"/>
                <w:highlight w:val="none"/>
              </w:rPr>
              <w:t>）</w:t>
            </w:r>
          </w:p>
        </w:tc>
        <w:tc>
          <w:tcPr>
            <w:tcW w:w="2205" w:type="dxa"/>
            <w:vAlign w:val="bottom"/>
          </w:tcPr>
          <w:p>
            <w:pPr>
              <w:snapToGrid w:val="0"/>
              <w:spacing w:line="360" w:lineRule="auto"/>
              <w:jc w:val="center"/>
              <w:rPr>
                <w:rFonts w:hint="eastAsia" w:ascii="宋体" w:hAnsi="宋体"/>
                <w:b/>
                <w:color w:val="auto"/>
                <w:highlight w:val="none"/>
              </w:rPr>
            </w:pPr>
            <w:r>
              <w:rPr>
                <w:rFonts w:hint="eastAsia" w:ascii="宋体" w:hAnsi="宋体"/>
                <w:b/>
                <w:color w:val="auto"/>
                <w:spacing w:val="-4"/>
                <w:highlight w:val="none"/>
              </w:rPr>
              <w:t>投标报价得分（</w:t>
            </w:r>
            <w:r>
              <w:rPr>
                <w:rFonts w:hint="eastAsia" w:ascii="宋体" w:hAnsi="宋体"/>
                <w:b/>
                <w:color w:val="auto"/>
                <w:spacing w:val="-4"/>
                <w:highlight w:val="none"/>
                <w:lang w:val="en-US" w:eastAsia="zh-CN"/>
              </w:rPr>
              <w:t>6</w:t>
            </w:r>
            <w:r>
              <w:rPr>
                <w:rFonts w:hint="eastAsia" w:ascii="宋体" w:hAnsi="宋体"/>
                <w:b/>
                <w:color w:val="auto"/>
                <w:spacing w:val="-4"/>
                <w:highlight w:val="none"/>
              </w:rPr>
              <w:t>0</w:t>
            </w:r>
            <w:r>
              <w:rPr>
                <w:rFonts w:hint="eastAsia" w:ascii="宋体" w:hAnsi="宋体"/>
                <w:b/>
                <w:color w:val="auto"/>
                <w:highlight w:val="none"/>
              </w:rPr>
              <w:t>%</w:t>
            </w:r>
            <w:r>
              <w:rPr>
                <w:rFonts w:hint="eastAsia" w:ascii="宋体" w:hAnsi="宋体"/>
                <w:b/>
                <w:color w:val="auto"/>
                <w:spacing w:val="-4"/>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2220" w:type="dxa"/>
            <w:vAlign w:val="bottom"/>
          </w:tcPr>
          <w:p>
            <w:pPr>
              <w:snapToGrid w:val="0"/>
              <w:spacing w:line="360" w:lineRule="auto"/>
              <w:jc w:val="center"/>
              <w:rPr>
                <w:rFonts w:hint="eastAsia" w:ascii="宋体" w:hAnsi="宋体"/>
                <w:color w:val="auto"/>
                <w:highlight w:val="none"/>
              </w:rPr>
            </w:pPr>
            <w:r>
              <w:rPr>
                <w:rFonts w:hint="eastAsia" w:ascii="宋体" w:hAnsi="宋体"/>
                <w:color w:val="auto"/>
                <w:highlight w:val="none"/>
              </w:rPr>
              <w:t>得分100</w:t>
            </w:r>
          </w:p>
        </w:tc>
        <w:tc>
          <w:tcPr>
            <w:tcW w:w="2332" w:type="dxa"/>
            <w:vAlign w:val="bottom"/>
          </w:tcPr>
          <w:p>
            <w:pPr>
              <w:snapToGrid w:val="0"/>
              <w:spacing w:line="360" w:lineRule="auto"/>
              <w:jc w:val="center"/>
              <w:rPr>
                <w:rFonts w:hint="eastAsia" w:ascii="宋体" w:hAnsi="宋体"/>
                <w:color w:val="auto"/>
                <w:highlight w:val="none"/>
              </w:rPr>
            </w:pPr>
            <w:r>
              <w:rPr>
                <w:rFonts w:hint="eastAsia" w:ascii="宋体" w:hAnsi="宋体"/>
                <w:color w:val="auto"/>
                <w:highlight w:val="none"/>
                <w:lang w:val="en-US" w:eastAsia="zh-CN"/>
              </w:rPr>
              <w:t>40</w:t>
            </w:r>
            <w:r>
              <w:rPr>
                <w:rFonts w:hint="eastAsia" w:ascii="宋体" w:hAnsi="宋体"/>
                <w:color w:val="auto"/>
                <w:highlight w:val="none"/>
              </w:rPr>
              <w:t>分</w:t>
            </w:r>
          </w:p>
        </w:tc>
        <w:tc>
          <w:tcPr>
            <w:tcW w:w="2205" w:type="dxa"/>
            <w:vAlign w:val="bottom"/>
          </w:tcPr>
          <w:p>
            <w:pPr>
              <w:snapToGrid w:val="0"/>
              <w:spacing w:line="360" w:lineRule="auto"/>
              <w:jc w:val="center"/>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0分</w:t>
            </w:r>
          </w:p>
        </w:tc>
      </w:tr>
    </w:tbl>
    <w:p>
      <w:pPr>
        <w:spacing w:line="400" w:lineRule="exact"/>
        <w:ind w:firstLine="420" w:firstLineChars="200"/>
        <w:rPr>
          <w:rFonts w:ascii="宋体" w:hAnsi="宋体"/>
          <w:color w:val="auto"/>
          <w:highlight w:val="none"/>
        </w:rPr>
      </w:pPr>
      <w:r>
        <w:rPr>
          <w:rFonts w:ascii="宋体" w:hAnsi="宋体"/>
          <w:color w:val="auto"/>
          <w:highlight w:val="none"/>
        </w:rPr>
        <w:t>2.2.2 评分标准</w:t>
      </w:r>
    </w:p>
    <w:p>
      <w:pPr>
        <w:spacing w:line="400" w:lineRule="exact"/>
        <w:ind w:firstLine="420" w:firstLineChars="200"/>
        <w:rPr>
          <w:rFonts w:ascii="宋体" w:hAnsi="宋体"/>
          <w:color w:val="auto"/>
          <w:highlight w:val="none"/>
        </w:rPr>
      </w:pPr>
      <w:bookmarkStart w:id="945" w:name="_Toc494371572"/>
      <w:bookmarkStart w:id="946" w:name="_Toc11029"/>
      <w:bookmarkStart w:id="947" w:name="_Toc24656"/>
      <w:bookmarkStart w:id="948" w:name="_Toc436834782"/>
      <w:bookmarkStart w:id="949" w:name="_Toc210"/>
      <w:bookmarkStart w:id="950" w:name="_Toc13060"/>
      <w:bookmarkStart w:id="951" w:name="_Toc436834189"/>
      <w:bookmarkStart w:id="952" w:name="_Toc29432"/>
      <w:r>
        <w:rPr>
          <w:rFonts w:hint="eastAsia" w:ascii="宋体" w:hAnsi="宋体"/>
          <w:color w:val="auto"/>
          <w:highlight w:val="none"/>
        </w:rPr>
        <w:t>（1）</w:t>
      </w:r>
      <w:r>
        <w:rPr>
          <w:rFonts w:hint="eastAsia" w:ascii="宋体" w:hAnsi="宋体"/>
          <w:color w:val="auto"/>
          <w:highlight w:val="none"/>
          <w:lang w:eastAsia="zh-CN"/>
        </w:rPr>
        <w:t>工程施工总承包实施方案</w:t>
      </w:r>
      <w:r>
        <w:rPr>
          <w:rFonts w:hint="eastAsia" w:ascii="宋体" w:hAnsi="宋体"/>
          <w:color w:val="auto"/>
          <w:highlight w:val="none"/>
        </w:rPr>
        <w:t>（含资信部分）文件详细审查评分标准：见评标办法前附表。</w:t>
      </w:r>
    </w:p>
    <w:p>
      <w:pPr>
        <w:spacing w:line="400" w:lineRule="exact"/>
        <w:ind w:firstLine="420" w:firstLineChars="200"/>
        <w:rPr>
          <w:rFonts w:ascii="宋体" w:hAnsi="宋体"/>
          <w:color w:val="auto"/>
          <w:highlight w:val="none"/>
        </w:rPr>
      </w:pPr>
      <w:r>
        <w:rPr>
          <w:rFonts w:hint="eastAsia" w:ascii="宋体" w:hAnsi="宋体"/>
          <w:color w:val="auto"/>
          <w:highlight w:val="none"/>
        </w:rPr>
        <w:t>（2）投标报价文件详细审查评分标准：见评标办法前附表。</w:t>
      </w:r>
    </w:p>
    <w:p>
      <w:pPr>
        <w:pStyle w:val="4"/>
        <w:spacing w:before="100" w:after="100" w:line="360" w:lineRule="auto"/>
        <w:rPr>
          <w:rFonts w:ascii="宋体" w:hAnsi="宋体" w:eastAsia="宋体"/>
          <w:color w:val="auto"/>
          <w:highlight w:val="none"/>
        </w:rPr>
      </w:pPr>
      <w:bookmarkStart w:id="953" w:name="_Toc23123"/>
      <w:r>
        <w:rPr>
          <w:rFonts w:ascii="宋体" w:hAnsi="宋体" w:eastAsia="宋体"/>
          <w:color w:val="auto"/>
          <w:highlight w:val="none"/>
        </w:rPr>
        <w:t xml:space="preserve">3. </w:t>
      </w:r>
      <w:r>
        <w:rPr>
          <w:rFonts w:hint="eastAsia" w:ascii="宋体" w:hAnsi="宋体" w:eastAsia="宋体"/>
          <w:color w:val="auto"/>
          <w:highlight w:val="none"/>
        </w:rPr>
        <w:t>评标程序</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pPr>
        <w:pStyle w:val="5"/>
        <w:spacing w:before="100" w:after="100" w:line="360" w:lineRule="auto"/>
        <w:rPr>
          <w:rFonts w:ascii="宋体" w:eastAsia="宋体"/>
          <w:color w:val="auto"/>
          <w:highlight w:val="none"/>
        </w:rPr>
      </w:pPr>
      <w:bookmarkStart w:id="954" w:name="_Toc263"/>
      <w:bookmarkStart w:id="955" w:name="_Toc5646"/>
      <w:bookmarkStart w:id="956" w:name="_Toc1082"/>
      <w:bookmarkStart w:id="957" w:name="_Toc494371574"/>
      <w:bookmarkStart w:id="958" w:name="_Toc24446"/>
      <w:r>
        <w:rPr>
          <w:rFonts w:ascii="宋体" w:eastAsia="宋体"/>
          <w:color w:val="auto"/>
          <w:highlight w:val="none"/>
        </w:rPr>
        <w:t>3.1资格审查文件评审</w:t>
      </w:r>
      <w:bookmarkEnd w:id="954"/>
      <w:bookmarkEnd w:id="955"/>
      <w:bookmarkEnd w:id="956"/>
      <w:bookmarkEnd w:id="957"/>
      <w:bookmarkEnd w:id="958"/>
    </w:p>
    <w:p>
      <w:pPr>
        <w:spacing w:line="400" w:lineRule="exact"/>
        <w:ind w:firstLine="457" w:firstLineChars="218"/>
        <w:rPr>
          <w:rFonts w:ascii="宋体" w:hAnsi="宋体"/>
          <w:color w:val="auto"/>
          <w:kern w:val="0"/>
          <w:szCs w:val="21"/>
          <w:highlight w:val="none"/>
        </w:rPr>
      </w:pPr>
      <w:r>
        <w:rPr>
          <w:rFonts w:hint="eastAsia" w:ascii="宋体" w:hAnsi="宋体"/>
          <w:color w:val="auto"/>
          <w:kern w:val="0"/>
          <w:szCs w:val="21"/>
          <w:highlight w:val="none"/>
        </w:rPr>
        <w:t>3.1.1</w:t>
      </w:r>
      <w:r>
        <w:rPr>
          <w:rFonts w:hint="eastAsia" w:ascii="宋体" w:hAnsi="宋体"/>
          <w:color w:val="auto"/>
          <w:highlight w:val="none"/>
        </w:rPr>
        <w:t>资格审查采用非电子化审查方式进行，评标委员会对投标人递交的资格审查文件</w:t>
      </w:r>
      <w:r>
        <w:rPr>
          <w:rFonts w:hint="eastAsia" w:ascii="宋体" w:hAnsi="宋体"/>
          <w:color w:val="auto"/>
          <w:szCs w:val="21"/>
          <w:highlight w:val="none"/>
        </w:rPr>
        <w:t>进行评审。</w:t>
      </w:r>
    </w:p>
    <w:p>
      <w:pPr>
        <w:spacing w:line="400" w:lineRule="exact"/>
        <w:ind w:firstLine="457" w:firstLineChars="218"/>
        <w:rPr>
          <w:rFonts w:ascii="宋体" w:hAnsi="宋体"/>
          <w:color w:val="auto"/>
          <w:kern w:val="0"/>
          <w:szCs w:val="21"/>
          <w:highlight w:val="none"/>
        </w:rPr>
      </w:pPr>
      <w:r>
        <w:rPr>
          <w:rFonts w:hint="eastAsia" w:ascii="宋体" w:hAnsi="宋体"/>
          <w:color w:val="auto"/>
          <w:kern w:val="0"/>
          <w:szCs w:val="21"/>
          <w:highlight w:val="none"/>
        </w:rPr>
        <w:t>3.1.2资格审查文件中全部符合附表1《资格审查表》中情形的，为资格审查合格。否则为资格审查不合格，经评标委员会认定后，其资格审查文件将被拒绝。如评标委员会成员的评审意见不一致时，应先公开要求投标人进行澄清，并记录及由评标委员会、作出澄清的投标人签字确认，以评标委员会过半数成员的意见作为评标委员会对该情形的认定结论。只有通过资格审查的投标人方可进入下一阶段的评审。</w:t>
      </w:r>
    </w:p>
    <w:p>
      <w:pPr>
        <w:spacing w:line="400" w:lineRule="exact"/>
        <w:ind w:firstLine="457" w:firstLineChars="218"/>
        <w:rPr>
          <w:rFonts w:ascii="宋体" w:hAnsi="宋体"/>
          <w:color w:val="auto"/>
          <w:kern w:val="0"/>
          <w:szCs w:val="21"/>
          <w:highlight w:val="none"/>
        </w:rPr>
      </w:pPr>
      <w:r>
        <w:rPr>
          <w:rFonts w:ascii="宋体" w:hAnsi="宋体"/>
          <w:color w:val="auto"/>
          <w:kern w:val="0"/>
          <w:szCs w:val="21"/>
          <w:highlight w:val="none"/>
        </w:rPr>
        <w:t>3.1.</w:t>
      </w:r>
      <w:r>
        <w:rPr>
          <w:rFonts w:hint="eastAsia" w:ascii="宋体" w:hAnsi="宋体"/>
          <w:color w:val="auto"/>
          <w:kern w:val="0"/>
          <w:szCs w:val="21"/>
          <w:highlight w:val="none"/>
        </w:rPr>
        <w:t>3汇总资格审查情况，编写资格审查报告。</w:t>
      </w:r>
    </w:p>
    <w:p>
      <w:pPr>
        <w:spacing w:line="400" w:lineRule="exact"/>
        <w:ind w:firstLine="457" w:firstLineChars="218"/>
        <w:rPr>
          <w:rFonts w:ascii="宋体" w:hAnsi="宋体"/>
          <w:color w:val="auto"/>
          <w:kern w:val="0"/>
          <w:szCs w:val="21"/>
          <w:highlight w:val="none"/>
        </w:rPr>
      </w:pPr>
      <w:r>
        <w:rPr>
          <w:rFonts w:ascii="宋体" w:hAnsi="宋体"/>
          <w:color w:val="auto"/>
          <w:kern w:val="0"/>
          <w:szCs w:val="21"/>
          <w:highlight w:val="none"/>
        </w:rPr>
        <w:t>3.1.</w:t>
      </w:r>
      <w:r>
        <w:rPr>
          <w:rFonts w:hint="eastAsia" w:ascii="宋体" w:hAnsi="宋体"/>
          <w:color w:val="auto"/>
          <w:kern w:val="0"/>
          <w:szCs w:val="21"/>
          <w:highlight w:val="none"/>
        </w:rPr>
        <w:t>4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spacing w:line="400" w:lineRule="exact"/>
        <w:ind w:firstLine="457" w:firstLineChars="218"/>
        <w:rPr>
          <w:rFonts w:ascii="宋体" w:hAnsi="宋体"/>
          <w:color w:val="auto"/>
          <w:kern w:val="0"/>
          <w:szCs w:val="21"/>
          <w:highlight w:val="none"/>
        </w:rPr>
      </w:pPr>
      <w:r>
        <w:rPr>
          <w:rFonts w:hint="eastAsia" w:ascii="宋体" w:hAnsi="宋体"/>
          <w:color w:val="auto"/>
          <w:kern w:val="0"/>
          <w:szCs w:val="21"/>
          <w:highlight w:val="none"/>
        </w:rPr>
        <w:t>特别声明：资审合格后，投标人的资格发生变化而不满足投标人合格条件，在发出中标通知书前，资格问题仍未解决的，招标人将取消其中标资格。</w:t>
      </w:r>
    </w:p>
    <w:p>
      <w:pPr>
        <w:pStyle w:val="5"/>
        <w:spacing w:before="100" w:after="100" w:line="360" w:lineRule="auto"/>
        <w:rPr>
          <w:rFonts w:ascii="宋体" w:eastAsia="宋体" w:cs="宋体"/>
          <w:color w:val="auto"/>
          <w:szCs w:val="21"/>
          <w:highlight w:val="none"/>
        </w:rPr>
      </w:pPr>
      <w:bookmarkStart w:id="959" w:name="_Toc15835"/>
      <w:bookmarkStart w:id="960" w:name="_Toc436834190"/>
      <w:bookmarkStart w:id="961" w:name="_Toc30033"/>
      <w:bookmarkStart w:id="962" w:name="_Toc26253"/>
      <w:bookmarkStart w:id="963" w:name="_Toc22209"/>
      <w:bookmarkStart w:id="964" w:name="_Toc494371575"/>
      <w:bookmarkStart w:id="965" w:name="_Toc436834783"/>
      <w:bookmarkStart w:id="966" w:name="_Toc247527632"/>
      <w:bookmarkStart w:id="967" w:name="_Toc247514031"/>
      <w:bookmarkStart w:id="968" w:name="_Toc144974575"/>
      <w:bookmarkStart w:id="969" w:name="_Toc152042385"/>
      <w:bookmarkStart w:id="970" w:name="_Toc399165439"/>
      <w:bookmarkStart w:id="971" w:name="_Toc300835017"/>
      <w:bookmarkStart w:id="972" w:name="_Toc152045607"/>
      <w:r>
        <w:rPr>
          <w:rFonts w:hint="eastAsia" w:ascii="宋体" w:eastAsia="宋体" w:cs="宋体"/>
          <w:color w:val="auto"/>
          <w:highlight w:val="none"/>
        </w:rPr>
        <w:t>3.2</w:t>
      </w:r>
      <w:r>
        <w:rPr>
          <w:rFonts w:hint="eastAsia" w:ascii="宋体" w:eastAsia="宋体" w:cs="宋体"/>
          <w:color w:val="auto"/>
          <w:highlight w:val="none"/>
          <w:lang w:eastAsia="zh-CN"/>
        </w:rPr>
        <w:t>工程施工总承包实施方案</w:t>
      </w:r>
      <w:r>
        <w:rPr>
          <w:rFonts w:hint="eastAsia" w:ascii="宋体" w:eastAsia="宋体" w:cs="宋体"/>
          <w:color w:val="auto"/>
          <w:highlight w:val="none"/>
        </w:rPr>
        <w:t>（含资信部分）文件评审</w:t>
      </w:r>
      <w:bookmarkEnd w:id="959"/>
      <w:bookmarkEnd w:id="960"/>
      <w:bookmarkEnd w:id="961"/>
      <w:bookmarkEnd w:id="962"/>
      <w:bookmarkEnd w:id="963"/>
      <w:bookmarkEnd w:id="964"/>
      <w:bookmarkEnd w:id="965"/>
    </w:p>
    <w:p>
      <w:pPr>
        <w:spacing w:line="400" w:lineRule="exact"/>
        <w:ind w:firstLine="457" w:firstLineChars="218"/>
        <w:rPr>
          <w:rFonts w:ascii="宋体" w:hAnsi="宋体"/>
          <w:color w:val="auto"/>
          <w:szCs w:val="21"/>
          <w:highlight w:val="none"/>
        </w:rPr>
      </w:pPr>
      <w:bookmarkStart w:id="973" w:name="_Toc436834784"/>
      <w:bookmarkStart w:id="974" w:name="_Toc436834191"/>
      <w:r>
        <w:rPr>
          <w:rFonts w:ascii="宋体" w:hAnsi="宋体"/>
          <w:color w:val="auto"/>
          <w:szCs w:val="21"/>
          <w:highlight w:val="none"/>
        </w:rPr>
        <w:t>3.2.1</w:t>
      </w:r>
      <w:r>
        <w:rPr>
          <w:rFonts w:hint="eastAsia" w:ascii="宋体" w:hAnsi="宋体"/>
          <w:color w:val="auto"/>
          <w:szCs w:val="21"/>
          <w:highlight w:val="none"/>
        </w:rPr>
        <w:t>评标委员会按本办法附表2《</w:t>
      </w:r>
      <w:r>
        <w:rPr>
          <w:rFonts w:hint="eastAsia" w:ascii="宋体" w:hAnsi="宋体"/>
          <w:color w:val="auto"/>
          <w:szCs w:val="21"/>
          <w:highlight w:val="none"/>
          <w:lang w:eastAsia="zh-CN"/>
        </w:rPr>
        <w:t>工程施工总承包实施方案</w:t>
      </w:r>
      <w:r>
        <w:rPr>
          <w:rFonts w:hint="eastAsia" w:ascii="宋体" w:hAnsi="宋体"/>
          <w:color w:val="auto"/>
          <w:szCs w:val="21"/>
          <w:highlight w:val="none"/>
        </w:rPr>
        <w:t>（含资信部分）文件有效性审查表》</w:t>
      </w:r>
      <w:r>
        <w:rPr>
          <w:rFonts w:ascii="宋体" w:hAnsi="宋体"/>
          <w:color w:val="auto"/>
          <w:szCs w:val="21"/>
          <w:highlight w:val="none"/>
        </w:rPr>
        <w:t>对各投标文件进行评审，只有通过有效性审查的投标文件方可进入下一阶段的评审。如果</w:t>
      </w:r>
      <w:r>
        <w:rPr>
          <w:rFonts w:hint="eastAsia" w:ascii="宋体" w:hAnsi="宋体"/>
          <w:color w:val="auto"/>
          <w:szCs w:val="21"/>
          <w:highlight w:val="none"/>
        </w:rPr>
        <w:t>有废标提议，则评标委员会成员共同表决，按照少数服从多数的原则决定是否废标。</w:t>
      </w:r>
    </w:p>
    <w:p>
      <w:pPr>
        <w:spacing w:line="400" w:lineRule="exact"/>
        <w:ind w:firstLine="457" w:firstLineChars="218"/>
        <w:rPr>
          <w:rFonts w:ascii="宋体"/>
          <w:color w:val="auto"/>
          <w:szCs w:val="21"/>
          <w:highlight w:val="none"/>
        </w:rPr>
      </w:pPr>
      <w:r>
        <w:rPr>
          <w:rFonts w:ascii="宋体" w:hAnsi="宋体"/>
          <w:color w:val="auto"/>
          <w:szCs w:val="21"/>
          <w:highlight w:val="none"/>
        </w:rPr>
        <w:t>3.2.2</w:t>
      </w:r>
      <w:r>
        <w:rPr>
          <w:rFonts w:hint="eastAsia" w:ascii="宋体"/>
          <w:color w:val="auto"/>
          <w:szCs w:val="21"/>
          <w:highlight w:val="none"/>
        </w:rPr>
        <w:t>评标委员会按本办法附表3《</w:t>
      </w:r>
      <w:r>
        <w:rPr>
          <w:rFonts w:hint="eastAsia" w:ascii="宋体"/>
          <w:color w:val="auto"/>
          <w:szCs w:val="21"/>
          <w:highlight w:val="none"/>
          <w:lang w:eastAsia="zh-CN"/>
        </w:rPr>
        <w:t>工程施工总承包实施方案</w:t>
      </w:r>
      <w:r>
        <w:rPr>
          <w:rFonts w:hint="eastAsia" w:ascii="宋体"/>
          <w:color w:val="auto"/>
          <w:szCs w:val="21"/>
          <w:highlight w:val="none"/>
        </w:rPr>
        <w:t>（含资信部分）文件评分表》对各投标人的进行综合评分，投标人得分为评标委员会各成员对其评分合计的算术平均值。分数出现小数点，保留小数点后二位小数，第三位小数四舍五入。</w:t>
      </w:r>
    </w:p>
    <w:p>
      <w:pPr>
        <w:pStyle w:val="5"/>
        <w:spacing w:before="100" w:after="100" w:line="360" w:lineRule="auto"/>
        <w:rPr>
          <w:rFonts w:ascii="宋体" w:eastAsia="宋体"/>
          <w:color w:val="auto"/>
          <w:highlight w:val="none"/>
        </w:rPr>
      </w:pPr>
      <w:bookmarkStart w:id="975" w:name="_Toc494371576"/>
      <w:bookmarkStart w:id="976" w:name="_Toc29017"/>
      <w:bookmarkStart w:id="977" w:name="_Toc10463"/>
      <w:bookmarkStart w:id="978" w:name="_Toc23957"/>
      <w:bookmarkStart w:id="979" w:name="_Toc23184"/>
      <w:r>
        <w:rPr>
          <w:rFonts w:ascii="宋体" w:eastAsia="宋体"/>
          <w:color w:val="auto"/>
          <w:highlight w:val="none"/>
        </w:rPr>
        <w:t>3.3</w:t>
      </w:r>
      <w:bookmarkEnd w:id="973"/>
      <w:bookmarkEnd w:id="974"/>
      <w:bookmarkEnd w:id="975"/>
      <w:bookmarkEnd w:id="976"/>
      <w:bookmarkEnd w:id="977"/>
      <w:bookmarkEnd w:id="978"/>
      <w:bookmarkEnd w:id="979"/>
      <w:r>
        <w:rPr>
          <w:rFonts w:hint="eastAsia" w:ascii="宋体" w:eastAsia="宋体"/>
          <w:color w:val="auto"/>
          <w:highlight w:val="none"/>
        </w:rPr>
        <w:t>投标报价文件评审</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3.3.1投标报价文件有效性审查：评标委员会对通过</w:t>
      </w:r>
      <w:r>
        <w:rPr>
          <w:rFonts w:hint="eastAsia" w:ascii="宋体" w:hAnsi="宋体"/>
          <w:color w:val="auto"/>
          <w:szCs w:val="21"/>
          <w:highlight w:val="none"/>
          <w:lang w:eastAsia="zh-CN"/>
        </w:rPr>
        <w:t>工程施工总承包实施方案</w:t>
      </w:r>
      <w:r>
        <w:rPr>
          <w:rFonts w:hint="eastAsia" w:ascii="宋体" w:hAnsi="宋体"/>
          <w:color w:val="auto"/>
          <w:szCs w:val="21"/>
          <w:highlight w:val="none"/>
        </w:rPr>
        <w:t>（含资信部分）文件有效性审查的投标文件按本办法附表4《投标报价文件有效性审查表》的评审内容进行</w:t>
      </w:r>
      <w:r>
        <w:rPr>
          <w:rFonts w:hint="eastAsia" w:ascii="宋体"/>
          <w:color w:val="auto"/>
          <w:highlight w:val="none"/>
        </w:rPr>
        <w:t>投标报价文件</w:t>
      </w:r>
      <w:r>
        <w:rPr>
          <w:rFonts w:hint="eastAsia" w:ascii="宋体" w:hAnsi="宋体"/>
          <w:color w:val="auto"/>
          <w:szCs w:val="21"/>
          <w:highlight w:val="none"/>
        </w:rPr>
        <w:t>有效性审查，经评标委员会认定为无效标书的，其投标文件将被拒绝。如评标委员会成员的评审意见不一致时，以评标委员会过半数成员的意见作为评标委员会对该情形的认定结论。未通过有效性审查的，不得进入下一阶段评审。</w:t>
      </w:r>
    </w:p>
    <w:p>
      <w:pPr>
        <w:spacing w:line="400" w:lineRule="exact"/>
        <w:ind w:firstLine="457" w:firstLineChars="218"/>
        <w:rPr>
          <w:rFonts w:ascii="宋体" w:hAnsi="宋体"/>
          <w:color w:val="auto"/>
          <w:szCs w:val="21"/>
          <w:highlight w:val="none"/>
        </w:rPr>
      </w:pPr>
      <w:r>
        <w:rPr>
          <w:rFonts w:ascii="宋体" w:hAnsi="宋体"/>
          <w:color w:val="auto"/>
          <w:szCs w:val="21"/>
          <w:highlight w:val="none"/>
        </w:rPr>
        <w:t>3.3.2</w:t>
      </w:r>
      <w:r>
        <w:rPr>
          <w:rFonts w:hint="eastAsia" w:ascii="宋体" w:hAnsi="宋体"/>
          <w:color w:val="auto"/>
          <w:szCs w:val="21"/>
          <w:highlight w:val="none"/>
        </w:rPr>
        <w:t>工程费报价的算术校核。施工组评标委员会对通过</w:t>
      </w:r>
      <w:r>
        <w:rPr>
          <w:rFonts w:hint="eastAsia" w:ascii="宋体" w:hAnsi="宋体"/>
          <w:color w:val="auto"/>
          <w:highlight w:val="none"/>
        </w:rPr>
        <w:t>经济标投标文件</w:t>
      </w:r>
      <w:r>
        <w:rPr>
          <w:rFonts w:hint="eastAsia" w:ascii="宋体" w:hAnsi="宋体"/>
          <w:color w:val="auto"/>
          <w:szCs w:val="21"/>
          <w:highlight w:val="none"/>
        </w:rPr>
        <w:t>有效性审查的投标文件的工程费报价进行算术校核，具体标准如下：</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（1）如果数字表示的金额和用文字表示的金额不一致时，应以文字表示的金额为准（有以下算术性错误需要修正的除外）；</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2）如果费率与施工部分限价乘积不等于合价时，以费率为准修正合价（费率有明显的数量级错误的除外，此时应修正费率）；</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3）如果分项报价累加不等总价的，以分项报价累加为准，修正总价；</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4）投标文件存在其他计算性错误的，按正确的方法计算并修正；</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5）按上述修正错误的原则及方法调整或修正投标文件的投标报价，调整后的投标报价对投标人起约束作用。如果投标人不接受修正后的报价，则取消其投标资格，并且其投标担保也将被没收。</w:t>
      </w:r>
    </w:p>
    <w:p>
      <w:pPr>
        <w:spacing w:line="360" w:lineRule="auto"/>
        <w:ind w:firstLine="420" w:firstLineChars="200"/>
        <w:rPr>
          <w:rFonts w:ascii="宋体" w:hAnsi="宋体"/>
          <w:color w:val="auto"/>
          <w:highlight w:val="none"/>
        </w:rPr>
      </w:pPr>
      <w:r>
        <w:rPr>
          <w:rFonts w:ascii="宋体" w:hAnsi="宋体"/>
          <w:color w:val="auto"/>
          <w:szCs w:val="21"/>
          <w:highlight w:val="none"/>
        </w:rPr>
        <w:t>3.3.</w:t>
      </w:r>
      <w:r>
        <w:rPr>
          <w:rFonts w:hint="eastAsia" w:ascii="宋体" w:hAnsi="宋体"/>
          <w:color w:val="auto"/>
          <w:szCs w:val="21"/>
          <w:highlight w:val="none"/>
        </w:rPr>
        <w:t>3工程费投标报价评分：投标报价等于招标控制价，得10分，每低于控制价1%的报价加1分，总分60分</w:t>
      </w:r>
      <w:r>
        <w:rPr>
          <w:rFonts w:hint="eastAsia" w:ascii="宋体" w:hAnsi="宋体"/>
          <w:color w:val="auto"/>
          <w:highlight w:val="none"/>
        </w:rPr>
        <w:t>，精确到小数点后两位，第三位小数四舍五入。</w:t>
      </w:r>
    </w:p>
    <w:p>
      <w:pPr>
        <w:pStyle w:val="20"/>
        <w:rPr>
          <w:color w:val="auto"/>
          <w:highlight w:val="none"/>
        </w:rPr>
      </w:pPr>
    </w:p>
    <w:p>
      <w:pPr>
        <w:pStyle w:val="5"/>
        <w:spacing w:before="100" w:after="100" w:line="360" w:lineRule="auto"/>
        <w:rPr>
          <w:rFonts w:ascii="宋体" w:eastAsia="宋体"/>
          <w:color w:val="auto"/>
          <w:highlight w:val="none"/>
        </w:rPr>
      </w:pPr>
      <w:bookmarkStart w:id="980" w:name="_Toc10214"/>
      <w:bookmarkStart w:id="981" w:name="_Toc10879"/>
      <w:bookmarkStart w:id="982" w:name="_Toc436834786"/>
      <w:bookmarkStart w:id="983" w:name="_Toc27882"/>
      <w:bookmarkStart w:id="984" w:name="_Toc436834193"/>
      <w:bookmarkStart w:id="985" w:name="_Toc23723"/>
      <w:bookmarkStart w:id="986" w:name="_Toc494371578"/>
      <w:r>
        <w:rPr>
          <w:rFonts w:hint="eastAsia" w:ascii="宋体" w:eastAsia="宋体"/>
          <w:color w:val="auto"/>
          <w:highlight w:val="none"/>
        </w:rPr>
        <w:t>3.5评审汇总</w:t>
      </w:r>
      <w:bookmarkEnd w:id="980"/>
      <w:bookmarkEnd w:id="981"/>
      <w:bookmarkEnd w:id="982"/>
      <w:bookmarkEnd w:id="983"/>
      <w:bookmarkEnd w:id="984"/>
      <w:bookmarkEnd w:id="985"/>
      <w:bookmarkEnd w:id="986"/>
    </w:p>
    <w:p>
      <w:pPr>
        <w:spacing w:line="400" w:lineRule="exact"/>
        <w:ind w:firstLine="457" w:firstLineChars="218"/>
        <w:rPr>
          <w:rFonts w:ascii="宋体" w:hAnsi="宋体"/>
          <w:color w:val="auto"/>
          <w:szCs w:val="21"/>
          <w:highlight w:val="none"/>
        </w:rPr>
      </w:pPr>
      <w:r>
        <w:rPr>
          <w:rFonts w:ascii="宋体" w:hAnsi="宋体"/>
          <w:color w:val="auto"/>
          <w:szCs w:val="21"/>
          <w:highlight w:val="none"/>
        </w:rPr>
        <w:t>3.5.1</w:t>
      </w:r>
      <w:r>
        <w:rPr>
          <w:rFonts w:hint="eastAsia" w:ascii="宋体" w:hAnsi="宋体"/>
          <w:color w:val="auto"/>
          <w:szCs w:val="21"/>
          <w:highlight w:val="none"/>
        </w:rPr>
        <w:t>投标人总得分满分为</w:t>
      </w:r>
      <w:r>
        <w:rPr>
          <w:rFonts w:ascii="宋体" w:hAnsi="宋体"/>
          <w:color w:val="auto"/>
          <w:szCs w:val="21"/>
          <w:highlight w:val="none"/>
        </w:rPr>
        <w:t>100分，总分权重分配见:评标办法前附表。</w:t>
      </w:r>
    </w:p>
    <w:p>
      <w:pPr>
        <w:spacing w:line="400" w:lineRule="exact"/>
        <w:ind w:firstLine="457" w:firstLineChars="218"/>
        <w:rPr>
          <w:rFonts w:ascii="宋体" w:hAnsi="宋体"/>
          <w:color w:val="auto"/>
          <w:szCs w:val="21"/>
          <w:highlight w:val="none"/>
        </w:rPr>
      </w:pPr>
      <w:r>
        <w:rPr>
          <w:rFonts w:ascii="宋体" w:hAnsi="宋体"/>
          <w:color w:val="auto"/>
          <w:szCs w:val="21"/>
          <w:highlight w:val="none"/>
        </w:rPr>
        <w:t>3.5.2</w:t>
      </w:r>
      <w:r>
        <w:rPr>
          <w:rFonts w:hint="eastAsia" w:ascii="宋体" w:hAnsi="宋体"/>
          <w:color w:val="auto"/>
          <w:szCs w:val="21"/>
          <w:highlight w:val="none"/>
        </w:rPr>
        <w:t>评标委员会按照“评标办法前附表</w:t>
      </w:r>
      <w:r>
        <w:rPr>
          <w:rFonts w:ascii="宋体" w:hAnsi="宋体"/>
          <w:color w:val="auto"/>
          <w:szCs w:val="21"/>
          <w:highlight w:val="none"/>
        </w:rPr>
        <w:t>”</w:t>
      </w:r>
      <w:r>
        <w:rPr>
          <w:rFonts w:hint="eastAsia" w:ascii="宋体" w:hAnsi="宋体"/>
          <w:color w:val="auto"/>
          <w:szCs w:val="21"/>
          <w:highlight w:val="none"/>
        </w:rPr>
        <w:t>所述公式，计算各有效投标文件的总分，并按照总分从高到低排列先后次序。</w:t>
      </w:r>
      <w:r>
        <w:rPr>
          <w:rFonts w:hint="eastAsia" w:ascii="宋体" w:hAnsi="宋体"/>
          <w:color w:val="auto"/>
          <w:szCs w:val="21"/>
          <w:highlight w:val="none"/>
        </w:rPr>
        <w:t>如存在相同情况，则对具有相同情况的投标人，按中标候选人数量规定，由评标委员会采用记名投票方式，确定中标候选人的排序。</w:t>
      </w:r>
      <w:r>
        <w:rPr>
          <w:rFonts w:hint="eastAsia" w:ascii="宋体" w:hAnsi="宋体"/>
          <w:color w:val="auto"/>
          <w:szCs w:val="21"/>
          <w:highlight w:val="none"/>
        </w:rPr>
        <w:t>评标委员会应按排序先后，在招标文件有效的投标人中，向招标人推荐前</w:t>
      </w:r>
      <w:r>
        <w:rPr>
          <w:rFonts w:ascii="宋体" w:hAnsi="宋体"/>
          <w:color w:val="auto"/>
          <w:szCs w:val="21"/>
          <w:highlight w:val="none"/>
        </w:rPr>
        <w:t>3名投标人依次为第一中标候选人至第三中标候选人，并编写评标报告。</w:t>
      </w:r>
    </w:p>
    <w:bookmarkEnd w:id="966"/>
    <w:bookmarkEnd w:id="967"/>
    <w:bookmarkEnd w:id="968"/>
    <w:bookmarkEnd w:id="969"/>
    <w:bookmarkEnd w:id="970"/>
    <w:bookmarkEnd w:id="971"/>
    <w:bookmarkEnd w:id="972"/>
    <w:p>
      <w:pPr>
        <w:pStyle w:val="5"/>
        <w:spacing w:before="100" w:after="100" w:line="360" w:lineRule="auto"/>
        <w:rPr>
          <w:rFonts w:ascii="宋体" w:eastAsia="宋体"/>
          <w:color w:val="auto"/>
          <w:highlight w:val="none"/>
        </w:rPr>
      </w:pPr>
      <w:bookmarkStart w:id="987" w:name="_Toc11454"/>
      <w:bookmarkStart w:id="988" w:name="_Toc494371579"/>
      <w:bookmarkStart w:id="989" w:name="_Toc436834787"/>
      <w:bookmarkStart w:id="990" w:name="_Toc5720"/>
      <w:bookmarkStart w:id="991" w:name="_Toc436834194"/>
      <w:bookmarkStart w:id="992" w:name="_Toc4315"/>
      <w:bookmarkStart w:id="993" w:name="_Toc28563"/>
      <w:bookmarkStart w:id="994" w:name="_Toc399165441"/>
      <w:r>
        <w:rPr>
          <w:rFonts w:ascii="宋体" w:eastAsia="宋体"/>
          <w:color w:val="auto"/>
          <w:highlight w:val="none"/>
        </w:rPr>
        <w:t>3.6投标文件的澄清和补正</w:t>
      </w:r>
      <w:bookmarkEnd w:id="987"/>
      <w:bookmarkEnd w:id="988"/>
      <w:bookmarkEnd w:id="989"/>
      <w:bookmarkEnd w:id="990"/>
      <w:bookmarkEnd w:id="991"/>
      <w:bookmarkEnd w:id="992"/>
      <w:bookmarkEnd w:id="993"/>
    </w:p>
    <w:p>
      <w:pPr>
        <w:spacing w:line="400" w:lineRule="exact"/>
        <w:ind w:firstLine="420" w:firstLineChars="200"/>
        <w:rPr>
          <w:rFonts w:ascii="宋体" w:hAnsi="宋体"/>
          <w:color w:val="auto"/>
          <w:highlight w:val="none"/>
        </w:rPr>
      </w:pPr>
      <w:r>
        <w:rPr>
          <w:rFonts w:ascii="宋体" w:hAnsi="宋体"/>
          <w:color w:val="auto"/>
          <w:highlight w:val="none"/>
        </w:rPr>
        <w:t>3.6.1</w:t>
      </w:r>
      <w:r>
        <w:rPr>
          <w:rFonts w:hint="eastAsia" w:ascii="宋体" w:hAnsi="宋体"/>
          <w:color w:val="auto"/>
          <w:highlight w:val="none"/>
        </w:rPr>
        <w:t>为有助于投标文件的审查、评价和比较，评标期间，经评标委员会中两人以上（含两人）的成员以书面形式提出动议，评标委员会应当书面发出澄清通知，要求投标人对投标文件含义不明确的内容作出澄清。</w:t>
      </w:r>
    </w:p>
    <w:p>
      <w:pPr>
        <w:spacing w:line="400" w:lineRule="exact"/>
        <w:ind w:firstLine="420" w:firstLineChars="200"/>
        <w:rPr>
          <w:rFonts w:ascii="宋体" w:hAnsi="宋体"/>
          <w:color w:val="auto"/>
          <w:highlight w:val="none"/>
        </w:rPr>
      </w:pPr>
      <w:r>
        <w:rPr>
          <w:rFonts w:ascii="宋体" w:hAnsi="宋体"/>
          <w:color w:val="auto"/>
          <w:highlight w:val="none"/>
        </w:rPr>
        <w:t xml:space="preserve">3.6.2 </w:t>
      </w:r>
      <w:r>
        <w:rPr>
          <w:rFonts w:hint="eastAsia" w:ascii="宋体" w:hAnsi="宋体"/>
          <w:color w:val="auto"/>
          <w:highlight w:val="none"/>
        </w:rPr>
        <w:t>投标人应以书面形式进行澄清，澄清中的承诺性意思表示在投标文件有效期内均对投标人有约束力。澄清不得超出投标文件的范围或改变投标文件的实质性内容，超出部分不作为评标委员会相应评审的依据。</w:t>
      </w:r>
    </w:p>
    <w:p>
      <w:pPr>
        <w:spacing w:line="400" w:lineRule="exact"/>
        <w:ind w:firstLine="420" w:firstLineChars="200"/>
        <w:rPr>
          <w:rFonts w:ascii="宋体" w:hAnsi="宋体"/>
          <w:color w:val="auto"/>
          <w:highlight w:val="none"/>
        </w:rPr>
      </w:pPr>
      <w:r>
        <w:rPr>
          <w:rFonts w:ascii="宋体" w:hAnsi="宋体"/>
          <w:color w:val="auto"/>
          <w:highlight w:val="none"/>
        </w:rPr>
        <w:t>3.6.3 评标委员会成员均应当阅读投标人的澄清，但应独立参考澄清对投标文件进行评审。</w:t>
      </w:r>
    </w:p>
    <w:p>
      <w:pPr>
        <w:spacing w:line="400" w:lineRule="exact"/>
        <w:ind w:firstLine="420" w:firstLineChars="200"/>
        <w:rPr>
          <w:rFonts w:ascii="宋体" w:hAnsi="宋体"/>
          <w:color w:val="auto"/>
          <w:highlight w:val="none"/>
        </w:rPr>
      </w:pPr>
      <w:r>
        <w:rPr>
          <w:rFonts w:ascii="宋体" w:hAnsi="宋体"/>
          <w:color w:val="auto"/>
          <w:highlight w:val="none"/>
        </w:rPr>
        <w:t>3.6.4</w:t>
      </w:r>
      <w:r>
        <w:rPr>
          <w:rFonts w:hint="eastAsia" w:ascii="宋体" w:hAnsi="宋体"/>
          <w:color w:val="auto"/>
          <w:highlight w:val="none"/>
        </w:rPr>
        <w:t>如果投标文件实质上不响应招标文件的各项要求，评标委员会相应评审将按照有效性审查标准予以拒绝，不接受投标人通过修改或撤销其不符合要求的差异或保留，使之成为具有响应性的投标。</w:t>
      </w:r>
    </w:p>
    <w:p>
      <w:pPr>
        <w:pStyle w:val="5"/>
        <w:spacing w:before="100" w:after="100" w:line="360" w:lineRule="auto"/>
        <w:rPr>
          <w:rFonts w:ascii="宋体" w:eastAsia="宋体"/>
          <w:color w:val="auto"/>
          <w:highlight w:val="none"/>
        </w:rPr>
      </w:pPr>
      <w:bookmarkStart w:id="995" w:name="_Toc436834788"/>
      <w:bookmarkStart w:id="996" w:name="_Toc15072"/>
      <w:bookmarkStart w:id="997" w:name="_Toc30749"/>
      <w:bookmarkStart w:id="998" w:name="_Toc4464"/>
      <w:bookmarkStart w:id="999" w:name="_Toc494371580"/>
      <w:bookmarkStart w:id="1000" w:name="_Toc17293"/>
      <w:bookmarkStart w:id="1001" w:name="_Toc436834195"/>
      <w:r>
        <w:rPr>
          <w:rFonts w:ascii="宋体" w:eastAsia="宋体"/>
          <w:color w:val="auto"/>
          <w:highlight w:val="none"/>
        </w:rPr>
        <w:t>3.7评标结果</w:t>
      </w:r>
      <w:bookmarkEnd w:id="995"/>
      <w:bookmarkEnd w:id="996"/>
      <w:bookmarkEnd w:id="997"/>
      <w:bookmarkEnd w:id="998"/>
      <w:bookmarkEnd w:id="999"/>
      <w:bookmarkEnd w:id="1000"/>
      <w:bookmarkEnd w:id="1001"/>
    </w:p>
    <w:p>
      <w:pPr>
        <w:spacing w:line="400" w:lineRule="exact"/>
        <w:ind w:firstLine="420" w:firstLineChars="200"/>
        <w:rPr>
          <w:rFonts w:ascii="宋体" w:hAnsi="宋体"/>
          <w:color w:val="auto"/>
          <w:highlight w:val="none"/>
        </w:rPr>
      </w:pPr>
      <w:bookmarkStart w:id="1002" w:name="_Toc436834196"/>
      <w:bookmarkStart w:id="1003" w:name="_Toc436834789"/>
      <w:r>
        <w:rPr>
          <w:rFonts w:hint="eastAsia" w:ascii="宋体" w:hAnsi="宋体"/>
          <w:color w:val="auto"/>
          <w:szCs w:val="21"/>
          <w:highlight w:val="none"/>
        </w:rPr>
        <w:t>评标委员会应按排序先后，在招标文件有效的投标人中，向招标人推荐投标人总得分前3名投标人依次为第一中标候选人至第三中标候选人。</w:t>
      </w:r>
    </w:p>
    <w:p>
      <w:pPr>
        <w:pStyle w:val="4"/>
        <w:spacing w:before="100" w:after="100" w:line="360" w:lineRule="auto"/>
        <w:rPr>
          <w:rFonts w:ascii="宋体" w:hAnsi="宋体" w:eastAsia="宋体"/>
          <w:color w:val="auto"/>
          <w:highlight w:val="none"/>
        </w:rPr>
      </w:pPr>
      <w:bookmarkStart w:id="1004" w:name="_Toc19275"/>
      <w:bookmarkStart w:id="1005" w:name="_Toc23502"/>
      <w:bookmarkStart w:id="1006" w:name="_Toc28901"/>
      <w:bookmarkStart w:id="1007" w:name="_Toc494371581"/>
      <w:bookmarkStart w:id="1008" w:name="_Toc5262"/>
      <w:bookmarkStart w:id="1009" w:name="_Toc28257"/>
      <w:bookmarkStart w:id="1010" w:name="_Toc18452"/>
      <w:r>
        <w:rPr>
          <w:rFonts w:ascii="宋体" w:hAnsi="宋体" w:eastAsia="宋体"/>
          <w:color w:val="auto"/>
          <w:highlight w:val="none"/>
        </w:rPr>
        <w:t xml:space="preserve">4. </w:t>
      </w:r>
      <w:r>
        <w:rPr>
          <w:rFonts w:hint="eastAsia" w:ascii="宋体" w:hAnsi="宋体" w:eastAsia="宋体"/>
          <w:color w:val="auto"/>
          <w:highlight w:val="none"/>
        </w:rPr>
        <w:t>评标表格</w:t>
      </w:r>
      <w:bookmarkEnd w:id="994"/>
      <w:bookmarkEnd w:id="1002"/>
      <w:bookmarkEnd w:id="1003"/>
      <w:bookmarkEnd w:id="1004"/>
      <w:bookmarkEnd w:id="1005"/>
      <w:bookmarkEnd w:id="1006"/>
      <w:bookmarkEnd w:id="1007"/>
      <w:bookmarkEnd w:id="1008"/>
      <w:bookmarkEnd w:id="1009"/>
      <w:bookmarkEnd w:id="1010"/>
    </w:p>
    <w:p>
      <w:pPr>
        <w:spacing w:line="400" w:lineRule="exact"/>
        <w:ind w:firstLine="420" w:firstLineChars="200"/>
        <w:rPr>
          <w:rFonts w:ascii="宋体" w:hAnsi="宋体"/>
          <w:color w:val="auto"/>
          <w:highlight w:val="none"/>
        </w:rPr>
      </w:pPr>
      <w:r>
        <w:rPr>
          <w:rFonts w:hint="eastAsia" w:ascii="宋体" w:hAnsi="宋体"/>
          <w:color w:val="auto"/>
          <w:highlight w:val="none"/>
        </w:rPr>
        <w:t>见后附。</w:t>
      </w:r>
    </w:p>
    <w:p>
      <w:pPr>
        <w:spacing w:line="400" w:lineRule="exact"/>
        <w:rPr>
          <w:rFonts w:ascii="宋体" w:hAnsi="宋体"/>
          <w:b/>
          <w:color w:val="auto"/>
          <w:sz w:val="28"/>
          <w:szCs w:val="28"/>
          <w:highlight w:val="none"/>
        </w:rPr>
      </w:pPr>
      <w:r>
        <w:rPr>
          <w:rFonts w:ascii="宋体" w:hAnsi="宋体"/>
          <w:color w:val="auto"/>
          <w:highlight w:val="none"/>
        </w:rPr>
        <w:br w:type="page"/>
      </w:r>
      <w:r>
        <w:rPr>
          <w:rFonts w:hint="eastAsia" w:ascii="宋体" w:hAnsi="宋体"/>
          <w:b/>
          <w:color w:val="auto"/>
          <w:sz w:val="28"/>
          <w:szCs w:val="28"/>
          <w:highlight w:val="none"/>
        </w:rPr>
        <w:t>附表</w:t>
      </w:r>
      <w:r>
        <w:rPr>
          <w:rFonts w:ascii="宋体" w:hAnsi="宋体"/>
          <w:b/>
          <w:color w:val="auto"/>
          <w:sz w:val="28"/>
          <w:szCs w:val="28"/>
          <w:highlight w:val="none"/>
        </w:rPr>
        <w:t xml:space="preserve">1： </w:t>
      </w:r>
    </w:p>
    <w:p>
      <w:pPr>
        <w:jc w:val="center"/>
        <w:rPr>
          <w:rFonts w:ascii="宋体" w:hAnsi="宋体"/>
          <w:b/>
          <w:color w:val="auto"/>
          <w:sz w:val="32"/>
          <w:szCs w:val="32"/>
          <w:highlight w:val="none"/>
        </w:rPr>
      </w:pPr>
      <w:r>
        <w:rPr>
          <w:rFonts w:hint="eastAsia" w:ascii="宋体" w:hAnsi="宋体"/>
          <w:b/>
          <w:color w:val="auto"/>
          <w:sz w:val="32"/>
          <w:szCs w:val="32"/>
          <w:highlight w:val="none"/>
        </w:rPr>
        <w:t>资格审查表</w:t>
      </w:r>
    </w:p>
    <w:p>
      <w:pPr>
        <w:rPr>
          <w:rFonts w:ascii="宋体" w:hAnsi="宋体"/>
          <w:color w:val="auto"/>
          <w:highlight w:val="none"/>
        </w:rPr>
      </w:pPr>
      <w:r>
        <w:rPr>
          <w:rFonts w:hint="eastAsia" w:ascii="宋体" w:hAnsi="宋体"/>
          <w:color w:val="auto"/>
          <w:highlight w:val="none"/>
        </w:rPr>
        <w:t>工程名称：</w:t>
      </w:r>
    </w:p>
    <w:p>
      <w:pPr>
        <w:rPr>
          <w:rFonts w:ascii="宋体" w:hAnsi="宋体"/>
          <w:color w:val="auto"/>
          <w:highlight w:val="none"/>
        </w:rPr>
      </w:pPr>
    </w:p>
    <w:tbl>
      <w:tblPr>
        <w:tblStyle w:val="3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146"/>
        <w:gridCol w:w="1261"/>
        <w:gridCol w:w="12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hint="eastAsia" w:ascii="宋体" w:hAnsi="宋体"/>
                <w:color w:val="auto"/>
                <w:highlight w:val="none"/>
              </w:rPr>
              <w:t>序号</w:t>
            </w:r>
          </w:p>
        </w:tc>
        <w:tc>
          <w:tcPr>
            <w:tcW w:w="5146"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napToGrid w:val="0"/>
              <w:ind w:right="102"/>
              <w:jc w:val="right"/>
              <w:rPr>
                <w:rFonts w:ascii="宋体" w:hAnsi="宋体"/>
                <w:color w:val="auto"/>
                <w:highlight w:val="none"/>
              </w:rPr>
            </w:pPr>
            <w:r>
              <w:rPr>
                <w:rFonts w:hint="eastAsia" w:ascii="宋体" w:hAnsi="宋体"/>
                <w:color w:val="auto"/>
                <w:highlight w:val="none"/>
              </w:rPr>
              <w:t>投标人</w:t>
            </w:r>
          </w:p>
          <w:p>
            <w:pPr>
              <w:widowControl/>
              <w:snapToGrid w:val="0"/>
              <w:ind w:right="102"/>
              <w:jc w:val="left"/>
              <w:rPr>
                <w:rFonts w:ascii="宋体" w:hAnsi="宋体"/>
                <w:color w:val="auto"/>
                <w:highlight w:val="none"/>
              </w:rPr>
            </w:pPr>
            <w:r>
              <w:rPr>
                <w:rFonts w:hint="eastAsia" w:ascii="宋体" w:hAnsi="宋体"/>
                <w:color w:val="auto"/>
                <w:highlight w:val="none"/>
              </w:rPr>
              <w:t>审查项目</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85"/>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1</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olor w:val="auto"/>
                <w:highlight w:val="none"/>
              </w:rPr>
              <w:t>投标人参加投标的意思表达清楚，投标人代表被授权有效；</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2</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s="宋体"/>
                <w:color w:val="auto"/>
                <w:kern w:val="0"/>
                <w:szCs w:val="21"/>
                <w:highlight w:val="none"/>
              </w:rPr>
              <w:t>投标人均具有独立法人资格，按国家法律经营。</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3</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s="宋体"/>
                <w:color w:val="auto"/>
                <w:kern w:val="0"/>
                <w:szCs w:val="21"/>
                <w:highlight w:val="none"/>
              </w:rPr>
              <w:t>投标人持有有效的建设行政主管部门颁发的安全生产许可证。</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4</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s="宋体"/>
                <w:color w:val="auto"/>
                <w:kern w:val="0"/>
                <w:szCs w:val="21"/>
                <w:highlight w:val="none"/>
              </w:rPr>
              <w:t>投标人资质符合本项目招标公告要求。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5</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施工负责人（兼任项目负责人）符合本项目招标公告要求。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color w:val="auto"/>
                <w:highlight w:val="none"/>
                <w:lang w:val="en-US" w:eastAsia="zh-CN"/>
              </w:rPr>
            </w:pPr>
            <w:r>
              <w:rPr>
                <w:rFonts w:hint="eastAsia" w:ascii="宋体" w:hAnsi="宋体"/>
                <w:color w:val="auto"/>
                <w:highlight w:val="none"/>
                <w:lang w:val="en-US" w:eastAsia="zh-CN"/>
              </w:rPr>
              <w:t>6</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项目负责人（施工负责人）符合本项目招标公告要求。。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7</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专职安全员</w:t>
            </w:r>
            <w:r>
              <w:rPr>
                <w:rFonts w:hint="eastAsia" w:ascii="宋体" w:hAnsi="宋体" w:cs="宋体"/>
                <w:color w:val="auto"/>
                <w:kern w:val="0"/>
                <w:szCs w:val="21"/>
                <w:highlight w:val="none"/>
              </w:rPr>
              <w:t>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eastAsia" w:ascii="宋体" w:hAnsi="宋体" w:eastAsia="宋体"/>
                <w:color w:val="auto"/>
                <w:highlight w:val="none"/>
                <w:lang w:eastAsia="zh-CN"/>
              </w:rPr>
            </w:pPr>
            <w:r>
              <w:rPr>
                <w:rFonts w:hint="eastAsia" w:ascii="宋体" w:hAnsi="宋体"/>
                <w:color w:val="auto"/>
                <w:highlight w:val="none"/>
                <w:lang w:val="en-US" w:eastAsia="zh-CN"/>
              </w:rPr>
              <w:t>8</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szCs w:val="21"/>
                <w:highlight w:val="none"/>
              </w:rPr>
            </w:pPr>
            <w:r>
              <w:rPr>
                <w:rFonts w:hint="eastAsia" w:ascii="宋体" w:hAnsi="宋体" w:cs="宋体"/>
                <w:color w:val="auto"/>
                <w:kern w:val="0"/>
                <w:szCs w:val="21"/>
                <w:highlight w:val="none"/>
              </w:rPr>
              <w:t>投标人已按照招标公告附件一的内容签署盖章的《投标申请人声明》。</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color w:val="auto"/>
                <w:highlight w:val="none"/>
                <w:lang w:val="en-US"/>
              </w:rPr>
            </w:pPr>
            <w:r>
              <w:rPr>
                <w:rFonts w:hint="eastAsia" w:ascii="宋体" w:hAnsi="宋体"/>
                <w:color w:val="auto"/>
                <w:highlight w:val="none"/>
                <w:lang w:val="en-US" w:eastAsia="zh-CN"/>
              </w:rPr>
              <w:t>9</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olor w:val="auto"/>
                <w:highlight w:val="none"/>
              </w:rPr>
              <w:t>投标人未出现以下情形：与其它投标人的单位负责人为同一人或者存在控股、管理关系的（按投标人提供的《投标申请人声明》的内容进行评审）。</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10</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olor w:val="auto"/>
                <w:highlight w:val="none"/>
              </w:rPr>
              <w:t>结论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bl>
    <w:p>
      <w:pPr>
        <w:rPr>
          <w:rFonts w:ascii="宋体" w:hAnsi="宋体" w:cs="宋体"/>
          <w:color w:val="auto"/>
          <w:szCs w:val="21"/>
          <w:highlight w:val="none"/>
        </w:rPr>
      </w:pPr>
      <w:r>
        <w:rPr>
          <w:rFonts w:hint="eastAsia" w:ascii="宋体" w:hAnsi="宋体"/>
          <w:color w:val="auto"/>
          <w:highlight w:val="none"/>
        </w:rPr>
        <w:t>备注：</w:t>
      </w:r>
      <w:r>
        <w:rPr>
          <w:rFonts w:hint="eastAsia" w:ascii="宋体" w:hAnsi="宋体" w:cs="宋体"/>
          <w:color w:val="auto"/>
          <w:szCs w:val="21"/>
          <w:highlight w:val="none"/>
        </w:rPr>
        <w:t>1.根据本表审查项目，符合的填“○”，不符合的填“×”，评审结论填“通过“或“不通过”。</w:t>
      </w:r>
    </w:p>
    <w:p>
      <w:pPr>
        <w:ind w:firstLine="630" w:firstLineChars="300"/>
        <w:rPr>
          <w:rFonts w:ascii="宋体" w:hAnsi="宋体" w:cs="宋体"/>
          <w:color w:val="auto"/>
          <w:szCs w:val="21"/>
          <w:highlight w:val="none"/>
        </w:rPr>
      </w:pPr>
      <w:r>
        <w:rPr>
          <w:rFonts w:hint="eastAsia" w:ascii="宋体" w:hAnsi="宋体" w:cs="宋体"/>
          <w:color w:val="auto"/>
          <w:szCs w:val="21"/>
          <w:highlight w:val="none"/>
        </w:rPr>
        <w:t>2.本表中出现一个（或以上）“×”，投标人的评审结论为“不通过”，即该投标人不进入下一阶段评审。</w:t>
      </w:r>
    </w:p>
    <w:p>
      <w:pPr>
        <w:ind w:firstLine="630" w:firstLineChars="300"/>
        <w:rPr>
          <w:rFonts w:ascii="宋体" w:hAnsi="宋体" w:cs="宋体"/>
          <w:color w:val="auto"/>
          <w:szCs w:val="21"/>
          <w:highlight w:val="none"/>
        </w:rPr>
      </w:pPr>
      <w:r>
        <w:rPr>
          <w:rFonts w:hint="eastAsia" w:ascii="宋体" w:hAnsi="宋体" w:cs="宋体"/>
          <w:color w:val="auto"/>
          <w:szCs w:val="21"/>
          <w:highlight w:val="none"/>
        </w:rPr>
        <w:t>3.本表中评审项目全部为“○”，投标人的评审结论为“通过”，即该投标人进入下一阶段评审</w:t>
      </w:r>
    </w:p>
    <w:p>
      <w:pPr>
        <w:ind w:firstLine="630" w:firstLineChars="300"/>
        <w:rPr>
          <w:rFonts w:ascii="宋体" w:hAnsi="宋体"/>
          <w:color w:val="auto"/>
          <w:highlight w:val="none"/>
        </w:rPr>
      </w:pPr>
      <w:r>
        <w:rPr>
          <w:rFonts w:hint="eastAsia" w:ascii="宋体" w:hAnsi="宋体" w:cs="宋体"/>
          <w:color w:val="auto"/>
          <w:szCs w:val="21"/>
          <w:highlight w:val="none"/>
        </w:rPr>
        <w:t>4.如对本表中某种情形的评审意见不一致时，以评审组过半数成员的意见作为评审组对该情形的认定结论。</w:t>
      </w:r>
    </w:p>
    <w:p>
      <w:pPr>
        <w:widowControl/>
        <w:snapToGrid w:val="0"/>
        <w:ind w:right="102"/>
        <w:jc w:val="left"/>
        <w:rPr>
          <w:rFonts w:ascii="宋体" w:hAnsi="宋体"/>
          <w:color w:val="auto"/>
          <w:highlight w:val="none"/>
        </w:rPr>
      </w:pPr>
    </w:p>
    <w:p>
      <w:pPr>
        <w:widowControl/>
        <w:snapToGrid w:val="0"/>
        <w:ind w:right="102"/>
        <w:jc w:val="left"/>
        <w:rPr>
          <w:rFonts w:ascii="宋体" w:hAnsi="宋体"/>
          <w:color w:val="auto"/>
          <w:highlight w:val="none"/>
        </w:rPr>
      </w:pPr>
      <w:r>
        <w:rPr>
          <w:rFonts w:hint="eastAsia" w:ascii="宋体" w:hAnsi="宋体"/>
          <w:color w:val="auto"/>
          <w:highlight w:val="none"/>
        </w:rPr>
        <w:t>评委签名：</w:t>
      </w:r>
      <w:r>
        <w:rPr>
          <w:rFonts w:ascii="宋体" w:hAnsi="宋体"/>
          <w:color w:val="auto"/>
          <w:szCs w:val="21"/>
          <w:highlight w:val="none"/>
        </w:rPr>
        <w:t xml:space="preserve">                     日期：</w:t>
      </w:r>
    </w:p>
    <w:p>
      <w:pPr>
        <w:spacing w:line="400" w:lineRule="exact"/>
        <w:rPr>
          <w:rFonts w:ascii="宋体" w:hAnsi="宋体"/>
          <w:b/>
          <w:color w:val="auto"/>
          <w:sz w:val="28"/>
          <w:szCs w:val="28"/>
          <w:highlight w:val="none"/>
        </w:rPr>
      </w:pPr>
    </w:p>
    <w:p>
      <w:pPr>
        <w:rPr>
          <w:color w:val="auto"/>
          <w:highlight w:val="none"/>
        </w:rPr>
        <w:sectPr>
          <w:pgSz w:w="11906" w:h="16838"/>
          <w:pgMar w:top="1418" w:right="1247" w:bottom="1418" w:left="1247" w:header="851" w:footer="992" w:gutter="0"/>
          <w:cols w:space="720" w:num="1"/>
          <w:docGrid w:type="lines" w:linePitch="312" w:charSpace="0"/>
        </w:sectPr>
      </w:pPr>
    </w:p>
    <w:p>
      <w:pPr>
        <w:spacing w:line="400" w:lineRule="exact"/>
        <w:rPr>
          <w:rFonts w:ascii="宋体" w:hAnsi="宋体"/>
          <w:b/>
          <w:color w:val="auto"/>
          <w:sz w:val="28"/>
          <w:szCs w:val="28"/>
          <w:highlight w:val="none"/>
        </w:rPr>
      </w:pPr>
      <w:r>
        <w:rPr>
          <w:rFonts w:hint="eastAsia" w:ascii="宋体" w:hAnsi="宋体"/>
          <w:b/>
          <w:color w:val="auto"/>
          <w:sz w:val="28"/>
          <w:szCs w:val="28"/>
          <w:highlight w:val="none"/>
        </w:rPr>
        <w:t>附表2</w:t>
      </w:r>
      <w:r>
        <w:rPr>
          <w:rFonts w:ascii="宋体" w:hAnsi="宋体"/>
          <w:b/>
          <w:color w:val="auto"/>
          <w:sz w:val="28"/>
          <w:szCs w:val="28"/>
          <w:highlight w:val="none"/>
        </w:rPr>
        <w:t xml:space="preserve">： </w:t>
      </w:r>
    </w:p>
    <w:p>
      <w:pPr>
        <w:widowControl/>
        <w:jc w:val="left"/>
        <w:rPr>
          <w:rFonts w:ascii="宋体" w:hAnsi="宋体"/>
          <w:color w:val="auto"/>
          <w:highlight w:val="none"/>
        </w:rPr>
      </w:pPr>
    </w:p>
    <w:p>
      <w:pPr>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工程</w:t>
      </w:r>
      <w:r>
        <w:rPr>
          <w:rFonts w:hint="eastAsia" w:ascii="黑体" w:hAnsi="黑体" w:eastAsia="黑体" w:cs="黑体"/>
          <w:b/>
          <w:color w:val="auto"/>
          <w:sz w:val="32"/>
          <w:szCs w:val="32"/>
          <w:highlight w:val="none"/>
          <w:lang w:eastAsia="zh-CN"/>
        </w:rPr>
        <w:t>施工</w:t>
      </w:r>
      <w:r>
        <w:rPr>
          <w:rFonts w:hint="eastAsia" w:ascii="黑体" w:hAnsi="黑体" w:eastAsia="黑体" w:cs="黑体"/>
          <w:b/>
          <w:color w:val="auto"/>
          <w:sz w:val="32"/>
          <w:szCs w:val="32"/>
          <w:highlight w:val="none"/>
        </w:rPr>
        <w:t>总承包实施方案（含资信部分）文件有效性审查表</w:t>
      </w:r>
    </w:p>
    <w:p>
      <w:pPr>
        <w:tabs>
          <w:tab w:val="left" w:pos="720"/>
        </w:tabs>
        <w:snapToGrid w:val="0"/>
        <w:spacing w:line="360" w:lineRule="auto"/>
        <w:rPr>
          <w:rFonts w:ascii="宋体" w:hAnsi="宋体"/>
          <w:bCs/>
          <w:color w:val="auto"/>
          <w:szCs w:val="21"/>
          <w:highlight w:val="none"/>
        </w:rPr>
      </w:pPr>
      <w:r>
        <w:rPr>
          <w:rFonts w:hint="eastAsia" w:ascii="宋体" w:hAnsi="宋体"/>
          <w:bCs/>
          <w:color w:val="auto"/>
          <w:szCs w:val="21"/>
          <w:highlight w:val="none"/>
        </w:rPr>
        <w:t>工程名称：</w:t>
      </w:r>
    </w:p>
    <w:tbl>
      <w:tblPr>
        <w:tblStyle w:val="38"/>
        <w:tblW w:w="9582" w:type="dxa"/>
        <w:jc w:val="center"/>
        <w:tblLayout w:type="fixed"/>
        <w:tblCellMar>
          <w:top w:w="0" w:type="dxa"/>
          <w:left w:w="108" w:type="dxa"/>
          <w:bottom w:w="0" w:type="dxa"/>
          <w:right w:w="108" w:type="dxa"/>
        </w:tblCellMar>
      </w:tblPr>
      <w:tblGrid>
        <w:gridCol w:w="672"/>
        <w:gridCol w:w="5733"/>
        <w:gridCol w:w="1059"/>
        <w:gridCol w:w="1059"/>
        <w:gridCol w:w="1059"/>
      </w:tblGrid>
      <w:tr>
        <w:tblPrEx>
          <w:tblCellMar>
            <w:top w:w="0" w:type="dxa"/>
            <w:left w:w="108" w:type="dxa"/>
            <w:bottom w:w="0" w:type="dxa"/>
            <w:right w:w="108" w:type="dxa"/>
          </w:tblCellMar>
        </w:tblPrEx>
        <w:trPr>
          <w:trHeight w:val="71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序号</w:t>
            </w:r>
          </w:p>
        </w:tc>
        <w:tc>
          <w:tcPr>
            <w:tcW w:w="5733" w:type="dxa"/>
            <w:tcBorders>
              <w:top w:val="single" w:color="auto" w:sz="4" w:space="0"/>
              <w:left w:val="single" w:color="auto" w:sz="4" w:space="0"/>
              <w:bottom w:val="single" w:color="auto" w:sz="4" w:space="0"/>
              <w:right w:val="single" w:color="auto" w:sz="4" w:space="0"/>
              <w:tl2br w:val="single" w:color="auto" w:sz="4" w:space="0"/>
            </w:tcBorders>
          </w:tcPr>
          <w:p>
            <w:pPr>
              <w:ind w:firstLine="4578" w:firstLineChars="2180"/>
              <w:rPr>
                <w:rFonts w:ascii="宋体" w:hAnsi="宋体"/>
                <w:color w:val="auto"/>
                <w:szCs w:val="21"/>
                <w:highlight w:val="none"/>
              </w:rPr>
            </w:pPr>
            <w:r>
              <w:rPr>
                <w:rFonts w:hint="eastAsia" w:ascii="宋体" w:hAnsi="宋体"/>
                <w:color w:val="auto"/>
                <w:szCs w:val="21"/>
                <w:highlight w:val="none"/>
              </w:rPr>
              <w:t>投标单位</w:t>
            </w:r>
          </w:p>
          <w:p>
            <w:pPr>
              <w:rPr>
                <w:rFonts w:ascii="宋体" w:hAnsi="宋体"/>
                <w:color w:val="auto"/>
                <w:szCs w:val="21"/>
                <w:highlight w:val="none"/>
              </w:rPr>
            </w:pPr>
            <w:r>
              <w:rPr>
                <w:rFonts w:hint="eastAsia" w:ascii="宋体" w:hAnsi="宋体"/>
                <w:color w:val="auto"/>
                <w:szCs w:val="21"/>
                <w:highlight w:val="none"/>
              </w:rPr>
              <w:t>审查项目</w:t>
            </w: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526"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olor w:val="auto"/>
                <w:szCs w:val="21"/>
                <w:highlight w:val="none"/>
              </w:rPr>
            </w:pPr>
            <w:r>
              <w:rPr>
                <w:rFonts w:hint="eastAsia"/>
                <w:color w:val="auto"/>
                <w:szCs w:val="21"/>
                <w:highlight w:val="none"/>
              </w:rPr>
              <w:t>投标文件所列投标人名称与投标登记一致。</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40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olor w:val="auto"/>
                <w:szCs w:val="21"/>
                <w:highlight w:val="none"/>
              </w:rPr>
            </w:pPr>
            <w:r>
              <w:rPr>
                <w:rFonts w:hint="eastAsia"/>
                <w:color w:val="auto"/>
                <w:szCs w:val="21"/>
                <w:highlight w:val="none"/>
              </w:rPr>
              <w:t>能满足完成投标项目工期的。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441"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olor w:val="auto"/>
                <w:highlight w:val="none"/>
              </w:rPr>
            </w:pPr>
            <w:r>
              <w:rPr>
                <w:rFonts w:hint="eastAsia"/>
                <w:color w:val="auto"/>
                <w:szCs w:val="21"/>
                <w:highlight w:val="none"/>
              </w:rPr>
              <w:t>符合招标文件质量要求的。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olor w:val="auto"/>
                <w:szCs w:val="21"/>
                <w:highlight w:val="none"/>
              </w:rPr>
            </w:pPr>
            <w:r>
              <w:rPr>
                <w:rFonts w:hint="eastAsia"/>
                <w:color w:val="auto"/>
                <w:szCs w:val="21"/>
                <w:highlight w:val="none"/>
              </w:rPr>
              <w:t>投标文件的封面有加盖投标单位的法定印章的。</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5</w:t>
            </w:r>
          </w:p>
        </w:tc>
        <w:tc>
          <w:tcPr>
            <w:tcW w:w="573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color w:val="auto"/>
                <w:szCs w:val="21"/>
                <w:highlight w:val="none"/>
              </w:rPr>
            </w:pPr>
            <w:r>
              <w:rPr>
                <w:rFonts w:hint="eastAsia"/>
                <w:color w:val="auto"/>
                <w:szCs w:val="21"/>
                <w:highlight w:val="none"/>
              </w:rPr>
              <w:t>投标文件按规定的格式填写，主要内容</w:t>
            </w:r>
            <w:r>
              <w:rPr>
                <w:rFonts w:hint="eastAsia"/>
                <w:color w:val="auto"/>
                <w:szCs w:val="21"/>
                <w:highlight w:val="none"/>
                <w:lang w:val="en-US" w:eastAsia="zh-CN"/>
              </w:rPr>
              <w:t>齐</w:t>
            </w:r>
            <w:r>
              <w:rPr>
                <w:rFonts w:hint="eastAsia"/>
                <w:color w:val="auto"/>
                <w:szCs w:val="21"/>
                <w:highlight w:val="none"/>
              </w:rPr>
              <w:t>全。</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5733" w:type="dxa"/>
            <w:tcBorders>
              <w:top w:val="single" w:color="auto" w:sz="4" w:space="0"/>
              <w:left w:val="single" w:color="auto" w:sz="4" w:space="0"/>
              <w:bottom w:val="single" w:color="auto" w:sz="4" w:space="0"/>
              <w:right w:val="single" w:color="auto" w:sz="4" w:space="0"/>
            </w:tcBorders>
          </w:tcPr>
          <w:p>
            <w:pPr>
              <w:adjustRightInd w:val="0"/>
              <w:spacing w:line="360" w:lineRule="auto"/>
              <w:rPr>
                <w:rFonts w:ascii="宋体" w:hAnsi="宋体" w:cs="宋体"/>
                <w:bCs/>
                <w:color w:val="auto"/>
                <w:szCs w:val="21"/>
                <w:highlight w:val="none"/>
              </w:rPr>
            </w:pPr>
            <w:r>
              <w:rPr>
                <w:rFonts w:hint="eastAsia"/>
                <w:color w:val="auto"/>
                <w:szCs w:val="21"/>
                <w:highlight w:val="none"/>
                <w:lang w:val="en-US" w:eastAsia="zh-CN"/>
              </w:rPr>
              <w:t>不</w:t>
            </w:r>
            <w:r>
              <w:rPr>
                <w:rFonts w:hint="eastAsia"/>
                <w:color w:val="auto"/>
                <w:szCs w:val="21"/>
                <w:highlight w:val="none"/>
              </w:rPr>
              <w:t>存在串通投标情形（串通投标情形以《中华人民共和国招标投标法实施条例》的规定为准）。</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41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结论</w:t>
            </w:r>
          </w:p>
        </w:tc>
        <w:tc>
          <w:tcPr>
            <w:tcW w:w="573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zCs w:val="21"/>
                <w:highlight w:val="none"/>
              </w:rPr>
            </w:pPr>
            <w:r>
              <w:rPr>
                <w:rFonts w:hint="eastAsia" w:ascii="宋体" w:hAnsi="宋体"/>
                <w:color w:val="auto"/>
                <w:szCs w:val="21"/>
                <w:highlight w:val="none"/>
              </w:rPr>
              <w:t>是否通过并进入下一阶段评审</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pct10" w:color="auto" w:fill="FFFFFF"/>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pct10" w:color="auto" w:fill="FFFFFF"/>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pct10" w:color="auto" w:fill="FFFFFF"/>
              </w:rPr>
            </w:pPr>
          </w:p>
        </w:tc>
      </w:tr>
    </w:tbl>
    <w:p>
      <w:pPr>
        <w:tabs>
          <w:tab w:val="left" w:pos="720"/>
        </w:tabs>
        <w:snapToGrid w:val="0"/>
        <w:rPr>
          <w:rFonts w:ascii="宋体" w:hAnsi="宋体" w:cs="宋体"/>
          <w:bCs/>
          <w:color w:val="auto"/>
          <w:szCs w:val="21"/>
          <w:highlight w:val="none"/>
        </w:rPr>
      </w:pPr>
      <w:r>
        <w:rPr>
          <w:rFonts w:hint="eastAsia" w:ascii="宋体" w:hAnsi="宋体"/>
          <w:color w:val="auto"/>
          <w:szCs w:val="21"/>
          <w:highlight w:val="none"/>
        </w:rPr>
        <w:t>注：</w:t>
      </w:r>
      <w:r>
        <w:rPr>
          <w:rFonts w:hint="eastAsia" w:ascii="宋体" w:hAnsi="宋体" w:cs="宋体"/>
          <w:bCs/>
          <w:color w:val="auto"/>
          <w:szCs w:val="21"/>
          <w:highlight w:val="none"/>
        </w:rPr>
        <w:t>1、根据本表的审查项目，符合的填“○”，不符合的填“×”，评审结论填“通过“或“不通过”。</w:t>
      </w:r>
    </w:p>
    <w:p>
      <w:pPr>
        <w:tabs>
          <w:tab w:val="left" w:pos="720"/>
        </w:tabs>
        <w:snapToGri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2、表中出现一个或以上“×”，即该投标人的评审“结论”为“不通过”，即该投标人不进入下一阶段评审。</w:t>
      </w:r>
    </w:p>
    <w:p>
      <w:pPr>
        <w:tabs>
          <w:tab w:val="left" w:pos="720"/>
        </w:tabs>
        <w:snapToGri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3、表中全部评审结果为“○”，即该投标人的评审结论为“通过”。</w:t>
      </w:r>
    </w:p>
    <w:p>
      <w:pPr>
        <w:ind w:firstLine="420" w:firstLineChars="200"/>
        <w:rPr>
          <w:color w:val="auto"/>
          <w:highlight w:val="none"/>
        </w:rPr>
      </w:pPr>
      <w:r>
        <w:rPr>
          <w:rFonts w:hint="eastAsia" w:ascii="宋体" w:hAnsi="宋体" w:cs="宋体"/>
          <w:bCs/>
          <w:color w:val="auto"/>
          <w:szCs w:val="21"/>
          <w:highlight w:val="none"/>
        </w:rPr>
        <w:t>4、若评委意见不一致时，则按少数服从多数的原则，决定该投标人是否通过符合性审查，进入下一阶段评审。</w:t>
      </w:r>
    </w:p>
    <w:p>
      <w:pPr>
        <w:pStyle w:val="20"/>
        <w:rPr>
          <w:rFonts w:hAnsi="宋体"/>
          <w:color w:val="auto"/>
          <w:szCs w:val="21"/>
          <w:highlight w:val="none"/>
        </w:rPr>
      </w:pPr>
    </w:p>
    <w:p>
      <w:pPr>
        <w:pStyle w:val="20"/>
        <w:rPr>
          <w:rFonts w:hint="eastAsia" w:hAnsi="宋体"/>
          <w:color w:val="auto"/>
          <w:sz w:val="21"/>
          <w:szCs w:val="21"/>
          <w:highlight w:val="none"/>
        </w:rPr>
      </w:pPr>
      <w:r>
        <w:rPr>
          <w:rFonts w:hint="eastAsia" w:hAnsi="宋体"/>
          <w:color w:val="auto"/>
          <w:sz w:val="21"/>
          <w:szCs w:val="21"/>
          <w:highlight w:val="none"/>
        </w:rPr>
        <w:t>评委签名：</w:t>
      </w:r>
    </w:p>
    <w:p>
      <w:pPr>
        <w:pStyle w:val="20"/>
        <w:rPr>
          <w:rFonts w:hAnsi="宋体"/>
          <w:b/>
          <w:color w:val="auto"/>
          <w:sz w:val="21"/>
          <w:szCs w:val="21"/>
          <w:highlight w:val="none"/>
        </w:rPr>
      </w:pPr>
      <w:r>
        <w:rPr>
          <w:rFonts w:hint="eastAsia" w:hAnsi="宋体"/>
          <w:color w:val="auto"/>
          <w:sz w:val="21"/>
          <w:szCs w:val="21"/>
          <w:highlight w:val="none"/>
        </w:rPr>
        <w:t>日期：</w:t>
      </w:r>
    </w:p>
    <w:p>
      <w:pPr>
        <w:spacing w:line="400" w:lineRule="exact"/>
        <w:rPr>
          <w:rFonts w:ascii="宋体" w:hAnsi="宋体"/>
          <w:b/>
          <w:color w:val="auto"/>
          <w:sz w:val="28"/>
          <w:szCs w:val="28"/>
          <w:highlight w:val="none"/>
        </w:rPr>
        <w:sectPr>
          <w:pgSz w:w="11906" w:h="16838"/>
          <w:pgMar w:top="1440" w:right="1134" w:bottom="1440" w:left="1134" w:header="851" w:footer="992" w:gutter="0"/>
          <w:cols w:space="720" w:num="1"/>
          <w:docGrid w:type="lines" w:linePitch="312" w:charSpace="0"/>
        </w:sectPr>
      </w:pPr>
    </w:p>
    <w:p>
      <w:pPr>
        <w:rPr>
          <w:rFonts w:ascii="宋体" w:hAnsi="宋体"/>
          <w:color w:val="auto"/>
          <w:szCs w:val="21"/>
          <w:highlight w:val="none"/>
        </w:rPr>
      </w:pPr>
      <w:r>
        <w:rPr>
          <w:rFonts w:hint="eastAsia" w:ascii="宋体" w:hAnsi="宋体"/>
          <w:b/>
          <w:color w:val="auto"/>
          <w:sz w:val="28"/>
          <w:szCs w:val="28"/>
          <w:highlight w:val="none"/>
        </w:rPr>
        <w:t>附表3</w:t>
      </w:r>
      <w:r>
        <w:rPr>
          <w:rFonts w:ascii="宋体" w:hAnsi="宋体"/>
          <w:b/>
          <w:color w:val="auto"/>
          <w:sz w:val="28"/>
          <w:szCs w:val="28"/>
          <w:highlight w:val="none"/>
        </w:rPr>
        <w:t>：</w:t>
      </w:r>
    </w:p>
    <w:p>
      <w:pPr>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工程施工总承包实施方案（含资信部分）文件评分表</w:t>
      </w:r>
    </w:p>
    <w:p>
      <w:pPr>
        <w:snapToGrid w:val="0"/>
        <w:jc w:val="center"/>
        <w:rPr>
          <w:rFonts w:hint="eastAsia" w:ascii="宋体" w:hAnsi="宋体"/>
          <w:b/>
          <w:color w:val="auto"/>
          <w:sz w:val="24"/>
          <w:highlight w:val="none"/>
        </w:rPr>
      </w:pPr>
      <w:r>
        <w:rPr>
          <w:rFonts w:hint="eastAsia" w:ascii="宋体" w:hAnsi="宋体"/>
          <w:b/>
          <w:color w:val="auto"/>
          <w:sz w:val="24"/>
          <w:highlight w:val="none"/>
        </w:rPr>
        <w:t>资信评分表</w:t>
      </w:r>
    </w:p>
    <w:tbl>
      <w:tblPr>
        <w:tblStyle w:val="38"/>
        <w:tblW w:w="10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1603"/>
        <w:gridCol w:w="668"/>
        <w:gridCol w:w="7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717" w:type="dxa"/>
            <w:vAlign w:val="center"/>
          </w:tcPr>
          <w:p>
            <w:pPr>
              <w:pStyle w:val="88"/>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序号</w:t>
            </w:r>
          </w:p>
        </w:tc>
        <w:tc>
          <w:tcPr>
            <w:tcW w:w="1603" w:type="dxa"/>
            <w:vAlign w:val="center"/>
          </w:tcPr>
          <w:p>
            <w:pPr>
              <w:pStyle w:val="88"/>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评分因素</w:t>
            </w:r>
          </w:p>
        </w:tc>
        <w:tc>
          <w:tcPr>
            <w:tcW w:w="668" w:type="dxa"/>
            <w:vAlign w:val="center"/>
          </w:tcPr>
          <w:p>
            <w:pPr>
              <w:pStyle w:val="88"/>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分值</w:t>
            </w:r>
          </w:p>
        </w:tc>
        <w:tc>
          <w:tcPr>
            <w:tcW w:w="7036" w:type="dxa"/>
            <w:vAlign w:val="center"/>
          </w:tcPr>
          <w:p>
            <w:pPr>
              <w:pStyle w:val="88"/>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7" w:type="dxa"/>
            <w:vAlign w:val="center"/>
          </w:tcPr>
          <w:p>
            <w:pPr>
              <w:pStyle w:val="88"/>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603" w:type="dxa"/>
            <w:vAlign w:val="center"/>
          </w:tcPr>
          <w:p>
            <w:pPr>
              <w:pStyle w:val="88"/>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资质证书</w:t>
            </w:r>
          </w:p>
        </w:tc>
        <w:tc>
          <w:tcPr>
            <w:tcW w:w="668" w:type="dxa"/>
            <w:vAlign w:val="center"/>
          </w:tcPr>
          <w:p>
            <w:pPr>
              <w:pStyle w:val="88"/>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15</w:t>
            </w:r>
          </w:p>
        </w:tc>
        <w:tc>
          <w:tcPr>
            <w:tcW w:w="7036" w:type="dxa"/>
            <w:vAlign w:val="center"/>
          </w:tcPr>
          <w:p>
            <w:pPr>
              <w:pStyle w:val="88"/>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投标单位</w:t>
            </w:r>
            <w:r>
              <w:rPr>
                <w:rFonts w:hint="eastAsia" w:ascii="微软雅黑" w:hAnsi="微软雅黑" w:eastAsia="微软雅黑" w:cs="微软雅黑"/>
                <w:color w:val="auto"/>
                <w:sz w:val="24"/>
                <w:szCs w:val="24"/>
                <w:highlight w:val="none"/>
              </w:rPr>
              <w:t>具备：</w:t>
            </w:r>
          </w:p>
          <w:p>
            <w:pPr>
              <w:pStyle w:val="88"/>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1、营业执照</w:t>
            </w:r>
            <w:r>
              <w:rPr>
                <w:rFonts w:hint="eastAsia" w:ascii="微软雅黑" w:hAnsi="微软雅黑" w:eastAsia="微软雅黑" w:cs="微软雅黑"/>
                <w:color w:val="auto"/>
                <w:sz w:val="24"/>
                <w:szCs w:val="24"/>
                <w:highlight w:val="none"/>
              </w:rPr>
              <w:t>，得</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分；</w:t>
            </w:r>
          </w:p>
          <w:p>
            <w:pPr>
              <w:pStyle w:val="88"/>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2、资质证书</w:t>
            </w:r>
            <w:r>
              <w:rPr>
                <w:rFonts w:hint="eastAsia" w:ascii="微软雅黑" w:hAnsi="微软雅黑" w:eastAsia="微软雅黑" w:cs="微软雅黑"/>
                <w:color w:val="auto"/>
                <w:sz w:val="24"/>
                <w:szCs w:val="24"/>
                <w:highlight w:val="none"/>
              </w:rPr>
              <w:t>，得</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分；</w:t>
            </w:r>
          </w:p>
          <w:p>
            <w:pPr>
              <w:pStyle w:val="88"/>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3、安全生产许可证</w:t>
            </w:r>
            <w:r>
              <w:rPr>
                <w:rFonts w:hint="eastAsia" w:ascii="微软雅黑" w:hAnsi="微软雅黑" w:eastAsia="微软雅黑" w:cs="微软雅黑"/>
                <w:color w:val="auto"/>
                <w:sz w:val="24"/>
                <w:szCs w:val="24"/>
                <w:highlight w:val="none"/>
              </w:rPr>
              <w:t>，得</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分。</w:t>
            </w:r>
          </w:p>
          <w:p>
            <w:pPr>
              <w:pStyle w:val="88"/>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eastAsia="zh-CN"/>
              </w:rPr>
              <w:t>注：</w:t>
            </w:r>
            <w:r>
              <w:rPr>
                <w:rFonts w:hint="eastAsia" w:ascii="微软雅黑" w:hAnsi="微软雅黑" w:eastAsia="微软雅黑" w:cs="微软雅黑"/>
                <w:b/>
                <w:bCs/>
                <w:color w:val="auto"/>
                <w:sz w:val="24"/>
                <w:szCs w:val="24"/>
                <w:highlight w:val="none"/>
              </w:rPr>
              <w:t>需提供有效证书复印件并加盖公章，否则不予认可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17" w:type="dxa"/>
            <w:vAlign w:val="center"/>
          </w:tcPr>
          <w:p>
            <w:pPr>
              <w:pStyle w:val="88"/>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p>
        </w:tc>
        <w:tc>
          <w:tcPr>
            <w:tcW w:w="1603" w:type="dxa"/>
            <w:vAlign w:val="center"/>
          </w:tcPr>
          <w:p>
            <w:pPr>
              <w:pStyle w:val="88"/>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业绩评价</w:t>
            </w:r>
          </w:p>
        </w:tc>
        <w:tc>
          <w:tcPr>
            <w:tcW w:w="668" w:type="dxa"/>
            <w:vAlign w:val="center"/>
          </w:tcPr>
          <w:p>
            <w:pPr>
              <w:pStyle w:val="88"/>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15</w:t>
            </w:r>
          </w:p>
        </w:tc>
        <w:tc>
          <w:tcPr>
            <w:tcW w:w="7036" w:type="dxa"/>
            <w:vAlign w:val="center"/>
          </w:tcPr>
          <w:p>
            <w:pPr>
              <w:pStyle w:val="88"/>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w:t>
            </w:r>
            <w:r>
              <w:rPr>
                <w:rFonts w:hint="eastAsia" w:ascii="微软雅黑" w:hAnsi="微软雅黑" w:eastAsia="微软雅黑" w:cs="微软雅黑"/>
                <w:color w:val="auto"/>
                <w:sz w:val="24"/>
                <w:szCs w:val="24"/>
                <w:highlight w:val="none"/>
                <w:lang w:val="en-US" w:eastAsia="zh-CN"/>
              </w:rPr>
              <w:t>投标单位</w:t>
            </w:r>
            <w:r>
              <w:rPr>
                <w:rFonts w:hint="eastAsia" w:ascii="微软雅黑" w:hAnsi="微软雅黑" w:eastAsia="微软雅黑" w:cs="微软雅黑"/>
                <w:color w:val="auto"/>
                <w:sz w:val="24"/>
                <w:szCs w:val="24"/>
                <w:highlight w:val="none"/>
              </w:rPr>
              <w:t>近</w:t>
            </w:r>
            <w:r>
              <w:rPr>
                <w:rFonts w:hint="eastAsia" w:ascii="微软雅黑" w:hAnsi="微软雅黑" w:eastAsia="微软雅黑" w:cs="微软雅黑"/>
                <w:color w:val="auto"/>
                <w:sz w:val="24"/>
                <w:szCs w:val="24"/>
                <w:highlight w:val="none"/>
                <w:lang w:val="en-US" w:eastAsia="zh-CN"/>
              </w:rPr>
              <w:t>五</w:t>
            </w:r>
            <w:r>
              <w:rPr>
                <w:rFonts w:hint="eastAsia" w:ascii="微软雅黑" w:hAnsi="微软雅黑" w:eastAsia="微软雅黑" w:cs="微软雅黑"/>
                <w:color w:val="auto"/>
                <w:sz w:val="24"/>
                <w:szCs w:val="24"/>
                <w:highlight w:val="none"/>
              </w:rPr>
              <w:t>年承担类似项目业绩进行评价，一个业绩得</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分，最高得 1</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 xml:space="preserve"> 分。</w:t>
            </w:r>
          </w:p>
          <w:p>
            <w:pPr>
              <w:pStyle w:val="88"/>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eastAsia="zh-CN"/>
              </w:rPr>
              <w:t>注：</w:t>
            </w:r>
            <w:r>
              <w:rPr>
                <w:rFonts w:hint="eastAsia" w:ascii="微软雅黑" w:hAnsi="微软雅黑" w:eastAsia="微软雅黑" w:cs="微软雅黑"/>
                <w:b/>
                <w:bCs/>
                <w:color w:val="auto"/>
                <w:sz w:val="24"/>
                <w:szCs w:val="24"/>
                <w:highlight w:val="none"/>
              </w:rPr>
              <w:t>需提供</w:t>
            </w:r>
            <w:r>
              <w:rPr>
                <w:rFonts w:hint="eastAsia" w:ascii="微软雅黑" w:hAnsi="微软雅黑" w:eastAsia="微软雅黑" w:cs="微软雅黑"/>
                <w:b/>
                <w:bCs/>
                <w:color w:val="auto"/>
                <w:sz w:val="24"/>
                <w:szCs w:val="24"/>
                <w:highlight w:val="none"/>
                <w:lang w:val="en-US" w:eastAsia="zh-CN"/>
              </w:rPr>
              <w:t>中标通知书等</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提供复印件并加盖公章，否则不予认可</w:t>
            </w:r>
            <w:r>
              <w:rPr>
                <w:rFonts w:hint="eastAsia" w:ascii="微软雅黑" w:hAnsi="微软雅黑" w:eastAsia="微软雅黑" w:cs="微软雅黑"/>
                <w:b/>
                <w:bCs/>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0" w:hRule="atLeast"/>
          <w:jc w:val="center"/>
        </w:trPr>
        <w:tc>
          <w:tcPr>
            <w:tcW w:w="717" w:type="dxa"/>
            <w:vAlign w:val="center"/>
          </w:tcPr>
          <w:p>
            <w:pPr>
              <w:pStyle w:val="88"/>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3</w:t>
            </w:r>
          </w:p>
        </w:tc>
        <w:tc>
          <w:tcPr>
            <w:tcW w:w="1603" w:type="dxa"/>
            <w:vAlign w:val="center"/>
          </w:tcPr>
          <w:p>
            <w:pPr>
              <w:pStyle w:val="88"/>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zh-CN" w:eastAsia="zh-CN"/>
              </w:rPr>
              <w:t>项目主要成员的资质、能力和项目工作经验</w:t>
            </w:r>
          </w:p>
        </w:tc>
        <w:tc>
          <w:tcPr>
            <w:tcW w:w="668" w:type="dxa"/>
            <w:vAlign w:val="center"/>
          </w:tcPr>
          <w:p>
            <w:pPr>
              <w:pStyle w:val="88"/>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10</w:t>
            </w:r>
          </w:p>
        </w:tc>
        <w:tc>
          <w:tcPr>
            <w:tcW w:w="7036" w:type="dxa"/>
            <w:vAlign w:val="center"/>
          </w:tcPr>
          <w:p>
            <w:pPr>
              <w:keepNext w:val="0"/>
              <w:keepLines w:val="0"/>
              <w:suppressLineNumbers w:val="0"/>
              <w:autoSpaceDE w:val="0"/>
              <w:autoSpaceDN w:val="0"/>
              <w:adjustRightInd w:val="0"/>
              <w:spacing w:before="25" w:beforeAutospacing="0" w:after="25" w:afterAutospacing="0"/>
              <w:ind w:left="0" w:right="0"/>
              <w:rPr>
                <w:rFonts w:hint="default" w:ascii="微软雅黑" w:hAnsi="微软雅黑" w:eastAsia="微软雅黑" w:cs="微软雅黑"/>
                <w:color w:val="auto"/>
                <w:sz w:val="24"/>
                <w:szCs w:val="24"/>
                <w:highlight w:val="none"/>
                <w:lang w:val="zh-CN" w:eastAsia="zh-CN" w:bidi="zh-CN"/>
              </w:rPr>
            </w:pPr>
            <w:r>
              <w:rPr>
                <w:rFonts w:hint="eastAsia" w:ascii="微软雅黑" w:hAnsi="微软雅黑" w:eastAsia="微软雅黑" w:cs="微软雅黑"/>
                <w:color w:val="auto"/>
                <w:sz w:val="24"/>
                <w:szCs w:val="24"/>
                <w:highlight w:val="none"/>
                <w:lang w:val="zh-CN" w:eastAsia="zh-CN" w:bidi="zh-CN"/>
              </w:rPr>
              <w:t>该项最高得分</w:t>
            </w:r>
            <w:r>
              <w:rPr>
                <w:rFonts w:hint="eastAsia" w:ascii="微软雅黑" w:hAnsi="微软雅黑" w:eastAsia="微软雅黑" w:cs="微软雅黑"/>
                <w:color w:val="auto"/>
                <w:sz w:val="24"/>
                <w:szCs w:val="24"/>
                <w:highlight w:val="none"/>
                <w:lang w:val="en-US" w:eastAsia="zh-CN" w:bidi="zh-CN"/>
              </w:rPr>
              <w:t>10</w:t>
            </w:r>
            <w:r>
              <w:rPr>
                <w:rFonts w:hint="eastAsia" w:ascii="微软雅黑" w:hAnsi="微软雅黑" w:eastAsia="微软雅黑" w:cs="微软雅黑"/>
                <w:color w:val="auto"/>
                <w:sz w:val="24"/>
                <w:szCs w:val="24"/>
                <w:highlight w:val="none"/>
                <w:lang w:val="zh-CN" w:eastAsia="zh-CN" w:bidi="zh-CN"/>
              </w:rPr>
              <w:t>分，最低得分0分：</w:t>
            </w:r>
          </w:p>
          <w:p>
            <w:pPr>
              <w:keepNext w:val="0"/>
              <w:keepLines w:val="0"/>
              <w:numPr>
                <w:ilvl w:val="0"/>
                <w:numId w:val="1"/>
              </w:numPr>
              <w:suppressLineNumbers w:val="0"/>
              <w:autoSpaceDE w:val="0"/>
              <w:autoSpaceDN w:val="0"/>
              <w:adjustRightInd w:val="0"/>
              <w:spacing w:before="25" w:beforeAutospacing="0" w:after="25" w:afterAutospacing="0"/>
              <w:ind w:left="0" w:right="0"/>
              <w:rPr>
                <w:rFonts w:hint="eastAsia" w:ascii="微软雅黑" w:hAnsi="微软雅黑" w:eastAsia="微软雅黑" w:cs="微软雅黑"/>
                <w:color w:val="auto"/>
                <w:sz w:val="24"/>
                <w:szCs w:val="24"/>
                <w:highlight w:val="none"/>
                <w:lang w:val="zh-CN" w:eastAsia="zh-CN" w:bidi="zh-CN"/>
              </w:rPr>
            </w:pPr>
            <w:r>
              <w:rPr>
                <w:rFonts w:hint="eastAsia" w:ascii="微软雅黑" w:hAnsi="微软雅黑" w:eastAsia="微软雅黑" w:cs="微软雅黑"/>
                <w:color w:val="auto"/>
                <w:sz w:val="24"/>
                <w:szCs w:val="24"/>
                <w:highlight w:val="none"/>
                <w:lang w:val="zh-CN" w:eastAsia="zh-CN" w:bidi="zh-CN"/>
              </w:rPr>
              <w:t>项目成员中技术负责人，具有</w:t>
            </w:r>
            <w:r>
              <w:rPr>
                <w:rFonts w:hint="eastAsia" w:ascii="微软雅黑" w:hAnsi="微软雅黑" w:eastAsia="微软雅黑" w:cs="微软雅黑"/>
                <w:color w:val="auto"/>
                <w:sz w:val="24"/>
                <w:szCs w:val="24"/>
                <w:highlight w:val="none"/>
                <w:lang w:val="en-US" w:eastAsia="zh-CN" w:bidi="zh-CN"/>
              </w:rPr>
              <w:t>中级</w:t>
            </w:r>
            <w:r>
              <w:rPr>
                <w:rFonts w:hint="eastAsia" w:ascii="微软雅黑" w:hAnsi="微软雅黑" w:eastAsia="微软雅黑" w:cs="微软雅黑"/>
                <w:color w:val="auto"/>
                <w:sz w:val="24"/>
                <w:szCs w:val="24"/>
                <w:highlight w:val="none"/>
                <w:lang w:val="zh-CN" w:eastAsia="zh-CN" w:bidi="zh-CN"/>
              </w:rPr>
              <w:t>工程师证书</w:t>
            </w:r>
            <w:r>
              <w:rPr>
                <w:rFonts w:hint="eastAsia" w:ascii="微软雅黑" w:hAnsi="微软雅黑" w:eastAsia="微软雅黑" w:cs="微软雅黑"/>
                <w:color w:val="auto"/>
                <w:sz w:val="24"/>
                <w:szCs w:val="24"/>
                <w:highlight w:val="none"/>
                <w:lang w:val="en-US" w:eastAsia="zh-CN" w:bidi="zh-CN"/>
              </w:rPr>
              <w:t>或以上</w:t>
            </w:r>
            <w:r>
              <w:rPr>
                <w:rFonts w:hint="eastAsia" w:ascii="微软雅黑" w:hAnsi="微软雅黑" w:eastAsia="微软雅黑" w:cs="微软雅黑"/>
                <w:color w:val="auto"/>
                <w:sz w:val="24"/>
                <w:szCs w:val="24"/>
                <w:highlight w:val="none"/>
                <w:lang w:val="zh-CN" w:eastAsia="zh-CN" w:bidi="zh-CN"/>
              </w:rPr>
              <w:t>，</w:t>
            </w:r>
            <w:r>
              <w:rPr>
                <w:rFonts w:hint="eastAsia" w:ascii="微软雅黑" w:hAnsi="微软雅黑" w:eastAsia="微软雅黑" w:cs="微软雅黑"/>
                <w:color w:val="auto"/>
                <w:sz w:val="24"/>
                <w:szCs w:val="24"/>
                <w:highlight w:val="none"/>
                <w:lang w:val="en-US" w:eastAsia="zh-CN" w:bidi="zh-CN"/>
              </w:rPr>
              <w:t>得5</w:t>
            </w:r>
            <w:r>
              <w:rPr>
                <w:rFonts w:hint="eastAsia" w:ascii="微软雅黑" w:hAnsi="微软雅黑" w:eastAsia="微软雅黑" w:cs="微软雅黑"/>
                <w:color w:val="auto"/>
                <w:sz w:val="24"/>
                <w:szCs w:val="24"/>
                <w:highlight w:val="none"/>
                <w:lang w:val="zh-CN" w:eastAsia="zh-CN" w:bidi="zh-CN"/>
              </w:rPr>
              <w:t>分；</w:t>
            </w:r>
          </w:p>
          <w:p>
            <w:pPr>
              <w:keepNext w:val="0"/>
              <w:keepLines w:val="0"/>
              <w:numPr>
                <w:ilvl w:val="0"/>
                <w:numId w:val="1"/>
              </w:numPr>
              <w:suppressLineNumbers w:val="0"/>
              <w:autoSpaceDE w:val="0"/>
              <w:autoSpaceDN w:val="0"/>
              <w:adjustRightInd w:val="0"/>
              <w:spacing w:before="25" w:beforeAutospacing="0" w:after="25" w:afterAutospacing="0"/>
              <w:ind w:left="0" w:right="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bidi="zh-CN"/>
              </w:rPr>
              <w:t>项目成员中项目经理，具有二级建造师证书或以上，得5分。</w:t>
            </w:r>
          </w:p>
        </w:tc>
      </w:tr>
    </w:tbl>
    <w:p>
      <w:pPr>
        <w:pStyle w:val="2"/>
        <w:rPr>
          <w:rFonts w:hint="eastAsia" w:ascii="宋体" w:hAnsi="宋体"/>
          <w:b/>
          <w:color w:val="auto"/>
          <w:sz w:val="24"/>
          <w:highlight w:val="none"/>
        </w:rPr>
      </w:pPr>
    </w:p>
    <w:p>
      <w:pPr>
        <w:rPr>
          <w:rFonts w:hint="eastAsia" w:ascii="宋体" w:hAnsi="宋体"/>
          <w:b/>
          <w:color w:val="auto"/>
          <w:sz w:val="24"/>
          <w:highlight w:val="none"/>
        </w:rPr>
      </w:pPr>
    </w:p>
    <w:p>
      <w:pPr>
        <w:pStyle w:val="2"/>
        <w:rPr>
          <w:rFonts w:hint="eastAsia" w:ascii="宋体" w:hAnsi="宋体"/>
          <w:b/>
          <w:color w:val="auto"/>
          <w:sz w:val="24"/>
          <w:highlight w:val="none"/>
        </w:rPr>
      </w:pPr>
    </w:p>
    <w:p>
      <w:pPr>
        <w:rPr>
          <w:rFonts w:hint="eastAsia" w:ascii="宋体" w:hAnsi="宋体"/>
          <w:b/>
          <w:color w:val="auto"/>
          <w:sz w:val="24"/>
          <w:highlight w:val="none"/>
        </w:rPr>
      </w:pPr>
    </w:p>
    <w:p>
      <w:pPr>
        <w:pStyle w:val="2"/>
        <w:rPr>
          <w:rFonts w:hint="eastAsia" w:ascii="宋体" w:hAnsi="宋体"/>
          <w:b/>
          <w:color w:val="auto"/>
          <w:sz w:val="24"/>
          <w:highlight w:val="none"/>
        </w:rPr>
      </w:pPr>
    </w:p>
    <w:p>
      <w:pPr>
        <w:rPr>
          <w:rFonts w:hint="eastAsia" w:ascii="宋体" w:hAnsi="宋体"/>
          <w:b/>
          <w:color w:val="auto"/>
          <w:sz w:val="24"/>
          <w:highlight w:val="none"/>
        </w:rPr>
      </w:pPr>
    </w:p>
    <w:p>
      <w:pPr>
        <w:pStyle w:val="2"/>
        <w:rPr>
          <w:rFonts w:hint="eastAsia"/>
          <w:color w:val="auto"/>
          <w:highlight w:val="none"/>
        </w:rPr>
      </w:pPr>
    </w:p>
    <w:p>
      <w:pPr>
        <w:rPr>
          <w:rFonts w:hint="eastAsia" w:ascii="宋体" w:hAnsi="宋体"/>
          <w:b/>
          <w:color w:val="auto"/>
          <w:sz w:val="24"/>
          <w:highlight w:val="none"/>
        </w:rPr>
      </w:pPr>
    </w:p>
    <w:p>
      <w:pPr>
        <w:spacing w:line="360" w:lineRule="exact"/>
        <w:jc w:val="left"/>
        <w:rPr>
          <w:rFonts w:ascii="宋体" w:hAnsi="宋体"/>
          <w:b/>
          <w:color w:val="auto"/>
          <w:sz w:val="36"/>
          <w:szCs w:val="36"/>
          <w:highlight w:val="none"/>
        </w:rPr>
      </w:pPr>
      <w:r>
        <w:rPr>
          <w:rFonts w:hint="eastAsia" w:ascii="宋体" w:hAnsi="宋体"/>
          <w:b/>
          <w:color w:val="auto"/>
          <w:sz w:val="28"/>
          <w:szCs w:val="28"/>
          <w:highlight w:val="none"/>
        </w:rPr>
        <w:t>附表4</w:t>
      </w:r>
      <w:r>
        <w:rPr>
          <w:rFonts w:ascii="宋体" w:hAnsi="宋体"/>
          <w:b/>
          <w:color w:val="auto"/>
          <w:sz w:val="28"/>
          <w:szCs w:val="28"/>
          <w:highlight w:val="none"/>
        </w:rPr>
        <w:t>：</w:t>
      </w:r>
    </w:p>
    <w:p>
      <w:pPr>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投标报价文件有效性审查表</w:t>
      </w:r>
    </w:p>
    <w:p>
      <w:pPr>
        <w:rPr>
          <w:color w:val="auto"/>
          <w:szCs w:val="21"/>
          <w:highlight w:val="none"/>
        </w:rPr>
      </w:pPr>
      <w:r>
        <w:rPr>
          <w:rFonts w:hint="eastAsia" w:ascii="宋体" w:hAnsi="宋体"/>
          <w:color w:val="auto"/>
          <w:highlight w:val="none"/>
        </w:rPr>
        <w:t>工程名称：</w:t>
      </w:r>
    </w:p>
    <w:p>
      <w:pPr>
        <w:spacing w:line="300" w:lineRule="exact"/>
        <w:rPr>
          <w:rFonts w:ascii="宋体" w:hAnsi="宋体"/>
          <w:color w:val="auto"/>
          <w:szCs w:val="21"/>
          <w:highlight w:val="none"/>
        </w:rPr>
      </w:pPr>
    </w:p>
    <w:tbl>
      <w:tblPr>
        <w:tblStyle w:val="38"/>
        <w:tblW w:w="935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4597"/>
        <w:gridCol w:w="838"/>
        <w:gridCol w:w="776"/>
        <w:gridCol w:w="776"/>
        <w:gridCol w:w="774"/>
        <w:gridCol w:w="7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817" w:type="dxa"/>
            <w:tcBorders>
              <w:top w:val="single" w:color="auto" w:sz="4" w:space="0"/>
              <w:left w:val="single" w:color="auto" w:sz="4" w:space="0"/>
              <w:bottom w:val="single" w:color="auto" w:sz="6" w:space="0"/>
              <w:right w:val="single" w:color="auto" w:sz="4" w:space="0"/>
            </w:tcBorders>
            <w:vAlign w:val="center"/>
          </w:tcPr>
          <w:p>
            <w:pPr>
              <w:tabs>
                <w:tab w:val="left" w:pos="0"/>
              </w:tabs>
              <w:spacing w:line="360" w:lineRule="auto"/>
              <w:rPr>
                <w:color w:val="auto"/>
                <w:szCs w:val="21"/>
                <w:highlight w:val="none"/>
              </w:rPr>
            </w:pPr>
            <w:r>
              <w:rPr>
                <w:rFonts w:hint="eastAsia"/>
                <w:color w:val="auto"/>
                <w:szCs w:val="21"/>
                <w:highlight w:val="none"/>
              </w:rPr>
              <w:t>序号</w:t>
            </w:r>
          </w:p>
        </w:tc>
        <w:tc>
          <w:tcPr>
            <w:tcW w:w="4597" w:type="dxa"/>
            <w:tcBorders>
              <w:top w:val="single" w:color="auto" w:sz="4" w:space="0"/>
              <w:left w:val="single" w:color="auto" w:sz="4" w:space="0"/>
              <w:bottom w:val="single" w:color="auto" w:sz="4" w:space="0"/>
              <w:right w:val="single" w:color="auto" w:sz="4" w:space="0"/>
              <w:tl2br w:val="single" w:color="auto" w:sz="4" w:space="0"/>
            </w:tcBorders>
            <w:vAlign w:val="center"/>
          </w:tcPr>
          <w:p>
            <w:pPr>
              <w:tabs>
                <w:tab w:val="left" w:pos="0"/>
              </w:tabs>
              <w:wordWrap w:val="0"/>
              <w:snapToGrid w:val="0"/>
              <w:ind w:left="3700" w:leftChars="227" w:hanging="3223" w:hangingChars="1535"/>
              <w:jc w:val="right"/>
              <w:rPr>
                <w:color w:val="auto"/>
                <w:szCs w:val="21"/>
                <w:highlight w:val="none"/>
              </w:rPr>
            </w:pPr>
            <w:r>
              <w:rPr>
                <w:rFonts w:hint="eastAsia"/>
                <w:color w:val="auto"/>
                <w:szCs w:val="21"/>
                <w:highlight w:val="none"/>
                <w:lang w:bidi="ar"/>
              </w:rPr>
              <w:t xml:space="preserve">投标单位  </w:t>
            </w:r>
          </w:p>
          <w:p>
            <w:pPr>
              <w:tabs>
                <w:tab w:val="left" w:pos="0"/>
              </w:tabs>
              <w:snapToGrid w:val="0"/>
              <w:ind w:firstLine="210" w:firstLineChars="100"/>
              <w:rPr>
                <w:color w:val="auto"/>
                <w:szCs w:val="21"/>
                <w:highlight w:val="none"/>
              </w:rPr>
            </w:pPr>
            <w:r>
              <w:rPr>
                <w:rFonts w:hint="eastAsia"/>
                <w:color w:val="auto"/>
                <w:szCs w:val="21"/>
                <w:highlight w:val="none"/>
              </w:rPr>
              <w:t>评审内容</w:t>
            </w:r>
          </w:p>
        </w:tc>
        <w:tc>
          <w:tcPr>
            <w:tcW w:w="838" w:type="dxa"/>
            <w:tcBorders>
              <w:top w:val="single" w:color="auto" w:sz="4" w:space="0"/>
              <w:left w:val="single" w:color="auto" w:sz="4" w:space="0"/>
              <w:bottom w:val="single" w:color="auto" w:sz="6" w:space="0"/>
              <w:right w:val="single" w:color="auto" w:sz="6" w:space="0"/>
            </w:tcBorders>
          </w:tcPr>
          <w:p>
            <w:pPr>
              <w:tabs>
                <w:tab w:val="left" w:pos="0"/>
              </w:tabs>
              <w:spacing w:line="360" w:lineRule="auto"/>
              <w:ind w:left="550" w:leftChars="227" w:hanging="73" w:hangingChars="35"/>
              <w:rPr>
                <w:color w:val="auto"/>
                <w:szCs w:val="21"/>
                <w:highlight w:val="none"/>
              </w:rPr>
            </w:pPr>
          </w:p>
        </w:tc>
        <w:tc>
          <w:tcPr>
            <w:tcW w:w="776"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color w:val="auto"/>
                <w:szCs w:val="21"/>
                <w:highlight w:val="none"/>
              </w:rPr>
            </w:pPr>
          </w:p>
        </w:tc>
        <w:tc>
          <w:tcPr>
            <w:tcW w:w="776"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color w:val="auto"/>
                <w:szCs w:val="21"/>
                <w:highlight w:val="none"/>
              </w:rPr>
            </w:pPr>
          </w:p>
        </w:tc>
        <w:tc>
          <w:tcPr>
            <w:tcW w:w="774"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color w:val="auto"/>
                <w:szCs w:val="21"/>
                <w:highlight w:val="none"/>
              </w:rPr>
            </w:pPr>
          </w:p>
        </w:tc>
        <w:tc>
          <w:tcPr>
            <w:tcW w:w="774" w:type="dxa"/>
            <w:tcBorders>
              <w:top w:val="single" w:color="auto" w:sz="4" w:space="0"/>
              <w:left w:val="single" w:color="auto" w:sz="6" w:space="0"/>
              <w:bottom w:val="single" w:color="auto" w:sz="6" w:space="0"/>
              <w:right w:val="single" w:color="auto" w:sz="6" w:space="0"/>
            </w:tcBorders>
          </w:tcPr>
          <w:p>
            <w:pPr>
              <w:tabs>
                <w:tab w:val="left" w:pos="0"/>
              </w:tabs>
              <w:spacing w:line="360" w:lineRule="auto"/>
              <w:ind w:left="550" w:leftChars="227" w:hanging="73" w:hangingChars="35"/>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color w:val="auto"/>
                <w:szCs w:val="21"/>
                <w:highlight w:val="none"/>
              </w:rPr>
            </w:pPr>
            <w:r>
              <w:rPr>
                <w:rFonts w:hint="eastAsia"/>
                <w:color w:val="auto"/>
                <w:szCs w:val="21"/>
                <w:highlight w:val="none"/>
              </w:rPr>
              <w:t>1</w:t>
            </w:r>
          </w:p>
        </w:tc>
        <w:tc>
          <w:tcPr>
            <w:tcW w:w="4597" w:type="dxa"/>
            <w:tcBorders>
              <w:top w:val="single" w:color="auto" w:sz="4" w:space="0"/>
              <w:left w:val="single" w:color="auto" w:sz="6" w:space="0"/>
              <w:bottom w:val="single" w:color="auto" w:sz="6" w:space="0"/>
              <w:right w:val="single" w:color="auto" w:sz="6" w:space="0"/>
            </w:tcBorders>
            <w:vAlign w:val="center"/>
          </w:tcPr>
          <w:p>
            <w:pPr>
              <w:tabs>
                <w:tab w:val="left" w:pos="0"/>
              </w:tabs>
              <w:spacing w:line="240" w:lineRule="atLeast"/>
              <w:rPr>
                <w:color w:val="auto"/>
                <w:szCs w:val="21"/>
                <w:highlight w:val="none"/>
              </w:rPr>
            </w:pPr>
            <w:r>
              <w:rPr>
                <w:rFonts w:hint="eastAsia"/>
                <w:color w:val="auto"/>
                <w:szCs w:val="21"/>
                <w:highlight w:val="none"/>
              </w:rPr>
              <w:t>投标文件的封面</w:t>
            </w:r>
            <w:r>
              <w:rPr>
                <w:rFonts w:hint="eastAsia"/>
                <w:color w:val="auto"/>
                <w:szCs w:val="21"/>
                <w:highlight w:val="none"/>
                <w:lang w:val="en-US" w:eastAsia="zh-CN"/>
              </w:rPr>
              <w:t>有</w:t>
            </w:r>
            <w:r>
              <w:rPr>
                <w:rFonts w:hint="eastAsia"/>
                <w:color w:val="auto"/>
                <w:szCs w:val="21"/>
                <w:highlight w:val="none"/>
              </w:rPr>
              <w:t>加盖投标单位的法定印章并经投标人代表签署或盖章的。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color w:val="auto"/>
                <w:szCs w:val="21"/>
                <w:highlight w:val="none"/>
              </w:rPr>
            </w:pPr>
            <w:r>
              <w:rPr>
                <w:rFonts w:hint="eastAsia"/>
                <w:color w:val="auto"/>
                <w:szCs w:val="21"/>
                <w:highlight w:val="none"/>
              </w:rPr>
              <w:t>2</w:t>
            </w:r>
          </w:p>
        </w:tc>
        <w:tc>
          <w:tcPr>
            <w:tcW w:w="4597"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color w:val="auto"/>
                <w:szCs w:val="21"/>
                <w:highlight w:val="none"/>
              </w:rPr>
            </w:pPr>
            <w:r>
              <w:rPr>
                <w:rFonts w:hint="eastAsia"/>
                <w:color w:val="auto"/>
                <w:szCs w:val="21"/>
                <w:highlight w:val="none"/>
              </w:rPr>
              <w:t>对同一招标项目</w:t>
            </w:r>
            <w:r>
              <w:rPr>
                <w:rFonts w:hint="eastAsia"/>
                <w:color w:val="auto"/>
                <w:szCs w:val="21"/>
                <w:highlight w:val="none"/>
                <w:lang w:val="en-US" w:eastAsia="zh-CN"/>
              </w:rPr>
              <w:t>没有</w:t>
            </w:r>
            <w:r>
              <w:rPr>
                <w:rFonts w:hint="eastAsia"/>
                <w:color w:val="auto"/>
                <w:szCs w:val="21"/>
                <w:highlight w:val="none"/>
              </w:rPr>
              <w:t>出现两个或以上的投标报价。</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color w:val="auto"/>
                <w:szCs w:val="21"/>
                <w:highlight w:val="none"/>
              </w:rPr>
            </w:pPr>
            <w:r>
              <w:rPr>
                <w:rFonts w:hint="eastAsia"/>
                <w:color w:val="auto"/>
                <w:szCs w:val="21"/>
                <w:highlight w:val="none"/>
              </w:rPr>
              <w:t>3</w:t>
            </w:r>
          </w:p>
        </w:tc>
        <w:tc>
          <w:tcPr>
            <w:tcW w:w="4597" w:type="dxa"/>
            <w:tcBorders>
              <w:top w:val="single" w:color="auto" w:sz="6" w:space="0"/>
              <w:left w:val="single" w:color="auto" w:sz="6" w:space="0"/>
              <w:bottom w:val="single" w:color="auto" w:sz="6" w:space="0"/>
              <w:right w:val="single" w:color="auto" w:sz="6" w:space="0"/>
            </w:tcBorders>
            <w:vAlign w:val="center"/>
          </w:tcPr>
          <w:p>
            <w:pPr>
              <w:jc w:val="left"/>
              <w:rPr>
                <w:b/>
                <w:color w:val="auto"/>
                <w:szCs w:val="21"/>
                <w:highlight w:val="none"/>
              </w:rPr>
            </w:pPr>
            <w:r>
              <w:rPr>
                <w:rFonts w:hint="eastAsia"/>
                <w:color w:val="auto"/>
                <w:szCs w:val="21"/>
                <w:highlight w:val="none"/>
              </w:rPr>
              <w:t>投标报价总价</w:t>
            </w:r>
            <w:r>
              <w:rPr>
                <w:rFonts w:hint="eastAsia"/>
                <w:color w:val="auto"/>
                <w:szCs w:val="21"/>
                <w:highlight w:val="none"/>
                <w:lang w:val="en-US" w:eastAsia="zh-CN"/>
              </w:rPr>
              <w:t>不</w:t>
            </w:r>
            <w:r>
              <w:rPr>
                <w:rFonts w:hint="eastAsia"/>
                <w:color w:val="auto"/>
                <w:szCs w:val="21"/>
                <w:highlight w:val="none"/>
              </w:rPr>
              <w:t>高于最高投标限价总价的。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eastAsia" w:eastAsia="宋体"/>
                <w:color w:val="auto"/>
                <w:szCs w:val="21"/>
                <w:highlight w:val="none"/>
                <w:lang w:eastAsia="zh-CN"/>
              </w:rPr>
            </w:pPr>
            <w:r>
              <w:rPr>
                <w:rFonts w:hint="eastAsia"/>
                <w:color w:val="auto"/>
                <w:szCs w:val="21"/>
                <w:highlight w:val="none"/>
                <w:lang w:val="en-US" w:eastAsia="zh-CN"/>
              </w:rPr>
              <w:t>4</w:t>
            </w:r>
          </w:p>
        </w:tc>
        <w:tc>
          <w:tcPr>
            <w:tcW w:w="4597"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color w:val="auto"/>
                <w:szCs w:val="21"/>
                <w:highlight w:val="none"/>
              </w:rPr>
            </w:pPr>
            <w:r>
              <w:rPr>
                <w:rFonts w:hint="eastAsia"/>
                <w:color w:val="auto"/>
                <w:szCs w:val="21"/>
                <w:highlight w:val="none"/>
              </w:rPr>
              <w:t>算术复核后的投标报价总价与原投标报价总价相比</w:t>
            </w:r>
            <w:r>
              <w:rPr>
                <w:rFonts w:hint="eastAsia"/>
                <w:color w:val="auto"/>
                <w:szCs w:val="21"/>
                <w:highlight w:val="none"/>
                <w:lang w:val="en-US" w:eastAsia="zh-CN"/>
              </w:rPr>
              <w:t>不</w:t>
            </w:r>
            <w:r>
              <w:rPr>
                <w:rFonts w:hint="eastAsia"/>
                <w:color w:val="auto"/>
                <w:szCs w:val="21"/>
                <w:highlight w:val="none"/>
              </w:rPr>
              <w:t>存在1%或以上误差的。</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eastAsia" w:eastAsia="宋体"/>
                <w:color w:val="auto"/>
                <w:szCs w:val="21"/>
                <w:highlight w:val="none"/>
                <w:lang w:eastAsia="zh-CN"/>
              </w:rPr>
            </w:pPr>
            <w:r>
              <w:rPr>
                <w:rFonts w:hint="eastAsia"/>
                <w:color w:val="auto"/>
                <w:szCs w:val="21"/>
                <w:highlight w:val="none"/>
                <w:lang w:val="en-US" w:eastAsia="zh-CN"/>
              </w:rPr>
              <w:t>5</w:t>
            </w:r>
          </w:p>
        </w:tc>
        <w:tc>
          <w:tcPr>
            <w:tcW w:w="4597"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color w:val="auto"/>
                <w:szCs w:val="21"/>
                <w:highlight w:val="none"/>
              </w:rPr>
            </w:pPr>
            <w:r>
              <w:rPr>
                <w:rFonts w:hint="eastAsia"/>
                <w:color w:val="auto"/>
                <w:szCs w:val="21"/>
                <w:highlight w:val="none"/>
              </w:rPr>
              <w:t>投标文件按规定的格式填写，主要内容</w:t>
            </w:r>
            <w:r>
              <w:rPr>
                <w:rFonts w:hint="eastAsia"/>
                <w:color w:val="auto"/>
                <w:szCs w:val="21"/>
                <w:highlight w:val="none"/>
                <w:lang w:val="en-US" w:eastAsia="zh-CN"/>
              </w:rPr>
              <w:t>齐</w:t>
            </w:r>
            <w:r>
              <w:rPr>
                <w:rFonts w:hint="eastAsia"/>
                <w:color w:val="auto"/>
                <w:szCs w:val="21"/>
                <w:highlight w:val="none"/>
              </w:rPr>
              <w:t>全。</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tabs>
                <w:tab w:val="left" w:pos="0"/>
              </w:tabs>
              <w:spacing w:line="240" w:lineRule="atLeast"/>
              <w:jc w:val="center"/>
              <w:rPr>
                <w:rFonts w:hint="eastAsia" w:eastAsia="宋体"/>
                <w:color w:val="auto"/>
                <w:szCs w:val="21"/>
                <w:highlight w:val="none"/>
                <w:lang w:eastAsia="zh-CN"/>
              </w:rPr>
            </w:pPr>
            <w:r>
              <w:rPr>
                <w:rFonts w:hint="eastAsia"/>
                <w:color w:val="auto"/>
                <w:szCs w:val="21"/>
                <w:highlight w:val="none"/>
                <w:lang w:val="en-US" w:eastAsia="zh-CN"/>
              </w:rPr>
              <w:t>6</w:t>
            </w:r>
          </w:p>
        </w:tc>
        <w:tc>
          <w:tcPr>
            <w:tcW w:w="4597" w:type="dxa"/>
            <w:tcBorders>
              <w:top w:val="single" w:color="auto" w:sz="6" w:space="0"/>
              <w:left w:val="single" w:color="auto" w:sz="6" w:space="0"/>
              <w:bottom w:val="single" w:color="auto" w:sz="6" w:space="0"/>
              <w:right w:val="single" w:color="auto" w:sz="6" w:space="0"/>
            </w:tcBorders>
            <w:vAlign w:val="center"/>
          </w:tcPr>
          <w:p>
            <w:pPr>
              <w:tabs>
                <w:tab w:val="left" w:pos="0"/>
              </w:tabs>
              <w:spacing w:line="240" w:lineRule="atLeast"/>
              <w:rPr>
                <w:color w:val="auto"/>
                <w:szCs w:val="21"/>
                <w:highlight w:val="none"/>
              </w:rPr>
            </w:pPr>
            <w:r>
              <w:rPr>
                <w:rFonts w:hint="eastAsia"/>
                <w:color w:val="auto"/>
                <w:szCs w:val="21"/>
                <w:highlight w:val="none"/>
                <w:lang w:val="en-US" w:eastAsia="zh-CN"/>
              </w:rPr>
              <w:t>不</w:t>
            </w:r>
            <w:r>
              <w:rPr>
                <w:rFonts w:hint="eastAsia"/>
                <w:color w:val="auto"/>
                <w:szCs w:val="21"/>
                <w:highlight w:val="none"/>
              </w:rPr>
              <w:t>存在串通投标情形（串通投标情形以《中华人民共和国招标投标法实施条例》的规定为准）。</w:t>
            </w:r>
          </w:p>
        </w:tc>
        <w:tc>
          <w:tcPr>
            <w:tcW w:w="838"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tabs>
                <w:tab w:val="left" w:pos="0"/>
              </w:tabs>
              <w:spacing w:line="240" w:lineRule="atLeast"/>
              <w:ind w:left="550" w:leftChars="227" w:hanging="73" w:hangingChars="35"/>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4" w:space="0"/>
              <w:right w:val="single" w:color="auto" w:sz="6" w:space="0"/>
            </w:tcBorders>
            <w:vAlign w:val="center"/>
          </w:tcPr>
          <w:p>
            <w:pPr>
              <w:spacing w:line="360" w:lineRule="auto"/>
              <w:jc w:val="center"/>
              <w:rPr>
                <w:color w:val="auto"/>
                <w:szCs w:val="21"/>
                <w:highlight w:val="none"/>
              </w:rPr>
            </w:pPr>
            <w:r>
              <w:rPr>
                <w:rFonts w:hint="eastAsia"/>
                <w:bCs/>
                <w:color w:val="auto"/>
                <w:szCs w:val="21"/>
                <w:highlight w:val="none"/>
              </w:rPr>
              <w:t>结论</w:t>
            </w:r>
          </w:p>
        </w:tc>
        <w:tc>
          <w:tcPr>
            <w:tcW w:w="4597" w:type="dxa"/>
            <w:tcBorders>
              <w:top w:val="single" w:color="auto" w:sz="6" w:space="0"/>
              <w:left w:val="single" w:color="auto" w:sz="6" w:space="0"/>
              <w:bottom w:val="single" w:color="auto" w:sz="4" w:space="0"/>
              <w:right w:val="single" w:color="auto" w:sz="6" w:space="0"/>
            </w:tcBorders>
            <w:vAlign w:val="center"/>
          </w:tcPr>
          <w:p>
            <w:pPr>
              <w:spacing w:line="360" w:lineRule="auto"/>
              <w:rPr>
                <w:color w:val="auto"/>
                <w:szCs w:val="21"/>
                <w:highlight w:val="none"/>
              </w:rPr>
            </w:pPr>
            <w:r>
              <w:rPr>
                <w:rFonts w:hint="eastAsia"/>
                <w:bCs/>
                <w:color w:val="auto"/>
                <w:szCs w:val="21"/>
                <w:highlight w:val="none"/>
              </w:rPr>
              <w:t>是否通过并进入下一阶段评审</w:t>
            </w:r>
          </w:p>
        </w:tc>
        <w:tc>
          <w:tcPr>
            <w:tcW w:w="838"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6"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color w:val="auto"/>
                <w:szCs w:val="21"/>
                <w:highlight w:val="none"/>
              </w:rPr>
            </w:pPr>
          </w:p>
        </w:tc>
        <w:tc>
          <w:tcPr>
            <w:tcW w:w="774" w:type="dxa"/>
            <w:tcBorders>
              <w:top w:val="single" w:color="auto" w:sz="6" w:space="0"/>
              <w:left w:val="single" w:color="auto" w:sz="6" w:space="0"/>
              <w:bottom w:val="single" w:color="auto" w:sz="4" w:space="0"/>
              <w:right w:val="single" w:color="auto" w:sz="6" w:space="0"/>
            </w:tcBorders>
          </w:tcPr>
          <w:p>
            <w:pPr>
              <w:tabs>
                <w:tab w:val="left" w:pos="0"/>
              </w:tabs>
              <w:spacing w:line="240" w:lineRule="atLeast"/>
              <w:ind w:left="550" w:leftChars="227" w:hanging="73" w:hangingChars="35"/>
              <w:rPr>
                <w:color w:val="auto"/>
                <w:szCs w:val="21"/>
                <w:highlight w:val="none"/>
              </w:rPr>
            </w:pPr>
          </w:p>
        </w:tc>
      </w:tr>
    </w:tbl>
    <w:p>
      <w:pPr>
        <w:spacing w:line="300" w:lineRule="exact"/>
        <w:rPr>
          <w:rFonts w:ascii="宋体" w:hAnsi="宋体"/>
          <w:color w:val="auto"/>
          <w:szCs w:val="21"/>
          <w:highlight w:val="none"/>
        </w:rPr>
      </w:pPr>
    </w:p>
    <w:p>
      <w:pPr>
        <w:spacing w:line="300" w:lineRule="exac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根据本表审查项目，符合的填“○”，</w:t>
      </w:r>
      <w:r>
        <w:rPr>
          <w:rFonts w:hint="eastAsia" w:ascii="宋体" w:hAnsi="宋体"/>
          <w:color w:val="auto"/>
          <w:szCs w:val="21"/>
          <w:highlight w:val="none"/>
          <w:lang w:val="en-US" w:eastAsia="zh-CN"/>
        </w:rPr>
        <w:t>不</w:t>
      </w:r>
      <w:r>
        <w:rPr>
          <w:rFonts w:hint="eastAsia" w:ascii="宋体" w:hAnsi="宋体"/>
          <w:color w:val="auto"/>
          <w:szCs w:val="21"/>
          <w:highlight w:val="none"/>
        </w:rPr>
        <w:t>符合的填“×”，评审结论填“通过“或“不通过”。。</w:t>
      </w:r>
    </w:p>
    <w:p>
      <w:pPr>
        <w:spacing w:line="3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本表中出现一个（或以上）“×”，投标人的评审结论为“不通过”，即该投标人不进入下一阶段评审。</w:t>
      </w:r>
    </w:p>
    <w:p>
      <w:pPr>
        <w:spacing w:line="3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本表中评审项目全部为“○”，投标人的评审结论为“通过”，即该投标人进入下一阶段评审。</w:t>
      </w:r>
    </w:p>
    <w:p>
      <w:pPr>
        <w:ind w:firstLine="420" w:firstLineChars="200"/>
        <w:rPr>
          <w:color w:val="auto"/>
          <w:highlight w:val="none"/>
        </w:rPr>
      </w:pPr>
      <w:r>
        <w:rPr>
          <w:rFonts w:ascii="宋体" w:hAnsi="宋体"/>
          <w:color w:val="auto"/>
          <w:szCs w:val="21"/>
          <w:highlight w:val="none"/>
        </w:rPr>
        <w:t>4.</w:t>
      </w:r>
      <w:r>
        <w:rPr>
          <w:rFonts w:hint="eastAsia" w:ascii="宋体" w:hAnsi="宋体"/>
          <w:color w:val="auto"/>
          <w:szCs w:val="21"/>
          <w:highlight w:val="none"/>
        </w:rPr>
        <w:t>如对本表中某种情形的评审意见不一致时，以评审组过半数成员的意见作为评审组对该情形的认定结论。</w:t>
      </w:r>
    </w:p>
    <w:p>
      <w:pPr>
        <w:rPr>
          <w:rFonts w:hAnsi="宋体"/>
          <w:color w:val="auto"/>
          <w:szCs w:val="21"/>
          <w:highlight w:val="none"/>
        </w:rPr>
      </w:pPr>
    </w:p>
    <w:p>
      <w:pPr>
        <w:rPr>
          <w:rFonts w:hAnsi="宋体"/>
          <w:b/>
          <w:color w:val="auto"/>
          <w:szCs w:val="21"/>
          <w:highlight w:val="none"/>
        </w:rPr>
      </w:pPr>
      <w:r>
        <w:rPr>
          <w:rFonts w:hint="eastAsia" w:hAnsi="宋体"/>
          <w:color w:val="auto"/>
          <w:szCs w:val="21"/>
          <w:highlight w:val="none"/>
        </w:rPr>
        <w:t>评委签名：                                           日期：</w:t>
      </w:r>
    </w:p>
    <w:p>
      <w:pPr>
        <w:spacing w:line="360" w:lineRule="auto"/>
        <w:rPr>
          <w:rFonts w:ascii="宋体" w:hAnsi="宋体"/>
          <w:color w:val="auto"/>
          <w:szCs w:val="21"/>
          <w:highlight w:val="none"/>
        </w:rPr>
        <w:sectPr>
          <w:pgSz w:w="11906" w:h="16838"/>
          <w:pgMar w:top="1440" w:right="1134" w:bottom="1440" w:left="1134" w:header="851" w:footer="992" w:gutter="0"/>
          <w:cols w:space="720" w:num="1"/>
          <w:docGrid w:type="lines" w:linePitch="312" w:charSpace="0"/>
        </w:sectPr>
      </w:pPr>
    </w:p>
    <w:p>
      <w:pPr>
        <w:spacing w:line="400" w:lineRule="exact"/>
        <w:rPr>
          <w:rFonts w:ascii="宋体" w:hAnsi="宋体"/>
          <w:b/>
          <w:color w:val="auto"/>
          <w:sz w:val="28"/>
          <w:szCs w:val="28"/>
          <w:highlight w:val="none"/>
        </w:rPr>
      </w:pPr>
      <w:r>
        <w:rPr>
          <w:rFonts w:hint="eastAsia" w:ascii="宋体" w:hAnsi="宋体"/>
          <w:b/>
          <w:color w:val="auto"/>
          <w:sz w:val="28"/>
          <w:szCs w:val="28"/>
          <w:highlight w:val="none"/>
        </w:rPr>
        <w:t>附表5</w:t>
      </w:r>
      <w:r>
        <w:rPr>
          <w:rFonts w:ascii="宋体" w:hAnsi="宋体"/>
          <w:b/>
          <w:color w:val="auto"/>
          <w:sz w:val="28"/>
          <w:szCs w:val="28"/>
          <w:highlight w:val="none"/>
        </w:rPr>
        <w:t>：</w:t>
      </w:r>
    </w:p>
    <w:p>
      <w:pPr>
        <w:spacing w:line="360" w:lineRule="auto"/>
        <w:jc w:val="center"/>
        <w:rPr>
          <w:rFonts w:ascii="宋体" w:hAnsi="宋体"/>
          <w:b/>
          <w:color w:val="auto"/>
          <w:sz w:val="36"/>
          <w:szCs w:val="36"/>
          <w:highlight w:val="none"/>
        </w:rPr>
      </w:pPr>
      <w:r>
        <w:rPr>
          <w:rFonts w:hint="eastAsia" w:ascii="宋体" w:hAnsi="宋体"/>
          <w:b/>
          <w:color w:val="auto"/>
          <w:sz w:val="32"/>
          <w:szCs w:val="32"/>
          <w:highlight w:val="none"/>
        </w:rPr>
        <w:t>工程费算术复核表</w:t>
      </w:r>
    </w:p>
    <w:p>
      <w:pPr>
        <w:spacing w:line="360" w:lineRule="auto"/>
        <w:rPr>
          <w:rFonts w:ascii="宋体" w:hAnsi="宋体"/>
          <w:bCs/>
          <w:color w:val="auto"/>
          <w:szCs w:val="21"/>
          <w:highlight w:val="none"/>
        </w:rPr>
      </w:pPr>
      <w:r>
        <w:rPr>
          <w:rFonts w:hint="eastAsia" w:ascii="宋体" w:hAnsi="宋体"/>
          <w:bCs/>
          <w:color w:val="auto"/>
          <w:szCs w:val="21"/>
          <w:highlight w:val="none"/>
        </w:rPr>
        <w:t>工程名称：</w:t>
      </w:r>
    </w:p>
    <w:tbl>
      <w:tblPr>
        <w:tblStyle w:val="3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775"/>
        <w:gridCol w:w="2363"/>
        <w:gridCol w:w="1841"/>
        <w:gridCol w:w="1995"/>
        <w:gridCol w:w="2205"/>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3775" w:type="dxa"/>
            <w:vAlign w:val="center"/>
          </w:tcPr>
          <w:p>
            <w:pPr>
              <w:jc w:val="center"/>
              <w:rPr>
                <w:rFonts w:ascii="宋体" w:hAnsi="宋体"/>
                <w:color w:val="auto"/>
                <w:sz w:val="24"/>
                <w:highlight w:val="none"/>
              </w:rPr>
            </w:pPr>
            <w:r>
              <w:rPr>
                <w:rFonts w:hint="eastAsia" w:ascii="宋体" w:hAnsi="宋体"/>
                <w:color w:val="auto"/>
                <w:sz w:val="24"/>
                <w:highlight w:val="none"/>
              </w:rPr>
              <w:t>投标单位</w:t>
            </w:r>
          </w:p>
        </w:tc>
        <w:tc>
          <w:tcPr>
            <w:tcW w:w="2363" w:type="dxa"/>
            <w:vAlign w:val="center"/>
          </w:tcPr>
          <w:p>
            <w:pPr>
              <w:jc w:val="center"/>
              <w:rPr>
                <w:rFonts w:ascii="宋体" w:hAnsi="宋体"/>
                <w:color w:val="auto"/>
                <w:sz w:val="24"/>
                <w:highlight w:val="none"/>
              </w:rPr>
            </w:pPr>
            <w:r>
              <w:rPr>
                <w:rFonts w:hint="eastAsia" w:ascii="宋体" w:hAnsi="宋体"/>
                <w:color w:val="auto"/>
                <w:sz w:val="24"/>
                <w:highlight w:val="none"/>
              </w:rPr>
              <w:t>工程费报价（元）</w:t>
            </w:r>
          </w:p>
        </w:tc>
        <w:tc>
          <w:tcPr>
            <w:tcW w:w="1841" w:type="dxa"/>
            <w:vAlign w:val="center"/>
          </w:tcPr>
          <w:p>
            <w:pPr>
              <w:jc w:val="center"/>
              <w:rPr>
                <w:rFonts w:ascii="宋体" w:hAnsi="宋体"/>
                <w:color w:val="auto"/>
                <w:sz w:val="24"/>
                <w:highlight w:val="none"/>
              </w:rPr>
            </w:pPr>
            <w:r>
              <w:rPr>
                <w:rFonts w:hint="eastAsia" w:ascii="宋体" w:hAnsi="宋体"/>
                <w:color w:val="auto"/>
                <w:sz w:val="24"/>
                <w:highlight w:val="none"/>
              </w:rPr>
              <w:t>算术复核后报价（元）</w:t>
            </w:r>
          </w:p>
        </w:tc>
        <w:tc>
          <w:tcPr>
            <w:tcW w:w="1995" w:type="dxa"/>
            <w:vAlign w:val="center"/>
          </w:tcPr>
          <w:p>
            <w:pPr>
              <w:jc w:val="center"/>
              <w:rPr>
                <w:rFonts w:ascii="宋体" w:hAnsi="宋体"/>
                <w:color w:val="auto"/>
                <w:sz w:val="24"/>
                <w:highlight w:val="none"/>
              </w:rPr>
            </w:pPr>
            <w:r>
              <w:rPr>
                <w:rFonts w:hint="eastAsia" w:ascii="宋体" w:hAnsi="宋体"/>
                <w:color w:val="auto"/>
                <w:sz w:val="24"/>
                <w:highlight w:val="none"/>
              </w:rPr>
              <w:t>经评审的最终工程费报价（元）</w:t>
            </w:r>
          </w:p>
        </w:tc>
        <w:tc>
          <w:tcPr>
            <w:tcW w:w="2205" w:type="dxa"/>
            <w:vAlign w:val="center"/>
          </w:tcPr>
          <w:p>
            <w:pPr>
              <w:jc w:val="center"/>
              <w:rPr>
                <w:rFonts w:ascii="宋体" w:hAnsi="宋体"/>
                <w:color w:val="auto"/>
                <w:sz w:val="24"/>
                <w:highlight w:val="none"/>
              </w:rPr>
            </w:pPr>
            <w:r>
              <w:rPr>
                <w:rFonts w:hint="eastAsia" w:ascii="宋体" w:hAnsi="宋体"/>
                <w:color w:val="auto"/>
                <w:sz w:val="24"/>
                <w:highlight w:val="none"/>
              </w:rPr>
              <w:t>偏差率</w:t>
            </w:r>
          </w:p>
        </w:tc>
        <w:tc>
          <w:tcPr>
            <w:tcW w:w="1048" w:type="dxa"/>
            <w:vAlign w:val="center"/>
          </w:tcPr>
          <w:p>
            <w:pPr>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color w:val="auto"/>
                <w:sz w:val="24"/>
                <w:highlight w:val="none"/>
              </w:rPr>
            </w:pPr>
          </w:p>
        </w:tc>
        <w:tc>
          <w:tcPr>
            <w:tcW w:w="3775" w:type="dxa"/>
          </w:tcPr>
          <w:p>
            <w:pPr>
              <w:spacing w:line="360" w:lineRule="auto"/>
              <w:jc w:val="center"/>
              <w:rPr>
                <w:rFonts w:ascii="宋体" w:hAnsi="宋体"/>
                <w:color w:val="auto"/>
                <w:sz w:val="24"/>
                <w:highlight w:val="none"/>
              </w:rPr>
            </w:pPr>
          </w:p>
        </w:tc>
        <w:tc>
          <w:tcPr>
            <w:tcW w:w="2363" w:type="dxa"/>
          </w:tcPr>
          <w:p>
            <w:pPr>
              <w:spacing w:line="360" w:lineRule="auto"/>
              <w:jc w:val="center"/>
              <w:rPr>
                <w:rFonts w:ascii="宋体" w:hAnsi="宋体"/>
                <w:color w:val="auto"/>
                <w:sz w:val="24"/>
                <w:highlight w:val="none"/>
              </w:rPr>
            </w:pPr>
          </w:p>
        </w:tc>
        <w:tc>
          <w:tcPr>
            <w:tcW w:w="1841" w:type="dxa"/>
          </w:tcPr>
          <w:p>
            <w:pPr>
              <w:spacing w:line="360" w:lineRule="auto"/>
              <w:jc w:val="center"/>
              <w:rPr>
                <w:rFonts w:ascii="宋体" w:hAnsi="宋体"/>
                <w:color w:val="auto"/>
                <w:sz w:val="24"/>
                <w:highlight w:val="none"/>
              </w:rPr>
            </w:pPr>
          </w:p>
        </w:tc>
        <w:tc>
          <w:tcPr>
            <w:tcW w:w="1995" w:type="dxa"/>
          </w:tcPr>
          <w:p>
            <w:pPr>
              <w:spacing w:line="360" w:lineRule="auto"/>
              <w:jc w:val="center"/>
              <w:rPr>
                <w:rFonts w:ascii="宋体" w:hAnsi="宋体"/>
                <w:color w:val="auto"/>
                <w:sz w:val="24"/>
                <w:highlight w:val="none"/>
              </w:rPr>
            </w:pPr>
          </w:p>
        </w:tc>
        <w:tc>
          <w:tcPr>
            <w:tcW w:w="2205" w:type="dxa"/>
          </w:tcPr>
          <w:p>
            <w:pPr>
              <w:spacing w:line="360" w:lineRule="auto"/>
              <w:jc w:val="center"/>
              <w:rPr>
                <w:rFonts w:ascii="宋体" w:hAnsi="宋体"/>
                <w:color w:val="auto"/>
                <w:sz w:val="24"/>
                <w:highlight w:val="none"/>
              </w:rPr>
            </w:pPr>
          </w:p>
        </w:tc>
        <w:tc>
          <w:tcPr>
            <w:tcW w:w="1048" w:type="dxa"/>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color w:val="auto"/>
                <w:sz w:val="24"/>
                <w:highlight w:val="none"/>
              </w:rPr>
            </w:pPr>
          </w:p>
        </w:tc>
        <w:tc>
          <w:tcPr>
            <w:tcW w:w="3775" w:type="dxa"/>
          </w:tcPr>
          <w:p>
            <w:pPr>
              <w:spacing w:line="360" w:lineRule="auto"/>
              <w:jc w:val="center"/>
              <w:rPr>
                <w:rFonts w:ascii="宋体" w:hAnsi="宋体"/>
                <w:color w:val="auto"/>
                <w:sz w:val="24"/>
                <w:highlight w:val="none"/>
              </w:rPr>
            </w:pPr>
          </w:p>
        </w:tc>
        <w:tc>
          <w:tcPr>
            <w:tcW w:w="2363" w:type="dxa"/>
          </w:tcPr>
          <w:p>
            <w:pPr>
              <w:spacing w:line="360" w:lineRule="auto"/>
              <w:jc w:val="center"/>
              <w:rPr>
                <w:rFonts w:ascii="宋体" w:hAnsi="宋体"/>
                <w:color w:val="auto"/>
                <w:sz w:val="24"/>
                <w:highlight w:val="none"/>
              </w:rPr>
            </w:pPr>
          </w:p>
        </w:tc>
        <w:tc>
          <w:tcPr>
            <w:tcW w:w="1841" w:type="dxa"/>
          </w:tcPr>
          <w:p>
            <w:pPr>
              <w:spacing w:line="360" w:lineRule="auto"/>
              <w:jc w:val="center"/>
              <w:rPr>
                <w:rFonts w:ascii="宋体" w:hAnsi="宋体"/>
                <w:color w:val="auto"/>
                <w:sz w:val="24"/>
                <w:highlight w:val="none"/>
              </w:rPr>
            </w:pPr>
          </w:p>
        </w:tc>
        <w:tc>
          <w:tcPr>
            <w:tcW w:w="1995" w:type="dxa"/>
          </w:tcPr>
          <w:p>
            <w:pPr>
              <w:spacing w:line="360" w:lineRule="auto"/>
              <w:jc w:val="center"/>
              <w:rPr>
                <w:rFonts w:ascii="宋体" w:hAnsi="宋体"/>
                <w:color w:val="auto"/>
                <w:sz w:val="24"/>
                <w:highlight w:val="none"/>
              </w:rPr>
            </w:pPr>
          </w:p>
        </w:tc>
        <w:tc>
          <w:tcPr>
            <w:tcW w:w="2205" w:type="dxa"/>
          </w:tcPr>
          <w:p>
            <w:pPr>
              <w:spacing w:line="360" w:lineRule="auto"/>
              <w:jc w:val="center"/>
              <w:rPr>
                <w:rFonts w:ascii="宋体" w:hAnsi="宋体"/>
                <w:color w:val="auto"/>
                <w:sz w:val="24"/>
                <w:highlight w:val="none"/>
              </w:rPr>
            </w:pPr>
          </w:p>
        </w:tc>
        <w:tc>
          <w:tcPr>
            <w:tcW w:w="1048" w:type="dxa"/>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color w:val="auto"/>
                <w:sz w:val="24"/>
                <w:highlight w:val="none"/>
              </w:rPr>
            </w:pPr>
          </w:p>
        </w:tc>
        <w:tc>
          <w:tcPr>
            <w:tcW w:w="3775" w:type="dxa"/>
          </w:tcPr>
          <w:p>
            <w:pPr>
              <w:spacing w:line="360" w:lineRule="auto"/>
              <w:jc w:val="center"/>
              <w:rPr>
                <w:rFonts w:ascii="宋体" w:hAnsi="宋体"/>
                <w:color w:val="auto"/>
                <w:sz w:val="24"/>
                <w:highlight w:val="none"/>
              </w:rPr>
            </w:pPr>
          </w:p>
        </w:tc>
        <w:tc>
          <w:tcPr>
            <w:tcW w:w="2363" w:type="dxa"/>
          </w:tcPr>
          <w:p>
            <w:pPr>
              <w:spacing w:line="360" w:lineRule="auto"/>
              <w:jc w:val="center"/>
              <w:rPr>
                <w:rFonts w:ascii="宋体" w:hAnsi="宋体"/>
                <w:color w:val="auto"/>
                <w:sz w:val="24"/>
                <w:highlight w:val="none"/>
              </w:rPr>
            </w:pPr>
          </w:p>
        </w:tc>
        <w:tc>
          <w:tcPr>
            <w:tcW w:w="1841" w:type="dxa"/>
          </w:tcPr>
          <w:p>
            <w:pPr>
              <w:spacing w:line="360" w:lineRule="auto"/>
              <w:jc w:val="center"/>
              <w:rPr>
                <w:rFonts w:ascii="宋体" w:hAnsi="宋体"/>
                <w:color w:val="auto"/>
                <w:sz w:val="24"/>
                <w:highlight w:val="none"/>
              </w:rPr>
            </w:pPr>
          </w:p>
        </w:tc>
        <w:tc>
          <w:tcPr>
            <w:tcW w:w="1995" w:type="dxa"/>
          </w:tcPr>
          <w:p>
            <w:pPr>
              <w:spacing w:line="360" w:lineRule="auto"/>
              <w:jc w:val="center"/>
              <w:rPr>
                <w:rFonts w:ascii="宋体" w:hAnsi="宋体"/>
                <w:color w:val="auto"/>
                <w:sz w:val="24"/>
                <w:highlight w:val="none"/>
              </w:rPr>
            </w:pPr>
          </w:p>
        </w:tc>
        <w:tc>
          <w:tcPr>
            <w:tcW w:w="2205" w:type="dxa"/>
          </w:tcPr>
          <w:p>
            <w:pPr>
              <w:spacing w:line="360" w:lineRule="auto"/>
              <w:jc w:val="center"/>
              <w:rPr>
                <w:rFonts w:ascii="宋体" w:hAnsi="宋体"/>
                <w:color w:val="auto"/>
                <w:sz w:val="24"/>
                <w:highlight w:val="none"/>
              </w:rPr>
            </w:pPr>
          </w:p>
        </w:tc>
        <w:tc>
          <w:tcPr>
            <w:tcW w:w="1048" w:type="dxa"/>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color w:val="auto"/>
                <w:sz w:val="24"/>
                <w:highlight w:val="none"/>
              </w:rPr>
            </w:pPr>
          </w:p>
        </w:tc>
        <w:tc>
          <w:tcPr>
            <w:tcW w:w="3775" w:type="dxa"/>
          </w:tcPr>
          <w:p>
            <w:pPr>
              <w:spacing w:line="360" w:lineRule="auto"/>
              <w:jc w:val="center"/>
              <w:rPr>
                <w:rFonts w:ascii="宋体" w:hAnsi="宋体"/>
                <w:color w:val="auto"/>
                <w:sz w:val="24"/>
                <w:highlight w:val="none"/>
              </w:rPr>
            </w:pPr>
          </w:p>
        </w:tc>
        <w:tc>
          <w:tcPr>
            <w:tcW w:w="2363" w:type="dxa"/>
          </w:tcPr>
          <w:p>
            <w:pPr>
              <w:spacing w:line="360" w:lineRule="auto"/>
              <w:jc w:val="center"/>
              <w:rPr>
                <w:rFonts w:ascii="宋体" w:hAnsi="宋体"/>
                <w:color w:val="auto"/>
                <w:sz w:val="24"/>
                <w:highlight w:val="none"/>
              </w:rPr>
            </w:pPr>
          </w:p>
        </w:tc>
        <w:tc>
          <w:tcPr>
            <w:tcW w:w="1841" w:type="dxa"/>
          </w:tcPr>
          <w:p>
            <w:pPr>
              <w:spacing w:line="360" w:lineRule="auto"/>
              <w:jc w:val="center"/>
              <w:rPr>
                <w:rFonts w:ascii="宋体" w:hAnsi="宋体"/>
                <w:color w:val="auto"/>
                <w:sz w:val="24"/>
                <w:highlight w:val="none"/>
              </w:rPr>
            </w:pPr>
          </w:p>
        </w:tc>
        <w:tc>
          <w:tcPr>
            <w:tcW w:w="1995" w:type="dxa"/>
          </w:tcPr>
          <w:p>
            <w:pPr>
              <w:spacing w:line="360" w:lineRule="auto"/>
              <w:jc w:val="center"/>
              <w:rPr>
                <w:rFonts w:ascii="宋体" w:hAnsi="宋体"/>
                <w:color w:val="auto"/>
                <w:sz w:val="24"/>
                <w:highlight w:val="none"/>
              </w:rPr>
            </w:pPr>
          </w:p>
        </w:tc>
        <w:tc>
          <w:tcPr>
            <w:tcW w:w="2205" w:type="dxa"/>
          </w:tcPr>
          <w:p>
            <w:pPr>
              <w:spacing w:line="360" w:lineRule="auto"/>
              <w:jc w:val="center"/>
              <w:rPr>
                <w:rFonts w:ascii="宋体" w:hAnsi="宋体"/>
                <w:color w:val="auto"/>
                <w:sz w:val="24"/>
                <w:highlight w:val="none"/>
              </w:rPr>
            </w:pPr>
          </w:p>
        </w:tc>
        <w:tc>
          <w:tcPr>
            <w:tcW w:w="1048" w:type="dxa"/>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color w:val="auto"/>
                <w:sz w:val="24"/>
                <w:highlight w:val="none"/>
              </w:rPr>
            </w:pPr>
          </w:p>
        </w:tc>
        <w:tc>
          <w:tcPr>
            <w:tcW w:w="3775" w:type="dxa"/>
          </w:tcPr>
          <w:p>
            <w:pPr>
              <w:spacing w:line="360" w:lineRule="auto"/>
              <w:jc w:val="center"/>
              <w:rPr>
                <w:rFonts w:ascii="宋体" w:hAnsi="宋体"/>
                <w:color w:val="auto"/>
                <w:sz w:val="24"/>
                <w:highlight w:val="none"/>
              </w:rPr>
            </w:pPr>
          </w:p>
        </w:tc>
        <w:tc>
          <w:tcPr>
            <w:tcW w:w="2363" w:type="dxa"/>
          </w:tcPr>
          <w:p>
            <w:pPr>
              <w:spacing w:line="360" w:lineRule="auto"/>
              <w:jc w:val="center"/>
              <w:rPr>
                <w:rFonts w:ascii="宋体" w:hAnsi="宋体"/>
                <w:color w:val="auto"/>
                <w:sz w:val="24"/>
                <w:highlight w:val="none"/>
              </w:rPr>
            </w:pPr>
          </w:p>
        </w:tc>
        <w:tc>
          <w:tcPr>
            <w:tcW w:w="1841" w:type="dxa"/>
          </w:tcPr>
          <w:p>
            <w:pPr>
              <w:spacing w:line="360" w:lineRule="auto"/>
              <w:jc w:val="center"/>
              <w:rPr>
                <w:rFonts w:ascii="宋体" w:hAnsi="宋体"/>
                <w:color w:val="auto"/>
                <w:sz w:val="24"/>
                <w:highlight w:val="none"/>
              </w:rPr>
            </w:pPr>
          </w:p>
        </w:tc>
        <w:tc>
          <w:tcPr>
            <w:tcW w:w="1995" w:type="dxa"/>
          </w:tcPr>
          <w:p>
            <w:pPr>
              <w:spacing w:line="360" w:lineRule="auto"/>
              <w:jc w:val="center"/>
              <w:rPr>
                <w:rFonts w:ascii="宋体" w:hAnsi="宋体"/>
                <w:color w:val="auto"/>
                <w:sz w:val="24"/>
                <w:highlight w:val="none"/>
              </w:rPr>
            </w:pPr>
          </w:p>
        </w:tc>
        <w:tc>
          <w:tcPr>
            <w:tcW w:w="2205" w:type="dxa"/>
          </w:tcPr>
          <w:p>
            <w:pPr>
              <w:spacing w:line="360" w:lineRule="auto"/>
              <w:jc w:val="center"/>
              <w:rPr>
                <w:rFonts w:ascii="宋体" w:hAnsi="宋体"/>
                <w:color w:val="auto"/>
                <w:sz w:val="24"/>
                <w:highlight w:val="none"/>
              </w:rPr>
            </w:pPr>
          </w:p>
        </w:tc>
        <w:tc>
          <w:tcPr>
            <w:tcW w:w="1048" w:type="dxa"/>
          </w:tcPr>
          <w:p>
            <w:pPr>
              <w:spacing w:line="360" w:lineRule="auto"/>
              <w:jc w:val="center"/>
              <w:rPr>
                <w:rFonts w:ascii="宋体" w:hAnsi="宋体"/>
                <w:color w:val="auto"/>
                <w:sz w:val="24"/>
                <w:highlight w:val="none"/>
              </w:rPr>
            </w:pPr>
          </w:p>
        </w:tc>
      </w:tr>
    </w:tbl>
    <w:p>
      <w:pPr>
        <w:spacing w:line="360" w:lineRule="auto"/>
        <w:rPr>
          <w:rFonts w:ascii="宋体" w:hAnsi="宋体"/>
          <w:color w:val="auto"/>
          <w:highlight w:val="none"/>
        </w:rPr>
      </w:pPr>
    </w:p>
    <w:p>
      <w:pPr>
        <w:spacing w:line="360" w:lineRule="auto"/>
        <w:rPr>
          <w:rFonts w:ascii="宋体" w:hAnsi="宋体"/>
          <w:color w:val="auto"/>
          <w:szCs w:val="21"/>
          <w:highlight w:val="none"/>
        </w:rPr>
      </w:pPr>
      <w:r>
        <w:rPr>
          <w:rFonts w:hint="eastAsia" w:ascii="宋体" w:hAnsi="宋体"/>
          <w:color w:val="auto"/>
          <w:highlight w:val="none"/>
        </w:rPr>
        <w:t>评委签名：</w:t>
      </w:r>
      <w:r>
        <w:rPr>
          <w:rFonts w:ascii="宋体" w:hAnsi="宋体"/>
          <w:color w:val="auto"/>
          <w:szCs w:val="21"/>
          <w:highlight w:val="none"/>
        </w:rPr>
        <w:t xml:space="preserve">                     日期：</w:t>
      </w:r>
    </w:p>
    <w:p>
      <w:pPr>
        <w:rPr>
          <w:rFonts w:ascii="宋体" w:hAnsi="宋体"/>
          <w:color w:val="auto"/>
          <w:szCs w:val="21"/>
          <w:highlight w:val="none"/>
        </w:rPr>
        <w:sectPr>
          <w:pgSz w:w="16838" w:h="11906" w:orient="landscape"/>
          <w:pgMar w:top="1276" w:right="1440" w:bottom="1797" w:left="1440" w:header="851" w:footer="992" w:gutter="0"/>
          <w:cols w:space="720" w:num="1"/>
          <w:docGrid w:linePitch="312" w:charSpace="0"/>
        </w:sectPr>
      </w:pPr>
    </w:p>
    <w:p>
      <w:pPr>
        <w:snapToGrid w:val="0"/>
        <w:rPr>
          <w:rFonts w:ascii="黑体" w:hAnsi="黑体" w:eastAsia="黑体"/>
          <w:b/>
          <w:color w:val="auto"/>
          <w:sz w:val="24"/>
          <w:highlight w:val="none"/>
        </w:rPr>
      </w:pPr>
      <w:r>
        <w:rPr>
          <w:rFonts w:hint="eastAsia" w:ascii="宋体" w:hAnsi="宋体"/>
          <w:b/>
          <w:color w:val="auto"/>
          <w:sz w:val="28"/>
          <w:szCs w:val="28"/>
          <w:highlight w:val="none"/>
        </w:rPr>
        <w:t xml:space="preserve">附表6：    </w:t>
      </w:r>
      <w:r>
        <w:rPr>
          <w:rFonts w:hint="eastAsia" w:ascii="黑体" w:hAnsi="黑体" w:eastAsia="黑体"/>
          <w:b/>
          <w:color w:val="auto"/>
          <w:sz w:val="24"/>
          <w:highlight w:val="none"/>
        </w:rPr>
        <w:t xml:space="preserve">                      </w:t>
      </w:r>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工程费投标报价评分表</w:t>
      </w:r>
    </w:p>
    <w:p>
      <w:pPr>
        <w:spacing w:line="360" w:lineRule="auto"/>
        <w:rPr>
          <w:rFonts w:ascii="宋体" w:hAnsi="宋体"/>
          <w:color w:val="auto"/>
          <w:sz w:val="24"/>
          <w:highlight w:val="none"/>
        </w:rPr>
      </w:pPr>
      <w:r>
        <w:rPr>
          <w:rFonts w:hint="eastAsia" w:ascii="宋体" w:hAnsi="宋体"/>
          <w:color w:val="auto"/>
          <w:sz w:val="24"/>
          <w:highlight w:val="none"/>
        </w:rPr>
        <w:t>工程名称：</w:t>
      </w:r>
    </w:p>
    <w:tbl>
      <w:tblPr>
        <w:tblStyle w:val="38"/>
        <w:tblW w:w="13982" w:type="dxa"/>
        <w:jc w:val="center"/>
        <w:tblLayout w:type="fixed"/>
        <w:tblCellMar>
          <w:top w:w="0" w:type="dxa"/>
          <w:left w:w="108" w:type="dxa"/>
          <w:bottom w:w="0" w:type="dxa"/>
          <w:right w:w="108" w:type="dxa"/>
        </w:tblCellMar>
      </w:tblPr>
      <w:tblGrid>
        <w:gridCol w:w="5718"/>
        <w:gridCol w:w="1294"/>
        <w:gridCol w:w="1296"/>
        <w:gridCol w:w="1295"/>
        <w:gridCol w:w="1296"/>
        <w:gridCol w:w="3083"/>
      </w:tblGrid>
      <w:tr>
        <w:tblPrEx>
          <w:tblCellMar>
            <w:top w:w="0" w:type="dxa"/>
            <w:left w:w="108" w:type="dxa"/>
            <w:bottom w:w="0" w:type="dxa"/>
            <w:right w:w="108" w:type="dxa"/>
          </w:tblCellMar>
        </w:tblPrEx>
        <w:trPr>
          <w:trHeight w:val="1158"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投标人名称</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r>
      <w:tr>
        <w:tblPrEx>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工程费投标报价</w:t>
            </w:r>
            <w:r>
              <w:rPr>
                <w:rFonts w:ascii="宋体" w:hAnsi="宋体"/>
                <w:color w:val="auto"/>
                <w:sz w:val="24"/>
                <w:highlight w:val="none"/>
              </w:rPr>
              <w:t>PT（元）</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计算参考数据</w:t>
            </w:r>
          </w:p>
        </w:tc>
        <w:tc>
          <w:tcPr>
            <w:tcW w:w="8264" w:type="dxa"/>
            <w:gridSpan w:val="5"/>
            <w:tcBorders>
              <w:top w:val="single" w:color="auto" w:sz="4" w:space="0"/>
              <w:left w:val="nil"/>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highlight w:val="none"/>
              </w:rPr>
              <w:t>评标参考价（</w:t>
            </w:r>
            <w:r>
              <w:rPr>
                <w:rFonts w:ascii="宋体" w:hAnsi="宋体"/>
                <w:color w:val="auto"/>
                <w:highlight w:val="none"/>
              </w:rPr>
              <w:t>PC）：</w:t>
            </w: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pacing w:val="-10"/>
                <w:sz w:val="24"/>
                <w:highlight w:val="none"/>
              </w:rPr>
            </w:pPr>
            <w:r>
              <w:rPr>
                <w:rFonts w:hint="eastAsia" w:ascii="宋体" w:hAnsi="宋体"/>
                <w:color w:val="auto"/>
                <w:spacing w:val="-10"/>
                <w:sz w:val="24"/>
                <w:highlight w:val="none"/>
              </w:rPr>
              <w:t>偏差（（</w:t>
            </w:r>
            <w:r>
              <w:rPr>
                <w:rFonts w:ascii="宋体" w:hAnsi="宋体"/>
                <w:color w:val="auto"/>
                <w:spacing w:val="-10"/>
                <w:sz w:val="24"/>
                <w:highlight w:val="none"/>
              </w:rPr>
              <w:t>PT-PC）/PC）（%）</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r>
      <w:tr>
        <w:tblPrEx>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lang w:eastAsia="zh-CN"/>
              </w:rPr>
              <w:t>加</w:t>
            </w:r>
            <w:r>
              <w:rPr>
                <w:rFonts w:hint="eastAsia" w:ascii="宋体" w:hAnsi="宋体"/>
                <w:color w:val="auto"/>
                <w:sz w:val="24"/>
                <w:highlight w:val="none"/>
              </w:rPr>
              <w:t>分（</w:t>
            </w:r>
            <w:r>
              <w:rPr>
                <w:rFonts w:ascii="宋体" w:hAnsi="宋体"/>
                <w:color w:val="auto"/>
                <w:sz w:val="24"/>
                <w:highlight w:val="none"/>
              </w:rPr>
              <w:t>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r>
      <w:tr>
        <w:tblPrEx>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经济标得分</w:t>
            </w:r>
            <w:r>
              <w:rPr>
                <w:rFonts w:ascii="宋体" w:hAnsi="宋体"/>
                <w:color w:val="auto"/>
                <w:sz w:val="24"/>
                <w:highlight w:val="none"/>
              </w:rPr>
              <w:t>(I=</w:t>
            </w:r>
            <w:r>
              <w:rPr>
                <w:rFonts w:hint="eastAsia" w:ascii="宋体" w:hAnsi="宋体"/>
                <w:color w:val="auto"/>
                <w:sz w:val="24"/>
                <w:highlight w:val="none"/>
                <w:lang w:val="en-US" w:eastAsia="zh-CN"/>
              </w:rPr>
              <w:t>10+</w:t>
            </w:r>
            <w:r>
              <w:rPr>
                <w:rFonts w:ascii="宋体" w:hAnsi="宋体"/>
                <w:color w:val="auto"/>
                <w:sz w:val="24"/>
                <w:highlight w:val="none"/>
              </w:rPr>
              <w:t>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r>
    </w:tbl>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评委签名：                   日期：</w:t>
      </w:r>
    </w:p>
    <w:p>
      <w:pPr>
        <w:spacing w:line="400" w:lineRule="exact"/>
        <w:rPr>
          <w:rFonts w:ascii="宋体" w:hAnsi="宋体"/>
          <w:b/>
          <w:color w:val="auto"/>
          <w:sz w:val="28"/>
          <w:szCs w:val="28"/>
          <w:highlight w:val="none"/>
        </w:rPr>
      </w:pPr>
      <w:r>
        <w:rPr>
          <w:rFonts w:hint="eastAsia" w:ascii="宋体" w:hAnsi="宋体"/>
          <w:b/>
          <w:color w:val="auto"/>
          <w:sz w:val="28"/>
          <w:szCs w:val="28"/>
          <w:highlight w:val="none"/>
        </w:rPr>
        <w:br w:type="page"/>
      </w:r>
    </w:p>
    <w:p>
      <w:pPr>
        <w:spacing w:line="400" w:lineRule="exact"/>
        <w:rPr>
          <w:rFonts w:ascii="宋体" w:hAnsi="宋体"/>
          <w:b/>
          <w:color w:val="auto"/>
          <w:sz w:val="28"/>
          <w:szCs w:val="28"/>
          <w:highlight w:val="none"/>
        </w:rPr>
      </w:pPr>
      <w:r>
        <w:rPr>
          <w:rFonts w:hint="eastAsia" w:ascii="宋体" w:hAnsi="宋体"/>
          <w:b/>
          <w:color w:val="auto"/>
          <w:sz w:val="28"/>
          <w:szCs w:val="28"/>
          <w:highlight w:val="none"/>
        </w:rPr>
        <w:t>附表7：</w:t>
      </w:r>
    </w:p>
    <w:p>
      <w:pPr>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总得分汇总表</w:t>
      </w:r>
    </w:p>
    <w:p>
      <w:pPr>
        <w:spacing w:line="360" w:lineRule="auto"/>
        <w:jc w:val="left"/>
        <w:rPr>
          <w:color w:val="auto"/>
          <w:szCs w:val="21"/>
          <w:highlight w:val="none"/>
        </w:rPr>
      </w:pPr>
      <w:r>
        <w:rPr>
          <w:rFonts w:hint="eastAsia"/>
          <w:color w:val="auto"/>
          <w:szCs w:val="21"/>
          <w:highlight w:val="none"/>
        </w:rPr>
        <w:t xml:space="preserve">项目名称：                                                                                           </w:t>
      </w:r>
    </w:p>
    <w:tbl>
      <w:tblPr>
        <w:tblStyle w:val="38"/>
        <w:tblW w:w="13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3405"/>
        <w:gridCol w:w="2760"/>
        <w:gridCol w:w="1984"/>
        <w:gridCol w:w="1701"/>
        <w:gridCol w:w="1589"/>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80" w:type="dxa"/>
            <w:vAlign w:val="center"/>
          </w:tcPr>
          <w:p>
            <w:pPr>
              <w:spacing w:line="360" w:lineRule="auto"/>
              <w:jc w:val="center"/>
              <w:rPr>
                <w:color w:val="auto"/>
                <w:szCs w:val="21"/>
                <w:highlight w:val="none"/>
              </w:rPr>
            </w:pPr>
            <w:r>
              <w:rPr>
                <w:rFonts w:hint="eastAsia"/>
                <w:color w:val="auto"/>
                <w:szCs w:val="21"/>
                <w:highlight w:val="none"/>
              </w:rPr>
              <w:t>序号</w:t>
            </w:r>
          </w:p>
        </w:tc>
        <w:tc>
          <w:tcPr>
            <w:tcW w:w="3405" w:type="dxa"/>
            <w:vAlign w:val="center"/>
          </w:tcPr>
          <w:p>
            <w:pPr>
              <w:spacing w:line="360" w:lineRule="auto"/>
              <w:jc w:val="center"/>
              <w:rPr>
                <w:color w:val="auto"/>
                <w:szCs w:val="21"/>
                <w:highlight w:val="none"/>
              </w:rPr>
            </w:pPr>
            <w:r>
              <w:rPr>
                <w:rFonts w:hint="eastAsia"/>
                <w:color w:val="auto"/>
                <w:szCs w:val="21"/>
                <w:highlight w:val="none"/>
              </w:rPr>
              <w:t>权重</w:t>
            </w:r>
          </w:p>
        </w:tc>
        <w:tc>
          <w:tcPr>
            <w:tcW w:w="2760" w:type="dxa"/>
            <w:vAlign w:val="center"/>
          </w:tcPr>
          <w:p>
            <w:pPr>
              <w:spacing w:line="360" w:lineRule="auto"/>
              <w:jc w:val="center"/>
              <w:rPr>
                <w:color w:val="auto"/>
                <w:szCs w:val="21"/>
                <w:highlight w:val="none"/>
              </w:rPr>
            </w:pPr>
            <w:r>
              <w:rPr>
                <w:rFonts w:hint="eastAsia"/>
                <w:color w:val="auto"/>
                <w:szCs w:val="21"/>
                <w:highlight w:val="none"/>
              </w:rPr>
              <w:t>项目</w:t>
            </w:r>
          </w:p>
        </w:tc>
        <w:tc>
          <w:tcPr>
            <w:tcW w:w="1984" w:type="dxa"/>
            <w:vAlign w:val="center"/>
          </w:tcPr>
          <w:p>
            <w:pPr>
              <w:spacing w:line="360" w:lineRule="auto"/>
              <w:jc w:val="center"/>
              <w:rPr>
                <w:color w:val="auto"/>
                <w:szCs w:val="21"/>
                <w:highlight w:val="none"/>
              </w:rPr>
            </w:pPr>
            <w:r>
              <w:rPr>
                <w:rFonts w:hint="eastAsia"/>
                <w:color w:val="auto"/>
                <w:szCs w:val="21"/>
                <w:highlight w:val="none"/>
              </w:rPr>
              <w:t>投标人1</w:t>
            </w:r>
          </w:p>
        </w:tc>
        <w:tc>
          <w:tcPr>
            <w:tcW w:w="1701" w:type="dxa"/>
            <w:vAlign w:val="center"/>
          </w:tcPr>
          <w:p>
            <w:pPr>
              <w:spacing w:line="360" w:lineRule="auto"/>
              <w:jc w:val="center"/>
              <w:rPr>
                <w:color w:val="auto"/>
                <w:szCs w:val="21"/>
                <w:highlight w:val="none"/>
              </w:rPr>
            </w:pPr>
            <w:r>
              <w:rPr>
                <w:rFonts w:hint="eastAsia"/>
                <w:color w:val="auto"/>
                <w:szCs w:val="21"/>
                <w:highlight w:val="none"/>
              </w:rPr>
              <w:t>投标人2</w:t>
            </w:r>
          </w:p>
        </w:tc>
        <w:tc>
          <w:tcPr>
            <w:tcW w:w="1589" w:type="dxa"/>
            <w:vAlign w:val="center"/>
          </w:tcPr>
          <w:p>
            <w:pPr>
              <w:spacing w:line="360" w:lineRule="auto"/>
              <w:jc w:val="center"/>
              <w:rPr>
                <w:color w:val="auto"/>
                <w:szCs w:val="21"/>
                <w:highlight w:val="none"/>
              </w:rPr>
            </w:pPr>
            <w:r>
              <w:rPr>
                <w:rFonts w:hint="eastAsia"/>
                <w:color w:val="auto"/>
                <w:szCs w:val="21"/>
                <w:highlight w:val="none"/>
              </w:rPr>
              <w:t>……</w:t>
            </w:r>
          </w:p>
        </w:tc>
        <w:tc>
          <w:tcPr>
            <w:tcW w:w="876" w:type="dxa"/>
            <w:vAlign w:val="center"/>
          </w:tcPr>
          <w:p>
            <w:pPr>
              <w:spacing w:line="360" w:lineRule="auto"/>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color w:val="auto"/>
                <w:szCs w:val="21"/>
                <w:highlight w:val="none"/>
              </w:rPr>
            </w:pPr>
            <w:r>
              <w:rPr>
                <w:rFonts w:hint="eastAsia"/>
                <w:color w:val="auto"/>
                <w:szCs w:val="21"/>
                <w:highlight w:val="none"/>
              </w:rPr>
              <w:t>1</w:t>
            </w:r>
          </w:p>
        </w:tc>
        <w:tc>
          <w:tcPr>
            <w:tcW w:w="3405" w:type="dxa"/>
            <w:vAlign w:val="center"/>
          </w:tcPr>
          <w:p>
            <w:pPr>
              <w:spacing w:line="360" w:lineRule="auto"/>
              <w:jc w:val="center"/>
              <w:rPr>
                <w:color w:val="auto"/>
                <w:szCs w:val="21"/>
                <w:highlight w:val="none"/>
              </w:rPr>
            </w:pPr>
            <w:r>
              <w:rPr>
                <w:rFonts w:hint="eastAsia" w:ascii="宋体" w:hAnsi="宋体"/>
                <w:b/>
                <w:bCs/>
                <w:color w:val="auto"/>
                <w:szCs w:val="21"/>
                <w:highlight w:val="none"/>
              </w:rPr>
              <w:t>资信</w:t>
            </w:r>
            <w:r>
              <w:rPr>
                <w:rFonts w:hint="eastAsia" w:ascii="宋体" w:hAnsi="宋体"/>
                <w:b/>
                <w:color w:val="auto"/>
                <w:spacing w:val="-4"/>
                <w:highlight w:val="none"/>
              </w:rPr>
              <w:t>评分（</w:t>
            </w:r>
            <w:r>
              <w:rPr>
                <w:rFonts w:hint="eastAsia" w:ascii="宋体" w:hAnsi="宋体"/>
                <w:b/>
                <w:color w:val="auto"/>
                <w:spacing w:val="-4"/>
                <w:highlight w:val="none"/>
                <w:lang w:val="en-US" w:eastAsia="zh-CN"/>
              </w:rPr>
              <w:t>40</w:t>
            </w:r>
            <w:r>
              <w:rPr>
                <w:rFonts w:hint="eastAsia" w:ascii="宋体" w:hAnsi="宋体"/>
                <w:b/>
                <w:color w:val="auto"/>
                <w:highlight w:val="none"/>
              </w:rPr>
              <w:t>%</w:t>
            </w:r>
            <w:r>
              <w:rPr>
                <w:rFonts w:hint="eastAsia" w:ascii="宋体" w:hAnsi="宋体"/>
                <w:b/>
                <w:color w:val="auto"/>
                <w:spacing w:val="-4"/>
                <w:highlight w:val="none"/>
              </w:rPr>
              <w:t>）</w:t>
            </w:r>
          </w:p>
        </w:tc>
        <w:tc>
          <w:tcPr>
            <w:tcW w:w="2760" w:type="dxa"/>
            <w:vAlign w:val="center"/>
          </w:tcPr>
          <w:p>
            <w:pPr>
              <w:spacing w:line="360" w:lineRule="auto"/>
              <w:jc w:val="center"/>
              <w:rPr>
                <w:color w:val="auto"/>
                <w:szCs w:val="21"/>
                <w:highlight w:val="none"/>
              </w:rPr>
            </w:pPr>
            <w:r>
              <w:rPr>
                <w:rFonts w:hint="eastAsia" w:ascii="宋体" w:hAnsi="宋体"/>
                <w:b/>
                <w:bCs/>
                <w:color w:val="auto"/>
                <w:szCs w:val="21"/>
                <w:highlight w:val="none"/>
              </w:rPr>
              <w:t>资信</w:t>
            </w:r>
            <w:r>
              <w:rPr>
                <w:rFonts w:hint="eastAsia" w:ascii="宋体" w:hAnsi="宋体"/>
                <w:b/>
                <w:color w:val="auto"/>
                <w:spacing w:val="-4"/>
                <w:highlight w:val="none"/>
                <w:lang w:eastAsia="zh-CN"/>
              </w:rPr>
              <w:t>得</w:t>
            </w:r>
            <w:r>
              <w:rPr>
                <w:rFonts w:hint="eastAsia" w:ascii="宋体" w:hAnsi="宋体"/>
                <w:b/>
                <w:color w:val="auto"/>
                <w:spacing w:val="-4"/>
                <w:highlight w:val="none"/>
              </w:rPr>
              <w:t>分</w:t>
            </w:r>
          </w:p>
        </w:tc>
        <w:tc>
          <w:tcPr>
            <w:tcW w:w="1984" w:type="dxa"/>
            <w:vAlign w:val="center"/>
          </w:tcPr>
          <w:p>
            <w:pPr>
              <w:spacing w:line="360" w:lineRule="auto"/>
              <w:jc w:val="center"/>
              <w:rPr>
                <w:color w:val="auto"/>
                <w:szCs w:val="21"/>
                <w:highlight w:val="none"/>
              </w:rPr>
            </w:pPr>
          </w:p>
        </w:tc>
        <w:tc>
          <w:tcPr>
            <w:tcW w:w="1701" w:type="dxa"/>
            <w:vAlign w:val="center"/>
          </w:tcPr>
          <w:p>
            <w:pPr>
              <w:spacing w:line="360" w:lineRule="auto"/>
              <w:jc w:val="center"/>
              <w:rPr>
                <w:color w:val="auto"/>
                <w:szCs w:val="21"/>
                <w:highlight w:val="none"/>
              </w:rPr>
            </w:pPr>
          </w:p>
        </w:tc>
        <w:tc>
          <w:tcPr>
            <w:tcW w:w="1589" w:type="dxa"/>
            <w:vAlign w:val="center"/>
          </w:tcPr>
          <w:p>
            <w:pPr>
              <w:spacing w:line="360" w:lineRule="auto"/>
              <w:jc w:val="center"/>
              <w:rPr>
                <w:color w:val="auto"/>
                <w:szCs w:val="21"/>
                <w:highlight w:val="none"/>
              </w:rPr>
            </w:pPr>
          </w:p>
        </w:tc>
        <w:tc>
          <w:tcPr>
            <w:tcW w:w="876" w:type="dxa"/>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0" w:type="dxa"/>
            <w:vAlign w:val="center"/>
          </w:tcPr>
          <w:p>
            <w:pPr>
              <w:spacing w:line="360" w:lineRule="auto"/>
              <w:jc w:val="center"/>
              <w:rPr>
                <w:color w:val="auto"/>
                <w:szCs w:val="21"/>
                <w:highlight w:val="none"/>
              </w:rPr>
            </w:pPr>
            <w:r>
              <w:rPr>
                <w:rFonts w:hint="eastAsia"/>
                <w:color w:val="auto"/>
                <w:szCs w:val="21"/>
                <w:highlight w:val="none"/>
              </w:rPr>
              <w:t>2</w:t>
            </w:r>
          </w:p>
        </w:tc>
        <w:tc>
          <w:tcPr>
            <w:tcW w:w="3405" w:type="dxa"/>
            <w:vAlign w:val="center"/>
          </w:tcPr>
          <w:p>
            <w:pPr>
              <w:spacing w:line="360" w:lineRule="auto"/>
              <w:jc w:val="center"/>
              <w:rPr>
                <w:color w:val="auto"/>
                <w:szCs w:val="21"/>
                <w:highlight w:val="none"/>
              </w:rPr>
            </w:pPr>
            <w:r>
              <w:rPr>
                <w:rFonts w:hint="eastAsia" w:ascii="宋体" w:hAnsi="宋体"/>
                <w:b/>
                <w:color w:val="auto"/>
                <w:spacing w:val="-4"/>
                <w:highlight w:val="none"/>
              </w:rPr>
              <w:t>投标报价得分（</w:t>
            </w:r>
            <w:r>
              <w:rPr>
                <w:rFonts w:hint="eastAsia" w:ascii="宋体" w:hAnsi="宋体"/>
                <w:b/>
                <w:color w:val="auto"/>
                <w:spacing w:val="-4"/>
                <w:highlight w:val="none"/>
                <w:lang w:val="en-US" w:eastAsia="zh-CN"/>
              </w:rPr>
              <w:t>6</w:t>
            </w:r>
            <w:r>
              <w:rPr>
                <w:rFonts w:hint="eastAsia" w:ascii="宋体" w:hAnsi="宋体"/>
                <w:b/>
                <w:color w:val="auto"/>
                <w:spacing w:val="-4"/>
                <w:highlight w:val="none"/>
              </w:rPr>
              <w:t>0</w:t>
            </w:r>
            <w:r>
              <w:rPr>
                <w:rFonts w:hint="eastAsia" w:ascii="宋体" w:hAnsi="宋体"/>
                <w:b/>
                <w:color w:val="auto"/>
                <w:highlight w:val="none"/>
              </w:rPr>
              <w:t>%</w:t>
            </w:r>
            <w:r>
              <w:rPr>
                <w:rFonts w:hint="eastAsia" w:ascii="宋体" w:hAnsi="宋体"/>
                <w:b/>
                <w:color w:val="auto"/>
                <w:spacing w:val="-4"/>
                <w:highlight w:val="none"/>
              </w:rPr>
              <w:t>）</w:t>
            </w:r>
          </w:p>
        </w:tc>
        <w:tc>
          <w:tcPr>
            <w:tcW w:w="2760" w:type="dxa"/>
            <w:vAlign w:val="center"/>
          </w:tcPr>
          <w:p>
            <w:pPr>
              <w:spacing w:line="360" w:lineRule="auto"/>
              <w:jc w:val="center"/>
              <w:rPr>
                <w:color w:val="auto"/>
                <w:szCs w:val="21"/>
                <w:highlight w:val="none"/>
              </w:rPr>
            </w:pPr>
            <w:r>
              <w:rPr>
                <w:rFonts w:hint="eastAsia" w:ascii="宋体" w:hAnsi="宋体"/>
                <w:b/>
                <w:color w:val="auto"/>
                <w:spacing w:val="-4"/>
                <w:highlight w:val="none"/>
              </w:rPr>
              <w:t>投标报价得分</w:t>
            </w:r>
          </w:p>
        </w:tc>
        <w:tc>
          <w:tcPr>
            <w:tcW w:w="1984" w:type="dxa"/>
            <w:vAlign w:val="center"/>
          </w:tcPr>
          <w:p>
            <w:pPr>
              <w:spacing w:line="360" w:lineRule="auto"/>
              <w:jc w:val="center"/>
              <w:rPr>
                <w:color w:val="auto"/>
                <w:szCs w:val="21"/>
                <w:highlight w:val="none"/>
              </w:rPr>
            </w:pPr>
          </w:p>
        </w:tc>
        <w:tc>
          <w:tcPr>
            <w:tcW w:w="1701" w:type="dxa"/>
            <w:vAlign w:val="center"/>
          </w:tcPr>
          <w:p>
            <w:pPr>
              <w:spacing w:line="360" w:lineRule="auto"/>
              <w:jc w:val="center"/>
              <w:rPr>
                <w:color w:val="auto"/>
                <w:szCs w:val="21"/>
                <w:highlight w:val="none"/>
              </w:rPr>
            </w:pPr>
          </w:p>
        </w:tc>
        <w:tc>
          <w:tcPr>
            <w:tcW w:w="1589" w:type="dxa"/>
            <w:vAlign w:val="center"/>
          </w:tcPr>
          <w:p>
            <w:pPr>
              <w:spacing w:line="360" w:lineRule="auto"/>
              <w:jc w:val="center"/>
              <w:rPr>
                <w:color w:val="auto"/>
                <w:szCs w:val="21"/>
                <w:highlight w:val="none"/>
              </w:rPr>
            </w:pPr>
          </w:p>
        </w:tc>
        <w:tc>
          <w:tcPr>
            <w:tcW w:w="876" w:type="dxa"/>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45" w:type="dxa"/>
            <w:gridSpan w:val="3"/>
            <w:vAlign w:val="center"/>
          </w:tcPr>
          <w:p>
            <w:pPr>
              <w:spacing w:line="360" w:lineRule="auto"/>
              <w:jc w:val="center"/>
              <w:rPr>
                <w:rFonts w:hint="eastAsia" w:eastAsia="宋体"/>
                <w:color w:val="auto"/>
                <w:szCs w:val="21"/>
                <w:highlight w:val="none"/>
                <w:lang w:val="en-US" w:eastAsia="zh-CN"/>
              </w:rPr>
            </w:pPr>
            <w:r>
              <w:rPr>
                <w:rFonts w:hint="eastAsia"/>
                <w:color w:val="auto"/>
                <w:szCs w:val="21"/>
                <w:highlight w:val="none"/>
              </w:rPr>
              <w:t>总得分=</w:t>
            </w:r>
            <w:r>
              <w:rPr>
                <w:rFonts w:hint="eastAsia" w:ascii="宋体" w:hAnsi="宋体"/>
                <w:b/>
                <w:bCs/>
                <w:color w:val="auto"/>
                <w:szCs w:val="21"/>
                <w:highlight w:val="none"/>
              </w:rPr>
              <w:t>资信</w:t>
            </w:r>
            <w:r>
              <w:rPr>
                <w:rFonts w:hint="eastAsia" w:ascii="宋体" w:hAnsi="宋体"/>
                <w:b/>
                <w:color w:val="auto"/>
                <w:spacing w:val="-4"/>
                <w:highlight w:val="none"/>
                <w:lang w:eastAsia="zh-CN"/>
              </w:rPr>
              <w:t>得</w:t>
            </w:r>
            <w:r>
              <w:rPr>
                <w:rFonts w:hint="eastAsia" w:ascii="宋体" w:hAnsi="宋体"/>
                <w:b/>
                <w:color w:val="auto"/>
                <w:spacing w:val="-4"/>
                <w:highlight w:val="none"/>
              </w:rPr>
              <w:t>分</w:t>
            </w:r>
            <w:r>
              <w:rPr>
                <w:rFonts w:hint="eastAsia" w:ascii="宋体" w:hAnsi="宋体"/>
                <w:b/>
                <w:color w:val="auto"/>
                <w:spacing w:val="-4"/>
                <w:highlight w:val="none"/>
                <w:lang w:val="en-US" w:eastAsia="zh-CN"/>
              </w:rPr>
              <w:t>+</w:t>
            </w:r>
            <w:r>
              <w:rPr>
                <w:rFonts w:hint="eastAsia" w:ascii="宋体" w:hAnsi="宋体"/>
                <w:b/>
                <w:color w:val="auto"/>
                <w:spacing w:val="-4"/>
                <w:highlight w:val="none"/>
              </w:rPr>
              <w:t>投标报价得分</w:t>
            </w:r>
          </w:p>
        </w:tc>
        <w:tc>
          <w:tcPr>
            <w:tcW w:w="1984" w:type="dxa"/>
            <w:vAlign w:val="center"/>
          </w:tcPr>
          <w:p>
            <w:pPr>
              <w:spacing w:line="360" w:lineRule="auto"/>
              <w:jc w:val="center"/>
              <w:rPr>
                <w:color w:val="auto"/>
                <w:szCs w:val="21"/>
                <w:highlight w:val="none"/>
              </w:rPr>
            </w:pPr>
          </w:p>
        </w:tc>
        <w:tc>
          <w:tcPr>
            <w:tcW w:w="1701" w:type="dxa"/>
            <w:vAlign w:val="center"/>
          </w:tcPr>
          <w:p>
            <w:pPr>
              <w:spacing w:line="360" w:lineRule="auto"/>
              <w:jc w:val="center"/>
              <w:rPr>
                <w:color w:val="auto"/>
                <w:szCs w:val="21"/>
                <w:highlight w:val="none"/>
              </w:rPr>
            </w:pPr>
          </w:p>
        </w:tc>
        <w:tc>
          <w:tcPr>
            <w:tcW w:w="1589" w:type="dxa"/>
            <w:vAlign w:val="center"/>
          </w:tcPr>
          <w:p>
            <w:pPr>
              <w:spacing w:line="360" w:lineRule="auto"/>
              <w:jc w:val="center"/>
              <w:rPr>
                <w:color w:val="auto"/>
                <w:szCs w:val="21"/>
                <w:highlight w:val="none"/>
              </w:rPr>
            </w:pPr>
          </w:p>
        </w:tc>
        <w:tc>
          <w:tcPr>
            <w:tcW w:w="876" w:type="dxa"/>
            <w:vAlign w:val="center"/>
          </w:tcPr>
          <w:p>
            <w:pPr>
              <w:spacing w:line="360" w:lineRule="auto"/>
              <w:jc w:val="center"/>
              <w:rPr>
                <w:color w:val="auto"/>
                <w:szCs w:val="21"/>
                <w:highlight w:val="none"/>
              </w:rPr>
            </w:pPr>
          </w:p>
        </w:tc>
      </w:tr>
    </w:tbl>
    <w:p>
      <w:pPr>
        <w:spacing w:line="360" w:lineRule="auto"/>
        <w:rPr>
          <w:color w:val="auto"/>
          <w:szCs w:val="21"/>
          <w:highlight w:val="none"/>
        </w:rPr>
      </w:pPr>
      <w:r>
        <w:rPr>
          <w:rFonts w:hint="eastAsia"/>
          <w:color w:val="auto"/>
          <w:szCs w:val="21"/>
          <w:highlight w:val="none"/>
        </w:rPr>
        <w:t>注：精确到小数点后两位，第三位四舍五入。</w:t>
      </w:r>
    </w:p>
    <w:p>
      <w:pPr>
        <w:spacing w:line="360" w:lineRule="auto"/>
        <w:ind w:firstLine="405"/>
        <w:rPr>
          <w:color w:val="auto"/>
          <w:szCs w:val="21"/>
          <w:highlight w:val="none"/>
        </w:rPr>
      </w:pPr>
    </w:p>
    <w:p>
      <w:pPr>
        <w:rPr>
          <w:rFonts w:ascii="宋体" w:hAnsi="宋体"/>
          <w:color w:val="auto"/>
          <w:szCs w:val="21"/>
          <w:highlight w:val="none"/>
        </w:rPr>
        <w:sectPr>
          <w:pgSz w:w="16838" w:h="11906" w:orient="landscape"/>
          <w:pgMar w:top="1134" w:right="1440" w:bottom="1134" w:left="1440" w:header="851" w:footer="992" w:gutter="0"/>
          <w:cols w:space="720" w:num="1"/>
          <w:docGrid w:type="lines" w:linePitch="312" w:charSpace="0"/>
        </w:sectPr>
      </w:pPr>
      <w:r>
        <w:rPr>
          <w:rFonts w:hint="eastAsia" w:hAnsi="宋体"/>
          <w:color w:val="auto"/>
          <w:szCs w:val="21"/>
          <w:highlight w:val="none"/>
        </w:rPr>
        <w:t>评委签名：                                           日期：</w:t>
      </w:r>
    </w:p>
    <w:p>
      <w:pPr>
        <w:spacing w:line="400" w:lineRule="exact"/>
        <w:rPr>
          <w:rFonts w:ascii="宋体" w:hAnsi="宋体"/>
          <w:b/>
          <w:color w:val="auto"/>
          <w:sz w:val="28"/>
          <w:szCs w:val="28"/>
          <w:highlight w:val="none"/>
        </w:rPr>
      </w:pPr>
    </w:p>
    <w:p>
      <w:pPr>
        <w:rPr>
          <w:color w:val="auto"/>
          <w:highlight w:val="none"/>
        </w:rPr>
      </w:pPr>
    </w:p>
    <w:p>
      <w:pPr>
        <w:rPr>
          <w:color w:val="auto"/>
          <w:highlight w:val="none"/>
        </w:rPr>
      </w:pPr>
    </w:p>
    <w:p>
      <w:pPr>
        <w:pStyle w:val="3"/>
        <w:jc w:val="center"/>
        <w:rPr>
          <w:color w:val="auto"/>
          <w:highlight w:val="none"/>
        </w:rPr>
      </w:pPr>
      <w:bookmarkStart w:id="1011" w:name="_Toc17385"/>
      <w:bookmarkStart w:id="1012" w:name="_Toc144974577"/>
      <w:bookmarkStart w:id="1013" w:name="_Toc22634"/>
      <w:bookmarkStart w:id="1014" w:name="_Toc16000"/>
      <w:bookmarkStart w:id="1015" w:name="_Toc152045609"/>
      <w:bookmarkStart w:id="1016" w:name="_Toc4736"/>
      <w:bookmarkStart w:id="1017" w:name="_Toc494371582"/>
      <w:bookmarkStart w:id="1018" w:name="_Toc247527634"/>
      <w:bookmarkStart w:id="1019" w:name="_Toc300835030"/>
      <w:bookmarkStart w:id="1020" w:name="_Toc247514033"/>
      <w:bookmarkStart w:id="1021" w:name="_Toc2984"/>
      <w:bookmarkStart w:id="1022" w:name="_Toc152042387"/>
      <w:bookmarkStart w:id="1023" w:name="_Toc2492"/>
      <w:bookmarkStart w:id="1024" w:name="_Toc31763"/>
      <w:bookmarkStart w:id="1025" w:name="_Toc13990"/>
      <w:bookmarkStart w:id="1026" w:name="_Toc29140"/>
      <w:bookmarkStart w:id="1027" w:name="_Toc29492"/>
      <w:bookmarkStart w:id="1028" w:name="_Toc13994"/>
      <w:r>
        <w:rPr>
          <w:rFonts w:hint="eastAsia"/>
          <w:color w:val="auto"/>
          <w:highlight w:val="none"/>
        </w:rPr>
        <w:t>第四章合同条款及格式</w:t>
      </w:r>
      <w:bookmarkEnd w:id="1011"/>
      <w:bookmarkEnd w:id="1012"/>
      <w:bookmarkEnd w:id="1013"/>
      <w:bookmarkEnd w:id="1014"/>
      <w:bookmarkEnd w:id="1015"/>
      <w:bookmarkEnd w:id="1016"/>
      <w:bookmarkEnd w:id="1017"/>
      <w:bookmarkEnd w:id="1018"/>
      <w:bookmarkEnd w:id="1019"/>
      <w:bookmarkEnd w:id="1020"/>
      <w:bookmarkEnd w:id="1021"/>
      <w:bookmarkEnd w:id="1022"/>
      <w:bookmarkStart w:id="1029" w:name="_Toc184635097"/>
      <w:bookmarkStart w:id="1030" w:name="_Toc247527635"/>
      <w:bookmarkStart w:id="1031" w:name="_Toc152042388"/>
      <w:bookmarkStart w:id="1032" w:name="_Toc247514034"/>
      <w:bookmarkStart w:id="1033" w:name="_Toc144974578"/>
      <w:bookmarkStart w:id="1034" w:name="_Toc152045610"/>
      <w:r>
        <w:rPr>
          <w:rFonts w:hint="eastAsia"/>
          <w:color w:val="auto"/>
          <w:highlight w:val="none"/>
        </w:rPr>
        <w:t>（另册）</w:t>
      </w:r>
      <w:bookmarkEnd w:id="1023"/>
      <w:bookmarkEnd w:id="1024"/>
      <w:bookmarkEnd w:id="1025"/>
      <w:bookmarkEnd w:id="1026"/>
      <w:bookmarkEnd w:id="1027"/>
      <w:bookmarkEnd w:id="1028"/>
    </w:p>
    <w:p>
      <w:pPr>
        <w:rPr>
          <w:color w:val="auto"/>
          <w:highlight w:val="none"/>
        </w:rPr>
      </w:pPr>
      <w:r>
        <w:rPr>
          <w:color w:val="auto"/>
          <w:highlight w:val="none"/>
        </w:rPr>
        <w:br w:type="page"/>
      </w:r>
    </w:p>
    <w:p>
      <w:pPr>
        <w:rPr>
          <w:color w:val="auto"/>
          <w:highlight w:val="none"/>
        </w:rPr>
      </w:pPr>
    </w:p>
    <w:bookmarkEnd w:id="1029"/>
    <w:bookmarkEnd w:id="1030"/>
    <w:bookmarkEnd w:id="1031"/>
    <w:bookmarkEnd w:id="1032"/>
    <w:bookmarkEnd w:id="1033"/>
    <w:bookmarkEnd w:id="1034"/>
    <w:p>
      <w:pPr>
        <w:rPr>
          <w:color w:val="auto"/>
          <w:highlight w:val="none"/>
        </w:rPr>
      </w:pPr>
    </w:p>
    <w:p>
      <w:pPr>
        <w:rPr>
          <w:color w:val="auto"/>
          <w:highlight w:val="none"/>
        </w:rPr>
      </w:pPr>
      <w:bookmarkStart w:id="1035" w:name="_Toc152045772"/>
      <w:bookmarkEnd w:id="1035"/>
      <w:bookmarkStart w:id="1036" w:name="_Toc247514202"/>
      <w:bookmarkEnd w:id="1036"/>
      <w:bookmarkStart w:id="1037" w:name="_Toc144974834"/>
      <w:bookmarkEnd w:id="1037"/>
      <w:bookmarkStart w:id="1038" w:name="_Toc152042554"/>
      <w:bookmarkEnd w:id="1038"/>
      <w:bookmarkStart w:id="1039" w:name="_Toc247527803"/>
      <w:bookmarkEnd w:id="1039"/>
    </w:p>
    <w:p>
      <w:pPr>
        <w:spacing w:line="400" w:lineRule="exact"/>
        <w:rPr>
          <w:color w:val="auto"/>
          <w:highlight w:val="none"/>
        </w:rPr>
      </w:pPr>
    </w:p>
    <w:p>
      <w:pPr>
        <w:pStyle w:val="3"/>
        <w:rPr>
          <w:color w:val="auto"/>
          <w:highlight w:val="none"/>
        </w:rPr>
      </w:pPr>
      <w:bookmarkStart w:id="1040" w:name="_Toc247514232"/>
      <w:bookmarkStart w:id="1041" w:name="_Toc247527819"/>
      <w:bookmarkStart w:id="1042" w:name="_Toc300835204"/>
      <w:bookmarkStart w:id="1043" w:name="_Toc22"/>
      <w:bookmarkStart w:id="1044" w:name="_Toc28468"/>
      <w:bookmarkStart w:id="1045" w:name="_Toc7709"/>
      <w:bookmarkStart w:id="1046" w:name="_Toc30942"/>
      <w:bookmarkStart w:id="1047" w:name="_Toc13932"/>
      <w:bookmarkStart w:id="1048" w:name="_Toc6632"/>
      <w:bookmarkStart w:id="1049" w:name="_Toc494371583"/>
      <w:bookmarkStart w:id="1050" w:name="_Toc28286"/>
      <w:bookmarkStart w:id="1051" w:name="_Toc2433"/>
      <w:bookmarkStart w:id="1052" w:name="_Toc2710"/>
      <w:bookmarkStart w:id="1053" w:name="_Toc25726"/>
    </w:p>
    <w:p>
      <w:pPr>
        <w:pStyle w:val="3"/>
        <w:rPr>
          <w:color w:val="auto"/>
          <w:highlight w:val="none"/>
        </w:rPr>
      </w:pPr>
    </w:p>
    <w:p>
      <w:pPr>
        <w:pStyle w:val="3"/>
        <w:rPr>
          <w:color w:val="auto"/>
          <w:highlight w:val="none"/>
        </w:rPr>
      </w:pPr>
    </w:p>
    <w:p>
      <w:pPr>
        <w:pStyle w:val="3"/>
        <w:jc w:val="center"/>
        <w:rPr>
          <w:color w:val="auto"/>
          <w:sz w:val="24"/>
          <w:highlight w:val="none"/>
        </w:rPr>
      </w:pPr>
      <w:bookmarkStart w:id="1054" w:name="_Toc17655"/>
      <w:r>
        <w:rPr>
          <w:rFonts w:hint="eastAsia"/>
          <w:color w:val="auto"/>
          <w:highlight w:val="none"/>
        </w:rPr>
        <w:t>第二卷</w:t>
      </w:r>
      <w:bookmarkEnd w:id="1040"/>
      <w:bookmarkEnd w:id="1041"/>
      <w:bookmarkEnd w:id="1042"/>
      <w:r>
        <w:rPr>
          <w:color w:val="auto"/>
          <w:highlight w:val="none"/>
        </w:rPr>
        <w:br w:type="page"/>
      </w:r>
      <w:bookmarkEnd w:id="1043"/>
      <w:bookmarkEnd w:id="1044"/>
      <w:bookmarkEnd w:id="1045"/>
      <w:bookmarkEnd w:id="1046"/>
      <w:bookmarkEnd w:id="1047"/>
      <w:bookmarkEnd w:id="1048"/>
      <w:bookmarkEnd w:id="1049"/>
      <w:bookmarkEnd w:id="1050"/>
      <w:bookmarkEnd w:id="1051"/>
      <w:bookmarkEnd w:id="1052"/>
      <w:bookmarkEnd w:id="1053"/>
      <w:bookmarkEnd w:id="1054"/>
    </w:p>
    <w:p>
      <w:pPr>
        <w:pStyle w:val="20"/>
        <w:spacing w:line="360" w:lineRule="auto"/>
        <w:rPr>
          <w:color w:val="auto"/>
          <w:sz w:val="24"/>
          <w:highlight w:val="none"/>
        </w:rPr>
      </w:pPr>
      <w:r>
        <w:rPr>
          <w:rFonts w:hint="eastAsia"/>
          <w:color w:val="auto"/>
          <w:sz w:val="24"/>
          <w:highlight w:val="none"/>
        </w:rPr>
        <w:t xml:space="preserve">            </w:t>
      </w:r>
    </w:p>
    <w:p>
      <w:pPr>
        <w:pStyle w:val="3"/>
        <w:numPr>
          <w:ilvl w:val="0"/>
          <w:numId w:val="2"/>
        </w:numPr>
        <w:jc w:val="center"/>
        <w:rPr>
          <w:color w:val="auto"/>
          <w:highlight w:val="none"/>
        </w:rPr>
      </w:pPr>
      <w:bookmarkStart w:id="1055" w:name="_Toc300835205"/>
      <w:bookmarkStart w:id="1056" w:name="_Toc18835"/>
      <w:bookmarkStart w:id="1057" w:name="_Toc300835206"/>
      <w:bookmarkStart w:id="1058" w:name="_Toc29491"/>
      <w:bookmarkStart w:id="1059" w:name="_Toc15946"/>
      <w:bookmarkStart w:id="1060" w:name="_Toc32359"/>
      <w:bookmarkStart w:id="1061" w:name="_Toc21618"/>
      <w:bookmarkStart w:id="1062" w:name="_Toc25249"/>
      <w:bookmarkStart w:id="1063" w:name="_Toc18278"/>
      <w:bookmarkStart w:id="1064" w:name="_Toc8482"/>
      <w:bookmarkStart w:id="1065" w:name="_Toc21889"/>
      <w:bookmarkStart w:id="1066" w:name="_Toc494371585"/>
      <w:bookmarkStart w:id="1067" w:name="_Toc32466"/>
      <w:bookmarkStart w:id="1068" w:name="_Toc11303"/>
      <w:r>
        <w:rPr>
          <w:rFonts w:hint="eastAsia"/>
          <w:color w:val="auto"/>
          <w:highlight w:val="none"/>
        </w:rPr>
        <w:t>发包人要求</w:t>
      </w:r>
      <w:bookmarkEnd w:id="1055"/>
      <w:r>
        <w:rPr>
          <w:rFonts w:hint="eastAsia"/>
          <w:color w:val="auto"/>
          <w:highlight w:val="none"/>
        </w:rPr>
        <w:t>（另册）</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pPr>
        <w:spacing w:line="360" w:lineRule="auto"/>
        <w:rPr>
          <w:color w:val="auto"/>
          <w:highlight w:val="none"/>
        </w:rPr>
      </w:pPr>
      <w:r>
        <w:rPr>
          <w:color w:val="auto"/>
          <w:highlight w:val="none"/>
        </w:rPr>
        <w:br w:type="page"/>
      </w:r>
    </w:p>
    <w:p>
      <w:pPr>
        <w:spacing w:line="360" w:lineRule="auto"/>
        <w:rPr>
          <w:color w:val="auto"/>
          <w:highlight w:val="none"/>
        </w:rPr>
      </w:pPr>
    </w:p>
    <w:p>
      <w:pPr>
        <w:pStyle w:val="3"/>
        <w:numPr>
          <w:ilvl w:val="0"/>
          <w:numId w:val="2"/>
        </w:numPr>
        <w:jc w:val="center"/>
        <w:rPr>
          <w:color w:val="auto"/>
          <w:highlight w:val="none"/>
        </w:rPr>
      </w:pPr>
      <w:bookmarkStart w:id="1069" w:name="_Toc23074"/>
      <w:r>
        <w:rPr>
          <w:rFonts w:hint="eastAsia"/>
          <w:color w:val="auto"/>
          <w:highlight w:val="none"/>
        </w:rPr>
        <w:t>发包人提供的资料（另册）</w:t>
      </w:r>
      <w:bookmarkEnd w:id="1069"/>
    </w:p>
    <w:p>
      <w:pPr>
        <w:spacing w:line="400" w:lineRule="exact"/>
        <w:rPr>
          <w:color w:val="auto"/>
          <w:highlight w:val="none"/>
        </w:rPr>
      </w:pPr>
    </w:p>
    <w:p>
      <w:pPr>
        <w:spacing w:line="400" w:lineRule="exact"/>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spacing w:line="400" w:lineRule="exact"/>
        <w:rPr>
          <w:color w:val="auto"/>
          <w:highlight w:val="none"/>
        </w:rPr>
      </w:pPr>
    </w:p>
    <w:p>
      <w:pPr>
        <w:pStyle w:val="3"/>
        <w:jc w:val="center"/>
        <w:rPr>
          <w:color w:val="auto"/>
          <w:highlight w:val="none"/>
        </w:rPr>
      </w:pPr>
      <w:bookmarkStart w:id="1070" w:name="_Toc25694"/>
      <w:bookmarkStart w:id="1071" w:name="_Toc5743"/>
      <w:bookmarkStart w:id="1072" w:name="_Toc494371586"/>
      <w:bookmarkStart w:id="1073" w:name="_Toc300835207"/>
      <w:bookmarkStart w:id="1074" w:name="_Toc16430"/>
      <w:bookmarkStart w:id="1075" w:name="_Toc27414"/>
      <w:bookmarkStart w:id="1076" w:name="_Toc247514244"/>
      <w:bookmarkStart w:id="1077" w:name="_Toc1901"/>
      <w:bookmarkStart w:id="1078" w:name="_Toc20209"/>
      <w:bookmarkStart w:id="1079" w:name="_Toc24911"/>
      <w:bookmarkStart w:id="1080" w:name="_Toc1451"/>
      <w:bookmarkStart w:id="1081" w:name="_Toc15004"/>
      <w:bookmarkStart w:id="1082" w:name="_Toc247527825"/>
      <w:bookmarkStart w:id="1083" w:name="_Toc7732"/>
      <w:bookmarkStart w:id="1084" w:name="_Toc152042575"/>
      <w:bookmarkStart w:id="1085" w:name="_Toc152045786"/>
      <w:bookmarkStart w:id="1086" w:name="_Toc144974855"/>
    </w:p>
    <w:p>
      <w:pPr>
        <w:pStyle w:val="3"/>
        <w:jc w:val="center"/>
        <w:rPr>
          <w:color w:val="auto"/>
          <w:highlight w:val="none"/>
        </w:rPr>
      </w:pPr>
    </w:p>
    <w:p>
      <w:pPr>
        <w:pStyle w:val="3"/>
        <w:jc w:val="center"/>
        <w:rPr>
          <w:color w:val="auto"/>
          <w:highlight w:val="none"/>
        </w:rPr>
      </w:pPr>
    </w:p>
    <w:p>
      <w:pPr>
        <w:pStyle w:val="3"/>
        <w:jc w:val="center"/>
        <w:rPr>
          <w:color w:val="auto"/>
          <w:highlight w:val="none"/>
        </w:rPr>
      </w:pPr>
    </w:p>
    <w:p>
      <w:pPr>
        <w:pStyle w:val="3"/>
        <w:jc w:val="center"/>
        <w:rPr>
          <w:color w:val="auto"/>
          <w:highlight w:val="none"/>
        </w:rPr>
      </w:pPr>
    </w:p>
    <w:p>
      <w:pPr>
        <w:pStyle w:val="3"/>
        <w:jc w:val="center"/>
        <w:rPr>
          <w:color w:val="auto"/>
          <w:highlight w:val="none"/>
        </w:rPr>
      </w:pPr>
      <w:bookmarkStart w:id="1087" w:name="_Toc11589"/>
      <w:r>
        <w:rPr>
          <w:rFonts w:hint="eastAsia"/>
          <w:color w:val="auto"/>
          <w:highlight w:val="none"/>
        </w:rPr>
        <w:t>第三卷</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7"/>
    </w:p>
    <w:p>
      <w:pPr>
        <w:spacing w:line="400" w:lineRule="exact"/>
        <w:jc w:val="center"/>
        <w:rPr>
          <w:color w:val="auto"/>
          <w:highlight w:val="none"/>
        </w:rPr>
      </w:pPr>
      <w:r>
        <w:rPr>
          <w:rFonts w:ascii="黑体" w:hAnsi="黑体" w:eastAsia="黑体"/>
          <w:b/>
          <w:bCs/>
          <w:color w:val="auto"/>
          <w:sz w:val="32"/>
          <w:highlight w:val="none"/>
        </w:rPr>
        <w:br w:type="page"/>
      </w:r>
    </w:p>
    <w:p>
      <w:pPr>
        <w:spacing w:line="400" w:lineRule="exact"/>
        <w:jc w:val="center"/>
        <w:rPr>
          <w:color w:val="auto"/>
          <w:highlight w:val="none"/>
        </w:rPr>
      </w:pPr>
    </w:p>
    <w:p>
      <w:pPr>
        <w:pStyle w:val="3"/>
        <w:jc w:val="center"/>
        <w:rPr>
          <w:color w:val="auto"/>
          <w:highlight w:val="none"/>
        </w:rPr>
      </w:pPr>
      <w:bookmarkStart w:id="1088" w:name="_Toc300835208"/>
      <w:bookmarkStart w:id="1089" w:name="_Toc2828"/>
      <w:bookmarkStart w:id="1090" w:name="_Toc5024"/>
      <w:bookmarkStart w:id="1091" w:name="_Toc13416"/>
      <w:bookmarkStart w:id="1092" w:name="_Toc10445"/>
      <w:bookmarkStart w:id="1093" w:name="_Toc494371587"/>
      <w:bookmarkStart w:id="1094" w:name="_Toc247514245"/>
      <w:bookmarkStart w:id="1095" w:name="_Toc247527826"/>
      <w:bookmarkStart w:id="1096" w:name="_Toc15238"/>
      <w:bookmarkStart w:id="1097" w:name="_Toc18331"/>
      <w:bookmarkStart w:id="1098" w:name="_Toc17793"/>
      <w:bookmarkStart w:id="1099" w:name="_Toc24639"/>
      <w:bookmarkStart w:id="1100" w:name="_Toc8886"/>
      <w:bookmarkStart w:id="1101" w:name="_Toc26681"/>
      <w:bookmarkStart w:id="1102" w:name="_Toc12601"/>
      <w:r>
        <w:rPr>
          <w:rFonts w:hint="eastAsia"/>
          <w:color w:val="auto"/>
          <w:highlight w:val="none"/>
        </w:rPr>
        <w:t>第七章投标文件格式</w:t>
      </w:r>
      <w:bookmarkEnd w:id="1084"/>
      <w:bookmarkEnd w:id="1085"/>
      <w:bookmarkEnd w:id="1086"/>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pPr>
        <w:spacing w:line="400" w:lineRule="exact"/>
        <w:rPr>
          <w:color w:val="auto"/>
          <w:highlight w:val="none"/>
        </w:rPr>
      </w:pPr>
    </w:p>
    <w:p>
      <w:pPr>
        <w:widowControl/>
        <w:jc w:val="left"/>
        <w:rPr>
          <w:b/>
          <w:color w:val="auto"/>
          <w:sz w:val="24"/>
          <w:highlight w:val="none"/>
        </w:rPr>
      </w:pPr>
      <w:r>
        <w:rPr>
          <w:color w:val="auto"/>
          <w:highlight w:val="none"/>
        </w:rPr>
        <w:br w:type="page"/>
      </w:r>
      <w:bookmarkStart w:id="1103" w:name="_Toc494371589"/>
      <w:bookmarkStart w:id="1104" w:name="_Toc271821942"/>
      <w:bookmarkStart w:id="1105" w:name="_Toc10741"/>
      <w:bookmarkStart w:id="1106" w:name="_Toc300835233"/>
      <w:bookmarkStart w:id="1107" w:name="_Toc2218"/>
      <w:bookmarkStart w:id="1108" w:name="_Toc8323"/>
      <w:bookmarkStart w:id="1109" w:name="_Toc8355"/>
      <w:bookmarkStart w:id="1110" w:name="_Toc194"/>
      <w:bookmarkStart w:id="1111" w:name="_Toc14611"/>
    </w:p>
    <w:bookmarkEnd w:id="1103"/>
    <w:bookmarkEnd w:id="1104"/>
    <w:bookmarkEnd w:id="1105"/>
    <w:bookmarkEnd w:id="1106"/>
    <w:bookmarkEnd w:id="1107"/>
    <w:bookmarkEnd w:id="1108"/>
    <w:bookmarkEnd w:id="1109"/>
    <w:bookmarkEnd w:id="1110"/>
    <w:bookmarkEnd w:id="1111"/>
    <w:p>
      <w:pPr>
        <w:spacing w:line="360" w:lineRule="auto"/>
        <w:jc w:val="center"/>
        <w:rPr>
          <w:rFonts w:ascii="黑体" w:hAnsi="黑体" w:eastAsia="黑体" w:cs="黑体"/>
          <w:b/>
          <w:color w:val="auto"/>
          <w:sz w:val="30"/>
          <w:szCs w:val="30"/>
          <w:highlight w:val="none"/>
        </w:rPr>
      </w:pPr>
    </w:p>
    <w:p>
      <w:pPr>
        <w:spacing w:line="360" w:lineRule="auto"/>
        <w:jc w:val="center"/>
        <w:rPr>
          <w:rFonts w:ascii="黑体" w:hAnsi="黑体" w:eastAsia="黑体" w:cs="黑体"/>
          <w:b/>
          <w:color w:val="auto"/>
          <w:sz w:val="30"/>
          <w:szCs w:val="30"/>
          <w:highlight w:val="none"/>
        </w:rPr>
      </w:pPr>
      <w:r>
        <w:rPr>
          <w:rFonts w:hint="eastAsia" w:ascii="黑体" w:hAnsi="黑体" w:eastAsia="黑体" w:cs="黑体"/>
          <w:b/>
          <w:color w:val="auto"/>
          <w:sz w:val="30"/>
          <w:szCs w:val="30"/>
          <w:highlight w:val="none"/>
        </w:rPr>
        <w:t>第一部分  资格审查文件</w:t>
      </w:r>
    </w:p>
    <w:p>
      <w:pPr>
        <w:spacing w:line="360" w:lineRule="auto"/>
        <w:jc w:val="left"/>
        <w:rPr>
          <w:bCs/>
          <w:color w:val="auto"/>
          <w:szCs w:val="21"/>
          <w:highlight w:val="none"/>
        </w:rPr>
      </w:pPr>
      <w:r>
        <w:rPr>
          <w:rFonts w:hint="eastAsia"/>
          <w:b/>
          <w:color w:val="auto"/>
          <w:sz w:val="30"/>
          <w:szCs w:val="30"/>
          <w:highlight w:val="none"/>
        </w:rPr>
        <w:br w:type="page"/>
      </w:r>
      <w:r>
        <w:rPr>
          <w:rFonts w:hint="eastAsia"/>
          <w:bCs/>
          <w:color w:val="auto"/>
          <w:szCs w:val="21"/>
          <w:highlight w:val="none"/>
        </w:rPr>
        <w:t>格式参考：</w:t>
      </w:r>
    </w:p>
    <w:p>
      <w:pPr>
        <w:spacing w:line="360" w:lineRule="auto"/>
        <w:jc w:val="right"/>
        <w:rPr>
          <w:rFonts w:ascii="黑体" w:hAnsi="黑体" w:eastAsia="黑体" w:cs="黑体"/>
          <w:b/>
          <w:color w:val="auto"/>
          <w:sz w:val="30"/>
          <w:szCs w:val="30"/>
          <w:highlight w:val="none"/>
        </w:rPr>
      </w:pPr>
      <w:r>
        <w:rPr>
          <w:rFonts w:hint="eastAsia" w:ascii="黑体" w:hAnsi="黑体" w:eastAsia="黑体" w:cs="黑体"/>
          <w:b/>
          <w:color w:val="auto"/>
          <w:sz w:val="32"/>
          <w:szCs w:val="32"/>
          <w:highlight w:val="none"/>
        </w:rPr>
        <w:t>正/副本</w:t>
      </w:r>
    </w:p>
    <w:p>
      <w:pPr>
        <w:spacing w:line="360" w:lineRule="auto"/>
        <w:rPr>
          <w:b/>
          <w:color w:val="auto"/>
          <w:sz w:val="30"/>
          <w:szCs w:val="30"/>
          <w:highlight w:val="none"/>
        </w:rPr>
      </w:pPr>
    </w:p>
    <w:p>
      <w:pPr>
        <w:spacing w:line="360" w:lineRule="auto"/>
        <w:rPr>
          <w:bCs/>
          <w:color w:val="auto"/>
          <w:szCs w:val="21"/>
          <w:highlight w:val="none"/>
        </w:rPr>
      </w:pP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湿地二期艺术区提升绿化景观项目</w:t>
      </w:r>
    </w:p>
    <w:p>
      <w:pPr>
        <w:pStyle w:val="32"/>
        <w:spacing w:line="360" w:lineRule="auto"/>
        <w:jc w:val="center"/>
        <w:rPr>
          <w:rFonts w:ascii="黑体" w:hAnsi="黑体" w:eastAsia="黑体" w:cs="黑体"/>
          <w:b/>
          <w:color w:val="auto"/>
          <w:sz w:val="36"/>
          <w:szCs w:val="36"/>
          <w:highlight w:val="none"/>
          <w:lang w:bidi="ar"/>
        </w:rPr>
      </w:pPr>
    </w:p>
    <w:p>
      <w:pPr>
        <w:pStyle w:val="32"/>
        <w:spacing w:line="360" w:lineRule="auto"/>
        <w:jc w:val="center"/>
        <w:rPr>
          <w:rFonts w:ascii="黑体" w:hAnsi="黑体" w:eastAsia="黑体" w:cs="黑体"/>
          <w:b/>
          <w:color w:val="auto"/>
          <w:sz w:val="36"/>
          <w:szCs w:val="36"/>
          <w:highlight w:val="none"/>
          <w:lang w:bidi="ar"/>
        </w:rPr>
      </w:pPr>
    </w:p>
    <w:p>
      <w:pPr>
        <w:pStyle w:val="32"/>
        <w:spacing w:line="360" w:lineRule="auto"/>
        <w:jc w:val="center"/>
        <w:rPr>
          <w:rFonts w:ascii="黑体" w:hAnsi="黑体" w:eastAsia="黑体" w:cs="黑体"/>
          <w:b/>
          <w:color w:val="auto"/>
          <w:sz w:val="48"/>
          <w:szCs w:val="48"/>
          <w:highlight w:val="none"/>
          <w:u w:val="none"/>
          <w:lang w:bidi="ar"/>
        </w:rPr>
      </w:pPr>
      <w:r>
        <w:rPr>
          <w:rFonts w:hint="eastAsia" w:ascii="黑体" w:hAnsi="黑体" w:eastAsia="黑体" w:cs="黑体"/>
          <w:b/>
          <w:color w:val="auto"/>
          <w:sz w:val="48"/>
          <w:szCs w:val="48"/>
          <w:highlight w:val="none"/>
          <w:u w:val="none"/>
          <w:lang w:bidi="ar"/>
        </w:rPr>
        <w:t>投标文件</w:t>
      </w:r>
    </w:p>
    <w:p>
      <w:pPr>
        <w:pStyle w:val="32"/>
        <w:spacing w:line="360" w:lineRule="auto"/>
        <w:jc w:val="center"/>
        <w:rPr>
          <w:rFonts w:ascii="黑体" w:hAnsi="黑体" w:eastAsia="黑体" w:cs="黑体"/>
          <w:b/>
          <w:color w:val="auto"/>
          <w:sz w:val="36"/>
          <w:szCs w:val="36"/>
          <w:highlight w:val="none"/>
          <w:lang w:bidi="ar"/>
        </w:rPr>
      </w:pPr>
      <w:r>
        <w:rPr>
          <w:rFonts w:hint="eastAsia" w:ascii="黑体" w:hAnsi="黑体" w:eastAsia="黑体" w:cs="黑体"/>
          <w:b/>
          <w:color w:val="auto"/>
          <w:sz w:val="36"/>
          <w:szCs w:val="36"/>
          <w:highlight w:val="none"/>
          <w:lang w:bidi="ar"/>
        </w:rPr>
        <w:t>（资格审查文件）</w:t>
      </w:r>
      <w:r>
        <w:rPr>
          <w:rFonts w:hint="eastAsia" w:ascii="黑体" w:hAnsi="黑体" w:eastAsia="黑体" w:cs="黑体"/>
          <w:bCs/>
          <w:color w:val="auto"/>
          <w:sz w:val="36"/>
          <w:szCs w:val="36"/>
          <w:highlight w:val="none"/>
          <w:u w:val="none"/>
          <w:lang w:bidi="ar"/>
        </w:rPr>
        <w:t xml:space="preserve"> </w:t>
      </w: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ind w:firstLine="389" w:firstLineChars="139"/>
        <w:jc w:val="left"/>
        <w:rPr>
          <w:rFonts w:ascii="华文楷体" w:hAnsi="华文楷体" w:eastAsia="华文楷体" w:cs="华文楷体"/>
          <w:color w:val="auto"/>
          <w:sz w:val="28"/>
          <w:szCs w:val="28"/>
          <w:highlight w:val="none"/>
          <w:u w:val="single"/>
        </w:rPr>
      </w:pPr>
      <w:r>
        <w:rPr>
          <w:rFonts w:hint="eastAsia" w:ascii="华文楷体" w:hAnsi="华文楷体" w:eastAsia="华文楷体" w:cs="华文楷体"/>
          <w:color w:val="auto"/>
          <w:sz w:val="28"/>
          <w:szCs w:val="28"/>
          <w:highlight w:val="none"/>
        </w:rPr>
        <w:t>投标单位名称（盖章）：</w:t>
      </w:r>
      <w:r>
        <w:rPr>
          <w:rFonts w:hint="eastAsia" w:ascii="华文楷体" w:hAnsi="华文楷体" w:eastAsia="华文楷体" w:cs="华文楷体"/>
          <w:color w:val="auto"/>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color w:val="auto"/>
          <w:sz w:val="28"/>
          <w:szCs w:val="28"/>
          <w:highlight w:val="none"/>
          <w:u w:val="single"/>
        </w:rPr>
      </w:pPr>
      <w:r>
        <w:rPr>
          <w:rFonts w:hint="eastAsia" w:ascii="华文楷体" w:hAnsi="华文楷体" w:eastAsia="华文楷体" w:cs="华文楷体"/>
          <w:color w:val="auto"/>
          <w:sz w:val="28"/>
          <w:szCs w:val="28"/>
          <w:highlight w:val="none"/>
        </w:rPr>
        <w:t>法定代表人或其委托代理人（签字或盖章）：</w:t>
      </w:r>
      <w:r>
        <w:rPr>
          <w:rFonts w:hint="eastAsia" w:ascii="华文楷体" w:hAnsi="华文楷体" w:eastAsia="华文楷体" w:cs="华文楷体"/>
          <w:color w:val="auto"/>
          <w:sz w:val="28"/>
          <w:szCs w:val="28"/>
          <w:highlight w:val="none"/>
          <w:u w:val="single"/>
        </w:rPr>
        <w:t xml:space="preserve">      </w:t>
      </w:r>
      <w:r>
        <w:rPr>
          <w:rFonts w:hint="eastAsia" w:ascii="华文楷体" w:hAnsi="华文楷体" w:eastAsia="华文楷体" w:cs="华文楷体"/>
          <w:color w:val="auto"/>
          <w:sz w:val="28"/>
          <w:szCs w:val="28"/>
          <w:highlight w:val="none"/>
          <w:u w:val="single"/>
        </w:rPr>
        <w:tab/>
      </w:r>
    </w:p>
    <w:p>
      <w:pPr>
        <w:spacing w:line="360" w:lineRule="auto"/>
        <w:ind w:firstLine="389" w:firstLineChars="139"/>
        <w:jc w:val="left"/>
        <w:rPr>
          <w:rFonts w:ascii="华文楷体" w:hAnsi="华文楷体" w:eastAsia="华文楷体" w:cs="华文楷体"/>
          <w:bCs/>
          <w:color w:val="auto"/>
          <w:sz w:val="28"/>
          <w:szCs w:val="28"/>
          <w:highlight w:val="none"/>
        </w:rPr>
      </w:pPr>
      <w:r>
        <w:rPr>
          <w:rFonts w:hint="eastAsia" w:ascii="华文楷体" w:hAnsi="华文楷体" w:eastAsia="华文楷体" w:cs="华文楷体"/>
          <w:color w:val="auto"/>
          <w:sz w:val="28"/>
          <w:szCs w:val="28"/>
          <w:highlight w:val="none"/>
        </w:rPr>
        <w:t>投标日期：   年   月   日</w:t>
      </w:r>
    </w:p>
    <w:p>
      <w:pPr>
        <w:spacing w:line="360" w:lineRule="auto"/>
        <w:jc w:val="left"/>
        <w:rPr>
          <w:bCs/>
          <w:color w:val="auto"/>
          <w:szCs w:val="21"/>
          <w:highlight w:val="none"/>
        </w:rPr>
      </w:pPr>
    </w:p>
    <w:p>
      <w:pPr>
        <w:spacing w:line="360" w:lineRule="auto"/>
        <w:jc w:val="left"/>
        <w:rPr>
          <w:bCs/>
          <w:color w:val="auto"/>
          <w:szCs w:val="21"/>
          <w:highlight w:val="none"/>
        </w:rPr>
      </w:pPr>
      <w:r>
        <w:rPr>
          <w:rFonts w:hint="eastAsia"/>
          <w:bCs/>
          <w:color w:val="auto"/>
          <w:szCs w:val="21"/>
          <w:highlight w:val="none"/>
        </w:rPr>
        <w:br w:type="page"/>
      </w:r>
    </w:p>
    <w:p>
      <w:pPr>
        <w:spacing w:line="360" w:lineRule="auto"/>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目 录</w:t>
      </w:r>
    </w:p>
    <w:p>
      <w:pPr>
        <w:numPr>
          <w:ilvl w:val="0"/>
          <w:numId w:val="3"/>
        </w:numPr>
        <w:spacing w:line="360" w:lineRule="auto"/>
        <w:jc w:val="left"/>
        <w:rPr>
          <w:bCs/>
          <w:color w:val="auto"/>
          <w:szCs w:val="21"/>
          <w:highlight w:val="none"/>
        </w:rPr>
      </w:pPr>
      <w:r>
        <w:rPr>
          <w:rFonts w:hint="eastAsia"/>
          <w:bCs/>
          <w:color w:val="auto"/>
          <w:szCs w:val="21"/>
          <w:highlight w:val="none"/>
        </w:rPr>
        <w:t>投标申请公函</w:t>
      </w:r>
    </w:p>
    <w:p>
      <w:pPr>
        <w:numPr>
          <w:ilvl w:val="0"/>
          <w:numId w:val="3"/>
        </w:numPr>
        <w:spacing w:line="360" w:lineRule="auto"/>
        <w:jc w:val="left"/>
        <w:rPr>
          <w:bCs/>
          <w:color w:val="auto"/>
          <w:szCs w:val="21"/>
          <w:highlight w:val="none"/>
        </w:rPr>
      </w:pPr>
      <w:r>
        <w:rPr>
          <w:rFonts w:hint="eastAsia"/>
          <w:bCs/>
          <w:color w:val="auto"/>
          <w:szCs w:val="21"/>
          <w:highlight w:val="none"/>
          <w:lang w:val="zh-CN"/>
        </w:rPr>
        <w:t>法定代表人证明书</w:t>
      </w:r>
      <w:r>
        <w:rPr>
          <w:rFonts w:hint="eastAsia"/>
          <w:bCs/>
          <w:color w:val="auto"/>
          <w:szCs w:val="21"/>
          <w:highlight w:val="none"/>
        </w:rPr>
        <w:t>及</w:t>
      </w:r>
      <w:r>
        <w:rPr>
          <w:rFonts w:hint="eastAsia"/>
          <w:bCs/>
          <w:color w:val="auto"/>
          <w:szCs w:val="21"/>
          <w:highlight w:val="none"/>
          <w:lang w:val="zh-CN"/>
        </w:rPr>
        <w:t>法定代表人授权委托书</w:t>
      </w:r>
    </w:p>
    <w:p>
      <w:pPr>
        <w:numPr>
          <w:ilvl w:val="0"/>
          <w:numId w:val="3"/>
        </w:numPr>
        <w:spacing w:line="360" w:lineRule="auto"/>
        <w:jc w:val="left"/>
        <w:rPr>
          <w:bCs/>
          <w:color w:val="auto"/>
          <w:szCs w:val="21"/>
          <w:highlight w:val="none"/>
        </w:rPr>
      </w:pPr>
      <w:r>
        <w:rPr>
          <w:rFonts w:hint="eastAsia"/>
          <w:color w:val="auto"/>
          <w:szCs w:val="21"/>
          <w:highlight w:val="none"/>
        </w:rPr>
        <w:t>事业单位法人证书或法人营业执照</w:t>
      </w:r>
    </w:p>
    <w:p>
      <w:pPr>
        <w:numPr>
          <w:ilvl w:val="0"/>
          <w:numId w:val="3"/>
        </w:numPr>
        <w:spacing w:line="360" w:lineRule="auto"/>
        <w:jc w:val="left"/>
        <w:rPr>
          <w:bCs/>
          <w:color w:val="auto"/>
          <w:szCs w:val="21"/>
          <w:highlight w:val="none"/>
        </w:rPr>
      </w:pPr>
      <w:r>
        <w:rPr>
          <w:rFonts w:hint="eastAsia"/>
          <w:color w:val="auto"/>
          <w:szCs w:val="21"/>
          <w:highlight w:val="none"/>
        </w:rPr>
        <w:t>企业资质证书</w:t>
      </w:r>
    </w:p>
    <w:p>
      <w:pPr>
        <w:numPr>
          <w:ilvl w:val="0"/>
          <w:numId w:val="3"/>
        </w:numPr>
        <w:spacing w:line="360" w:lineRule="auto"/>
        <w:jc w:val="left"/>
        <w:rPr>
          <w:bCs/>
          <w:color w:val="auto"/>
          <w:szCs w:val="21"/>
          <w:highlight w:val="none"/>
        </w:rPr>
      </w:pPr>
      <w:r>
        <w:rPr>
          <w:rFonts w:hint="eastAsia"/>
          <w:color w:val="auto"/>
          <w:szCs w:val="21"/>
          <w:highlight w:val="none"/>
        </w:rPr>
        <w:t>投标人安全生产许可证</w:t>
      </w:r>
    </w:p>
    <w:p>
      <w:pPr>
        <w:numPr>
          <w:ilvl w:val="0"/>
          <w:numId w:val="3"/>
        </w:numPr>
        <w:spacing w:line="360" w:lineRule="auto"/>
        <w:jc w:val="left"/>
        <w:rPr>
          <w:bCs/>
          <w:color w:val="auto"/>
          <w:szCs w:val="21"/>
          <w:highlight w:val="none"/>
        </w:rPr>
      </w:pPr>
      <w:r>
        <w:rPr>
          <w:rFonts w:hint="eastAsia"/>
          <w:color w:val="auto"/>
          <w:szCs w:val="21"/>
          <w:highlight w:val="none"/>
        </w:rPr>
        <w:t>主要负责人资格要求资料</w:t>
      </w:r>
    </w:p>
    <w:p>
      <w:pPr>
        <w:numPr>
          <w:ilvl w:val="0"/>
          <w:numId w:val="3"/>
        </w:numPr>
        <w:spacing w:line="360" w:lineRule="auto"/>
        <w:jc w:val="left"/>
        <w:rPr>
          <w:bCs/>
          <w:color w:val="auto"/>
          <w:szCs w:val="21"/>
          <w:highlight w:val="none"/>
        </w:rPr>
      </w:pPr>
      <w:r>
        <w:rPr>
          <w:rFonts w:hint="eastAsia"/>
          <w:color w:val="auto"/>
          <w:kern w:val="0"/>
          <w:szCs w:val="21"/>
          <w:highlight w:val="none"/>
        </w:rPr>
        <w:t>投标人声明</w:t>
      </w:r>
    </w:p>
    <w:p>
      <w:pPr>
        <w:numPr>
          <w:ilvl w:val="0"/>
          <w:numId w:val="3"/>
        </w:numPr>
        <w:spacing w:line="360" w:lineRule="auto"/>
        <w:jc w:val="left"/>
        <w:rPr>
          <w:bCs/>
          <w:color w:val="auto"/>
          <w:sz w:val="24"/>
          <w:highlight w:val="none"/>
        </w:rPr>
      </w:pPr>
      <w:r>
        <w:rPr>
          <w:rFonts w:hint="eastAsia"/>
          <w:color w:val="auto"/>
          <w:szCs w:val="21"/>
          <w:highlight w:val="none"/>
        </w:rPr>
        <w:t>投标人认为应提供的其他资料</w:t>
      </w:r>
    </w:p>
    <w:p>
      <w:pPr>
        <w:spacing w:line="360" w:lineRule="auto"/>
        <w:jc w:val="left"/>
        <w:rPr>
          <w:color w:val="auto"/>
          <w:szCs w:val="21"/>
          <w:highlight w:val="none"/>
        </w:rPr>
      </w:pPr>
    </w:p>
    <w:p>
      <w:pPr>
        <w:spacing w:line="360" w:lineRule="auto"/>
        <w:jc w:val="left"/>
        <w:rPr>
          <w:color w:val="auto"/>
          <w:szCs w:val="21"/>
          <w:highlight w:val="none"/>
        </w:rPr>
      </w:pPr>
      <w:r>
        <w:rPr>
          <w:rFonts w:hint="eastAsia"/>
          <w:color w:val="auto"/>
          <w:szCs w:val="21"/>
          <w:highlight w:val="none"/>
        </w:rPr>
        <w:t>注：页码由投标人自行编制；若由法定代表人递交投标文件的，不需要“</w:t>
      </w:r>
      <w:r>
        <w:rPr>
          <w:rFonts w:hint="eastAsia"/>
          <w:bCs/>
          <w:color w:val="auto"/>
          <w:szCs w:val="21"/>
          <w:highlight w:val="none"/>
          <w:lang w:val="zh-CN"/>
        </w:rPr>
        <w:t>法定代表人授权委托书”。</w:t>
      </w:r>
    </w:p>
    <w:p>
      <w:pPr>
        <w:spacing w:line="360" w:lineRule="auto"/>
        <w:jc w:val="center"/>
        <w:rPr>
          <w:rFonts w:ascii="黑体" w:hAnsi="黑体" w:eastAsia="黑体" w:cs="黑体"/>
          <w:b/>
          <w:color w:val="auto"/>
          <w:sz w:val="32"/>
          <w:szCs w:val="32"/>
          <w:highlight w:val="none"/>
        </w:rPr>
      </w:pPr>
      <w:r>
        <w:rPr>
          <w:rFonts w:hint="eastAsia"/>
          <w:bCs/>
          <w:color w:val="auto"/>
          <w:sz w:val="24"/>
          <w:highlight w:val="none"/>
        </w:rPr>
        <w:br w:type="page"/>
      </w:r>
      <w:r>
        <w:rPr>
          <w:rFonts w:hint="eastAsia" w:ascii="黑体" w:hAnsi="黑体" w:eastAsia="黑体" w:cs="黑体"/>
          <w:b/>
          <w:color w:val="auto"/>
          <w:sz w:val="32"/>
          <w:szCs w:val="32"/>
          <w:highlight w:val="none"/>
        </w:rPr>
        <w:t>投标申请公函</w:t>
      </w:r>
    </w:p>
    <w:p>
      <w:pPr>
        <w:spacing w:line="360" w:lineRule="auto"/>
        <w:jc w:val="left"/>
        <w:rPr>
          <w:bCs/>
          <w:color w:val="auto"/>
          <w:szCs w:val="21"/>
          <w:highlight w:val="none"/>
        </w:rPr>
      </w:pPr>
    </w:p>
    <w:p>
      <w:pPr>
        <w:spacing w:line="360" w:lineRule="auto"/>
        <w:jc w:val="left"/>
        <w:rPr>
          <w:bCs/>
          <w:color w:val="auto"/>
          <w:szCs w:val="21"/>
          <w:highlight w:val="none"/>
        </w:rPr>
      </w:pPr>
      <w:r>
        <w:rPr>
          <w:rFonts w:hint="eastAsia"/>
          <w:bCs/>
          <w:color w:val="auto"/>
          <w:szCs w:val="21"/>
          <w:highlight w:val="none"/>
        </w:rPr>
        <w:t>致招标人：</w:t>
      </w:r>
      <w:r>
        <w:rPr>
          <w:rFonts w:hint="eastAsia"/>
          <w:bCs/>
          <w:color w:val="auto"/>
          <w:szCs w:val="21"/>
          <w:highlight w:val="none"/>
          <w:u w:val="single"/>
        </w:rPr>
        <w:t xml:space="preserve">                              </w:t>
      </w:r>
    </w:p>
    <w:p>
      <w:pPr>
        <w:spacing w:line="360" w:lineRule="auto"/>
        <w:ind w:firstLine="315" w:firstLineChars="150"/>
        <w:jc w:val="left"/>
        <w:rPr>
          <w:bCs/>
          <w:color w:val="auto"/>
          <w:szCs w:val="21"/>
          <w:highlight w:val="none"/>
        </w:rPr>
      </w:pPr>
    </w:p>
    <w:p>
      <w:pPr>
        <w:spacing w:line="360" w:lineRule="auto"/>
        <w:ind w:firstLine="420" w:firstLineChars="200"/>
        <w:jc w:val="left"/>
        <w:rPr>
          <w:bCs/>
          <w:color w:val="auto"/>
          <w:szCs w:val="21"/>
          <w:highlight w:val="none"/>
        </w:rPr>
      </w:pPr>
      <w:r>
        <w:rPr>
          <w:rFonts w:hint="eastAsia"/>
          <w:bCs/>
          <w:color w:val="auto"/>
          <w:szCs w:val="21"/>
          <w:highlight w:val="none"/>
        </w:rPr>
        <w:t>按照本工程招标公告的要求，我们递交有关资料文件，以便贵单位审查我们参加</w:t>
      </w:r>
      <w:r>
        <w:rPr>
          <w:rFonts w:hint="eastAsia" w:ascii="宋体" w:hAnsi="宋体" w:cs="宋体"/>
          <w:color w:val="auto"/>
          <w:sz w:val="24"/>
          <w:highlight w:val="none"/>
          <w:u w:val="single"/>
          <w:lang w:val="en-US" w:eastAsia="zh-CN"/>
        </w:rPr>
        <w:t xml:space="preserve">  （项目名称）       </w:t>
      </w:r>
      <w:r>
        <w:rPr>
          <w:rFonts w:hint="eastAsia"/>
          <w:bCs/>
          <w:color w:val="auto"/>
          <w:szCs w:val="21"/>
          <w:highlight w:val="none"/>
        </w:rPr>
        <w:t>投标资格。</w:t>
      </w:r>
    </w:p>
    <w:p>
      <w:pPr>
        <w:spacing w:line="360" w:lineRule="auto"/>
        <w:ind w:firstLine="420" w:firstLineChars="200"/>
        <w:jc w:val="left"/>
        <w:rPr>
          <w:bCs/>
          <w:color w:val="auto"/>
          <w:szCs w:val="21"/>
          <w:highlight w:val="none"/>
        </w:rPr>
      </w:pPr>
      <w:r>
        <w:rPr>
          <w:rFonts w:hint="eastAsia"/>
          <w:bCs/>
          <w:color w:val="auto"/>
          <w:szCs w:val="21"/>
          <w:highlight w:val="none"/>
        </w:rPr>
        <w:t>此申请是</w:t>
      </w:r>
      <w:r>
        <w:rPr>
          <w:rFonts w:hint="eastAsia"/>
          <w:bCs/>
          <w:color w:val="auto"/>
          <w:szCs w:val="21"/>
          <w:highlight w:val="none"/>
          <w:u w:val="single"/>
        </w:rPr>
        <w:t xml:space="preserve">                  （单位名称）</w:t>
      </w:r>
      <w:r>
        <w:rPr>
          <w:rFonts w:hint="eastAsia"/>
          <w:bCs/>
          <w:color w:val="auto"/>
          <w:szCs w:val="21"/>
          <w:highlight w:val="none"/>
        </w:rPr>
        <w:t>以</w:t>
      </w:r>
      <w:r>
        <w:rPr>
          <w:rFonts w:hint="eastAsia"/>
          <w:bCs/>
          <w:color w:val="auto"/>
          <w:szCs w:val="21"/>
          <w:highlight w:val="none"/>
          <w:u w:val="single"/>
        </w:rPr>
        <w:t xml:space="preserve">        （人名）</w:t>
      </w:r>
      <w:r>
        <w:rPr>
          <w:rFonts w:hint="eastAsia"/>
          <w:bCs/>
          <w:color w:val="auto"/>
          <w:szCs w:val="21"/>
          <w:highlight w:val="none"/>
        </w:rPr>
        <w:t>为全权代表身份递交的。</w:t>
      </w:r>
    </w:p>
    <w:p>
      <w:pPr>
        <w:spacing w:line="360" w:lineRule="auto"/>
        <w:ind w:firstLine="420" w:firstLineChars="200"/>
        <w:jc w:val="left"/>
        <w:rPr>
          <w:bCs/>
          <w:color w:val="auto"/>
          <w:szCs w:val="21"/>
          <w:highlight w:val="none"/>
        </w:rPr>
      </w:pPr>
      <w:r>
        <w:rPr>
          <w:rFonts w:hint="eastAsia"/>
          <w:bCs/>
          <w:color w:val="auto"/>
          <w:szCs w:val="21"/>
          <w:highlight w:val="none"/>
        </w:rPr>
        <w:t>我们保证所有提交的资料是真实可靠的，并为提交的资料负有相应的法律责任。</w:t>
      </w:r>
    </w:p>
    <w:p>
      <w:pPr>
        <w:spacing w:line="360" w:lineRule="auto"/>
        <w:ind w:firstLine="420" w:firstLineChars="200"/>
        <w:jc w:val="left"/>
        <w:rPr>
          <w:bCs/>
          <w:color w:val="auto"/>
          <w:szCs w:val="21"/>
          <w:highlight w:val="none"/>
        </w:rPr>
      </w:pPr>
      <w:r>
        <w:rPr>
          <w:rFonts w:hint="eastAsia"/>
          <w:bCs/>
          <w:color w:val="auto"/>
          <w:szCs w:val="21"/>
          <w:highlight w:val="none"/>
        </w:rPr>
        <w:t>我们理解招标单位有权拒绝任何申请，而无需由招标单位承担任何责任。</w:t>
      </w:r>
    </w:p>
    <w:p>
      <w:pPr>
        <w:spacing w:line="360" w:lineRule="auto"/>
        <w:ind w:firstLine="315" w:firstLineChars="150"/>
        <w:jc w:val="left"/>
        <w:rPr>
          <w:bCs/>
          <w:color w:val="auto"/>
          <w:szCs w:val="21"/>
          <w:highlight w:val="none"/>
        </w:rPr>
      </w:pPr>
    </w:p>
    <w:p>
      <w:pPr>
        <w:spacing w:line="360" w:lineRule="auto"/>
        <w:ind w:firstLine="315" w:firstLineChars="150"/>
        <w:jc w:val="left"/>
        <w:rPr>
          <w:bCs/>
          <w:color w:val="auto"/>
          <w:szCs w:val="21"/>
          <w:highlight w:val="none"/>
        </w:rPr>
      </w:pPr>
      <w:r>
        <w:rPr>
          <w:rFonts w:hint="eastAsia"/>
          <w:bCs/>
          <w:color w:val="auto"/>
          <w:szCs w:val="21"/>
          <w:highlight w:val="none"/>
        </w:rPr>
        <w:t xml:space="preserve">                     申请单位名称：</w:t>
      </w:r>
    </w:p>
    <w:p>
      <w:pPr>
        <w:spacing w:line="360" w:lineRule="auto"/>
        <w:ind w:firstLine="315" w:firstLineChars="150"/>
        <w:jc w:val="left"/>
        <w:rPr>
          <w:color w:val="auto"/>
          <w:szCs w:val="21"/>
          <w:highlight w:val="none"/>
        </w:rPr>
      </w:pPr>
      <w:r>
        <w:rPr>
          <w:rFonts w:hint="eastAsia"/>
          <w:bCs/>
          <w:color w:val="auto"/>
          <w:szCs w:val="21"/>
          <w:highlight w:val="none"/>
        </w:rPr>
        <w:t xml:space="preserve">                     申请日期：      年   月   日</w:t>
      </w:r>
    </w:p>
    <w:p>
      <w:pPr>
        <w:spacing w:line="360" w:lineRule="auto"/>
        <w:jc w:val="left"/>
        <w:rPr>
          <w:bCs/>
          <w:color w:val="auto"/>
          <w:sz w:val="24"/>
          <w:highlight w:val="none"/>
        </w:rPr>
      </w:pPr>
    </w:p>
    <w:p>
      <w:pPr>
        <w:spacing w:line="360" w:lineRule="auto"/>
        <w:jc w:val="center"/>
        <w:rPr>
          <w:rFonts w:ascii="黑体" w:hAnsi="黑体" w:eastAsia="黑体" w:cs="黑体"/>
          <w:b/>
          <w:color w:val="auto"/>
          <w:sz w:val="32"/>
          <w:szCs w:val="32"/>
          <w:highlight w:val="none"/>
          <w:lang w:val="zh-CN"/>
        </w:rPr>
      </w:pPr>
      <w:r>
        <w:rPr>
          <w:rFonts w:hint="eastAsia"/>
          <w:bCs/>
          <w:color w:val="auto"/>
          <w:sz w:val="24"/>
          <w:highlight w:val="none"/>
        </w:rPr>
        <w:br w:type="page"/>
      </w:r>
      <w:r>
        <w:rPr>
          <w:rFonts w:hint="eastAsia" w:ascii="黑体" w:hAnsi="黑体" w:eastAsia="黑体" w:cs="黑体"/>
          <w:b/>
          <w:color w:val="auto"/>
          <w:sz w:val="32"/>
          <w:szCs w:val="32"/>
          <w:highlight w:val="none"/>
          <w:lang w:val="zh-CN"/>
        </w:rPr>
        <w:t>法人代表证明书、授权委托证明书</w:t>
      </w:r>
    </w:p>
    <w:p>
      <w:pPr>
        <w:autoSpaceDE w:val="0"/>
        <w:autoSpaceDN w:val="0"/>
        <w:adjustRightInd w:val="0"/>
        <w:spacing w:line="360" w:lineRule="auto"/>
        <w:jc w:val="center"/>
        <w:rPr>
          <w:b/>
          <w:bCs/>
          <w:color w:val="auto"/>
          <w:sz w:val="28"/>
          <w:szCs w:val="28"/>
          <w:highlight w:val="none"/>
          <w:lang w:val="zh-CN"/>
        </w:rPr>
      </w:pPr>
      <w:r>
        <w:rPr>
          <w:rFonts w:hint="eastAsia"/>
          <w:b/>
          <w:bCs/>
          <w:color w:val="auto"/>
          <w:sz w:val="28"/>
          <w:szCs w:val="28"/>
          <w:highlight w:val="none"/>
          <w:lang w:val="zh-CN"/>
        </w:rPr>
        <w:t>法定代表人证明书</w:t>
      </w:r>
    </w:p>
    <w:p>
      <w:pPr>
        <w:spacing w:line="360" w:lineRule="auto"/>
        <w:jc w:val="right"/>
        <w:rPr>
          <w:color w:val="auto"/>
          <w:szCs w:val="21"/>
          <w:highlight w:val="none"/>
        </w:rPr>
      </w:pPr>
      <w:r>
        <w:rPr>
          <w:rFonts w:hint="eastAsia"/>
          <w:color w:val="auto"/>
          <w:szCs w:val="21"/>
          <w:highlight w:val="none"/>
        </w:rPr>
        <w:t>（   ）第   号</w:t>
      </w:r>
    </w:p>
    <w:tbl>
      <w:tblPr>
        <w:tblStyle w:val="38"/>
        <w:tblW w:w="9498" w:type="dxa"/>
        <w:jc w:val="center"/>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rPr>
          <w:jc w:val="center"/>
        </w:trPr>
        <w:tc>
          <w:tcPr>
            <w:tcW w:w="9498" w:type="dxa"/>
          </w:tcPr>
          <w:p>
            <w:pPr>
              <w:spacing w:line="360" w:lineRule="auto"/>
              <w:ind w:firstLine="420" w:firstLineChars="200"/>
              <w:rPr>
                <w:color w:val="auto"/>
                <w:szCs w:val="21"/>
                <w:highlight w:val="none"/>
              </w:rPr>
            </w:pPr>
            <w:r>
              <w:rPr>
                <w:rFonts w:hint="eastAsia"/>
                <w:color w:val="auto"/>
                <w:szCs w:val="21"/>
                <w:highlight w:val="none"/>
                <w:u w:val="single"/>
                <w:lang w:bidi="ar"/>
              </w:rPr>
              <w:t xml:space="preserve">       </w:t>
            </w:r>
            <w:r>
              <w:rPr>
                <w:rFonts w:hint="eastAsia"/>
                <w:color w:val="auto"/>
                <w:szCs w:val="21"/>
                <w:highlight w:val="none"/>
                <w:lang w:bidi="ar"/>
              </w:rPr>
              <w:t>现任我公司</w:t>
            </w:r>
            <w:r>
              <w:rPr>
                <w:rFonts w:hint="eastAsia"/>
                <w:color w:val="auto"/>
                <w:szCs w:val="21"/>
                <w:highlight w:val="none"/>
                <w:u w:val="single"/>
                <w:lang w:bidi="ar"/>
              </w:rPr>
              <w:t xml:space="preserve">      </w:t>
            </w:r>
            <w:r>
              <w:rPr>
                <w:rFonts w:hint="eastAsia"/>
                <w:color w:val="auto"/>
                <w:szCs w:val="21"/>
                <w:highlight w:val="none"/>
                <w:lang w:bidi="ar"/>
              </w:rPr>
              <w:t>职务，为法定代表人（负责人），特此证明。</w:t>
            </w:r>
          </w:p>
          <w:p>
            <w:pPr>
              <w:spacing w:line="360" w:lineRule="auto"/>
              <w:ind w:firstLine="420" w:firstLineChars="200"/>
              <w:rPr>
                <w:color w:val="auto"/>
                <w:szCs w:val="21"/>
                <w:highlight w:val="none"/>
                <w:u w:val="single"/>
              </w:rPr>
            </w:pPr>
            <w:r>
              <w:rPr>
                <w:rFonts w:hint="eastAsia"/>
                <w:color w:val="auto"/>
                <w:szCs w:val="21"/>
                <w:highlight w:val="none"/>
                <w:lang w:bidi="ar"/>
              </w:rPr>
              <w:t>有效期限：</w:t>
            </w:r>
            <w:r>
              <w:rPr>
                <w:rFonts w:hint="eastAsia"/>
                <w:color w:val="auto"/>
                <w:szCs w:val="21"/>
                <w:highlight w:val="none"/>
                <w:u w:val="single"/>
                <w:lang w:bidi="ar"/>
              </w:rPr>
              <w:t xml:space="preserve">      </w:t>
            </w:r>
          </w:p>
          <w:p>
            <w:pPr>
              <w:snapToGrid w:val="0"/>
              <w:spacing w:line="360" w:lineRule="auto"/>
              <w:rPr>
                <w:color w:val="auto"/>
                <w:szCs w:val="21"/>
                <w:highlight w:val="none"/>
                <w:u w:val="single"/>
              </w:rPr>
            </w:pPr>
            <w:r>
              <w:rPr>
                <w:rFonts w:hint="eastAsia"/>
                <w:color w:val="auto"/>
                <w:szCs w:val="21"/>
                <w:highlight w:val="none"/>
                <w:lang w:bidi="ar"/>
              </w:rPr>
              <w:t>附：法定代表人（负责人）性别：</w:t>
            </w:r>
            <w:r>
              <w:rPr>
                <w:rFonts w:hint="eastAsia"/>
                <w:color w:val="auto"/>
                <w:szCs w:val="21"/>
                <w:highlight w:val="none"/>
                <w:u w:val="single"/>
                <w:lang w:bidi="ar"/>
              </w:rPr>
              <w:t xml:space="preserve">  </w:t>
            </w:r>
            <w:r>
              <w:rPr>
                <w:rFonts w:hint="eastAsia"/>
                <w:color w:val="auto"/>
                <w:szCs w:val="21"/>
                <w:highlight w:val="none"/>
                <w:lang w:bidi="ar"/>
              </w:rPr>
              <w:t xml:space="preserve">  年龄：</w:t>
            </w:r>
            <w:r>
              <w:rPr>
                <w:rFonts w:hint="eastAsia"/>
                <w:color w:val="auto"/>
                <w:szCs w:val="21"/>
                <w:highlight w:val="none"/>
                <w:u w:val="single"/>
                <w:lang w:bidi="ar"/>
              </w:rPr>
              <w:t xml:space="preserve">  </w:t>
            </w:r>
            <w:r>
              <w:rPr>
                <w:rFonts w:hint="eastAsia"/>
                <w:color w:val="auto"/>
                <w:szCs w:val="21"/>
                <w:highlight w:val="none"/>
                <w:lang w:bidi="ar"/>
              </w:rPr>
              <w:t xml:space="preserve">  身份证号码：</w:t>
            </w:r>
            <w:r>
              <w:rPr>
                <w:rFonts w:hint="eastAsia"/>
                <w:color w:val="auto"/>
                <w:szCs w:val="21"/>
                <w:highlight w:val="none"/>
                <w:u w:val="single"/>
                <w:lang w:bidi="ar"/>
              </w:rPr>
              <w:t xml:space="preserve">                </w:t>
            </w:r>
          </w:p>
          <w:p>
            <w:pPr>
              <w:snapToGrid w:val="0"/>
              <w:spacing w:line="360" w:lineRule="auto"/>
              <w:ind w:firstLine="570"/>
              <w:rPr>
                <w:color w:val="auto"/>
                <w:szCs w:val="21"/>
                <w:highlight w:val="none"/>
                <w:u w:val="single"/>
              </w:rPr>
            </w:pPr>
            <w:r>
              <w:rPr>
                <w:rFonts w:hint="eastAsia"/>
                <w:color w:val="auto"/>
                <w:szCs w:val="21"/>
                <w:highlight w:val="none"/>
                <w:lang w:bidi="ar"/>
              </w:rPr>
              <w:t>统一社会信用代码：</w:t>
            </w:r>
            <w:r>
              <w:rPr>
                <w:rFonts w:hint="eastAsia"/>
                <w:color w:val="auto"/>
                <w:szCs w:val="21"/>
                <w:highlight w:val="none"/>
                <w:u w:val="single"/>
                <w:lang w:bidi="ar"/>
              </w:rPr>
              <w:t xml:space="preserve">            </w:t>
            </w:r>
            <w:r>
              <w:rPr>
                <w:rFonts w:hint="eastAsia"/>
                <w:color w:val="auto"/>
                <w:szCs w:val="21"/>
                <w:highlight w:val="none"/>
                <w:lang w:bidi="ar"/>
              </w:rPr>
              <w:t xml:space="preserve">  企业类型：</w:t>
            </w:r>
            <w:r>
              <w:rPr>
                <w:rFonts w:hint="eastAsia"/>
                <w:color w:val="auto"/>
                <w:szCs w:val="21"/>
                <w:highlight w:val="none"/>
                <w:u w:val="single"/>
                <w:lang w:bidi="ar"/>
              </w:rPr>
              <w:t xml:space="preserve">           </w:t>
            </w:r>
          </w:p>
          <w:p>
            <w:pPr>
              <w:snapToGrid w:val="0"/>
              <w:spacing w:line="360" w:lineRule="auto"/>
              <w:ind w:firstLine="570"/>
              <w:rPr>
                <w:color w:val="auto"/>
                <w:szCs w:val="21"/>
                <w:highlight w:val="none"/>
                <w:u w:val="single"/>
              </w:rPr>
            </w:pPr>
            <w:r>
              <w:rPr>
                <w:rFonts w:hint="eastAsia"/>
                <w:color w:val="auto"/>
                <w:szCs w:val="21"/>
                <w:highlight w:val="none"/>
                <w:lang w:bidi="ar"/>
              </w:rPr>
              <w:t>经营范围：</w:t>
            </w:r>
            <w:r>
              <w:rPr>
                <w:rFonts w:hint="eastAsia"/>
                <w:color w:val="auto"/>
                <w:szCs w:val="21"/>
                <w:highlight w:val="none"/>
                <w:u w:val="single"/>
                <w:lang w:bidi="ar"/>
              </w:rPr>
              <w:t xml:space="preserve">                                                          </w:t>
            </w:r>
          </w:p>
          <w:p>
            <w:pPr>
              <w:snapToGrid w:val="0"/>
              <w:spacing w:line="360" w:lineRule="auto"/>
              <w:ind w:firstLine="570"/>
              <w:rPr>
                <w:color w:val="auto"/>
                <w:szCs w:val="21"/>
                <w:highlight w:val="none"/>
                <w:u w:val="single"/>
              </w:rPr>
            </w:pPr>
          </w:p>
          <w:p>
            <w:pPr>
              <w:snapToGrid w:val="0"/>
              <w:spacing w:line="360" w:lineRule="auto"/>
              <w:ind w:firstLine="570"/>
              <w:rPr>
                <w:color w:val="auto"/>
                <w:szCs w:val="21"/>
                <w:highlight w:val="none"/>
              </w:rPr>
            </w:pPr>
            <w:r>
              <w:rPr>
                <w:rFonts w:hint="eastAsia"/>
                <w:color w:val="auto"/>
                <w:szCs w:val="21"/>
                <w:highlight w:val="none"/>
                <w:lang w:bidi="ar"/>
              </w:rPr>
              <w:t xml:space="preserve">                       单位：</w:t>
            </w:r>
            <w:r>
              <w:rPr>
                <w:rFonts w:hint="eastAsia"/>
                <w:color w:val="auto"/>
                <w:szCs w:val="21"/>
                <w:highlight w:val="none"/>
                <w:u w:val="single"/>
                <w:lang w:bidi="ar"/>
              </w:rPr>
              <w:t xml:space="preserve">                                    </w:t>
            </w:r>
            <w:r>
              <w:rPr>
                <w:rFonts w:hint="eastAsia"/>
                <w:color w:val="auto"/>
                <w:szCs w:val="21"/>
                <w:highlight w:val="none"/>
                <w:lang w:bidi="ar"/>
              </w:rPr>
              <w:t>（盖章）</w:t>
            </w:r>
          </w:p>
          <w:p>
            <w:pPr>
              <w:snapToGrid w:val="0"/>
              <w:spacing w:line="360" w:lineRule="auto"/>
              <w:ind w:firstLine="573"/>
              <w:rPr>
                <w:color w:val="auto"/>
                <w:szCs w:val="21"/>
                <w:highlight w:val="none"/>
              </w:rPr>
            </w:pPr>
            <w:r>
              <w:rPr>
                <w:rFonts w:hint="eastAsia"/>
                <w:color w:val="auto"/>
                <w:szCs w:val="21"/>
                <w:highlight w:val="none"/>
                <w:lang w:bidi="ar"/>
              </w:rPr>
              <w:t xml:space="preserve">                                       年  月  日</w:t>
            </w:r>
          </w:p>
        </w:tc>
      </w:tr>
    </w:tbl>
    <w:p>
      <w:pPr>
        <w:spacing w:line="360" w:lineRule="auto"/>
        <w:rPr>
          <w:color w:val="auto"/>
          <w:szCs w:val="21"/>
          <w:highlight w:val="none"/>
        </w:rPr>
      </w:pPr>
      <w:r>
        <w:rPr>
          <w:rFonts w:hint="eastAsia"/>
          <w:color w:val="auto"/>
          <w:szCs w:val="21"/>
          <w:highlight w:val="none"/>
        </w:rPr>
        <w:t>注：法定代表人证明书也可以采用工商行政管理局统一印制的格式。</w:t>
      </w:r>
    </w:p>
    <w:p>
      <w:pPr>
        <w:spacing w:line="360" w:lineRule="auto"/>
        <w:rPr>
          <w:color w:val="auto"/>
          <w:szCs w:val="21"/>
          <w:highlight w:val="none"/>
        </w:rPr>
      </w:pPr>
      <w:r>
        <w:rPr>
          <w:rFonts w:hint="eastAsia"/>
          <w:color w:val="auto"/>
          <w:szCs w:val="21"/>
          <w:highlight w:val="none"/>
        </w:rPr>
        <w:t xml:space="preserve">  </w:t>
      </w:r>
    </w:p>
    <w:p>
      <w:pPr>
        <w:autoSpaceDE w:val="0"/>
        <w:autoSpaceDN w:val="0"/>
        <w:adjustRightInd w:val="0"/>
        <w:spacing w:line="360" w:lineRule="auto"/>
        <w:jc w:val="center"/>
        <w:rPr>
          <w:b/>
          <w:bCs/>
          <w:color w:val="auto"/>
          <w:sz w:val="28"/>
          <w:szCs w:val="28"/>
          <w:highlight w:val="none"/>
          <w:lang w:val="zh-CN"/>
        </w:rPr>
      </w:pPr>
      <w:r>
        <w:rPr>
          <w:rFonts w:hint="eastAsia"/>
          <w:b/>
          <w:bCs/>
          <w:color w:val="auto"/>
          <w:sz w:val="28"/>
          <w:szCs w:val="28"/>
          <w:highlight w:val="none"/>
          <w:lang w:val="zh-CN"/>
        </w:rPr>
        <w:t>法定代表人授权委托书</w:t>
      </w:r>
    </w:p>
    <w:p>
      <w:pPr>
        <w:spacing w:line="360" w:lineRule="auto"/>
        <w:jc w:val="right"/>
        <w:rPr>
          <w:color w:val="auto"/>
          <w:szCs w:val="21"/>
          <w:highlight w:val="none"/>
        </w:rPr>
      </w:pPr>
      <w:r>
        <w:rPr>
          <w:rFonts w:hint="eastAsia"/>
          <w:color w:val="auto"/>
          <w:szCs w:val="21"/>
          <w:highlight w:val="none"/>
        </w:rPr>
        <w:t>（   ）第   号</w:t>
      </w:r>
    </w:p>
    <w:tbl>
      <w:tblPr>
        <w:tblStyle w:val="38"/>
        <w:tblW w:w="9500" w:type="dxa"/>
        <w:tblInd w:w="45" w:type="dxa"/>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thinThickSmallGap" w:color="339966" w:sz="24" w:space="0"/>
            <w:insideV w:val="none" w:color="auto" w:sz="0" w:space="0"/>
          </w:tblBorders>
          <w:tblCellMar>
            <w:top w:w="0" w:type="dxa"/>
            <w:left w:w="108" w:type="dxa"/>
            <w:bottom w:w="0" w:type="dxa"/>
            <w:right w:w="108" w:type="dxa"/>
          </w:tblCellMar>
        </w:tblPrEx>
        <w:tc>
          <w:tcPr>
            <w:tcW w:w="9500" w:type="dxa"/>
          </w:tcPr>
          <w:p>
            <w:pPr>
              <w:spacing w:line="360" w:lineRule="auto"/>
              <w:ind w:firstLine="420" w:firstLineChars="200"/>
              <w:rPr>
                <w:color w:val="auto"/>
                <w:szCs w:val="21"/>
                <w:highlight w:val="none"/>
              </w:rPr>
            </w:pPr>
            <w:r>
              <w:rPr>
                <w:rFonts w:hint="eastAsia"/>
                <w:color w:val="auto"/>
                <w:szCs w:val="21"/>
                <w:highlight w:val="none"/>
                <w:lang w:bidi="ar"/>
              </w:rPr>
              <w:t>兹授权</w:t>
            </w:r>
            <w:r>
              <w:rPr>
                <w:rFonts w:hint="eastAsia"/>
                <w:color w:val="auto"/>
                <w:szCs w:val="21"/>
                <w:highlight w:val="none"/>
                <w:u w:val="single"/>
                <w:lang w:bidi="ar"/>
              </w:rPr>
              <w:t xml:space="preserve">      </w:t>
            </w:r>
            <w:r>
              <w:rPr>
                <w:rFonts w:hint="eastAsia"/>
                <w:color w:val="auto"/>
                <w:szCs w:val="21"/>
                <w:highlight w:val="none"/>
                <w:lang w:bidi="ar"/>
              </w:rPr>
              <w:t>为我方委托代理人，其权限是：</w:t>
            </w:r>
            <w:r>
              <w:rPr>
                <w:rFonts w:hint="eastAsia"/>
                <w:color w:val="auto"/>
                <w:szCs w:val="21"/>
                <w:highlight w:val="none"/>
                <w:u w:val="single"/>
                <w:lang w:bidi="ar"/>
              </w:rPr>
              <w:t>负责办理         投标相关事宜</w:t>
            </w:r>
            <w:r>
              <w:rPr>
                <w:rFonts w:hint="eastAsia"/>
                <w:color w:val="auto"/>
                <w:szCs w:val="21"/>
                <w:highlight w:val="none"/>
                <w:lang w:bidi="ar"/>
              </w:rPr>
              <w:t>。</w:t>
            </w:r>
          </w:p>
          <w:p>
            <w:pPr>
              <w:spacing w:line="360" w:lineRule="auto"/>
              <w:ind w:firstLine="420" w:firstLineChars="200"/>
              <w:rPr>
                <w:color w:val="auto"/>
                <w:szCs w:val="21"/>
                <w:highlight w:val="none"/>
                <w:u w:val="single"/>
              </w:rPr>
            </w:pPr>
            <w:r>
              <w:rPr>
                <w:rFonts w:hint="eastAsia"/>
                <w:color w:val="auto"/>
                <w:szCs w:val="21"/>
                <w:highlight w:val="none"/>
                <w:lang w:bidi="ar"/>
              </w:rPr>
              <w:t>有效期限：</w:t>
            </w:r>
            <w:r>
              <w:rPr>
                <w:rFonts w:hint="eastAsia"/>
                <w:color w:val="auto"/>
                <w:szCs w:val="21"/>
                <w:highlight w:val="none"/>
                <w:u w:val="single"/>
                <w:lang w:bidi="ar"/>
              </w:rPr>
              <w:t xml:space="preserve">      </w:t>
            </w:r>
          </w:p>
          <w:p>
            <w:pPr>
              <w:spacing w:line="360" w:lineRule="auto"/>
              <w:rPr>
                <w:color w:val="auto"/>
                <w:szCs w:val="21"/>
                <w:highlight w:val="none"/>
                <w:u w:val="single"/>
              </w:rPr>
            </w:pPr>
            <w:r>
              <w:rPr>
                <w:rFonts w:hint="eastAsia"/>
                <w:color w:val="auto"/>
                <w:szCs w:val="21"/>
                <w:highlight w:val="none"/>
                <w:lang w:bidi="ar"/>
              </w:rPr>
              <w:t>附：代理人性别：</w:t>
            </w:r>
            <w:r>
              <w:rPr>
                <w:rFonts w:hint="eastAsia"/>
                <w:color w:val="auto"/>
                <w:szCs w:val="21"/>
                <w:highlight w:val="none"/>
                <w:u w:val="single"/>
                <w:lang w:bidi="ar"/>
              </w:rPr>
              <w:t xml:space="preserve">  </w:t>
            </w:r>
            <w:r>
              <w:rPr>
                <w:rFonts w:hint="eastAsia"/>
                <w:color w:val="auto"/>
                <w:szCs w:val="21"/>
                <w:highlight w:val="none"/>
                <w:lang w:bidi="ar"/>
              </w:rPr>
              <w:t xml:space="preserve"> 年龄：</w:t>
            </w:r>
            <w:r>
              <w:rPr>
                <w:rFonts w:hint="eastAsia"/>
                <w:color w:val="auto"/>
                <w:szCs w:val="21"/>
                <w:highlight w:val="none"/>
                <w:u w:val="single"/>
                <w:lang w:bidi="ar"/>
              </w:rPr>
              <w:t xml:space="preserve">  </w:t>
            </w:r>
            <w:r>
              <w:rPr>
                <w:rFonts w:hint="eastAsia"/>
                <w:color w:val="auto"/>
                <w:szCs w:val="21"/>
                <w:highlight w:val="none"/>
                <w:lang w:bidi="ar"/>
              </w:rPr>
              <w:t xml:space="preserve"> 身份证号码：</w:t>
            </w:r>
            <w:r>
              <w:rPr>
                <w:rFonts w:hint="eastAsia"/>
                <w:color w:val="auto"/>
                <w:szCs w:val="21"/>
                <w:highlight w:val="none"/>
                <w:u w:val="single"/>
                <w:lang w:bidi="ar"/>
              </w:rPr>
              <w:t xml:space="preserve">                </w:t>
            </w:r>
          </w:p>
          <w:p>
            <w:pPr>
              <w:snapToGrid w:val="0"/>
              <w:spacing w:line="360" w:lineRule="auto"/>
              <w:ind w:firstLine="570"/>
              <w:rPr>
                <w:color w:val="auto"/>
                <w:szCs w:val="21"/>
                <w:highlight w:val="none"/>
                <w:u w:val="single"/>
              </w:rPr>
            </w:pPr>
            <w:r>
              <w:rPr>
                <w:rFonts w:hint="eastAsia"/>
                <w:color w:val="auto"/>
                <w:szCs w:val="21"/>
                <w:highlight w:val="none"/>
                <w:lang w:bidi="ar"/>
              </w:rPr>
              <w:t>统一社会信用代码：</w:t>
            </w:r>
            <w:r>
              <w:rPr>
                <w:rFonts w:hint="eastAsia"/>
                <w:color w:val="auto"/>
                <w:szCs w:val="21"/>
                <w:highlight w:val="none"/>
                <w:u w:val="single"/>
                <w:lang w:bidi="ar"/>
              </w:rPr>
              <w:t xml:space="preserve">            </w:t>
            </w:r>
            <w:r>
              <w:rPr>
                <w:rFonts w:hint="eastAsia"/>
                <w:color w:val="auto"/>
                <w:szCs w:val="21"/>
                <w:highlight w:val="none"/>
                <w:lang w:bidi="ar"/>
              </w:rPr>
              <w:t xml:space="preserve">  企业类型：</w:t>
            </w:r>
            <w:r>
              <w:rPr>
                <w:rFonts w:hint="eastAsia"/>
                <w:color w:val="auto"/>
                <w:szCs w:val="21"/>
                <w:highlight w:val="none"/>
                <w:u w:val="single"/>
                <w:lang w:bidi="ar"/>
              </w:rPr>
              <w:t xml:space="preserve">           </w:t>
            </w:r>
          </w:p>
          <w:p>
            <w:pPr>
              <w:snapToGrid w:val="0"/>
              <w:spacing w:line="360" w:lineRule="auto"/>
              <w:ind w:firstLine="570"/>
              <w:rPr>
                <w:color w:val="auto"/>
                <w:szCs w:val="21"/>
                <w:highlight w:val="none"/>
                <w:u w:val="single"/>
              </w:rPr>
            </w:pPr>
            <w:r>
              <w:rPr>
                <w:rFonts w:hint="eastAsia"/>
                <w:color w:val="auto"/>
                <w:szCs w:val="21"/>
                <w:highlight w:val="none"/>
                <w:lang w:bidi="ar"/>
              </w:rPr>
              <w:t>经营范围：</w:t>
            </w:r>
            <w:r>
              <w:rPr>
                <w:rFonts w:hint="eastAsia"/>
                <w:color w:val="auto"/>
                <w:szCs w:val="21"/>
                <w:highlight w:val="none"/>
                <w:u w:val="single"/>
                <w:lang w:bidi="ar"/>
              </w:rPr>
              <w:t xml:space="preserve">                                                          </w:t>
            </w:r>
          </w:p>
          <w:p>
            <w:pPr>
              <w:snapToGrid w:val="0"/>
              <w:spacing w:line="360" w:lineRule="auto"/>
              <w:ind w:hanging="105"/>
              <w:rPr>
                <w:color w:val="auto"/>
                <w:szCs w:val="21"/>
                <w:highlight w:val="none"/>
                <w:u w:val="single"/>
              </w:rPr>
            </w:pPr>
          </w:p>
          <w:p>
            <w:pPr>
              <w:spacing w:line="360" w:lineRule="auto"/>
              <w:ind w:firstLine="420" w:firstLineChars="200"/>
              <w:rPr>
                <w:color w:val="auto"/>
                <w:szCs w:val="21"/>
                <w:highlight w:val="none"/>
              </w:rPr>
            </w:pPr>
            <w:r>
              <w:rPr>
                <w:rFonts w:hint="eastAsia"/>
                <w:color w:val="auto"/>
                <w:szCs w:val="21"/>
                <w:highlight w:val="none"/>
                <w:lang w:bidi="ar"/>
              </w:rPr>
              <w:t>法定代表人（负责人）：</w:t>
            </w:r>
            <w:r>
              <w:rPr>
                <w:rFonts w:hint="eastAsia"/>
                <w:color w:val="auto"/>
                <w:szCs w:val="21"/>
                <w:highlight w:val="none"/>
                <w:u w:val="single"/>
                <w:lang w:bidi="ar"/>
              </w:rPr>
              <w:t xml:space="preserve">          </w:t>
            </w:r>
            <w:r>
              <w:rPr>
                <w:rFonts w:hint="eastAsia"/>
                <w:color w:val="auto"/>
                <w:szCs w:val="21"/>
                <w:highlight w:val="none"/>
                <w:lang w:bidi="ar"/>
              </w:rPr>
              <w:t>（签名或盖章）</w:t>
            </w:r>
          </w:p>
          <w:p>
            <w:pPr>
              <w:spacing w:line="360" w:lineRule="auto"/>
              <w:ind w:firstLine="420" w:firstLineChars="200"/>
              <w:rPr>
                <w:color w:val="auto"/>
                <w:szCs w:val="21"/>
                <w:highlight w:val="none"/>
              </w:rPr>
            </w:pPr>
            <w:r>
              <w:rPr>
                <w:rFonts w:hint="eastAsia"/>
                <w:color w:val="auto"/>
                <w:szCs w:val="21"/>
                <w:highlight w:val="none"/>
                <w:lang w:bidi="ar"/>
              </w:rPr>
              <w:t>授权单位：（盖章）</w:t>
            </w:r>
            <w:r>
              <w:rPr>
                <w:rFonts w:hint="eastAsia"/>
                <w:color w:val="auto"/>
                <w:szCs w:val="21"/>
                <w:highlight w:val="none"/>
                <w:u w:val="single"/>
                <w:lang w:bidi="ar"/>
              </w:rPr>
              <w:t xml:space="preserve">                          </w:t>
            </w:r>
          </w:p>
          <w:p>
            <w:pPr>
              <w:snapToGrid w:val="0"/>
              <w:spacing w:line="360" w:lineRule="auto"/>
              <w:ind w:firstLine="570"/>
              <w:rPr>
                <w:color w:val="auto"/>
                <w:szCs w:val="21"/>
                <w:highlight w:val="none"/>
              </w:rPr>
            </w:pPr>
            <w:r>
              <w:rPr>
                <w:rFonts w:hint="eastAsia"/>
                <w:color w:val="auto"/>
                <w:szCs w:val="21"/>
                <w:highlight w:val="none"/>
                <w:lang w:bidi="ar"/>
              </w:rPr>
              <w:t xml:space="preserve">                      年  月  日</w:t>
            </w:r>
          </w:p>
        </w:tc>
      </w:tr>
    </w:tbl>
    <w:p>
      <w:pPr>
        <w:spacing w:line="360" w:lineRule="auto"/>
        <w:rPr>
          <w:color w:val="auto"/>
          <w:szCs w:val="21"/>
          <w:highlight w:val="none"/>
        </w:rPr>
      </w:pPr>
      <w:r>
        <w:rPr>
          <w:rFonts w:hint="eastAsia"/>
          <w:color w:val="auto"/>
          <w:szCs w:val="21"/>
          <w:highlight w:val="none"/>
        </w:rPr>
        <w:t>注：法定代表人授权委托书也可以采用工商行政管理局统一印制的格式。</w:t>
      </w:r>
    </w:p>
    <w:p>
      <w:pPr>
        <w:spacing w:line="360" w:lineRule="auto"/>
        <w:jc w:val="center"/>
        <w:rPr>
          <w:bCs/>
          <w:color w:val="auto"/>
          <w:sz w:val="24"/>
          <w:highlight w:val="none"/>
        </w:rPr>
      </w:pPr>
      <w:r>
        <w:rPr>
          <w:rFonts w:hint="eastAsia"/>
          <w:bCs/>
          <w:color w:val="auto"/>
          <w:sz w:val="24"/>
          <w:highlight w:val="none"/>
        </w:rPr>
        <w:br w:type="page"/>
      </w:r>
    </w:p>
    <w:p>
      <w:pPr>
        <w:spacing w:line="360" w:lineRule="auto"/>
        <w:jc w:val="center"/>
        <w:rPr>
          <w:rFonts w:eastAsia="黑体"/>
          <w:b/>
          <w:color w:val="auto"/>
          <w:sz w:val="30"/>
          <w:szCs w:val="30"/>
          <w:highlight w:val="none"/>
        </w:rPr>
      </w:pPr>
      <w:r>
        <w:rPr>
          <w:rFonts w:hint="eastAsia" w:ascii="黑体" w:hAnsi="黑体" w:eastAsia="黑体" w:cs="黑体"/>
          <w:b/>
          <w:color w:val="auto"/>
          <w:sz w:val="30"/>
          <w:szCs w:val="30"/>
          <w:highlight w:val="none"/>
        </w:rPr>
        <w:t xml:space="preserve">第二部分 </w:t>
      </w:r>
      <w:r>
        <w:rPr>
          <w:rFonts w:hint="eastAsia" w:ascii="黑体" w:hAnsi="黑体" w:eastAsia="黑体" w:cs="黑体"/>
          <w:b/>
          <w:color w:val="auto"/>
          <w:sz w:val="30"/>
          <w:szCs w:val="30"/>
          <w:highlight w:val="none"/>
          <w:lang w:eastAsia="zh-CN"/>
        </w:rPr>
        <w:t>工程施工总承包实施方案</w:t>
      </w:r>
      <w:r>
        <w:rPr>
          <w:rFonts w:hint="eastAsia" w:ascii="黑体" w:hAnsi="黑体" w:eastAsia="黑体" w:cs="黑体"/>
          <w:b/>
          <w:color w:val="auto"/>
          <w:sz w:val="30"/>
          <w:szCs w:val="30"/>
          <w:highlight w:val="none"/>
        </w:rPr>
        <w:t>（含资信部分）文件</w:t>
      </w:r>
    </w:p>
    <w:p>
      <w:pPr>
        <w:spacing w:line="360" w:lineRule="auto"/>
        <w:jc w:val="center"/>
        <w:rPr>
          <w:b/>
          <w:color w:val="auto"/>
          <w:sz w:val="30"/>
          <w:szCs w:val="30"/>
          <w:highlight w:val="none"/>
        </w:rPr>
      </w:pPr>
    </w:p>
    <w:p>
      <w:pPr>
        <w:spacing w:line="360" w:lineRule="auto"/>
        <w:jc w:val="left"/>
        <w:rPr>
          <w:bCs/>
          <w:color w:val="auto"/>
          <w:szCs w:val="21"/>
          <w:highlight w:val="none"/>
        </w:rPr>
      </w:pPr>
      <w:r>
        <w:rPr>
          <w:rFonts w:hint="eastAsia"/>
          <w:b/>
          <w:color w:val="auto"/>
          <w:sz w:val="30"/>
          <w:szCs w:val="30"/>
          <w:highlight w:val="none"/>
        </w:rPr>
        <w:br w:type="page"/>
      </w:r>
      <w:r>
        <w:rPr>
          <w:rFonts w:hint="eastAsia"/>
          <w:bCs/>
          <w:color w:val="auto"/>
          <w:szCs w:val="21"/>
          <w:highlight w:val="none"/>
        </w:rPr>
        <w:t>格式参考：</w:t>
      </w:r>
    </w:p>
    <w:p>
      <w:pPr>
        <w:spacing w:line="360" w:lineRule="auto"/>
        <w:jc w:val="right"/>
        <w:rPr>
          <w:rFonts w:ascii="黑体" w:hAnsi="黑体" w:eastAsia="黑体" w:cs="黑体"/>
          <w:b/>
          <w:color w:val="auto"/>
          <w:sz w:val="30"/>
          <w:szCs w:val="30"/>
          <w:highlight w:val="none"/>
        </w:rPr>
      </w:pPr>
      <w:r>
        <w:rPr>
          <w:rFonts w:hint="eastAsia" w:ascii="黑体" w:hAnsi="黑体" w:eastAsia="黑体" w:cs="黑体"/>
          <w:b/>
          <w:color w:val="auto"/>
          <w:sz w:val="32"/>
          <w:szCs w:val="32"/>
          <w:highlight w:val="none"/>
        </w:rPr>
        <w:t>正/副本</w:t>
      </w:r>
    </w:p>
    <w:p>
      <w:pPr>
        <w:spacing w:line="360" w:lineRule="auto"/>
        <w:rPr>
          <w:b/>
          <w:color w:val="auto"/>
          <w:sz w:val="30"/>
          <w:szCs w:val="30"/>
          <w:highlight w:val="none"/>
        </w:rPr>
      </w:pPr>
    </w:p>
    <w:p>
      <w:pPr>
        <w:spacing w:line="360" w:lineRule="auto"/>
        <w:rPr>
          <w:bCs/>
          <w:color w:val="auto"/>
          <w:szCs w:val="21"/>
          <w:highlight w:val="none"/>
        </w:rPr>
      </w:pPr>
    </w:p>
    <w:p>
      <w:pPr>
        <w:jc w:val="center"/>
        <w:rPr>
          <w:rFonts w:hint="eastAsia" w:ascii="黑体" w:hAnsi="黑体" w:eastAsia="黑体" w:cs="黑体"/>
          <w:b/>
          <w:color w:val="auto"/>
          <w:kern w:val="0"/>
          <w:sz w:val="36"/>
          <w:szCs w:val="36"/>
          <w:highlight w:val="none"/>
          <w:u w:val="none"/>
          <w:lang w:val="en-US" w:eastAsia="zh-CN" w:bidi="ar"/>
        </w:rPr>
      </w:pP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湿地二期艺术区提升绿化景观项目</w:t>
      </w:r>
    </w:p>
    <w:p>
      <w:pPr>
        <w:pStyle w:val="32"/>
        <w:spacing w:line="360" w:lineRule="auto"/>
        <w:jc w:val="center"/>
        <w:rPr>
          <w:rFonts w:ascii="黑体" w:hAnsi="黑体" w:eastAsia="黑体" w:cs="黑体"/>
          <w:b/>
          <w:color w:val="auto"/>
          <w:sz w:val="36"/>
          <w:szCs w:val="36"/>
          <w:highlight w:val="none"/>
          <w:lang w:bidi="ar"/>
        </w:rPr>
      </w:pPr>
    </w:p>
    <w:p>
      <w:pPr>
        <w:pStyle w:val="32"/>
        <w:spacing w:line="360" w:lineRule="auto"/>
        <w:jc w:val="center"/>
        <w:rPr>
          <w:rFonts w:ascii="黑体" w:hAnsi="黑体" w:eastAsia="黑体" w:cs="黑体"/>
          <w:b/>
          <w:color w:val="auto"/>
          <w:sz w:val="36"/>
          <w:szCs w:val="36"/>
          <w:highlight w:val="none"/>
          <w:lang w:bidi="ar"/>
        </w:rPr>
      </w:pPr>
    </w:p>
    <w:p>
      <w:pPr>
        <w:pStyle w:val="32"/>
        <w:spacing w:line="360" w:lineRule="auto"/>
        <w:jc w:val="center"/>
        <w:rPr>
          <w:rFonts w:ascii="黑体" w:hAnsi="黑体" w:eastAsia="黑体" w:cs="黑体"/>
          <w:b/>
          <w:color w:val="auto"/>
          <w:sz w:val="48"/>
          <w:szCs w:val="48"/>
          <w:highlight w:val="none"/>
          <w:u w:val="none"/>
          <w:lang w:bidi="ar"/>
        </w:rPr>
      </w:pPr>
      <w:r>
        <w:rPr>
          <w:rFonts w:hint="eastAsia" w:ascii="黑体" w:hAnsi="黑体" w:eastAsia="黑体" w:cs="黑体"/>
          <w:b/>
          <w:color w:val="auto"/>
          <w:sz w:val="48"/>
          <w:szCs w:val="48"/>
          <w:highlight w:val="none"/>
          <w:u w:val="none"/>
          <w:lang w:bidi="ar"/>
        </w:rPr>
        <w:t>投标文件</w:t>
      </w:r>
    </w:p>
    <w:p>
      <w:pPr>
        <w:pStyle w:val="32"/>
        <w:spacing w:line="360" w:lineRule="auto"/>
        <w:jc w:val="center"/>
        <w:rPr>
          <w:rFonts w:ascii="黑体" w:hAnsi="黑体" w:eastAsia="黑体" w:cs="黑体"/>
          <w:b/>
          <w:color w:val="auto"/>
          <w:sz w:val="36"/>
          <w:szCs w:val="36"/>
          <w:highlight w:val="none"/>
          <w:lang w:bidi="ar"/>
        </w:rPr>
      </w:pPr>
      <w:r>
        <w:rPr>
          <w:rFonts w:hint="eastAsia" w:ascii="黑体" w:hAnsi="黑体" w:eastAsia="黑体" w:cs="黑体"/>
          <w:b/>
          <w:color w:val="auto"/>
          <w:sz w:val="36"/>
          <w:szCs w:val="36"/>
          <w:highlight w:val="none"/>
          <w:lang w:bidi="ar"/>
        </w:rPr>
        <w:t>（</w:t>
      </w:r>
      <w:r>
        <w:rPr>
          <w:rFonts w:hint="eastAsia" w:ascii="黑体" w:hAnsi="黑体" w:eastAsia="黑体" w:cs="黑体"/>
          <w:b/>
          <w:color w:val="auto"/>
          <w:sz w:val="36"/>
          <w:szCs w:val="36"/>
          <w:highlight w:val="none"/>
          <w:lang w:eastAsia="zh-CN" w:bidi="ar"/>
        </w:rPr>
        <w:t>工程施工总承包实施方案</w:t>
      </w:r>
      <w:r>
        <w:rPr>
          <w:rFonts w:hint="eastAsia" w:ascii="黑体" w:hAnsi="黑体" w:eastAsia="黑体" w:cs="黑体"/>
          <w:b/>
          <w:color w:val="auto"/>
          <w:sz w:val="36"/>
          <w:szCs w:val="36"/>
          <w:highlight w:val="none"/>
          <w:lang w:bidi="ar"/>
        </w:rPr>
        <w:t>（含资信部分）文件）</w:t>
      </w:r>
      <w:r>
        <w:rPr>
          <w:rFonts w:hint="eastAsia" w:ascii="黑体" w:hAnsi="黑体" w:eastAsia="黑体" w:cs="黑体"/>
          <w:bCs/>
          <w:color w:val="auto"/>
          <w:sz w:val="36"/>
          <w:szCs w:val="36"/>
          <w:highlight w:val="none"/>
          <w:u w:val="none"/>
          <w:lang w:bidi="ar"/>
        </w:rPr>
        <w:t xml:space="preserve"> </w:t>
      </w: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ind w:firstLine="389" w:firstLineChars="139"/>
        <w:jc w:val="left"/>
        <w:rPr>
          <w:rFonts w:ascii="华文楷体" w:hAnsi="华文楷体" w:eastAsia="华文楷体" w:cs="华文楷体"/>
          <w:color w:val="auto"/>
          <w:sz w:val="28"/>
          <w:szCs w:val="28"/>
          <w:highlight w:val="none"/>
          <w:u w:val="single"/>
        </w:rPr>
      </w:pPr>
      <w:r>
        <w:rPr>
          <w:rFonts w:hint="eastAsia" w:ascii="华文楷体" w:hAnsi="华文楷体" w:eastAsia="华文楷体" w:cs="华文楷体"/>
          <w:color w:val="auto"/>
          <w:sz w:val="28"/>
          <w:szCs w:val="28"/>
          <w:highlight w:val="none"/>
        </w:rPr>
        <w:t>投标单位名称（盖章）：</w:t>
      </w:r>
      <w:r>
        <w:rPr>
          <w:rFonts w:hint="eastAsia" w:ascii="华文楷体" w:hAnsi="华文楷体" w:eastAsia="华文楷体" w:cs="华文楷体"/>
          <w:color w:val="auto"/>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color w:val="auto"/>
          <w:sz w:val="28"/>
          <w:szCs w:val="28"/>
          <w:highlight w:val="none"/>
          <w:u w:val="single"/>
        </w:rPr>
      </w:pPr>
      <w:r>
        <w:rPr>
          <w:rFonts w:hint="eastAsia" w:ascii="华文楷体" w:hAnsi="华文楷体" w:eastAsia="华文楷体" w:cs="华文楷体"/>
          <w:color w:val="auto"/>
          <w:sz w:val="28"/>
          <w:szCs w:val="28"/>
          <w:highlight w:val="none"/>
        </w:rPr>
        <w:t>法定代表人或其委托代理人（签字或盖章）：</w:t>
      </w:r>
      <w:r>
        <w:rPr>
          <w:rFonts w:hint="eastAsia" w:ascii="华文楷体" w:hAnsi="华文楷体" w:eastAsia="华文楷体" w:cs="华文楷体"/>
          <w:color w:val="auto"/>
          <w:sz w:val="28"/>
          <w:szCs w:val="28"/>
          <w:highlight w:val="none"/>
          <w:u w:val="single"/>
        </w:rPr>
        <w:t xml:space="preserve">      </w:t>
      </w:r>
      <w:r>
        <w:rPr>
          <w:rFonts w:hint="eastAsia" w:ascii="华文楷体" w:hAnsi="华文楷体" w:eastAsia="华文楷体" w:cs="华文楷体"/>
          <w:color w:val="auto"/>
          <w:sz w:val="28"/>
          <w:szCs w:val="28"/>
          <w:highlight w:val="none"/>
          <w:u w:val="single"/>
        </w:rPr>
        <w:tab/>
      </w:r>
    </w:p>
    <w:p>
      <w:pPr>
        <w:spacing w:line="360" w:lineRule="auto"/>
        <w:ind w:firstLine="389" w:firstLineChars="139"/>
        <w:jc w:val="left"/>
        <w:rPr>
          <w:rFonts w:ascii="华文楷体" w:hAnsi="华文楷体" w:eastAsia="华文楷体" w:cs="华文楷体"/>
          <w:bCs/>
          <w:color w:val="auto"/>
          <w:sz w:val="28"/>
          <w:szCs w:val="28"/>
          <w:highlight w:val="none"/>
        </w:rPr>
      </w:pPr>
      <w:r>
        <w:rPr>
          <w:rFonts w:hint="eastAsia" w:ascii="华文楷体" w:hAnsi="华文楷体" w:eastAsia="华文楷体" w:cs="华文楷体"/>
          <w:color w:val="auto"/>
          <w:sz w:val="28"/>
          <w:szCs w:val="28"/>
          <w:highlight w:val="none"/>
        </w:rPr>
        <w:t>投标日期：   年   月   日</w:t>
      </w:r>
    </w:p>
    <w:p>
      <w:pPr>
        <w:spacing w:line="360" w:lineRule="auto"/>
        <w:jc w:val="center"/>
        <w:rPr>
          <w:rFonts w:ascii="黑体" w:hAnsi="黑体" w:eastAsia="黑体" w:cs="黑体"/>
          <w:b/>
          <w:color w:val="auto"/>
          <w:sz w:val="32"/>
          <w:szCs w:val="32"/>
          <w:highlight w:val="none"/>
        </w:rPr>
      </w:pPr>
      <w:r>
        <w:rPr>
          <w:rFonts w:hint="eastAsia"/>
          <w:b/>
          <w:color w:val="auto"/>
          <w:sz w:val="30"/>
          <w:szCs w:val="30"/>
          <w:highlight w:val="none"/>
        </w:rPr>
        <w:br w:type="page"/>
      </w:r>
      <w:r>
        <w:rPr>
          <w:rFonts w:hint="eastAsia" w:ascii="黑体" w:hAnsi="黑体" w:eastAsia="黑体" w:cs="黑体"/>
          <w:b/>
          <w:color w:val="auto"/>
          <w:sz w:val="32"/>
          <w:szCs w:val="32"/>
          <w:highlight w:val="none"/>
        </w:rPr>
        <w:t>目 录</w:t>
      </w:r>
    </w:p>
    <w:p>
      <w:pPr>
        <w:spacing w:line="360" w:lineRule="auto"/>
        <w:jc w:val="center"/>
        <w:rPr>
          <w:rFonts w:ascii="黑体" w:hAnsi="黑体" w:eastAsia="黑体" w:cs="黑体"/>
          <w:b/>
          <w:color w:val="auto"/>
          <w:sz w:val="32"/>
          <w:szCs w:val="32"/>
          <w:highlight w:val="none"/>
        </w:rPr>
      </w:pPr>
    </w:p>
    <w:p>
      <w:pPr>
        <w:spacing w:line="360" w:lineRule="auto"/>
        <w:rPr>
          <w:color w:val="auto"/>
          <w:szCs w:val="21"/>
          <w:highlight w:val="none"/>
        </w:rPr>
      </w:pPr>
      <w:r>
        <w:rPr>
          <w:rFonts w:hint="eastAsia"/>
          <w:color w:val="auto"/>
          <w:szCs w:val="21"/>
          <w:highlight w:val="none"/>
        </w:rPr>
        <w:t>一、施工技术投标书</w:t>
      </w:r>
    </w:p>
    <w:p>
      <w:pPr>
        <w:spacing w:line="360" w:lineRule="auto"/>
        <w:rPr>
          <w:color w:val="auto"/>
          <w:szCs w:val="21"/>
          <w:highlight w:val="none"/>
        </w:rPr>
      </w:pPr>
      <w:r>
        <w:rPr>
          <w:rFonts w:hint="eastAsia"/>
          <w:color w:val="auto"/>
          <w:szCs w:val="21"/>
          <w:highlight w:val="none"/>
        </w:rPr>
        <w:t>二、投标承诺书</w:t>
      </w:r>
    </w:p>
    <w:p>
      <w:pPr>
        <w:spacing w:line="360" w:lineRule="auto"/>
        <w:rPr>
          <w:color w:val="auto"/>
          <w:szCs w:val="21"/>
          <w:highlight w:val="none"/>
        </w:rPr>
      </w:pPr>
      <w:r>
        <w:rPr>
          <w:rFonts w:hint="eastAsia"/>
          <w:color w:val="auto"/>
          <w:szCs w:val="21"/>
          <w:highlight w:val="none"/>
          <w:lang w:val="en-US" w:eastAsia="zh-CN"/>
        </w:rPr>
        <w:t>三</w:t>
      </w:r>
      <w:r>
        <w:rPr>
          <w:rFonts w:hint="eastAsia"/>
          <w:color w:val="auto"/>
          <w:szCs w:val="21"/>
          <w:highlight w:val="none"/>
        </w:rPr>
        <w:t>、施工技术评分资料（按《</w:t>
      </w:r>
      <w:r>
        <w:rPr>
          <w:rFonts w:hint="eastAsia"/>
          <w:color w:val="auto"/>
          <w:szCs w:val="21"/>
          <w:highlight w:val="none"/>
          <w:lang w:eastAsia="zh-CN"/>
        </w:rPr>
        <w:t>工程施工总承包实施方案</w:t>
      </w:r>
      <w:r>
        <w:rPr>
          <w:rFonts w:hint="eastAsia"/>
          <w:color w:val="auto"/>
          <w:szCs w:val="21"/>
          <w:highlight w:val="none"/>
        </w:rPr>
        <w:t>（含资信部分）文件评分表》要求提交）</w:t>
      </w:r>
    </w:p>
    <w:p>
      <w:pPr>
        <w:spacing w:line="360" w:lineRule="auto"/>
        <w:rPr>
          <w:color w:val="auto"/>
          <w:szCs w:val="21"/>
          <w:highlight w:val="none"/>
        </w:rPr>
      </w:pPr>
      <w:r>
        <w:rPr>
          <w:rFonts w:hint="eastAsia"/>
          <w:color w:val="auto"/>
          <w:szCs w:val="21"/>
          <w:highlight w:val="none"/>
          <w:lang w:val="en-US" w:eastAsia="zh-CN"/>
        </w:rPr>
        <w:t>四</w:t>
      </w:r>
      <w:r>
        <w:rPr>
          <w:rFonts w:hint="eastAsia"/>
          <w:color w:val="auto"/>
          <w:szCs w:val="21"/>
          <w:highlight w:val="none"/>
        </w:rPr>
        <w:t>、投标人认为应提供的其他资料</w:t>
      </w:r>
    </w:p>
    <w:p>
      <w:pPr>
        <w:spacing w:line="360" w:lineRule="auto"/>
        <w:rPr>
          <w:color w:val="auto"/>
          <w:szCs w:val="21"/>
          <w:highlight w:val="none"/>
        </w:rPr>
      </w:pPr>
    </w:p>
    <w:p>
      <w:pPr>
        <w:spacing w:line="360" w:lineRule="auto"/>
        <w:rPr>
          <w:color w:val="auto"/>
          <w:szCs w:val="21"/>
          <w:highlight w:val="none"/>
        </w:rPr>
      </w:pPr>
    </w:p>
    <w:p>
      <w:pPr>
        <w:spacing w:line="360" w:lineRule="auto"/>
        <w:jc w:val="left"/>
        <w:rPr>
          <w:b/>
          <w:color w:val="auto"/>
          <w:sz w:val="30"/>
          <w:szCs w:val="30"/>
          <w:highlight w:val="none"/>
        </w:rPr>
      </w:pPr>
    </w:p>
    <w:p>
      <w:pPr>
        <w:spacing w:line="360" w:lineRule="auto"/>
        <w:rPr>
          <w:color w:val="auto"/>
          <w:szCs w:val="21"/>
          <w:highlight w:val="none"/>
        </w:rPr>
      </w:pPr>
      <w:r>
        <w:rPr>
          <w:rFonts w:hint="eastAsia"/>
          <w:color w:val="auto"/>
          <w:szCs w:val="21"/>
          <w:highlight w:val="none"/>
        </w:rPr>
        <w:t>注：页码由投标人自行编制。目录格式仅供参考，投标人可根据实际情况进行扩展及补充。</w:t>
      </w:r>
    </w:p>
    <w:p>
      <w:pPr>
        <w:spacing w:line="360" w:lineRule="auto"/>
        <w:jc w:val="center"/>
        <w:rPr>
          <w:rFonts w:ascii="黑体" w:hAnsi="黑体" w:eastAsia="黑体" w:cs="黑体"/>
          <w:b/>
          <w:color w:val="auto"/>
          <w:sz w:val="32"/>
          <w:szCs w:val="32"/>
          <w:highlight w:val="none"/>
          <w:lang w:val="zh-CN"/>
        </w:rPr>
      </w:pPr>
      <w:r>
        <w:rPr>
          <w:b/>
          <w:color w:val="auto"/>
          <w:sz w:val="48"/>
          <w:szCs w:val="48"/>
          <w:highlight w:val="none"/>
        </w:rPr>
        <w:br w:type="page"/>
      </w:r>
      <w:r>
        <w:rPr>
          <w:rFonts w:hint="eastAsia" w:ascii="黑体" w:hAnsi="黑体" w:eastAsia="黑体" w:cs="黑体"/>
          <w:b/>
          <w:color w:val="auto"/>
          <w:sz w:val="32"/>
          <w:szCs w:val="32"/>
          <w:highlight w:val="none"/>
        </w:rPr>
        <w:t>施工</w:t>
      </w:r>
      <w:r>
        <w:rPr>
          <w:rFonts w:hint="eastAsia" w:ascii="黑体" w:hAnsi="黑体" w:eastAsia="黑体" w:cs="黑体"/>
          <w:b/>
          <w:color w:val="auto"/>
          <w:sz w:val="32"/>
          <w:szCs w:val="32"/>
          <w:highlight w:val="none"/>
          <w:lang w:val="zh-CN"/>
        </w:rPr>
        <w:t>技术投标书</w:t>
      </w:r>
    </w:p>
    <w:p>
      <w:pPr>
        <w:autoSpaceDE w:val="0"/>
        <w:autoSpaceDN w:val="0"/>
        <w:adjustRightInd w:val="0"/>
        <w:spacing w:line="360" w:lineRule="auto"/>
        <w:jc w:val="right"/>
        <w:rPr>
          <w:bCs/>
          <w:color w:val="auto"/>
          <w:szCs w:val="21"/>
          <w:highlight w:val="none"/>
          <w:lang w:val="zh-CN"/>
        </w:rPr>
      </w:pPr>
      <w:r>
        <w:rPr>
          <w:rFonts w:hint="eastAsia"/>
          <w:bCs/>
          <w:color w:val="auto"/>
          <w:szCs w:val="21"/>
          <w:highlight w:val="none"/>
          <w:lang w:val="zh-CN"/>
        </w:rPr>
        <w:t>投标日期：   年  月  日</w:t>
      </w:r>
    </w:p>
    <w:tbl>
      <w:tblPr>
        <w:tblStyle w:val="38"/>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2294"/>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rPr>
              <w:t>项目</w:t>
            </w:r>
            <w:r>
              <w:rPr>
                <w:rFonts w:hint="eastAsia"/>
                <w:bCs/>
                <w:color w:val="auto"/>
                <w:szCs w:val="21"/>
                <w:highlight w:val="none"/>
                <w:lang w:val="zh-CN"/>
              </w:rPr>
              <w:t>名称</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auto"/>
                <w:szCs w:val="21"/>
                <w:highlight w:val="none"/>
                <w:lang w:val="zh-CN"/>
              </w:rPr>
            </w:pPr>
            <w:r>
              <w:rPr>
                <w:rFonts w:hint="eastAsia"/>
                <w:bCs/>
                <w:color w:val="auto"/>
                <w:szCs w:val="21"/>
                <w:highlight w:val="none"/>
              </w:rPr>
              <w:t>项目</w:t>
            </w:r>
            <w:r>
              <w:rPr>
                <w:rFonts w:hint="eastAsia"/>
                <w:bCs/>
                <w:color w:val="auto"/>
                <w:szCs w:val="21"/>
                <w:highlight w:val="none"/>
                <w:lang w:val="zh-CN"/>
              </w:rPr>
              <w:t>工期</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tcBorders>
              <w:left w:val="single" w:color="auto" w:sz="4" w:space="0"/>
              <w:bottom w:val="single" w:color="auto" w:sz="4" w:space="0"/>
              <w:right w:val="single" w:color="auto" w:sz="4" w:space="0"/>
            </w:tcBorders>
            <w:vAlign w:val="center"/>
          </w:tcPr>
          <w:p>
            <w:pPr>
              <w:spacing w:line="360" w:lineRule="auto"/>
              <w:jc w:val="center"/>
              <w:rPr>
                <w:bCs/>
                <w:color w:val="auto"/>
                <w:szCs w:val="21"/>
                <w:highlight w:val="none"/>
                <w:lang w:val="zh-CN"/>
              </w:rPr>
            </w:pPr>
            <w:r>
              <w:rPr>
                <w:rFonts w:hint="eastAsia"/>
                <w:bCs/>
                <w:color w:val="auto"/>
                <w:szCs w:val="21"/>
                <w:highlight w:val="none"/>
                <w:lang w:val="zh-CN"/>
              </w:rPr>
              <w:t>质量标准</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保修期限</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rPr>
            </w:pPr>
            <w:r>
              <w:rPr>
                <w:rFonts w:hint="eastAsia"/>
                <w:bCs/>
                <w:color w:val="auto"/>
                <w:szCs w:val="21"/>
                <w:highlight w:val="none"/>
              </w:rPr>
              <w:t>项目负责人（</w:t>
            </w:r>
            <w:r>
              <w:rPr>
                <w:rFonts w:hint="eastAsia"/>
                <w:color w:val="auto"/>
                <w:szCs w:val="21"/>
                <w:highlight w:val="none"/>
              </w:rPr>
              <w:t>施工负责人）</w:t>
            </w: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rPr>
              <w:t>姓    名</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rPr>
              <w:t>注册证号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rPr>
            </w:pPr>
            <w:r>
              <w:rPr>
                <w:rFonts w:hint="eastAsia"/>
                <w:bCs/>
                <w:color w:val="auto"/>
                <w:szCs w:val="21"/>
                <w:highlight w:val="none"/>
              </w:rPr>
              <w:t>职称证号或注册证号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restart"/>
            <w:tcBorders>
              <w:left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rPr>
            </w:pPr>
            <w:r>
              <w:rPr>
                <w:rFonts w:hint="eastAsia"/>
                <w:bCs/>
                <w:color w:val="auto"/>
                <w:szCs w:val="21"/>
                <w:highlight w:val="none"/>
              </w:rPr>
              <w:t>安全员</w:t>
            </w: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08" w:firstLineChars="147"/>
              <w:jc w:val="center"/>
              <w:rPr>
                <w:color w:val="auto"/>
                <w:szCs w:val="21"/>
                <w:highlight w:val="none"/>
              </w:rPr>
            </w:pPr>
            <w:r>
              <w:rPr>
                <w:rFonts w:hint="eastAsia"/>
                <w:color w:val="auto"/>
                <w:szCs w:val="21"/>
                <w:highlight w:val="none"/>
                <w:lang w:val="zh-CN"/>
              </w:rPr>
              <w:t>姓</w:t>
            </w:r>
            <w:r>
              <w:rPr>
                <w:color w:val="auto"/>
                <w:szCs w:val="21"/>
                <w:highlight w:val="none"/>
                <w:lang w:val="zh-CN"/>
              </w:rPr>
              <w:t xml:space="preserve">   </w:t>
            </w:r>
            <w:r>
              <w:rPr>
                <w:rFonts w:hint="eastAsia"/>
                <w:color w:val="auto"/>
                <w:szCs w:val="21"/>
                <w:highlight w:val="none"/>
                <w:lang w:val="zh-CN"/>
              </w:rPr>
              <w:t>名</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6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color w:val="auto"/>
                <w:szCs w:val="21"/>
                <w:highlight w:val="none"/>
              </w:rPr>
            </w:pPr>
            <w:r>
              <w:rPr>
                <w:rFonts w:hint="eastAsia"/>
                <w:color w:val="auto"/>
                <w:szCs w:val="21"/>
                <w:highlight w:val="none"/>
              </w:rPr>
              <w:t>安全生产考核</w:t>
            </w:r>
          </w:p>
          <w:p>
            <w:pPr>
              <w:autoSpaceDE w:val="0"/>
              <w:autoSpaceDN w:val="0"/>
              <w:adjustRightInd w:val="0"/>
              <w:spacing w:line="360" w:lineRule="auto"/>
              <w:jc w:val="center"/>
              <w:rPr>
                <w:color w:val="auto"/>
                <w:szCs w:val="21"/>
                <w:highlight w:val="none"/>
              </w:rPr>
            </w:pPr>
            <w:r>
              <w:rPr>
                <w:rFonts w:hint="eastAsia"/>
                <w:color w:val="auto"/>
                <w:szCs w:val="21"/>
                <w:highlight w:val="none"/>
              </w:rPr>
              <w:t>合格证（</w:t>
            </w:r>
            <w:r>
              <w:rPr>
                <w:color w:val="auto"/>
                <w:szCs w:val="21"/>
                <w:highlight w:val="none"/>
              </w:rPr>
              <w:t>C</w:t>
            </w:r>
            <w:r>
              <w:rPr>
                <w:rFonts w:hint="eastAsia"/>
                <w:color w:val="auto"/>
                <w:szCs w:val="21"/>
                <w:highlight w:val="none"/>
              </w:rPr>
              <w:t>类）编号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法定代表人</w:t>
            </w:r>
          </w:p>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（签名或盖章）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授权委托人</w:t>
            </w:r>
          </w:p>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（签名或盖章）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6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投标单位</w:t>
            </w:r>
          </w:p>
          <w:p>
            <w:pPr>
              <w:autoSpaceDE w:val="0"/>
              <w:autoSpaceDN w:val="0"/>
              <w:adjustRightInd w:val="0"/>
              <w:spacing w:line="360" w:lineRule="auto"/>
              <w:jc w:val="center"/>
              <w:rPr>
                <w:bCs/>
                <w:color w:val="auto"/>
                <w:szCs w:val="21"/>
                <w:highlight w:val="none"/>
                <w:lang w:val="zh-CN"/>
              </w:rPr>
            </w:pPr>
            <w:r>
              <w:rPr>
                <w:rFonts w:hint="eastAsia"/>
                <w:bCs/>
                <w:color w:val="auto"/>
                <w:szCs w:val="21"/>
                <w:highlight w:val="none"/>
                <w:lang w:val="zh-CN"/>
              </w:rPr>
              <w:t>（企业公章）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Cs/>
                <w:color w:val="auto"/>
                <w:szCs w:val="21"/>
                <w:highlight w:val="none"/>
                <w:lang w:val="zh-CN"/>
              </w:rPr>
            </w:pPr>
          </w:p>
        </w:tc>
      </w:tr>
    </w:tbl>
    <w:p>
      <w:pPr>
        <w:pStyle w:val="20"/>
        <w:spacing w:line="360" w:lineRule="auto"/>
        <w:jc w:val="left"/>
        <w:rPr>
          <w:rFonts w:hAnsi="黑体" w:cs="黑体"/>
          <w:color w:val="auto"/>
          <w:spacing w:val="0"/>
          <w:sz w:val="32"/>
          <w:szCs w:val="32"/>
          <w:highlight w:val="none"/>
        </w:rPr>
      </w:pPr>
      <w:r>
        <w:rPr>
          <w:b/>
          <w:color w:val="auto"/>
          <w:szCs w:val="21"/>
          <w:highlight w:val="none"/>
        </w:rPr>
        <w:br w:type="page"/>
      </w:r>
    </w:p>
    <w:p>
      <w:pPr>
        <w:pStyle w:val="91"/>
        <w:spacing w:beforeLines="0" w:afterLines="0" w:line="360" w:lineRule="auto"/>
        <w:jc w:val="center"/>
        <w:rPr>
          <w:rFonts w:hAnsi="黑体" w:cs="黑体"/>
          <w:color w:val="auto"/>
          <w:spacing w:val="0"/>
          <w:sz w:val="32"/>
          <w:szCs w:val="32"/>
          <w:highlight w:val="none"/>
        </w:rPr>
      </w:pPr>
    </w:p>
    <w:p>
      <w:pPr>
        <w:pStyle w:val="91"/>
        <w:spacing w:beforeLines="0" w:afterLines="0" w:line="360" w:lineRule="auto"/>
        <w:jc w:val="center"/>
        <w:rPr>
          <w:rFonts w:hAnsi="黑体" w:cs="黑体"/>
          <w:color w:val="auto"/>
          <w:spacing w:val="0"/>
          <w:sz w:val="32"/>
          <w:szCs w:val="32"/>
          <w:highlight w:val="none"/>
        </w:rPr>
      </w:pPr>
      <w:r>
        <w:rPr>
          <w:rFonts w:hint="eastAsia" w:hAnsi="黑体" w:cs="黑体"/>
          <w:color w:val="auto"/>
          <w:spacing w:val="0"/>
          <w:sz w:val="32"/>
          <w:szCs w:val="32"/>
          <w:highlight w:val="none"/>
        </w:rPr>
        <w:t>投标承诺书</w:t>
      </w:r>
    </w:p>
    <w:p>
      <w:pPr>
        <w:spacing w:line="360" w:lineRule="auto"/>
        <w:rPr>
          <w:color w:val="auto"/>
          <w:szCs w:val="21"/>
          <w:highlight w:val="none"/>
        </w:rPr>
      </w:pPr>
    </w:p>
    <w:p>
      <w:pPr>
        <w:spacing w:line="360" w:lineRule="auto"/>
        <w:rPr>
          <w:color w:val="auto"/>
          <w:szCs w:val="21"/>
          <w:highlight w:val="none"/>
        </w:rPr>
      </w:pPr>
      <w:r>
        <w:rPr>
          <w:rFonts w:hint="eastAsia"/>
          <w:color w:val="auto"/>
          <w:szCs w:val="21"/>
          <w:highlight w:val="none"/>
        </w:rPr>
        <w:t>致</w:t>
      </w:r>
      <w:r>
        <w:rPr>
          <w:rFonts w:hint="eastAsia"/>
          <w:color w:val="auto"/>
          <w:szCs w:val="21"/>
          <w:highlight w:val="none"/>
          <w:u w:val="single"/>
        </w:rPr>
        <w:t>广州南沙</w:t>
      </w:r>
      <w:r>
        <w:rPr>
          <w:rFonts w:hint="eastAsia"/>
          <w:color w:val="auto"/>
          <w:szCs w:val="21"/>
          <w:highlight w:val="none"/>
          <w:u w:val="single"/>
          <w:lang w:eastAsia="zh-CN"/>
        </w:rPr>
        <w:t>湿地</w:t>
      </w:r>
      <w:r>
        <w:rPr>
          <w:rFonts w:hint="eastAsia"/>
          <w:color w:val="auto"/>
          <w:szCs w:val="21"/>
          <w:highlight w:val="none"/>
          <w:u w:val="single"/>
        </w:rPr>
        <w:t>旅游发展有</w:t>
      </w:r>
      <w:r>
        <w:rPr>
          <w:rFonts w:hint="eastAsia" w:cs="Times New Roman"/>
          <w:color w:val="auto"/>
          <w:szCs w:val="21"/>
          <w:highlight w:val="none"/>
          <w:u w:val="single"/>
          <w:lang w:eastAsia="zh-CN"/>
        </w:rPr>
        <w:t>限公司</w:t>
      </w:r>
      <w:r>
        <w:rPr>
          <w:rFonts w:hint="eastAsia"/>
          <w:color w:val="auto"/>
          <w:szCs w:val="21"/>
          <w:highlight w:val="none"/>
        </w:rPr>
        <w:t>：</w:t>
      </w:r>
    </w:p>
    <w:p>
      <w:pPr>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rFonts w:hint="eastAsia"/>
          <w:color w:val="auto"/>
          <w:szCs w:val="21"/>
          <w:highlight w:val="none"/>
        </w:rPr>
        <w:t>若我方成为</w:t>
      </w:r>
      <w:r>
        <w:rPr>
          <w:rFonts w:hint="eastAsia"/>
          <w:color w:val="auto"/>
          <w:szCs w:val="21"/>
          <w:highlight w:val="none"/>
          <w:u w:val="single"/>
        </w:rPr>
        <w:t>“</w:t>
      </w:r>
      <w:r>
        <w:rPr>
          <w:rFonts w:hint="eastAsia"/>
          <w:color w:val="auto"/>
          <w:szCs w:val="21"/>
          <w:highlight w:val="none"/>
          <w:u w:val="single"/>
          <w:lang w:eastAsia="zh-CN"/>
        </w:rPr>
        <w:t>湿地二期艺术区提升绿化景观项目</w:t>
      </w:r>
      <w:r>
        <w:rPr>
          <w:rFonts w:hint="eastAsia"/>
          <w:color w:val="auto"/>
          <w:szCs w:val="21"/>
          <w:highlight w:val="none"/>
          <w:u w:val="single"/>
        </w:rPr>
        <w:t>”</w:t>
      </w:r>
      <w:r>
        <w:rPr>
          <w:rFonts w:hint="eastAsia"/>
          <w:color w:val="auto"/>
          <w:szCs w:val="21"/>
          <w:highlight w:val="none"/>
        </w:rPr>
        <w:t>的中标单位，我方郑重承诺，将切实完成以下工作，若不在限定时间内完成以下任何一项工作，可视为我方放弃本次中标资格，招标人可另择中标单位：</w:t>
      </w:r>
    </w:p>
    <w:p>
      <w:pPr>
        <w:spacing w:line="360" w:lineRule="auto"/>
        <w:ind w:firstLine="420" w:firstLineChars="200"/>
        <w:rPr>
          <w:color w:val="auto"/>
          <w:szCs w:val="21"/>
          <w:highlight w:val="none"/>
        </w:rPr>
      </w:pPr>
      <w:r>
        <w:rPr>
          <w:rFonts w:hint="eastAsia"/>
          <w:color w:val="auto"/>
          <w:szCs w:val="21"/>
          <w:highlight w:val="none"/>
        </w:rPr>
        <w:t>1、在</w:t>
      </w:r>
      <w:r>
        <w:rPr>
          <w:rFonts w:hint="eastAsia"/>
          <w:color w:val="auto"/>
          <w:szCs w:val="21"/>
          <w:highlight w:val="none"/>
          <w:lang w:val="en-US" w:eastAsia="zh-CN"/>
        </w:rPr>
        <w:t>招标人</w:t>
      </w:r>
      <w:r>
        <w:rPr>
          <w:rFonts w:hint="eastAsia"/>
          <w:color w:val="auto"/>
          <w:szCs w:val="21"/>
          <w:highlight w:val="none"/>
        </w:rPr>
        <w:t>通知的时间内，派委托代理人携带身份证及法人授权委托证明及时收取中标通知书，收到中标通知书后2个工作日内提交按照招投标文件、答疑纪要及有关补充说明、通知拟写的合同稿及其电子文件给招标人。</w:t>
      </w:r>
    </w:p>
    <w:p>
      <w:pPr>
        <w:spacing w:line="360" w:lineRule="auto"/>
        <w:ind w:firstLine="420" w:firstLineChars="200"/>
        <w:rPr>
          <w:color w:val="auto"/>
          <w:szCs w:val="21"/>
          <w:highlight w:val="none"/>
        </w:rPr>
      </w:pPr>
      <w:r>
        <w:rPr>
          <w:rFonts w:hint="eastAsia"/>
          <w:color w:val="auto"/>
          <w:szCs w:val="21"/>
          <w:highlight w:val="none"/>
        </w:rPr>
        <w:t>2、我单位合同签订负责人收到已审定的合同正式稿后5个工作日内签订合同并送达招标人。</w:t>
      </w:r>
    </w:p>
    <w:p>
      <w:pPr>
        <w:spacing w:line="360" w:lineRule="auto"/>
        <w:ind w:firstLine="420" w:firstLineChars="200"/>
        <w:rPr>
          <w:color w:val="auto"/>
          <w:szCs w:val="21"/>
          <w:highlight w:val="none"/>
        </w:rPr>
      </w:pPr>
      <w:r>
        <w:rPr>
          <w:rFonts w:hint="eastAsia"/>
          <w:color w:val="auto"/>
          <w:szCs w:val="21"/>
          <w:highlight w:val="none"/>
        </w:rPr>
        <w:t>3、招标人通知领取已签订的合同文件后2个工作日内领取合同文件。</w:t>
      </w:r>
    </w:p>
    <w:p>
      <w:pPr>
        <w:spacing w:line="360" w:lineRule="auto"/>
        <w:ind w:firstLine="420" w:firstLineChars="200"/>
        <w:rPr>
          <w:color w:val="auto"/>
          <w:szCs w:val="21"/>
          <w:highlight w:val="none"/>
        </w:rPr>
      </w:pPr>
      <w:r>
        <w:rPr>
          <w:rFonts w:hint="eastAsia"/>
          <w:color w:val="auto"/>
          <w:szCs w:val="21"/>
          <w:highlight w:val="none"/>
        </w:rPr>
        <w:t>4、我方承诺，严格按照上述1～3项要求办理相关工作，若不能按上述1～3项要求办理相关工作，我方自动放弃中标人资格，接受相关条款处罚。</w:t>
      </w:r>
    </w:p>
    <w:p>
      <w:pPr>
        <w:spacing w:line="360" w:lineRule="auto"/>
        <w:ind w:firstLine="420" w:firstLineChars="200"/>
        <w:rPr>
          <w:color w:val="auto"/>
          <w:szCs w:val="21"/>
          <w:highlight w:val="none"/>
        </w:rPr>
      </w:pPr>
      <w:r>
        <w:rPr>
          <w:rFonts w:hint="eastAsia"/>
          <w:color w:val="auto"/>
          <w:szCs w:val="21"/>
          <w:highlight w:val="none"/>
        </w:rPr>
        <w:t>5、合同签订负责人和项目负责人保持电话联系畅通。</w:t>
      </w:r>
    </w:p>
    <w:p>
      <w:pPr>
        <w:spacing w:line="360" w:lineRule="auto"/>
        <w:ind w:firstLine="420" w:firstLineChars="200"/>
        <w:rPr>
          <w:color w:val="auto"/>
          <w:szCs w:val="21"/>
          <w:highlight w:val="none"/>
        </w:rPr>
      </w:pPr>
    </w:p>
    <w:p>
      <w:pPr>
        <w:pStyle w:val="2"/>
        <w:rPr>
          <w:color w:val="auto"/>
          <w:szCs w:val="21"/>
          <w:highlight w:val="none"/>
        </w:rPr>
      </w:pPr>
    </w:p>
    <w:p>
      <w:pPr>
        <w:rPr>
          <w:color w:val="auto"/>
          <w:highlight w:val="none"/>
        </w:rPr>
      </w:pPr>
    </w:p>
    <w:p>
      <w:pPr>
        <w:spacing w:line="360" w:lineRule="auto"/>
        <w:rPr>
          <w:color w:val="auto"/>
          <w:szCs w:val="21"/>
          <w:highlight w:val="none"/>
        </w:rPr>
      </w:pPr>
      <w:r>
        <w:rPr>
          <w:rFonts w:hint="eastAsia"/>
          <w:color w:val="auto"/>
          <w:szCs w:val="21"/>
          <w:highlight w:val="none"/>
        </w:rPr>
        <w:t>投标单位（盖公章）：</w:t>
      </w:r>
    </w:p>
    <w:p>
      <w:pPr>
        <w:spacing w:line="360" w:lineRule="auto"/>
        <w:rPr>
          <w:color w:val="auto"/>
          <w:szCs w:val="21"/>
          <w:highlight w:val="none"/>
        </w:rPr>
      </w:pPr>
      <w:r>
        <w:rPr>
          <w:rFonts w:hint="eastAsia"/>
          <w:color w:val="auto"/>
          <w:szCs w:val="21"/>
          <w:highlight w:val="none"/>
        </w:rPr>
        <w:t>法定代表人（签字或盖章）：</w:t>
      </w:r>
    </w:p>
    <w:p>
      <w:pPr>
        <w:spacing w:line="360" w:lineRule="auto"/>
        <w:rPr>
          <w:color w:val="auto"/>
          <w:szCs w:val="21"/>
          <w:highlight w:val="none"/>
        </w:rPr>
      </w:pPr>
      <w:r>
        <w:rPr>
          <w:rFonts w:hint="eastAsia"/>
          <w:color w:val="auto"/>
          <w:szCs w:val="21"/>
          <w:highlight w:val="none"/>
        </w:rPr>
        <w:t>项目负责人（签名或盖章）：</w:t>
      </w:r>
    </w:p>
    <w:p>
      <w:pPr>
        <w:spacing w:line="360" w:lineRule="auto"/>
        <w:rPr>
          <w:color w:val="auto"/>
          <w:szCs w:val="21"/>
          <w:highlight w:val="none"/>
        </w:rPr>
      </w:pPr>
      <w:r>
        <w:rPr>
          <w:rFonts w:hint="eastAsia"/>
          <w:color w:val="auto"/>
          <w:szCs w:val="21"/>
          <w:highlight w:val="none"/>
        </w:rPr>
        <w:t>项目负责人联系电话：</w:t>
      </w:r>
    </w:p>
    <w:p>
      <w:pPr>
        <w:spacing w:line="360" w:lineRule="auto"/>
        <w:rPr>
          <w:color w:val="auto"/>
          <w:szCs w:val="21"/>
          <w:highlight w:val="none"/>
        </w:rPr>
      </w:pPr>
      <w:r>
        <w:rPr>
          <w:rFonts w:hint="eastAsia"/>
          <w:color w:val="auto"/>
          <w:szCs w:val="21"/>
          <w:highlight w:val="none"/>
        </w:rPr>
        <w:t>合同签订负责人（签名或盖章）：</w:t>
      </w:r>
    </w:p>
    <w:p>
      <w:pPr>
        <w:spacing w:line="360" w:lineRule="auto"/>
        <w:rPr>
          <w:color w:val="auto"/>
          <w:szCs w:val="21"/>
          <w:highlight w:val="none"/>
        </w:rPr>
      </w:pPr>
      <w:r>
        <w:rPr>
          <w:rFonts w:hint="eastAsia"/>
          <w:color w:val="auto"/>
          <w:szCs w:val="21"/>
          <w:highlight w:val="none"/>
        </w:rPr>
        <w:t>合同签订负责人联系电话：</w:t>
      </w:r>
    </w:p>
    <w:p>
      <w:pPr>
        <w:pStyle w:val="70"/>
        <w:ind w:right="458" w:firstLine="0"/>
        <w:jc w:val="right"/>
        <w:rPr>
          <w:rFonts w:ascii="宋体" w:hAnsi="宋体" w:eastAsia="宋体"/>
          <w:color w:val="auto"/>
          <w:sz w:val="21"/>
          <w:szCs w:val="21"/>
          <w:highlight w:val="none"/>
        </w:rPr>
      </w:pPr>
    </w:p>
    <w:p>
      <w:pPr>
        <w:pStyle w:val="70"/>
        <w:ind w:right="458" w:firstLine="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年  月  日</w:t>
      </w:r>
    </w:p>
    <w:p>
      <w:pPr>
        <w:autoSpaceDE w:val="0"/>
        <w:autoSpaceDN w:val="0"/>
        <w:adjustRightInd w:val="0"/>
        <w:spacing w:line="360" w:lineRule="auto"/>
        <w:rPr>
          <w:b/>
          <w:color w:val="auto"/>
          <w:szCs w:val="21"/>
          <w:highlight w:val="none"/>
        </w:rPr>
      </w:pPr>
    </w:p>
    <w:p>
      <w:pPr>
        <w:pStyle w:val="89"/>
        <w:rPr>
          <w:b/>
          <w:color w:val="auto"/>
          <w:sz w:val="30"/>
          <w:szCs w:val="30"/>
          <w:highlight w:val="none"/>
        </w:rPr>
      </w:pPr>
      <w:r>
        <w:rPr>
          <w:b/>
          <w:color w:val="auto"/>
          <w:szCs w:val="21"/>
          <w:highlight w:val="none"/>
        </w:rPr>
        <w:br w:type="page"/>
      </w:r>
    </w:p>
    <w:p>
      <w:pPr>
        <w:spacing w:line="360" w:lineRule="auto"/>
        <w:jc w:val="center"/>
        <w:rPr>
          <w:b/>
          <w:color w:val="auto"/>
          <w:sz w:val="30"/>
          <w:szCs w:val="30"/>
          <w:highlight w:val="none"/>
        </w:rPr>
      </w:pPr>
    </w:p>
    <w:p>
      <w:pPr>
        <w:spacing w:line="360" w:lineRule="auto"/>
        <w:jc w:val="center"/>
        <w:rPr>
          <w:rFonts w:eastAsia="黑体"/>
          <w:b/>
          <w:color w:val="auto"/>
          <w:sz w:val="30"/>
          <w:szCs w:val="30"/>
          <w:highlight w:val="none"/>
        </w:rPr>
      </w:pPr>
      <w:r>
        <w:rPr>
          <w:rFonts w:hint="eastAsia" w:ascii="黑体" w:hAnsi="黑体" w:eastAsia="黑体" w:cs="黑体"/>
          <w:b/>
          <w:color w:val="auto"/>
          <w:sz w:val="30"/>
          <w:szCs w:val="30"/>
          <w:highlight w:val="none"/>
        </w:rPr>
        <w:t>第</w:t>
      </w:r>
      <w:r>
        <w:rPr>
          <w:rFonts w:hint="eastAsia" w:ascii="黑体" w:hAnsi="黑体" w:eastAsia="黑体" w:cs="黑体"/>
          <w:b/>
          <w:color w:val="auto"/>
          <w:sz w:val="30"/>
          <w:szCs w:val="30"/>
          <w:highlight w:val="none"/>
          <w:lang w:eastAsia="zh-CN"/>
        </w:rPr>
        <w:t>三</w:t>
      </w:r>
      <w:r>
        <w:rPr>
          <w:rFonts w:hint="eastAsia" w:ascii="黑体" w:hAnsi="黑体" w:eastAsia="黑体" w:cs="黑体"/>
          <w:b/>
          <w:color w:val="auto"/>
          <w:sz w:val="30"/>
          <w:szCs w:val="30"/>
          <w:highlight w:val="none"/>
        </w:rPr>
        <w:t>部分 投标报价文件</w:t>
      </w:r>
    </w:p>
    <w:p>
      <w:pPr>
        <w:spacing w:line="360" w:lineRule="auto"/>
        <w:jc w:val="center"/>
        <w:rPr>
          <w:b/>
          <w:color w:val="auto"/>
          <w:sz w:val="30"/>
          <w:szCs w:val="30"/>
          <w:highlight w:val="none"/>
        </w:rPr>
      </w:pPr>
    </w:p>
    <w:p>
      <w:pPr>
        <w:spacing w:line="360" w:lineRule="auto"/>
        <w:jc w:val="left"/>
        <w:rPr>
          <w:bCs/>
          <w:color w:val="auto"/>
          <w:szCs w:val="21"/>
          <w:highlight w:val="none"/>
        </w:rPr>
      </w:pPr>
      <w:r>
        <w:rPr>
          <w:rFonts w:hint="eastAsia"/>
          <w:b/>
          <w:color w:val="auto"/>
          <w:sz w:val="30"/>
          <w:szCs w:val="30"/>
          <w:highlight w:val="none"/>
        </w:rPr>
        <w:br w:type="page"/>
      </w:r>
      <w:r>
        <w:rPr>
          <w:rFonts w:hint="eastAsia"/>
          <w:bCs/>
          <w:color w:val="auto"/>
          <w:szCs w:val="21"/>
          <w:highlight w:val="none"/>
        </w:rPr>
        <w:t>格式参考：</w:t>
      </w:r>
    </w:p>
    <w:p>
      <w:pPr>
        <w:spacing w:line="360" w:lineRule="auto"/>
        <w:jc w:val="right"/>
        <w:rPr>
          <w:rFonts w:ascii="黑体" w:hAnsi="黑体" w:eastAsia="黑体" w:cs="黑体"/>
          <w:b/>
          <w:color w:val="auto"/>
          <w:sz w:val="30"/>
          <w:szCs w:val="30"/>
          <w:highlight w:val="none"/>
        </w:rPr>
      </w:pPr>
      <w:r>
        <w:rPr>
          <w:rFonts w:hint="eastAsia" w:ascii="黑体" w:hAnsi="黑体" w:eastAsia="黑体" w:cs="黑体"/>
          <w:b/>
          <w:color w:val="auto"/>
          <w:sz w:val="32"/>
          <w:szCs w:val="32"/>
          <w:highlight w:val="none"/>
        </w:rPr>
        <w:t>正/副本</w:t>
      </w:r>
    </w:p>
    <w:p>
      <w:pPr>
        <w:spacing w:line="360" w:lineRule="auto"/>
        <w:rPr>
          <w:b/>
          <w:color w:val="auto"/>
          <w:sz w:val="30"/>
          <w:szCs w:val="30"/>
          <w:highlight w:val="none"/>
        </w:rPr>
      </w:pPr>
    </w:p>
    <w:p>
      <w:pPr>
        <w:spacing w:line="360" w:lineRule="auto"/>
        <w:rPr>
          <w:bCs/>
          <w:color w:val="auto"/>
          <w:szCs w:val="21"/>
          <w:highlight w:val="none"/>
        </w:rPr>
      </w:pP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湿地二期艺术区提升绿化景观项目</w:t>
      </w:r>
    </w:p>
    <w:p>
      <w:pPr>
        <w:pStyle w:val="32"/>
        <w:spacing w:line="360" w:lineRule="auto"/>
        <w:jc w:val="center"/>
        <w:rPr>
          <w:rFonts w:ascii="黑体" w:hAnsi="黑体" w:eastAsia="黑体" w:cs="黑体"/>
          <w:b/>
          <w:color w:val="auto"/>
          <w:sz w:val="36"/>
          <w:szCs w:val="36"/>
          <w:highlight w:val="none"/>
          <w:lang w:bidi="ar"/>
        </w:rPr>
      </w:pPr>
    </w:p>
    <w:p>
      <w:pPr>
        <w:pStyle w:val="32"/>
        <w:spacing w:line="360" w:lineRule="auto"/>
        <w:jc w:val="center"/>
        <w:rPr>
          <w:rFonts w:ascii="黑体" w:hAnsi="黑体" w:eastAsia="黑体" w:cs="黑体"/>
          <w:b/>
          <w:color w:val="auto"/>
          <w:sz w:val="36"/>
          <w:szCs w:val="36"/>
          <w:highlight w:val="none"/>
          <w:lang w:bidi="ar"/>
        </w:rPr>
      </w:pPr>
    </w:p>
    <w:p>
      <w:pPr>
        <w:pStyle w:val="32"/>
        <w:spacing w:line="360" w:lineRule="auto"/>
        <w:jc w:val="center"/>
        <w:rPr>
          <w:rFonts w:ascii="黑体" w:hAnsi="黑体" w:eastAsia="黑体" w:cs="黑体"/>
          <w:b/>
          <w:color w:val="auto"/>
          <w:sz w:val="36"/>
          <w:szCs w:val="36"/>
          <w:highlight w:val="none"/>
          <w:lang w:bidi="ar"/>
        </w:rPr>
      </w:pPr>
    </w:p>
    <w:p>
      <w:pPr>
        <w:pStyle w:val="32"/>
        <w:spacing w:line="360" w:lineRule="auto"/>
        <w:jc w:val="center"/>
        <w:rPr>
          <w:rFonts w:ascii="黑体" w:hAnsi="黑体" w:eastAsia="黑体" w:cs="黑体"/>
          <w:b/>
          <w:color w:val="auto"/>
          <w:sz w:val="48"/>
          <w:szCs w:val="48"/>
          <w:highlight w:val="none"/>
          <w:u w:val="none"/>
          <w:lang w:bidi="ar"/>
        </w:rPr>
      </w:pPr>
      <w:r>
        <w:rPr>
          <w:rFonts w:hint="eastAsia" w:ascii="黑体" w:hAnsi="黑体" w:eastAsia="黑体" w:cs="黑体"/>
          <w:b/>
          <w:color w:val="auto"/>
          <w:sz w:val="48"/>
          <w:szCs w:val="48"/>
          <w:highlight w:val="none"/>
          <w:u w:val="none"/>
          <w:lang w:bidi="ar"/>
        </w:rPr>
        <w:t>投标文件</w:t>
      </w:r>
    </w:p>
    <w:p>
      <w:pPr>
        <w:pStyle w:val="32"/>
        <w:spacing w:line="360" w:lineRule="auto"/>
        <w:jc w:val="center"/>
        <w:rPr>
          <w:rFonts w:ascii="黑体" w:hAnsi="黑体" w:eastAsia="黑体" w:cs="黑体"/>
          <w:b/>
          <w:color w:val="auto"/>
          <w:sz w:val="36"/>
          <w:szCs w:val="36"/>
          <w:highlight w:val="none"/>
          <w:lang w:bidi="ar"/>
        </w:rPr>
      </w:pPr>
      <w:r>
        <w:rPr>
          <w:rFonts w:hint="eastAsia" w:ascii="黑体" w:hAnsi="黑体" w:eastAsia="黑体" w:cs="黑体"/>
          <w:b/>
          <w:color w:val="auto"/>
          <w:sz w:val="36"/>
          <w:szCs w:val="36"/>
          <w:highlight w:val="none"/>
          <w:lang w:bidi="ar"/>
        </w:rPr>
        <w:t>（投标报价文件）</w:t>
      </w:r>
      <w:r>
        <w:rPr>
          <w:rFonts w:hint="eastAsia" w:ascii="黑体" w:hAnsi="黑体" w:eastAsia="黑体" w:cs="黑体"/>
          <w:bCs/>
          <w:color w:val="auto"/>
          <w:sz w:val="36"/>
          <w:szCs w:val="36"/>
          <w:highlight w:val="none"/>
          <w:u w:val="none"/>
          <w:lang w:bidi="ar"/>
        </w:rPr>
        <w:t xml:space="preserve"> </w:t>
      </w: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rPr>
          <w:b/>
          <w:color w:val="auto"/>
          <w:sz w:val="48"/>
          <w:szCs w:val="48"/>
          <w:highlight w:val="none"/>
        </w:rPr>
      </w:pPr>
    </w:p>
    <w:p>
      <w:pPr>
        <w:spacing w:line="360" w:lineRule="auto"/>
        <w:ind w:firstLine="389" w:firstLineChars="139"/>
        <w:jc w:val="left"/>
        <w:rPr>
          <w:rFonts w:ascii="华文楷体" w:hAnsi="华文楷体" w:eastAsia="华文楷体" w:cs="华文楷体"/>
          <w:color w:val="auto"/>
          <w:sz w:val="28"/>
          <w:szCs w:val="28"/>
          <w:highlight w:val="none"/>
          <w:u w:val="single"/>
        </w:rPr>
      </w:pPr>
      <w:r>
        <w:rPr>
          <w:rFonts w:hint="eastAsia" w:ascii="华文楷体" w:hAnsi="华文楷体" w:eastAsia="华文楷体" w:cs="华文楷体"/>
          <w:color w:val="auto"/>
          <w:sz w:val="28"/>
          <w:szCs w:val="28"/>
          <w:highlight w:val="none"/>
        </w:rPr>
        <w:t>投标单位名称（盖章）：</w:t>
      </w:r>
      <w:r>
        <w:rPr>
          <w:rFonts w:hint="eastAsia" w:ascii="华文楷体" w:hAnsi="华文楷体" w:eastAsia="华文楷体" w:cs="华文楷体"/>
          <w:color w:val="auto"/>
          <w:kern w:val="0"/>
          <w:sz w:val="28"/>
          <w:szCs w:val="28"/>
          <w:highlight w:val="none"/>
          <w:u w:val="single"/>
        </w:rPr>
        <w:t xml:space="preserve">                         </w:t>
      </w:r>
    </w:p>
    <w:p>
      <w:pPr>
        <w:spacing w:line="360" w:lineRule="auto"/>
        <w:ind w:firstLine="389" w:firstLineChars="139"/>
        <w:jc w:val="left"/>
        <w:rPr>
          <w:rFonts w:ascii="华文楷体" w:hAnsi="华文楷体" w:eastAsia="华文楷体" w:cs="华文楷体"/>
          <w:color w:val="auto"/>
          <w:sz w:val="28"/>
          <w:szCs w:val="28"/>
          <w:highlight w:val="none"/>
          <w:u w:val="single"/>
        </w:rPr>
      </w:pPr>
      <w:r>
        <w:rPr>
          <w:rFonts w:hint="eastAsia" w:ascii="华文楷体" w:hAnsi="华文楷体" w:eastAsia="华文楷体" w:cs="华文楷体"/>
          <w:color w:val="auto"/>
          <w:sz w:val="28"/>
          <w:szCs w:val="28"/>
          <w:highlight w:val="none"/>
        </w:rPr>
        <w:t>法定代表人或其委托代理人（签字或盖章）：</w:t>
      </w:r>
      <w:r>
        <w:rPr>
          <w:rFonts w:hint="eastAsia" w:ascii="华文楷体" w:hAnsi="华文楷体" w:eastAsia="华文楷体" w:cs="华文楷体"/>
          <w:color w:val="auto"/>
          <w:sz w:val="28"/>
          <w:szCs w:val="28"/>
          <w:highlight w:val="none"/>
          <w:u w:val="single"/>
        </w:rPr>
        <w:t xml:space="preserve">      </w:t>
      </w:r>
      <w:r>
        <w:rPr>
          <w:rFonts w:hint="eastAsia" w:ascii="华文楷体" w:hAnsi="华文楷体" w:eastAsia="华文楷体" w:cs="华文楷体"/>
          <w:color w:val="auto"/>
          <w:sz w:val="28"/>
          <w:szCs w:val="28"/>
          <w:highlight w:val="none"/>
          <w:u w:val="single"/>
        </w:rPr>
        <w:tab/>
      </w:r>
    </w:p>
    <w:p>
      <w:pPr>
        <w:spacing w:line="360" w:lineRule="auto"/>
        <w:ind w:firstLine="389" w:firstLineChars="139"/>
        <w:jc w:val="left"/>
        <w:rPr>
          <w:rFonts w:ascii="华文楷体" w:hAnsi="华文楷体" w:eastAsia="华文楷体" w:cs="华文楷体"/>
          <w:bCs/>
          <w:color w:val="auto"/>
          <w:sz w:val="28"/>
          <w:szCs w:val="28"/>
          <w:highlight w:val="none"/>
        </w:rPr>
      </w:pPr>
      <w:r>
        <w:rPr>
          <w:rFonts w:hint="eastAsia" w:ascii="华文楷体" w:hAnsi="华文楷体" w:eastAsia="华文楷体" w:cs="华文楷体"/>
          <w:color w:val="auto"/>
          <w:sz w:val="28"/>
          <w:szCs w:val="28"/>
          <w:highlight w:val="none"/>
        </w:rPr>
        <w:t>投标日期：   年   月   日</w:t>
      </w:r>
    </w:p>
    <w:p>
      <w:pPr>
        <w:spacing w:line="360" w:lineRule="auto"/>
        <w:jc w:val="center"/>
        <w:rPr>
          <w:rFonts w:ascii="黑体" w:hAnsi="黑体" w:eastAsia="黑体" w:cs="黑体"/>
          <w:b/>
          <w:color w:val="auto"/>
          <w:sz w:val="32"/>
          <w:szCs w:val="32"/>
          <w:highlight w:val="none"/>
        </w:rPr>
      </w:pPr>
      <w:r>
        <w:rPr>
          <w:rFonts w:hint="eastAsia"/>
          <w:b/>
          <w:color w:val="auto"/>
          <w:sz w:val="30"/>
          <w:szCs w:val="30"/>
          <w:highlight w:val="none"/>
        </w:rPr>
        <w:br w:type="page"/>
      </w:r>
      <w:r>
        <w:rPr>
          <w:rFonts w:hint="eastAsia" w:ascii="黑体" w:hAnsi="黑体" w:eastAsia="黑体" w:cs="黑体"/>
          <w:b/>
          <w:color w:val="auto"/>
          <w:sz w:val="32"/>
          <w:szCs w:val="32"/>
          <w:highlight w:val="none"/>
        </w:rPr>
        <w:t>目 录</w:t>
      </w:r>
    </w:p>
    <w:p>
      <w:pPr>
        <w:spacing w:line="360" w:lineRule="auto"/>
        <w:jc w:val="center"/>
        <w:rPr>
          <w:rFonts w:ascii="黑体" w:hAnsi="黑体" w:eastAsia="黑体" w:cs="黑体"/>
          <w:b/>
          <w:color w:val="auto"/>
          <w:sz w:val="32"/>
          <w:szCs w:val="32"/>
          <w:highlight w:val="none"/>
        </w:rPr>
      </w:pPr>
    </w:p>
    <w:p>
      <w:pPr>
        <w:spacing w:line="360" w:lineRule="auto"/>
        <w:rPr>
          <w:color w:val="auto"/>
          <w:szCs w:val="21"/>
          <w:highlight w:val="none"/>
        </w:rPr>
      </w:pPr>
      <w:r>
        <w:rPr>
          <w:rFonts w:hint="eastAsia"/>
          <w:color w:val="auto"/>
          <w:szCs w:val="21"/>
          <w:highlight w:val="none"/>
        </w:rPr>
        <w:t>一、投标报价书</w:t>
      </w:r>
    </w:p>
    <w:p>
      <w:pPr>
        <w:spacing w:line="360" w:lineRule="auto"/>
        <w:rPr>
          <w:color w:val="auto"/>
          <w:szCs w:val="21"/>
          <w:highlight w:val="none"/>
        </w:rPr>
      </w:pPr>
      <w:r>
        <w:rPr>
          <w:rFonts w:hint="eastAsia"/>
          <w:color w:val="auto"/>
          <w:szCs w:val="21"/>
          <w:highlight w:val="none"/>
        </w:rPr>
        <w:t>二、投标人认为应提供的其他资料</w:t>
      </w:r>
    </w:p>
    <w:p>
      <w:pPr>
        <w:spacing w:line="360" w:lineRule="auto"/>
        <w:rPr>
          <w:color w:val="auto"/>
          <w:szCs w:val="21"/>
          <w:highlight w:val="none"/>
        </w:rPr>
      </w:pPr>
    </w:p>
    <w:p>
      <w:pPr>
        <w:spacing w:line="360" w:lineRule="auto"/>
        <w:rPr>
          <w:color w:val="auto"/>
          <w:szCs w:val="21"/>
          <w:highlight w:val="none"/>
        </w:rPr>
      </w:pPr>
    </w:p>
    <w:p>
      <w:pPr>
        <w:spacing w:line="360" w:lineRule="auto"/>
        <w:jc w:val="left"/>
        <w:rPr>
          <w:b/>
          <w:color w:val="auto"/>
          <w:sz w:val="30"/>
          <w:szCs w:val="30"/>
          <w:highlight w:val="none"/>
        </w:rPr>
      </w:pPr>
    </w:p>
    <w:p>
      <w:pPr>
        <w:spacing w:line="360" w:lineRule="auto"/>
        <w:rPr>
          <w:color w:val="auto"/>
          <w:szCs w:val="21"/>
          <w:highlight w:val="none"/>
        </w:rPr>
      </w:pPr>
      <w:r>
        <w:rPr>
          <w:rFonts w:hint="eastAsia"/>
          <w:color w:val="auto"/>
          <w:szCs w:val="21"/>
          <w:highlight w:val="none"/>
        </w:rPr>
        <w:t>注：页码由投标人自行编制。目录格式仅供参考，投标人可根据实际情况进行扩展及补充。</w:t>
      </w:r>
    </w:p>
    <w:p>
      <w:pPr>
        <w:autoSpaceDE w:val="0"/>
        <w:autoSpaceDN w:val="0"/>
        <w:adjustRightInd w:val="0"/>
        <w:spacing w:line="360" w:lineRule="auto"/>
        <w:jc w:val="center"/>
        <w:rPr>
          <w:rFonts w:ascii="黑体" w:hAnsi="黑体" w:eastAsia="黑体" w:cs="黑体"/>
          <w:b/>
          <w:bCs/>
          <w:color w:val="auto"/>
          <w:sz w:val="32"/>
          <w:szCs w:val="32"/>
          <w:highlight w:val="none"/>
          <w:lang w:val="zh-CN"/>
        </w:rPr>
      </w:pPr>
      <w:r>
        <w:rPr>
          <w:rFonts w:hint="eastAsia" w:ascii="黑体" w:hAnsi="黑体" w:eastAsia="黑体" w:cs="黑体"/>
          <w:b/>
          <w:color w:val="auto"/>
          <w:sz w:val="32"/>
          <w:szCs w:val="32"/>
          <w:highlight w:val="none"/>
        </w:rPr>
        <w:br w:type="page"/>
      </w:r>
      <w:r>
        <w:rPr>
          <w:rFonts w:hint="eastAsia" w:ascii="黑体" w:hAnsi="黑体" w:eastAsia="黑体" w:cs="黑体"/>
          <w:b/>
          <w:bCs/>
          <w:color w:val="auto"/>
          <w:sz w:val="32"/>
          <w:szCs w:val="32"/>
          <w:highlight w:val="none"/>
        </w:rPr>
        <w:t>投标报价</w:t>
      </w:r>
      <w:r>
        <w:rPr>
          <w:rFonts w:hint="eastAsia" w:ascii="黑体" w:hAnsi="黑体" w:eastAsia="黑体" w:cs="黑体"/>
          <w:b/>
          <w:bCs/>
          <w:color w:val="auto"/>
          <w:sz w:val="32"/>
          <w:szCs w:val="32"/>
          <w:highlight w:val="none"/>
          <w:lang w:val="zh-CN"/>
        </w:rPr>
        <w:t>书</w:t>
      </w:r>
    </w:p>
    <w:p>
      <w:pPr>
        <w:autoSpaceDE w:val="0"/>
        <w:autoSpaceDN w:val="0"/>
        <w:adjustRightInd w:val="0"/>
        <w:spacing w:line="360" w:lineRule="auto"/>
        <w:jc w:val="right"/>
        <w:rPr>
          <w:bCs/>
          <w:color w:val="auto"/>
          <w:szCs w:val="21"/>
          <w:highlight w:val="none"/>
          <w:lang w:val="zh-CN"/>
        </w:rPr>
      </w:pPr>
      <w:r>
        <w:rPr>
          <w:rFonts w:hint="eastAsia"/>
          <w:bCs/>
          <w:color w:val="auto"/>
          <w:szCs w:val="21"/>
          <w:highlight w:val="none"/>
          <w:lang w:val="zh-CN"/>
        </w:rPr>
        <w:t>投标日期：   年  月  日</w:t>
      </w:r>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rPr>
              <w:t>项目</w:t>
            </w:r>
            <w:r>
              <w:rPr>
                <w:rFonts w:hint="eastAsia"/>
                <w:bCs/>
                <w:color w:val="auto"/>
                <w:szCs w:val="21"/>
                <w:highlight w:val="none"/>
                <w:lang w:val="zh-CN"/>
              </w:rPr>
              <w:t>名称</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940"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投标总报价（元）</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color w:val="auto"/>
                <w:szCs w:val="21"/>
                <w:highlight w:val="none"/>
              </w:rPr>
            </w:pPr>
            <w:r>
              <w:rPr>
                <w:rFonts w:hint="eastAsia"/>
                <w:bCs/>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40" w:type="dxa"/>
            <w:vMerge w:val="continue"/>
            <w:tcBorders>
              <w:left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bCs/>
                <w:color w:val="auto"/>
                <w:szCs w:val="21"/>
                <w:highlight w:val="none"/>
              </w:rPr>
            </w:pPr>
            <w:r>
              <w:rPr>
                <w:rFonts w:hint="eastAsia"/>
                <w:bCs/>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法定代表人</w:t>
            </w:r>
          </w:p>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授权委托人</w:t>
            </w:r>
          </w:p>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（签名或盖章）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投标单位</w:t>
            </w:r>
          </w:p>
          <w:p>
            <w:pPr>
              <w:autoSpaceDE w:val="0"/>
              <w:autoSpaceDN w:val="0"/>
              <w:adjustRightInd w:val="0"/>
              <w:snapToGrid w:val="0"/>
              <w:spacing w:line="360" w:lineRule="auto"/>
              <w:jc w:val="center"/>
              <w:rPr>
                <w:bCs/>
                <w:color w:val="auto"/>
                <w:szCs w:val="21"/>
                <w:highlight w:val="none"/>
                <w:lang w:val="zh-CN"/>
              </w:rPr>
            </w:pPr>
            <w:r>
              <w:rPr>
                <w:rFonts w:hint="eastAsia"/>
                <w:bCs/>
                <w:color w:val="auto"/>
                <w:szCs w:val="21"/>
                <w:highlight w:val="none"/>
                <w:lang w:val="zh-CN"/>
              </w:rPr>
              <w:t>（企业公章）</w:t>
            </w:r>
          </w:p>
        </w:tc>
        <w:tc>
          <w:tcPr>
            <w:tcW w:w="66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bCs/>
                <w:color w:val="auto"/>
                <w:szCs w:val="21"/>
                <w:highlight w:val="none"/>
                <w:lang w:val="zh-CN"/>
              </w:rPr>
            </w:pPr>
          </w:p>
        </w:tc>
      </w:tr>
    </w:tbl>
    <w:p>
      <w:pPr>
        <w:autoSpaceDE w:val="0"/>
        <w:autoSpaceDN w:val="0"/>
        <w:adjustRightInd w:val="0"/>
        <w:spacing w:line="360" w:lineRule="auto"/>
        <w:ind w:left="-199" w:leftChars="-95" w:right="-405" w:rightChars="-193"/>
        <w:jc w:val="left"/>
        <w:rPr>
          <w:bCs/>
          <w:color w:val="auto"/>
          <w:szCs w:val="21"/>
          <w:highlight w:val="none"/>
        </w:rPr>
      </w:pPr>
      <w:r>
        <w:rPr>
          <w:rFonts w:hint="eastAsia"/>
          <w:bCs/>
          <w:color w:val="auto"/>
          <w:szCs w:val="21"/>
          <w:highlight w:val="none"/>
        </w:rPr>
        <w:t>注：投标总报价的大写金额和小写金额不一致的，以大写金额为准，投标报价精确到小数点后两位。</w:t>
      </w:r>
    </w:p>
    <w:p>
      <w:pPr>
        <w:pStyle w:val="14"/>
        <w:rPr>
          <w:color w:val="auto"/>
          <w:highlight w:val="none"/>
        </w:rPr>
      </w:pPr>
    </w:p>
    <w:bookmarkEnd w:id="1112"/>
    <w:sectPr>
      <w:footerReference r:id="rId7" w:type="default"/>
      <w:pgSz w:w="11906" w:h="16838"/>
      <w:pgMar w:top="1247" w:right="1134" w:bottom="1247" w:left="1361"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27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rPr>
                              <w:rStyle w:val="41"/>
                            </w:rPr>
                          </w:pPr>
                          <w:r>
                            <w:fldChar w:fldCharType="begin"/>
                          </w:r>
                          <w:r>
                            <w:rPr>
                              <w:rStyle w:val="41"/>
                            </w:rPr>
                            <w:instrText xml:space="preserve">PAGE  </w:instrText>
                          </w:r>
                          <w:r>
                            <w:fldChar w:fldCharType="separate"/>
                          </w:r>
                          <w:r>
                            <w:rPr>
                              <w:rStyle w:val="41"/>
                            </w:rPr>
                            <w:t>I</w:t>
                          </w:r>
                          <w:r>
                            <w:fldChar w:fldCharType="end"/>
                          </w:r>
                        </w:p>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pPr>
                      <w:pStyle w:val="24"/>
                      <w:rPr>
                        <w:rStyle w:val="41"/>
                      </w:rPr>
                    </w:pPr>
                    <w:r>
                      <w:fldChar w:fldCharType="begin"/>
                    </w:r>
                    <w:r>
                      <w:rPr>
                        <w:rStyle w:val="41"/>
                      </w:rPr>
                      <w:instrText xml:space="preserve">PAGE  </w:instrText>
                    </w:r>
                    <w:r>
                      <w:fldChar w:fldCharType="separate"/>
                    </w:r>
                    <w:r>
                      <w:rPr>
                        <w:rStyle w:val="41"/>
                      </w:rPr>
                      <w:t>I</w:t>
                    </w:r>
                    <w:r>
                      <w:fldChar w:fldCharType="end"/>
                    </w:r>
                  </w:p>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270"/>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rPr>
                              <w:rStyle w:val="41"/>
                            </w:rPr>
                          </w:pPr>
                          <w:r>
                            <w:fldChar w:fldCharType="begin"/>
                          </w:r>
                          <w:r>
                            <w:rPr>
                              <w:rStyle w:val="41"/>
                            </w:rPr>
                            <w:instrText xml:space="preserve">PAGE  </w:instrText>
                          </w:r>
                          <w:r>
                            <w:fldChar w:fldCharType="separate"/>
                          </w:r>
                          <w:r>
                            <w:rPr>
                              <w:rStyle w:val="41"/>
                            </w:rPr>
                            <w:t>29</w:t>
                          </w:r>
                          <w:r>
                            <w:fldChar w:fldCharType="end"/>
                          </w:r>
                        </w:p>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PZg2s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hoMs8Jfi7Q8SR8qSpwwiLDJODT5i5TuuWduRPP1e9/G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09mDazwEAAKoDAAAOAAAAAAAAAAEAIAAAAB4BAABkcnMv&#10;ZTJvRG9jLnhtbFBLBQYAAAAABgAGAFkBAABfBQAAAAA=&#10;">
              <v:fill on="f" focussize="0,0"/>
              <v:stroke on="f"/>
              <v:imagedata o:title=""/>
              <o:lock v:ext="edit" aspectratio="f"/>
              <v:textbox inset="0mm,0mm,0mm,0mm" style="mso-fit-shape-to-text:t;">
                <w:txbxContent>
                  <w:p>
                    <w:pPr>
                      <w:pStyle w:val="24"/>
                      <w:rPr>
                        <w:rStyle w:val="41"/>
                      </w:rPr>
                    </w:pPr>
                    <w:r>
                      <w:fldChar w:fldCharType="begin"/>
                    </w:r>
                    <w:r>
                      <w:rPr>
                        <w:rStyle w:val="41"/>
                      </w:rPr>
                      <w:instrText xml:space="preserve">PAGE  </w:instrText>
                    </w:r>
                    <w:r>
                      <w:fldChar w:fldCharType="separate"/>
                    </w:r>
                    <w:r>
                      <w:rPr>
                        <w:rStyle w:val="41"/>
                      </w:rPr>
                      <w:t>29</w:t>
                    </w:r>
                    <w:r>
                      <w:fldChar w:fldCharType="end"/>
                    </w:r>
                  </w:p>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jc w:val="center"/>
                          </w:pPr>
                          <w:r>
                            <w:fldChar w:fldCharType="begin"/>
                          </w:r>
                          <w:r>
                            <w:instrText xml:space="preserve">PAGE   \* MERGEFORMAT</w:instrText>
                          </w:r>
                          <w:r>
                            <w:fldChar w:fldCharType="separate"/>
                          </w:r>
                          <w:r>
                            <w:rPr>
                              <w:lang w:val="zh-CN"/>
                            </w:rPr>
                            <w:t>51</w:t>
                          </w:r>
                          <w:r>
                            <w:rPr>
                              <w:lang w:val="zh-CN"/>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bCJ88BAACq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QxsInzwEAAKoDAAAOAAAAAAAAAAEAIAAAAB4BAABkcnMv&#10;ZTJvRG9jLnhtbFBLBQYAAAAABgAGAFkBAABfBQAAAAA=&#10;">
              <v:fill on="f" focussize="0,0"/>
              <v:stroke on="f"/>
              <v:imagedata o:title=""/>
              <o:lock v:ext="edit" aspectratio="f"/>
              <v:textbox inset="0mm,0mm,0mm,0mm" style="mso-fit-shape-to-text:t;">
                <w:txbxContent>
                  <w:p>
                    <w:pPr>
                      <w:pStyle w:val="24"/>
                      <w:jc w:val="center"/>
                    </w:pPr>
                    <w:r>
                      <w:fldChar w:fldCharType="begin"/>
                    </w:r>
                    <w:r>
                      <w:instrText xml:space="preserve">PAGE   \* MERGEFORMAT</w:instrText>
                    </w:r>
                    <w:r>
                      <w:fldChar w:fldCharType="separate"/>
                    </w:r>
                    <w:r>
                      <w:rPr>
                        <w:lang w:val="zh-CN"/>
                      </w:rPr>
                      <w:t>51</w:t>
                    </w:r>
                    <w:r>
                      <w:rPr>
                        <w:lang w:val="zh-CN"/>
                      </w:rPr>
                      <w:fldChar w:fldCharType="end"/>
                    </w:r>
                  </w:p>
                </w:txbxContent>
              </v:textbox>
            </v:shape>
          </w:pict>
        </mc:Fallback>
      </mc:AlternateContent>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70EB0"/>
    <w:multiLevelType w:val="singleLevel"/>
    <w:tmpl w:val="99270EB0"/>
    <w:lvl w:ilvl="0" w:tentative="0">
      <w:start w:val="1"/>
      <w:numFmt w:val="decimal"/>
      <w:suff w:val="nothing"/>
      <w:lvlText w:val="%1、"/>
      <w:lvlJc w:val="left"/>
    </w:lvl>
  </w:abstractNum>
  <w:abstractNum w:abstractNumId="1">
    <w:nsid w:val="EC11FC5A"/>
    <w:multiLevelType w:val="singleLevel"/>
    <w:tmpl w:val="EC11FC5A"/>
    <w:lvl w:ilvl="0" w:tentative="0">
      <w:start w:val="5"/>
      <w:numFmt w:val="chineseCounting"/>
      <w:suff w:val="space"/>
      <w:lvlText w:val="第%1章"/>
      <w:lvlJc w:val="left"/>
      <w:rPr>
        <w:rFonts w:hint="eastAsia"/>
      </w:rPr>
    </w:lvl>
  </w:abstractNum>
  <w:abstractNum w:abstractNumId="2">
    <w:nsid w:val="00000004"/>
    <w:multiLevelType w:val="singleLevel"/>
    <w:tmpl w:val="00000004"/>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210"/>
  <w:drawingGridVerticalSpacing w:val="160"/>
  <w:displayVerticalDrawingGridEvery w:val="2"/>
  <w:noPunctuationKerning w:val="1"/>
  <w:characterSpacingControl w:val="compressPunctuation"/>
  <w:doNotValidateAgainstSchema/>
  <w:doNotDemarcateInvalidXml/>
  <w:hdrShapeDefaults>
    <o:shapelayout v:ext="edit">
      <o:idmap v:ext="edit" data="3,4"/>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YWVlM2IzM2E3MDYyYTBhNzk2YTRlMzI5ODI4NTcifQ=="/>
  </w:docVars>
  <w:rsids>
    <w:rsidRoot w:val="00172A27"/>
    <w:rsid w:val="00004230"/>
    <w:rsid w:val="00007188"/>
    <w:rsid w:val="000113DF"/>
    <w:rsid w:val="000117B8"/>
    <w:rsid w:val="00012AC2"/>
    <w:rsid w:val="00015068"/>
    <w:rsid w:val="00023E15"/>
    <w:rsid w:val="0002575D"/>
    <w:rsid w:val="0002681D"/>
    <w:rsid w:val="00027581"/>
    <w:rsid w:val="00031634"/>
    <w:rsid w:val="000417B5"/>
    <w:rsid w:val="00042361"/>
    <w:rsid w:val="0004358C"/>
    <w:rsid w:val="000452D4"/>
    <w:rsid w:val="000468D8"/>
    <w:rsid w:val="00046EC8"/>
    <w:rsid w:val="00051D5E"/>
    <w:rsid w:val="0005348B"/>
    <w:rsid w:val="00057EF8"/>
    <w:rsid w:val="0006240A"/>
    <w:rsid w:val="000630D0"/>
    <w:rsid w:val="00065BBB"/>
    <w:rsid w:val="00067B9C"/>
    <w:rsid w:val="00070695"/>
    <w:rsid w:val="00071CA8"/>
    <w:rsid w:val="00075215"/>
    <w:rsid w:val="00076AA7"/>
    <w:rsid w:val="00081EDE"/>
    <w:rsid w:val="0008300A"/>
    <w:rsid w:val="00084F7C"/>
    <w:rsid w:val="000962E6"/>
    <w:rsid w:val="00096B88"/>
    <w:rsid w:val="000A0965"/>
    <w:rsid w:val="000A0A2B"/>
    <w:rsid w:val="000A598F"/>
    <w:rsid w:val="000B1384"/>
    <w:rsid w:val="000B64EC"/>
    <w:rsid w:val="000C05B3"/>
    <w:rsid w:val="000C0C24"/>
    <w:rsid w:val="000C4A6B"/>
    <w:rsid w:val="000D3682"/>
    <w:rsid w:val="000D4775"/>
    <w:rsid w:val="000D5442"/>
    <w:rsid w:val="000D62FF"/>
    <w:rsid w:val="000E0895"/>
    <w:rsid w:val="000E29C0"/>
    <w:rsid w:val="000E2D7E"/>
    <w:rsid w:val="000E481A"/>
    <w:rsid w:val="000E6C51"/>
    <w:rsid w:val="000E782D"/>
    <w:rsid w:val="000F0A0A"/>
    <w:rsid w:val="000F0E34"/>
    <w:rsid w:val="000F2299"/>
    <w:rsid w:val="000F296A"/>
    <w:rsid w:val="000F339D"/>
    <w:rsid w:val="000F3E9A"/>
    <w:rsid w:val="000F5B26"/>
    <w:rsid w:val="000F7192"/>
    <w:rsid w:val="00102E96"/>
    <w:rsid w:val="00103F59"/>
    <w:rsid w:val="00106A1C"/>
    <w:rsid w:val="00107450"/>
    <w:rsid w:val="001077F6"/>
    <w:rsid w:val="001116F9"/>
    <w:rsid w:val="00115F66"/>
    <w:rsid w:val="0012198A"/>
    <w:rsid w:val="00122C81"/>
    <w:rsid w:val="00123751"/>
    <w:rsid w:val="00125A68"/>
    <w:rsid w:val="00127F71"/>
    <w:rsid w:val="001306DD"/>
    <w:rsid w:val="001318DB"/>
    <w:rsid w:val="001319FB"/>
    <w:rsid w:val="00132349"/>
    <w:rsid w:val="00132926"/>
    <w:rsid w:val="00133784"/>
    <w:rsid w:val="001366F6"/>
    <w:rsid w:val="00137F8B"/>
    <w:rsid w:val="00140E29"/>
    <w:rsid w:val="00140F9F"/>
    <w:rsid w:val="001458C2"/>
    <w:rsid w:val="0015134D"/>
    <w:rsid w:val="00152107"/>
    <w:rsid w:val="001611C6"/>
    <w:rsid w:val="0016177A"/>
    <w:rsid w:val="001617FA"/>
    <w:rsid w:val="00165FAD"/>
    <w:rsid w:val="00172A27"/>
    <w:rsid w:val="00174E7B"/>
    <w:rsid w:val="00180812"/>
    <w:rsid w:val="001829A7"/>
    <w:rsid w:val="001909E2"/>
    <w:rsid w:val="001913E5"/>
    <w:rsid w:val="0019337B"/>
    <w:rsid w:val="00195EB4"/>
    <w:rsid w:val="001963AA"/>
    <w:rsid w:val="00196C50"/>
    <w:rsid w:val="001A17E0"/>
    <w:rsid w:val="001A2E3B"/>
    <w:rsid w:val="001A4C34"/>
    <w:rsid w:val="001A6A2B"/>
    <w:rsid w:val="001B1192"/>
    <w:rsid w:val="001B1764"/>
    <w:rsid w:val="001B2C9E"/>
    <w:rsid w:val="001B6A2F"/>
    <w:rsid w:val="001C23C6"/>
    <w:rsid w:val="001C7E56"/>
    <w:rsid w:val="001D5EF9"/>
    <w:rsid w:val="001D6A79"/>
    <w:rsid w:val="001E1B1A"/>
    <w:rsid w:val="001E4701"/>
    <w:rsid w:val="001E646A"/>
    <w:rsid w:val="001E7266"/>
    <w:rsid w:val="001F6658"/>
    <w:rsid w:val="00212460"/>
    <w:rsid w:val="00213A1D"/>
    <w:rsid w:val="002179E9"/>
    <w:rsid w:val="0022061E"/>
    <w:rsid w:val="00220BF2"/>
    <w:rsid w:val="00226D25"/>
    <w:rsid w:val="00226D67"/>
    <w:rsid w:val="00227956"/>
    <w:rsid w:val="002339E9"/>
    <w:rsid w:val="00233C38"/>
    <w:rsid w:val="00234435"/>
    <w:rsid w:val="00237140"/>
    <w:rsid w:val="00240F35"/>
    <w:rsid w:val="00242449"/>
    <w:rsid w:val="00242D77"/>
    <w:rsid w:val="00245470"/>
    <w:rsid w:val="00246C87"/>
    <w:rsid w:val="00247D97"/>
    <w:rsid w:val="00252161"/>
    <w:rsid w:val="00252E9D"/>
    <w:rsid w:val="00257989"/>
    <w:rsid w:val="00263DCA"/>
    <w:rsid w:val="00264259"/>
    <w:rsid w:val="00265988"/>
    <w:rsid w:val="00273152"/>
    <w:rsid w:val="0027506B"/>
    <w:rsid w:val="00280853"/>
    <w:rsid w:val="00282687"/>
    <w:rsid w:val="00283153"/>
    <w:rsid w:val="0028390B"/>
    <w:rsid w:val="002854BF"/>
    <w:rsid w:val="0028793A"/>
    <w:rsid w:val="002A083E"/>
    <w:rsid w:val="002A2D1E"/>
    <w:rsid w:val="002A4A00"/>
    <w:rsid w:val="002A72E8"/>
    <w:rsid w:val="002B1995"/>
    <w:rsid w:val="002B2253"/>
    <w:rsid w:val="002B3F10"/>
    <w:rsid w:val="002B6D7A"/>
    <w:rsid w:val="002C67FA"/>
    <w:rsid w:val="002D3AFB"/>
    <w:rsid w:val="002D3B4A"/>
    <w:rsid w:val="002E0CB9"/>
    <w:rsid w:val="002E4EA0"/>
    <w:rsid w:val="002E5C78"/>
    <w:rsid w:val="002E7D9E"/>
    <w:rsid w:val="002F0FF2"/>
    <w:rsid w:val="002F2775"/>
    <w:rsid w:val="002F38DB"/>
    <w:rsid w:val="00300677"/>
    <w:rsid w:val="00300F4A"/>
    <w:rsid w:val="00305E76"/>
    <w:rsid w:val="003060B9"/>
    <w:rsid w:val="003109D1"/>
    <w:rsid w:val="00310BE5"/>
    <w:rsid w:val="003131B0"/>
    <w:rsid w:val="00316641"/>
    <w:rsid w:val="00327297"/>
    <w:rsid w:val="003310DB"/>
    <w:rsid w:val="00331328"/>
    <w:rsid w:val="0033193F"/>
    <w:rsid w:val="00331B60"/>
    <w:rsid w:val="003343C3"/>
    <w:rsid w:val="0033631D"/>
    <w:rsid w:val="00337C47"/>
    <w:rsid w:val="00340F11"/>
    <w:rsid w:val="00341413"/>
    <w:rsid w:val="0034235F"/>
    <w:rsid w:val="00343096"/>
    <w:rsid w:val="00343E4D"/>
    <w:rsid w:val="00344A1D"/>
    <w:rsid w:val="0035270C"/>
    <w:rsid w:val="00352D41"/>
    <w:rsid w:val="00354253"/>
    <w:rsid w:val="00355029"/>
    <w:rsid w:val="003550AB"/>
    <w:rsid w:val="00357E24"/>
    <w:rsid w:val="00360675"/>
    <w:rsid w:val="00363049"/>
    <w:rsid w:val="003631C1"/>
    <w:rsid w:val="00363B59"/>
    <w:rsid w:val="00366FC9"/>
    <w:rsid w:val="00372266"/>
    <w:rsid w:val="0037227B"/>
    <w:rsid w:val="00375F64"/>
    <w:rsid w:val="00381A89"/>
    <w:rsid w:val="0038478C"/>
    <w:rsid w:val="00390457"/>
    <w:rsid w:val="00391AC9"/>
    <w:rsid w:val="00392815"/>
    <w:rsid w:val="003961A6"/>
    <w:rsid w:val="003A2B32"/>
    <w:rsid w:val="003A6AEF"/>
    <w:rsid w:val="003B180D"/>
    <w:rsid w:val="003B1EA1"/>
    <w:rsid w:val="003B4876"/>
    <w:rsid w:val="003C0159"/>
    <w:rsid w:val="003C2C42"/>
    <w:rsid w:val="003C382C"/>
    <w:rsid w:val="003C51C7"/>
    <w:rsid w:val="003D2DC9"/>
    <w:rsid w:val="003D3C44"/>
    <w:rsid w:val="003D4E4E"/>
    <w:rsid w:val="003D6897"/>
    <w:rsid w:val="003D7678"/>
    <w:rsid w:val="003E25D3"/>
    <w:rsid w:val="003E33EC"/>
    <w:rsid w:val="003E3687"/>
    <w:rsid w:val="003E3B8A"/>
    <w:rsid w:val="003E7EDA"/>
    <w:rsid w:val="003F2299"/>
    <w:rsid w:val="003F34B9"/>
    <w:rsid w:val="003F38DA"/>
    <w:rsid w:val="003F4F1C"/>
    <w:rsid w:val="00401E95"/>
    <w:rsid w:val="0040727B"/>
    <w:rsid w:val="00407EA8"/>
    <w:rsid w:val="004105F1"/>
    <w:rsid w:val="00410628"/>
    <w:rsid w:val="00415D40"/>
    <w:rsid w:val="00416F68"/>
    <w:rsid w:val="00417E61"/>
    <w:rsid w:val="004209B6"/>
    <w:rsid w:val="00424088"/>
    <w:rsid w:val="00427828"/>
    <w:rsid w:val="00431FFF"/>
    <w:rsid w:val="00436281"/>
    <w:rsid w:val="00437774"/>
    <w:rsid w:val="00443072"/>
    <w:rsid w:val="00447656"/>
    <w:rsid w:val="0045122F"/>
    <w:rsid w:val="00454684"/>
    <w:rsid w:val="004555E3"/>
    <w:rsid w:val="00457AB6"/>
    <w:rsid w:val="00460BC8"/>
    <w:rsid w:val="00467902"/>
    <w:rsid w:val="00467949"/>
    <w:rsid w:val="00470CA4"/>
    <w:rsid w:val="004759D1"/>
    <w:rsid w:val="00476DF0"/>
    <w:rsid w:val="00476FB2"/>
    <w:rsid w:val="004804C0"/>
    <w:rsid w:val="00481CA5"/>
    <w:rsid w:val="00482866"/>
    <w:rsid w:val="00484002"/>
    <w:rsid w:val="00484EB2"/>
    <w:rsid w:val="004905C3"/>
    <w:rsid w:val="0049208D"/>
    <w:rsid w:val="0049701D"/>
    <w:rsid w:val="004A0D63"/>
    <w:rsid w:val="004A6ADB"/>
    <w:rsid w:val="004B0BA1"/>
    <w:rsid w:val="004B1DC2"/>
    <w:rsid w:val="004B3889"/>
    <w:rsid w:val="004B6875"/>
    <w:rsid w:val="004B72C2"/>
    <w:rsid w:val="004B7395"/>
    <w:rsid w:val="004B7B5A"/>
    <w:rsid w:val="004C25EB"/>
    <w:rsid w:val="004C2C30"/>
    <w:rsid w:val="004C3176"/>
    <w:rsid w:val="004C4B98"/>
    <w:rsid w:val="004D249D"/>
    <w:rsid w:val="004D3406"/>
    <w:rsid w:val="004D475F"/>
    <w:rsid w:val="004D692C"/>
    <w:rsid w:val="004D7BBA"/>
    <w:rsid w:val="004E34EA"/>
    <w:rsid w:val="004E59CF"/>
    <w:rsid w:val="004F7FEA"/>
    <w:rsid w:val="00502EDB"/>
    <w:rsid w:val="005057F6"/>
    <w:rsid w:val="00511238"/>
    <w:rsid w:val="00511BF2"/>
    <w:rsid w:val="00512AE7"/>
    <w:rsid w:val="005246AF"/>
    <w:rsid w:val="00524A7A"/>
    <w:rsid w:val="00525070"/>
    <w:rsid w:val="005256C4"/>
    <w:rsid w:val="00527108"/>
    <w:rsid w:val="005351BD"/>
    <w:rsid w:val="0053559E"/>
    <w:rsid w:val="0053595F"/>
    <w:rsid w:val="005414CA"/>
    <w:rsid w:val="0054505B"/>
    <w:rsid w:val="00551E54"/>
    <w:rsid w:val="005520FF"/>
    <w:rsid w:val="00557D6C"/>
    <w:rsid w:val="00560714"/>
    <w:rsid w:val="00561674"/>
    <w:rsid w:val="00565A62"/>
    <w:rsid w:val="0056651E"/>
    <w:rsid w:val="005670C4"/>
    <w:rsid w:val="00567F96"/>
    <w:rsid w:val="0057228C"/>
    <w:rsid w:val="00572D98"/>
    <w:rsid w:val="00575618"/>
    <w:rsid w:val="00577799"/>
    <w:rsid w:val="005811BF"/>
    <w:rsid w:val="0058247A"/>
    <w:rsid w:val="00583B3F"/>
    <w:rsid w:val="005840C0"/>
    <w:rsid w:val="00584D50"/>
    <w:rsid w:val="00584F55"/>
    <w:rsid w:val="00585D52"/>
    <w:rsid w:val="00585FBB"/>
    <w:rsid w:val="00591C86"/>
    <w:rsid w:val="00591F57"/>
    <w:rsid w:val="00594035"/>
    <w:rsid w:val="005A2D60"/>
    <w:rsid w:val="005A34A9"/>
    <w:rsid w:val="005A3D4A"/>
    <w:rsid w:val="005A75B2"/>
    <w:rsid w:val="005B00D5"/>
    <w:rsid w:val="005B27F9"/>
    <w:rsid w:val="005C04E9"/>
    <w:rsid w:val="005C0574"/>
    <w:rsid w:val="005C0F2A"/>
    <w:rsid w:val="005C2242"/>
    <w:rsid w:val="005C224C"/>
    <w:rsid w:val="005C64ED"/>
    <w:rsid w:val="005C7694"/>
    <w:rsid w:val="005C793A"/>
    <w:rsid w:val="005D0DC7"/>
    <w:rsid w:val="005D2195"/>
    <w:rsid w:val="005D2353"/>
    <w:rsid w:val="005D2376"/>
    <w:rsid w:val="005D304B"/>
    <w:rsid w:val="005D3F84"/>
    <w:rsid w:val="005D50E5"/>
    <w:rsid w:val="005D7063"/>
    <w:rsid w:val="005E0F52"/>
    <w:rsid w:val="005E1503"/>
    <w:rsid w:val="005E46F7"/>
    <w:rsid w:val="005E4D7A"/>
    <w:rsid w:val="005E5BC6"/>
    <w:rsid w:val="005E690F"/>
    <w:rsid w:val="005F035D"/>
    <w:rsid w:val="005F07A7"/>
    <w:rsid w:val="005F15BB"/>
    <w:rsid w:val="005F2383"/>
    <w:rsid w:val="005F5EAB"/>
    <w:rsid w:val="0060108E"/>
    <w:rsid w:val="006030C6"/>
    <w:rsid w:val="00604A39"/>
    <w:rsid w:val="00605AB4"/>
    <w:rsid w:val="006117C5"/>
    <w:rsid w:val="0061377D"/>
    <w:rsid w:val="006145E8"/>
    <w:rsid w:val="00615A5D"/>
    <w:rsid w:val="00615C56"/>
    <w:rsid w:val="006161D9"/>
    <w:rsid w:val="0062026D"/>
    <w:rsid w:val="00620DE6"/>
    <w:rsid w:val="00622770"/>
    <w:rsid w:val="006229B7"/>
    <w:rsid w:val="0062392B"/>
    <w:rsid w:val="00625CAF"/>
    <w:rsid w:val="00630B8A"/>
    <w:rsid w:val="00637342"/>
    <w:rsid w:val="00637968"/>
    <w:rsid w:val="0064148A"/>
    <w:rsid w:val="006421AB"/>
    <w:rsid w:val="00642FB0"/>
    <w:rsid w:val="006512D7"/>
    <w:rsid w:val="006529D7"/>
    <w:rsid w:val="00652C22"/>
    <w:rsid w:val="006534FE"/>
    <w:rsid w:val="00655B4F"/>
    <w:rsid w:val="006565E6"/>
    <w:rsid w:val="00656650"/>
    <w:rsid w:val="0066276E"/>
    <w:rsid w:val="00663694"/>
    <w:rsid w:val="00670A87"/>
    <w:rsid w:val="00673BA9"/>
    <w:rsid w:val="00674FFE"/>
    <w:rsid w:val="006762B0"/>
    <w:rsid w:val="00676F1B"/>
    <w:rsid w:val="006778E0"/>
    <w:rsid w:val="00681609"/>
    <w:rsid w:val="006825F0"/>
    <w:rsid w:val="00686CDA"/>
    <w:rsid w:val="00691C81"/>
    <w:rsid w:val="00693AE7"/>
    <w:rsid w:val="006943F0"/>
    <w:rsid w:val="006A0389"/>
    <w:rsid w:val="006A056B"/>
    <w:rsid w:val="006A2919"/>
    <w:rsid w:val="006A5A4E"/>
    <w:rsid w:val="006B5A75"/>
    <w:rsid w:val="006B62D5"/>
    <w:rsid w:val="006C0A86"/>
    <w:rsid w:val="006C5902"/>
    <w:rsid w:val="006D10F7"/>
    <w:rsid w:val="006D3182"/>
    <w:rsid w:val="006D3448"/>
    <w:rsid w:val="006D46AD"/>
    <w:rsid w:val="006D4CDC"/>
    <w:rsid w:val="006E29FB"/>
    <w:rsid w:val="006E41D4"/>
    <w:rsid w:val="006E6F10"/>
    <w:rsid w:val="006F0268"/>
    <w:rsid w:val="006F1AE4"/>
    <w:rsid w:val="006F42F3"/>
    <w:rsid w:val="006F4C7A"/>
    <w:rsid w:val="006F669A"/>
    <w:rsid w:val="006F6942"/>
    <w:rsid w:val="006F6DA8"/>
    <w:rsid w:val="006F7C52"/>
    <w:rsid w:val="0070077A"/>
    <w:rsid w:val="00700C14"/>
    <w:rsid w:val="007029FF"/>
    <w:rsid w:val="0070319B"/>
    <w:rsid w:val="00711267"/>
    <w:rsid w:val="00713515"/>
    <w:rsid w:val="00713DA6"/>
    <w:rsid w:val="0072125B"/>
    <w:rsid w:val="00725C1E"/>
    <w:rsid w:val="007310FC"/>
    <w:rsid w:val="007358ED"/>
    <w:rsid w:val="007411CE"/>
    <w:rsid w:val="00747474"/>
    <w:rsid w:val="007474F4"/>
    <w:rsid w:val="00750C55"/>
    <w:rsid w:val="00750CCE"/>
    <w:rsid w:val="00751345"/>
    <w:rsid w:val="00753713"/>
    <w:rsid w:val="00756A43"/>
    <w:rsid w:val="00761DA3"/>
    <w:rsid w:val="007643C5"/>
    <w:rsid w:val="00774A6D"/>
    <w:rsid w:val="007755BB"/>
    <w:rsid w:val="00783621"/>
    <w:rsid w:val="00785A93"/>
    <w:rsid w:val="00791AD8"/>
    <w:rsid w:val="00793574"/>
    <w:rsid w:val="00795F1D"/>
    <w:rsid w:val="00797AA2"/>
    <w:rsid w:val="007A0927"/>
    <w:rsid w:val="007A2961"/>
    <w:rsid w:val="007A2D9C"/>
    <w:rsid w:val="007A319E"/>
    <w:rsid w:val="007B4241"/>
    <w:rsid w:val="007B4BFF"/>
    <w:rsid w:val="007B5238"/>
    <w:rsid w:val="007C122D"/>
    <w:rsid w:val="007C3CD4"/>
    <w:rsid w:val="007C5957"/>
    <w:rsid w:val="007C7D65"/>
    <w:rsid w:val="007D254C"/>
    <w:rsid w:val="007D2CA7"/>
    <w:rsid w:val="007D6D25"/>
    <w:rsid w:val="007E17B2"/>
    <w:rsid w:val="007F60BA"/>
    <w:rsid w:val="007F6569"/>
    <w:rsid w:val="007F6CD6"/>
    <w:rsid w:val="007F7097"/>
    <w:rsid w:val="007F7804"/>
    <w:rsid w:val="008003A6"/>
    <w:rsid w:val="00800A59"/>
    <w:rsid w:val="00801B1D"/>
    <w:rsid w:val="00801B51"/>
    <w:rsid w:val="00812575"/>
    <w:rsid w:val="008227AE"/>
    <w:rsid w:val="00822BB2"/>
    <w:rsid w:val="008245DF"/>
    <w:rsid w:val="0082645F"/>
    <w:rsid w:val="008304BB"/>
    <w:rsid w:val="00830812"/>
    <w:rsid w:val="00844A78"/>
    <w:rsid w:val="00845B28"/>
    <w:rsid w:val="0085052E"/>
    <w:rsid w:val="008518E3"/>
    <w:rsid w:val="00851983"/>
    <w:rsid w:val="0085411E"/>
    <w:rsid w:val="008543AA"/>
    <w:rsid w:val="0085583D"/>
    <w:rsid w:val="00864B3F"/>
    <w:rsid w:val="00864E9C"/>
    <w:rsid w:val="00865CB4"/>
    <w:rsid w:val="00866624"/>
    <w:rsid w:val="00870AC3"/>
    <w:rsid w:val="00872A26"/>
    <w:rsid w:val="00874402"/>
    <w:rsid w:val="00874A07"/>
    <w:rsid w:val="00875E2E"/>
    <w:rsid w:val="00880985"/>
    <w:rsid w:val="0088205F"/>
    <w:rsid w:val="00883E07"/>
    <w:rsid w:val="00887F29"/>
    <w:rsid w:val="008902AA"/>
    <w:rsid w:val="00897BFF"/>
    <w:rsid w:val="008A0E9B"/>
    <w:rsid w:val="008A0FBD"/>
    <w:rsid w:val="008A15BC"/>
    <w:rsid w:val="008A48E5"/>
    <w:rsid w:val="008B06BA"/>
    <w:rsid w:val="008B415D"/>
    <w:rsid w:val="008B41E3"/>
    <w:rsid w:val="008B5A88"/>
    <w:rsid w:val="008B5E9F"/>
    <w:rsid w:val="008B7C7D"/>
    <w:rsid w:val="008C0BB7"/>
    <w:rsid w:val="008C58AC"/>
    <w:rsid w:val="008C6DCD"/>
    <w:rsid w:val="008D083B"/>
    <w:rsid w:val="008D26EC"/>
    <w:rsid w:val="008D29BD"/>
    <w:rsid w:val="008D659C"/>
    <w:rsid w:val="008E1588"/>
    <w:rsid w:val="008E4374"/>
    <w:rsid w:val="008E58E9"/>
    <w:rsid w:val="008F1919"/>
    <w:rsid w:val="008F4D9C"/>
    <w:rsid w:val="008F7D64"/>
    <w:rsid w:val="009008E3"/>
    <w:rsid w:val="0090125D"/>
    <w:rsid w:val="00905FF1"/>
    <w:rsid w:val="0090768D"/>
    <w:rsid w:val="009114EA"/>
    <w:rsid w:val="009115DB"/>
    <w:rsid w:val="0091183D"/>
    <w:rsid w:val="009138E1"/>
    <w:rsid w:val="009141F6"/>
    <w:rsid w:val="00916FB2"/>
    <w:rsid w:val="00917615"/>
    <w:rsid w:val="00917D4C"/>
    <w:rsid w:val="00920D50"/>
    <w:rsid w:val="00923203"/>
    <w:rsid w:val="00927BBB"/>
    <w:rsid w:val="00930601"/>
    <w:rsid w:val="0093074C"/>
    <w:rsid w:val="00934F2C"/>
    <w:rsid w:val="009434E9"/>
    <w:rsid w:val="00945CF0"/>
    <w:rsid w:val="00946637"/>
    <w:rsid w:val="00952CC6"/>
    <w:rsid w:val="00954147"/>
    <w:rsid w:val="00960385"/>
    <w:rsid w:val="00960F2C"/>
    <w:rsid w:val="00961D87"/>
    <w:rsid w:val="009628E2"/>
    <w:rsid w:val="0096540B"/>
    <w:rsid w:val="00966644"/>
    <w:rsid w:val="00967137"/>
    <w:rsid w:val="00970B7B"/>
    <w:rsid w:val="00971F7D"/>
    <w:rsid w:val="009777BD"/>
    <w:rsid w:val="00977945"/>
    <w:rsid w:val="00984967"/>
    <w:rsid w:val="0099010E"/>
    <w:rsid w:val="00991163"/>
    <w:rsid w:val="009921F5"/>
    <w:rsid w:val="00994512"/>
    <w:rsid w:val="0099466B"/>
    <w:rsid w:val="00994EDE"/>
    <w:rsid w:val="00995ACF"/>
    <w:rsid w:val="00997F03"/>
    <w:rsid w:val="009A0062"/>
    <w:rsid w:val="009A1C2D"/>
    <w:rsid w:val="009A4B82"/>
    <w:rsid w:val="009A5D25"/>
    <w:rsid w:val="009A5EEA"/>
    <w:rsid w:val="009B54F4"/>
    <w:rsid w:val="009B5511"/>
    <w:rsid w:val="009B6193"/>
    <w:rsid w:val="009B6A13"/>
    <w:rsid w:val="009B7D28"/>
    <w:rsid w:val="009C2B93"/>
    <w:rsid w:val="009C4801"/>
    <w:rsid w:val="009C6CB9"/>
    <w:rsid w:val="009D60FA"/>
    <w:rsid w:val="009D7DEA"/>
    <w:rsid w:val="009E0751"/>
    <w:rsid w:val="009E36B2"/>
    <w:rsid w:val="009E659C"/>
    <w:rsid w:val="009E7E53"/>
    <w:rsid w:val="009F594B"/>
    <w:rsid w:val="009F68BC"/>
    <w:rsid w:val="009F6E0C"/>
    <w:rsid w:val="00A06454"/>
    <w:rsid w:val="00A07628"/>
    <w:rsid w:val="00A1430D"/>
    <w:rsid w:val="00A16AE6"/>
    <w:rsid w:val="00A2213F"/>
    <w:rsid w:val="00A24E3F"/>
    <w:rsid w:val="00A2645E"/>
    <w:rsid w:val="00A26914"/>
    <w:rsid w:val="00A30041"/>
    <w:rsid w:val="00A30A27"/>
    <w:rsid w:val="00A3166E"/>
    <w:rsid w:val="00A333D2"/>
    <w:rsid w:val="00A361C5"/>
    <w:rsid w:val="00A3662B"/>
    <w:rsid w:val="00A41C27"/>
    <w:rsid w:val="00A45C4A"/>
    <w:rsid w:val="00A50701"/>
    <w:rsid w:val="00A529DF"/>
    <w:rsid w:val="00A53DF0"/>
    <w:rsid w:val="00A53E44"/>
    <w:rsid w:val="00A55149"/>
    <w:rsid w:val="00A5595A"/>
    <w:rsid w:val="00A62EEC"/>
    <w:rsid w:val="00A63C4A"/>
    <w:rsid w:val="00A64610"/>
    <w:rsid w:val="00A66684"/>
    <w:rsid w:val="00A677C7"/>
    <w:rsid w:val="00A71A59"/>
    <w:rsid w:val="00A75297"/>
    <w:rsid w:val="00A7644D"/>
    <w:rsid w:val="00A76C70"/>
    <w:rsid w:val="00A76D08"/>
    <w:rsid w:val="00A81AC2"/>
    <w:rsid w:val="00A82324"/>
    <w:rsid w:val="00A8279D"/>
    <w:rsid w:val="00A837AD"/>
    <w:rsid w:val="00A843C6"/>
    <w:rsid w:val="00A86A54"/>
    <w:rsid w:val="00A90746"/>
    <w:rsid w:val="00A90F8F"/>
    <w:rsid w:val="00A92BFD"/>
    <w:rsid w:val="00A95D6A"/>
    <w:rsid w:val="00A969BA"/>
    <w:rsid w:val="00A974D8"/>
    <w:rsid w:val="00A97C94"/>
    <w:rsid w:val="00AA17D4"/>
    <w:rsid w:val="00AA2B29"/>
    <w:rsid w:val="00AA6A1D"/>
    <w:rsid w:val="00AB12DF"/>
    <w:rsid w:val="00AB202C"/>
    <w:rsid w:val="00AB2630"/>
    <w:rsid w:val="00AB49B2"/>
    <w:rsid w:val="00AB4CB6"/>
    <w:rsid w:val="00AC2F54"/>
    <w:rsid w:val="00AC5F49"/>
    <w:rsid w:val="00AC6548"/>
    <w:rsid w:val="00AC6E95"/>
    <w:rsid w:val="00AC7AFD"/>
    <w:rsid w:val="00AD14B7"/>
    <w:rsid w:val="00AD1CB8"/>
    <w:rsid w:val="00AD1D29"/>
    <w:rsid w:val="00AD313C"/>
    <w:rsid w:val="00AD351C"/>
    <w:rsid w:val="00AD356B"/>
    <w:rsid w:val="00AD3E69"/>
    <w:rsid w:val="00AD448D"/>
    <w:rsid w:val="00AD79FF"/>
    <w:rsid w:val="00AE14BB"/>
    <w:rsid w:val="00AE1589"/>
    <w:rsid w:val="00AE331E"/>
    <w:rsid w:val="00AF18C3"/>
    <w:rsid w:val="00AF3232"/>
    <w:rsid w:val="00AF4A01"/>
    <w:rsid w:val="00AF5B2D"/>
    <w:rsid w:val="00AF5D05"/>
    <w:rsid w:val="00B06E6E"/>
    <w:rsid w:val="00B07FC5"/>
    <w:rsid w:val="00B10C4A"/>
    <w:rsid w:val="00B11643"/>
    <w:rsid w:val="00B13F83"/>
    <w:rsid w:val="00B1674F"/>
    <w:rsid w:val="00B22DAD"/>
    <w:rsid w:val="00B2569E"/>
    <w:rsid w:val="00B268CF"/>
    <w:rsid w:val="00B26917"/>
    <w:rsid w:val="00B302C1"/>
    <w:rsid w:val="00B35C59"/>
    <w:rsid w:val="00B35F6F"/>
    <w:rsid w:val="00B366A9"/>
    <w:rsid w:val="00B36990"/>
    <w:rsid w:val="00B4070B"/>
    <w:rsid w:val="00B43A3F"/>
    <w:rsid w:val="00B4437C"/>
    <w:rsid w:val="00B44BE2"/>
    <w:rsid w:val="00B512B7"/>
    <w:rsid w:val="00B52A2F"/>
    <w:rsid w:val="00B5775D"/>
    <w:rsid w:val="00B612A8"/>
    <w:rsid w:val="00B62AA7"/>
    <w:rsid w:val="00B6389C"/>
    <w:rsid w:val="00B6469F"/>
    <w:rsid w:val="00B65C4B"/>
    <w:rsid w:val="00B67BC6"/>
    <w:rsid w:val="00B733E7"/>
    <w:rsid w:val="00B73F33"/>
    <w:rsid w:val="00B765EB"/>
    <w:rsid w:val="00B76CE6"/>
    <w:rsid w:val="00B77907"/>
    <w:rsid w:val="00B82FBD"/>
    <w:rsid w:val="00B845D3"/>
    <w:rsid w:val="00B86FF2"/>
    <w:rsid w:val="00B94291"/>
    <w:rsid w:val="00B94493"/>
    <w:rsid w:val="00B96C0C"/>
    <w:rsid w:val="00BA2497"/>
    <w:rsid w:val="00BA29AB"/>
    <w:rsid w:val="00BA2B5E"/>
    <w:rsid w:val="00BA6ED4"/>
    <w:rsid w:val="00BA7F79"/>
    <w:rsid w:val="00BB0341"/>
    <w:rsid w:val="00BB2E00"/>
    <w:rsid w:val="00BB3888"/>
    <w:rsid w:val="00BB3A8E"/>
    <w:rsid w:val="00BB4867"/>
    <w:rsid w:val="00BB61D6"/>
    <w:rsid w:val="00BB63A3"/>
    <w:rsid w:val="00BB70F3"/>
    <w:rsid w:val="00BB7597"/>
    <w:rsid w:val="00BC0A1A"/>
    <w:rsid w:val="00BC11CB"/>
    <w:rsid w:val="00BC26D4"/>
    <w:rsid w:val="00BC4B47"/>
    <w:rsid w:val="00BC4CDB"/>
    <w:rsid w:val="00BD0A0C"/>
    <w:rsid w:val="00BD64E0"/>
    <w:rsid w:val="00BD667A"/>
    <w:rsid w:val="00BD683A"/>
    <w:rsid w:val="00BE0661"/>
    <w:rsid w:val="00BE34AB"/>
    <w:rsid w:val="00BE391B"/>
    <w:rsid w:val="00BF13F5"/>
    <w:rsid w:val="00BF21A8"/>
    <w:rsid w:val="00BF3C4F"/>
    <w:rsid w:val="00C02A44"/>
    <w:rsid w:val="00C03D0C"/>
    <w:rsid w:val="00C118E4"/>
    <w:rsid w:val="00C11A87"/>
    <w:rsid w:val="00C13A95"/>
    <w:rsid w:val="00C1545E"/>
    <w:rsid w:val="00C15E14"/>
    <w:rsid w:val="00C21D5E"/>
    <w:rsid w:val="00C31284"/>
    <w:rsid w:val="00C315DA"/>
    <w:rsid w:val="00C32E11"/>
    <w:rsid w:val="00C34CA2"/>
    <w:rsid w:val="00C368B0"/>
    <w:rsid w:val="00C5394D"/>
    <w:rsid w:val="00C56A31"/>
    <w:rsid w:val="00C61A7F"/>
    <w:rsid w:val="00C62DA4"/>
    <w:rsid w:val="00C631ED"/>
    <w:rsid w:val="00C63260"/>
    <w:rsid w:val="00C63D46"/>
    <w:rsid w:val="00C6754B"/>
    <w:rsid w:val="00C7047C"/>
    <w:rsid w:val="00C70DAB"/>
    <w:rsid w:val="00C72E7F"/>
    <w:rsid w:val="00C75C52"/>
    <w:rsid w:val="00C76D86"/>
    <w:rsid w:val="00C77FF9"/>
    <w:rsid w:val="00C800F3"/>
    <w:rsid w:val="00C802E0"/>
    <w:rsid w:val="00C845DE"/>
    <w:rsid w:val="00C84BC4"/>
    <w:rsid w:val="00C91154"/>
    <w:rsid w:val="00C96474"/>
    <w:rsid w:val="00CA1FDC"/>
    <w:rsid w:val="00CA27E1"/>
    <w:rsid w:val="00CA2FF1"/>
    <w:rsid w:val="00CA31B1"/>
    <w:rsid w:val="00CA4166"/>
    <w:rsid w:val="00CA6B78"/>
    <w:rsid w:val="00CA771C"/>
    <w:rsid w:val="00CA7F18"/>
    <w:rsid w:val="00CB1064"/>
    <w:rsid w:val="00CB1AB4"/>
    <w:rsid w:val="00CB4C9C"/>
    <w:rsid w:val="00CB6B76"/>
    <w:rsid w:val="00CC13C3"/>
    <w:rsid w:val="00CC1FC3"/>
    <w:rsid w:val="00CC3197"/>
    <w:rsid w:val="00CC3864"/>
    <w:rsid w:val="00CC4FC7"/>
    <w:rsid w:val="00CD012B"/>
    <w:rsid w:val="00CD696D"/>
    <w:rsid w:val="00CE1A6C"/>
    <w:rsid w:val="00CE4DAF"/>
    <w:rsid w:val="00CE5EC3"/>
    <w:rsid w:val="00CF41DA"/>
    <w:rsid w:val="00CF66AD"/>
    <w:rsid w:val="00D06E23"/>
    <w:rsid w:val="00D07EB6"/>
    <w:rsid w:val="00D10320"/>
    <w:rsid w:val="00D15BCB"/>
    <w:rsid w:val="00D16A58"/>
    <w:rsid w:val="00D1775B"/>
    <w:rsid w:val="00D22430"/>
    <w:rsid w:val="00D24EC5"/>
    <w:rsid w:val="00D25B7D"/>
    <w:rsid w:val="00D2789B"/>
    <w:rsid w:val="00D27B4B"/>
    <w:rsid w:val="00D3180A"/>
    <w:rsid w:val="00D319BC"/>
    <w:rsid w:val="00D33438"/>
    <w:rsid w:val="00D35805"/>
    <w:rsid w:val="00D41CF3"/>
    <w:rsid w:val="00D43A89"/>
    <w:rsid w:val="00D440E7"/>
    <w:rsid w:val="00D44328"/>
    <w:rsid w:val="00D4550B"/>
    <w:rsid w:val="00D46095"/>
    <w:rsid w:val="00D46B1C"/>
    <w:rsid w:val="00D510BC"/>
    <w:rsid w:val="00D55723"/>
    <w:rsid w:val="00D60997"/>
    <w:rsid w:val="00D61486"/>
    <w:rsid w:val="00D61491"/>
    <w:rsid w:val="00D653D3"/>
    <w:rsid w:val="00D6626D"/>
    <w:rsid w:val="00D67545"/>
    <w:rsid w:val="00D71ADA"/>
    <w:rsid w:val="00D803C4"/>
    <w:rsid w:val="00D82B2D"/>
    <w:rsid w:val="00D902E0"/>
    <w:rsid w:val="00D9075D"/>
    <w:rsid w:val="00D91748"/>
    <w:rsid w:val="00D9479B"/>
    <w:rsid w:val="00D95D0F"/>
    <w:rsid w:val="00D96FB1"/>
    <w:rsid w:val="00D97A94"/>
    <w:rsid w:val="00DB06B4"/>
    <w:rsid w:val="00DB1662"/>
    <w:rsid w:val="00DB17FE"/>
    <w:rsid w:val="00DB3070"/>
    <w:rsid w:val="00DB5035"/>
    <w:rsid w:val="00DB5119"/>
    <w:rsid w:val="00DB5FCA"/>
    <w:rsid w:val="00DC0DE2"/>
    <w:rsid w:val="00DC12B7"/>
    <w:rsid w:val="00DC1853"/>
    <w:rsid w:val="00DC1DC7"/>
    <w:rsid w:val="00DC24CD"/>
    <w:rsid w:val="00DC7CF1"/>
    <w:rsid w:val="00DD0306"/>
    <w:rsid w:val="00DD57E3"/>
    <w:rsid w:val="00DE1F36"/>
    <w:rsid w:val="00DE4A8A"/>
    <w:rsid w:val="00DE559C"/>
    <w:rsid w:val="00DE5DF1"/>
    <w:rsid w:val="00DE65D8"/>
    <w:rsid w:val="00DF35D9"/>
    <w:rsid w:val="00DF490B"/>
    <w:rsid w:val="00DF5209"/>
    <w:rsid w:val="00E00F54"/>
    <w:rsid w:val="00E03603"/>
    <w:rsid w:val="00E045C4"/>
    <w:rsid w:val="00E12E76"/>
    <w:rsid w:val="00E15074"/>
    <w:rsid w:val="00E1511B"/>
    <w:rsid w:val="00E16004"/>
    <w:rsid w:val="00E222E5"/>
    <w:rsid w:val="00E22EAD"/>
    <w:rsid w:val="00E26C12"/>
    <w:rsid w:val="00E26FDD"/>
    <w:rsid w:val="00E33A7F"/>
    <w:rsid w:val="00E34476"/>
    <w:rsid w:val="00E34C0C"/>
    <w:rsid w:val="00E4128B"/>
    <w:rsid w:val="00E4506C"/>
    <w:rsid w:val="00E46C3A"/>
    <w:rsid w:val="00E4718C"/>
    <w:rsid w:val="00E5153D"/>
    <w:rsid w:val="00E52717"/>
    <w:rsid w:val="00E54270"/>
    <w:rsid w:val="00E60068"/>
    <w:rsid w:val="00E6235E"/>
    <w:rsid w:val="00E65F50"/>
    <w:rsid w:val="00E701E7"/>
    <w:rsid w:val="00E74251"/>
    <w:rsid w:val="00E77EEA"/>
    <w:rsid w:val="00E77F41"/>
    <w:rsid w:val="00E82C89"/>
    <w:rsid w:val="00E83FCE"/>
    <w:rsid w:val="00E84AE9"/>
    <w:rsid w:val="00E86C9E"/>
    <w:rsid w:val="00E91698"/>
    <w:rsid w:val="00E93926"/>
    <w:rsid w:val="00E956EE"/>
    <w:rsid w:val="00EA2630"/>
    <w:rsid w:val="00EA7B8A"/>
    <w:rsid w:val="00EB24A1"/>
    <w:rsid w:val="00EB6D08"/>
    <w:rsid w:val="00EC0E08"/>
    <w:rsid w:val="00EC358D"/>
    <w:rsid w:val="00EC66CB"/>
    <w:rsid w:val="00EC7456"/>
    <w:rsid w:val="00ED195F"/>
    <w:rsid w:val="00ED2631"/>
    <w:rsid w:val="00ED29B1"/>
    <w:rsid w:val="00ED41BD"/>
    <w:rsid w:val="00ED61BF"/>
    <w:rsid w:val="00ED689D"/>
    <w:rsid w:val="00ED6C17"/>
    <w:rsid w:val="00EE6228"/>
    <w:rsid w:val="00EE6E97"/>
    <w:rsid w:val="00EF40A4"/>
    <w:rsid w:val="00F00BF2"/>
    <w:rsid w:val="00F03024"/>
    <w:rsid w:val="00F05781"/>
    <w:rsid w:val="00F05BD6"/>
    <w:rsid w:val="00F07766"/>
    <w:rsid w:val="00F07CCC"/>
    <w:rsid w:val="00F10EF5"/>
    <w:rsid w:val="00F17344"/>
    <w:rsid w:val="00F17BCE"/>
    <w:rsid w:val="00F25568"/>
    <w:rsid w:val="00F26312"/>
    <w:rsid w:val="00F267DC"/>
    <w:rsid w:val="00F269C5"/>
    <w:rsid w:val="00F3028C"/>
    <w:rsid w:val="00F30CEA"/>
    <w:rsid w:val="00F30F39"/>
    <w:rsid w:val="00F32F03"/>
    <w:rsid w:val="00F34197"/>
    <w:rsid w:val="00F34BB6"/>
    <w:rsid w:val="00F37559"/>
    <w:rsid w:val="00F37A96"/>
    <w:rsid w:val="00F45B2C"/>
    <w:rsid w:val="00F461B3"/>
    <w:rsid w:val="00F511B3"/>
    <w:rsid w:val="00F51B49"/>
    <w:rsid w:val="00F54306"/>
    <w:rsid w:val="00F5433C"/>
    <w:rsid w:val="00F604D6"/>
    <w:rsid w:val="00F613D2"/>
    <w:rsid w:val="00F66821"/>
    <w:rsid w:val="00F66B2A"/>
    <w:rsid w:val="00F722A3"/>
    <w:rsid w:val="00F75CB6"/>
    <w:rsid w:val="00F8047B"/>
    <w:rsid w:val="00F80F0E"/>
    <w:rsid w:val="00F81057"/>
    <w:rsid w:val="00F81F05"/>
    <w:rsid w:val="00F83E85"/>
    <w:rsid w:val="00F863C6"/>
    <w:rsid w:val="00F86DCE"/>
    <w:rsid w:val="00F916DE"/>
    <w:rsid w:val="00F92BAE"/>
    <w:rsid w:val="00F942D6"/>
    <w:rsid w:val="00F967D0"/>
    <w:rsid w:val="00FA0FD2"/>
    <w:rsid w:val="00FA15EB"/>
    <w:rsid w:val="00FA1680"/>
    <w:rsid w:val="00FA4FF7"/>
    <w:rsid w:val="00FA5789"/>
    <w:rsid w:val="00FB5988"/>
    <w:rsid w:val="00FB7894"/>
    <w:rsid w:val="00FC52E5"/>
    <w:rsid w:val="00FC5C28"/>
    <w:rsid w:val="00FC602E"/>
    <w:rsid w:val="00FC6429"/>
    <w:rsid w:val="00FC77B6"/>
    <w:rsid w:val="00FD2790"/>
    <w:rsid w:val="00FD6AD5"/>
    <w:rsid w:val="00FD7C7F"/>
    <w:rsid w:val="00FE05C2"/>
    <w:rsid w:val="00FF19AD"/>
    <w:rsid w:val="00FF7B92"/>
    <w:rsid w:val="010C528E"/>
    <w:rsid w:val="013250C0"/>
    <w:rsid w:val="01334788"/>
    <w:rsid w:val="01A66FB4"/>
    <w:rsid w:val="01B4367D"/>
    <w:rsid w:val="01C20632"/>
    <w:rsid w:val="01F84FD7"/>
    <w:rsid w:val="02346138"/>
    <w:rsid w:val="0242733A"/>
    <w:rsid w:val="02671768"/>
    <w:rsid w:val="026736B8"/>
    <w:rsid w:val="0269377A"/>
    <w:rsid w:val="028E4DDB"/>
    <w:rsid w:val="02C52150"/>
    <w:rsid w:val="02DB6548"/>
    <w:rsid w:val="02DC03F4"/>
    <w:rsid w:val="02DE6B83"/>
    <w:rsid w:val="02F27EAE"/>
    <w:rsid w:val="02FA119A"/>
    <w:rsid w:val="030502E0"/>
    <w:rsid w:val="032F22E2"/>
    <w:rsid w:val="0331353B"/>
    <w:rsid w:val="034372F4"/>
    <w:rsid w:val="036916F4"/>
    <w:rsid w:val="036D7EE4"/>
    <w:rsid w:val="03B8267A"/>
    <w:rsid w:val="03C21F10"/>
    <w:rsid w:val="03EA07D9"/>
    <w:rsid w:val="046E6F3C"/>
    <w:rsid w:val="04762458"/>
    <w:rsid w:val="04942A4D"/>
    <w:rsid w:val="04AB667F"/>
    <w:rsid w:val="04B276B1"/>
    <w:rsid w:val="04D764F5"/>
    <w:rsid w:val="04F77729"/>
    <w:rsid w:val="050F7579"/>
    <w:rsid w:val="052B5C4D"/>
    <w:rsid w:val="0547174E"/>
    <w:rsid w:val="057476A3"/>
    <w:rsid w:val="05802F9C"/>
    <w:rsid w:val="059D6AAA"/>
    <w:rsid w:val="05A207AE"/>
    <w:rsid w:val="05C66AF7"/>
    <w:rsid w:val="05E56E6E"/>
    <w:rsid w:val="06216546"/>
    <w:rsid w:val="06257654"/>
    <w:rsid w:val="06267B2A"/>
    <w:rsid w:val="06330903"/>
    <w:rsid w:val="064A7DDF"/>
    <w:rsid w:val="067558A7"/>
    <w:rsid w:val="068C1967"/>
    <w:rsid w:val="06947230"/>
    <w:rsid w:val="06AB5199"/>
    <w:rsid w:val="06B203E6"/>
    <w:rsid w:val="06E75E06"/>
    <w:rsid w:val="06EA07A8"/>
    <w:rsid w:val="07244B6B"/>
    <w:rsid w:val="072B3E1E"/>
    <w:rsid w:val="073672C8"/>
    <w:rsid w:val="074F405B"/>
    <w:rsid w:val="076E6BAF"/>
    <w:rsid w:val="0788707B"/>
    <w:rsid w:val="07A0671C"/>
    <w:rsid w:val="07BC73B5"/>
    <w:rsid w:val="07C5321A"/>
    <w:rsid w:val="07C85D0D"/>
    <w:rsid w:val="07E06088"/>
    <w:rsid w:val="07EA1975"/>
    <w:rsid w:val="07F5090D"/>
    <w:rsid w:val="081E5C8D"/>
    <w:rsid w:val="086D635E"/>
    <w:rsid w:val="087113E5"/>
    <w:rsid w:val="087930B4"/>
    <w:rsid w:val="089A5DBD"/>
    <w:rsid w:val="08A32603"/>
    <w:rsid w:val="08EA7A02"/>
    <w:rsid w:val="090A081B"/>
    <w:rsid w:val="090A7312"/>
    <w:rsid w:val="094A14CB"/>
    <w:rsid w:val="095A0176"/>
    <w:rsid w:val="0997692D"/>
    <w:rsid w:val="09CB7DBA"/>
    <w:rsid w:val="09E85792"/>
    <w:rsid w:val="09EF7D98"/>
    <w:rsid w:val="0A1870FD"/>
    <w:rsid w:val="0A576C98"/>
    <w:rsid w:val="0A5B31A0"/>
    <w:rsid w:val="0AB51B04"/>
    <w:rsid w:val="0AE2394F"/>
    <w:rsid w:val="0AF669C7"/>
    <w:rsid w:val="0AF824BB"/>
    <w:rsid w:val="0B1B0ED2"/>
    <w:rsid w:val="0B261B7D"/>
    <w:rsid w:val="0B2A1901"/>
    <w:rsid w:val="0B4C33E8"/>
    <w:rsid w:val="0B5F6424"/>
    <w:rsid w:val="0B9C5CFE"/>
    <w:rsid w:val="0BA57E29"/>
    <w:rsid w:val="0C444B52"/>
    <w:rsid w:val="0C833461"/>
    <w:rsid w:val="0C930B8B"/>
    <w:rsid w:val="0CBA5558"/>
    <w:rsid w:val="0CC6479D"/>
    <w:rsid w:val="0CD361AE"/>
    <w:rsid w:val="0CEF1DD4"/>
    <w:rsid w:val="0D193E25"/>
    <w:rsid w:val="0D1D2641"/>
    <w:rsid w:val="0D2D41AC"/>
    <w:rsid w:val="0D364901"/>
    <w:rsid w:val="0D3B401D"/>
    <w:rsid w:val="0D3E2BC2"/>
    <w:rsid w:val="0D4E6308"/>
    <w:rsid w:val="0D511930"/>
    <w:rsid w:val="0D6E463D"/>
    <w:rsid w:val="0D93638B"/>
    <w:rsid w:val="0DAF5AF8"/>
    <w:rsid w:val="0DB83735"/>
    <w:rsid w:val="0DE46919"/>
    <w:rsid w:val="0DF65E24"/>
    <w:rsid w:val="0E165C5A"/>
    <w:rsid w:val="0E215250"/>
    <w:rsid w:val="0E415CE8"/>
    <w:rsid w:val="0E4D2492"/>
    <w:rsid w:val="0E537719"/>
    <w:rsid w:val="0E650431"/>
    <w:rsid w:val="0E721069"/>
    <w:rsid w:val="0E80158E"/>
    <w:rsid w:val="0EAC7CBC"/>
    <w:rsid w:val="0ECC55BC"/>
    <w:rsid w:val="0ECD68A1"/>
    <w:rsid w:val="0EDC3A7D"/>
    <w:rsid w:val="0F0710E1"/>
    <w:rsid w:val="0F120D4E"/>
    <w:rsid w:val="0F1D5312"/>
    <w:rsid w:val="0F587BBB"/>
    <w:rsid w:val="0F6018A7"/>
    <w:rsid w:val="0F97156B"/>
    <w:rsid w:val="0FA978A5"/>
    <w:rsid w:val="0FB5357C"/>
    <w:rsid w:val="1001579B"/>
    <w:rsid w:val="10141CD8"/>
    <w:rsid w:val="101A7974"/>
    <w:rsid w:val="102C6025"/>
    <w:rsid w:val="103D6844"/>
    <w:rsid w:val="1056152C"/>
    <w:rsid w:val="108D6BDC"/>
    <w:rsid w:val="10B04615"/>
    <w:rsid w:val="10B564AE"/>
    <w:rsid w:val="10C65345"/>
    <w:rsid w:val="10F17346"/>
    <w:rsid w:val="10F60360"/>
    <w:rsid w:val="110D108E"/>
    <w:rsid w:val="11160AA8"/>
    <w:rsid w:val="1117092B"/>
    <w:rsid w:val="112809FB"/>
    <w:rsid w:val="113E11D1"/>
    <w:rsid w:val="114602AE"/>
    <w:rsid w:val="11512BB8"/>
    <w:rsid w:val="11685B05"/>
    <w:rsid w:val="11AF6357"/>
    <w:rsid w:val="11B91958"/>
    <w:rsid w:val="11CA59B9"/>
    <w:rsid w:val="11F77ECD"/>
    <w:rsid w:val="12042FE4"/>
    <w:rsid w:val="1205136C"/>
    <w:rsid w:val="125F6DBC"/>
    <w:rsid w:val="12656274"/>
    <w:rsid w:val="127D35B3"/>
    <w:rsid w:val="12934512"/>
    <w:rsid w:val="12C31CDE"/>
    <w:rsid w:val="12D32F6F"/>
    <w:rsid w:val="12FF3426"/>
    <w:rsid w:val="132F24EA"/>
    <w:rsid w:val="136C46F4"/>
    <w:rsid w:val="139D1AD6"/>
    <w:rsid w:val="13AF75FF"/>
    <w:rsid w:val="13B401F1"/>
    <w:rsid w:val="13ED394E"/>
    <w:rsid w:val="1407788E"/>
    <w:rsid w:val="14157B94"/>
    <w:rsid w:val="141D110B"/>
    <w:rsid w:val="142D74CC"/>
    <w:rsid w:val="14565475"/>
    <w:rsid w:val="1468688A"/>
    <w:rsid w:val="14AA1960"/>
    <w:rsid w:val="14FA6CA3"/>
    <w:rsid w:val="14FB6263"/>
    <w:rsid w:val="14FD62EA"/>
    <w:rsid w:val="15035722"/>
    <w:rsid w:val="153D2BE9"/>
    <w:rsid w:val="154B5DAC"/>
    <w:rsid w:val="156B2FF9"/>
    <w:rsid w:val="15D31466"/>
    <w:rsid w:val="15F87AFC"/>
    <w:rsid w:val="15FC0905"/>
    <w:rsid w:val="160944AB"/>
    <w:rsid w:val="163B6F9E"/>
    <w:rsid w:val="16421D82"/>
    <w:rsid w:val="164B77EF"/>
    <w:rsid w:val="165A7AB5"/>
    <w:rsid w:val="168960C6"/>
    <w:rsid w:val="1692644F"/>
    <w:rsid w:val="16931DB3"/>
    <w:rsid w:val="169D6502"/>
    <w:rsid w:val="16A47360"/>
    <w:rsid w:val="16C06660"/>
    <w:rsid w:val="16DB1024"/>
    <w:rsid w:val="16E87689"/>
    <w:rsid w:val="17150BFB"/>
    <w:rsid w:val="173F6C31"/>
    <w:rsid w:val="17400F9C"/>
    <w:rsid w:val="17501932"/>
    <w:rsid w:val="177213C1"/>
    <w:rsid w:val="17B61944"/>
    <w:rsid w:val="17C5378A"/>
    <w:rsid w:val="17C67E95"/>
    <w:rsid w:val="17DC284D"/>
    <w:rsid w:val="17DD1B3D"/>
    <w:rsid w:val="17E157A6"/>
    <w:rsid w:val="180A5717"/>
    <w:rsid w:val="18276000"/>
    <w:rsid w:val="18313FA8"/>
    <w:rsid w:val="185233F5"/>
    <w:rsid w:val="18611D26"/>
    <w:rsid w:val="186231B5"/>
    <w:rsid w:val="1862413D"/>
    <w:rsid w:val="18933137"/>
    <w:rsid w:val="189E0B68"/>
    <w:rsid w:val="18BF44DB"/>
    <w:rsid w:val="18D04E9E"/>
    <w:rsid w:val="18D33550"/>
    <w:rsid w:val="19827BA3"/>
    <w:rsid w:val="19852BDB"/>
    <w:rsid w:val="198A18F4"/>
    <w:rsid w:val="19982894"/>
    <w:rsid w:val="199D17B2"/>
    <w:rsid w:val="19FF34EC"/>
    <w:rsid w:val="1A0772AB"/>
    <w:rsid w:val="1A150751"/>
    <w:rsid w:val="1A1D7568"/>
    <w:rsid w:val="1A3C6101"/>
    <w:rsid w:val="1A5F13D5"/>
    <w:rsid w:val="1AB13457"/>
    <w:rsid w:val="1AC71E4A"/>
    <w:rsid w:val="1AD87795"/>
    <w:rsid w:val="1ADD291A"/>
    <w:rsid w:val="1AE91AD2"/>
    <w:rsid w:val="1AEF4F2F"/>
    <w:rsid w:val="1B072721"/>
    <w:rsid w:val="1B282499"/>
    <w:rsid w:val="1B317F33"/>
    <w:rsid w:val="1B3B029F"/>
    <w:rsid w:val="1B3B13F5"/>
    <w:rsid w:val="1B3D7BDF"/>
    <w:rsid w:val="1B473410"/>
    <w:rsid w:val="1B53692C"/>
    <w:rsid w:val="1BA8495C"/>
    <w:rsid w:val="1BB61DD9"/>
    <w:rsid w:val="1BE01F16"/>
    <w:rsid w:val="1C0E648D"/>
    <w:rsid w:val="1C1E1DC1"/>
    <w:rsid w:val="1C314A29"/>
    <w:rsid w:val="1C317C7E"/>
    <w:rsid w:val="1C5356EF"/>
    <w:rsid w:val="1C8B7974"/>
    <w:rsid w:val="1CB36944"/>
    <w:rsid w:val="1D16412B"/>
    <w:rsid w:val="1D1A0DBF"/>
    <w:rsid w:val="1D1E7745"/>
    <w:rsid w:val="1D2B0216"/>
    <w:rsid w:val="1D2D53EC"/>
    <w:rsid w:val="1D350C0D"/>
    <w:rsid w:val="1D3A7C22"/>
    <w:rsid w:val="1D5B61E6"/>
    <w:rsid w:val="1D5F6F9E"/>
    <w:rsid w:val="1D7B5F47"/>
    <w:rsid w:val="1D917F0B"/>
    <w:rsid w:val="1D9259F6"/>
    <w:rsid w:val="1DA046A6"/>
    <w:rsid w:val="1DA85311"/>
    <w:rsid w:val="1DB774C0"/>
    <w:rsid w:val="1E431CAF"/>
    <w:rsid w:val="1E557791"/>
    <w:rsid w:val="1E64188F"/>
    <w:rsid w:val="1E666DE3"/>
    <w:rsid w:val="1E6F7F18"/>
    <w:rsid w:val="1E7148AD"/>
    <w:rsid w:val="1EA556AE"/>
    <w:rsid w:val="1EC60F40"/>
    <w:rsid w:val="1EEB4142"/>
    <w:rsid w:val="1EEE706A"/>
    <w:rsid w:val="1EF56774"/>
    <w:rsid w:val="1F00136A"/>
    <w:rsid w:val="1F445432"/>
    <w:rsid w:val="1F4A3B9F"/>
    <w:rsid w:val="1F9048FC"/>
    <w:rsid w:val="1FA56D3B"/>
    <w:rsid w:val="1FF32162"/>
    <w:rsid w:val="2018173E"/>
    <w:rsid w:val="201D5E0C"/>
    <w:rsid w:val="203B7048"/>
    <w:rsid w:val="204775B2"/>
    <w:rsid w:val="206A4C40"/>
    <w:rsid w:val="20A522BB"/>
    <w:rsid w:val="20B0162F"/>
    <w:rsid w:val="20E27E60"/>
    <w:rsid w:val="20F62E33"/>
    <w:rsid w:val="21304699"/>
    <w:rsid w:val="214E7870"/>
    <w:rsid w:val="215E4FAB"/>
    <w:rsid w:val="216D5541"/>
    <w:rsid w:val="21734926"/>
    <w:rsid w:val="217F7A86"/>
    <w:rsid w:val="21E23326"/>
    <w:rsid w:val="22133E8F"/>
    <w:rsid w:val="222258EE"/>
    <w:rsid w:val="223C36D7"/>
    <w:rsid w:val="223F1EE9"/>
    <w:rsid w:val="22976AE8"/>
    <w:rsid w:val="22AA267B"/>
    <w:rsid w:val="22B86265"/>
    <w:rsid w:val="22BE3CB0"/>
    <w:rsid w:val="22D91F81"/>
    <w:rsid w:val="232E269F"/>
    <w:rsid w:val="23736E8D"/>
    <w:rsid w:val="2385319A"/>
    <w:rsid w:val="23856B46"/>
    <w:rsid w:val="239973DA"/>
    <w:rsid w:val="23A8156D"/>
    <w:rsid w:val="23C37A6E"/>
    <w:rsid w:val="23CE57AE"/>
    <w:rsid w:val="23EB789A"/>
    <w:rsid w:val="242B5917"/>
    <w:rsid w:val="243741D6"/>
    <w:rsid w:val="243B00FC"/>
    <w:rsid w:val="245528AC"/>
    <w:rsid w:val="247D5AA8"/>
    <w:rsid w:val="24A417BB"/>
    <w:rsid w:val="24AE3B6A"/>
    <w:rsid w:val="24B40631"/>
    <w:rsid w:val="24CC07A8"/>
    <w:rsid w:val="24E56989"/>
    <w:rsid w:val="250066FE"/>
    <w:rsid w:val="253379D6"/>
    <w:rsid w:val="25373087"/>
    <w:rsid w:val="255D1336"/>
    <w:rsid w:val="259A2EBC"/>
    <w:rsid w:val="25A94438"/>
    <w:rsid w:val="25DD42B4"/>
    <w:rsid w:val="25ED42A4"/>
    <w:rsid w:val="260332E1"/>
    <w:rsid w:val="2604237F"/>
    <w:rsid w:val="26123EE1"/>
    <w:rsid w:val="261E4108"/>
    <w:rsid w:val="2621768A"/>
    <w:rsid w:val="26257636"/>
    <w:rsid w:val="26292A28"/>
    <w:rsid w:val="262E2431"/>
    <w:rsid w:val="263877EF"/>
    <w:rsid w:val="26427C13"/>
    <w:rsid w:val="265A438E"/>
    <w:rsid w:val="26BC38BA"/>
    <w:rsid w:val="26D174E0"/>
    <w:rsid w:val="26EA1DB4"/>
    <w:rsid w:val="2718248E"/>
    <w:rsid w:val="271A44C8"/>
    <w:rsid w:val="27215E65"/>
    <w:rsid w:val="272D1A5A"/>
    <w:rsid w:val="2742136D"/>
    <w:rsid w:val="276D4EBD"/>
    <w:rsid w:val="276D624A"/>
    <w:rsid w:val="277527C9"/>
    <w:rsid w:val="279B0BE0"/>
    <w:rsid w:val="27AC55ED"/>
    <w:rsid w:val="27B65134"/>
    <w:rsid w:val="27BD7CB3"/>
    <w:rsid w:val="27F81F2C"/>
    <w:rsid w:val="281B1A95"/>
    <w:rsid w:val="282A2FBF"/>
    <w:rsid w:val="284D4CE1"/>
    <w:rsid w:val="28884F3F"/>
    <w:rsid w:val="288A3A6E"/>
    <w:rsid w:val="289B53DE"/>
    <w:rsid w:val="28EA36A0"/>
    <w:rsid w:val="29230D98"/>
    <w:rsid w:val="29734AA2"/>
    <w:rsid w:val="29975184"/>
    <w:rsid w:val="29B27D0E"/>
    <w:rsid w:val="29B60371"/>
    <w:rsid w:val="29B96DA4"/>
    <w:rsid w:val="29EB44B2"/>
    <w:rsid w:val="2A482381"/>
    <w:rsid w:val="2A560798"/>
    <w:rsid w:val="2A6B032A"/>
    <w:rsid w:val="2A7864C1"/>
    <w:rsid w:val="2A8D307C"/>
    <w:rsid w:val="2A9F612F"/>
    <w:rsid w:val="2AAF2EFC"/>
    <w:rsid w:val="2ADD4741"/>
    <w:rsid w:val="2AF66151"/>
    <w:rsid w:val="2AF9698D"/>
    <w:rsid w:val="2B09048E"/>
    <w:rsid w:val="2B1400CF"/>
    <w:rsid w:val="2B1701F4"/>
    <w:rsid w:val="2B4138A5"/>
    <w:rsid w:val="2B843AC4"/>
    <w:rsid w:val="2B8A15BC"/>
    <w:rsid w:val="2B947C37"/>
    <w:rsid w:val="2B960392"/>
    <w:rsid w:val="2BAC24A6"/>
    <w:rsid w:val="2BAC6B19"/>
    <w:rsid w:val="2BBF0E89"/>
    <w:rsid w:val="2BC75583"/>
    <w:rsid w:val="2BEB29E9"/>
    <w:rsid w:val="2C336D31"/>
    <w:rsid w:val="2C337AAD"/>
    <w:rsid w:val="2C461694"/>
    <w:rsid w:val="2C4E6FBB"/>
    <w:rsid w:val="2C623D16"/>
    <w:rsid w:val="2C875270"/>
    <w:rsid w:val="2C965415"/>
    <w:rsid w:val="2CB23F2C"/>
    <w:rsid w:val="2CD813D3"/>
    <w:rsid w:val="2CE74F46"/>
    <w:rsid w:val="2D084BDC"/>
    <w:rsid w:val="2D0869D1"/>
    <w:rsid w:val="2D266300"/>
    <w:rsid w:val="2D430728"/>
    <w:rsid w:val="2D470279"/>
    <w:rsid w:val="2D67146E"/>
    <w:rsid w:val="2D786683"/>
    <w:rsid w:val="2D962B7E"/>
    <w:rsid w:val="2DED5358"/>
    <w:rsid w:val="2DEE79B2"/>
    <w:rsid w:val="2DF410A0"/>
    <w:rsid w:val="2DF64E15"/>
    <w:rsid w:val="2DF802B3"/>
    <w:rsid w:val="2E152094"/>
    <w:rsid w:val="2E1F33B7"/>
    <w:rsid w:val="2E2B674B"/>
    <w:rsid w:val="2E3B4D8F"/>
    <w:rsid w:val="2E690389"/>
    <w:rsid w:val="2E705D56"/>
    <w:rsid w:val="2E93460F"/>
    <w:rsid w:val="2ED628B7"/>
    <w:rsid w:val="2EF354FE"/>
    <w:rsid w:val="2F0371B0"/>
    <w:rsid w:val="2F6273BF"/>
    <w:rsid w:val="2F7560D1"/>
    <w:rsid w:val="2F822E24"/>
    <w:rsid w:val="2F90501C"/>
    <w:rsid w:val="2FE8455B"/>
    <w:rsid w:val="2FE95C27"/>
    <w:rsid w:val="2FFC638E"/>
    <w:rsid w:val="302B23F0"/>
    <w:rsid w:val="302D1C95"/>
    <w:rsid w:val="30334951"/>
    <w:rsid w:val="303F1F52"/>
    <w:rsid w:val="30600FDD"/>
    <w:rsid w:val="30656F02"/>
    <w:rsid w:val="30A51AD1"/>
    <w:rsid w:val="30B413CC"/>
    <w:rsid w:val="30FD6FF5"/>
    <w:rsid w:val="3131082A"/>
    <w:rsid w:val="313425ED"/>
    <w:rsid w:val="313F1551"/>
    <w:rsid w:val="31A937D0"/>
    <w:rsid w:val="31B0675F"/>
    <w:rsid w:val="31B52536"/>
    <w:rsid w:val="31CC7FFB"/>
    <w:rsid w:val="31D04654"/>
    <w:rsid w:val="31E63009"/>
    <w:rsid w:val="31E92B10"/>
    <w:rsid w:val="31F26519"/>
    <w:rsid w:val="322D122B"/>
    <w:rsid w:val="322E4F53"/>
    <w:rsid w:val="326D247F"/>
    <w:rsid w:val="32A75BAB"/>
    <w:rsid w:val="32D71E4A"/>
    <w:rsid w:val="330E4AA6"/>
    <w:rsid w:val="3327108A"/>
    <w:rsid w:val="33370807"/>
    <w:rsid w:val="3347396E"/>
    <w:rsid w:val="334808EA"/>
    <w:rsid w:val="337803D8"/>
    <w:rsid w:val="33CE2E13"/>
    <w:rsid w:val="3425303A"/>
    <w:rsid w:val="343C3638"/>
    <w:rsid w:val="347B3F37"/>
    <w:rsid w:val="34AE330A"/>
    <w:rsid w:val="34F84A14"/>
    <w:rsid w:val="34FD55E0"/>
    <w:rsid w:val="350C652A"/>
    <w:rsid w:val="355634B1"/>
    <w:rsid w:val="35597C05"/>
    <w:rsid w:val="355A1802"/>
    <w:rsid w:val="35842B40"/>
    <w:rsid w:val="35B25B7D"/>
    <w:rsid w:val="35C0722D"/>
    <w:rsid w:val="35C91C5E"/>
    <w:rsid w:val="3642530D"/>
    <w:rsid w:val="36436038"/>
    <w:rsid w:val="36546FA8"/>
    <w:rsid w:val="367C374B"/>
    <w:rsid w:val="36876A24"/>
    <w:rsid w:val="36A106FF"/>
    <w:rsid w:val="36A20F50"/>
    <w:rsid w:val="36A91052"/>
    <w:rsid w:val="37074A11"/>
    <w:rsid w:val="37095609"/>
    <w:rsid w:val="3772755D"/>
    <w:rsid w:val="37941B92"/>
    <w:rsid w:val="379C15D3"/>
    <w:rsid w:val="37AF2962"/>
    <w:rsid w:val="37B04A5B"/>
    <w:rsid w:val="37C026C0"/>
    <w:rsid w:val="37D0665A"/>
    <w:rsid w:val="38054D85"/>
    <w:rsid w:val="38146F9B"/>
    <w:rsid w:val="38436ADE"/>
    <w:rsid w:val="387F19CE"/>
    <w:rsid w:val="38AC1CC4"/>
    <w:rsid w:val="390455C8"/>
    <w:rsid w:val="392711B7"/>
    <w:rsid w:val="394043E4"/>
    <w:rsid w:val="394A00C4"/>
    <w:rsid w:val="39704603"/>
    <w:rsid w:val="399A2295"/>
    <w:rsid w:val="39D73083"/>
    <w:rsid w:val="39F914B3"/>
    <w:rsid w:val="3A076BBA"/>
    <w:rsid w:val="3A0D1C58"/>
    <w:rsid w:val="3A136626"/>
    <w:rsid w:val="3A2E4CC2"/>
    <w:rsid w:val="3A45433C"/>
    <w:rsid w:val="3A486CF8"/>
    <w:rsid w:val="3A66264B"/>
    <w:rsid w:val="3AD136DE"/>
    <w:rsid w:val="3B456C6F"/>
    <w:rsid w:val="3B494BA9"/>
    <w:rsid w:val="3B6A0C9F"/>
    <w:rsid w:val="3B884EC9"/>
    <w:rsid w:val="3B8D4D19"/>
    <w:rsid w:val="3BA03824"/>
    <w:rsid w:val="3BD020C5"/>
    <w:rsid w:val="3C0071B8"/>
    <w:rsid w:val="3C4533E3"/>
    <w:rsid w:val="3C604625"/>
    <w:rsid w:val="3C7D63B9"/>
    <w:rsid w:val="3C876A14"/>
    <w:rsid w:val="3CA05622"/>
    <w:rsid w:val="3CB27731"/>
    <w:rsid w:val="3CB55E96"/>
    <w:rsid w:val="3CE443F3"/>
    <w:rsid w:val="3D00259E"/>
    <w:rsid w:val="3D0C105D"/>
    <w:rsid w:val="3D3F0331"/>
    <w:rsid w:val="3D7D39EB"/>
    <w:rsid w:val="3D80093F"/>
    <w:rsid w:val="3D9520B5"/>
    <w:rsid w:val="3D9C10B4"/>
    <w:rsid w:val="3DA9522F"/>
    <w:rsid w:val="3DC908C6"/>
    <w:rsid w:val="3E0471BD"/>
    <w:rsid w:val="3E5102CA"/>
    <w:rsid w:val="3E9075B2"/>
    <w:rsid w:val="3EA730B9"/>
    <w:rsid w:val="3EC2087A"/>
    <w:rsid w:val="3ED43F1F"/>
    <w:rsid w:val="3EF04AEB"/>
    <w:rsid w:val="3F0F69F4"/>
    <w:rsid w:val="3F1009E8"/>
    <w:rsid w:val="3F3B517E"/>
    <w:rsid w:val="3F9D1749"/>
    <w:rsid w:val="3F9E5C9A"/>
    <w:rsid w:val="3FA0335B"/>
    <w:rsid w:val="3FF06B46"/>
    <w:rsid w:val="3FF838DD"/>
    <w:rsid w:val="3FFC1470"/>
    <w:rsid w:val="3FFF0F4C"/>
    <w:rsid w:val="401459E2"/>
    <w:rsid w:val="401A097A"/>
    <w:rsid w:val="402B188B"/>
    <w:rsid w:val="403E1E5B"/>
    <w:rsid w:val="404C1C85"/>
    <w:rsid w:val="407601C7"/>
    <w:rsid w:val="408D38DE"/>
    <w:rsid w:val="40A1023E"/>
    <w:rsid w:val="40B64517"/>
    <w:rsid w:val="40BA4DAE"/>
    <w:rsid w:val="40E816EB"/>
    <w:rsid w:val="40FE1E1B"/>
    <w:rsid w:val="41006500"/>
    <w:rsid w:val="413C236F"/>
    <w:rsid w:val="4171143D"/>
    <w:rsid w:val="417B61D8"/>
    <w:rsid w:val="41973131"/>
    <w:rsid w:val="41C74FFE"/>
    <w:rsid w:val="421B2ECC"/>
    <w:rsid w:val="42485461"/>
    <w:rsid w:val="42624102"/>
    <w:rsid w:val="426376A0"/>
    <w:rsid w:val="426E55B3"/>
    <w:rsid w:val="4280555E"/>
    <w:rsid w:val="42A87727"/>
    <w:rsid w:val="42B100E1"/>
    <w:rsid w:val="42CD1A7E"/>
    <w:rsid w:val="42D515B0"/>
    <w:rsid w:val="42E01C7B"/>
    <w:rsid w:val="430D6BDD"/>
    <w:rsid w:val="430F35F3"/>
    <w:rsid w:val="43100147"/>
    <w:rsid w:val="431D7965"/>
    <w:rsid w:val="432C64AC"/>
    <w:rsid w:val="43581E5B"/>
    <w:rsid w:val="436718F8"/>
    <w:rsid w:val="439523B0"/>
    <w:rsid w:val="43953AB7"/>
    <w:rsid w:val="4395585E"/>
    <w:rsid w:val="43A507CE"/>
    <w:rsid w:val="43E000F9"/>
    <w:rsid w:val="43F90F3B"/>
    <w:rsid w:val="43FF7BD1"/>
    <w:rsid w:val="440230F8"/>
    <w:rsid w:val="44313ADA"/>
    <w:rsid w:val="44655647"/>
    <w:rsid w:val="44655966"/>
    <w:rsid w:val="44732E22"/>
    <w:rsid w:val="44901297"/>
    <w:rsid w:val="44EC7F57"/>
    <w:rsid w:val="456D6971"/>
    <w:rsid w:val="456F617D"/>
    <w:rsid w:val="457134D6"/>
    <w:rsid w:val="45AF3BB4"/>
    <w:rsid w:val="45C707CE"/>
    <w:rsid w:val="45FA1099"/>
    <w:rsid w:val="46050A63"/>
    <w:rsid w:val="460D747C"/>
    <w:rsid w:val="462A6BF3"/>
    <w:rsid w:val="4641173A"/>
    <w:rsid w:val="466035F5"/>
    <w:rsid w:val="467A6960"/>
    <w:rsid w:val="46CB25FB"/>
    <w:rsid w:val="46E73A9D"/>
    <w:rsid w:val="47187E9A"/>
    <w:rsid w:val="473E40AB"/>
    <w:rsid w:val="4744627B"/>
    <w:rsid w:val="47456547"/>
    <w:rsid w:val="474F3022"/>
    <w:rsid w:val="47B81E47"/>
    <w:rsid w:val="47C20D98"/>
    <w:rsid w:val="47FE3492"/>
    <w:rsid w:val="48483F7F"/>
    <w:rsid w:val="4853644C"/>
    <w:rsid w:val="48697D37"/>
    <w:rsid w:val="486D0579"/>
    <w:rsid w:val="488F3F8D"/>
    <w:rsid w:val="48904946"/>
    <w:rsid w:val="489E4331"/>
    <w:rsid w:val="48A77428"/>
    <w:rsid w:val="48F701F3"/>
    <w:rsid w:val="490546FB"/>
    <w:rsid w:val="490D4385"/>
    <w:rsid w:val="492F0336"/>
    <w:rsid w:val="496B053C"/>
    <w:rsid w:val="498A6BB7"/>
    <w:rsid w:val="498E2FDD"/>
    <w:rsid w:val="499758D7"/>
    <w:rsid w:val="499A1FBF"/>
    <w:rsid w:val="49AE1E44"/>
    <w:rsid w:val="49B22754"/>
    <w:rsid w:val="49B465E4"/>
    <w:rsid w:val="49D36B22"/>
    <w:rsid w:val="4A2D795D"/>
    <w:rsid w:val="4A5339DF"/>
    <w:rsid w:val="4A786F8C"/>
    <w:rsid w:val="4ABD1827"/>
    <w:rsid w:val="4AD51900"/>
    <w:rsid w:val="4AE75E3F"/>
    <w:rsid w:val="4B091A24"/>
    <w:rsid w:val="4B1F151D"/>
    <w:rsid w:val="4B4E43C2"/>
    <w:rsid w:val="4B7C795F"/>
    <w:rsid w:val="4B9E1622"/>
    <w:rsid w:val="4B9E5499"/>
    <w:rsid w:val="4BAA7DA5"/>
    <w:rsid w:val="4BD73E5B"/>
    <w:rsid w:val="4BDC61D3"/>
    <w:rsid w:val="4C30340E"/>
    <w:rsid w:val="4C3F09F6"/>
    <w:rsid w:val="4C577947"/>
    <w:rsid w:val="4CAA56B2"/>
    <w:rsid w:val="4CAA5EE5"/>
    <w:rsid w:val="4CB40769"/>
    <w:rsid w:val="4CB81C26"/>
    <w:rsid w:val="4CD66B95"/>
    <w:rsid w:val="4CDB1460"/>
    <w:rsid w:val="4D1B13DF"/>
    <w:rsid w:val="4D33299C"/>
    <w:rsid w:val="4D345AFC"/>
    <w:rsid w:val="4D66747F"/>
    <w:rsid w:val="4D8957DD"/>
    <w:rsid w:val="4D98627E"/>
    <w:rsid w:val="4DB57276"/>
    <w:rsid w:val="4DB608B0"/>
    <w:rsid w:val="4DC2344C"/>
    <w:rsid w:val="4DCC5302"/>
    <w:rsid w:val="4DD27F78"/>
    <w:rsid w:val="4DD95517"/>
    <w:rsid w:val="4E265F35"/>
    <w:rsid w:val="4E2C43E6"/>
    <w:rsid w:val="4E4F07F9"/>
    <w:rsid w:val="4E581AB8"/>
    <w:rsid w:val="4E6C371F"/>
    <w:rsid w:val="4E7960B8"/>
    <w:rsid w:val="4E80380F"/>
    <w:rsid w:val="4E883291"/>
    <w:rsid w:val="4E8B2172"/>
    <w:rsid w:val="4E8B7D73"/>
    <w:rsid w:val="4E944E04"/>
    <w:rsid w:val="4E9D3F55"/>
    <w:rsid w:val="4ED34C95"/>
    <w:rsid w:val="4EF0430E"/>
    <w:rsid w:val="4F0066A1"/>
    <w:rsid w:val="4F460EAC"/>
    <w:rsid w:val="4F6039D5"/>
    <w:rsid w:val="4F6A65DF"/>
    <w:rsid w:val="4FA55E13"/>
    <w:rsid w:val="4FA92537"/>
    <w:rsid w:val="4FB52502"/>
    <w:rsid w:val="4FB6225D"/>
    <w:rsid w:val="4FD16883"/>
    <w:rsid w:val="4FE71F4D"/>
    <w:rsid w:val="4FEE547C"/>
    <w:rsid w:val="50001812"/>
    <w:rsid w:val="500451B4"/>
    <w:rsid w:val="50513DBE"/>
    <w:rsid w:val="50634346"/>
    <w:rsid w:val="506E0E2C"/>
    <w:rsid w:val="50A12BDE"/>
    <w:rsid w:val="50A22415"/>
    <w:rsid w:val="50D13A2E"/>
    <w:rsid w:val="51246EB8"/>
    <w:rsid w:val="512831A6"/>
    <w:rsid w:val="51287539"/>
    <w:rsid w:val="513349FD"/>
    <w:rsid w:val="513A07B6"/>
    <w:rsid w:val="513A2D43"/>
    <w:rsid w:val="51505520"/>
    <w:rsid w:val="51530094"/>
    <w:rsid w:val="51545314"/>
    <w:rsid w:val="515C0C04"/>
    <w:rsid w:val="51646D1A"/>
    <w:rsid w:val="51BD1681"/>
    <w:rsid w:val="51BE54FC"/>
    <w:rsid w:val="51C50C88"/>
    <w:rsid w:val="51C57BB6"/>
    <w:rsid w:val="51CC3E6A"/>
    <w:rsid w:val="51CF3A07"/>
    <w:rsid w:val="51D171E5"/>
    <w:rsid w:val="51D25FE1"/>
    <w:rsid w:val="51E1750A"/>
    <w:rsid w:val="51E33E74"/>
    <w:rsid w:val="520B7B24"/>
    <w:rsid w:val="521C0BB6"/>
    <w:rsid w:val="521C3A78"/>
    <w:rsid w:val="52363A6E"/>
    <w:rsid w:val="523A133F"/>
    <w:rsid w:val="52435D15"/>
    <w:rsid w:val="52736C91"/>
    <w:rsid w:val="5293771F"/>
    <w:rsid w:val="529B64F9"/>
    <w:rsid w:val="52AB57B0"/>
    <w:rsid w:val="52BC6B1E"/>
    <w:rsid w:val="52D16BF7"/>
    <w:rsid w:val="53072F3F"/>
    <w:rsid w:val="5324447A"/>
    <w:rsid w:val="53301796"/>
    <w:rsid w:val="53431B52"/>
    <w:rsid w:val="535378DE"/>
    <w:rsid w:val="53A25C1A"/>
    <w:rsid w:val="53C26E85"/>
    <w:rsid w:val="540E28F0"/>
    <w:rsid w:val="542E491F"/>
    <w:rsid w:val="543B6AE0"/>
    <w:rsid w:val="546062BA"/>
    <w:rsid w:val="546C4910"/>
    <w:rsid w:val="547D3B66"/>
    <w:rsid w:val="54922220"/>
    <w:rsid w:val="549B7165"/>
    <w:rsid w:val="54D53B92"/>
    <w:rsid w:val="54E925B3"/>
    <w:rsid w:val="55002B5A"/>
    <w:rsid w:val="556C3448"/>
    <w:rsid w:val="558B56DE"/>
    <w:rsid w:val="559A60A0"/>
    <w:rsid w:val="56426652"/>
    <w:rsid w:val="56535110"/>
    <w:rsid w:val="566057C7"/>
    <w:rsid w:val="566A15A8"/>
    <w:rsid w:val="569354B1"/>
    <w:rsid w:val="569F2C55"/>
    <w:rsid w:val="56B471B4"/>
    <w:rsid w:val="56BC5B54"/>
    <w:rsid w:val="56C13B29"/>
    <w:rsid w:val="57064EA9"/>
    <w:rsid w:val="57305B52"/>
    <w:rsid w:val="573060C7"/>
    <w:rsid w:val="575631D2"/>
    <w:rsid w:val="5762594A"/>
    <w:rsid w:val="576D7290"/>
    <w:rsid w:val="57C33473"/>
    <w:rsid w:val="57EB4109"/>
    <w:rsid w:val="580751C1"/>
    <w:rsid w:val="58471CAD"/>
    <w:rsid w:val="585574D5"/>
    <w:rsid w:val="58582053"/>
    <w:rsid w:val="58680E1B"/>
    <w:rsid w:val="58705FC5"/>
    <w:rsid w:val="58745084"/>
    <w:rsid w:val="587D1CE7"/>
    <w:rsid w:val="59076E25"/>
    <w:rsid w:val="592E4D8C"/>
    <w:rsid w:val="59321703"/>
    <w:rsid w:val="594930E9"/>
    <w:rsid w:val="5959534D"/>
    <w:rsid w:val="596B460B"/>
    <w:rsid w:val="59A66247"/>
    <w:rsid w:val="59AD0976"/>
    <w:rsid w:val="59BA7A63"/>
    <w:rsid w:val="59EE166C"/>
    <w:rsid w:val="59EF00DD"/>
    <w:rsid w:val="59FA3DCB"/>
    <w:rsid w:val="5A4A011A"/>
    <w:rsid w:val="5A9B5664"/>
    <w:rsid w:val="5AAF1D42"/>
    <w:rsid w:val="5AB56805"/>
    <w:rsid w:val="5AC926ED"/>
    <w:rsid w:val="5AD672EA"/>
    <w:rsid w:val="5AE62910"/>
    <w:rsid w:val="5AF654A7"/>
    <w:rsid w:val="5B2E25C1"/>
    <w:rsid w:val="5B526DEA"/>
    <w:rsid w:val="5B5E600E"/>
    <w:rsid w:val="5B93240F"/>
    <w:rsid w:val="5BA814CE"/>
    <w:rsid w:val="5BAD3376"/>
    <w:rsid w:val="5BC46201"/>
    <w:rsid w:val="5BC648F3"/>
    <w:rsid w:val="5C1A514B"/>
    <w:rsid w:val="5C321CD1"/>
    <w:rsid w:val="5C431A93"/>
    <w:rsid w:val="5C806A3E"/>
    <w:rsid w:val="5C8A3E79"/>
    <w:rsid w:val="5CC905AC"/>
    <w:rsid w:val="5CDA3CA1"/>
    <w:rsid w:val="5CE65D3B"/>
    <w:rsid w:val="5CEA2F22"/>
    <w:rsid w:val="5D301B5E"/>
    <w:rsid w:val="5D537D35"/>
    <w:rsid w:val="5D6338BC"/>
    <w:rsid w:val="5D737B74"/>
    <w:rsid w:val="5D851D93"/>
    <w:rsid w:val="5DB52ED4"/>
    <w:rsid w:val="5DC3245D"/>
    <w:rsid w:val="5DFB2052"/>
    <w:rsid w:val="5E111628"/>
    <w:rsid w:val="5E2249E7"/>
    <w:rsid w:val="5E2A0012"/>
    <w:rsid w:val="5E3407B3"/>
    <w:rsid w:val="5E35397A"/>
    <w:rsid w:val="5E424B36"/>
    <w:rsid w:val="5E575074"/>
    <w:rsid w:val="5E6B289C"/>
    <w:rsid w:val="5E6D68CE"/>
    <w:rsid w:val="5E706ACF"/>
    <w:rsid w:val="5E771697"/>
    <w:rsid w:val="5E9C653C"/>
    <w:rsid w:val="5EA3001C"/>
    <w:rsid w:val="5ECB712B"/>
    <w:rsid w:val="5EE13914"/>
    <w:rsid w:val="5EFA66AB"/>
    <w:rsid w:val="5F0251E8"/>
    <w:rsid w:val="5F095D8A"/>
    <w:rsid w:val="5F0B2DAF"/>
    <w:rsid w:val="5F135C40"/>
    <w:rsid w:val="5F3563C3"/>
    <w:rsid w:val="5F4D5468"/>
    <w:rsid w:val="5FC25AB6"/>
    <w:rsid w:val="5FC363A7"/>
    <w:rsid w:val="5FD96164"/>
    <w:rsid w:val="5FDC67AF"/>
    <w:rsid w:val="600C03BB"/>
    <w:rsid w:val="60135AAD"/>
    <w:rsid w:val="60212DA9"/>
    <w:rsid w:val="60215989"/>
    <w:rsid w:val="602C59C3"/>
    <w:rsid w:val="60506531"/>
    <w:rsid w:val="606A3BE4"/>
    <w:rsid w:val="607118EE"/>
    <w:rsid w:val="60AC24F6"/>
    <w:rsid w:val="60C277F5"/>
    <w:rsid w:val="60E73EB1"/>
    <w:rsid w:val="60FF253F"/>
    <w:rsid w:val="610B655F"/>
    <w:rsid w:val="611067EB"/>
    <w:rsid w:val="616552B2"/>
    <w:rsid w:val="618417B4"/>
    <w:rsid w:val="61931EF3"/>
    <w:rsid w:val="619839DD"/>
    <w:rsid w:val="61AE3AC8"/>
    <w:rsid w:val="61C13BFA"/>
    <w:rsid w:val="61C50D79"/>
    <w:rsid w:val="61CA2071"/>
    <w:rsid w:val="61D01336"/>
    <w:rsid w:val="61D63EDA"/>
    <w:rsid w:val="61F544E2"/>
    <w:rsid w:val="6201592A"/>
    <w:rsid w:val="62084976"/>
    <w:rsid w:val="621363A6"/>
    <w:rsid w:val="622760E3"/>
    <w:rsid w:val="622B605C"/>
    <w:rsid w:val="622D2C02"/>
    <w:rsid w:val="6233790A"/>
    <w:rsid w:val="62523F0C"/>
    <w:rsid w:val="62687D5B"/>
    <w:rsid w:val="62701383"/>
    <w:rsid w:val="62752629"/>
    <w:rsid w:val="627D4BC8"/>
    <w:rsid w:val="62871E0E"/>
    <w:rsid w:val="629501CE"/>
    <w:rsid w:val="62A220EF"/>
    <w:rsid w:val="62D17084"/>
    <w:rsid w:val="62D65955"/>
    <w:rsid w:val="62E223F2"/>
    <w:rsid w:val="62FC405D"/>
    <w:rsid w:val="63175D3F"/>
    <w:rsid w:val="632F59FF"/>
    <w:rsid w:val="633C0395"/>
    <w:rsid w:val="634B08FB"/>
    <w:rsid w:val="634B337E"/>
    <w:rsid w:val="636C0CDB"/>
    <w:rsid w:val="63772071"/>
    <w:rsid w:val="63B72EE5"/>
    <w:rsid w:val="63ED50B6"/>
    <w:rsid w:val="640763BE"/>
    <w:rsid w:val="64416D9B"/>
    <w:rsid w:val="64761778"/>
    <w:rsid w:val="647A3012"/>
    <w:rsid w:val="64873E0F"/>
    <w:rsid w:val="64C70A52"/>
    <w:rsid w:val="64F14070"/>
    <w:rsid w:val="6540192B"/>
    <w:rsid w:val="65D515B1"/>
    <w:rsid w:val="661659C4"/>
    <w:rsid w:val="66457067"/>
    <w:rsid w:val="666D35AE"/>
    <w:rsid w:val="6673247C"/>
    <w:rsid w:val="668654DE"/>
    <w:rsid w:val="669C0C38"/>
    <w:rsid w:val="66F7206B"/>
    <w:rsid w:val="66FB6A7C"/>
    <w:rsid w:val="674404A6"/>
    <w:rsid w:val="674D23CD"/>
    <w:rsid w:val="67520465"/>
    <w:rsid w:val="67526E31"/>
    <w:rsid w:val="67897AF0"/>
    <w:rsid w:val="67D16432"/>
    <w:rsid w:val="67EB1D0F"/>
    <w:rsid w:val="67ED5E98"/>
    <w:rsid w:val="67F93045"/>
    <w:rsid w:val="68030C59"/>
    <w:rsid w:val="68053CDC"/>
    <w:rsid w:val="683315F2"/>
    <w:rsid w:val="68384F8F"/>
    <w:rsid w:val="685346F8"/>
    <w:rsid w:val="685A600A"/>
    <w:rsid w:val="685E7E08"/>
    <w:rsid w:val="68732318"/>
    <w:rsid w:val="68825E19"/>
    <w:rsid w:val="68DC128B"/>
    <w:rsid w:val="68F24AF6"/>
    <w:rsid w:val="691A62C6"/>
    <w:rsid w:val="691C603D"/>
    <w:rsid w:val="6969456F"/>
    <w:rsid w:val="69705AF8"/>
    <w:rsid w:val="697344C0"/>
    <w:rsid w:val="698A50AC"/>
    <w:rsid w:val="699F4416"/>
    <w:rsid w:val="69D7212A"/>
    <w:rsid w:val="69FD776F"/>
    <w:rsid w:val="6A4643CF"/>
    <w:rsid w:val="6A4928BD"/>
    <w:rsid w:val="6A6B044D"/>
    <w:rsid w:val="6A6B7140"/>
    <w:rsid w:val="6A8C371C"/>
    <w:rsid w:val="6A9034D2"/>
    <w:rsid w:val="6AA84FFB"/>
    <w:rsid w:val="6AF771C8"/>
    <w:rsid w:val="6AFA6964"/>
    <w:rsid w:val="6B001842"/>
    <w:rsid w:val="6B01423D"/>
    <w:rsid w:val="6B0A2AF3"/>
    <w:rsid w:val="6B4212D5"/>
    <w:rsid w:val="6B4414F0"/>
    <w:rsid w:val="6B565AA8"/>
    <w:rsid w:val="6B5748FF"/>
    <w:rsid w:val="6B7B2B55"/>
    <w:rsid w:val="6B9F0C46"/>
    <w:rsid w:val="6BAC1D32"/>
    <w:rsid w:val="6BC321EF"/>
    <w:rsid w:val="6BD41082"/>
    <w:rsid w:val="6BE06CBA"/>
    <w:rsid w:val="6BE43EF7"/>
    <w:rsid w:val="6BF9582A"/>
    <w:rsid w:val="6C1C58EB"/>
    <w:rsid w:val="6C2B64B6"/>
    <w:rsid w:val="6C4B06A2"/>
    <w:rsid w:val="6C6555E3"/>
    <w:rsid w:val="6C6F1CAD"/>
    <w:rsid w:val="6C8501AE"/>
    <w:rsid w:val="6CA060FB"/>
    <w:rsid w:val="6CA06AC4"/>
    <w:rsid w:val="6D2263C3"/>
    <w:rsid w:val="6D357968"/>
    <w:rsid w:val="6D427AF4"/>
    <w:rsid w:val="6D7A6056"/>
    <w:rsid w:val="6D8212B7"/>
    <w:rsid w:val="6D830E12"/>
    <w:rsid w:val="6DB91241"/>
    <w:rsid w:val="6DE366CA"/>
    <w:rsid w:val="6DEF1072"/>
    <w:rsid w:val="6DF66873"/>
    <w:rsid w:val="6DF87BD4"/>
    <w:rsid w:val="6DFE5E41"/>
    <w:rsid w:val="6E027CA2"/>
    <w:rsid w:val="6E115D2C"/>
    <w:rsid w:val="6E3423AA"/>
    <w:rsid w:val="6E9A5546"/>
    <w:rsid w:val="6EE27C76"/>
    <w:rsid w:val="6EE946BF"/>
    <w:rsid w:val="6EF13F81"/>
    <w:rsid w:val="6F0F3454"/>
    <w:rsid w:val="6F3F4000"/>
    <w:rsid w:val="6F4469B9"/>
    <w:rsid w:val="6F5B58A9"/>
    <w:rsid w:val="6F7870DC"/>
    <w:rsid w:val="6FB87E06"/>
    <w:rsid w:val="7014078E"/>
    <w:rsid w:val="703062F3"/>
    <w:rsid w:val="706E1F45"/>
    <w:rsid w:val="706F49DA"/>
    <w:rsid w:val="7071160C"/>
    <w:rsid w:val="709F2080"/>
    <w:rsid w:val="70A2025E"/>
    <w:rsid w:val="70A30984"/>
    <w:rsid w:val="70D41C98"/>
    <w:rsid w:val="70E819EC"/>
    <w:rsid w:val="70F02008"/>
    <w:rsid w:val="70F14C5F"/>
    <w:rsid w:val="711676FB"/>
    <w:rsid w:val="7132631C"/>
    <w:rsid w:val="71786358"/>
    <w:rsid w:val="717E1969"/>
    <w:rsid w:val="7184468B"/>
    <w:rsid w:val="71BB560F"/>
    <w:rsid w:val="71C9747B"/>
    <w:rsid w:val="71CD5DBA"/>
    <w:rsid w:val="71DA1C38"/>
    <w:rsid w:val="71E05DC1"/>
    <w:rsid w:val="721026A7"/>
    <w:rsid w:val="721C3518"/>
    <w:rsid w:val="721E66BD"/>
    <w:rsid w:val="723104CD"/>
    <w:rsid w:val="72536B56"/>
    <w:rsid w:val="72787E4E"/>
    <w:rsid w:val="729E164B"/>
    <w:rsid w:val="72C3452E"/>
    <w:rsid w:val="72F70913"/>
    <w:rsid w:val="73AA2F3F"/>
    <w:rsid w:val="73DC55C9"/>
    <w:rsid w:val="73E412FE"/>
    <w:rsid w:val="73EF726A"/>
    <w:rsid w:val="74115BC8"/>
    <w:rsid w:val="741268A9"/>
    <w:rsid w:val="741369A5"/>
    <w:rsid w:val="74435A34"/>
    <w:rsid w:val="74657F16"/>
    <w:rsid w:val="74675EF3"/>
    <w:rsid w:val="74A1707C"/>
    <w:rsid w:val="74BD16B9"/>
    <w:rsid w:val="750521E8"/>
    <w:rsid w:val="75364955"/>
    <w:rsid w:val="75396C52"/>
    <w:rsid w:val="753D4076"/>
    <w:rsid w:val="754B71DC"/>
    <w:rsid w:val="756539D7"/>
    <w:rsid w:val="757A4188"/>
    <w:rsid w:val="757F3C79"/>
    <w:rsid w:val="759444D0"/>
    <w:rsid w:val="75B207EF"/>
    <w:rsid w:val="75B96A41"/>
    <w:rsid w:val="75DC6E28"/>
    <w:rsid w:val="75E05530"/>
    <w:rsid w:val="762A5C5B"/>
    <w:rsid w:val="76557DF7"/>
    <w:rsid w:val="767D12A6"/>
    <w:rsid w:val="76826F54"/>
    <w:rsid w:val="76987D42"/>
    <w:rsid w:val="76992F80"/>
    <w:rsid w:val="76C52F8C"/>
    <w:rsid w:val="76D35374"/>
    <w:rsid w:val="76DB7DBB"/>
    <w:rsid w:val="76F740F6"/>
    <w:rsid w:val="76FC652B"/>
    <w:rsid w:val="7729054A"/>
    <w:rsid w:val="772D3436"/>
    <w:rsid w:val="772F2752"/>
    <w:rsid w:val="77C667E4"/>
    <w:rsid w:val="77DD6545"/>
    <w:rsid w:val="77FA1E94"/>
    <w:rsid w:val="7835260B"/>
    <w:rsid w:val="78402416"/>
    <w:rsid w:val="78572C09"/>
    <w:rsid w:val="78AC2E84"/>
    <w:rsid w:val="78B26C4E"/>
    <w:rsid w:val="78C91043"/>
    <w:rsid w:val="79292F6F"/>
    <w:rsid w:val="792B19AA"/>
    <w:rsid w:val="793F37F2"/>
    <w:rsid w:val="79AE1496"/>
    <w:rsid w:val="79EF2CEB"/>
    <w:rsid w:val="79F67585"/>
    <w:rsid w:val="7A032C19"/>
    <w:rsid w:val="7A1507E2"/>
    <w:rsid w:val="7A193607"/>
    <w:rsid w:val="7A343E7F"/>
    <w:rsid w:val="7A3451CC"/>
    <w:rsid w:val="7A436A2A"/>
    <w:rsid w:val="7A52047C"/>
    <w:rsid w:val="7A6355C1"/>
    <w:rsid w:val="7A784B83"/>
    <w:rsid w:val="7A8F545A"/>
    <w:rsid w:val="7AB74CE8"/>
    <w:rsid w:val="7ABF146A"/>
    <w:rsid w:val="7AC2517E"/>
    <w:rsid w:val="7AF449DF"/>
    <w:rsid w:val="7AF828C6"/>
    <w:rsid w:val="7B1468FA"/>
    <w:rsid w:val="7B284CE0"/>
    <w:rsid w:val="7B366E08"/>
    <w:rsid w:val="7B53662E"/>
    <w:rsid w:val="7B6A615D"/>
    <w:rsid w:val="7B7E5148"/>
    <w:rsid w:val="7B9D72A8"/>
    <w:rsid w:val="7BC42145"/>
    <w:rsid w:val="7BF90168"/>
    <w:rsid w:val="7C0E27F5"/>
    <w:rsid w:val="7C1B2050"/>
    <w:rsid w:val="7C3009AD"/>
    <w:rsid w:val="7C3837D0"/>
    <w:rsid w:val="7C553194"/>
    <w:rsid w:val="7C627104"/>
    <w:rsid w:val="7C6B7CF2"/>
    <w:rsid w:val="7C6C2208"/>
    <w:rsid w:val="7C6F7FDF"/>
    <w:rsid w:val="7C7472F4"/>
    <w:rsid w:val="7C8731E9"/>
    <w:rsid w:val="7C8829AF"/>
    <w:rsid w:val="7C9062CD"/>
    <w:rsid w:val="7C926EDE"/>
    <w:rsid w:val="7CB93445"/>
    <w:rsid w:val="7CD16BE7"/>
    <w:rsid w:val="7CD27EE2"/>
    <w:rsid w:val="7CDB2690"/>
    <w:rsid w:val="7CE60296"/>
    <w:rsid w:val="7CFA35EF"/>
    <w:rsid w:val="7D0470A8"/>
    <w:rsid w:val="7D356BBC"/>
    <w:rsid w:val="7D45427D"/>
    <w:rsid w:val="7D8F6910"/>
    <w:rsid w:val="7D970AD2"/>
    <w:rsid w:val="7DF75E96"/>
    <w:rsid w:val="7E2D6D82"/>
    <w:rsid w:val="7E3A5658"/>
    <w:rsid w:val="7E704ED7"/>
    <w:rsid w:val="7E83284D"/>
    <w:rsid w:val="7EC10DC2"/>
    <w:rsid w:val="7EE709A7"/>
    <w:rsid w:val="7F1A40D9"/>
    <w:rsid w:val="7F227DCD"/>
    <w:rsid w:val="7F3A1A7A"/>
    <w:rsid w:val="7F3B0416"/>
    <w:rsid w:val="7F4209F2"/>
    <w:rsid w:val="7F50673F"/>
    <w:rsid w:val="7F9937B2"/>
    <w:rsid w:val="7F9C554F"/>
    <w:rsid w:val="7FE9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6" w:lineRule="auto"/>
      <w:outlineLvl w:val="0"/>
    </w:pPr>
    <w:rPr>
      <w:rFonts w:ascii="Times New Roman" w:hAnsi="Times New Roman"/>
      <w:bCs/>
      <w:kern w:val="44"/>
      <w:sz w:val="44"/>
      <w:szCs w:val="44"/>
    </w:rPr>
  </w:style>
  <w:style w:type="paragraph" w:styleId="4">
    <w:name w:val="heading 2"/>
    <w:basedOn w:val="1"/>
    <w:next w:val="1"/>
    <w:link w:val="52"/>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7"/>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62"/>
    <w:qFormat/>
    <w:uiPriority w:val="0"/>
    <w:pPr>
      <w:keepNext/>
      <w:keepLines/>
      <w:spacing w:before="280" w:after="290" w:line="374" w:lineRule="auto"/>
      <w:outlineLvl w:val="3"/>
    </w:pPr>
    <w:rPr>
      <w:rFonts w:ascii="Arial" w:hAnsi="Arial" w:eastAsia="黑体"/>
      <w:b/>
      <w:bCs/>
      <w:sz w:val="28"/>
      <w:szCs w:val="28"/>
    </w:rPr>
  </w:style>
  <w:style w:type="paragraph" w:styleId="7">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firstLineChars="200"/>
    </w:pPr>
  </w:style>
  <w:style w:type="paragraph" w:styleId="13">
    <w:name w:val="Document Map"/>
    <w:basedOn w:val="1"/>
    <w:link w:val="51"/>
    <w:qFormat/>
    <w:uiPriority w:val="0"/>
    <w:pPr>
      <w:shd w:val="clear" w:color="auto" w:fill="000080"/>
    </w:pPr>
    <w:rPr>
      <w:rFonts w:ascii="Times New Roman" w:hAnsi="Times New Roman"/>
    </w:rPr>
  </w:style>
  <w:style w:type="paragraph" w:styleId="14">
    <w:name w:val="annotation text"/>
    <w:basedOn w:val="1"/>
    <w:link w:val="60"/>
    <w:qFormat/>
    <w:uiPriority w:val="0"/>
    <w:pPr>
      <w:jc w:val="left"/>
    </w:pPr>
    <w:rPr>
      <w:rFonts w:ascii="Times New Roman" w:hAnsi="Times New Roman"/>
    </w:rPr>
  </w:style>
  <w:style w:type="paragraph" w:styleId="15">
    <w:name w:val="Body Text 3"/>
    <w:basedOn w:val="1"/>
    <w:qFormat/>
    <w:uiPriority w:val="0"/>
    <w:rPr>
      <w:rFonts w:ascii="宋体"/>
      <w:sz w:val="24"/>
      <w:szCs w:val="20"/>
    </w:rPr>
  </w:style>
  <w:style w:type="paragraph" w:styleId="16">
    <w:name w:val="Body Text"/>
    <w:basedOn w:val="1"/>
    <w:link w:val="58"/>
    <w:qFormat/>
    <w:uiPriority w:val="0"/>
    <w:pPr>
      <w:spacing w:after="120"/>
    </w:pPr>
    <w:rPr>
      <w:rFonts w:ascii="Times New Roman" w:hAnsi="Times New Roman"/>
    </w:rPr>
  </w:style>
  <w:style w:type="paragraph" w:styleId="17">
    <w:name w:val="Body Text Indent"/>
    <w:basedOn w:val="1"/>
    <w:qFormat/>
    <w:uiPriority w:val="0"/>
    <w:pPr>
      <w:spacing w:after="120"/>
      <w:ind w:left="420" w:leftChars="200"/>
    </w:pPr>
  </w:style>
  <w:style w:type="paragraph" w:styleId="18">
    <w:name w:val="toc 5"/>
    <w:basedOn w:val="1"/>
    <w:next w:val="1"/>
    <w:qFormat/>
    <w:uiPriority w:val="0"/>
    <w:pPr>
      <w:ind w:left="840"/>
      <w:jc w:val="left"/>
    </w:pPr>
    <w:rPr>
      <w:sz w:val="18"/>
      <w:szCs w:val="18"/>
    </w:rPr>
  </w:style>
  <w:style w:type="paragraph" w:styleId="19">
    <w:name w:val="toc 3"/>
    <w:basedOn w:val="1"/>
    <w:next w:val="1"/>
    <w:qFormat/>
    <w:uiPriority w:val="0"/>
    <w:pPr>
      <w:ind w:left="420"/>
      <w:jc w:val="left"/>
    </w:pPr>
    <w:rPr>
      <w:iCs/>
      <w:sz w:val="20"/>
      <w:szCs w:val="20"/>
    </w:rPr>
  </w:style>
  <w:style w:type="paragraph" w:styleId="20">
    <w:name w:val="Plain Text"/>
    <w:basedOn w:val="1"/>
    <w:next w:val="1"/>
    <w:link w:val="53"/>
    <w:qFormat/>
    <w:uiPriority w:val="0"/>
    <w:rPr>
      <w:rFonts w:hAnsi="Courier New"/>
      <w:sz w:val="20"/>
    </w:rPr>
  </w:style>
  <w:style w:type="paragraph" w:styleId="21">
    <w:name w:val="toc 8"/>
    <w:basedOn w:val="1"/>
    <w:next w:val="1"/>
    <w:qFormat/>
    <w:uiPriority w:val="0"/>
    <w:pPr>
      <w:ind w:left="1470"/>
      <w:jc w:val="left"/>
    </w:pPr>
    <w:rPr>
      <w:sz w:val="18"/>
      <w:szCs w:val="18"/>
    </w:rPr>
  </w:style>
  <w:style w:type="paragraph" w:styleId="22">
    <w:name w:val="Date"/>
    <w:basedOn w:val="1"/>
    <w:next w:val="1"/>
    <w:qFormat/>
    <w:uiPriority w:val="0"/>
    <w:rPr>
      <w:sz w:val="24"/>
      <w:szCs w:val="20"/>
    </w:rPr>
  </w:style>
  <w:style w:type="paragraph" w:styleId="23">
    <w:name w:val="Balloon Text"/>
    <w:basedOn w:val="1"/>
    <w:qFormat/>
    <w:uiPriority w:val="0"/>
    <w:rPr>
      <w:sz w:val="18"/>
      <w:szCs w:val="18"/>
    </w:rPr>
  </w:style>
  <w:style w:type="paragraph" w:styleId="24">
    <w:name w:val="footer"/>
    <w:basedOn w:val="1"/>
    <w:link w:val="48"/>
    <w:qFormat/>
    <w:uiPriority w:val="99"/>
    <w:pPr>
      <w:tabs>
        <w:tab w:val="center" w:pos="4153"/>
        <w:tab w:val="right" w:pos="8306"/>
      </w:tabs>
      <w:snapToGrid w:val="0"/>
      <w:jc w:val="left"/>
    </w:pPr>
    <w:rPr>
      <w:rFonts w:ascii="Times New Roman" w:hAnsi="Times New Roman"/>
      <w:sz w:val="18"/>
      <w:szCs w:val="18"/>
    </w:rPr>
  </w:style>
  <w:style w:type="paragraph" w:styleId="25">
    <w:name w:val="header"/>
    <w:basedOn w:val="1"/>
    <w:link w:val="55"/>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6">
    <w:name w:val="toc 1"/>
    <w:basedOn w:val="1"/>
    <w:next w:val="1"/>
    <w:qFormat/>
    <w:uiPriority w:val="0"/>
    <w:pPr>
      <w:spacing w:before="120" w:after="120"/>
      <w:jc w:val="left"/>
    </w:pPr>
    <w:rPr>
      <w:b/>
      <w:bCs/>
      <w:caps/>
      <w:sz w:val="20"/>
      <w:szCs w:val="20"/>
    </w:rPr>
  </w:style>
  <w:style w:type="paragraph" w:styleId="27">
    <w:name w:val="toc 4"/>
    <w:basedOn w:val="1"/>
    <w:next w:val="1"/>
    <w:qFormat/>
    <w:uiPriority w:val="0"/>
    <w:pPr>
      <w:ind w:left="630"/>
      <w:jc w:val="left"/>
    </w:pPr>
    <w:rPr>
      <w:sz w:val="18"/>
      <w:szCs w:val="18"/>
    </w:rPr>
  </w:style>
  <w:style w:type="paragraph" w:styleId="28">
    <w:name w:val="toc 6"/>
    <w:basedOn w:val="1"/>
    <w:next w:val="1"/>
    <w:qFormat/>
    <w:uiPriority w:val="0"/>
    <w:pPr>
      <w:ind w:left="1050"/>
      <w:jc w:val="left"/>
    </w:pPr>
    <w:rPr>
      <w:sz w:val="18"/>
      <w:szCs w:val="18"/>
    </w:r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qFormat/>
    <w:uiPriority w:val="0"/>
    <w:pPr>
      <w:ind w:left="210"/>
      <w:jc w:val="left"/>
    </w:pPr>
    <w:rPr>
      <w:smallCaps/>
      <w:sz w:val="20"/>
      <w:szCs w:val="20"/>
    </w:rPr>
  </w:style>
  <w:style w:type="paragraph" w:styleId="31">
    <w:name w:val="toc 9"/>
    <w:basedOn w:val="1"/>
    <w:next w:val="1"/>
    <w:qFormat/>
    <w:uiPriority w:val="0"/>
    <w:pPr>
      <w:ind w:left="1680"/>
      <w:jc w:val="left"/>
    </w:pPr>
    <w:rPr>
      <w:sz w:val="18"/>
      <w:szCs w:val="18"/>
    </w:rPr>
  </w:style>
  <w:style w:type="paragraph" w:styleId="32">
    <w:name w:val="Body Text 2"/>
    <w:basedOn w:val="1"/>
    <w:qFormat/>
    <w:uiPriority w:val="0"/>
    <w:rPr>
      <w:rFonts w:ascii="宋体" w:hAnsi="宋体"/>
      <w:kern w:val="0"/>
      <w:sz w:val="20"/>
      <w:u w:val="single"/>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4">
    <w:name w:val="index 1"/>
    <w:basedOn w:val="1"/>
    <w:next w:val="1"/>
    <w:qFormat/>
    <w:uiPriority w:val="0"/>
    <w:pPr>
      <w:spacing w:line="220" w:lineRule="exact"/>
      <w:jc w:val="center"/>
    </w:pPr>
    <w:rPr>
      <w:rFonts w:ascii="仿宋_GB2312" w:eastAsia="仿宋_GB2312"/>
      <w:szCs w:val="21"/>
    </w:rPr>
  </w:style>
  <w:style w:type="paragraph" w:styleId="35">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4"/>
    <w:next w:val="14"/>
    <w:link w:val="50"/>
    <w:qFormat/>
    <w:uiPriority w:val="0"/>
    <w:pPr>
      <w:jc w:val="both"/>
    </w:pPr>
    <w:rPr>
      <w:b/>
      <w:bCs/>
    </w:rPr>
  </w:style>
  <w:style w:type="paragraph" w:styleId="37">
    <w:name w:val="Body Text First Indent"/>
    <w:basedOn w:val="16"/>
    <w:link w:val="56"/>
    <w:qFormat/>
    <w:uiPriority w:val="0"/>
    <w:pPr>
      <w:spacing w:line="312" w:lineRule="auto"/>
      <w:ind w:firstLine="420"/>
    </w:p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000000"/>
      <w:u w:val="none"/>
    </w:rPr>
  </w:style>
  <w:style w:type="character" w:styleId="43">
    <w:name w:val="Hyperlink"/>
    <w:qFormat/>
    <w:uiPriority w:val="0"/>
    <w:rPr>
      <w:color w:val="000000"/>
      <w:u w:val="none"/>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customStyle="1" w:styleId="46">
    <w:name w:val="标题 1 Char"/>
    <w:link w:val="3"/>
    <w:qFormat/>
    <w:uiPriority w:val="0"/>
    <w:rPr>
      <w:rFonts w:eastAsia="宋体"/>
      <w:b/>
      <w:bCs/>
      <w:kern w:val="44"/>
      <w:sz w:val="44"/>
      <w:szCs w:val="44"/>
      <w:lang w:val="en-US" w:eastAsia="zh-CN" w:bidi="ar-SA"/>
    </w:rPr>
  </w:style>
  <w:style w:type="character" w:customStyle="1" w:styleId="47">
    <w:name w:val="times1"/>
    <w:qFormat/>
    <w:uiPriority w:val="0"/>
    <w:rPr>
      <w:color w:val="CDCDCD"/>
      <w:bdr w:val="single" w:color="CDCDCD" w:sz="6" w:space="0"/>
      <w:shd w:val="clear" w:color="auto" w:fill="EFEFEF"/>
    </w:rPr>
  </w:style>
  <w:style w:type="character" w:customStyle="1" w:styleId="48">
    <w:name w:val="页脚 Char"/>
    <w:link w:val="24"/>
    <w:qFormat/>
    <w:uiPriority w:val="99"/>
    <w:rPr>
      <w:rFonts w:eastAsia="宋体"/>
      <w:kern w:val="2"/>
      <w:sz w:val="18"/>
      <w:szCs w:val="18"/>
      <w:lang w:val="en-US" w:eastAsia="zh-CN" w:bidi="ar-SA"/>
    </w:rPr>
  </w:style>
  <w:style w:type="character" w:customStyle="1" w:styleId="49">
    <w:name w:val="font161"/>
    <w:qFormat/>
    <w:uiPriority w:val="0"/>
    <w:rPr>
      <w:b/>
      <w:bCs/>
      <w:sz w:val="32"/>
      <w:szCs w:val="32"/>
    </w:rPr>
  </w:style>
  <w:style w:type="character" w:customStyle="1" w:styleId="50">
    <w:name w:val="批注主题 Char"/>
    <w:link w:val="36"/>
    <w:qFormat/>
    <w:uiPriority w:val="0"/>
    <w:rPr>
      <w:rFonts w:eastAsia="宋体"/>
      <w:b/>
      <w:bCs/>
      <w:kern w:val="2"/>
      <w:sz w:val="21"/>
      <w:szCs w:val="24"/>
      <w:lang w:val="en-US" w:eastAsia="zh-CN" w:bidi="ar-SA"/>
    </w:rPr>
  </w:style>
  <w:style w:type="character" w:customStyle="1" w:styleId="51">
    <w:name w:val="文档结构图 Char"/>
    <w:link w:val="13"/>
    <w:qFormat/>
    <w:uiPriority w:val="0"/>
    <w:rPr>
      <w:rFonts w:eastAsia="宋体"/>
      <w:kern w:val="2"/>
      <w:sz w:val="21"/>
      <w:szCs w:val="24"/>
      <w:lang w:val="en-US" w:eastAsia="zh-CN" w:bidi="ar-SA"/>
    </w:rPr>
  </w:style>
  <w:style w:type="character" w:customStyle="1" w:styleId="52">
    <w:name w:val="标题 2 Char"/>
    <w:link w:val="4"/>
    <w:qFormat/>
    <w:uiPriority w:val="0"/>
    <w:rPr>
      <w:rFonts w:ascii="Arial" w:hAnsi="Arial" w:eastAsia="黑体"/>
      <w:b/>
      <w:bCs/>
      <w:kern w:val="2"/>
      <w:sz w:val="32"/>
      <w:szCs w:val="32"/>
      <w:lang w:val="en-US" w:eastAsia="zh-CN" w:bidi="ar-SA"/>
    </w:rPr>
  </w:style>
  <w:style w:type="character" w:customStyle="1" w:styleId="53">
    <w:name w:val="纯文本 Char"/>
    <w:basedOn w:val="40"/>
    <w:link w:val="20"/>
    <w:qFormat/>
    <w:uiPriority w:val="0"/>
    <w:rPr>
      <w:rFonts w:hint="eastAsia" w:ascii="宋体" w:hAnsi="Courier New" w:eastAsia="宋体" w:cs="Courier New"/>
      <w:kern w:val="2"/>
      <w:sz w:val="21"/>
      <w:szCs w:val="21"/>
    </w:rPr>
  </w:style>
  <w:style w:type="character" w:customStyle="1" w:styleId="54">
    <w:name w:val="hover41"/>
    <w:basedOn w:val="40"/>
    <w:qFormat/>
    <w:uiPriority w:val="0"/>
  </w:style>
  <w:style w:type="character" w:customStyle="1" w:styleId="55">
    <w:name w:val="页眉 Char"/>
    <w:link w:val="25"/>
    <w:qFormat/>
    <w:uiPriority w:val="99"/>
    <w:rPr>
      <w:rFonts w:eastAsia="宋体"/>
      <w:kern w:val="2"/>
      <w:sz w:val="18"/>
      <w:szCs w:val="18"/>
      <w:lang w:val="en-US" w:eastAsia="zh-CN" w:bidi="ar-SA"/>
    </w:rPr>
  </w:style>
  <w:style w:type="character" w:customStyle="1" w:styleId="56">
    <w:name w:val="正文首行缩进 Char"/>
    <w:link w:val="37"/>
    <w:qFormat/>
    <w:uiPriority w:val="0"/>
    <w:rPr>
      <w:rFonts w:eastAsia="宋体"/>
      <w:kern w:val="2"/>
      <w:sz w:val="21"/>
      <w:szCs w:val="24"/>
      <w:lang w:val="en-US" w:eastAsia="zh-CN" w:bidi="ar-SA"/>
    </w:rPr>
  </w:style>
  <w:style w:type="character" w:customStyle="1" w:styleId="57">
    <w:name w:val="标题 3 Char"/>
    <w:link w:val="5"/>
    <w:qFormat/>
    <w:uiPriority w:val="0"/>
    <w:rPr>
      <w:rFonts w:ascii="黑体" w:hAnsi="宋体" w:eastAsia="黑体"/>
      <w:bCs/>
      <w:kern w:val="2"/>
      <w:sz w:val="28"/>
      <w:szCs w:val="28"/>
      <w:lang w:val="en-US" w:eastAsia="zh-CN" w:bidi="ar-SA"/>
    </w:rPr>
  </w:style>
  <w:style w:type="character" w:customStyle="1" w:styleId="58">
    <w:name w:val="正文文本 Char"/>
    <w:link w:val="16"/>
    <w:qFormat/>
    <w:uiPriority w:val="0"/>
    <w:rPr>
      <w:rFonts w:eastAsia="宋体"/>
      <w:kern w:val="2"/>
      <w:sz w:val="21"/>
      <w:szCs w:val="24"/>
      <w:lang w:val="en-US" w:eastAsia="zh-CN" w:bidi="ar-SA"/>
    </w:rPr>
  </w:style>
  <w:style w:type="character" w:customStyle="1" w:styleId="59">
    <w:name w:val="times"/>
    <w:qFormat/>
    <w:uiPriority w:val="0"/>
    <w:rPr>
      <w:color w:val="3399FF"/>
      <w:bdr w:val="single" w:color="D1EDF8" w:sz="6" w:space="0"/>
      <w:shd w:val="clear" w:color="auto" w:fill="EAF9FF"/>
    </w:rPr>
  </w:style>
  <w:style w:type="character" w:customStyle="1" w:styleId="60">
    <w:name w:val="批注文字 Char"/>
    <w:link w:val="14"/>
    <w:qFormat/>
    <w:uiPriority w:val="0"/>
    <w:rPr>
      <w:rFonts w:eastAsia="宋体"/>
      <w:kern w:val="2"/>
      <w:sz w:val="21"/>
      <w:szCs w:val="24"/>
      <w:lang w:val="en-US" w:eastAsia="zh-CN" w:bidi="ar-SA"/>
    </w:rPr>
  </w:style>
  <w:style w:type="character" w:customStyle="1" w:styleId="61">
    <w:name w:val="p12"/>
    <w:basedOn w:val="40"/>
    <w:qFormat/>
    <w:uiPriority w:val="0"/>
  </w:style>
  <w:style w:type="character" w:customStyle="1" w:styleId="62">
    <w:name w:val="标题 4 Char"/>
    <w:link w:val="6"/>
    <w:qFormat/>
    <w:uiPriority w:val="0"/>
    <w:rPr>
      <w:rFonts w:ascii="Arial" w:hAnsi="Arial" w:eastAsia="黑体"/>
      <w:b/>
      <w:bCs/>
      <w:kern w:val="2"/>
      <w:sz w:val="28"/>
      <w:szCs w:val="28"/>
      <w:lang w:val="en-US" w:eastAsia="zh-CN" w:bidi="ar-SA"/>
    </w:rPr>
  </w:style>
  <w:style w:type="paragraph" w:customStyle="1" w:styleId="63">
    <w:name w:val="修订1"/>
    <w:qFormat/>
    <w:uiPriority w:val="0"/>
    <w:rPr>
      <w:rFonts w:ascii="Calibri" w:hAnsi="Calibri" w:eastAsia="宋体" w:cs="Times New Roman"/>
      <w:kern w:val="2"/>
      <w:sz w:val="21"/>
      <w:szCs w:val="24"/>
      <w:lang w:val="en-US" w:eastAsia="zh-CN" w:bidi="ar-SA"/>
    </w:rPr>
  </w:style>
  <w:style w:type="paragraph" w:customStyle="1" w:styleId="64">
    <w:name w:val="Char Char Char Char"/>
    <w:basedOn w:val="1"/>
    <w:qFormat/>
    <w:uiPriority w:val="0"/>
    <w:rPr>
      <w:rFonts w:eastAsia="楷体_GB2312"/>
      <w:szCs w:val="20"/>
    </w:rPr>
  </w:style>
  <w:style w:type="paragraph" w:customStyle="1" w:styleId="65">
    <w:name w:val="样式1"/>
    <w:basedOn w:val="1"/>
    <w:next w:val="6"/>
    <w:qFormat/>
    <w:uiPriority w:val="0"/>
    <w:pPr>
      <w:spacing w:line="360" w:lineRule="auto"/>
      <w:ind w:firstLine="420" w:firstLineChars="200"/>
    </w:pPr>
    <w:rPr>
      <w:rFonts w:ascii="宋体" w:hAnsi="宋体"/>
      <w:szCs w:val="21"/>
    </w:rPr>
  </w:style>
  <w:style w:type="paragraph" w:customStyle="1" w:styleId="66">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Cs w:val="0"/>
      <w:sz w:val="32"/>
      <w:szCs w:val="20"/>
    </w:rPr>
  </w:style>
  <w:style w:type="paragraph" w:customStyle="1" w:styleId="67">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8">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69">
    <w:name w:val="样式2"/>
    <w:basedOn w:val="5"/>
    <w:qFormat/>
    <w:uiPriority w:val="0"/>
    <w:rPr>
      <w:i/>
    </w:rPr>
  </w:style>
  <w:style w:type="paragraph" w:customStyle="1" w:styleId="70">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styleId="71">
    <w:name w:val="List Paragraph"/>
    <w:basedOn w:val="1"/>
    <w:qFormat/>
    <w:uiPriority w:val="34"/>
    <w:pPr>
      <w:ind w:firstLine="420" w:firstLineChars="200"/>
    </w:pPr>
    <w:rPr>
      <w:szCs w:val="22"/>
    </w:rPr>
  </w:style>
  <w:style w:type="paragraph" w:customStyle="1" w:styleId="72">
    <w:name w:val="表格"/>
    <w:basedOn w:val="1"/>
    <w:qFormat/>
    <w:uiPriority w:val="0"/>
    <w:pPr>
      <w:jc w:val="center"/>
      <w:textAlignment w:val="center"/>
    </w:pPr>
    <w:rPr>
      <w:rFonts w:ascii="华文细黑" w:hAnsi="华文细黑"/>
      <w:kern w:val="0"/>
      <w:szCs w:val="20"/>
    </w:rPr>
  </w:style>
  <w:style w:type="paragraph" w:customStyle="1" w:styleId="73">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74">
    <w:name w:val="1"/>
    <w:basedOn w:val="1"/>
    <w:qFormat/>
    <w:uiPriority w:val="0"/>
  </w:style>
  <w:style w:type="paragraph" w:customStyle="1" w:styleId="75">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Char"/>
    <w:basedOn w:val="1"/>
    <w:qFormat/>
    <w:uiPriority w:val="0"/>
    <w:pPr>
      <w:tabs>
        <w:tab w:val="left" w:pos="360"/>
      </w:tabs>
    </w:pPr>
    <w:rPr>
      <w:sz w:val="24"/>
    </w:rPr>
  </w:style>
  <w:style w:type="paragraph" w:customStyle="1" w:styleId="77">
    <w:name w:val="表格文字"/>
    <w:basedOn w:val="1"/>
    <w:qFormat/>
    <w:uiPriority w:val="0"/>
    <w:pPr>
      <w:adjustRightInd w:val="0"/>
      <w:spacing w:line="420" w:lineRule="atLeast"/>
      <w:jc w:val="left"/>
      <w:textAlignment w:val="baseline"/>
    </w:pPr>
    <w:rPr>
      <w:kern w:val="0"/>
      <w:szCs w:val="20"/>
    </w:rPr>
  </w:style>
  <w:style w:type="paragraph" w:customStyle="1" w:styleId="78">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列出段落1"/>
    <w:basedOn w:val="1"/>
    <w:qFormat/>
    <w:uiPriority w:val="34"/>
    <w:pPr>
      <w:ind w:firstLine="420" w:firstLineChars="200"/>
    </w:pPr>
    <w:rPr>
      <w:szCs w:val="20"/>
    </w:rPr>
  </w:style>
  <w:style w:type="paragraph" w:customStyle="1" w:styleId="80">
    <w:name w:val="文二"/>
    <w:basedOn w:val="1"/>
    <w:qFormat/>
    <w:uiPriority w:val="0"/>
    <w:pPr>
      <w:jc w:val="left"/>
    </w:pPr>
    <w:rPr>
      <w:rFonts w:ascii="宋体" w:hAnsi="宋体"/>
      <w:szCs w:val="21"/>
    </w:rPr>
  </w:style>
  <w:style w:type="paragraph" w:customStyle="1" w:styleId="81">
    <w:name w:val="样式 标题 3 + 首行缩进:  1.06 厘米"/>
    <w:basedOn w:val="5"/>
    <w:qFormat/>
    <w:uiPriority w:val="0"/>
    <w:pPr>
      <w:spacing w:before="120" w:after="0" w:line="240" w:lineRule="auto"/>
      <w:jc w:val="center"/>
    </w:pPr>
    <w:rPr>
      <w:rFonts w:ascii="宋体" w:cs="宋体"/>
      <w:color w:val="000000"/>
    </w:rPr>
  </w:style>
  <w:style w:type="paragraph" w:customStyle="1" w:styleId="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3">
    <w:name w:val="表头"/>
    <w:basedOn w:val="1"/>
    <w:qFormat/>
    <w:uiPriority w:val="0"/>
    <w:pPr>
      <w:spacing w:line="360" w:lineRule="auto"/>
      <w:jc w:val="center"/>
    </w:pPr>
    <w:rPr>
      <w:rFonts w:ascii="黑体" w:eastAsia="黑体"/>
      <w:kern w:val="0"/>
      <w:sz w:val="24"/>
      <w:szCs w:val="20"/>
    </w:rPr>
  </w:style>
  <w:style w:type="paragraph" w:customStyle="1" w:styleId="84">
    <w:name w:val="样式 标题 3 + (中文) 黑体 小四 非加粗 段前: 7.8 磅 段后: 0 磅 行距: 固定值 20 磅"/>
    <w:basedOn w:val="5"/>
    <w:qFormat/>
    <w:uiPriority w:val="0"/>
    <w:pPr>
      <w:spacing w:before="0" w:after="0" w:line="400" w:lineRule="exact"/>
    </w:pPr>
    <w:rPr>
      <w:rFonts w:cs="宋体"/>
      <w:bCs w:val="0"/>
      <w:sz w:val="24"/>
      <w:szCs w:val="20"/>
    </w:rPr>
  </w:style>
  <w:style w:type="paragraph" w:customStyle="1" w:styleId="85">
    <w:name w:val="正题"/>
    <w:basedOn w:val="73"/>
    <w:next w:val="73"/>
    <w:qFormat/>
    <w:uiPriority w:val="0"/>
    <w:pPr>
      <w:ind w:firstLine="0" w:firstLineChars="0"/>
      <w:jc w:val="center"/>
    </w:pPr>
    <w:rPr>
      <w:rFonts w:eastAsia="黑体"/>
      <w:b/>
      <w:sz w:val="36"/>
      <w:szCs w:val="36"/>
    </w:rPr>
  </w:style>
  <w:style w:type="paragraph" w:customStyle="1" w:styleId="8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87">
    <w:name w:val="Char1"/>
    <w:basedOn w:val="1"/>
    <w:qFormat/>
    <w:uiPriority w:val="0"/>
    <w:pPr>
      <w:tabs>
        <w:tab w:val="left" w:pos="360"/>
      </w:tabs>
    </w:pPr>
    <w:rPr>
      <w:sz w:val="24"/>
    </w:rPr>
  </w:style>
  <w:style w:type="paragraph" w:customStyle="1" w:styleId="88">
    <w:name w:val="Table Paragraph"/>
    <w:basedOn w:val="1"/>
    <w:qFormat/>
    <w:uiPriority w:val="1"/>
    <w:rPr>
      <w:rFonts w:ascii="宋体" w:hAnsi="宋体" w:cs="宋体"/>
      <w:lang w:val="zh-CN" w:bidi="zh-CN"/>
    </w:rPr>
  </w:style>
  <w:style w:type="paragraph" w:customStyle="1" w:styleId="89">
    <w:name w:val="BodyText"/>
    <w:basedOn w:val="1"/>
    <w:qFormat/>
    <w:uiPriority w:val="0"/>
    <w:pPr>
      <w:spacing w:after="120"/>
    </w:pPr>
    <w:rPr>
      <w:rFonts w:ascii="Times New Roman" w:hAnsi="Times New Roman"/>
      <w:kern w:val="0"/>
      <w:sz w:val="20"/>
      <w:szCs w:val="20"/>
    </w:rPr>
  </w:style>
  <w:style w:type="paragraph" w:customStyle="1" w:styleId="9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54CA3-9E43-452D-BF13-196A5856E859}">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13066</Words>
  <Characters>13752</Characters>
  <Lines>155</Lines>
  <Paragraphs>43</Paragraphs>
  <TotalTime>19</TotalTime>
  <ScaleCrop>false</ScaleCrop>
  <LinksUpToDate>false</LinksUpToDate>
  <CharactersWithSpaces>14974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2020-02-17T08:45:00Z</dcterms:created>
  <cp:lastPrinted>2023-02-13T07:23:27Z</cp:lastPrinted>
  <dcterms:modified xsi:type="dcterms:W3CDTF">2023-02-13T07:32:23Z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9A729C6353A34EABB519AD52D27BF2D1</vt:lpwstr>
  </property>
</Properties>
</file>