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海湾小区N地块项目（领航科技大楼）</w:t>
      </w:r>
    </w:p>
    <w:p>
      <w:pPr>
        <w:spacing w:before="0" w:beforeLines="-2147483648" w:line="360" w:lineRule="auto"/>
        <w:jc w:val="center"/>
        <w:rPr>
          <w:rFonts w:hint="default" w:ascii="宋体" w:hAnsi="宋体" w:eastAsia="黑体" w:cs="宋体"/>
          <w:b/>
          <w:color w:val="auto"/>
          <w:sz w:val="44"/>
          <w:szCs w:val="44"/>
          <w:highlight w:val="none"/>
          <w:lang w:val="en-US" w:eastAsia="zh-CN"/>
        </w:rPr>
      </w:pPr>
      <w:r>
        <w:rPr>
          <w:rFonts w:hint="eastAsia" w:ascii="宋体" w:hAnsi="宋体" w:eastAsia="黑体"/>
          <w:color w:val="auto"/>
          <w:sz w:val="48"/>
          <w:szCs w:val="48"/>
          <w:highlight w:val="none"/>
          <w:lang w:eastAsia="zh-CN"/>
        </w:rPr>
        <w:t>检测服务（桩身承载力检测等）</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0" w:firstLineChars="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3月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17710"/>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海湾小区N地块项目（领航科技大楼）检测服务（</w:t>
            </w:r>
            <w:r>
              <w:rPr>
                <w:rFonts w:hint="eastAsia" w:ascii="宋体" w:hAnsi="宋体" w:cs="宋体"/>
                <w:color w:val="auto"/>
                <w:highlight w:val="none"/>
                <w:lang w:eastAsia="zh-CN"/>
              </w:rPr>
              <w:t>桩身承载力检测等</w:t>
            </w:r>
            <w:r>
              <w:rPr>
                <w:rFonts w:hint="eastAsia" w:ascii="宋体" w:hAnsi="宋体" w:eastAsia="宋体" w:cs="宋体"/>
                <w:color w:val="auto"/>
                <w:highlight w:val="none"/>
                <w:lang w:eastAsia="zh-CN"/>
              </w:rPr>
              <w:t>）</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广州市南沙区南沙街东部进港大道与港前大道交叉口西北部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bCs w:val="0"/>
                <w:color w:val="auto"/>
                <w:sz w:val="21"/>
                <w:szCs w:val="21"/>
                <w:highlight w:val="none"/>
                <w:u w:val="none"/>
              </w:rPr>
              <w:t>本项目计划建设项目总建筑面积</w:t>
            </w:r>
            <w:r>
              <w:rPr>
                <w:rFonts w:hint="eastAsia" w:ascii="宋体" w:hAnsi="宋体" w:eastAsia="宋体" w:cs="宋体"/>
                <w:bCs w:val="0"/>
                <w:color w:val="auto"/>
                <w:sz w:val="21"/>
                <w:szCs w:val="21"/>
                <w:highlight w:val="none"/>
                <w:u w:val="none"/>
                <w:lang w:val="en-US" w:eastAsia="zh-CN"/>
              </w:rPr>
              <w:t>24569.44</w:t>
            </w:r>
            <w:r>
              <w:rPr>
                <w:rFonts w:hint="eastAsia" w:ascii="宋体" w:hAnsi="宋体" w:eastAsia="宋体" w:cs="宋体"/>
                <w:bCs w:val="0"/>
                <w:color w:val="auto"/>
                <w:sz w:val="21"/>
                <w:szCs w:val="21"/>
                <w:highlight w:val="none"/>
                <w:u w:val="none"/>
              </w:rPr>
              <w:t>平方米，总计容面积14903.</w:t>
            </w:r>
            <w:r>
              <w:rPr>
                <w:rFonts w:hint="eastAsia" w:ascii="宋体" w:hAnsi="宋体" w:eastAsia="宋体" w:cs="宋体"/>
                <w:bCs w:val="0"/>
                <w:color w:val="auto"/>
                <w:sz w:val="21"/>
                <w:szCs w:val="21"/>
                <w:highlight w:val="none"/>
                <w:u w:val="none"/>
                <w:lang w:val="en-US" w:eastAsia="zh-CN"/>
              </w:rPr>
              <w:t>55</w:t>
            </w:r>
            <w:r>
              <w:rPr>
                <w:rFonts w:hint="eastAsia" w:ascii="宋体" w:hAnsi="宋体" w:eastAsia="宋体" w:cs="宋体"/>
                <w:bCs w:val="0"/>
                <w:color w:val="auto"/>
                <w:sz w:val="21"/>
                <w:szCs w:val="21"/>
                <w:highlight w:val="none"/>
                <w:u w:val="none"/>
              </w:rPr>
              <w:t>平方米。建设1幢14层办公</w:t>
            </w:r>
            <w:r>
              <w:rPr>
                <w:rFonts w:hint="eastAsia" w:ascii="宋体" w:hAnsi="宋体" w:eastAsia="宋体" w:cs="宋体"/>
                <w:bCs w:val="0"/>
                <w:color w:val="auto"/>
                <w:sz w:val="21"/>
                <w:szCs w:val="21"/>
                <w:highlight w:val="none"/>
                <w:u w:val="none"/>
                <w:lang w:eastAsia="zh-CN"/>
              </w:rPr>
              <w:t>及商业</w:t>
            </w:r>
            <w:r>
              <w:rPr>
                <w:rFonts w:hint="eastAsia" w:ascii="宋体" w:hAnsi="宋体" w:eastAsia="宋体" w:cs="宋体"/>
                <w:bCs w:val="0"/>
                <w:color w:val="auto"/>
                <w:sz w:val="21"/>
                <w:szCs w:val="21"/>
                <w:highlight w:val="none"/>
                <w:u w:val="none"/>
              </w:rPr>
              <w:t>塔楼（高度59</w:t>
            </w:r>
            <w:r>
              <w:rPr>
                <w:rFonts w:hint="eastAsia" w:ascii="宋体" w:hAnsi="宋体" w:eastAsia="宋体" w:cs="宋体"/>
                <w:bCs w:val="0"/>
                <w:color w:val="auto"/>
                <w:sz w:val="21"/>
                <w:szCs w:val="21"/>
                <w:highlight w:val="none"/>
                <w:u w:val="none"/>
                <w:lang w:val="en-US" w:eastAsia="zh-CN"/>
              </w:rPr>
              <w:t>.75</w:t>
            </w:r>
            <w:r>
              <w:rPr>
                <w:rFonts w:hint="eastAsia" w:ascii="宋体" w:hAnsi="宋体" w:eastAsia="宋体" w:cs="宋体"/>
                <w:bCs w:val="0"/>
                <w:color w:val="auto"/>
                <w:sz w:val="21"/>
                <w:szCs w:val="21"/>
                <w:highlight w:val="none"/>
                <w:u w:val="none"/>
              </w:rPr>
              <w:t>米）配备3幢独栋商业裙楼（高度</w:t>
            </w:r>
            <w:r>
              <w:rPr>
                <w:rFonts w:hint="eastAsia" w:ascii="宋体" w:hAnsi="宋体" w:eastAsia="宋体" w:cs="宋体"/>
                <w:bCs w:val="0"/>
                <w:color w:val="auto"/>
                <w:sz w:val="21"/>
                <w:szCs w:val="21"/>
                <w:highlight w:val="none"/>
                <w:u w:val="none"/>
                <w:lang w:val="en-US" w:eastAsia="zh-CN"/>
              </w:rPr>
              <w:t>20.60</w:t>
            </w:r>
            <w:r>
              <w:rPr>
                <w:rFonts w:hint="eastAsia" w:ascii="宋体" w:hAnsi="宋体" w:eastAsia="宋体" w:cs="宋体"/>
                <w:bCs w:val="0"/>
                <w:color w:val="auto"/>
                <w:sz w:val="21"/>
                <w:szCs w:val="21"/>
                <w:highlight w:val="none"/>
                <w:u w:val="none"/>
              </w:rPr>
              <w:t>米）</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1.6亿</w:t>
            </w:r>
            <w:r>
              <w:rPr>
                <w:rFonts w:hint="eastAsia" w:ascii="宋体" w:hAnsi="宋体" w:eastAsia="宋体" w:cs="宋体"/>
                <w:color w:val="auto"/>
                <w:highlight w:val="none"/>
              </w:rPr>
              <w:t>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次检测服务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u w:val="none"/>
                <w:lang w:eastAsia="zh-CN"/>
              </w:rPr>
              <w:t>包括：</w:t>
            </w:r>
            <w:r>
              <w:rPr>
                <w:rFonts w:hint="eastAsia" w:hAnsi="宋体" w:cs="宋体"/>
                <w:color w:val="auto"/>
                <w:sz w:val="21"/>
                <w:szCs w:val="21"/>
                <w:highlight w:val="none"/>
                <w:u w:val="none"/>
                <w:lang w:val="en-US" w:eastAsia="zh-CN"/>
              </w:rPr>
              <w:t>桩身承载力检测等</w:t>
            </w:r>
            <w:r>
              <w:rPr>
                <w:rFonts w:hint="eastAsia" w:ascii="宋体" w:hAnsi="宋体" w:eastAsia="宋体" w:cs="宋体"/>
                <w:color w:val="auto"/>
                <w:sz w:val="21"/>
                <w:szCs w:val="21"/>
                <w:highlight w:val="none"/>
                <w:u w:val="none"/>
                <w:lang w:eastAsia="zh-CN"/>
              </w:rPr>
              <w:t>，具体检测项目以检测清单及有关规范要求为准。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发出中标通知书之日起</w:t>
            </w:r>
            <w:r>
              <w:rPr>
                <w:rFonts w:hint="eastAsia" w:ascii="宋体" w:hAnsi="宋体" w:eastAsia="宋体" w:cs="宋体"/>
                <w:bCs w:val="0"/>
                <w:color w:val="auto"/>
                <w:sz w:val="21"/>
                <w:szCs w:val="21"/>
                <w:highlight w:val="none"/>
                <w:lang w:eastAsia="zh-CN"/>
              </w:rPr>
              <w:t>至</w:t>
            </w:r>
            <w:r>
              <w:rPr>
                <w:rFonts w:hint="eastAsia" w:ascii="宋体" w:hAnsi="宋体" w:eastAsia="宋体" w:cs="宋体"/>
                <w:bCs w:val="0"/>
                <w:color w:val="auto"/>
                <w:sz w:val="21"/>
                <w:szCs w:val="21"/>
                <w:highlight w:val="none"/>
              </w:rPr>
              <w:t>中标单位进场完成所有检测项目且技术成果通过审批，并提交有效的检测报告。检测工作进度必须满足现场施工和</w:t>
            </w:r>
            <w:r>
              <w:rPr>
                <w:rFonts w:hint="eastAsia" w:ascii="宋体" w:hAnsi="宋体" w:eastAsia="宋体" w:cs="宋体"/>
                <w:bCs w:val="0"/>
                <w:color w:val="auto"/>
                <w:sz w:val="21"/>
                <w:szCs w:val="21"/>
                <w:highlight w:val="none"/>
                <w:lang w:eastAsia="zh-CN"/>
              </w:rPr>
              <w:t>招标人</w:t>
            </w:r>
            <w:r>
              <w:rPr>
                <w:rFonts w:hint="eastAsia" w:ascii="宋体" w:hAnsi="宋体" w:eastAsia="宋体" w:cs="宋体"/>
                <w:bCs w:val="0"/>
                <w:color w:val="auto"/>
                <w:sz w:val="21"/>
                <w:szCs w:val="21"/>
                <w:highlight w:val="none"/>
              </w:rPr>
              <w:t>的要求</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0"/>
              <w:rPr>
                <w:rFonts w:hint="eastAsia"/>
              </w:rPr>
            </w:pPr>
            <w:r>
              <w:rPr>
                <w:rFonts w:hint="eastAsia"/>
              </w:rPr>
              <w:t>1、投标人均具有独立法人资格，持有工商行政管理部门核发的法人营业执照或各级登记管理机关颁发的事业单位法定代表人证，按国家法律经营。</w:t>
            </w:r>
          </w:p>
          <w:p>
            <w:pPr>
              <w:keepNext w:val="0"/>
              <w:keepLines w:val="0"/>
              <w:widowControl/>
              <w:numPr>
                <w:ilvl w:val="-1"/>
                <w:numId w:val="0"/>
              </w:numPr>
              <w:suppressLineNumbers w:val="0"/>
              <w:pBdr>
                <w:top w:val="none" w:sz="0" w:space="0"/>
                <w:left w:val="none" w:sz="0" w:space="0"/>
                <w:bottom w:val="none" w:sz="0" w:space="0"/>
                <w:right w:val="none" w:sz="0" w:space="0"/>
              </w:pBdr>
              <w:spacing w:before="0" w:beforeAutospacing="0" w:after="0" w:afterAutospacing="0" w:line="360" w:lineRule="auto"/>
              <w:ind w:left="0" w:right="0" w:firstLine="420" w:firstLineChars="0"/>
              <w:jc w:val="left"/>
              <w:rPr>
                <w:rFonts w:hint="eastAsia"/>
              </w:rPr>
            </w:pPr>
            <w:r>
              <w:rPr>
                <w:rFonts w:hint="eastAsia"/>
                <w:lang w:eastAsia="zh-CN"/>
              </w:rPr>
              <w:t>2、</w:t>
            </w:r>
            <w:r>
              <w:rPr>
                <w:rFonts w:hint="eastAsia"/>
              </w:rPr>
              <w:t>投标人须具备建设行政主管部门颁发的建设工程质量检测机构资质证书，且证书需在有效期内（检测范围须涵盖本</w:t>
            </w:r>
            <w:r>
              <w:rPr>
                <w:rFonts w:hint="eastAsia"/>
                <w:lang w:eastAsia="zh-CN"/>
              </w:rPr>
              <w:t>次</w:t>
            </w:r>
            <w:r>
              <w:rPr>
                <w:rFonts w:hint="eastAsia"/>
              </w:rPr>
              <w:t>招标</w:t>
            </w:r>
            <w:r>
              <w:rPr>
                <w:rFonts w:hint="eastAsia"/>
                <w:lang w:eastAsia="zh-CN"/>
              </w:rPr>
              <w:t>范围</w:t>
            </w:r>
            <w:r>
              <w:rPr>
                <w:rFonts w:hint="eastAsia"/>
              </w:rPr>
              <w:t>，如检测项目与上述名称不同，但表达的意思一致也视为满足该项条件)</w:t>
            </w:r>
            <w:r>
              <w:rPr>
                <w:rFonts w:hint="eastAsia"/>
                <w:lang w:eastAsia="zh-CN"/>
              </w:rPr>
              <w:t>。</w:t>
            </w:r>
          </w:p>
          <w:p>
            <w:pPr>
              <w:widowControl/>
              <w:spacing w:line="360" w:lineRule="auto"/>
              <w:ind w:firstLine="420" w:firstLineChars="0"/>
              <w:rPr>
                <w:rFonts w:hint="eastAsia"/>
              </w:rPr>
            </w:pPr>
            <w:r>
              <w:rPr>
                <w:rFonts w:hint="eastAsia"/>
                <w:lang w:eastAsia="zh-CN"/>
              </w:rPr>
              <w:t>3、</w:t>
            </w:r>
            <w:r>
              <w:rPr>
                <w:rFonts w:hint="eastAsia"/>
              </w:rPr>
              <w:t>投标人须具备质量技术监督管理部门颁发的CMA计量认证合格证书（或CMA检验检测机构资质认定证书），且在有效期内。认证范围须覆盖本</w:t>
            </w:r>
            <w:r>
              <w:rPr>
                <w:rFonts w:hint="eastAsia"/>
                <w:lang w:eastAsia="zh-CN"/>
              </w:rPr>
              <w:t>次</w:t>
            </w:r>
            <w:r>
              <w:rPr>
                <w:rFonts w:hint="eastAsia"/>
              </w:rPr>
              <w:t>招标</w:t>
            </w:r>
            <w:r>
              <w:rPr>
                <w:rFonts w:hint="eastAsia"/>
                <w:lang w:eastAsia="zh-CN"/>
              </w:rPr>
              <w:t>范围</w:t>
            </w:r>
            <w:r>
              <w:rPr>
                <w:rFonts w:hint="eastAsia"/>
              </w:rPr>
              <w:t>，如CMA计量认证合格证书（或CMA检验检测机构资质认定证书）中的认证项目与上述名称不同，但表达的意思一致也视为满足该项条件。</w:t>
            </w:r>
          </w:p>
          <w:p>
            <w:pPr>
              <w:widowControl/>
              <w:spacing w:line="360" w:lineRule="auto"/>
              <w:ind w:firstLine="420" w:firstLineChars="0"/>
              <w:rPr>
                <w:rFonts w:hint="eastAsia"/>
              </w:rPr>
            </w:pPr>
            <w:r>
              <w:rPr>
                <w:rFonts w:hint="eastAsia"/>
                <w:lang w:val="en-US" w:eastAsia="zh-CN"/>
              </w:rPr>
              <w:t>4</w:t>
            </w:r>
            <w:r>
              <w:rPr>
                <w:rFonts w:hint="eastAsia"/>
                <w:lang w:eastAsia="zh-CN"/>
              </w:rPr>
              <w:t>、</w:t>
            </w:r>
            <w:r>
              <w:rPr>
                <w:rFonts w:hint="eastAsia"/>
              </w:rPr>
              <w:t>本次招标不接受联合体投标。</w:t>
            </w:r>
          </w:p>
          <w:p>
            <w:pPr>
              <w:widowControl/>
              <w:spacing w:line="360" w:lineRule="auto"/>
              <w:ind w:firstLine="420"/>
              <w:rPr>
                <w:rFonts w:hint="eastAsia"/>
              </w:rPr>
            </w:pPr>
            <w:r>
              <w:rPr>
                <w:rFonts w:hint="eastAsia" w:cstheme="minorBidi"/>
                <w:sz w:val="21"/>
                <w:szCs w:val="24"/>
                <w:lang w:val="en-US" w:eastAsia="zh-CN"/>
              </w:rPr>
              <w:t>5</w:t>
            </w:r>
            <w:r>
              <w:rPr>
                <w:rFonts w:hint="eastAsia" w:asciiTheme="minorHAnsi" w:hAnsiTheme="minorHAnsi" w:eastAsiaTheme="minorEastAsia" w:cstheme="minorBidi"/>
                <w:sz w:val="21"/>
                <w:szCs w:val="24"/>
                <w:lang w:val="en-US" w:eastAsia="zh-CN"/>
              </w:rPr>
              <w:t>、根据相关规定，</w:t>
            </w:r>
            <w:r>
              <w:rPr>
                <w:rFonts w:hint="eastAsia" w:asciiTheme="minorHAnsi" w:hAnsiTheme="minorHAnsi" w:eastAsiaTheme="minorEastAsia" w:cstheme="minorBidi"/>
                <w:sz w:val="21"/>
                <w:szCs w:val="24"/>
                <w:u w:val="none"/>
                <w:lang w:val="en-US" w:eastAsia="zh-CN"/>
              </w:rPr>
              <w:t>桩身承载力检测和灌注桩桩身完整性检测不能为同一家检测单位，因此本次招标需排除已承接本项目灌注桩桩身完整性检测任务的</w:t>
            </w:r>
            <w:r>
              <w:rPr>
                <w:rFonts w:hint="eastAsia" w:asciiTheme="minorHAnsi" w:hAnsiTheme="minorHAnsi" w:eastAsiaTheme="minorEastAsia" w:cstheme="minorBidi"/>
                <w:i w:val="0"/>
                <w:iCs w:val="0"/>
                <w:kern w:val="2"/>
                <w:sz w:val="21"/>
                <w:szCs w:val="24"/>
                <w:u w:val="none"/>
                <w:lang w:val="en-US" w:eastAsia="zh-CN" w:bidi="ar"/>
              </w:rPr>
              <w:t>广东省建设工程质量安全检测总站有限公司，与该</w:t>
            </w:r>
            <w:r>
              <w:rPr>
                <w:rFonts w:hint="eastAsia" w:asciiTheme="minorHAnsi" w:hAnsiTheme="minorHAnsi" w:eastAsiaTheme="minorEastAsia" w:cstheme="minorBidi"/>
                <w:b w:val="0"/>
                <w:bCs w:val="0"/>
                <w:kern w:val="2"/>
                <w:sz w:val="21"/>
                <w:szCs w:val="24"/>
                <w:u w:val="none"/>
                <w:lang w:bidi="ar"/>
              </w:rPr>
              <w:t>公司单位负责人为同一人或者与</w:t>
            </w:r>
            <w:r>
              <w:rPr>
                <w:rFonts w:hint="eastAsia" w:asciiTheme="minorHAnsi" w:hAnsiTheme="minorHAnsi" w:eastAsiaTheme="minorEastAsia" w:cstheme="minorBidi"/>
                <w:b w:val="0"/>
                <w:bCs w:val="0"/>
                <w:kern w:val="2"/>
                <w:sz w:val="21"/>
                <w:szCs w:val="24"/>
                <w:u w:val="none"/>
                <w:lang w:eastAsia="zh-CN" w:bidi="ar"/>
              </w:rPr>
              <w:t>该</w:t>
            </w:r>
            <w:r>
              <w:rPr>
                <w:rFonts w:hint="eastAsia" w:asciiTheme="minorHAnsi" w:hAnsiTheme="minorHAnsi" w:eastAsiaTheme="minorEastAsia" w:cstheme="minorBidi"/>
                <w:b w:val="0"/>
                <w:bCs w:val="0"/>
                <w:kern w:val="2"/>
                <w:sz w:val="21"/>
                <w:szCs w:val="24"/>
                <w:u w:val="none"/>
                <w:lang w:bidi="ar"/>
              </w:rPr>
              <w:t>公司存在控股、管理关系的其他单位</w:t>
            </w:r>
            <w:r>
              <w:rPr>
                <w:rFonts w:hint="eastAsia" w:asciiTheme="minorHAnsi" w:hAnsiTheme="minorHAnsi" w:eastAsiaTheme="minorEastAsia" w:cstheme="minorBidi"/>
                <w:b w:val="0"/>
                <w:bCs w:val="0"/>
                <w:kern w:val="2"/>
                <w:sz w:val="21"/>
                <w:szCs w:val="24"/>
                <w:u w:val="none"/>
                <w:lang w:eastAsia="zh-CN" w:bidi="ar"/>
              </w:rPr>
              <w:t>也不能参与本次招标，否则按废标处理</w:t>
            </w:r>
            <w:r>
              <w:rPr>
                <w:rFonts w:hint="eastAsia" w:asciiTheme="minorHAnsi" w:hAnsiTheme="minorHAnsi" w:eastAsiaTheme="minorEastAsia" w:cstheme="minorBidi"/>
                <w:i w:val="0"/>
                <w:iCs w:val="0"/>
                <w:kern w:val="2"/>
                <w:sz w:val="21"/>
                <w:szCs w:val="24"/>
                <w:u w:val="none"/>
                <w:lang w:val="en-US" w:eastAsia="zh-CN" w:bidi="ar"/>
              </w:rPr>
              <w:t>。投标人须在投标人声明（详见招标文件附件）中作相应说明。</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eastAsia" w:ascii="宋体" w:hAnsi="宋体" w:eastAsia="宋体" w:cs="宋体"/>
                <w:szCs w:val="21"/>
              </w:rPr>
            </w:pPr>
            <w:r>
              <w:rPr>
                <w:rFonts w:hint="eastAsia" w:ascii="宋体" w:hAnsi="宋体" w:eastAsia="宋体" w:cs="宋体"/>
                <w:szCs w:val="21"/>
              </w:rPr>
              <w:t>投标人拟担任本工程项目负责人须具有：建筑工程检测</w:t>
            </w:r>
            <w:r>
              <w:rPr>
                <w:rFonts w:hint="eastAsia" w:ascii="宋体" w:hAnsi="宋体" w:eastAsia="宋体" w:cs="宋体"/>
                <w:szCs w:val="21"/>
                <w:lang w:eastAsia="zh-CN"/>
              </w:rPr>
              <w:t>类</w:t>
            </w:r>
            <w:r>
              <w:rPr>
                <w:rFonts w:hint="eastAsia" w:ascii="宋体" w:hAnsi="宋体" w:eastAsia="宋体" w:cs="宋体"/>
                <w:szCs w:val="21"/>
              </w:rPr>
              <w:t>或工程</w:t>
            </w:r>
            <w:r>
              <w:rPr>
                <w:rFonts w:hint="eastAsia" w:ascii="宋体" w:hAnsi="宋体" w:eastAsia="宋体" w:cs="宋体"/>
                <w:szCs w:val="21"/>
                <w:lang w:eastAsia="zh-CN"/>
              </w:rPr>
              <w:t>类相关专业中</w:t>
            </w:r>
            <w:r>
              <w:rPr>
                <w:rFonts w:hint="eastAsia" w:ascii="宋体" w:hAnsi="宋体" w:eastAsia="宋体" w:cs="宋体"/>
                <w:szCs w:val="21"/>
              </w:rPr>
              <w:t>级或以上职称。</w:t>
            </w:r>
          </w:p>
          <w:p>
            <w:pPr>
              <w:widowControl/>
              <w:spacing w:line="360" w:lineRule="auto"/>
              <w:ind w:firstLine="0"/>
              <w:rPr>
                <w:rFonts w:hint="eastAsia" w:ascii="宋体" w:hAnsi="宋体" w:eastAsia="宋体" w:cs="宋体"/>
                <w:szCs w:val="21"/>
                <w:lang w:val="en-US" w:eastAsia="zh-CN"/>
              </w:rPr>
            </w:pPr>
            <w:r>
              <w:rPr>
                <w:rFonts w:hint="eastAsia" w:ascii="宋体" w:hAnsi="宋体" w:eastAsia="宋体" w:cs="宋体"/>
                <w:color w:val="auto"/>
                <w:sz w:val="21"/>
                <w:szCs w:val="21"/>
                <w:highlight w:val="none"/>
              </w:rPr>
              <w:t>投标人拟担任项目负责人须具有：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类相关专业中</w:t>
            </w:r>
            <w:r>
              <w:rPr>
                <w:rFonts w:hint="eastAsia" w:ascii="宋体" w:hAnsi="宋体" w:eastAsia="宋体" w:cs="宋体"/>
                <w:color w:val="auto"/>
                <w:sz w:val="21"/>
                <w:szCs w:val="21"/>
                <w:highlight w:val="none"/>
                <w:u w:val="none"/>
              </w:rPr>
              <w:t>级或以上职称。</w:t>
            </w:r>
            <w:r>
              <w:rPr>
                <w:rFonts w:hint="eastAsia" w:ascii="宋体" w:hAnsi="宋体" w:eastAsia="宋体" w:cs="宋体"/>
                <w:color w:val="auto"/>
                <w:sz w:val="21"/>
                <w:szCs w:val="21"/>
                <w:highlight w:val="none"/>
                <w:u w:val="none"/>
                <w:lang w:eastAsia="zh-CN"/>
              </w:rPr>
              <w:t>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w:t>
            </w:r>
            <w:r>
              <w:rPr>
                <w:rFonts w:hint="eastAsia" w:ascii="宋体" w:hAnsi="宋体" w:eastAsia="宋体" w:cs="宋体"/>
                <w:color w:val="auto"/>
                <w:kern w:val="2"/>
                <w:sz w:val="21"/>
                <w:szCs w:val="21"/>
                <w:highlight w:val="none"/>
              </w:rPr>
              <w:t>费</w:t>
            </w:r>
            <w:r>
              <w:rPr>
                <w:rFonts w:hint="eastAsia" w:ascii="宋体" w:hAnsi="宋体" w:eastAsia="宋体" w:cs="宋体"/>
                <w:color w:val="auto"/>
                <w:kern w:val="2"/>
                <w:sz w:val="21"/>
                <w:szCs w:val="21"/>
                <w:highlight w:val="none"/>
                <w:lang w:eastAsia="zh-CN"/>
              </w:rPr>
              <w:t>招标控制价为¥</w:t>
            </w:r>
            <w:r>
              <w:rPr>
                <w:rFonts w:hint="eastAsia" w:ascii="宋体" w:hAnsi="宋体" w:eastAsia="宋体" w:cs="宋体"/>
                <w:color w:val="auto"/>
                <w:kern w:val="2"/>
                <w:sz w:val="21"/>
                <w:szCs w:val="21"/>
                <w:highlight w:val="none"/>
                <w:lang w:val="en-US" w:eastAsia="zh-CN"/>
              </w:rPr>
              <w:t>557661.65元，</w:t>
            </w:r>
            <w:r>
              <w:rPr>
                <w:rFonts w:hint="eastAsia" w:ascii="宋体" w:hAnsi="宋体" w:eastAsia="宋体" w:cs="宋体"/>
                <w:b w:val="0"/>
                <w:bCs w:val="0"/>
                <w:color w:val="auto"/>
                <w:kern w:val="2"/>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《关于印发〈广东省房屋建筑和市政工程质量安全检测收费指导价（第一批）〉、〈广东省既有房屋建筑安全性鉴定收费指导价〉的通知》（粤建检协〔2015〕8号）等相关</w:t>
            </w:r>
            <w:r>
              <w:rPr>
                <w:rFonts w:hint="eastAsia" w:ascii="宋体" w:hAnsi="宋体" w:eastAsia="宋体" w:cs="宋体"/>
                <w:bCs/>
                <w:color w:val="auto"/>
                <w:sz w:val="21"/>
                <w:szCs w:val="21"/>
                <w:highlight w:val="none"/>
                <w:u w:val="none"/>
                <w:lang w:eastAsia="zh-CN"/>
              </w:rPr>
              <w:t>收费指导价为依据，结合检测清单，下浮</w:t>
            </w:r>
            <w:r>
              <w:rPr>
                <w:rFonts w:hint="eastAsia" w:ascii="宋体" w:hAnsi="宋体" w:eastAsia="宋体" w:cs="宋体"/>
                <w:bCs/>
                <w:color w:val="auto"/>
                <w:sz w:val="21"/>
                <w:szCs w:val="21"/>
                <w:highlight w:val="none"/>
                <w:u w:val="none"/>
                <w:lang w:val="en-US" w:eastAsia="zh-CN"/>
              </w:rPr>
              <w:t>30%计算得出</w:t>
            </w:r>
            <w:r>
              <w:rPr>
                <w:rFonts w:hint="eastAsia" w:ascii="宋体" w:hAnsi="宋体" w:eastAsia="宋体" w:cs="宋体"/>
                <w:color w:val="auto"/>
                <w:kern w:val="2"/>
                <w:sz w:val="21"/>
                <w:szCs w:val="21"/>
                <w:highlight w:val="none"/>
                <w:lang w:val="en-US" w:eastAsia="zh-CN"/>
              </w:rPr>
              <w:t>。超出招标控制价的报价为废标。</w:t>
            </w:r>
          </w:p>
          <w:p>
            <w:pPr>
              <w:pStyle w:val="6"/>
              <w:numPr>
                <w:ilvl w:val="0"/>
                <w:numId w:val="0"/>
              </w:numPr>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检测服务为</w:t>
            </w:r>
            <w:r>
              <w:rPr>
                <w:rFonts w:hint="eastAsia" w:ascii="宋体" w:hAnsi="宋体" w:eastAsia="宋体" w:cs="宋体"/>
                <w:b w:val="0"/>
                <w:bCs/>
                <w:color w:val="auto"/>
                <w:sz w:val="21"/>
                <w:szCs w:val="21"/>
                <w:highlight w:val="none"/>
                <w:lang w:eastAsia="zh-CN"/>
              </w:rPr>
              <w:t>综合单</w:t>
            </w:r>
            <w:r>
              <w:rPr>
                <w:rFonts w:hint="eastAsia" w:ascii="宋体" w:hAnsi="宋体" w:eastAsia="宋体" w:cs="宋体"/>
                <w:b w:val="0"/>
                <w:bCs w:val="0"/>
                <w:color w:val="auto"/>
                <w:kern w:val="2"/>
                <w:sz w:val="21"/>
                <w:szCs w:val="21"/>
                <w:highlight w:val="none"/>
                <w:lang w:eastAsia="zh-CN"/>
              </w:rPr>
              <w:t>价包</w:t>
            </w:r>
            <w:r>
              <w:rPr>
                <w:rFonts w:hint="eastAsia" w:ascii="宋体" w:hAnsi="宋体" w:eastAsia="宋体" w:cs="宋体"/>
                <w:b w:val="0"/>
                <w:bCs/>
                <w:color w:val="auto"/>
                <w:sz w:val="21"/>
                <w:szCs w:val="21"/>
                <w:highlight w:val="none"/>
                <w:lang w:eastAsia="zh-CN"/>
              </w:rPr>
              <w:t>干，</w:t>
            </w:r>
            <w:r>
              <w:rPr>
                <w:rFonts w:hint="eastAsia" w:ascii="宋体" w:hAnsi="宋体" w:eastAsia="宋体" w:cs="宋体"/>
                <w:bCs/>
                <w:color w:val="auto"/>
                <w:sz w:val="21"/>
                <w:szCs w:val="21"/>
                <w:highlight w:val="none"/>
              </w:rPr>
              <w:t>具体内容包括人工费、设备使用费、设备进出场费、检测试验费、报告编写费、各项管理费、利润、及所有因工程质量检测应交纳的政府规费、税金等，不论实际费用有无发生，亦不论各项费用有无涨落，结算时均不再调整。</w:t>
            </w:r>
            <w:r>
              <w:rPr>
                <w:rFonts w:hint="eastAsia" w:ascii="宋体" w:hAnsi="宋体" w:eastAsia="宋体" w:cs="宋体"/>
                <w:bCs/>
                <w:color w:val="auto"/>
                <w:kern w:val="0"/>
                <w:sz w:val="21"/>
                <w:szCs w:val="21"/>
                <w:highlight w:val="none"/>
              </w:rPr>
              <w:t>投标人应考</w:t>
            </w:r>
            <w:r>
              <w:rPr>
                <w:rFonts w:hint="eastAsia" w:ascii="宋体" w:hAnsi="宋体" w:eastAsia="宋体" w:cs="宋体"/>
                <w:color w:val="auto"/>
                <w:kern w:val="2"/>
                <w:sz w:val="21"/>
                <w:szCs w:val="21"/>
                <w:highlight w:val="none"/>
              </w:rPr>
              <w:t>虑上述情况进行报价。投标下浮率</w:t>
            </w:r>
            <w:r>
              <w:rPr>
                <w:rFonts w:hint="eastAsia" w:ascii="宋体" w:hAnsi="宋体" w:eastAsia="宋体" w:cs="宋体"/>
                <w:color w:val="auto"/>
                <w:kern w:val="2"/>
                <w:sz w:val="21"/>
                <w:szCs w:val="21"/>
                <w:highlight w:val="none"/>
                <w:lang w:val="en-US" w:eastAsia="zh-CN"/>
              </w:rPr>
              <w:t>=1-（投标报价/</w:t>
            </w:r>
            <w:r>
              <w:rPr>
                <w:rFonts w:hint="eastAsia" w:ascii="宋体" w:hAnsi="宋体" w:eastAsia="宋体" w:cs="宋体"/>
                <w:b w:val="0"/>
                <w:bCs/>
                <w:color w:val="auto"/>
                <w:sz w:val="21"/>
                <w:szCs w:val="21"/>
                <w:highlight w:val="none"/>
                <w:lang w:val="en-US" w:eastAsia="zh-CN"/>
              </w:rPr>
              <w:t>收费指导价</w:t>
            </w:r>
            <w:r>
              <w:rPr>
                <w:rFonts w:hint="eastAsia" w:ascii="宋体" w:hAnsi="宋体" w:eastAsia="宋体" w:cs="宋体"/>
                <w:color w:val="auto"/>
                <w:kern w:val="2"/>
                <w:sz w:val="21"/>
                <w:szCs w:val="21"/>
                <w:highlight w:val="none"/>
                <w:lang w:val="en-US" w:eastAsia="zh-CN"/>
              </w:rPr>
              <w:t>总价）×100%，</w:t>
            </w:r>
            <w:r>
              <w:rPr>
                <w:rFonts w:hint="eastAsia" w:ascii="宋体" w:hAnsi="宋体" w:eastAsia="宋体" w:cs="宋体"/>
                <w:bCs w:val="0"/>
                <w:color w:val="auto"/>
                <w:kern w:val="2"/>
                <w:sz w:val="21"/>
                <w:szCs w:val="21"/>
                <w:highlight w:val="none"/>
              </w:rPr>
              <w:t>精确到小数点后两位</w:t>
            </w:r>
            <w:r>
              <w:rPr>
                <w:rFonts w:hint="eastAsia" w:ascii="宋体" w:hAnsi="宋体" w:eastAsia="宋体" w:cs="宋体"/>
                <w:bCs w:val="0"/>
                <w:color w:val="auto"/>
                <w:kern w:val="2"/>
                <w:sz w:val="21"/>
                <w:szCs w:val="21"/>
                <w:highlight w:val="none"/>
                <w:lang w:eastAsia="zh-CN"/>
              </w:rPr>
              <w:t>，投标下浮率应大于或等于</w:t>
            </w:r>
            <w:r>
              <w:rPr>
                <w:rFonts w:hint="eastAsia" w:ascii="宋体" w:hAnsi="宋体" w:eastAsia="宋体" w:cs="宋体"/>
                <w:bCs w:val="0"/>
                <w:color w:val="auto"/>
                <w:kern w:val="2"/>
                <w:sz w:val="21"/>
                <w:szCs w:val="21"/>
                <w:highlight w:val="none"/>
                <w:lang w:val="en-US" w:eastAsia="zh-CN"/>
              </w:rPr>
              <w:t>30%</w:t>
            </w:r>
            <w:r>
              <w:rPr>
                <w:rFonts w:hint="eastAsia" w:ascii="宋体" w:hAnsi="宋体" w:eastAsia="宋体" w:cs="宋体"/>
                <w:color w:val="auto"/>
                <w:kern w:val="2"/>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检测服务费</w:t>
            </w:r>
            <w:r>
              <w:rPr>
                <w:rFonts w:hint="eastAsia" w:ascii="宋体" w:hAnsi="宋体" w:eastAsia="宋体" w:cs="宋体"/>
                <w:b w:val="0"/>
                <w:bCs/>
                <w:color w:val="auto"/>
                <w:sz w:val="21"/>
                <w:szCs w:val="21"/>
                <w:highlight w:val="none"/>
                <w:lang w:eastAsia="zh-CN"/>
              </w:rPr>
              <w:t>最终</w:t>
            </w:r>
            <w:r>
              <w:rPr>
                <w:rFonts w:hint="eastAsia" w:ascii="宋体" w:hAnsi="宋体" w:eastAsia="宋体" w:cs="宋体"/>
                <w:b w:val="0"/>
                <w:bCs/>
                <w:color w:val="auto"/>
                <w:sz w:val="21"/>
                <w:szCs w:val="21"/>
                <w:highlight w:val="none"/>
                <w:lang w:val="en-US" w:eastAsia="zh-CN"/>
              </w:rPr>
              <w:t>结算价</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《关于印发〈广东省房屋建筑和市政工程质量安全检测收费指导价（第一批）〉、〈广东省既有房屋建筑安全性鉴定收费指导价〉的通知》（粤建检协〔2015〕8号）等相关</w:t>
            </w:r>
            <w:r>
              <w:rPr>
                <w:rFonts w:hint="eastAsia" w:ascii="宋体" w:hAnsi="宋体" w:eastAsia="宋体" w:cs="宋体"/>
                <w:bCs/>
                <w:color w:val="auto"/>
                <w:sz w:val="21"/>
                <w:szCs w:val="21"/>
                <w:highlight w:val="none"/>
                <w:u w:val="none"/>
                <w:lang w:eastAsia="zh-CN"/>
              </w:rPr>
              <w:t>收费指导价为依据</w:t>
            </w:r>
            <w:r>
              <w:rPr>
                <w:rFonts w:hint="eastAsia" w:ascii="宋体" w:hAnsi="宋体" w:eastAsia="宋体" w:cs="宋体"/>
                <w:b w:val="0"/>
                <w:bCs/>
                <w:color w:val="auto"/>
                <w:sz w:val="21"/>
                <w:szCs w:val="21"/>
                <w:highlight w:val="none"/>
                <w:lang w:val="en-US" w:eastAsia="zh-CN"/>
              </w:rPr>
              <w:t>，以实际发生的检测项目、数量及综合单价为计费标准计算得出，综合单价=检测项目收费指导价×（1-投标下浮率）</w:t>
            </w:r>
            <w:r>
              <w:rPr>
                <w:rFonts w:hint="eastAsia" w:ascii="宋体" w:hAnsi="宋体" w:eastAsia="宋体" w:cs="宋体"/>
                <w:b w:val="0"/>
                <w:bCs/>
                <w:color w:val="auto"/>
                <w:sz w:val="21"/>
                <w:szCs w:val="21"/>
                <w:highlight w:val="none"/>
                <w:lang w:eastAsia="zh-CN"/>
              </w:rPr>
              <w:t>。</w:t>
            </w:r>
          </w:p>
          <w:p>
            <w:pPr>
              <w:widowControl w:val="0"/>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伍仟</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pStyle w:val="32"/>
              <w:numPr>
                <w:ilvl w:val="0"/>
                <w:numId w:val="0"/>
              </w:num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 w:val="21"/>
                <w:szCs w:val="21"/>
                <w:highlight w:val="none"/>
              </w:rPr>
              <w:t>广州</w:t>
            </w:r>
            <w:r>
              <w:rPr>
                <w:rFonts w:hint="eastAsia" w:ascii="宋体" w:hAnsi="宋体" w:eastAsia="宋体" w:cs="宋体"/>
                <w:color w:val="auto"/>
                <w:sz w:val="21"/>
                <w:szCs w:val="21"/>
                <w:highlight w:val="none"/>
                <w:lang w:eastAsia="zh-CN"/>
              </w:rPr>
              <w:t>南沙经济技术开发区港宏房地产开发有限公司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 w:val="21"/>
                <w:szCs w:val="21"/>
                <w:highlight w:val="none"/>
                <w:lang w:eastAsia="zh-CN"/>
              </w:rPr>
              <w:t>广州农村商业银行南沙金洲支行</w:t>
            </w:r>
            <w:r>
              <w:rPr>
                <w:rFonts w:hint="eastAsia" w:ascii="宋体" w:hAnsi="宋体" w:eastAsia="宋体" w:cs="宋体"/>
                <w:color w:val="auto"/>
                <w:szCs w:val="21"/>
                <w:highlight w:val="none"/>
              </w:rPr>
              <w:t xml:space="preserve">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3月28</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海湾小区N地块项目（领航科技大楼）检测服务（桩身承载力检测等）</w:t>
            </w:r>
            <w:r>
              <w:rPr>
                <w:rFonts w:hint="eastAsia" w:ascii="宋体" w:hAnsi="宋体" w:eastAsia="宋体" w:cs="宋体"/>
                <w:color w:val="auto"/>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3月29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）上午</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分至202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3月29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）上午</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分前</w:t>
            </w:r>
            <w:r>
              <w:rPr>
                <w:rFonts w:hint="eastAsia" w:ascii="宋体" w:hAnsi="宋体" w:eastAsia="宋体" w:cs="宋体"/>
                <w:color w:val="auto"/>
                <w:szCs w:val="21"/>
                <w:highlight w:val="none"/>
                <w:lang w:eastAsia="zh-CN"/>
              </w:rPr>
              <w:t>前</w:t>
            </w:r>
          </w:p>
          <w:p>
            <w:pPr>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3月29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）上午</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2.3.2 </w:t>
      </w:r>
      <w:r>
        <w:rPr>
          <w:rFonts w:hint="eastAsia" w:ascii="宋体" w:hAnsi="宋体" w:eastAsia="宋体" w:cs="宋体"/>
          <w:color w:val="auto"/>
          <w:sz w:val="24"/>
          <w:highlight w:val="none"/>
          <w:lang w:eastAsia="zh-CN"/>
        </w:rPr>
        <w:t>服务任务期限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11.12报价表</w:t>
      </w:r>
      <w:r>
        <w:rPr>
          <w:rFonts w:hint="eastAsia" w:ascii="宋体" w:hAnsi="宋体" w:eastAsia="宋体" w:cs="宋体"/>
          <w:color w:val="auto"/>
          <w:sz w:val="24"/>
          <w:highlight w:val="none"/>
          <w:lang w:eastAsia="zh-CN"/>
        </w:rPr>
        <w:t>（含报价清单）</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需带有公司印章，</w:t>
      </w:r>
      <w:r>
        <w:rPr>
          <w:rFonts w:hAnsi="宋体" w:cs="宋体"/>
          <w:color w:val="auto"/>
          <w:sz w:val="24"/>
          <w:highlight w:val="none"/>
        </w:rPr>
        <w:t>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海湾小区N地块项目（领航科技大楼）检测服务（桩身承载力检测等）</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eastAsia="宋体" w:cs="宋体"/>
          <w:color w:val="auto"/>
          <w:sz w:val="24"/>
          <w:szCs w:val="24"/>
          <w:highlight w:val="none"/>
          <w:u w:val="single"/>
          <w:lang w:val="en-US" w:eastAsia="zh-CN"/>
        </w:rPr>
        <w:t>3月29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w:t>
      </w:r>
      <w:r>
        <w:rPr>
          <w:rFonts w:hint="eastAsia" w:ascii="宋体" w:hAnsi="宋体" w:eastAsia="宋体" w:cs="宋体"/>
          <w:color w:val="auto"/>
          <w:sz w:val="24"/>
          <w:szCs w:val="24"/>
          <w:highlight w:val="none"/>
          <w:u w:val="single"/>
          <w:lang w:val="en-US" w:eastAsia="zh-CN"/>
        </w:rPr>
        <w:t>三</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海湾小区N地块项目（领航科技大楼）检测服务（桩身承载力检测等）</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海湾小区N地块项目（领航科技大楼）检测服务（桩身承载力检测等）</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adjustRightInd w:val="0"/>
        <w:snapToGrid w:val="0"/>
        <w:spacing w:before="85" w:beforeLines="30" w:after="0" w:line="360" w:lineRule="auto"/>
        <w:ind w:firstLine="480" w:firstLineChars="200"/>
        <w:jc w:val="both"/>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检测</w:t>
      </w:r>
      <w:r>
        <w:rPr>
          <w:rFonts w:hint="eastAsia" w:ascii="宋体" w:hAnsi="宋体" w:eastAsia="宋体" w:cs="宋体"/>
          <w:color w:val="auto"/>
          <w:sz w:val="24"/>
          <w:highlight w:val="none"/>
        </w:rPr>
        <w:t>服务人员</w:t>
      </w:r>
      <w:r>
        <w:rPr>
          <w:rFonts w:hint="eastAsia" w:ascii="宋体" w:hAnsi="宋体" w:eastAsia="宋体" w:cs="宋体"/>
          <w:color w:val="auto"/>
          <w:sz w:val="24"/>
          <w:highlight w:val="none"/>
          <w:lang w:eastAsia="zh-CN"/>
        </w:rPr>
        <w:t>按《</w:t>
      </w:r>
      <w:r>
        <w:rPr>
          <w:rFonts w:hint="eastAsia" w:ascii="宋体" w:hAnsi="宋体" w:eastAsia="宋体" w:cs="宋体"/>
          <w:b w:val="0"/>
          <w:color w:val="auto"/>
          <w:sz w:val="24"/>
          <w:szCs w:val="24"/>
          <w:highlight w:val="none"/>
        </w:rPr>
        <w:t>参与本项目的人员一览表</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sz w:val="24"/>
          <w:highlight w:val="none"/>
        </w:rPr>
        <w:t>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196130013"/>
      <w:bookmarkEnd w:id="12"/>
      <w:bookmarkStart w:id="13" w:name="_Toc459403394"/>
      <w:bookmarkEnd w:id="13"/>
      <w:bookmarkStart w:id="14" w:name="_Toc199647675"/>
      <w:bookmarkEnd w:id="14"/>
      <w:bookmarkStart w:id="15" w:name="_Toc415833503"/>
      <w:bookmarkEnd w:id="15"/>
      <w:bookmarkStart w:id="16" w:name="_Toc197235848"/>
      <w:bookmarkEnd w:id="16"/>
      <w:bookmarkStart w:id="17" w:name="_Toc196130110"/>
      <w:bookmarkEnd w:id="17"/>
      <w:bookmarkStart w:id="18" w:name="_Toc326909213"/>
      <w:bookmarkEnd w:id="18"/>
      <w:bookmarkStart w:id="19" w:name="_Toc415728297"/>
      <w:bookmarkEnd w:id="19"/>
      <w:bookmarkStart w:id="20" w:name="_Toc196037097"/>
      <w:bookmarkEnd w:id="20"/>
      <w:bookmarkStart w:id="21" w:name="_Toc418227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6942"/>
      <w:bookmarkEnd w:id="24"/>
      <w:bookmarkStart w:id="25" w:name="_Toc326909214"/>
      <w:bookmarkEnd w:id="25"/>
      <w:bookmarkStart w:id="26" w:name="_Toc459403395"/>
      <w:bookmarkEnd w:id="26"/>
      <w:bookmarkStart w:id="27" w:name="_Toc196130111"/>
      <w:bookmarkEnd w:id="27"/>
      <w:bookmarkStart w:id="28" w:name="_Toc415833504"/>
      <w:bookmarkEnd w:id="28"/>
      <w:bookmarkStart w:id="29" w:name="_Toc196037098"/>
      <w:bookmarkEnd w:id="29"/>
      <w:bookmarkStart w:id="30" w:name="_Toc197235849"/>
      <w:bookmarkEnd w:id="30"/>
      <w:bookmarkStart w:id="31" w:name="_Toc415728298"/>
      <w:bookmarkEnd w:id="31"/>
      <w:bookmarkStart w:id="32" w:name="_Toc199647676"/>
      <w:bookmarkEnd w:id="32"/>
      <w:bookmarkStart w:id="33" w:name="_Toc196130014"/>
      <w:bookmarkEnd w:id="33"/>
      <w:bookmarkStart w:id="34"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41822705"/>
      <w:bookmarkEnd w:id="35"/>
      <w:bookmarkStart w:id="36" w:name="_Toc196037099"/>
      <w:bookmarkEnd w:id="36"/>
      <w:bookmarkStart w:id="37" w:name="_Toc196130112"/>
      <w:bookmarkEnd w:id="37"/>
      <w:bookmarkStart w:id="38" w:name="_Toc196130015"/>
      <w:bookmarkEnd w:id="38"/>
      <w:bookmarkStart w:id="39" w:name="_Toc197235850"/>
      <w:bookmarkEnd w:id="39"/>
      <w:bookmarkStart w:id="40" w:name="_Toc199647677"/>
      <w:bookmarkEnd w:id="40"/>
      <w:bookmarkStart w:id="41" w:name="_Toc196036943"/>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rPr>
        <w:t>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1" w:type="dxa"/>
            <w:vAlign w:val="center"/>
          </w:tcPr>
          <w:p>
            <w:pPr>
              <w:autoSpaceDE w:val="0"/>
              <w:autoSpaceDN w:val="0"/>
              <w:adjustRightInd w:val="0"/>
              <w:snapToGrid w:val="0"/>
              <w:jc w:val="center"/>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val="en-US" w:eastAsia="zh-CN"/>
              </w:rPr>
              <w:t>投标报价</w:t>
            </w:r>
          </w:p>
        </w:tc>
        <w:tc>
          <w:tcPr>
            <w:tcW w:w="6699" w:type="dxa"/>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lang w:val="zh-CN"/>
              </w:rPr>
            </w:pPr>
            <w:r>
              <w:rPr>
                <w:rFonts w:hint="eastAsia" w:ascii="宋体" w:hAnsi="宋体" w:cs="宋体"/>
                <w:bCs/>
                <w:color w:val="auto"/>
                <w:szCs w:val="21"/>
                <w:highlight w:val="none"/>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tcBorders>
              <w:top w:val="nil"/>
            </w:tcBorders>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tcBorders>
              <w:top w:val="nil"/>
            </w:tcBorders>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9"/>
        <w:spacing w:line="360" w:lineRule="auto"/>
        <w:ind w:firstLine="210" w:firstLineChars="100"/>
        <w:rPr>
          <w:rFonts w:hint="eastAsia" w:hAnsi="宋体" w:cs="宋体"/>
          <w:bCs/>
          <w:color w:val="auto"/>
          <w:highlight w:val="none"/>
          <w:lang w:val="en-US" w:eastAsia="zh-CN"/>
        </w:rPr>
      </w:pPr>
      <w:r>
        <w:rPr>
          <w:rFonts w:hAnsi="宋体" w:cs="宋体"/>
          <w:bCs/>
          <w:color w:val="auto"/>
          <w:highlight w:val="none"/>
        </w:rPr>
        <w:t>注：</w:t>
      </w:r>
      <w:r>
        <w:rPr>
          <w:rFonts w:hint="eastAsia" w:hAnsi="宋体" w:cs="宋体"/>
          <w:bCs/>
          <w:color w:val="auto"/>
          <w:highlight w:val="none"/>
          <w:lang w:val="en-US" w:eastAsia="zh-CN"/>
        </w:rPr>
        <w:t>1、投标报价大小写不一致的，以大写金额为准。</w:t>
      </w:r>
    </w:p>
    <w:p>
      <w:pPr>
        <w:pStyle w:val="9"/>
        <w:numPr>
          <w:ilvl w:val="0"/>
          <w:numId w:val="2"/>
        </w:numPr>
        <w:spacing w:line="360" w:lineRule="auto"/>
        <w:ind w:firstLine="210" w:firstLineChars="100"/>
        <w:rPr>
          <w:rFonts w:ascii="宋体" w:hAnsi="宋体" w:eastAsia="宋体" w:cs="宋体"/>
          <w:bCs/>
          <w:color w:val="auto"/>
          <w:highlight w:val="none"/>
        </w:rPr>
      </w:pPr>
      <w:r>
        <w:rPr>
          <w:rFonts w:hint="eastAsia" w:ascii="宋体" w:hAnsi="宋体" w:eastAsia="宋体" w:cs="宋体"/>
          <w:bCs/>
          <w:color w:val="auto"/>
          <w:kern w:val="2"/>
          <w:sz w:val="21"/>
          <w:szCs w:val="21"/>
          <w:highlight w:val="none"/>
        </w:rPr>
        <w:t>投标下浮率</w:t>
      </w:r>
      <w:r>
        <w:rPr>
          <w:rFonts w:hint="eastAsia" w:ascii="宋体" w:hAnsi="宋体" w:eastAsia="宋体" w:cs="宋体"/>
          <w:bCs/>
          <w:color w:val="auto"/>
          <w:kern w:val="2"/>
          <w:sz w:val="21"/>
          <w:szCs w:val="21"/>
          <w:highlight w:val="none"/>
          <w:lang w:val="en-US" w:eastAsia="zh-CN"/>
        </w:rPr>
        <w:t>=1-（投标报价/</w:t>
      </w:r>
      <w:r>
        <w:rPr>
          <w:rFonts w:hint="eastAsia" w:hAnsi="宋体" w:cs="宋体"/>
          <w:bCs/>
          <w:color w:val="auto"/>
          <w:kern w:val="2"/>
          <w:sz w:val="21"/>
          <w:szCs w:val="21"/>
          <w:highlight w:val="none"/>
          <w:lang w:val="en-US" w:eastAsia="zh-CN"/>
        </w:rPr>
        <w:t>收费指导</w:t>
      </w:r>
      <w:r>
        <w:rPr>
          <w:rFonts w:hint="eastAsia" w:ascii="宋体" w:hAnsi="宋体" w:eastAsia="宋体" w:cs="宋体"/>
          <w:bCs/>
          <w:color w:val="auto"/>
          <w:kern w:val="2"/>
          <w:sz w:val="21"/>
          <w:szCs w:val="21"/>
          <w:highlight w:val="none"/>
          <w:lang w:val="en-US" w:eastAsia="zh-CN"/>
        </w:rPr>
        <w:t>价</w:t>
      </w:r>
      <w:r>
        <w:rPr>
          <w:rFonts w:hint="eastAsia" w:hAnsi="宋体" w:cs="宋体"/>
          <w:bCs/>
          <w:color w:val="auto"/>
          <w:kern w:val="2"/>
          <w:sz w:val="21"/>
          <w:szCs w:val="21"/>
          <w:highlight w:val="none"/>
          <w:lang w:val="en-US" w:eastAsia="zh-CN"/>
        </w:rPr>
        <w:t>总价</w:t>
      </w:r>
      <w:r>
        <w:rPr>
          <w:rFonts w:hint="eastAsia" w:ascii="宋体" w:hAnsi="宋体" w:eastAsia="宋体" w:cs="宋体"/>
          <w:bCs/>
          <w:color w:val="auto"/>
          <w:kern w:val="2"/>
          <w:sz w:val="21"/>
          <w:szCs w:val="21"/>
          <w:highlight w:val="none"/>
          <w:lang w:val="en-US" w:eastAsia="zh-CN"/>
        </w:rPr>
        <w:t>）×100%，</w:t>
      </w:r>
      <w:r>
        <w:rPr>
          <w:rFonts w:hint="eastAsia" w:ascii="宋体" w:hAnsi="宋体" w:eastAsia="宋体" w:cs="宋体"/>
          <w:bCs/>
          <w:color w:val="auto"/>
          <w:kern w:val="2"/>
          <w:sz w:val="21"/>
          <w:szCs w:val="21"/>
          <w:highlight w:val="none"/>
        </w:rPr>
        <w:t>精确到小数点后两位</w:t>
      </w:r>
      <w:r>
        <w:rPr>
          <w:rFonts w:ascii="宋体" w:hAnsi="宋体" w:eastAsia="宋体" w:cs="宋体"/>
          <w:bCs/>
          <w:color w:val="auto"/>
          <w:highlight w:val="none"/>
        </w:rPr>
        <w:t>。</w:t>
      </w:r>
      <w:bookmarkStart w:id="49" w:name="_GoBack"/>
      <w:bookmarkEnd w:id="49"/>
    </w:p>
    <w:p>
      <w:pPr>
        <w:numPr>
          <w:ilvl w:val="-1"/>
          <w:numId w:val="0"/>
        </w:numPr>
        <w:rPr>
          <w:rFonts w:hint="eastAsia"/>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r>
        <w:rPr>
          <w:rFonts w:hint="eastAsia" w:ascii="仿宋" w:hAnsi="仿宋" w:eastAsia="仿宋" w:cs="仿宋"/>
          <w:color w:val="auto"/>
          <w:sz w:val="28"/>
          <w:szCs w:val="28"/>
          <w:highlight w:val="none"/>
          <w:lang w:eastAsia="zh-CN"/>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9"/>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9"/>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招标人要求</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评审内容</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评分因素</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得分</w:t>
            </w:r>
          </w:p>
        </w:tc>
        <w:tc>
          <w:tcPr>
            <w:tcW w:w="5428"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商务部分</w:t>
            </w:r>
          </w:p>
          <w:p>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lang w:eastAsia="zh-CN"/>
              </w:rPr>
            </w:pPr>
          </w:p>
        </w:tc>
        <w:tc>
          <w:tcPr>
            <w:tcW w:w="1101" w:type="dxa"/>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企业业绩</w:t>
            </w:r>
          </w:p>
        </w:tc>
        <w:tc>
          <w:tcPr>
            <w:tcW w:w="735" w:type="dxa"/>
            <w:tcBorders>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10</w:t>
            </w:r>
          </w:p>
        </w:tc>
        <w:tc>
          <w:tcPr>
            <w:tcW w:w="54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投标人从201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年1月1日至今承担过单个合同额</w:t>
            </w:r>
            <w:r>
              <w:rPr>
                <w:rFonts w:hint="eastAsia" w:ascii="宋体" w:hAnsi="宋体" w:eastAsia="宋体" w:cs="宋体"/>
                <w:b w:val="0"/>
                <w:bCs w:val="0"/>
                <w:color w:val="auto"/>
                <w:szCs w:val="21"/>
                <w:highlight w:val="none"/>
                <w:lang w:val="en-US" w:eastAsia="zh-CN"/>
              </w:rPr>
              <w:t>30</w:t>
            </w:r>
            <w:r>
              <w:rPr>
                <w:rFonts w:hint="eastAsia" w:ascii="宋体" w:hAnsi="宋体" w:eastAsia="宋体" w:cs="宋体"/>
                <w:b w:val="0"/>
                <w:bCs w:val="0"/>
                <w:color w:val="auto"/>
                <w:szCs w:val="21"/>
                <w:highlight w:val="none"/>
              </w:rPr>
              <w:t>万元或以上的类似检测业绩，每项得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分；本项最多</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类似检测业绩指包含本次检测招标内容中的一项或多项的建设工程质量检测业绩，需提供中标通知书（或免招标的相关证明）或检测服务合同，否则不得分。类似业绩金额以检测服务合同为准。业绩检测内容由投标人提供相关材料证明其业绩满足要求。同一工程只计取一项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restart"/>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企业</w:t>
            </w:r>
            <w:r>
              <w:rPr>
                <w:rFonts w:hint="eastAsia" w:ascii="宋体" w:hAnsi="宋体" w:eastAsia="宋体" w:cs="宋体"/>
                <w:b w:val="0"/>
                <w:bCs w:val="0"/>
                <w:color w:val="auto"/>
                <w:szCs w:val="21"/>
                <w:highlight w:val="none"/>
                <w:lang w:val="en-US" w:eastAsia="zh-CN"/>
              </w:rPr>
              <w:t>资信</w:t>
            </w: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4</w:t>
            </w:r>
          </w:p>
        </w:tc>
        <w:tc>
          <w:tcPr>
            <w:tcW w:w="5428" w:type="dxa"/>
            <w:tcBorders>
              <w:top w:val="nil"/>
            </w:tcBorders>
            <w:noWrap w:val="0"/>
            <w:vAlign w:val="center"/>
          </w:tcPr>
          <w:p>
            <w:pPr>
              <w:widowControl/>
              <w:snapToGrid w:val="0"/>
              <w:jc w:val="left"/>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具备质量管理体系、环境管理体系、职业健康安全管理体系</w:t>
            </w:r>
            <w:r>
              <w:rPr>
                <w:rFonts w:hint="eastAsia" w:ascii="宋体" w:hAnsi="宋体" w:eastAsia="宋体" w:cs="宋体"/>
                <w:b w:val="0"/>
                <w:bCs w:val="0"/>
                <w:color w:val="auto"/>
                <w:szCs w:val="21"/>
                <w:highlight w:val="none"/>
                <w:lang w:eastAsia="zh-CN"/>
              </w:rPr>
              <w:t>、信息安全管理体系</w:t>
            </w:r>
            <w:r>
              <w:rPr>
                <w:rFonts w:hint="eastAsia" w:ascii="宋体" w:hAnsi="宋体" w:eastAsia="宋体" w:cs="宋体"/>
                <w:b w:val="0"/>
                <w:bCs w:val="0"/>
                <w:strike w:val="0"/>
                <w:color w:val="auto"/>
                <w:szCs w:val="21"/>
                <w:highlight w:val="none"/>
                <w:lang w:eastAsia="zh-CN"/>
              </w:rPr>
              <w:t>认证</w:t>
            </w:r>
            <w:r>
              <w:rPr>
                <w:rFonts w:hint="eastAsia" w:ascii="宋体" w:hAnsi="宋体" w:eastAsia="宋体" w:cs="宋体"/>
                <w:b w:val="0"/>
                <w:bCs w:val="0"/>
                <w:color w:val="auto"/>
                <w:szCs w:val="21"/>
                <w:highlight w:val="none"/>
                <w:lang w:eastAsia="zh-CN"/>
              </w:rPr>
              <w:t>证书</w:t>
            </w:r>
            <w:r>
              <w:rPr>
                <w:rFonts w:hint="eastAsia" w:ascii="宋体" w:hAnsi="宋体" w:eastAsia="宋体" w:cs="宋体"/>
                <w:b w:val="0"/>
                <w:bCs w:val="0"/>
                <w:color w:val="auto"/>
                <w:szCs w:val="21"/>
                <w:highlight w:val="none"/>
                <w:lang w:val="en-US" w:eastAsia="zh-CN"/>
              </w:rPr>
              <w:t>的，每有1项得1分，最多</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bidi="ar"/>
              </w:rPr>
              <w:t>注：证书须在有效期内，提供证书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w:t>
            </w:r>
            <w:r>
              <w:rPr>
                <w:rFonts w:hint="eastAsia" w:ascii="宋体" w:hAnsi="宋体" w:eastAsia="宋体" w:cs="宋体"/>
                <w:b w:val="0"/>
                <w:bCs w:val="0"/>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年1月1日至今获得过“高新技术企业”证书称号并且在有效期范围内的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【注：需提供证书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并加盖印章，没有提供或不符合要求的不得分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9</w:t>
            </w:r>
          </w:p>
        </w:tc>
        <w:tc>
          <w:tcPr>
            <w:tcW w:w="5428" w:type="dxa"/>
            <w:noWrap w:val="0"/>
            <w:vAlign w:val="center"/>
          </w:tcPr>
          <w:p>
            <w:pPr>
              <w:widowControl/>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w:t>
            </w:r>
            <w:r>
              <w:rPr>
                <w:rFonts w:hint="eastAsia" w:ascii="宋体" w:hAnsi="宋体" w:eastAsia="宋体" w:cs="宋体"/>
                <w:b w:val="0"/>
                <w:bCs w:val="0"/>
                <w:color w:val="auto"/>
                <w:kern w:val="0"/>
                <w:szCs w:val="21"/>
                <w:highlight w:val="none"/>
              </w:rPr>
              <w:t>获得过“建设工程质量检测行业先进单位”表彰，</w:t>
            </w:r>
            <w:r>
              <w:rPr>
                <w:rFonts w:hint="eastAsia" w:ascii="宋体" w:hAnsi="宋体" w:eastAsia="宋体" w:cs="宋体"/>
                <w:b w:val="0"/>
                <w:bCs w:val="0"/>
                <w:color w:val="auto"/>
                <w:kern w:val="0"/>
                <w:szCs w:val="21"/>
                <w:highlight w:val="none"/>
                <w:lang w:eastAsia="zh-CN"/>
              </w:rPr>
              <w:t>市级的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省级的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，国家级的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本项最多得</w:t>
            </w:r>
            <w:r>
              <w:rPr>
                <w:rFonts w:hint="eastAsia" w:ascii="宋体" w:hAnsi="宋体" w:eastAsia="宋体" w:cs="宋体"/>
                <w:b w:val="0"/>
                <w:bCs w:val="0"/>
                <w:color w:val="auto"/>
                <w:kern w:val="0"/>
                <w:szCs w:val="21"/>
                <w:highlight w:val="none"/>
                <w:lang w:val="en-US" w:eastAsia="zh-CN"/>
              </w:rPr>
              <w:t>9</w:t>
            </w:r>
            <w:r>
              <w:rPr>
                <w:rFonts w:hint="eastAsia" w:ascii="宋体" w:hAnsi="宋体" w:eastAsia="宋体" w:cs="宋体"/>
                <w:b w:val="0"/>
                <w:bCs w:val="0"/>
                <w:color w:val="auto"/>
                <w:kern w:val="0"/>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注：须提供相关证书扫描件并加盖公章</w:t>
            </w:r>
            <w:r>
              <w:rPr>
                <w:rFonts w:hint="eastAsia" w:ascii="宋体" w:hAnsi="宋体" w:eastAsia="宋体" w:cs="宋体"/>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widowControl/>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投标人同时具备中国合格评定国家认可委员会颁发的实验室认可证书和中国合格评定国家认可委员会检验机构认可证书，且在有效期内的，得6分；具备其中一项且在有效期内的，得3分。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项目负责人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工程类教授级或正高级工程师职称的，得</w:t>
            </w: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分；具有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w:t>
            </w:r>
            <w:r>
              <w:rPr>
                <w:rFonts w:hint="eastAsia" w:ascii="宋体" w:hAnsi="宋体" w:eastAsia="宋体" w:cs="宋体"/>
                <w:b w:val="0"/>
                <w:bCs w:val="0"/>
                <w:color w:val="auto"/>
                <w:kern w:val="2"/>
                <w:szCs w:val="21"/>
                <w:highlight w:val="none"/>
                <w:lang w:val="en-US" w:eastAsia="zh-CN" w:bidi="ar"/>
              </w:rPr>
              <w:t>高级工程师</w:t>
            </w:r>
            <w:r>
              <w:rPr>
                <w:rFonts w:hint="eastAsia" w:ascii="宋体" w:hAnsi="宋体" w:eastAsia="宋体" w:cs="宋体"/>
                <w:b w:val="0"/>
                <w:bCs w:val="0"/>
                <w:color w:val="auto"/>
                <w:kern w:val="2"/>
                <w:szCs w:val="21"/>
                <w:highlight w:val="none"/>
                <w:lang w:bidi="ar"/>
              </w:rPr>
              <w:t>职称的，得</w:t>
            </w:r>
            <w:r>
              <w:rPr>
                <w:rFonts w:hint="eastAsia" w:ascii="宋体" w:hAnsi="宋体" w:eastAsia="宋体" w:cs="宋体"/>
                <w:b w:val="0"/>
                <w:bCs w:val="0"/>
                <w:color w:val="auto"/>
                <w:kern w:val="2"/>
                <w:szCs w:val="21"/>
                <w:highlight w:val="none"/>
                <w:lang w:val="en-US" w:eastAsia="zh-CN" w:bidi="ar"/>
              </w:rPr>
              <w:t>2</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其他不得分。本小项最多得3分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bidi="ar"/>
              </w:rPr>
            </w:pPr>
            <w:r>
              <w:rPr>
                <w:rFonts w:hint="eastAsia" w:ascii="宋体" w:hAnsi="宋体" w:eastAsia="宋体" w:cs="宋体"/>
                <w:b w:val="0"/>
                <w:bCs w:val="0"/>
                <w:color w:val="auto"/>
                <w:kern w:val="2"/>
                <w:szCs w:val="21"/>
                <w:highlight w:val="none"/>
                <w:lang w:val="en-US" w:eastAsia="zh-CN" w:bidi="ar"/>
              </w:rPr>
              <w:t>2、具有“注册岩土工程师”或“注册结构工程师”的，</w:t>
            </w:r>
            <w:r>
              <w:rPr>
                <w:rFonts w:hint="eastAsia" w:ascii="宋体" w:hAnsi="宋体" w:eastAsia="宋体" w:cs="宋体"/>
                <w:b w:val="0"/>
                <w:bCs w:val="0"/>
                <w:color w:val="auto"/>
                <w:kern w:val="2"/>
                <w:szCs w:val="21"/>
                <w:highlight w:val="none"/>
                <w:lang w:bidi="ar"/>
              </w:rPr>
              <w:t>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本小项最多得1分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注：①需提供人员相关证明材料和社保证明；②项目负责人不得同时兼任技术负责人。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具有工程类教授级或正高级工程师职称的，得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分；具有工程类</w:t>
            </w:r>
            <w:r>
              <w:rPr>
                <w:rFonts w:hint="eastAsia" w:ascii="宋体" w:hAnsi="宋体" w:eastAsia="宋体" w:cs="宋体"/>
                <w:b w:val="0"/>
                <w:bCs w:val="0"/>
                <w:color w:val="auto"/>
                <w:szCs w:val="21"/>
                <w:highlight w:val="none"/>
                <w:lang w:val="en-US" w:eastAsia="zh-CN"/>
              </w:rPr>
              <w:t>高级</w:t>
            </w:r>
            <w:r>
              <w:rPr>
                <w:rFonts w:hint="eastAsia" w:ascii="宋体" w:hAnsi="宋体" w:eastAsia="宋体" w:cs="宋体"/>
                <w:b w:val="0"/>
                <w:bCs w:val="0"/>
                <w:color w:val="auto"/>
                <w:szCs w:val="21"/>
                <w:highlight w:val="none"/>
              </w:rPr>
              <w:t>职称的，得</w:t>
            </w: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其他不得分。本小项最多得2分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2、具有“注册岩土工程师”或“注册结构工程师”的，</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本小项最多得1分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p>
          <w:p>
            <w:pPr>
              <w:pStyle w:val="2"/>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注：提供证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专业</w:t>
            </w:r>
            <w:r>
              <w:rPr>
                <w:rFonts w:hint="eastAsia" w:ascii="宋体" w:hAnsi="宋体" w:eastAsia="宋体" w:cs="宋体"/>
                <w:b w:val="0"/>
                <w:bCs w:val="0"/>
                <w:color w:val="auto"/>
                <w:szCs w:val="21"/>
                <w:highlight w:val="none"/>
                <w:lang w:eastAsia="zh-CN"/>
              </w:rPr>
              <w:t>技术</w:t>
            </w:r>
            <w:r>
              <w:rPr>
                <w:rFonts w:hint="eastAsia" w:ascii="宋体" w:hAnsi="宋体" w:eastAsia="宋体" w:cs="宋体"/>
                <w:b w:val="0"/>
                <w:bCs w:val="0"/>
                <w:color w:val="auto"/>
                <w:szCs w:val="21"/>
                <w:highlight w:val="none"/>
              </w:rPr>
              <w:t>人员</w:t>
            </w:r>
          </w:p>
        </w:tc>
        <w:tc>
          <w:tcPr>
            <w:tcW w:w="735" w:type="dxa"/>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拟配备本项目的主要专业技术人员（不含项目负责人</w:t>
            </w:r>
            <w:r>
              <w:rPr>
                <w:rFonts w:hint="eastAsia" w:ascii="宋体" w:hAnsi="宋体" w:eastAsia="宋体" w:cs="宋体"/>
                <w:b w:val="0"/>
                <w:bCs w:val="0"/>
                <w:color w:val="auto"/>
                <w:szCs w:val="21"/>
                <w:highlight w:val="none"/>
                <w:lang w:eastAsia="zh-CN"/>
              </w:rPr>
              <w:t>、技术负责人</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中，具有中级或以上职称及</w:t>
            </w:r>
            <w:r>
              <w:rPr>
                <w:rFonts w:hint="eastAsia" w:ascii="宋体" w:hAnsi="宋体" w:eastAsia="宋体" w:cs="宋体"/>
                <w:b w:val="0"/>
                <w:bCs w:val="0"/>
                <w:color w:val="auto"/>
                <w:szCs w:val="21"/>
                <w:highlight w:val="none"/>
              </w:rPr>
              <w:t>检测鉴定培训合格证</w:t>
            </w:r>
            <w:r>
              <w:rPr>
                <w:rFonts w:hint="eastAsia" w:ascii="宋体" w:hAnsi="宋体" w:eastAsia="宋体" w:cs="宋体"/>
                <w:b w:val="0"/>
                <w:bCs w:val="0"/>
                <w:color w:val="auto"/>
                <w:szCs w:val="21"/>
                <w:highlight w:val="none"/>
                <w:lang w:eastAsia="zh-CN"/>
              </w:rPr>
              <w:t>的，每有一人得</w:t>
            </w:r>
            <w:r>
              <w:rPr>
                <w:rFonts w:hint="eastAsia" w:ascii="宋体" w:hAnsi="宋体" w:eastAsia="宋体" w:cs="宋体"/>
                <w:b w:val="0"/>
                <w:bCs w:val="0"/>
                <w:color w:val="auto"/>
                <w:szCs w:val="21"/>
                <w:highlight w:val="none"/>
                <w:lang w:val="en-US" w:eastAsia="zh-CN"/>
              </w:rPr>
              <w:t>1分，</w:t>
            </w:r>
            <w:r>
              <w:rPr>
                <w:rFonts w:hint="eastAsia" w:ascii="宋体" w:hAnsi="宋体" w:eastAsia="宋体" w:cs="宋体"/>
                <w:b w:val="0"/>
                <w:bCs w:val="0"/>
                <w:color w:val="auto"/>
                <w:szCs w:val="21"/>
                <w:highlight w:val="none"/>
              </w:rPr>
              <w:t>本项最多得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注：提供证</w:t>
            </w:r>
            <w:r>
              <w:rPr>
                <w:rFonts w:hint="eastAsia" w:ascii="宋体" w:hAnsi="宋体" w:eastAsia="宋体" w:cs="宋体"/>
                <w:b w:val="0"/>
                <w:bCs w:val="0"/>
                <w:color w:val="auto"/>
                <w:szCs w:val="21"/>
                <w:highlight w:val="none"/>
                <w:lang w:eastAsia="zh-CN"/>
              </w:rPr>
              <w:t>书</w:t>
            </w:r>
            <w:r>
              <w:rPr>
                <w:rFonts w:hint="eastAsia" w:ascii="宋体" w:hAnsi="宋体" w:eastAsia="宋体" w:cs="宋体"/>
                <w:b w:val="0"/>
                <w:bCs w:val="0"/>
                <w:color w:val="auto"/>
                <w:szCs w:val="21"/>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noWrap w:val="0"/>
            <w:vAlign w:val="center"/>
          </w:tcPr>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技术部分（</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Cs w:val="21"/>
                <w:highlight w:val="none"/>
                <w:lang w:val="en-US" w:eastAsia="zh-CN"/>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检测方案</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20</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优：</w:t>
            </w:r>
            <w:r>
              <w:rPr>
                <w:rFonts w:hint="eastAsia" w:ascii="宋体" w:hAnsi="宋体" w:eastAsia="宋体" w:cs="宋体"/>
                <w:b w:val="0"/>
                <w:bCs w:val="0"/>
                <w:color w:val="auto"/>
                <w:szCs w:val="21"/>
                <w:highlight w:val="none"/>
                <w:lang w:val="en-US" w:eastAsia="zh-CN"/>
              </w:rPr>
              <w:t>检测方案详细、具体，内容齐全，方法先进，能满足本工程提出的所有检测项目，有具体可行的质量、进度、安全保障措施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15</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20</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良：</w:t>
            </w:r>
            <w:r>
              <w:rPr>
                <w:rFonts w:hint="eastAsia" w:ascii="宋体" w:hAnsi="宋体" w:eastAsia="宋体" w:cs="宋体"/>
                <w:b w:val="0"/>
                <w:bCs w:val="0"/>
                <w:color w:val="auto"/>
                <w:szCs w:val="21"/>
                <w:highlight w:val="none"/>
                <w:lang w:val="en-US" w:eastAsia="zh-CN"/>
              </w:rPr>
              <w:t>检测方案较详细、较具体，内容较齐全，方法符合检测要求，有具体可行的质量、进度、安全保障措施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10-14</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中：检</w:t>
            </w:r>
            <w:r>
              <w:rPr>
                <w:rFonts w:hint="eastAsia" w:ascii="宋体" w:hAnsi="宋体" w:eastAsia="宋体" w:cs="宋体"/>
                <w:b w:val="0"/>
                <w:bCs w:val="0"/>
                <w:color w:val="auto"/>
                <w:szCs w:val="21"/>
                <w:highlight w:val="none"/>
                <w:lang w:val="en-US" w:eastAsia="zh-CN"/>
              </w:rPr>
              <w:t>检测方案基本内容满足要求，方法符合检测要求</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5-9</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差：</w:t>
            </w:r>
            <w:r>
              <w:rPr>
                <w:rFonts w:hint="eastAsia" w:ascii="宋体" w:hAnsi="宋体" w:eastAsia="宋体" w:cs="宋体"/>
                <w:b w:val="0"/>
                <w:bCs w:val="0"/>
                <w:color w:val="auto"/>
                <w:szCs w:val="21"/>
                <w:highlight w:val="none"/>
                <w:lang w:eastAsia="zh-CN"/>
              </w:rPr>
              <w:t>检测</w:t>
            </w:r>
            <w:r>
              <w:rPr>
                <w:rFonts w:hint="eastAsia" w:ascii="宋体" w:hAnsi="宋体" w:eastAsia="宋体" w:cs="宋体"/>
                <w:b w:val="0"/>
                <w:bCs w:val="0"/>
                <w:color w:val="auto"/>
                <w:szCs w:val="21"/>
                <w:highlight w:val="none"/>
              </w:rPr>
              <w:t>方案基本内容阐述缺项，方法基本不能满足检测要求，得0-</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kern w:val="2"/>
                <w:sz w:val="21"/>
                <w:szCs w:val="21"/>
                <w:highlight w:val="none"/>
                <w:lang w:val="en-US" w:eastAsia="zh-CN" w:bidi="ar-SA"/>
              </w:rPr>
              <w:t>【注：本项目最多得20分。】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价格部分</w:t>
            </w: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r>
              <w:rPr>
                <w:rFonts w:hint="eastAsia" w:ascii="宋体" w:hAnsi="宋体" w:eastAsia="宋体" w:cs="宋体"/>
                <w:b w:val="0"/>
                <w:bCs w:val="0"/>
                <w:color w:val="auto"/>
                <w:szCs w:val="21"/>
                <w:highlight w:val="none"/>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投标报价</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p>
        </w:tc>
        <w:tc>
          <w:tcPr>
            <w:tcW w:w="5428" w:type="dxa"/>
            <w:noWrap w:val="0"/>
            <w:vAlign w:val="top"/>
          </w:tcPr>
          <w:p>
            <w:pPr>
              <w:spacing w:line="300" w:lineRule="auto"/>
              <w:ind w:left="0" w:leftChars="0" w:right="0" w:righ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统计</w:t>
            </w:r>
            <w:r>
              <w:rPr>
                <w:rFonts w:hint="eastAsia" w:ascii="宋体" w:hAnsi="宋体" w:eastAsia="宋体" w:cs="宋体"/>
                <w:b w:val="0"/>
                <w:bCs w:val="0"/>
                <w:color w:val="auto"/>
                <w:szCs w:val="21"/>
                <w:highlight w:val="none"/>
              </w:rPr>
              <w:t>通过</w:t>
            </w:r>
            <w:r>
              <w:rPr>
                <w:rFonts w:hint="eastAsia" w:ascii="宋体" w:hAnsi="宋体" w:eastAsia="宋体" w:cs="宋体"/>
                <w:b w:val="0"/>
                <w:bCs w:val="0"/>
                <w:color w:val="auto"/>
                <w:szCs w:val="21"/>
                <w:highlight w:val="none"/>
                <w:lang w:eastAsia="zh-CN"/>
              </w:rPr>
              <w:t>符合性</w:t>
            </w:r>
            <w:r>
              <w:rPr>
                <w:rFonts w:hint="eastAsia" w:ascii="宋体" w:hAnsi="宋体" w:eastAsia="宋体" w:cs="宋体"/>
                <w:b w:val="0"/>
                <w:bCs w:val="0"/>
                <w:color w:val="auto"/>
                <w:szCs w:val="21"/>
                <w:highlight w:val="none"/>
              </w:rPr>
              <w:t>审查的</w:t>
            </w:r>
            <w:r>
              <w:rPr>
                <w:rFonts w:hint="eastAsia" w:ascii="宋体" w:hAnsi="宋体" w:eastAsia="宋体" w:cs="宋体"/>
                <w:b w:val="0"/>
                <w:bCs w:val="0"/>
                <w:color w:val="auto"/>
                <w:szCs w:val="21"/>
                <w:highlight w:val="none"/>
                <w:lang w:eastAsia="zh-CN"/>
              </w:rPr>
              <w:t>投标单位数量，若数量大于</w:t>
            </w:r>
            <w:r>
              <w:rPr>
                <w:rFonts w:hint="eastAsia" w:ascii="宋体" w:hAnsi="宋体" w:eastAsia="宋体" w:cs="宋体"/>
                <w:b w:val="0"/>
                <w:bCs w:val="0"/>
                <w:color w:val="auto"/>
                <w:szCs w:val="21"/>
                <w:highlight w:val="none"/>
                <w:lang w:val="en-US" w:eastAsia="zh-CN"/>
              </w:rPr>
              <w:t>5家，则按照投标单位的有效</w:t>
            </w:r>
            <w:r>
              <w:rPr>
                <w:rFonts w:hint="eastAsia" w:ascii="宋体" w:hAnsi="宋体" w:eastAsia="宋体" w:cs="宋体"/>
                <w:b w:val="0"/>
                <w:bCs w:val="0"/>
                <w:color w:val="auto"/>
                <w:szCs w:val="21"/>
                <w:highlight w:val="none"/>
              </w:rPr>
              <w:t>报价中，去掉一个最高价和一个最低价后，剩余报价的算术平均值为评标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若</w:t>
            </w:r>
            <w:r>
              <w:rPr>
                <w:rFonts w:hint="eastAsia" w:ascii="宋体" w:hAnsi="宋体" w:eastAsia="宋体" w:cs="宋体"/>
                <w:b w:val="0"/>
                <w:bCs w:val="0"/>
                <w:color w:val="auto"/>
                <w:szCs w:val="21"/>
                <w:highlight w:val="none"/>
                <w:lang w:eastAsia="zh-CN"/>
              </w:rPr>
              <w:t>数量小于</w:t>
            </w:r>
            <w:r>
              <w:rPr>
                <w:rFonts w:hint="eastAsia" w:ascii="宋体" w:hAnsi="宋体" w:eastAsia="宋体" w:cs="宋体"/>
                <w:b w:val="0"/>
                <w:bCs w:val="0"/>
                <w:color w:val="auto"/>
                <w:szCs w:val="21"/>
                <w:highlight w:val="none"/>
                <w:lang w:val="en-US" w:eastAsia="zh-CN"/>
              </w:rPr>
              <w:t>5家（含5家）</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则</w:t>
            </w:r>
            <w:r>
              <w:rPr>
                <w:rFonts w:hint="eastAsia" w:ascii="宋体" w:hAnsi="宋体" w:eastAsia="宋体" w:cs="宋体"/>
                <w:b w:val="0"/>
                <w:bCs w:val="0"/>
                <w:color w:val="auto"/>
                <w:szCs w:val="21"/>
                <w:highlight w:val="none"/>
              </w:rPr>
              <w:t>直接</w:t>
            </w:r>
            <w:r>
              <w:rPr>
                <w:rFonts w:hint="eastAsia" w:ascii="宋体" w:hAnsi="宋体" w:eastAsia="宋体" w:cs="宋体"/>
                <w:b w:val="0"/>
                <w:bCs w:val="0"/>
                <w:color w:val="auto"/>
                <w:szCs w:val="21"/>
                <w:highlight w:val="none"/>
                <w:lang w:eastAsia="zh-CN"/>
              </w:rPr>
              <w:t>取</w:t>
            </w:r>
            <w:r>
              <w:rPr>
                <w:rFonts w:hint="eastAsia" w:ascii="宋体" w:hAnsi="宋体" w:eastAsia="宋体" w:cs="宋体"/>
                <w:b w:val="0"/>
                <w:bCs w:val="0"/>
                <w:color w:val="auto"/>
                <w:szCs w:val="21"/>
                <w:highlight w:val="none"/>
                <w:lang w:val="en-US" w:eastAsia="zh-CN"/>
              </w:rPr>
              <w:t>投标单位的有效</w:t>
            </w:r>
            <w:r>
              <w:rPr>
                <w:rFonts w:hint="eastAsia" w:ascii="宋体" w:hAnsi="宋体" w:eastAsia="宋体" w:cs="宋体"/>
                <w:b w:val="0"/>
                <w:bCs w:val="0"/>
                <w:color w:val="auto"/>
                <w:szCs w:val="21"/>
                <w:highlight w:val="none"/>
              </w:rPr>
              <w:t>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以评标</w:t>
            </w:r>
            <w:r>
              <w:rPr>
                <w:rFonts w:hint="eastAsia" w:ascii="宋体" w:hAnsi="宋体" w:eastAsia="宋体" w:cs="宋体"/>
                <w:b w:val="0"/>
                <w:bCs w:val="0"/>
                <w:color w:val="auto"/>
                <w:sz w:val="21"/>
                <w:szCs w:val="21"/>
                <w:highlight w:val="none"/>
                <w:lang w:eastAsia="zh-CN"/>
              </w:rPr>
              <w:t>基准价</w:t>
            </w:r>
            <w:r>
              <w:rPr>
                <w:rFonts w:hint="eastAsia" w:ascii="宋体" w:hAnsi="宋体" w:eastAsia="宋体" w:cs="宋体"/>
                <w:b w:val="0"/>
                <w:bCs w:val="0"/>
                <w:color w:val="auto"/>
                <w:sz w:val="21"/>
                <w:szCs w:val="21"/>
                <w:highlight w:val="none"/>
              </w:rPr>
              <w:t>作为计算各有效投标报价得分的基础，当有效投标报价等于评标基准价时得</w:t>
            </w:r>
            <w:r>
              <w:rPr>
                <w:rFonts w:hint="eastAsia" w:ascii="宋体" w:hAnsi="宋体" w:eastAsia="宋体" w:cs="宋体"/>
                <w:b w:val="0"/>
                <w:bCs w:val="0"/>
                <w:color w:val="auto"/>
                <w:sz w:val="21"/>
                <w:szCs w:val="21"/>
                <w:highlight w:val="none"/>
                <w:lang w:eastAsia="zh-CN"/>
              </w:rPr>
              <w:t>3</w:t>
            </w:r>
            <w:r>
              <w:rPr>
                <w:rFonts w:hint="eastAsia" w:ascii="宋体" w:hAnsi="宋体" w:eastAsia="宋体" w:cs="宋体"/>
                <w:b w:val="0"/>
                <w:bCs w:val="0"/>
                <w:color w:val="auto"/>
                <w:sz w:val="21"/>
                <w:szCs w:val="21"/>
                <w:highlight w:val="none"/>
              </w:rPr>
              <w:t>0分；有效投标报价与评标基准价相比，每上偏1%扣1分，每下偏 1 %扣 0.5分。最多扣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业业绩认定证明材料需提供合同复印件；业绩认定时间以合同签订时间为准。如业绩资料不能证明评标所需指标，须另提供经业主确认的证明资料复印件。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月）的</w:t>
      </w:r>
      <w:r>
        <w:rPr>
          <w:rFonts w:ascii="宋体" w:hAnsi="宋体" w:cs="宋体"/>
          <w:color w:val="auto"/>
          <w:szCs w:val="18"/>
          <w:highlight w:val="none"/>
        </w:rPr>
        <w:t>社保证明为准。</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shd w:val="clear" w:color="auto" w:fill="FFFFFF"/>
        <w:spacing w:line="360" w:lineRule="auto"/>
        <w:jc w:val="center"/>
        <w:rPr>
          <w:rFonts w:ascii="宋体" w:hAnsi="宋体" w:cs="宋体"/>
          <w:b/>
          <w:bCs/>
          <w:color w:val="auto"/>
          <w:sz w:val="30"/>
          <w:szCs w:val="30"/>
        </w:rPr>
      </w:pPr>
      <w:r>
        <w:rPr>
          <w:rFonts w:hint="eastAsia" w:ascii="宋体" w:hAnsi="宋体" w:cs="宋体"/>
          <w:b/>
          <w:bCs/>
          <w:color w:val="auto"/>
          <w:sz w:val="30"/>
          <w:szCs w:val="30"/>
        </w:rPr>
        <w:t>投标人声明</w:t>
      </w:r>
    </w:p>
    <w:p>
      <w:pPr>
        <w:spacing w:before="156" w:beforeLines="50" w:line="360" w:lineRule="auto"/>
        <w:jc w:val="left"/>
        <w:rPr>
          <w:color w:val="auto"/>
          <w:kern w:val="0"/>
          <w:sz w:val="24"/>
          <w:szCs w:val="24"/>
        </w:rPr>
      </w:pPr>
      <w:r>
        <w:rPr>
          <w:rFonts w:hint="eastAsia" w:ascii="宋体" w:hAnsi="宋体" w:cs="宋体"/>
          <w:color w:val="auto"/>
          <w:kern w:val="0"/>
          <w:sz w:val="24"/>
          <w:szCs w:val="24"/>
        </w:rPr>
        <w:t>本招标项目招标人及招标监管机构：</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本公司就参加投标工作，作出郑重声明：</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一、本公司保证投标报名材料及其后提供的一切材料都是真实的。如我司成为本项目中标候选人，我司同意并授权招标人将我司投标文件商务部分的人员、业绩、奖项等资料进行公开。</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二、本公司保证在本项目投标中不与其他单位围标、串标，不出让投标资格，不向招标人或评标委员会成员行贿。</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三、本公司没有处于被责令停业的状态；没有处于被建设行政主管部门取消投标资格的处罚期内；没有处于财产被接管、冻结、破产的状态；本公司没有在投标截止时间前三年内被人民法院判决犯有行贿罪的记录。投标截止日期前三年内，本公司没有弄虚作假骗取中标、围标串标行为（以行政主管部门或法院或检察院书面认定为准），本公司没有被人民法院列入失信被执行人名单。在投标截止日期前三年内没有建设行政主管部门已书面认定的重大工程质量问题。本公司未在以往工程中因不诚信行为或不充分履约行为被本项目招标人书面拒绝投标；本公司未被纳入联合惩戒范围。</w:t>
      </w:r>
    </w:p>
    <w:p>
      <w:pPr>
        <w:spacing w:line="360" w:lineRule="auto"/>
        <w:ind w:firstLine="567"/>
        <w:jc w:val="left"/>
        <w:rPr>
          <w:rFonts w:ascii="宋体" w:hAnsi="宋体" w:cs="宋体"/>
          <w:color w:val="auto"/>
          <w:kern w:val="0"/>
          <w:sz w:val="24"/>
          <w:szCs w:val="24"/>
        </w:rPr>
      </w:pPr>
      <w:r>
        <w:rPr>
          <w:rFonts w:hint="eastAsia"/>
          <w:b/>
          <w:color w:val="auto"/>
          <w:kern w:val="0"/>
          <w:sz w:val="24"/>
          <w:szCs w:val="24"/>
        </w:rPr>
        <w:t>四、</w:t>
      </w:r>
      <w:r>
        <w:rPr>
          <w:rFonts w:hint="eastAsia"/>
          <w:b/>
          <w:bCs/>
          <w:color w:val="auto"/>
          <w:kern w:val="0"/>
          <w:sz w:val="24"/>
          <w:szCs w:val="24"/>
        </w:rPr>
        <w:t>本公司</w:t>
      </w:r>
      <w:r>
        <w:rPr>
          <w:rFonts w:hint="eastAsia"/>
          <w:b/>
          <w:bCs/>
          <w:color w:val="auto"/>
          <w:kern w:val="0"/>
          <w:sz w:val="24"/>
          <w:szCs w:val="24"/>
          <w:lang w:eastAsia="zh-CN"/>
        </w:rPr>
        <w:t>自</w:t>
      </w:r>
      <w:r>
        <w:rPr>
          <w:rFonts w:hint="eastAsia" w:asciiTheme="minorHAnsi" w:hAnsiTheme="minorHAnsi" w:eastAsiaTheme="minorEastAsia" w:cstheme="minorBidi"/>
          <w:b/>
          <w:bCs/>
          <w:color w:val="auto"/>
          <w:kern w:val="0"/>
          <w:sz w:val="24"/>
          <w:szCs w:val="24"/>
          <w:highlight w:val="none"/>
          <w:u w:val="none"/>
        </w:rPr>
        <w:t>20</w:t>
      </w:r>
      <w:r>
        <w:rPr>
          <w:rFonts w:hint="eastAsia" w:cstheme="minorBidi"/>
          <w:b/>
          <w:bCs/>
          <w:color w:val="auto"/>
          <w:kern w:val="0"/>
          <w:sz w:val="24"/>
          <w:szCs w:val="24"/>
          <w:highlight w:val="none"/>
          <w:u w:val="none"/>
          <w:lang w:val="en-US" w:eastAsia="zh-CN"/>
        </w:rPr>
        <w:t>20</w:t>
      </w:r>
      <w:r>
        <w:rPr>
          <w:rFonts w:hint="eastAsia" w:asciiTheme="minorHAnsi" w:hAnsiTheme="minorHAnsi" w:eastAsiaTheme="minorEastAsia" w:cstheme="minorBidi"/>
          <w:b/>
          <w:bCs/>
          <w:color w:val="auto"/>
          <w:kern w:val="0"/>
          <w:sz w:val="24"/>
          <w:szCs w:val="24"/>
          <w:highlight w:val="none"/>
          <w:u w:val="none"/>
        </w:rPr>
        <w:t>年1月1日</w:t>
      </w:r>
      <w:r>
        <w:rPr>
          <w:rFonts w:hint="eastAsia"/>
          <w:b/>
          <w:bCs/>
          <w:color w:val="auto"/>
          <w:kern w:val="0"/>
          <w:sz w:val="24"/>
          <w:szCs w:val="24"/>
        </w:rPr>
        <w:t>起至投标截止时间止</w:t>
      </w:r>
      <w:r>
        <w:rPr>
          <w:rFonts w:hint="eastAsia"/>
          <w:b/>
          <w:bCs/>
          <w:color w:val="auto"/>
          <w:kern w:val="0"/>
          <w:sz w:val="24"/>
          <w:szCs w:val="24"/>
          <w:lang w:eastAsia="zh-CN"/>
        </w:rPr>
        <w:t>，</w:t>
      </w:r>
      <w:r>
        <w:rPr>
          <w:rFonts w:hint="eastAsia"/>
          <w:b/>
          <w:bCs/>
          <w:color w:val="auto"/>
          <w:kern w:val="0"/>
          <w:sz w:val="24"/>
          <w:szCs w:val="24"/>
        </w:rPr>
        <w:t>未因以往检测工作中存在伪造检测数据、出具虚假检测报告的行为被各级建设行政主管部门或市场监督管理部门行政处罚或通报。</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五、本公司及其有隶属关系的机构没有参加本项目的设计、前期工作、招标文件编写、监理工作；本公司与承担本招标项目施工和监理业务的单位没有隶属关系或其他利害关系；本公司与本次招标的招标代理机构没有隶属关系或其他利害关系；本公司与本工程的承包单位以及建筑材料、建筑构配件和设备供应单位没有隶属关系或其他利害关系。</w:t>
      </w:r>
    </w:p>
    <w:p>
      <w:pPr>
        <w:spacing w:line="360" w:lineRule="auto"/>
        <w:ind w:firstLine="567"/>
        <w:jc w:val="left"/>
        <w:rPr>
          <w:rFonts w:cs="宋体"/>
          <w:b/>
          <w:bCs/>
          <w:color w:val="auto"/>
          <w:kern w:val="0"/>
          <w:sz w:val="24"/>
          <w:szCs w:val="24"/>
        </w:rPr>
      </w:pPr>
      <w:r>
        <w:rPr>
          <w:rFonts w:hint="eastAsia" w:ascii="宋体" w:hAnsi="宋体" w:cs="宋体"/>
          <w:b/>
          <w:bCs/>
          <w:color w:val="auto"/>
          <w:kern w:val="0"/>
          <w:sz w:val="24"/>
          <w:szCs w:val="24"/>
        </w:rPr>
        <w:t>六、与本公司单位负责人为同一人或者与本公司存在控股、管理关系的其他单位包括</w:t>
      </w:r>
      <w:r>
        <w:rPr>
          <w:rFonts w:hint="eastAsia" w:ascii="宋体" w:hAnsi="宋体" w:cs="宋体"/>
          <w:b/>
          <w:bCs/>
          <w:color w:val="auto"/>
          <w:kern w:val="0"/>
          <w:sz w:val="24"/>
          <w:szCs w:val="24"/>
          <w:u w:val="single"/>
        </w:rPr>
        <w:t xml:space="preserve">             </w:t>
      </w:r>
      <w:r>
        <w:rPr>
          <w:rFonts w:hint="eastAsia" w:ascii="宋体" w:hAnsi="宋体" w:cs="宋体"/>
          <w:b/>
          <w:bCs/>
          <w:color w:val="auto"/>
          <w:kern w:val="0"/>
          <w:sz w:val="24"/>
          <w:szCs w:val="24"/>
        </w:rPr>
        <w:t>。（注：本条由投标人如实填写，如有，应列出全部满足招标公告资质要求的相关单位的名称；如无，则填写</w:t>
      </w:r>
      <w:r>
        <w:rPr>
          <w:rFonts w:hint="eastAsia" w:cs="宋体"/>
          <w:b/>
          <w:bCs/>
          <w:color w:val="auto"/>
          <w:kern w:val="0"/>
          <w:sz w:val="24"/>
          <w:szCs w:val="24"/>
        </w:rPr>
        <w:t>“无”。）</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七、本公司承诺，中标后严格执行安全生产相关管理规定。</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八、本公司承诺，中标后严格按照合同和招投标文件规定履行义务，并同意招标人将其履行合同、招投标文件义务的履约情况和不诚信行为（包括但不限于由招标人做出的违约责任处理决定等）在招标人网站和建设主管部门网站及其他媒体上公开披露，由此造成的一切损失和不利后果均由本公司自行承担。</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违反上述承诺，或本声明陈述与事实不符，经查实，本公司愿意接受公开通报，愿意按照《广州市建筑市场信用管理办法》（穗建规字﹝2020﹞16号）的规定被记录为失信信息，承担由此带来的法律后果，并自愿停止参加广州市行政辖区内的招标投标活动三个月。</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特此声明。</w:t>
      </w:r>
    </w:p>
    <w:p>
      <w:pPr>
        <w:spacing w:line="360" w:lineRule="auto"/>
        <w:rPr>
          <w:rFonts w:ascii="宋体" w:hAnsi="宋体" w:cs="宋体"/>
          <w:color w:val="auto"/>
          <w:szCs w:val="21"/>
        </w:rPr>
      </w:pPr>
    </w:p>
    <w:p>
      <w:pPr>
        <w:spacing w:line="360" w:lineRule="auto"/>
        <w:rPr>
          <w:rFonts w:ascii="宋体" w:hAnsi="宋体" w:cs="宋体"/>
          <w:color w:val="auto"/>
        </w:rPr>
      </w:pP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投标单位（盖公章）：</w:t>
      </w: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法定代表人或授权委托人（签字或盖章）：</w:t>
      </w:r>
    </w:p>
    <w:p>
      <w:pPr>
        <w:spacing w:line="360" w:lineRule="auto"/>
        <w:ind w:firstLine="3402"/>
        <w:jc w:val="left"/>
        <w:rPr>
          <w:rFonts w:hint="eastAsia" w:ascii="宋体" w:hAnsi="宋体" w:cs="宋体"/>
          <w:color w:val="auto"/>
          <w:kern w:val="0"/>
          <w:sz w:val="24"/>
          <w:szCs w:val="24"/>
        </w:rPr>
      </w:pPr>
      <w:r>
        <w:rPr>
          <w:rFonts w:hint="eastAsia" w:ascii="宋体" w:hAnsi="宋体" w:cs="宋体"/>
          <w:color w:val="auto"/>
          <w:kern w:val="0"/>
          <w:sz w:val="24"/>
          <w:szCs w:val="24"/>
        </w:rPr>
        <w:t xml:space="preserve">日  期：   年   月   </w:t>
      </w:r>
    </w:p>
    <w:p>
      <w:pPr>
        <w:rPr>
          <w:color w:val="auto"/>
        </w:rPr>
      </w:pPr>
    </w:p>
    <w:p>
      <w:pPr>
        <w:spacing w:line="360" w:lineRule="auto"/>
        <w:rPr>
          <w:rFonts w:ascii="仿宋_GB2312" w:hAnsi="仿宋_GB2312" w:eastAsia="仿宋_GB2312" w:cs="仿宋_GB2312"/>
          <w:bCs/>
          <w:color w:val="auto"/>
          <w:sz w:val="32"/>
          <w:szCs w:val="32"/>
          <w:highlight w:val="none"/>
        </w:rPr>
      </w:pPr>
    </w:p>
    <w:p>
      <w:pPr>
        <w:rPr>
          <w:rFonts w:hint="default"/>
          <w:color w:val="auto"/>
          <w:highlight w:val="none"/>
        </w:rPr>
      </w:pPr>
      <w:r>
        <w:rPr>
          <w:rFonts w:hint="default"/>
          <w:color w:val="auto"/>
          <w:highlight w:val="none"/>
        </w:rPr>
        <w:br w:type="page"/>
      </w:r>
    </w:p>
    <w:p>
      <w:pPr>
        <w:spacing w:line="360" w:lineRule="auto"/>
        <w:rPr>
          <w:rFonts w:hint="eastAsia"/>
          <w:lang w:val="en-US" w:eastAsia="zh-CN"/>
        </w:rPr>
      </w:pPr>
      <w:r>
        <w:rPr>
          <w:rFonts w:hint="eastAsia"/>
          <w:lang w:eastAsia="zh-CN"/>
        </w:rPr>
        <w:t>附件</w:t>
      </w:r>
      <w:r>
        <w:rPr>
          <w:rFonts w:hint="eastAsia"/>
          <w:lang w:val="en-US" w:eastAsia="zh-CN"/>
        </w:rPr>
        <w:t>4：</w:t>
      </w:r>
    </w:p>
    <w:p>
      <w:pPr>
        <w:pStyle w:val="2"/>
        <w:jc w:val="center"/>
        <w:rPr>
          <w:rFonts w:hint="eastAsia"/>
          <w:b/>
          <w:bCs/>
          <w:sz w:val="44"/>
          <w:szCs w:val="44"/>
          <w:lang w:val="en-US" w:eastAsia="zh-CN"/>
        </w:rPr>
      </w:pPr>
      <w:r>
        <w:rPr>
          <w:rFonts w:hint="eastAsia"/>
          <w:b/>
          <w:bCs/>
          <w:sz w:val="44"/>
          <w:szCs w:val="44"/>
          <w:lang w:val="en-US" w:eastAsia="zh-CN"/>
        </w:rPr>
        <w:t>招标人要求</w:t>
      </w:r>
    </w:p>
    <w:p>
      <w:pPr>
        <w:spacing w:line="360" w:lineRule="auto"/>
        <w:rPr>
          <w:rFonts w:hint="eastAsia"/>
          <w:lang w:val="en-US" w:eastAsia="zh-CN"/>
        </w:rPr>
      </w:pPr>
    </w:p>
    <w:p>
      <w:pPr>
        <w:pStyle w:val="37"/>
        <w:snapToGrid w:val="0"/>
        <w:spacing w:line="360" w:lineRule="auto"/>
        <w:ind w:firstLine="0" w:firstLineChars="0"/>
        <w:rPr>
          <w:rFonts w:hint="eastAsia" w:ascii="宋体" w:hAnsi="宋体" w:eastAsia="宋体" w:cs="宋体"/>
          <w:snapToGrid w:val="0"/>
          <w:color w:val="auto"/>
          <w:kern w:val="28"/>
          <w:highlight w:val="none"/>
        </w:rPr>
      </w:pPr>
      <w:bookmarkStart w:id="48" w:name="_Toc29812"/>
      <w:bookmarkEnd w:id="48"/>
      <w:r>
        <w:rPr>
          <w:rFonts w:hint="eastAsia" w:ascii="宋体" w:hAnsi="宋体" w:eastAsia="宋体" w:cs="宋体"/>
          <w:snapToGrid w:val="0"/>
          <w:color w:val="auto"/>
          <w:kern w:val="28"/>
          <w:highlight w:val="none"/>
        </w:rPr>
        <w:t>一、检测工作要求</w:t>
      </w:r>
    </w:p>
    <w:p>
      <w:pPr>
        <w:pStyle w:val="37"/>
        <w:snapToGrid w:val="0"/>
        <w:spacing w:line="360" w:lineRule="auto"/>
        <w:ind w:firstLine="600" w:firstLineChars="25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1、中标人的检测工作必须满足国家、广东省、广州市相关检测规范、强制性标准。</w:t>
      </w:r>
    </w:p>
    <w:p>
      <w:pPr>
        <w:adjustRightInd w:val="0"/>
        <w:snapToGrid w:val="0"/>
        <w:spacing w:line="360"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2、中标人除按要求完成本次招标范围内的检测工作外，还应完成以下工作：</w:t>
      </w:r>
    </w:p>
    <w:p>
      <w:pPr>
        <w:widowControl/>
        <w:shd w:val="clear" w:color="auto" w:fill="FFFFFF"/>
        <w:spacing w:line="360" w:lineRule="auto"/>
        <w:ind w:firstLine="424" w:firstLineChars="177"/>
        <w:jc w:val="left"/>
        <w:rPr>
          <w:rFonts w:ascii="宋体" w:hAnsi="宋体" w:cs="宋体"/>
          <w:color w:val="auto"/>
          <w:sz w:val="24"/>
          <w:szCs w:val="24"/>
          <w:highlight w:val="none"/>
        </w:rPr>
      </w:pPr>
      <w:r>
        <w:rPr>
          <w:rFonts w:hint="eastAsia" w:ascii="宋体" w:hAnsi="宋体" w:cs="宋体"/>
          <w:color w:val="auto"/>
          <w:sz w:val="24"/>
          <w:szCs w:val="24"/>
          <w:highlight w:val="none"/>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（2）在进行检测服务过程中，与该工程相关的施工、监理、设计、咨询等相关单位及建设协调行政主管部门和监督部门协调，投标人需在投标报价中综合考虑该项协调工作费用。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（3）本招标项目已包含监督抽检的工作内容，监督抽检数量按建设行政主管部门要求实施，投标人需在投标报价中综合考虑该部分费用。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（4）负责检测数据的有关信息通过广州市建设工程质量检测监管信息网报送。</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（5）本项目实施期间，如果因本项目验收需要，按规范和经批准的检测方案，经招标人确认需增加</w:t>
      </w:r>
      <w:r>
        <w:rPr>
          <w:rFonts w:hint="eastAsia" w:ascii="宋体" w:hAnsi="宋体" w:cs="宋体"/>
          <w:color w:val="auto"/>
          <w:sz w:val="24"/>
          <w:szCs w:val="24"/>
          <w:highlight w:val="none"/>
          <w:lang w:eastAsia="zh-CN"/>
        </w:rPr>
        <w:t>检测清单</w:t>
      </w:r>
      <w:r>
        <w:rPr>
          <w:rFonts w:hint="eastAsia" w:ascii="宋体" w:hAnsi="宋体" w:cs="宋体"/>
          <w:color w:val="auto"/>
          <w:sz w:val="24"/>
          <w:szCs w:val="24"/>
          <w:highlight w:val="none"/>
        </w:rPr>
        <w:t>中没有的项目，且中标人也具备相应资质，则中标人不得以任何原因拒绝为招标人提供检测，并按要求出具符合验收要求的检测报告。中标人检测资质不能涵盖的项目报招标人批准后由中标人委托具有相应资质的单位实施，并取得相应管理部门的确认。</w:t>
      </w:r>
    </w:p>
    <w:p>
      <w:pPr>
        <w:widowControl/>
        <w:shd w:val="clear" w:color="auto" w:fill="FFFFFF"/>
        <w:spacing w:line="360" w:lineRule="auto"/>
        <w:ind w:firstLine="424" w:firstLineChars="177"/>
        <w:rPr>
          <w:rFonts w:hint="eastAsia"/>
        </w:rPr>
      </w:pP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rPr>
        <w:t>根据本项目具体情况，如遇该项目的投资规模、结构形式、项目名称或者造价等发生调整（或变更，或增减），也可能会新增或减少、甚至取消部分工程，投标人应充分理解此风险并无条件接受不得拒绝，且投标下浮率固定不变。</w:t>
      </w:r>
    </w:p>
    <w:p>
      <w:pPr>
        <w:pStyle w:val="37"/>
        <w:snapToGrid w:val="0"/>
        <w:spacing w:line="360" w:lineRule="auto"/>
        <w:ind w:firstLine="0" w:firstLineChars="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二、检测设备要求</w:t>
      </w:r>
    </w:p>
    <w:p>
      <w:pPr>
        <w:tabs>
          <w:tab w:val="left" w:pos="0"/>
          <w:tab w:val="left" w:pos="360"/>
          <w:tab w:val="left" w:pos="1260"/>
          <w:tab w:val="left" w:pos="1440"/>
        </w:tabs>
        <w:adjustRightInd w:val="0"/>
        <w:snapToGrid w:val="0"/>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用于完成本项目检测的仪器、设备和材料由承包人自行运输，存管。仪器、设备和材料应有产品出厂合格证，检定/校准证书，同时符合相关技术标准和检定要求。</w:t>
      </w:r>
    </w:p>
    <w:p>
      <w:pPr>
        <w:spacing w:line="491" w:lineRule="exact"/>
        <w:jc w:val="center"/>
        <w:rPr>
          <w:b/>
          <w:color w:val="auto"/>
          <w:sz w:val="43"/>
          <w:highlight w:val="none"/>
        </w:rPr>
        <w:sectPr>
          <w:pgSz w:w="11907" w:h="16839"/>
          <w:pgMar w:top="1440" w:right="1440" w:bottom="1135" w:left="1440" w:header="0" w:footer="595" w:gutter="0"/>
          <w:pgBorders>
            <w:top w:val="none" w:sz="0" w:space="0"/>
            <w:left w:val="none" w:sz="0" w:space="0"/>
            <w:bottom w:val="none" w:sz="0" w:space="0"/>
            <w:right w:val="none" w:sz="0" w:space="0"/>
          </w:pgBorders>
          <w:pgNumType w:fmt="decimal"/>
          <w:cols w:space="720" w:num="1"/>
          <w:docGrid w:linePitch="360" w:charSpace="0"/>
        </w:sectPr>
      </w:pPr>
    </w:p>
    <w:p>
      <w:pPr>
        <w:rPr>
          <w:rFonts w:hint="default" w:eastAsia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25750D50"/>
    <w:multiLevelType w:val="singleLevel"/>
    <w:tmpl w:val="25750D50"/>
    <w:lvl w:ilvl="0" w:tentative="0">
      <w:start w:val="2"/>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1ZjliYzFmMGUxYjBmY2U5ZDZlZjE2ZGI3ZDYxMzU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CF4159"/>
    <w:rsid w:val="04E40895"/>
    <w:rsid w:val="050B0AD1"/>
    <w:rsid w:val="051B7598"/>
    <w:rsid w:val="05577B55"/>
    <w:rsid w:val="055B7D38"/>
    <w:rsid w:val="07AC4D2B"/>
    <w:rsid w:val="083B43B1"/>
    <w:rsid w:val="08757A2C"/>
    <w:rsid w:val="087A40C4"/>
    <w:rsid w:val="08A86F0A"/>
    <w:rsid w:val="09A667E8"/>
    <w:rsid w:val="09C053E7"/>
    <w:rsid w:val="0A7462CE"/>
    <w:rsid w:val="0B093D1A"/>
    <w:rsid w:val="0B372B92"/>
    <w:rsid w:val="0B3B76F5"/>
    <w:rsid w:val="0B9610F4"/>
    <w:rsid w:val="0C855B7E"/>
    <w:rsid w:val="0C87037B"/>
    <w:rsid w:val="0CEF0CD8"/>
    <w:rsid w:val="0D386A70"/>
    <w:rsid w:val="0E1B10A8"/>
    <w:rsid w:val="0E80564C"/>
    <w:rsid w:val="0EA03B8A"/>
    <w:rsid w:val="0EAC0C18"/>
    <w:rsid w:val="0EB25F9A"/>
    <w:rsid w:val="0F0E1360"/>
    <w:rsid w:val="0F8D0176"/>
    <w:rsid w:val="10C90F85"/>
    <w:rsid w:val="115626A3"/>
    <w:rsid w:val="12E86716"/>
    <w:rsid w:val="14082F52"/>
    <w:rsid w:val="14085DAD"/>
    <w:rsid w:val="14233C6D"/>
    <w:rsid w:val="144323F4"/>
    <w:rsid w:val="14452035"/>
    <w:rsid w:val="145B3800"/>
    <w:rsid w:val="147E4E1C"/>
    <w:rsid w:val="16007AF5"/>
    <w:rsid w:val="163A203A"/>
    <w:rsid w:val="178F2FE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E8832A2"/>
    <w:rsid w:val="1F1C5732"/>
    <w:rsid w:val="1FC2316E"/>
    <w:rsid w:val="20336A96"/>
    <w:rsid w:val="20F84A35"/>
    <w:rsid w:val="21424D60"/>
    <w:rsid w:val="21901353"/>
    <w:rsid w:val="220D3E3F"/>
    <w:rsid w:val="223B07F0"/>
    <w:rsid w:val="224A02E7"/>
    <w:rsid w:val="226A4BCE"/>
    <w:rsid w:val="227411DF"/>
    <w:rsid w:val="22803312"/>
    <w:rsid w:val="238E7B64"/>
    <w:rsid w:val="247C6AD1"/>
    <w:rsid w:val="24856237"/>
    <w:rsid w:val="24F20F0E"/>
    <w:rsid w:val="24FE116D"/>
    <w:rsid w:val="25053D8A"/>
    <w:rsid w:val="254B515D"/>
    <w:rsid w:val="25791876"/>
    <w:rsid w:val="26B94C66"/>
    <w:rsid w:val="26FF6942"/>
    <w:rsid w:val="272958A8"/>
    <w:rsid w:val="272B74FA"/>
    <w:rsid w:val="27A44741"/>
    <w:rsid w:val="27C21F87"/>
    <w:rsid w:val="2865301D"/>
    <w:rsid w:val="28732366"/>
    <w:rsid w:val="28A80261"/>
    <w:rsid w:val="28C86C87"/>
    <w:rsid w:val="28FB65E3"/>
    <w:rsid w:val="296119D7"/>
    <w:rsid w:val="297D19A3"/>
    <w:rsid w:val="2A97100B"/>
    <w:rsid w:val="2B401296"/>
    <w:rsid w:val="2B4754A3"/>
    <w:rsid w:val="2B9F277C"/>
    <w:rsid w:val="2D0635AD"/>
    <w:rsid w:val="2DDB1EBF"/>
    <w:rsid w:val="2DF963B5"/>
    <w:rsid w:val="2E6961DD"/>
    <w:rsid w:val="2EA67F31"/>
    <w:rsid w:val="2EC40C57"/>
    <w:rsid w:val="2EE433BF"/>
    <w:rsid w:val="30334755"/>
    <w:rsid w:val="309A6C96"/>
    <w:rsid w:val="311233CC"/>
    <w:rsid w:val="332E1E50"/>
    <w:rsid w:val="34375C94"/>
    <w:rsid w:val="34935BA4"/>
    <w:rsid w:val="34A264CA"/>
    <w:rsid w:val="355552CD"/>
    <w:rsid w:val="362A056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DE71F5"/>
    <w:rsid w:val="40F706D6"/>
    <w:rsid w:val="418C72E5"/>
    <w:rsid w:val="41EC3A6C"/>
    <w:rsid w:val="42A2655E"/>
    <w:rsid w:val="42E71D47"/>
    <w:rsid w:val="436C5E0D"/>
    <w:rsid w:val="440F6ACF"/>
    <w:rsid w:val="44631084"/>
    <w:rsid w:val="446A549B"/>
    <w:rsid w:val="44800368"/>
    <w:rsid w:val="44DF75BD"/>
    <w:rsid w:val="4599425E"/>
    <w:rsid w:val="45C40D74"/>
    <w:rsid w:val="46871AD6"/>
    <w:rsid w:val="46E44703"/>
    <w:rsid w:val="4735560E"/>
    <w:rsid w:val="47413F22"/>
    <w:rsid w:val="47D55FFA"/>
    <w:rsid w:val="481D5A38"/>
    <w:rsid w:val="487975A7"/>
    <w:rsid w:val="48E72086"/>
    <w:rsid w:val="494D5092"/>
    <w:rsid w:val="49732ED5"/>
    <w:rsid w:val="4A1079FD"/>
    <w:rsid w:val="4A1D620C"/>
    <w:rsid w:val="4AE21D6F"/>
    <w:rsid w:val="4BC136D0"/>
    <w:rsid w:val="4C2E17B4"/>
    <w:rsid w:val="4D2C0BBC"/>
    <w:rsid w:val="4D904DD7"/>
    <w:rsid w:val="4D9C287D"/>
    <w:rsid w:val="4DC53F66"/>
    <w:rsid w:val="4E4F4497"/>
    <w:rsid w:val="4F815FEA"/>
    <w:rsid w:val="50932EAD"/>
    <w:rsid w:val="51552F81"/>
    <w:rsid w:val="5174053C"/>
    <w:rsid w:val="51AB2104"/>
    <w:rsid w:val="525C5CD6"/>
    <w:rsid w:val="52840C61"/>
    <w:rsid w:val="52952D55"/>
    <w:rsid w:val="533D4D64"/>
    <w:rsid w:val="53427976"/>
    <w:rsid w:val="53A63423"/>
    <w:rsid w:val="54386D63"/>
    <w:rsid w:val="54A36172"/>
    <w:rsid w:val="54B0714A"/>
    <w:rsid w:val="54BC0EE8"/>
    <w:rsid w:val="55C049DC"/>
    <w:rsid w:val="55D41C4B"/>
    <w:rsid w:val="562E1696"/>
    <w:rsid w:val="58F95A7C"/>
    <w:rsid w:val="594F1692"/>
    <w:rsid w:val="59566C52"/>
    <w:rsid w:val="5AAF5CCA"/>
    <w:rsid w:val="5AC43F2A"/>
    <w:rsid w:val="5AD32383"/>
    <w:rsid w:val="5AD75A27"/>
    <w:rsid w:val="5B6E68B8"/>
    <w:rsid w:val="5B8D6C19"/>
    <w:rsid w:val="5BCE61FA"/>
    <w:rsid w:val="5C9B134E"/>
    <w:rsid w:val="5CE91666"/>
    <w:rsid w:val="5D580334"/>
    <w:rsid w:val="5DAA1580"/>
    <w:rsid w:val="5DEB0F2A"/>
    <w:rsid w:val="5E0C331A"/>
    <w:rsid w:val="5E1A6FB5"/>
    <w:rsid w:val="5E7A3CE2"/>
    <w:rsid w:val="5F355496"/>
    <w:rsid w:val="602642B3"/>
    <w:rsid w:val="61A7533B"/>
    <w:rsid w:val="62B2296D"/>
    <w:rsid w:val="62C266BA"/>
    <w:rsid w:val="636147EE"/>
    <w:rsid w:val="63677EFB"/>
    <w:rsid w:val="63DB6B9E"/>
    <w:rsid w:val="63F47577"/>
    <w:rsid w:val="64CD6224"/>
    <w:rsid w:val="65B441A4"/>
    <w:rsid w:val="66373494"/>
    <w:rsid w:val="66591B82"/>
    <w:rsid w:val="66790C75"/>
    <w:rsid w:val="67110541"/>
    <w:rsid w:val="674F15EA"/>
    <w:rsid w:val="67A63985"/>
    <w:rsid w:val="686731DA"/>
    <w:rsid w:val="6898637C"/>
    <w:rsid w:val="68B16D7B"/>
    <w:rsid w:val="68BA7003"/>
    <w:rsid w:val="68C057C9"/>
    <w:rsid w:val="6A364F93"/>
    <w:rsid w:val="6BE11926"/>
    <w:rsid w:val="6C920572"/>
    <w:rsid w:val="6D827B87"/>
    <w:rsid w:val="6DC31ECB"/>
    <w:rsid w:val="6E656845"/>
    <w:rsid w:val="6EA64B45"/>
    <w:rsid w:val="6F471F5D"/>
    <w:rsid w:val="70BF3967"/>
    <w:rsid w:val="710F157A"/>
    <w:rsid w:val="718C3480"/>
    <w:rsid w:val="726F354B"/>
    <w:rsid w:val="72B9765A"/>
    <w:rsid w:val="72F3401B"/>
    <w:rsid w:val="731416B4"/>
    <w:rsid w:val="73712518"/>
    <w:rsid w:val="738E7AB2"/>
    <w:rsid w:val="73A54F01"/>
    <w:rsid w:val="73DF2037"/>
    <w:rsid w:val="73F47C56"/>
    <w:rsid w:val="74624F7D"/>
    <w:rsid w:val="74CC4368"/>
    <w:rsid w:val="7546516B"/>
    <w:rsid w:val="75AF555B"/>
    <w:rsid w:val="75D91BB6"/>
    <w:rsid w:val="75DC4673"/>
    <w:rsid w:val="764B64E0"/>
    <w:rsid w:val="76F3488A"/>
    <w:rsid w:val="77281C38"/>
    <w:rsid w:val="77864705"/>
    <w:rsid w:val="77ED4E91"/>
    <w:rsid w:val="781828A1"/>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1"/>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index 4"/>
    <w:basedOn w:val="1"/>
    <w:next w:val="1"/>
    <w:unhideWhenUsed/>
    <w:qFormat/>
    <w:uiPriority w:val="99"/>
    <w:pPr>
      <w:ind w:left="600" w:leftChars="600"/>
    </w:pPr>
  </w:style>
  <w:style w:type="paragraph" w:styleId="9">
    <w:name w:val="Plain Text"/>
    <w:basedOn w:val="1"/>
    <w:next w:val="1"/>
    <w:link w:val="30"/>
    <w:qFormat/>
    <w:uiPriority w:val="0"/>
    <w:rPr>
      <w:rFonts w:hint="eastAsia" w:ascii="宋体" w:hAnsi="Courier New" w:eastAsia="宋体" w:cs="Times New Roman"/>
      <w:szCs w:val="21"/>
    </w:rPr>
  </w:style>
  <w:style w:type="paragraph" w:styleId="10">
    <w:name w:val="Balloon Text"/>
    <w:basedOn w:val="1"/>
    <w:link w:val="28"/>
    <w:qFormat/>
    <w:uiPriority w:val="0"/>
    <w:rPr>
      <w:sz w:val="18"/>
      <w:szCs w:val="18"/>
    </w:rPr>
  </w:style>
  <w:style w:type="paragraph" w:styleId="11">
    <w:name w:val="footer"/>
    <w:basedOn w:val="1"/>
    <w:link w:val="27"/>
    <w:qFormat/>
    <w:uiPriority w:val="0"/>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2"/>
    <w:qFormat/>
    <w:uiPriority w:val="0"/>
    <w:rPr>
      <w:rFonts w:asciiTheme="minorHAnsi" w:hAnsiTheme="minorHAnsi" w:eastAsiaTheme="minorEastAsia" w:cstheme="minorBidi"/>
      <w:kern w:val="2"/>
      <w:sz w:val="18"/>
      <w:szCs w:val="18"/>
    </w:rPr>
  </w:style>
  <w:style w:type="character" w:customStyle="1" w:styleId="27">
    <w:name w:val="页脚 Char"/>
    <w:basedOn w:val="15"/>
    <w:link w:val="11"/>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9"/>
    <w:qFormat/>
    <w:uiPriority w:val="0"/>
    <w:rPr>
      <w:rFonts w:ascii="宋体" w:hAnsi="Courier New"/>
      <w:kern w:val="2"/>
      <w:sz w:val="21"/>
      <w:szCs w:val="21"/>
    </w:rPr>
  </w:style>
  <w:style w:type="character" w:customStyle="1" w:styleId="31">
    <w:name w:val="正文首行缩进 Char"/>
    <w:basedOn w:val="15"/>
    <w:link w:val="2"/>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paragraph" w:customStyle="1" w:styleId="35">
    <w:name w:val="样式 小四 行距: 1.5 倍行距"/>
    <w:basedOn w:val="1"/>
    <w:qFormat/>
    <w:uiPriority w:val="0"/>
    <w:pPr>
      <w:ind w:firstLine="480"/>
    </w:pPr>
    <w:rPr>
      <w:rFonts w:cs="宋体"/>
    </w:rPr>
  </w:style>
  <w:style w:type="paragraph" w:customStyle="1" w:styleId="36">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CM6"/>
    <w:basedOn w:val="1"/>
    <w:next w:val="1"/>
    <w:qFormat/>
    <w:uiPriority w:val="99"/>
    <w:pPr>
      <w:autoSpaceDE w:val="0"/>
      <w:autoSpaceDN w:val="0"/>
      <w:adjustRightInd w:val="0"/>
      <w:spacing w:line="626" w:lineRule="atLeast"/>
      <w:jc w:val="left"/>
    </w:pPr>
    <w:rPr>
      <w:rFonts w:ascii="隶书" w:eastAsia="隶书"/>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16866</Words>
  <Characters>17648</Characters>
  <Lines>139</Lines>
  <Paragraphs>39</Paragraphs>
  <TotalTime>2</TotalTime>
  <ScaleCrop>false</ScaleCrop>
  <LinksUpToDate>false</LinksUpToDate>
  <CharactersWithSpaces>18586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2023-03-23T03:31:49Z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34A582031BBD4A8392FE98AAD5F97DA6</vt:lpwstr>
  </property>
</Properties>
</file>