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p>
    <w:p>
      <w:pPr>
        <w:spacing w:before="0" w:beforeLines="-2147483648" w:line="360" w:lineRule="auto"/>
        <w:jc w:val="center"/>
        <w:rPr>
          <w:rFonts w:hint="default" w:ascii="宋体" w:hAnsi="宋体" w:eastAsia="黑体" w:cs="宋体"/>
          <w:b/>
          <w:color w:val="auto"/>
          <w:sz w:val="44"/>
          <w:szCs w:val="44"/>
          <w:highlight w:val="none"/>
          <w:lang w:val="en-US" w:eastAsia="zh-CN"/>
        </w:rPr>
      </w:pPr>
      <w:r>
        <w:rPr>
          <w:rFonts w:hint="eastAsia" w:ascii="宋体" w:hAnsi="宋体" w:eastAsia="黑体"/>
          <w:color w:val="auto"/>
          <w:sz w:val="48"/>
          <w:szCs w:val="48"/>
          <w:highlight w:val="none"/>
          <w:lang w:eastAsia="zh-CN"/>
        </w:rPr>
        <w:t>南沙湿地“渔唱晚主题酒店及疍家水岸广场”项目检测服务</w:t>
      </w:r>
    </w:p>
    <w:p>
      <w:pPr>
        <w:jc w:val="center"/>
        <w:rPr>
          <w:rFonts w:ascii="宋体" w:hAnsi="宋体" w:eastAsia="宋体" w:cs="宋体"/>
          <w:color w:val="auto"/>
          <w:sz w:val="72"/>
          <w:szCs w:val="72"/>
          <w:highlight w:val="none"/>
        </w:rPr>
      </w:pPr>
      <w:r>
        <w:rPr>
          <w:rFonts w:hint="eastAsia" w:ascii="宋体" w:hAnsi="宋体" w:eastAsia="宋体" w:cs="宋体"/>
          <w:color w:val="auto"/>
          <w:sz w:val="44"/>
          <w:szCs w:val="44"/>
          <w:highlight w:val="none"/>
        </w:rPr>
        <w:t xml:space="preserve"> </w:t>
      </w:r>
    </w:p>
    <w:p>
      <w:pPr>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广州南沙湿地旅游发展有限公司</w:t>
      </w:r>
      <w:r>
        <w:rPr>
          <w:rFonts w:hint="eastAsia" w:ascii="宋体" w:hAnsi="宋体" w:eastAsia="宋体" w:cs="宋体"/>
          <w:b/>
          <w:color w:val="auto"/>
          <w:sz w:val="32"/>
          <w:szCs w:val="32"/>
          <w:highlight w:val="none"/>
        </w:rPr>
        <w:t>（业主单位）</w:t>
      </w:r>
    </w:p>
    <w:p>
      <w:pPr>
        <w:spacing w:line="360" w:lineRule="auto"/>
        <w:ind w:right="0" w:rightChars="0" w:firstLine="2249" w:firstLineChars="700"/>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rPr>
        <w:t>广州南沙建设维护管理有限公司（建设管理单位）</w:t>
      </w:r>
    </w:p>
    <w:p>
      <w:pPr>
        <w:spacing w:line="520" w:lineRule="exact"/>
        <w:ind w:right="-101" w:rightChars="-48" w:firstLine="964" w:firstLineChars="300"/>
        <w:rPr>
          <w:rFonts w:ascii="宋体" w:hAnsi="宋体" w:eastAsia="宋体" w:cs="宋体"/>
          <w:color w:val="auto"/>
          <w:spacing w:val="28"/>
          <w:position w:val="8"/>
          <w:sz w:val="28"/>
          <w:szCs w:val="28"/>
          <w:highlight w:val="none"/>
        </w:rPr>
      </w:pPr>
      <w:bookmarkStart w:id="0" w:name="OLE_LINK4"/>
      <w:bookmarkEnd w:id="0"/>
      <w:r>
        <w:rPr>
          <w:rFonts w:hint="eastAsia" w:ascii="宋体" w:hAnsi="宋体" w:eastAsia="宋体" w:cs="宋体"/>
          <w:b/>
          <w:color w:val="auto"/>
          <w:sz w:val="32"/>
          <w:szCs w:val="32"/>
          <w:highlight w:val="none"/>
        </w:rPr>
        <w:t>日    期：</w:t>
      </w:r>
      <w:r>
        <w:rPr>
          <w:rFonts w:hint="eastAsia" w:ascii="宋体" w:hAnsi="宋体" w:eastAsia="宋体" w:cs="宋体"/>
          <w:b/>
          <w:color w:val="auto"/>
          <w:sz w:val="32"/>
          <w:szCs w:val="32"/>
          <w:highlight w:val="none"/>
          <w:lang w:eastAsia="zh-CN"/>
        </w:rPr>
        <w:t>202</w:t>
      </w:r>
      <w:r>
        <w:rPr>
          <w:rFonts w:hint="eastAsia" w:ascii="宋体" w:hAnsi="宋体" w:eastAsia="宋体" w:cs="宋体"/>
          <w:b/>
          <w:color w:val="auto"/>
          <w:sz w:val="32"/>
          <w:szCs w:val="32"/>
          <w:highlight w:val="none"/>
          <w:lang w:val="en-US" w:eastAsia="zh-CN"/>
        </w:rPr>
        <w:t>3</w:t>
      </w:r>
      <w:r>
        <w:rPr>
          <w:rFonts w:hint="eastAsia" w:ascii="宋体" w:hAnsi="宋体" w:eastAsia="宋体" w:cs="宋体"/>
          <w:b/>
          <w:color w:val="auto"/>
          <w:sz w:val="32"/>
          <w:szCs w:val="32"/>
          <w:highlight w:val="none"/>
          <w:lang w:eastAsia="zh-CN"/>
        </w:rPr>
        <w:t>年</w:t>
      </w:r>
      <w:r>
        <w:rPr>
          <w:rFonts w:hint="eastAsia" w:ascii="宋体" w:hAnsi="宋体" w:eastAsia="宋体" w:cs="宋体"/>
          <w:b/>
          <w:color w:val="auto"/>
          <w:sz w:val="32"/>
          <w:szCs w:val="32"/>
          <w:highlight w:val="none"/>
          <w:lang w:val="en-US" w:eastAsia="zh-CN"/>
        </w:rPr>
        <w:t>3</w:t>
      </w:r>
      <w:r>
        <w:rPr>
          <w:rFonts w:hint="eastAsia" w:ascii="宋体" w:hAnsi="宋体" w:eastAsia="宋体" w:cs="宋体"/>
          <w:b/>
          <w:color w:val="auto"/>
          <w:sz w:val="32"/>
          <w:szCs w:val="32"/>
          <w:highlight w:val="none"/>
          <w:lang w:eastAsia="zh-CN"/>
        </w:rPr>
        <w:t>月</w:t>
      </w:r>
      <w:r>
        <w:rPr>
          <w:rFonts w:hint="eastAsia" w:ascii="宋体" w:hAnsi="宋体" w:eastAsia="宋体" w:cs="宋体"/>
          <w:b/>
          <w:color w:val="auto"/>
          <w:sz w:val="32"/>
          <w:szCs w:val="32"/>
          <w:highlight w:val="none"/>
        </w:rPr>
        <w:t xml:space="preserve">  </w:t>
      </w:r>
    </w:p>
    <w:p>
      <w:pPr>
        <w:rPr>
          <w:rFonts w:ascii="黑体" w:hAnsi="宋体" w:eastAsia="黑体" w:cs="黑体"/>
          <w:color w:val="auto"/>
          <w:sz w:val="36"/>
          <w:szCs w:val="36"/>
          <w:highlight w:val="none"/>
        </w:rPr>
        <w:sectPr>
          <w:pgSz w:w="11915" w:h="16840"/>
          <w:pgMar w:top="1247" w:right="1135" w:bottom="1247" w:left="1361" w:header="720" w:footer="720" w:gutter="0"/>
          <w:pgBorders>
            <w:top w:val="none" w:sz="0" w:space="0"/>
            <w:left w:val="none" w:sz="0" w:space="0"/>
            <w:bottom w:val="none" w:sz="0" w:space="0"/>
            <w:right w:val="none" w:sz="0" w:space="0"/>
          </w:pgBorders>
          <w:cols w:space="425" w:num="1"/>
          <w:docGrid w:type="lines" w:linePitch="285" w:charSpace="0"/>
        </w:sectPr>
      </w:pPr>
      <w:bookmarkStart w:id="1" w:name="_Toc29976"/>
    </w:p>
    <w:p>
      <w:pPr>
        <w:rPr>
          <w:rFonts w:ascii="黑体" w:hAnsi="宋体" w:eastAsia="黑体" w:cs="黑体"/>
          <w:color w:val="auto"/>
          <w:sz w:val="36"/>
          <w:szCs w:val="36"/>
          <w:highlight w:val="none"/>
        </w:rPr>
      </w:pPr>
    </w:p>
    <w:bookmarkEnd w:id="1"/>
    <w:sdt>
      <w:sdtPr>
        <w:rPr>
          <w:rFonts w:ascii="宋体" w:hAnsi="宋体" w:eastAsia="宋体"/>
          <w:color w:val="auto"/>
          <w:highlight w:val="none"/>
        </w:rPr>
        <w:id w:val="147481204"/>
        <w:docPartObj>
          <w:docPartGallery w:val="Table of Contents"/>
          <w:docPartUnique/>
        </w:docPartObj>
      </w:sdtPr>
      <w:sdtEndPr>
        <w:rPr>
          <w:rFonts w:ascii="宋体" w:hAnsi="宋体" w:eastAsia="宋体"/>
          <w:color w:val="auto"/>
          <w:highlight w:val="none"/>
        </w:rPr>
      </w:sdtEndPr>
      <w:sdtContent>
        <w:p>
          <w:pPr>
            <w:spacing w:line="360" w:lineRule="auto"/>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pPr>
            <w:pStyle w:val="13"/>
            <w:tabs>
              <w:tab w:val="right" w:leader="dot" w:pos="9419"/>
            </w:tabs>
            <w:spacing w:line="360" w:lineRule="auto"/>
            <w:rPr>
              <w:color w:val="auto"/>
              <w:sz w:val="32"/>
              <w:szCs w:val="32"/>
              <w:highlight w:val="none"/>
            </w:rPr>
          </w:pPr>
          <w:r>
            <w:rPr>
              <w:rFonts w:hint="eastAsia" w:asciiTheme="minorEastAsia" w:hAnsiTheme="minorEastAsia" w:eastAsiaTheme="minorEastAsia" w:cstheme="minorEastAsia"/>
              <w:color w:val="auto"/>
              <w:sz w:val="32"/>
              <w:szCs w:val="32"/>
              <w:highlight w:val="none"/>
            </w:rPr>
            <w:fldChar w:fldCharType="begin"/>
          </w:r>
          <w:r>
            <w:rPr>
              <w:rFonts w:hint="eastAsia" w:asciiTheme="minorEastAsia" w:hAnsiTheme="minorEastAsia" w:eastAsiaTheme="minorEastAsia" w:cstheme="minorEastAsia"/>
              <w:color w:val="auto"/>
              <w:sz w:val="32"/>
              <w:szCs w:val="32"/>
              <w:highlight w:val="none"/>
            </w:rPr>
            <w:instrText xml:space="preserve">TOC \o "1-1" \h \u </w:instrText>
          </w:r>
          <w:r>
            <w:rPr>
              <w:rFonts w:hint="eastAsia" w:asciiTheme="minorEastAsia" w:hAnsiTheme="minorEastAsia" w:eastAsiaTheme="minorEastAsia" w:cstheme="minorEastAsia"/>
              <w:color w:val="auto"/>
              <w:sz w:val="32"/>
              <w:szCs w:val="32"/>
              <w:highlight w:val="none"/>
            </w:rPr>
            <w:fldChar w:fldCharType="separate"/>
          </w:r>
          <w:r>
            <w:rPr>
              <w:color w:val="auto"/>
              <w:highlight w:val="none"/>
            </w:rPr>
            <w:fldChar w:fldCharType="begin"/>
          </w:r>
          <w:r>
            <w:rPr>
              <w:color w:val="auto"/>
              <w:highlight w:val="none"/>
            </w:rPr>
            <w:instrText xml:space="preserve"> HYPERLINK \l "_Toc17710" </w:instrText>
          </w:r>
          <w:r>
            <w:rPr>
              <w:color w:val="auto"/>
              <w:highlight w:val="none"/>
            </w:rPr>
            <w:fldChar w:fldCharType="separate"/>
          </w:r>
          <w:r>
            <w:rPr>
              <w:rFonts w:hint="eastAsia" w:ascii="黑体" w:hAnsi="宋体" w:cs="黑体"/>
              <w:color w:val="auto"/>
              <w:kern w:val="44"/>
              <w:sz w:val="32"/>
              <w:szCs w:val="32"/>
              <w:highlight w:val="none"/>
            </w:rPr>
            <w:t>第1章 投标须知及前附表</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_Toc17710 \h </w:instrText>
          </w:r>
          <w:r>
            <w:rPr>
              <w:color w:val="auto"/>
              <w:sz w:val="32"/>
              <w:szCs w:val="32"/>
              <w:highlight w:val="none"/>
            </w:rPr>
            <w:fldChar w:fldCharType="separate"/>
          </w:r>
          <w:r>
            <w:rPr>
              <w:color w:val="auto"/>
              <w:sz w:val="32"/>
              <w:szCs w:val="32"/>
              <w:highlight w:val="none"/>
            </w:rPr>
            <w:t>1</w:t>
          </w:r>
          <w:r>
            <w:rPr>
              <w:color w:val="auto"/>
              <w:sz w:val="32"/>
              <w:szCs w:val="32"/>
              <w:highlight w:val="none"/>
            </w:rPr>
            <w:fldChar w:fldCharType="end"/>
          </w:r>
          <w:r>
            <w:rPr>
              <w:color w:val="auto"/>
              <w:sz w:val="32"/>
              <w:szCs w:val="32"/>
              <w:highlight w:val="none"/>
            </w:rPr>
            <w:fldChar w:fldCharType="end"/>
          </w:r>
        </w:p>
        <w:p>
          <w:pPr>
            <w:pStyle w:val="13"/>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"_Toc32057" </w:instrText>
          </w:r>
          <w:r>
            <w:rPr>
              <w:color w:val="auto"/>
              <w:highlight w:val="none"/>
            </w:rPr>
            <w:fldChar w:fldCharType="separate"/>
          </w:r>
          <w:r>
            <w:rPr>
              <w:rFonts w:hint="eastAsia" w:ascii="黑体" w:hAnsi="宋体" w:cs="黑体"/>
              <w:color w:val="auto"/>
              <w:kern w:val="44"/>
              <w:sz w:val="32"/>
              <w:szCs w:val="32"/>
              <w:highlight w:val="none"/>
            </w:rPr>
            <w:t>第2章  投标格式文件</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_Toc32057 \h </w:instrText>
          </w:r>
          <w:r>
            <w:rPr>
              <w:color w:val="auto"/>
              <w:sz w:val="32"/>
              <w:szCs w:val="32"/>
              <w:highlight w:val="none"/>
            </w:rPr>
            <w:fldChar w:fldCharType="separate"/>
          </w:r>
          <w:r>
            <w:rPr>
              <w:color w:val="auto"/>
              <w:sz w:val="32"/>
              <w:szCs w:val="32"/>
              <w:highlight w:val="none"/>
            </w:rPr>
            <w:t>14</w:t>
          </w:r>
          <w:r>
            <w:rPr>
              <w:color w:val="auto"/>
              <w:sz w:val="32"/>
              <w:szCs w:val="32"/>
              <w:highlight w:val="none"/>
            </w:rPr>
            <w:fldChar w:fldCharType="end"/>
          </w:r>
          <w:r>
            <w:rPr>
              <w:color w:val="auto"/>
              <w:sz w:val="32"/>
              <w:szCs w:val="32"/>
              <w:highlight w:val="none"/>
            </w:rPr>
            <w:fldChar w:fldCharType="end"/>
          </w:r>
        </w:p>
        <w:p>
          <w:pPr>
            <w:pStyle w:val="13"/>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"_Toc1265" </w:instrText>
          </w:r>
          <w:r>
            <w:rPr>
              <w:color w:val="auto"/>
              <w:highlight w:val="none"/>
            </w:rPr>
            <w:fldChar w:fldCharType="separate"/>
          </w:r>
          <w:r>
            <w:rPr>
              <w:rFonts w:hint="eastAsia" w:ascii="黑体" w:hAnsi="宋体" w:cs="黑体"/>
              <w:color w:val="auto"/>
              <w:kern w:val="44"/>
              <w:sz w:val="32"/>
              <w:szCs w:val="32"/>
              <w:highlight w:val="none"/>
            </w:rPr>
            <w:t>第3章 评标办法</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_Toc1265 \h </w:instrText>
          </w:r>
          <w:r>
            <w:rPr>
              <w:color w:val="auto"/>
              <w:sz w:val="32"/>
              <w:szCs w:val="32"/>
              <w:highlight w:val="none"/>
            </w:rPr>
            <w:fldChar w:fldCharType="separate"/>
          </w:r>
          <w:r>
            <w:rPr>
              <w:color w:val="auto"/>
              <w:sz w:val="32"/>
              <w:szCs w:val="32"/>
              <w:highlight w:val="none"/>
            </w:rPr>
            <w:t>26</w:t>
          </w:r>
          <w:r>
            <w:rPr>
              <w:color w:val="auto"/>
              <w:sz w:val="32"/>
              <w:szCs w:val="32"/>
              <w:highlight w:val="none"/>
            </w:rPr>
            <w:fldChar w:fldCharType="end"/>
          </w:r>
          <w:r>
            <w:rPr>
              <w:color w:val="auto"/>
              <w:sz w:val="32"/>
              <w:szCs w:val="32"/>
              <w:highlight w:val="none"/>
            </w:rPr>
            <w:fldChar w:fldCharType="end"/>
          </w:r>
        </w:p>
        <w:p>
          <w:pPr>
            <w:pStyle w:val="13"/>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"_Toc14580" </w:instrText>
          </w:r>
          <w:r>
            <w:rPr>
              <w:color w:val="auto"/>
              <w:highlight w:val="none"/>
            </w:rPr>
            <w:fldChar w:fldCharType="separate"/>
          </w:r>
          <w:r>
            <w:rPr>
              <w:rFonts w:hint="eastAsia" w:ascii="仿宋" w:hAnsi="仿宋" w:eastAsia="仿宋" w:cs="仿宋"/>
              <w:color w:val="auto"/>
              <w:sz w:val="32"/>
              <w:szCs w:val="32"/>
              <w:highlight w:val="none"/>
            </w:rPr>
            <w:t>附件1：符合性审查表</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_Toc14580 \h </w:instrText>
          </w:r>
          <w:r>
            <w:rPr>
              <w:color w:val="auto"/>
              <w:sz w:val="32"/>
              <w:szCs w:val="32"/>
              <w:highlight w:val="none"/>
            </w:rPr>
            <w:fldChar w:fldCharType="separate"/>
          </w:r>
          <w:r>
            <w:rPr>
              <w:color w:val="auto"/>
              <w:sz w:val="32"/>
              <w:szCs w:val="32"/>
              <w:highlight w:val="none"/>
            </w:rPr>
            <w:t>34</w:t>
          </w:r>
          <w:r>
            <w:rPr>
              <w:color w:val="auto"/>
              <w:sz w:val="32"/>
              <w:szCs w:val="32"/>
              <w:highlight w:val="none"/>
            </w:rPr>
            <w:fldChar w:fldCharType="end"/>
          </w:r>
          <w:r>
            <w:rPr>
              <w:color w:val="auto"/>
              <w:sz w:val="32"/>
              <w:szCs w:val="32"/>
              <w:highlight w:val="none"/>
            </w:rPr>
            <w:fldChar w:fldCharType="end"/>
          </w:r>
        </w:p>
        <w:p>
          <w:pPr>
            <w:pStyle w:val="13"/>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"_Toc27480" </w:instrText>
          </w:r>
          <w:r>
            <w:rPr>
              <w:color w:val="auto"/>
              <w:highlight w:val="none"/>
            </w:rPr>
            <w:fldChar w:fldCharType="separate"/>
          </w:r>
          <w:r>
            <w:rPr>
              <w:rFonts w:hint="eastAsia" w:ascii="仿宋" w:hAnsi="仿宋" w:eastAsia="仿宋" w:cs="仿宋"/>
              <w:color w:val="auto"/>
              <w:sz w:val="32"/>
              <w:szCs w:val="32"/>
              <w:highlight w:val="none"/>
            </w:rPr>
            <w:t>附件2综合评分表（100分）</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_Toc27480 \h </w:instrText>
          </w:r>
          <w:r>
            <w:rPr>
              <w:color w:val="auto"/>
              <w:sz w:val="32"/>
              <w:szCs w:val="32"/>
              <w:highlight w:val="none"/>
            </w:rPr>
            <w:fldChar w:fldCharType="separate"/>
          </w:r>
          <w:r>
            <w:rPr>
              <w:color w:val="auto"/>
              <w:sz w:val="32"/>
              <w:szCs w:val="32"/>
              <w:highlight w:val="none"/>
            </w:rPr>
            <w:t>35</w:t>
          </w:r>
          <w:r>
            <w:rPr>
              <w:color w:val="auto"/>
              <w:sz w:val="32"/>
              <w:szCs w:val="32"/>
              <w:highlight w:val="none"/>
            </w:rPr>
            <w:fldChar w:fldCharType="end"/>
          </w:r>
          <w:r>
            <w:rPr>
              <w:color w:val="auto"/>
              <w:sz w:val="32"/>
              <w:szCs w:val="32"/>
              <w:highlight w:val="none"/>
            </w:rPr>
            <w:fldChar w:fldCharType="end"/>
          </w:r>
        </w:p>
        <w:p>
          <w:pPr>
            <w:spacing w:line="360" w:lineRule="auto"/>
            <w:rPr>
              <w:color w:val="auto"/>
              <w:highlight w:val="none"/>
            </w:rPr>
          </w:pPr>
          <w:r>
            <w:rPr>
              <w:rFonts w:hint="eastAsia" w:asciiTheme="minorEastAsia" w:hAnsiTheme="minorEastAsia" w:cstheme="minorEastAsia"/>
              <w:color w:val="auto"/>
              <w:sz w:val="32"/>
              <w:szCs w:val="32"/>
              <w:highlight w:val="none"/>
            </w:rPr>
            <w:fldChar w:fldCharType="end"/>
          </w:r>
        </w:p>
      </w:sdtContent>
    </w:sdt>
    <w:p>
      <w:pPr>
        <w:pStyle w:val="2"/>
        <w:widowControl/>
        <w:spacing w:after="0" w:line="360" w:lineRule="auto"/>
        <w:ind w:firstLine="0"/>
        <w:rPr>
          <w:rFonts w:ascii="宋体" w:hAnsi="宋体" w:cs="宋体"/>
          <w:color w:val="auto"/>
          <w:highlight w:val="none"/>
        </w:rPr>
        <w:sectPr>
          <w:pgSz w:w="11915" w:h="16840"/>
          <w:pgMar w:top="1247" w:right="1135" w:bottom="1247" w:left="1361" w:header="720" w:footer="720" w:gutter="0"/>
          <w:pgBorders>
            <w:top w:val="none" w:sz="0" w:space="0"/>
            <w:left w:val="none" w:sz="0" w:space="0"/>
            <w:bottom w:val="none" w:sz="0" w:space="0"/>
            <w:right w:val="none" w:sz="0" w:space="0"/>
          </w:pgBorders>
          <w:cols w:space="425" w:num="1"/>
          <w:docGrid w:type="lines" w:linePitch="285" w:charSpace="0"/>
        </w:sectPr>
      </w:pPr>
      <w:r>
        <w:rPr>
          <w:rFonts w:hint="eastAsia" w:ascii="宋体" w:hAnsi="宋体" w:cs="宋体"/>
          <w:color w:val="auto"/>
          <w:highlight w:val="none"/>
        </w:rPr>
        <w:t xml:space="preserve"> </w:t>
      </w:r>
    </w:p>
    <w:p>
      <w:pPr>
        <w:pStyle w:val="4"/>
        <w:widowControl/>
        <w:spacing w:before="0" w:after="0" w:line="360" w:lineRule="auto"/>
        <w:jc w:val="center"/>
        <w:rPr>
          <w:rFonts w:ascii="黑体" w:hAnsi="宋体" w:cs="黑体"/>
          <w:b/>
          <w:color w:val="auto"/>
          <w:kern w:val="44"/>
          <w:sz w:val="44"/>
          <w:szCs w:val="44"/>
          <w:highlight w:val="none"/>
        </w:rPr>
      </w:pPr>
      <w:bookmarkStart w:id="2" w:name="_Toc374128472"/>
      <w:bookmarkStart w:id="3" w:name="_Toc17710"/>
      <w:r>
        <w:rPr>
          <w:rFonts w:hint="eastAsia" w:ascii="黑体" w:hAnsi="宋体" w:cs="黑体"/>
          <w:b/>
          <w:color w:val="auto"/>
          <w:kern w:val="44"/>
          <w:sz w:val="44"/>
          <w:szCs w:val="44"/>
          <w:highlight w:val="none"/>
        </w:rPr>
        <w:t>第1章 投标须知及前附表</w:t>
      </w:r>
      <w:bookmarkEnd w:id="2"/>
      <w:bookmarkEnd w:id="3"/>
    </w:p>
    <w:p>
      <w:pPr>
        <w:spacing w:after="142"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4"/>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2"/>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南沙湿地“渔唱晚主题酒店及疍家水岸广场”项目检测服务</w:t>
            </w:r>
          </w:p>
        </w:tc>
      </w:tr>
      <w:tr>
        <w:tblPrEx>
          <w:tblCellMar>
            <w:top w:w="0" w:type="dxa"/>
            <w:left w:w="108" w:type="dxa"/>
            <w:bottom w:w="0" w:type="dxa"/>
            <w:right w:w="108" w:type="dxa"/>
          </w:tblCellMar>
        </w:tblPrEx>
        <w:trPr>
          <w:trHeight w:val="4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sz w:val="21"/>
                <w:szCs w:val="21"/>
                <w:highlight w:val="none"/>
                <w:u w:val="none"/>
              </w:rPr>
              <w:t>广州市南沙区</w:t>
            </w:r>
          </w:p>
        </w:tc>
      </w:tr>
      <w:tr>
        <w:tblPrEx>
          <w:tblCellMar>
            <w:top w:w="0" w:type="dxa"/>
            <w:left w:w="108" w:type="dxa"/>
            <w:bottom w:w="0" w:type="dxa"/>
            <w:right w:w="108" w:type="dxa"/>
          </w:tblCellMar>
        </w:tblPrEx>
        <w:trPr>
          <w:trHeight w:val="96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eastAsia="宋体" w:cs="宋体"/>
                <w:color w:val="auto"/>
                <w:highlight w:val="none"/>
                <w:lang w:eastAsia="zh-CN"/>
              </w:rPr>
            </w:pPr>
            <w:r>
              <w:rPr>
                <w:rFonts w:hint="eastAsia" w:ascii="宋体" w:hAnsi="宋体" w:eastAsia="宋体" w:cs="宋体"/>
                <w:color w:val="auto"/>
                <w:spacing w:val="0"/>
                <w:w w:val="100"/>
                <w:position w:val="0"/>
                <w:sz w:val="21"/>
                <w:szCs w:val="21"/>
                <w:highlight w:val="none"/>
                <w:u w:val="none"/>
                <w:lang w:val="en-US"/>
              </w:rPr>
              <w:t>项目</w:t>
            </w:r>
            <w:r>
              <w:rPr>
                <w:rFonts w:hint="eastAsia" w:ascii="宋体" w:hAnsi="宋体" w:eastAsia="宋体" w:cs="宋体"/>
                <w:color w:val="auto"/>
                <w:spacing w:val="0"/>
                <w:w w:val="100"/>
                <w:position w:val="0"/>
                <w:sz w:val="21"/>
                <w:szCs w:val="21"/>
                <w:highlight w:val="none"/>
                <w:u w:val="none"/>
                <w:lang w:val="en-US" w:eastAsia="zh-CN"/>
              </w:rPr>
              <w:t>临近南沙湿地公园一期，通过装修改造成渔</w:t>
            </w:r>
            <w:r>
              <w:rPr>
                <w:rFonts w:hint="eastAsia" w:ascii="宋体" w:hAnsi="宋体" w:eastAsia="宋体" w:cs="宋体"/>
                <w:color w:val="auto"/>
                <w:spacing w:val="0"/>
                <w:w w:val="100"/>
                <w:position w:val="0"/>
                <w:sz w:val="21"/>
                <w:szCs w:val="21"/>
                <w:highlight w:val="none"/>
                <w:u w:val="none"/>
                <w:lang w:val="en-US"/>
              </w:rPr>
              <w:t>唱晩主题酒店</w:t>
            </w:r>
            <w:r>
              <w:rPr>
                <w:rFonts w:hint="eastAsia" w:ascii="宋体" w:hAnsi="宋体" w:eastAsia="宋体" w:cs="宋体"/>
                <w:color w:val="auto"/>
                <w:spacing w:val="0"/>
                <w:w w:val="100"/>
                <w:position w:val="0"/>
                <w:sz w:val="21"/>
                <w:szCs w:val="21"/>
                <w:highlight w:val="none"/>
                <w:u w:val="none"/>
                <w:lang w:val="en-US" w:eastAsia="zh-CN"/>
              </w:rPr>
              <w:t>，建设</w:t>
            </w:r>
            <w:r>
              <w:rPr>
                <w:rFonts w:hint="eastAsia" w:ascii="宋体" w:hAnsi="宋体" w:eastAsia="宋体" w:cs="宋体"/>
                <w:bCs w:val="0"/>
                <w:color w:val="auto"/>
                <w:sz w:val="21"/>
                <w:szCs w:val="21"/>
                <w:highlight w:val="none"/>
                <w:u w:val="none"/>
                <w:lang w:val="en-US"/>
              </w:rPr>
              <w:t>疍家水岸广场</w:t>
            </w:r>
            <w:r>
              <w:rPr>
                <w:rFonts w:hint="eastAsia" w:ascii="宋体" w:hAnsi="宋体" w:eastAsia="宋体" w:cs="宋体"/>
                <w:bCs w:val="0"/>
                <w:color w:val="auto"/>
                <w:sz w:val="21"/>
                <w:szCs w:val="21"/>
                <w:highlight w:val="none"/>
                <w:u w:val="none"/>
                <w:lang w:val="en-US" w:eastAsia="zh-CN"/>
              </w:rPr>
              <w:t>和配套栈道，</w:t>
            </w:r>
            <w:r>
              <w:rPr>
                <w:rFonts w:hint="eastAsia" w:ascii="宋体" w:hAnsi="宋体" w:eastAsia="宋体" w:cs="宋体"/>
                <w:color w:val="auto"/>
                <w:kern w:val="2"/>
                <w:sz w:val="21"/>
                <w:szCs w:val="21"/>
                <w:highlight w:val="none"/>
                <w:u w:val="none"/>
                <w:lang w:val="en-US" w:eastAsia="zh-CN" w:bidi="ar-SA"/>
              </w:rPr>
              <w:t>改善湿地景区及周边住宿、娱乐、交通状况，提高游客体验，提升景区形象</w:t>
            </w:r>
            <w:r>
              <w:rPr>
                <w:rFonts w:hint="eastAsia" w:ascii="宋体" w:hAnsi="宋体" w:eastAsia="宋体" w:cs="宋体"/>
                <w:color w:val="auto"/>
                <w:sz w:val="21"/>
                <w:szCs w:val="21"/>
                <w:highlight w:val="none"/>
                <w:u w:val="none"/>
                <w:lang w:eastAsia="zh-CN"/>
              </w:rPr>
              <w:t>。</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项目预算</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总投资约</w:t>
            </w:r>
            <w:r>
              <w:rPr>
                <w:rFonts w:hint="eastAsia" w:ascii="宋体" w:hAnsi="宋体" w:eastAsia="宋体" w:cs="宋体"/>
                <w:color w:val="auto"/>
                <w:highlight w:val="none"/>
                <w:lang w:val="en-US" w:eastAsia="zh-CN"/>
              </w:rPr>
              <w:t>3000万</w:t>
            </w:r>
            <w:r>
              <w:rPr>
                <w:rFonts w:hint="eastAsia" w:ascii="宋体" w:hAnsi="宋体" w:eastAsia="宋体" w:cs="宋体"/>
                <w:color w:val="auto"/>
                <w:highlight w:val="none"/>
              </w:rPr>
              <w:t>元</w:t>
            </w:r>
          </w:p>
        </w:tc>
      </w:tr>
      <w:tr>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合格</w:t>
            </w:r>
          </w:p>
        </w:tc>
      </w:tr>
      <w:tr>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9"/>
              <w:widowControl w:val="0"/>
              <w:spacing w:line="360" w:lineRule="auto"/>
              <w:ind w:firstLine="0" w:firstLineChars="0"/>
              <w:rPr>
                <w:rFonts w:hint="eastAsia" w:ascii="宋体" w:hAnsi="宋体" w:eastAsia="宋体" w:cs="宋体"/>
                <w:color w:val="auto"/>
                <w:highlight w:val="none"/>
              </w:rPr>
            </w:pPr>
            <w:r>
              <w:rPr>
                <w:rFonts w:hint="eastAsia" w:ascii="宋体" w:hAnsi="宋体" w:eastAsia="宋体" w:cs="宋体"/>
                <w:color w:val="auto"/>
                <w:sz w:val="21"/>
                <w:szCs w:val="21"/>
                <w:highlight w:val="none"/>
              </w:rPr>
              <w:t>本</w:t>
            </w:r>
            <w:r>
              <w:rPr>
                <w:rFonts w:hint="eastAsia" w:ascii="宋体" w:hAnsi="宋体" w:eastAsia="宋体" w:cs="宋体"/>
                <w:color w:val="auto"/>
                <w:sz w:val="21"/>
                <w:szCs w:val="21"/>
                <w:highlight w:val="none"/>
                <w:lang w:eastAsia="zh-CN"/>
              </w:rPr>
              <w:t>次检测服务</w:t>
            </w:r>
            <w:r>
              <w:rPr>
                <w:rFonts w:hint="eastAsia" w:ascii="宋体" w:hAnsi="宋体" w:eastAsia="宋体" w:cs="宋体"/>
                <w:color w:val="auto"/>
                <w:sz w:val="21"/>
                <w:szCs w:val="21"/>
                <w:highlight w:val="none"/>
              </w:rPr>
              <w:t>内容</w:t>
            </w:r>
            <w:r>
              <w:rPr>
                <w:rFonts w:hint="eastAsia" w:ascii="宋体" w:hAnsi="宋体" w:eastAsia="宋体" w:cs="宋体"/>
                <w:color w:val="auto"/>
                <w:sz w:val="21"/>
                <w:szCs w:val="21"/>
                <w:highlight w:val="none"/>
                <w:u w:val="none"/>
                <w:lang w:eastAsia="zh-CN"/>
              </w:rPr>
              <w:t>包括：原</w:t>
            </w:r>
            <w:r>
              <w:rPr>
                <w:rFonts w:hint="eastAsia" w:ascii="宋体" w:hAnsi="宋体" w:eastAsia="宋体" w:cs="宋体"/>
                <w:color w:val="auto"/>
                <w:sz w:val="21"/>
                <w:szCs w:val="21"/>
                <w:highlight w:val="none"/>
                <w:u w:val="none"/>
                <w:lang w:val="en-US" w:eastAsia="zh-CN"/>
              </w:rPr>
              <w:t>材料检测、结构实体检测、室内环境质量检测、弱电（智能建筑）系统检测、地基基础检测、消防检测、沉降观测等</w:t>
            </w:r>
            <w:r>
              <w:rPr>
                <w:rFonts w:hint="eastAsia" w:ascii="宋体" w:hAnsi="宋体" w:eastAsia="宋体" w:cs="宋体"/>
                <w:color w:val="auto"/>
                <w:sz w:val="21"/>
                <w:szCs w:val="21"/>
                <w:highlight w:val="none"/>
                <w:u w:val="none"/>
                <w:lang w:eastAsia="zh-CN"/>
              </w:rPr>
              <w:t>，具体检测项目以实际检测清单及有关规范要求为准。</w:t>
            </w:r>
          </w:p>
        </w:tc>
      </w:tr>
      <w:tr>
        <w:tblPrEx>
          <w:tblCellMar>
            <w:top w:w="0" w:type="dxa"/>
            <w:left w:w="108" w:type="dxa"/>
            <w:bottom w:w="0" w:type="dxa"/>
            <w:right w:w="108" w:type="dxa"/>
          </w:tblCellMar>
        </w:tblPrEx>
        <w:trPr>
          <w:trHeight w:val="91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服务任务期限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0"/>
                <w:numId w:val="0"/>
              </w:numPr>
              <w:spacing w:line="360" w:lineRule="auto"/>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eastAsia="zh-CN"/>
              </w:rPr>
              <w:t>发出中标通知书之日起</w:t>
            </w:r>
            <w:r>
              <w:rPr>
                <w:rFonts w:hint="eastAsia" w:ascii="宋体" w:hAnsi="宋体" w:eastAsia="宋体" w:cs="宋体"/>
                <w:bCs w:val="0"/>
                <w:color w:val="auto"/>
                <w:sz w:val="21"/>
                <w:szCs w:val="21"/>
                <w:highlight w:val="none"/>
                <w:lang w:eastAsia="zh-CN"/>
              </w:rPr>
              <w:t>至</w:t>
            </w:r>
            <w:r>
              <w:rPr>
                <w:rFonts w:hint="eastAsia" w:ascii="宋体" w:hAnsi="宋体" w:eastAsia="宋体" w:cs="宋体"/>
                <w:bCs w:val="0"/>
                <w:color w:val="auto"/>
                <w:sz w:val="21"/>
                <w:szCs w:val="21"/>
                <w:highlight w:val="none"/>
              </w:rPr>
              <w:t>中标单位进场完成所有检测项目且技术成果通过审批，并提交有效的检测报告。检测工作进度必须满足现场施工和</w:t>
            </w:r>
            <w:r>
              <w:rPr>
                <w:rFonts w:hint="eastAsia" w:ascii="宋体" w:hAnsi="宋体" w:eastAsia="宋体" w:cs="宋体"/>
                <w:bCs w:val="0"/>
                <w:color w:val="auto"/>
                <w:sz w:val="21"/>
                <w:szCs w:val="21"/>
                <w:highlight w:val="none"/>
                <w:lang w:eastAsia="zh-CN"/>
              </w:rPr>
              <w:t>招标人</w:t>
            </w:r>
            <w:r>
              <w:rPr>
                <w:rFonts w:hint="eastAsia" w:ascii="宋体" w:hAnsi="宋体" w:eastAsia="宋体" w:cs="宋体"/>
                <w:bCs w:val="0"/>
                <w:color w:val="auto"/>
                <w:sz w:val="21"/>
                <w:szCs w:val="21"/>
                <w:highlight w:val="none"/>
              </w:rPr>
              <w:t>的要求</w:t>
            </w:r>
            <w:r>
              <w:rPr>
                <w:rFonts w:hint="eastAsia" w:ascii="宋体" w:hAnsi="宋体" w:eastAsia="宋体" w:cs="宋体"/>
                <w:bCs w:val="0"/>
                <w:color w:val="auto"/>
                <w:sz w:val="21"/>
                <w:szCs w:val="21"/>
                <w:highlight w:val="none"/>
                <w:lang w:eastAsia="zh-CN"/>
              </w:rPr>
              <w:t>。</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自筹资金</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1、投标人均具有独立法人资格，持有工商行政管理部门核发的法人营业执照或各级登记管理机关颁发的事业单位法定代表人证，按国家法律经营。</w:t>
            </w:r>
          </w:p>
          <w:p>
            <w:pPr>
              <w:keepNext w:val="0"/>
              <w:keepLines w:val="0"/>
              <w:widowControl/>
              <w:numPr>
                <w:ilvl w:val="-1"/>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none"/>
                <w:lang w:eastAsia="zh-CN"/>
              </w:rPr>
              <w:t>2、</w:t>
            </w:r>
            <w:r>
              <w:rPr>
                <w:rFonts w:hint="eastAsia" w:ascii="宋体" w:hAnsi="宋体" w:eastAsia="宋体" w:cs="宋体"/>
                <w:color w:val="auto"/>
                <w:sz w:val="21"/>
                <w:szCs w:val="21"/>
                <w:highlight w:val="none"/>
                <w:u w:val="none"/>
              </w:rPr>
              <w:t>投标人须具备建设行政主管部门颁发的建设工程质量检测机构资质证书，且证书需在有效期内（检测范围须涵盖本</w:t>
            </w:r>
            <w:r>
              <w:rPr>
                <w:rFonts w:hint="eastAsia" w:ascii="宋体" w:hAnsi="宋体" w:eastAsia="宋体" w:cs="宋体"/>
                <w:color w:val="auto"/>
                <w:sz w:val="21"/>
                <w:szCs w:val="21"/>
                <w:highlight w:val="none"/>
                <w:u w:val="none"/>
                <w:lang w:eastAsia="zh-CN"/>
              </w:rPr>
              <w:t>次</w:t>
            </w:r>
            <w:r>
              <w:rPr>
                <w:rFonts w:hint="eastAsia" w:ascii="宋体" w:hAnsi="宋体" w:eastAsia="宋体" w:cs="宋体"/>
                <w:color w:val="auto"/>
                <w:sz w:val="21"/>
                <w:szCs w:val="21"/>
                <w:highlight w:val="none"/>
                <w:u w:val="none"/>
              </w:rPr>
              <w:t>招标</w:t>
            </w:r>
            <w:r>
              <w:rPr>
                <w:rFonts w:hint="eastAsia" w:ascii="宋体" w:hAnsi="宋体" w:eastAsia="宋体" w:cs="宋体"/>
                <w:color w:val="auto"/>
                <w:sz w:val="21"/>
                <w:szCs w:val="21"/>
                <w:highlight w:val="none"/>
                <w:u w:val="none"/>
                <w:lang w:eastAsia="zh-CN"/>
              </w:rPr>
              <w:t>范围</w:t>
            </w:r>
            <w:r>
              <w:rPr>
                <w:rFonts w:hint="eastAsia" w:ascii="宋体" w:hAnsi="宋体" w:eastAsia="宋体" w:cs="宋体"/>
                <w:color w:val="auto"/>
                <w:sz w:val="21"/>
                <w:szCs w:val="21"/>
                <w:highlight w:val="none"/>
                <w:u w:val="none"/>
              </w:rPr>
              <w:t>，如检测项目与上述名称不同，但表达的意思一致也视为满足该项条件)</w:t>
            </w:r>
            <w:r>
              <w:rPr>
                <w:rFonts w:hint="eastAsia" w:ascii="宋体" w:hAnsi="宋体" w:eastAsia="宋体" w:cs="宋体"/>
                <w:color w:val="auto"/>
                <w:sz w:val="21"/>
                <w:szCs w:val="21"/>
                <w:highlight w:val="none"/>
                <w:u w:val="none"/>
                <w:lang w:eastAsia="zh-CN"/>
              </w:rPr>
              <w:t>。</w:t>
            </w:r>
          </w:p>
          <w:p>
            <w:pPr>
              <w:widowControl/>
              <w:spacing w:line="360" w:lineRule="auto"/>
              <w:ind w:firstLine="420" w:firstLineChars="200"/>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eastAsia="zh-CN"/>
              </w:rPr>
              <w:t>3、</w:t>
            </w:r>
            <w:r>
              <w:rPr>
                <w:rFonts w:hint="eastAsia" w:ascii="宋体" w:hAnsi="宋体" w:eastAsia="宋体" w:cs="宋体"/>
                <w:color w:val="auto"/>
                <w:sz w:val="21"/>
                <w:szCs w:val="21"/>
                <w:highlight w:val="none"/>
                <w:u w:val="none"/>
              </w:rPr>
              <w:t>投标人须具备质量技术监督管理部门颁发的CMA计量认证合格证书（或CMA检验检测机构资质认定证书），且在有效期内。认证范围须覆盖本</w:t>
            </w:r>
            <w:r>
              <w:rPr>
                <w:rFonts w:hint="eastAsia" w:ascii="宋体" w:hAnsi="宋体" w:eastAsia="宋体" w:cs="宋体"/>
                <w:color w:val="auto"/>
                <w:sz w:val="21"/>
                <w:szCs w:val="21"/>
                <w:highlight w:val="none"/>
                <w:u w:val="none"/>
                <w:lang w:eastAsia="zh-CN"/>
              </w:rPr>
              <w:t>次</w:t>
            </w:r>
            <w:r>
              <w:rPr>
                <w:rFonts w:hint="eastAsia" w:ascii="宋体" w:hAnsi="宋体" w:eastAsia="宋体" w:cs="宋体"/>
                <w:color w:val="auto"/>
                <w:sz w:val="21"/>
                <w:szCs w:val="21"/>
                <w:highlight w:val="none"/>
                <w:u w:val="none"/>
              </w:rPr>
              <w:t>招标</w:t>
            </w:r>
            <w:r>
              <w:rPr>
                <w:rFonts w:hint="eastAsia" w:ascii="宋体" w:hAnsi="宋体" w:eastAsia="宋体" w:cs="宋体"/>
                <w:color w:val="auto"/>
                <w:sz w:val="21"/>
                <w:szCs w:val="21"/>
                <w:highlight w:val="none"/>
                <w:u w:val="none"/>
                <w:lang w:eastAsia="zh-CN"/>
              </w:rPr>
              <w:t>范围</w:t>
            </w:r>
            <w:r>
              <w:rPr>
                <w:rFonts w:hint="eastAsia" w:ascii="宋体" w:hAnsi="宋体" w:eastAsia="宋体" w:cs="宋体"/>
                <w:color w:val="auto"/>
                <w:sz w:val="21"/>
                <w:szCs w:val="21"/>
                <w:highlight w:val="none"/>
                <w:u w:val="none"/>
              </w:rPr>
              <w:t>，如CMA计量认证合格证书（或CMA检验检测机构资质认定证书）中的认证项目与上述名称不同，但表达的意思一致也视为满足该项条件。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本次招标</w:t>
            </w:r>
            <w:r>
              <w:rPr>
                <w:rFonts w:hint="eastAsia" w:ascii="宋体" w:hAnsi="宋体" w:eastAsia="宋体" w:cs="宋体"/>
                <w:b w:val="0"/>
                <w:color w:val="auto"/>
                <w:sz w:val="21"/>
                <w:szCs w:val="21"/>
                <w:highlight w:val="none"/>
                <w:u w:val="none"/>
              </w:rPr>
              <w:t>不</w:t>
            </w:r>
            <w:r>
              <w:rPr>
                <w:rFonts w:hint="eastAsia" w:ascii="宋体" w:hAnsi="宋体" w:eastAsia="宋体" w:cs="宋体"/>
                <w:b w:val="0"/>
                <w:bCs w:val="0"/>
                <w:color w:val="auto"/>
                <w:sz w:val="21"/>
                <w:szCs w:val="21"/>
                <w:highlight w:val="none"/>
                <w:u w:val="none"/>
              </w:rPr>
              <w:t>接受</w:t>
            </w:r>
            <w:r>
              <w:rPr>
                <w:rFonts w:hint="eastAsia" w:ascii="宋体" w:hAnsi="宋体" w:eastAsia="宋体" w:cs="宋体"/>
                <w:color w:val="auto"/>
                <w:sz w:val="21"/>
                <w:szCs w:val="21"/>
                <w:highlight w:val="none"/>
              </w:rPr>
              <w:t>联合体投标。</w:t>
            </w:r>
          </w:p>
        </w:tc>
      </w:tr>
      <w:tr>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服务人员的专业配套要求</w:t>
            </w:r>
          </w:p>
          <w:p>
            <w:pPr>
              <w:pStyle w:val="2"/>
              <w:widowControl/>
              <w:spacing w:after="0"/>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line="360" w:lineRule="auto"/>
              <w:ind w:firstLine="420" w:firstLineChars="200"/>
              <w:contextualSpacing w:val="0"/>
              <w:rPr>
                <w:rFonts w:hint="eastAsia" w:ascii="宋体" w:hAnsi="宋体" w:eastAsia="宋体" w:cs="宋体"/>
                <w:color w:val="auto"/>
                <w:szCs w:val="21"/>
                <w:highlight w:val="none"/>
                <w:u w:val="none"/>
              </w:rPr>
            </w:pPr>
            <w:r>
              <w:rPr>
                <w:rFonts w:hint="eastAsia" w:ascii="宋体" w:hAnsi="宋体" w:eastAsia="宋体" w:cs="宋体"/>
                <w:szCs w:val="21"/>
              </w:rPr>
              <w:t>投标人拟担任项目负责人须具有：建筑工程检测</w:t>
            </w:r>
            <w:r>
              <w:rPr>
                <w:rFonts w:hint="eastAsia" w:ascii="宋体" w:hAnsi="宋体" w:eastAsia="宋体" w:cs="宋体"/>
                <w:szCs w:val="21"/>
                <w:lang w:eastAsia="zh-CN"/>
              </w:rPr>
              <w:t>类</w:t>
            </w:r>
            <w:r>
              <w:rPr>
                <w:rFonts w:hint="eastAsia" w:ascii="宋体" w:hAnsi="宋体" w:eastAsia="宋体" w:cs="宋体"/>
                <w:szCs w:val="21"/>
              </w:rPr>
              <w:t>或工程</w:t>
            </w:r>
            <w:r>
              <w:rPr>
                <w:rFonts w:hint="eastAsia" w:ascii="宋体" w:hAnsi="宋体" w:eastAsia="宋体" w:cs="宋体"/>
                <w:szCs w:val="21"/>
                <w:lang w:eastAsia="zh-CN"/>
              </w:rPr>
              <w:t>类相关专业中</w:t>
            </w:r>
            <w:r>
              <w:rPr>
                <w:rFonts w:hint="eastAsia" w:ascii="宋体" w:hAnsi="宋体" w:eastAsia="宋体" w:cs="宋体"/>
                <w:color w:val="auto"/>
                <w:szCs w:val="21"/>
                <w:highlight w:val="none"/>
                <w:u w:val="none"/>
              </w:rPr>
              <w:t>级或以上职称。</w:t>
            </w:r>
          </w:p>
          <w:p>
            <w:pPr>
              <w:widowControl/>
              <w:spacing w:line="360" w:lineRule="auto"/>
              <w:ind w:firstLine="420" w:firstLineChars="200"/>
              <w:rPr>
                <w:rFonts w:hint="eastAsia" w:ascii="宋体" w:hAnsi="宋体" w:eastAsia="宋体" w:cs="宋体"/>
                <w:szCs w:val="21"/>
                <w:lang w:val="en-US" w:eastAsia="zh-CN"/>
              </w:rPr>
            </w:pPr>
            <w:r>
              <w:rPr>
                <w:rFonts w:hint="eastAsia" w:ascii="宋体" w:hAnsi="宋体" w:eastAsia="宋体" w:cs="宋体"/>
                <w:color w:val="auto"/>
                <w:sz w:val="21"/>
                <w:szCs w:val="21"/>
                <w:highlight w:val="none"/>
                <w:u w:val="none"/>
              </w:rPr>
              <w:t>投标人拟担任项目负责人须具有：工程</w:t>
            </w:r>
            <w:r>
              <w:rPr>
                <w:rFonts w:hint="eastAsia" w:ascii="宋体" w:hAnsi="宋体" w:eastAsia="宋体" w:cs="宋体"/>
                <w:color w:val="auto"/>
                <w:sz w:val="21"/>
                <w:szCs w:val="21"/>
                <w:highlight w:val="none"/>
                <w:u w:val="none"/>
                <w:lang w:eastAsia="zh-CN"/>
              </w:rPr>
              <w:t>类相关专业中</w:t>
            </w:r>
            <w:r>
              <w:rPr>
                <w:rFonts w:hint="eastAsia" w:ascii="宋体" w:hAnsi="宋体" w:eastAsia="宋体" w:cs="宋体"/>
                <w:color w:val="auto"/>
                <w:sz w:val="21"/>
                <w:szCs w:val="21"/>
                <w:highlight w:val="none"/>
                <w:u w:val="none"/>
              </w:rPr>
              <w:t>级或以上职称。</w:t>
            </w:r>
            <w:r>
              <w:rPr>
                <w:rFonts w:hint="eastAsia" w:ascii="宋体" w:hAnsi="宋体" w:eastAsia="宋体" w:cs="宋体"/>
                <w:color w:val="auto"/>
                <w:sz w:val="21"/>
                <w:szCs w:val="21"/>
                <w:highlight w:val="none"/>
                <w:u w:val="none"/>
                <w:lang w:eastAsia="zh-CN"/>
              </w:rPr>
              <w:t>项目负责人和技术负责人不能为同一人。</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Autospacing="0" w:after="0"/>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Autospacing="0" w:after="0"/>
              <w:ind w:left="-59" w:leftChars="-28"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资格后审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由投标人自行考察。</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r>
      <w:tr>
        <w:tblPrEx>
          <w:tblCellMar>
            <w:top w:w="0" w:type="dxa"/>
            <w:left w:w="108" w:type="dxa"/>
            <w:bottom w:w="0" w:type="dxa"/>
            <w:right w:w="108" w:type="dxa"/>
          </w:tblCellMar>
        </w:tblPrEx>
        <w:trPr>
          <w:trHeight w:val="65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100" w:beforeAutospacing="0" w:after="0" w:line="440" w:lineRule="exact"/>
              <w:ind w:left="-59" w:leftChars="-28" w:right="-44" w:rightChars="-21"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报价及结算方式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0"/>
                <w:numId w:val="0"/>
              </w:numPr>
              <w:adjustRightInd/>
              <w:spacing w:line="360" w:lineRule="auto"/>
              <w:ind w:firstLine="420" w:firstLineChars="200"/>
              <w:jc w:val="left"/>
              <w:textAlignment w:val="auto"/>
              <w:rPr>
                <w:rFonts w:hint="eastAsia" w:ascii="宋体" w:hAnsi="宋体" w:eastAsia="宋体" w:cs="宋体"/>
                <w:color w:val="auto"/>
                <w:kern w:val="2"/>
                <w:sz w:val="21"/>
                <w:szCs w:val="21"/>
                <w:highlight w:val="none"/>
                <w:lang w:val="en-US"/>
              </w:rPr>
            </w:pPr>
            <w:r>
              <w:rPr>
                <w:rFonts w:hint="eastAsia" w:ascii="宋体" w:hAnsi="宋体" w:eastAsia="宋体" w:cs="宋体"/>
                <w:color w:val="auto"/>
                <w:kern w:val="2"/>
                <w:sz w:val="21"/>
                <w:szCs w:val="21"/>
                <w:highlight w:val="none"/>
              </w:rPr>
              <w:t>本次</w:t>
            </w:r>
            <w:r>
              <w:rPr>
                <w:rFonts w:hint="eastAsia" w:ascii="宋体" w:hAnsi="宋体" w:eastAsia="宋体" w:cs="宋体"/>
                <w:color w:val="auto"/>
                <w:kern w:val="2"/>
                <w:sz w:val="21"/>
                <w:szCs w:val="21"/>
                <w:highlight w:val="none"/>
                <w:lang w:eastAsia="zh-CN"/>
              </w:rPr>
              <w:t>检测服务</w:t>
            </w:r>
            <w:r>
              <w:rPr>
                <w:rFonts w:hint="eastAsia" w:ascii="宋体" w:hAnsi="宋体" w:eastAsia="宋体" w:cs="宋体"/>
                <w:color w:val="auto"/>
                <w:kern w:val="2"/>
                <w:sz w:val="21"/>
                <w:szCs w:val="21"/>
                <w:highlight w:val="none"/>
              </w:rPr>
              <w:t>费</w:t>
            </w:r>
            <w:r>
              <w:rPr>
                <w:rFonts w:hint="eastAsia" w:ascii="宋体" w:hAnsi="宋体" w:eastAsia="宋体" w:cs="宋体"/>
                <w:color w:val="auto"/>
                <w:kern w:val="2"/>
                <w:sz w:val="21"/>
                <w:szCs w:val="21"/>
                <w:highlight w:val="none"/>
                <w:lang w:eastAsia="zh-CN"/>
              </w:rPr>
              <w:t>招标控制价为¥</w:t>
            </w:r>
            <w:r>
              <w:rPr>
                <w:rFonts w:hint="eastAsia" w:ascii="宋体" w:hAnsi="宋体" w:eastAsia="宋体" w:cs="宋体"/>
                <w:color w:val="auto"/>
                <w:kern w:val="2"/>
                <w:sz w:val="21"/>
                <w:szCs w:val="21"/>
                <w:highlight w:val="none"/>
                <w:lang w:val="en-US" w:eastAsia="zh-CN"/>
              </w:rPr>
              <w:t>165982.01元（大写：人民币壹拾陆万伍仟玖佰捌拾贰元零角壹分），</w:t>
            </w:r>
            <w:r>
              <w:rPr>
                <w:rFonts w:hint="eastAsia" w:ascii="宋体" w:hAnsi="宋体" w:eastAsia="宋体" w:cs="宋体"/>
                <w:b w:val="0"/>
                <w:bCs/>
                <w:color w:val="auto"/>
                <w:sz w:val="21"/>
                <w:szCs w:val="21"/>
                <w:highlight w:val="none"/>
                <w:lang w:eastAsia="zh-CN"/>
              </w:rPr>
              <w:t>参</w:t>
            </w:r>
            <w:r>
              <w:rPr>
                <w:rFonts w:hint="eastAsia" w:ascii="宋体" w:hAnsi="宋体" w:eastAsia="宋体" w:cs="宋体"/>
                <w:b w:val="0"/>
                <w:bCs/>
                <w:color w:val="auto"/>
                <w:sz w:val="21"/>
                <w:szCs w:val="21"/>
                <w:highlight w:val="none"/>
              </w:rPr>
              <w:t>照</w:t>
            </w:r>
            <w:r>
              <w:rPr>
                <w:rFonts w:hint="eastAsia" w:ascii="宋体" w:hAnsi="宋体" w:eastAsia="宋体" w:cs="宋体"/>
                <w:bCs/>
                <w:color w:val="auto"/>
                <w:sz w:val="21"/>
                <w:szCs w:val="21"/>
                <w:highlight w:val="none"/>
                <w:u w:val="none"/>
              </w:rPr>
              <w:t>《关于印发〈广东省房屋建筑和市政工程质量安全检测收费指导价（第一批）〉、〈广东省既有房屋建筑安全性鉴定收费指导价〉的通知》（粤建检协〔2015〕8号）</w:t>
            </w:r>
            <w:r>
              <w:rPr>
                <w:rFonts w:hint="eastAsia" w:ascii="宋体" w:hAnsi="宋体" w:eastAsia="宋体" w:cs="宋体"/>
                <w:bCs/>
                <w:color w:val="auto"/>
                <w:sz w:val="21"/>
                <w:szCs w:val="21"/>
                <w:highlight w:val="none"/>
                <w:u w:val="none"/>
                <w:lang w:eastAsia="zh-CN"/>
              </w:rPr>
              <w:t>、粤质检[2008]52号、粤价[2001]340号</w:t>
            </w:r>
            <w:r>
              <w:rPr>
                <w:rFonts w:hint="eastAsia" w:ascii="宋体" w:hAnsi="宋体" w:eastAsia="宋体" w:cs="宋体"/>
                <w:bCs/>
                <w:color w:val="auto"/>
                <w:sz w:val="21"/>
                <w:szCs w:val="21"/>
                <w:highlight w:val="none"/>
                <w:u w:val="none"/>
              </w:rPr>
              <w:t>等相关</w:t>
            </w:r>
            <w:r>
              <w:rPr>
                <w:rFonts w:hint="eastAsia" w:ascii="宋体" w:hAnsi="宋体" w:eastAsia="宋体" w:cs="宋体"/>
                <w:bCs/>
                <w:color w:val="auto"/>
                <w:sz w:val="21"/>
                <w:szCs w:val="21"/>
                <w:highlight w:val="none"/>
                <w:u w:val="none"/>
                <w:lang w:eastAsia="zh-CN"/>
              </w:rPr>
              <w:t>收费指导价为依据，结合检测清单，下浮</w:t>
            </w:r>
            <w:r>
              <w:rPr>
                <w:rFonts w:hint="eastAsia" w:ascii="宋体" w:hAnsi="宋体" w:eastAsia="宋体" w:cs="宋体"/>
                <w:bCs/>
                <w:color w:val="auto"/>
                <w:sz w:val="21"/>
                <w:szCs w:val="21"/>
                <w:highlight w:val="none"/>
                <w:u w:val="none"/>
                <w:lang w:val="en-US" w:eastAsia="zh-CN"/>
              </w:rPr>
              <w:t>30%计算得出</w:t>
            </w:r>
            <w:r>
              <w:rPr>
                <w:rFonts w:hint="eastAsia" w:ascii="宋体" w:hAnsi="宋体" w:eastAsia="宋体" w:cs="宋体"/>
                <w:color w:val="auto"/>
                <w:kern w:val="2"/>
                <w:sz w:val="21"/>
                <w:szCs w:val="21"/>
                <w:highlight w:val="none"/>
                <w:lang w:val="en-US" w:eastAsia="zh-CN"/>
              </w:rPr>
              <w:t>。超出招标控制价的报价为废标。</w:t>
            </w:r>
          </w:p>
          <w:p>
            <w:pPr>
              <w:adjustRightInd/>
              <w:spacing w:line="360" w:lineRule="auto"/>
              <w:ind w:firstLine="420"/>
              <w:jc w:val="left"/>
              <w:textAlignment w:val="auto"/>
              <w:rPr>
                <w:rFonts w:hint="eastAsia" w:ascii="宋体" w:hAnsi="宋体" w:eastAsia="宋体" w:cs="宋体"/>
                <w:color w:val="auto"/>
                <w:kern w:val="2"/>
                <w:sz w:val="21"/>
                <w:szCs w:val="21"/>
                <w:highlight w:val="none"/>
                <w:lang w:val="en-US"/>
              </w:rPr>
            </w:pPr>
            <w:r>
              <w:rPr>
                <w:rFonts w:hint="eastAsia" w:ascii="宋体" w:hAnsi="宋体" w:eastAsia="宋体" w:cs="宋体"/>
                <w:color w:val="auto"/>
                <w:kern w:val="2"/>
                <w:sz w:val="21"/>
                <w:szCs w:val="21"/>
                <w:highlight w:val="none"/>
              </w:rPr>
              <w:t>本次</w:t>
            </w:r>
            <w:r>
              <w:rPr>
                <w:rFonts w:hint="eastAsia" w:ascii="宋体" w:hAnsi="宋体" w:eastAsia="宋体" w:cs="宋体"/>
                <w:color w:val="auto"/>
                <w:kern w:val="2"/>
                <w:sz w:val="21"/>
                <w:szCs w:val="21"/>
                <w:highlight w:val="none"/>
                <w:lang w:eastAsia="zh-CN"/>
              </w:rPr>
              <w:t>检测服务为</w:t>
            </w:r>
            <w:r>
              <w:rPr>
                <w:rFonts w:hint="eastAsia" w:ascii="宋体" w:hAnsi="宋体" w:eastAsia="宋体" w:cs="宋体"/>
                <w:b w:val="0"/>
                <w:bCs/>
                <w:color w:val="auto"/>
                <w:sz w:val="21"/>
                <w:szCs w:val="21"/>
                <w:highlight w:val="none"/>
                <w:lang w:eastAsia="zh-CN"/>
              </w:rPr>
              <w:t>综合单</w:t>
            </w:r>
            <w:r>
              <w:rPr>
                <w:rFonts w:hint="eastAsia" w:ascii="宋体" w:hAnsi="宋体" w:eastAsia="宋体" w:cs="宋体"/>
                <w:b w:val="0"/>
                <w:bCs w:val="0"/>
                <w:color w:val="auto"/>
                <w:kern w:val="2"/>
                <w:sz w:val="21"/>
                <w:szCs w:val="21"/>
                <w:highlight w:val="none"/>
                <w:lang w:eastAsia="zh-CN"/>
              </w:rPr>
              <w:t>价包</w:t>
            </w:r>
            <w:r>
              <w:rPr>
                <w:rFonts w:hint="eastAsia" w:ascii="宋体" w:hAnsi="宋体" w:eastAsia="宋体" w:cs="宋体"/>
                <w:b w:val="0"/>
                <w:bCs/>
                <w:color w:val="auto"/>
                <w:sz w:val="21"/>
                <w:szCs w:val="21"/>
                <w:highlight w:val="none"/>
                <w:lang w:eastAsia="zh-CN"/>
              </w:rPr>
              <w:t>干，</w:t>
            </w:r>
            <w:r>
              <w:rPr>
                <w:rFonts w:hint="eastAsia" w:ascii="宋体" w:hAnsi="宋体" w:eastAsia="宋体" w:cs="宋体"/>
                <w:bCs/>
                <w:color w:val="auto"/>
                <w:sz w:val="21"/>
                <w:szCs w:val="21"/>
                <w:highlight w:val="none"/>
              </w:rPr>
              <w:t>包括但不限于</w:t>
            </w:r>
            <w:r>
              <w:rPr>
                <w:rFonts w:hint="eastAsia" w:ascii="宋体" w:hAnsi="宋体" w:eastAsia="宋体" w:cs="宋体"/>
                <w:bCs/>
                <w:color w:val="auto"/>
                <w:sz w:val="21"/>
                <w:szCs w:val="21"/>
                <w:highlight w:val="none"/>
                <w:lang w:eastAsia="zh-CN"/>
              </w:rPr>
              <w:t>承包人完成约定所有工作</w:t>
            </w:r>
            <w:r>
              <w:rPr>
                <w:rFonts w:hint="eastAsia" w:ascii="宋体" w:hAnsi="宋体" w:eastAsia="宋体" w:cs="宋体"/>
                <w:bCs/>
                <w:color w:val="auto"/>
                <w:sz w:val="21"/>
                <w:szCs w:val="21"/>
                <w:highlight w:val="none"/>
              </w:rPr>
              <w:t>所需的劳务(含技术人员)、材料、机械</w:t>
            </w:r>
            <w:r>
              <w:rPr>
                <w:rFonts w:hint="eastAsia" w:ascii="宋体" w:hAnsi="宋体" w:eastAsia="宋体" w:cs="宋体"/>
                <w:bCs/>
                <w:color w:val="auto"/>
                <w:sz w:val="21"/>
                <w:szCs w:val="21"/>
                <w:highlight w:val="none"/>
                <w:lang w:eastAsia="zh-CN"/>
              </w:rPr>
              <w:t>设备</w:t>
            </w:r>
            <w:r>
              <w:rPr>
                <w:rFonts w:hint="eastAsia" w:ascii="宋体" w:hAnsi="宋体" w:eastAsia="宋体" w:cs="宋体"/>
                <w:bCs/>
                <w:color w:val="auto"/>
                <w:sz w:val="21"/>
                <w:szCs w:val="21"/>
                <w:highlight w:val="none"/>
              </w:rPr>
              <w:t>(含仪器设备、软件等使用费，进出场费)、差旅交通、检测试验费、报告编写费、各项管理费、辅助工作、临时设施、就餐、住宿、管理、利润、规费、税金、保险（建筑工程一切险和第三方责任险除外）等全部相关费用，以及合同</w:t>
            </w:r>
            <w:r>
              <w:rPr>
                <w:rFonts w:hint="eastAsia" w:ascii="宋体" w:hAnsi="宋体" w:eastAsia="宋体" w:cs="宋体"/>
                <w:bCs/>
                <w:color w:val="auto"/>
                <w:sz w:val="21"/>
                <w:szCs w:val="21"/>
                <w:highlight w:val="none"/>
                <w:lang w:eastAsia="zh-CN"/>
              </w:rPr>
              <w:t>约定</w:t>
            </w:r>
            <w:r>
              <w:rPr>
                <w:rFonts w:hint="eastAsia" w:ascii="宋体" w:hAnsi="宋体" w:eastAsia="宋体" w:cs="宋体"/>
                <w:bCs/>
                <w:color w:val="auto"/>
                <w:sz w:val="21"/>
                <w:szCs w:val="21"/>
                <w:highlight w:val="none"/>
              </w:rPr>
              <w:t>的所有责任、义务和风险。因检测</w:t>
            </w:r>
            <w:r>
              <w:rPr>
                <w:rFonts w:hint="eastAsia" w:ascii="宋体" w:hAnsi="宋体" w:eastAsia="宋体" w:cs="宋体"/>
                <w:bCs/>
                <w:color w:val="auto"/>
                <w:sz w:val="21"/>
                <w:szCs w:val="21"/>
                <w:highlight w:val="none"/>
                <w:lang w:eastAsia="zh-CN"/>
              </w:rPr>
              <w:t>工作</w:t>
            </w:r>
            <w:r>
              <w:rPr>
                <w:rFonts w:hint="eastAsia" w:ascii="宋体" w:hAnsi="宋体" w:eastAsia="宋体" w:cs="宋体"/>
                <w:bCs/>
                <w:color w:val="auto"/>
                <w:sz w:val="21"/>
                <w:szCs w:val="21"/>
                <w:highlight w:val="none"/>
              </w:rPr>
              <w:t>需要产生的二次或多次进退场费用已综合考虑在综合单价中，</w:t>
            </w:r>
            <w:r>
              <w:rPr>
                <w:rFonts w:hint="eastAsia" w:ascii="宋体" w:hAnsi="宋体" w:eastAsia="宋体" w:cs="宋体"/>
                <w:bCs/>
                <w:color w:val="auto"/>
                <w:sz w:val="21"/>
                <w:szCs w:val="21"/>
                <w:highlight w:val="none"/>
                <w:lang w:eastAsia="zh-CN"/>
              </w:rPr>
              <w:t>招标人</w:t>
            </w:r>
            <w:r>
              <w:rPr>
                <w:rFonts w:hint="eastAsia" w:ascii="宋体" w:hAnsi="宋体" w:eastAsia="宋体" w:cs="宋体"/>
                <w:bCs/>
                <w:color w:val="auto"/>
                <w:sz w:val="21"/>
                <w:szCs w:val="21"/>
                <w:highlight w:val="none"/>
              </w:rPr>
              <w:t>不再另行支付。</w:t>
            </w:r>
            <w:r>
              <w:rPr>
                <w:rFonts w:hint="eastAsia" w:ascii="宋体" w:hAnsi="宋体" w:eastAsia="宋体" w:cs="宋体"/>
                <w:bCs/>
                <w:color w:val="auto"/>
                <w:kern w:val="0"/>
                <w:sz w:val="21"/>
                <w:szCs w:val="21"/>
                <w:highlight w:val="none"/>
              </w:rPr>
              <w:t>投标人应考</w:t>
            </w:r>
            <w:r>
              <w:rPr>
                <w:rFonts w:hint="eastAsia" w:ascii="宋体" w:hAnsi="宋体" w:eastAsia="宋体" w:cs="宋体"/>
                <w:color w:val="auto"/>
                <w:kern w:val="2"/>
                <w:sz w:val="21"/>
                <w:szCs w:val="21"/>
                <w:highlight w:val="none"/>
              </w:rPr>
              <w:t>虑上述情况进行报价。投标下浮率</w:t>
            </w:r>
            <w:r>
              <w:rPr>
                <w:rFonts w:hint="eastAsia" w:ascii="宋体" w:hAnsi="宋体" w:eastAsia="宋体" w:cs="宋体"/>
                <w:color w:val="auto"/>
                <w:kern w:val="2"/>
                <w:sz w:val="21"/>
                <w:szCs w:val="21"/>
                <w:highlight w:val="none"/>
                <w:lang w:val="en-US" w:eastAsia="zh-CN"/>
              </w:rPr>
              <w:t>=1-（投标报价/收费指导价总价）×100%，</w:t>
            </w:r>
            <w:r>
              <w:rPr>
                <w:rFonts w:hint="eastAsia" w:ascii="宋体" w:hAnsi="宋体" w:eastAsia="宋体" w:cs="宋体"/>
                <w:bCs w:val="0"/>
                <w:color w:val="auto"/>
                <w:kern w:val="2"/>
                <w:sz w:val="21"/>
                <w:szCs w:val="21"/>
                <w:highlight w:val="none"/>
              </w:rPr>
              <w:t>精确到小数点后两位</w:t>
            </w:r>
            <w:r>
              <w:rPr>
                <w:rFonts w:hint="eastAsia" w:ascii="宋体" w:hAnsi="宋体" w:eastAsia="宋体" w:cs="宋体"/>
                <w:color w:val="auto"/>
                <w:kern w:val="2"/>
                <w:sz w:val="21"/>
                <w:szCs w:val="21"/>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val="en-US" w:eastAsia="zh-CN"/>
              </w:rPr>
              <w:t>检测服务费</w:t>
            </w:r>
            <w:r>
              <w:rPr>
                <w:rFonts w:hint="eastAsia" w:ascii="宋体" w:hAnsi="宋体" w:eastAsia="宋体" w:cs="宋体"/>
                <w:b w:val="0"/>
                <w:bCs/>
                <w:color w:val="auto"/>
                <w:sz w:val="21"/>
                <w:szCs w:val="21"/>
                <w:highlight w:val="none"/>
                <w:lang w:eastAsia="zh-CN"/>
              </w:rPr>
              <w:t>最终</w:t>
            </w:r>
            <w:r>
              <w:rPr>
                <w:rFonts w:hint="eastAsia" w:ascii="宋体" w:hAnsi="宋体" w:eastAsia="宋体" w:cs="宋体"/>
                <w:b w:val="0"/>
                <w:bCs/>
                <w:color w:val="auto"/>
                <w:sz w:val="21"/>
                <w:szCs w:val="21"/>
                <w:highlight w:val="none"/>
                <w:lang w:val="en-US" w:eastAsia="zh-CN"/>
              </w:rPr>
              <w:t>结算价</w:t>
            </w:r>
            <w:r>
              <w:rPr>
                <w:rFonts w:hint="eastAsia" w:ascii="宋体" w:hAnsi="宋体" w:eastAsia="宋体" w:cs="宋体"/>
                <w:b w:val="0"/>
                <w:bCs/>
                <w:color w:val="auto"/>
                <w:sz w:val="21"/>
                <w:szCs w:val="21"/>
                <w:highlight w:val="none"/>
                <w:lang w:eastAsia="zh-CN"/>
              </w:rPr>
              <w:t>参</w:t>
            </w:r>
            <w:r>
              <w:rPr>
                <w:rFonts w:hint="eastAsia" w:ascii="宋体" w:hAnsi="宋体" w:eastAsia="宋体" w:cs="宋体"/>
                <w:b w:val="0"/>
                <w:bCs/>
                <w:color w:val="auto"/>
                <w:sz w:val="21"/>
                <w:szCs w:val="21"/>
                <w:highlight w:val="none"/>
              </w:rPr>
              <w:t>照</w:t>
            </w:r>
            <w:r>
              <w:rPr>
                <w:rFonts w:hint="eastAsia" w:ascii="宋体" w:hAnsi="宋体" w:eastAsia="宋体" w:cs="宋体"/>
                <w:bCs/>
                <w:color w:val="auto"/>
                <w:sz w:val="21"/>
                <w:szCs w:val="21"/>
                <w:highlight w:val="none"/>
                <w:u w:val="none"/>
              </w:rPr>
              <w:t>《关于印发〈广东省房屋建筑和市政工程质量安全检测收费指导价（第一批）〉、〈广东省既有房屋建筑安全性鉴定收费指导价〉的通知》（粤建检协〔2015〕8号）</w:t>
            </w:r>
            <w:r>
              <w:rPr>
                <w:rFonts w:hint="eastAsia" w:ascii="宋体" w:hAnsi="宋体" w:eastAsia="宋体" w:cs="宋体"/>
                <w:bCs/>
                <w:color w:val="auto"/>
                <w:sz w:val="21"/>
                <w:szCs w:val="21"/>
                <w:highlight w:val="none"/>
                <w:u w:val="none"/>
                <w:lang w:eastAsia="zh-CN"/>
              </w:rPr>
              <w:t>、</w:t>
            </w:r>
            <w:r>
              <w:rPr>
                <w:rFonts w:hint="eastAsia" w:ascii="宋体" w:hAnsi="宋体" w:eastAsia="宋体" w:cs="宋体"/>
                <w:bCs/>
                <w:color w:val="auto"/>
                <w:sz w:val="21"/>
                <w:szCs w:val="21"/>
                <w:highlight w:val="none"/>
                <w:u w:val="none"/>
              </w:rPr>
              <w:t>粤质检[2008]52号、粤价[2001]340号等相关</w:t>
            </w:r>
            <w:r>
              <w:rPr>
                <w:rFonts w:hint="eastAsia" w:ascii="宋体" w:hAnsi="宋体" w:eastAsia="宋体" w:cs="宋体"/>
                <w:bCs/>
                <w:color w:val="auto"/>
                <w:sz w:val="21"/>
                <w:szCs w:val="21"/>
                <w:highlight w:val="none"/>
                <w:u w:val="none"/>
                <w:lang w:eastAsia="zh-CN"/>
              </w:rPr>
              <w:t>收费指导价为依据</w:t>
            </w:r>
            <w:r>
              <w:rPr>
                <w:rFonts w:hint="eastAsia" w:ascii="宋体" w:hAnsi="宋体" w:eastAsia="宋体" w:cs="宋体"/>
                <w:b w:val="0"/>
                <w:bCs/>
                <w:color w:val="auto"/>
                <w:sz w:val="21"/>
                <w:szCs w:val="21"/>
                <w:highlight w:val="none"/>
                <w:lang w:val="en-US" w:eastAsia="zh-CN"/>
              </w:rPr>
              <w:t>，以实际发生的检测项目、数量及综合单价为计费标准计算得出，综合单价=检测项目收费指导价×（1-投标下浮率）</w:t>
            </w:r>
            <w:r>
              <w:rPr>
                <w:rFonts w:hint="eastAsia" w:ascii="宋体" w:hAnsi="宋体" w:eastAsia="宋体" w:cs="宋体"/>
                <w:b w:val="0"/>
                <w:bCs/>
                <w:color w:val="auto"/>
                <w:sz w:val="21"/>
                <w:szCs w:val="21"/>
                <w:highlight w:val="none"/>
                <w:lang w:eastAsia="zh-CN"/>
              </w:rPr>
              <w:t>。</w:t>
            </w:r>
          </w:p>
          <w:p>
            <w:pPr>
              <w:numPr>
                <w:ilvl w:val="0"/>
                <w:numId w:val="0"/>
              </w:numPr>
              <w:spacing w:line="360" w:lineRule="auto"/>
              <w:ind w:firstLine="420"/>
              <w:jc w:val="left"/>
              <w:rPr>
                <w:rFonts w:hint="eastAsia" w:ascii="宋体" w:hAnsi="宋体" w:eastAsia="宋体" w:cs="宋体"/>
                <w:szCs w:val="21"/>
                <w:lang w:eastAsia="zh-CN"/>
              </w:rPr>
            </w:pPr>
            <w:r>
              <w:rPr>
                <w:rFonts w:hint="eastAsia" w:ascii="宋体" w:hAnsi="宋体" w:eastAsia="宋体" w:cs="宋体"/>
                <w:bCs/>
                <w:color w:val="auto"/>
                <w:sz w:val="21"/>
                <w:szCs w:val="21"/>
                <w:highlight w:val="none"/>
                <w:lang w:eastAsia="zh-CN"/>
              </w:rPr>
              <w:t>注：若检测项目无收费指导价的，则以合理市场价进行报价，投标人应在报价清单中具体说明。</w:t>
            </w:r>
          </w:p>
          <w:p>
            <w:pPr>
              <w:widowControl w:val="0"/>
              <w:numPr>
                <w:ilvl w:val="0"/>
                <w:numId w:val="0"/>
              </w:numPr>
              <w:adjustRightInd/>
              <w:spacing w:line="360" w:lineRule="auto"/>
              <w:ind w:firstLine="420" w:firstLineChars="200"/>
              <w:jc w:val="left"/>
              <w:textAlignment w:val="auto"/>
              <w:rPr>
                <w:rFonts w:hint="eastAsia" w:ascii="宋体" w:hAnsi="宋体" w:eastAsia="宋体" w:cs="宋体"/>
                <w:color w:val="auto"/>
                <w:kern w:val="2"/>
                <w:sz w:val="21"/>
                <w:szCs w:val="21"/>
                <w:highlight w:val="none"/>
              </w:rPr>
            </w:pPr>
          </w:p>
        </w:tc>
      </w:tr>
      <w:tr>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20" w:lineRule="exact"/>
              <w:ind w:firstLine="0"/>
              <w:rPr>
                <w:rFonts w:hint="eastAsia" w:ascii="宋体" w:hAnsi="宋体" w:eastAsia="宋体" w:cs="宋体"/>
                <w:color w:val="auto"/>
                <w:highlight w:val="none"/>
              </w:rPr>
            </w:pPr>
            <w:r>
              <w:rPr>
                <w:rFonts w:hint="eastAsia" w:ascii="宋体" w:hAnsi="宋体" w:eastAsia="宋体" w:cs="宋体"/>
                <w:color w:val="auto"/>
                <w:highlight w:val="none"/>
              </w:rPr>
              <w:t>90日历天（从投标截止之日算起）。</w:t>
            </w:r>
          </w:p>
        </w:tc>
      </w:tr>
      <w:tr>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spacing w:val="0"/>
                <w:highlight w:val="none"/>
              </w:rPr>
            </w:pPr>
            <w:r>
              <w:rPr>
                <w:rFonts w:hint="eastAsia" w:ascii="宋体" w:hAnsi="宋体" w:eastAsia="宋体" w:cs="宋体"/>
                <w:color w:val="auto"/>
                <w:spacing w:val="0"/>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255"/>
                <w:numId w:val="0"/>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1、金额：人民币</w:t>
            </w:r>
            <w:r>
              <w:rPr>
                <w:rFonts w:hint="eastAsia" w:ascii="宋体" w:hAnsi="宋体" w:eastAsia="宋体" w:cs="宋体"/>
                <w:color w:val="auto"/>
                <w:szCs w:val="21"/>
                <w:highlight w:val="none"/>
                <w:u w:val="none"/>
                <w:lang w:eastAsia="zh-CN"/>
              </w:rPr>
              <w:t>伍仟</w:t>
            </w:r>
            <w:r>
              <w:rPr>
                <w:rFonts w:hint="eastAsia" w:ascii="宋体" w:hAnsi="宋体" w:eastAsia="宋体" w:cs="宋体"/>
                <w:color w:val="auto"/>
                <w:szCs w:val="21"/>
                <w:highlight w:val="none"/>
              </w:rPr>
              <w:t>元。</w:t>
            </w:r>
          </w:p>
          <w:p>
            <w:pPr>
              <w:numPr>
                <w:ilvl w:val="255"/>
                <w:numId w:val="0"/>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2、缴纳方式：银行转账。</w:t>
            </w:r>
          </w:p>
          <w:p>
            <w:pPr>
              <w:numPr>
                <w:ilvl w:val="-1"/>
                <w:numId w:val="0"/>
              </w:numPr>
              <w:adjustRightIn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账户名称：广州南沙建设维护管理有限公司</w:t>
            </w:r>
          </w:p>
          <w:p>
            <w:pPr>
              <w:numPr>
                <w:ilvl w:val="-1"/>
                <w:numId w:val="0"/>
              </w:numPr>
              <w:adjustRightIn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开户银行：中国工商银行广东自由贸易试验区南沙分行</w:t>
            </w:r>
            <w:r>
              <w:rPr>
                <w:rFonts w:hint="eastAsia" w:ascii="宋体" w:hAnsi="宋体" w:eastAsia="宋体" w:cs="宋体"/>
                <w:color w:val="auto"/>
                <w:sz w:val="21"/>
                <w:szCs w:val="21"/>
                <w:highlight w:val="none"/>
                <w:lang w:val="en-US" w:eastAsia="zh-CN"/>
              </w:rPr>
              <w:t xml:space="preserve"> </w:t>
            </w:r>
          </w:p>
          <w:p>
            <w:pPr>
              <w:numPr>
                <w:ilvl w:val="-1"/>
                <w:numId w:val="0"/>
              </w:numPr>
              <w:adjustRightInd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账号：3602056909200030855</w:t>
            </w:r>
          </w:p>
          <w:p>
            <w:pPr>
              <w:numPr>
                <w:ilvl w:val="0"/>
                <w:numId w:val="1"/>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缴纳时间：投标单位须在202</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28</w:t>
            </w:r>
            <w:r>
              <w:rPr>
                <w:rFonts w:hint="eastAsia" w:ascii="宋体" w:hAnsi="宋体" w:eastAsia="宋体" w:cs="宋体"/>
                <w:color w:val="auto"/>
                <w:szCs w:val="21"/>
                <w:highlight w:val="none"/>
              </w:rPr>
              <w:t>日（星期</w:t>
            </w:r>
            <w:r>
              <w:rPr>
                <w:rFonts w:hint="eastAsia" w:ascii="宋体" w:hAnsi="宋体" w:eastAsia="宋体" w:cs="宋体"/>
                <w:color w:val="auto"/>
                <w:szCs w:val="21"/>
                <w:highlight w:val="none"/>
                <w:lang w:val="en-US" w:eastAsia="zh-CN"/>
              </w:rPr>
              <w:t>二</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12</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00</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u w:val="none"/>
              </w:rPr>
              <w:t>前</w:t>
            </w:r>
            <w:r>
              <w:rPr>
                <w:rFonts w:hint="eastAsia" w:ascii="宋体" w:hAnsi="宋体" w:eastAsia="宋体" w:cs="宋体"/>
                <w:color w:val="auto"/>
                <w:szCs w:val="21"/>
                <w:highlight w:val="none"/>
              </w:rPr>
              <w:t>以投标人转出【以招标单位查询的信息为准，汇款时备注：</w:t>
            </w:r>
            <w:r>
              <w:rPr>
                <w:rFonts w:hint="eastAsia" w:ascii="宋体" w:hAnsi="宋体" w:eastAsia="宋体" w:cs="宋体"/>
                <w:color w:val="auto"/>
                <w:szCs w:val="21"/>
                <w:highlight w:val="none"/>
                <w:lang w:eastAsia="zh-CN"/>
              </w:rPr>
              <w:t>南沙湿地“渔唱晚主题酒店及疍家水岸广场”项目检测服务</w:t>
            </w:r>
            <w:r>
              <w:rPr>
                <w:rFonts w:hint="eastAsia" w:ascii="宋体" w:hAnsi="宋体" w:eastAsia="宋体" w:cs="宋体"/>
                <w:color w:val="auto"/>
                <w:szCs w:val="21"/>
                <w:highlight w:val="none"/>
              </w:rPr>
              <w:t>投标保证金】</w:t>
            </w:r>
          </w:p>
          <w:p>
            <w:pPr>
              <w:pStyle w:val="2"/>
              <w:widowControl/>
              <w:spacing w:beforeAutospacing="0"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4、未按规定缴纳投标保证金的正式投标人将被视为自动放弃本工程的投标资格。</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100" w:beforeAutospacing="0" w:after="0" w:line="440" w:lineRule="exact"/>
              <w:ind w:left="-46" w:leftChars="-22"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20" w:lineRule="exact"/>
              <w:ind w:firstLine="0"/>
              <w:rPr>
                <w:rFonts w:hint="eastAsia" w:ascii="宋体" w:hAnsi="宋体" w:eastAsia="宋体" w:cs="宋体"/>
                <w:color w:val="auto"/>
                <w:highlight w:val="none"/>
              </w:rPr>
            </w:pPr>
            <w:r>
              <w:rPr>
                <w:rFonts w:hint="eastAsia" w:ascii="宋体" w:hAnsi="宋体" w:eastAsia="宋体" w:cs="宋体"/>
                <w:color w:val="auto"/>
                <w:highlight w:val="none"/>
              </w:rPr>
              <w:t>投标文件：1份正本（含电子文件一套），4份副本。</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w:t>
            </w:r>
          </w:p>
          <w:p>
            <w:pPr>
              <w:pStyle w:val="2"/>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提交地点及</w:t>
            </w:r>
          </w:p>
          <w:p>
            <w:pPr>
              <w:pStyle w:val="2"/>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收件人：李工</w:t>
            </w:r>
          </w:p>
          <w:p>
            <w:pPr>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提交地点：广州南沙区金融大厦1807室</w:t>
            </w:r>
          </w:p>
          <w:p>
            <w:pPr>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投标时间：</w:t>
            </w:r>
            <w:r>
              <w:rPr>
                <w:rFonts w:hint="eastAsia" w:ascii="宋体" w:hAnsi="宋体" w:eastAsia="宋体" w:cs="宋体"/>
                <w:color w:val="auto"/>
                <w:sz w:val="21"/>
                <w:szCs w:val="21"/>
                <w:highlight w:val="none"/>
              </w:rPr>
              <w:t>202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29</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eastAsia="zh-CN"/>
              </w:rPr>
              <w:t>（星期</w:t>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14</w:t>
            </w:r>
            <w:r>
              <w:rPr>
                <w:rFonts w:hint="eastAsia" w:ascii="宋体" w:hAnsi="宋体" w:eastAsia="宋体" w:cs="宋体"/>
                <w:color w:val="auto"/>
                <w:sz w:val="21"/>
                <w:szCs w:val="21"/>
                <w:highlight w:val="none"/>
              </w:rPr>
              <w:t>时</w:t>
            </w:r>
            <w:r>
              <w:rPr>
                <w:rFonts w:hint="eastAsia" w:ascii="宋体" w:hAnsi="宋体" w:eastAsia="宋体" w:cs="宋体"/>
                <w:color w:val="auto"/>
                <w:sz w:val="21"/>
                <w:szCs w:val="21"/>
                <w:highlight w:val="none"/>
                <w:lang w:val="en-US" w:eastAsia="zh-CN"/>
              </w:rPr>
              <w:t>00</w:t>
            </w:r>
            <w:r>
              <w:rPr>
                <w:rFonts w:hint="eastAsia" w:ascii="宋体" w:hAnsi="宋体" w:eastAsia="宋体" w:cs="宋体"/>
                <w:color w:val="auto"/>
                <w:sz w:val="21"/>
                <w:szCs w:val="21"/>
                <w:highlight w:val="none"/>
              </w:rPr>
              <w:t>分至202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29</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eastAsia="zh-CN"/>
              </w:rPr>
              <w:t>（星期</w:t>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14</w:t>
            </w:r>
            <w:r>
              <w:rPr>
                <w:rFonts w:hint="eastAsia" w:ascii="宋体" w:hAnsi="宋体" w:eastAsia="宋体" w:cs="宋体"/>
                <w:color w:val="auto"/>
                <w:sz w:val="21"/>
                <w:szCs w:val="21"/>
                <w:highlight w:val="none"/>
              </w:rPr>
              <w:t>时</w:t>
            </w:r>
            <w:r>
              <w:rPr>
                <w:rFonts w:hint="eastAsia" w:ascii="宋体" w:hAnsi="宋体" w:eastAsia="宋体" w:cs="宋体"/>
                <w:color w:val="auto"/>
                <w:sz w:val="21"/>
                <w:szCs w:val="21"/>
                <w:highlight w:val="none"/>
                <w:lang w:val="en-US" w:eastAsia="zh-CN"/>
              </w:rPr>
              <w:t>30</w:t>
            </w:r>
            <w:r>
              <w:rPr>
                <w:rFonts w:hint="eastAsia" w:ascii="宋体" w:hAnsi="宋体" w:eastAsia="宋体" w:cs="宋体"/>
                <w:color w:val="auto"/>
                <w:sz w:val="21"/>
                <w:szCs w:val="21"/>
                <w:highlight w:val="none"/>
              </w:rPr>
              <w:t>分</w:t>
            </w:r>
            <w:r>
              <w:rPr>
                <w:rFonts w:hint="eastAsia" w:ascii="宋体" w:hAnsi="宋体" w:eastAsia="宋体" w:cs="宋体"/>
                <w:color w:val="auto"/>
                <w:szCs w:val="21"/>
                <w:highlight w:val="none"/>
                <w:lang w:eastAsia="zh-CN"/>
              </w:rPr>
              <w:t>前</w:t>
            </w:r>
          </w:p>
          <w:p>
            <w:pPr>
              <w:rPr>
                <w:rFonts w:hint="eastAsia" w:ascii="宋体" w:hAnsi="宋体" w:eastAsia="宋体" w:cs="宋体"/>
                <w:b w:val="0"/>
                <w:color w:val="auto"/>
                <w:szCs w:val="21"/>
                <w:highlight w:val="none"/>
              </w:rPr>
            </w:pPr>
            <w:r>
              <w:rPr>
                <w:rFonts w:hint="eastAsia" w:ascii="宋体" w:hAnsi="宋体" w:eastAsia="宋体" w:cs="宋体"/>
                <w:color w:val="auto"/>
                <w:szCs w:val="21"/>
                <w:highlight w:val="none"/>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开标时间：</w:t>
            </w:r>
            <w:r>
              <w:rPr>
                <w:rFonts w:hint="eastAsia" w:ascii="宋体" w:hAnsi="宋体" w:eastAsia="宋体" w:cs="宋体"/>
                <w:color w:val="auto"/>
                <w:sz w:val="21"/>
                <w:szCs w:val="21"/>
                <w:highlight w:val="none"/>
              </w:rPr>
              <w:t>202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29</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eastAsia="zh-CN"/>
              </w:rPr>
              <w:t>（星期</w:t>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14</w:t>
            </w:r>
            <w:r>
              <w:rPr>
                <w:rFonts w:hint="eastAsia" w:ascii="宋体" w:hAnsi="宋体" w:eastAsia="宋体" w:cs="宋体"/>
                <w:color w:val="auto"/>
                <w:sz w:val="21"/>
                <w:szCs w:val="21"/>
                <w:highlight w:val="none"/>
              </w:rPr>
              <w:t>时</w:t>
            </w:r>
            <w:r>
              <w:rPr>
                <w:rFonts w:hint="eastAsia" w:ascii="宋体" w:hAnsi="宋体" w:eastAsia="宋体" w:cs="宋体"/>
                <w:color w:val="auto"/>
                <w:sz w:val="21"/>
                <w:szCs w:val="21"/>
                <w:highlight w:val="none"/>
                <w:lang w:val="en-US" w:eastAsia="zh-CN"/>
              </w:rPr>
              <w:t>30</w:t>
            </w:r>
            <w:r>
              <w:rPr>
                <w:rFonts w:hint="eastAsia" w:ascii="宋体" w:hAnsi="宋体" w:eastAsia="宋体" w:cs="宋体"/>
                <w:color w:val="auto"/>
                <w:sz w:val="21"/>
                <w:szCs w:val="21"/>
                <w:highlight w:val="none"/>
              </w:rPr>
              <w:t>分</w:t>
            </w:r>
          </w:p>
          <w:p>
            <w:pPr>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地点：广州南沙区金融大厦1807室</w:t>
            </w:r>
          </w:p>
          <w:p>
            <w:pPr>
              <w:spacing w:line="320" w:lineRule="exact"/>
              <w:rPr>
                <w:rFonts w:hint="eastAsia" w:ascii="宋体" w:hAnsi="宋体" w:eastAsia="宋体" w:cs="宋体"/>
                <w:b w:val="0"/>
                <w:color w:val="auto"/>
                <w:szCs w:val="21"/>
                <w:highlight w:val="none"/>
              </w:rPr>
            </w:pPr>
            <w:r>
              <w:rPr>
                <w:rFonts w:hint="eastAsia" w:ascii="宋体" w:hAnsi="宋体" w:eastAsia="宋体" w:cs="宋体"/>
                <w:color w:val="auto"/>
                <w:szCs w:val="21"/>
                <w:highlight w:val="none"/>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20</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综合评分法</w:t>
            </w:r>
          </w:p>
        </w:tc>
      </w:tr>
    </w:tbl>
    <w:p>
      <w:pPr>
        <w:rPr>
          <w:rFonts w:ascii="宋体" w:hAnsi="宋体" w:eastAsia="宋体" w:cs="宋体"/>
          <w:color w:val="auto"/>
          <w:highlight w:val="none"/>
        </w:rPr>
      </w:pPr>
      <w:r>
        <w:rPr>
          <w:rFonts w:hint="eastAsia" w:ascii="宋体" w:hAnsi="宋体" w:eastAsia="宋体" w:cs="宋体"/>
          <w:color w:val="auto"/>
          <w:szCs w:val="21"/>
          <w:highlight w:val="none"/>
        </w:rPr>
        <w:t xml:space="preserve"> </w:t>
      </w:r>
    </w:p>
    <w:p>
      <w:pPr>
        <w:spacing w:line="360" w:lineRule="auto"/>
        <w:jc w:val="center"/>
        <w:rPr>
          <w:b/>
          <w:color w:val="auto"/>
          <w:highlight w:val="none"/>
        </w:rPr>
      </w:pPr>
      <w:r>
        <w:rPr>
          <w:b/>
          <w:color w:val="auto"/>
          <w:highlight w:val="none"/>
        </w:rPr>
        <w:t xml:space="preserve"> </w:t>
      </w:r>
    </w:p>
    <w:p>
      <w:pPr>
        <w:rPr>
          <w:b/>
          <w:color w:val="auto"/>
          <w:highlight w:val="none"/>
        </w:rPr>
      </w:pPr>
      <w:r>
        <w:rPr>
          <w:b/>
          <w:color w:val="auto"/>
          <w:highlight w:val="none"/>
        </w:rPr>
        <w:br w:type="page"/>
      </w:r>
    </w:p>
    <w:p>
      <w:pPr>
        <w:spacing w:line="360" w:lineRule="auto"/>
        <w:jc w:val="center"/>
        <w:outlineLvl w:val="1"/>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u w:val="single"/>
          <w:lang w:eastAsia="zh-CN"/>
        </w:rPr>
        <w:t>广州南沙湿地旅游发展有限公司、</w:t>
      </w:r>
      <w:r>
        <w:rPr>
          <w:rFonts w:hint="eastAsia" w:ascii="宋体" w:hAnsi="宋体" w:eastAsia="宋体" w:cs="宋体"/>
          <w:color w:val="auto"/>
          <w:sz w:val="24"/>
          <w:szCs w:val="24"/>
          <w:highlight w:val="none"/>
          <w:u w:val="single"/>
        </w:rPr>
        <w:t>广州南沙建设维护管理有限公司</w:t>
      </w:r>
      <w:r>
        <w:rPr>
          <w:rFonts w:hint="eastAsia" w:ascii="宋体" w:hAnsi="宋体" w:eastAsia="宋体" w:cs="宋体"/>
          <w:color w:val="auto"/>
          <w:sz w:val="24"/>
          <w:highlight w:val="none"/>
          <w:u w:val="single"/>
        </w:rPr>
        <w:t>。</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“项目建设管理单位”指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szCs w:val="24"/>
          <w:highlight w:val="none"/>
          <w:u w:val="single"/>
        </w:rPr>
        <w:t>广州南沙建设维护管理有限公司</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pStyle w:val="6"/>
        <w:ind w:firstLine="480" w:firstLineChars="200"/>
        <w:rPr>
          <w:rFonts w:eastAsia="宋体"/>
          <w:color w:val="auto"/>
          <w:highlight w:val="none"/>
        </w:rPr>
      </w:pPr>
      <w:r>
        <w:rPr>
          <w:rFonts w:ascii="宋体" w:hAnsi="宋体" w:eastAsia="宋体" w:cs="宋体"/>
          <w:color w:val="auto"/>
          <w:sz w:val="24"/>
          <w:highlight w:val="none"/>
        </w:rPr>
        <w:t xml:space="preserve">1.7 </w:t>
      </w:r>
      <w:r>
        <w:rPr>
          <w:rFonts w:hint="eastAsia" w:ascii="宋体" w:hAnsi="宋体" w:eastAsia="宋体" w:cs="宋体"/>
          <w:color w:val="auto"/>
          <w:sz w:val="24"/>
          <w:highlight w:val="none"/>
        </w:rPr>
        <w:t>“方案设计人”指</w:t>
      </w:r>
      <w:r>
        <w:rPr>
          <w:rFonts w:ascii="宋体" w:hAnsi="宋体" w:eastAsia="宋体" w:cs="宋体"/>
          <w:color w:val="auto"/>
          <w:sz w:val="24"/>
          <w:highlight w:val="none"/>
          <w:u w:val="single"/>
        </w:rPr>
        <w:t xml:space="preserve"> </w:t>
      </w:r>
      <w:r>
        <w:rPr>
          <w:rFonts w:hint="eastAsia" w:ascii="宋体" w:hAnsi="宋体" w:eastAsia="宋体" w:cs="宋体"/>
          <w:color w:val="auto"/>
          <w:kern w:val="2"/>
          <w:sz w:val="24"/>
          <w:szCs w:val="24"/>
          <w:highlight w:val="none"/>
          <w:u w:val="single"/>
          <w:lang w:val="en-US" w:eastAsia="zh-CN"/>
        </w:rPr>
        <w:t>/</w:t>
      </w:r>
      <w:r>
        <w:rPr>
          <w:rFonts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“招标文件”指由招标代理发出的本文件（包括全部章节、附件）及澄清补充文件。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 “投标文件”指投标人根据本招标文件向招标人提交的全部文件。</w:t>
      </w:r>
    </w:p>
    <w:p>
      <w:pPr>
        <w:pStyle w:val="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1.10 “书面函件”指打字或印刷的函件，包括电传、电报和传真。</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2、招标说明</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2.1本招标项目按照《中华人民共和国招标投标法》等有关法律、行政法规和部门规章，采取邀请招标的办法，选择有经验、有实力、社会信誉好的单位，确保本项目能按期、优质、经济地完成。</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cs="宋体"/>
          <w:color w:val="auto"/>
          <w:highlight w:val="none"/>
        </w:rPr>
        <w:t>项目</w:t>
      </w:r>
      <w:r>
        <w:rPr>
          <w:rFonts w:hint="eastAsia" w:ascii="宋体" w:hAnsi="宋体" w:eastAsia="宋体" w:cs="宋体"/>
          <w:color w:val="auto"/>
          <w:sz w:val="24"/>
          <w:highlight w:val="none"/>
        </w:rPr>
        <w:t>概况：</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highlight w:val="none"/>
        </w:rPr>
        <w:t>项目</w:t>
      </w:r>
      <w:r>
        <w:rPr>
          <w:rFonts w:hint="eastAsia" w:ascii="宋体" w:hAnsi="宋体" w:eastAsia="宋体" w:cs="宋体"/>
          <w:color w:val="auto"/>
          <w:sz w:val="24"/>
          <w:highlight w:val="none"/>
        </w:rPr>
        <w:t>名称：见投标须知前附表第1项。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2.2.3建设规模：见投标须知前附表第3项。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w:t>
      </w:r>
      <w:r>
        <w:rPr>
          <w:rFonts w:hint="eastAsia" w:ascii="宋体" w:hAnsi="宋体" w:eastAsia="宋体" w:cs="宋体"/>
          <w:color w:val="auto"/>
          <w:sz w:val="24"/>
          <w:highlight w:val="none"/>
          <w:lang w:eastAsia="zh-CN"/>
        </w:rPr>
        <w:t>项目预算</w:t>
      </w:r>
      <w:r>
        <w:rPr>
          <w:rFonts w:hint="eastAsia" w:ascii="宋体" w:hAnsi="宋体" w:eastAsia="宋体" w:cs="宋体"/>
          <w:color w:val="auto"/>
          <w:sz w:val="24"/>
          <w:highlight w:val="none"/>
        </w:rPr>
        <w:t>：见投标须知前附表第4项。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2.2.5</w:t>
      </w:r>
      <w:r>
        <w:rPr>
          <w:rFonts w:hint="eastAsia" w:ascii="宋体" w:hAnsi="宋体" w:eastAsia="宋体" w:cs="宋体"/>
          <w:color w:val="auto"/>
          <w:sz w:val="24"/>
          <w:highlight w:val="none"/>
          <w:lang w:eastAsia="zh-CN"/>
        </w:rPr>
        <w:t>质量</w:t>
      </w:r>
      <w:r>
        <w:rPr>
          <w:rFonts w:hint="eastAsia" w:ascii="宋体" w:hAnsi="宋体" w:eastAsia="宋体" w:cs="宋体"/>
          <w:color w:val="auto"/>
          <w:sz w:val="24"/>
          <w:highlight w:val="none"/>
        </w:rPr>
        <w:t>目标：见投标须知前附表第5项。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招标范围及服务期</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招标范围：见投标须知前附表第6项。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2.3.2 </w:t>
      </w:r>
      <w:r>
        <w:rPr>
          <w:rFonts w:hint="eastAsia" w:ascii="宋体" w:hAnsi="宋体" w:eastAsia="宋体" w:cs="宋体"/>
          <w:color w:val="auto"/>
          <w:sz w:val="24"/>
          <w:highlight w:val="none"/>
          <w:lang w:eastAsia="zh-CN"/>
        </w:rPr>
        <w:t>服务任务期限</w:t>
      </w:r>
      <w:r>
        <w:rPr>
          <w:rFonts w:hint="eastAsia" w:ascii="宋体" w:hAnsi="宋体" w:eastAsia="宋体" w:cs="宋体"/>
          <w:color w:val="auto"/>
          <w:sz w:val="24"/>
          <w:highlight w:val="none"/>
        </w:rPr>
        <w:t>要求：见投标须知前附表第7项。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241" w:firstLineChars="1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2"/>
        <w:widowControl/>
        <w:spacing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2）投标文件格式</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3）服务合同（另附）</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4）评标办法</w:t>
      </w:r>
    </w:p>
    <w:p>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5）附件</w:t>
      </w:r>
    </w:p>
    <w:p>
      <w:pPr>
        <w:pStyle w:val="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日前，招标人可对招标文件进行必要的澄清或修改。</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2"/>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（三）投标文件的编制</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11.4企业法定代表人证明书及法定代表人授权委托证明书（按招标文件第2章格式填写，或使用从工商管理部门购买的版本填写），法人身份证复印件、被授权人身份证复印件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11.5公司法人营业执照及资质证书复印件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11.6项目负责人职称证复印件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11.7人员到位承诺书（按招标文件第2章格式填写）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11.8投标人综合概况（按招标文件第2章格式填写）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11.9企业自201</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年1月1日至今企业承担的同类项目（按招标文件第2章格式填写）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11.10参与本项目的人员一览表及证明文件（按招标文件第2章格式填写）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11.11项目负责人相关经验及业绩（按招标文件第2章格式填写）</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11.12报价表</w:t>
      </w:r>
      <w:r>
        <w:rPr>
          <w:rFonts w:hint="eastAsia" w:ascii="宋体" w:hAnsi="宋体" w:eastAsia="宋体" w:cs="宋体"/>
          <w:color w:val="auto"/>
          <w:sz w:val="24"/>
          <w:highlight w:val="none"/>
          <w:lang w:eastAsia="zh-CN"/>
        </w:rPr>
        <w:t>（含报价清单）</w:t>
      </w:r>
    </w:p>
    <w:p>
      <w:pPr>
        <w:pStyle w:val="9"/>
        <w:ind w:firstLine="480" w:firstLineChars="200"/>
        <w:rPr>
          <w:rFonts w:hAnsi="宋体" w:cs="宋体"/>
          <w:color w:val="auto"/>
          <w:sz w:val="24"/>
          <w:highlight w:val="none"/>
        </w:rPr>
      </w:pPr>
      <w:r>
        <w:rPr>
          <w:rFonts w:hAnsi="宋体" w:cs="宋体"/>
          <w:color w:val="auto"/>
          <w:sz w:val="24"/>
          <w:highlight w:val="none"/>
        </w:rPr>
        <w:t xml:space="preserve">11.13 </w:t>
      </w:r>
      <w:r>
        <w:rPr>
          <w:rFonts w:hint="eastAsia" w:hAnsi="宋体" w:cs="宋体"/>
          <w:color w:val="auto"/>
          <w:sz w:val="24"/>
          <w:highlight w:val="none"/>
          <w:lang w:eastAsia="zh-CN"/>
        </w:rPr>
        <w:t>技术标文件（独立成册）</w:t>
      </w:r>
    </w:p>
    <w:p>
      <w:pPr>
        <w:pStyle w:val="9"/>
        <w:ind w:firstLine="480" w:firstLineChars="200"/>
        <w:rPr>
          <w:rFonts w:hint="eastAsia" w:hAnsi="宋体" w:eastAsia="宋体" w:cs="宋体"/>
          <w:color w:val="auto"/>
          <w:sz w:val="24"/>
          <w:highlight w:val="none"/>
          <w:lang w:eastAsia="zh-CN"/>
        </w:rPr>
      </w:pPr>
      <w:r>
        <w:rPr>
          <w:rFonts w:hAnsi="宋体" w:cs="宋体"/>
          <w:color w:val="auto"/>
          <w:sz w:val="24"/>
          <w:highlight w:val="none"/>
        </w:rPr>
        <w:t>11.1</w:t>
      </w:r>
      <w:r>
        <w:rPr>
          <w:rFonts w:hint="eastAsia" w:hAnsi="宋体" w:cs="宋体"/>
          <w:color w:val="auto"/>
          <w:sz w:val="24"/>
          <w:highlight w:val="none"/>
          <w:lang w:val="en-US" w:eastAsia="zh-CN"/>
        </w:rPr>
        <w:t>4</w:t>
      </w:r>
      <w:r>
        <w:rPr>
          <w:rFonts w:hAnsi="宋体" w:cs="宋体"/>
          <w:color w:val="auto"/>
          <w:sz w:val="24"/>
          <w:highlight w:val="none"/>
        </w:rPr>
        <w:t xml:space="preserve"> 投标文件电子版（</w:t>
      </w:r>
      <w:r>
        <w:rPr>
          <w:rFonts w:hint="eastAsia" w:hAnsi="宋体" w:cs="宋体"/>
          <w:color w:val="auto"/>
          <w:sz w:val="24"/>
          <w:highlight w:val="none"/>
          <w:lang w:eastAsia="zh-CN"/>
        </w:rPr>
        <w:t>需带有公司印章，</w:t>
      </w:r>
      <w:r>
        <w:rPr>
          <w:rFonts w:hAnsi="宋体" w:cs="宋体"/>
          <w:color w:val="auto"/>
          <w:sz w:val="24"/>
          <w:highlight w:val="none"/>
        </w:rPr>
        <w:t>刻录光盘或提供U盘）</w:t>
      </w:r>
    </w:p>
    <w:p>
      <w:pPr>
        <w:pStyle w:val="9"/>
        <w:ind w:firstLine="480" w:firstLineChars="200"/>
        <w:rPr>
          <w:rFonts w:hint="default" w:hAnsi="宋体" w:cs="宋体"/>
          <w:color w:val="auto"/>
          <w:sz w:val="24"/>
          <w:highlight w:val="none"/>
        </w:rPr>
      </w:pPr>
      <w:r>
        <w:rPr>
          <w:rFonts w:hAnsi="宋体" w:cs="宋体"/>
          <w:color w:val="auto"/>
          <w:sz w:val="24"/>
          <w:highlight w:val="none"/>
        </w:rPr>
        <w:t>11.1</w:t>
      </w:r>
      <w:r>
        <w:rPr>
          <w:rFonts w:hint="eastAsia" w:hAnsi="宋体" w:cs="宋体"/>
          <w:color w:val="auto"/>
          <w:sz w:val="24"/>
          <w:highlight w:val="none"/>
          <w:lang w:val="en-US" w:eastAsia="zh-CN"/>
        </w:rPr>
        <w:t>5</w:t>
      </w:r>
      <w:r>
        <w:rPr>
          <w:rFonts w:hAnsi="宋体" w:cs="宋体"/>
          <w:color w:val="auto"/>
          <w:sz w:val="24"/>
          <w:highlight w:val="none"/>
        </w:rPr>
        <w:t xml:space="preserve"> 投标人认为需要提交的其他资料</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13.3投标报价方式：投标单位自行报价。（小数点后保留二位小数，第三位小数四舍五入）</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盖章签字后的复印件，字迹应清晰易于辨认，并应在投标文件封面的右上角清楚地注明“正本”或“副本”。正本和副本如有不一致之处，以正本为准。</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投标人、投标时间，右上角打上正本（或副本）。使用书式装订，装订时书订不外露；不能使用塑料面或塑料胶条装订。</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（四）投标文件的提交</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w:t>
      </w:r>
      <w:r>
        <w:rPr>
          <w:rFonts w:hint="eastAsia" w:ascii="宋体" w:hAnsi="宋体" w:eastAsia="宋体" w:cs="宋体"/>
          <w:color w:val="auto"/>
          <w:sz w:val="24"/>
          <w:highlight w:val="none"/>
          <w:lang w:eastAsia="zh-CN"/>
        </w:rPr>
        <w:t>、技术标</w:t>
      </w:r>
      <w:r>
        <w:rPr>
          <w:rFonts w:hint="eastAsia" w:ascii="宋体" w:hAnsi="宋体" w:eastAsia="宋体" w:cs="宋体"/>
          <w:color w:val="auto"/>
          <w:sz w:val="24"/>
          <w:highlight w:val="none"/>
        </w:rPr>
        <w:t>一正四副及电子文件一起包封。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           </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南沙湿地“渔唱晚主题酒店及疍家水岸广场”项目检测服务</w:t>
      </w:r>
      <w:r>
        <w:rPr>
          <w:rFonts w:hint="eastAsia" w:ascii="宋体" w:hAnsi="宋体" w:eastAsia="宋体" w:cs="宋体"/>
          <w:color w:val="auto"/>
          <w:sz w:val="24"/>
          <w:highlight w:val="none"/>
          <w:u w:val="single"/>
        </w:rPr>
        <w:t xml:space="preserve">   </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202</w:t>
      </w:r>
      <w:r>
        <w:rPr>
          <w:rFonts w:hint="eastAsia" w:ascii="宋体" w:hAnsi="宋体" w:eastAsia="宋体" w:cs="宋体"/>
          <w:color w:val="auto"/>
          <w:sz w:val="24"/>
          <w:highlight w:val="none"/>
          <w:u w:val="single"/>
          <w:lang w:val="en-US" w:eastAsia="zh-CN"/>
        </w:rPr>
        <w:t>3</w:t>
      </w:r>
      <w:r>
        <w:rPr>
          <w:rFonts w:hint="eastAsia" w:ascii="宋体" w:hAnsi="宋体" w:eastAsia="宋体" w:cs="宋体"/>
          <w:color w:val="auto"/>
          <w:sz w:val="24"/>
          <w:highlight w:val="none"/>
          <w:u w:val="single"/>
        </w:rPr>
        <w:t>年</w:t>
      </w:r>
      <w:r>
        <w:rPr>
          <w:rFonts w:hint="eastAsia" w:ascii="宋体" w:hAnsi="宋体" w:eastAsia="宋体" w:cs="宋体"/>
          <w:color w:val="auto"/>
          <w:sz w:val="24"/>
          <w:szCs w:val="24"/>
          <w:highlight w:val="none"/>
          <w:u w:val="single"/>
          <w:lang w:val="en-US" w:eastAsia="zh-CN"/>
        </w:rPr>
        <w:t>3</w:t>
      </w:r>
      <w:r>
        <w:rPr>
          <w:rFonts w:hint="eastAsia" w:ascii="宋体" w:hAnsi="宋体" w:eastAsia="宋体" w:cs="宋体"/>
          <w:color w:val="auto"/>
          <w:sz w:val="24"/>
          <w:szCs w:val="24"/>
          <w:highlight w:val="none"/>
          <w:u w:val="single"/>
        </w:rPr>
        <w:t>月</w:t>
      </w:r>
      <w:r>
        <w:rPr>
          <w:rFonts w:hint="eastAsia" w:ascii="宋体" w:hAnsi="宋体" w:eastAsia="宋体" w:cs="宋体"/>
          <w:color w:val="auto"/>
          <w:sz w:val="24"/>
          <w:szCs w:val="24"/>
          <w:highlight w:val="none"/>
          <w:u w:val="single"/>
          <w:lang w:val="en-US" w:eastAsia="zh-CN"/>
        </w:rPr>
        <w:t>29</w:t>
      </w:r>
      <w:r>
        <w:rPr>
          <w:rFonts w:hint="eastAsia" w:ascii="宋体" w:hAnsi="宋体" w:eastAsia="宋体" w:cs="宋体"/>
          <w:color w:val="auto"/>
          <w:sz w:val="24"/>
          <w:szCs w:val="24"/>
          <w:highlight w:val="none"/>
          <w:u w:val="single"/>
        </w:rPr>
        <w:t>日</w:t>
      </w:r>
      <w:r>
        <w:rPr>
          <w:rFonts w:hint="eastAsia" w:ascii="宋体" w:hAnsi="宋体" w:eastAsia="宋体" w:cs="宋体"/>
          <w:color w:val="auto"/>
          <w:sz w:val="24"/>
          <w:szCs w:val="24"/>
          <w:highlight w:val="none"/>
          <w:u w:val="single"/>
          <w:lang w:eastAsia="zh-CN"/>
        </w:rPr>
        <w:t>（星期</w:t>
      </w:r>
      <w:r>
        <w:rPr>
          <w:rFonts w:hint="eastAsia" w:ascii="宋体" w:hAnsi="宋体" w:eastAsia="宋体" w:cs="宋体"/>
          <w:color w:val="auto"/>
          <w:sz w:val="24"/>
          <w:szCs w:val="24"/>
          <w:highlight w:val="none"/>
          <w:u w:val="single"/>
          <w:lang w:val="en-US" w:eastAsia="zh-CN"/>
        </w:rPr>
        <w:t>三</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14</w:t>
      </w:r>
      <w:r>
        <w:rPr>
          <w:rFonts w:hint="eastAsia" w:ascii="宋体" w:hAnsi="宋体" w:eastAsia="宋体" w:cs="宋体"/>
          <w:color w:val="auto"/>
          <w:sz w:val="24"/>
          <w:szCs w:val="24"/>
          <w:highlight w:val="none"/>
          <w:u w:val="single"/>
        </w:rPr>
        <w:t>时</w:t>
      </w:r>
      <w:r>
        <w:rPr>
          <w:rFonts w:hint="eastAsia" w:ascii="宋体" w:hAnsi="宋体" w:eastAsia="宋体" w:cs="宋体"/>
          <w:color w:val="auto"/>
          <w:sz w:val="24"/>
          <w:szCs w:val="24"/>
          <w:highlight w:val="none"/>
          <w:u w:val="single"/>
          <w:lang w:val="en-US" w:eastAsia="zh-CN"/>
        </w:rPr>
        <w:t>30</w:t>
      </w:r>
      <w:r>
        <w:rPr>
          <w:rFonts w:hint="eastAsia" w:ascii="宋体" w:hAnsi="宋体" w:eastAsia="宋体" w:cs="宋体"/>
          <w:color w:val="auto"/>
          <w:sz w:val="24"/>
          <w:szCs w:val="24"/>
          <w:highlight w:val="none"/>
          <w:u w:val="single"/>
        </w:rPr>
        <w:t>分</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前不得开封（填入前附表第19项所述日期及时间）</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投标人应按投标须知前附表第19项所规定的地点，于截止时间前提交投标文件，并办理好送达签认手续。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pPr>
        <w:pStyle w:val="2"/>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（五）开标</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标书密封情况；c.投标报价；d.服务期；e. 质量目标；f.项目负责人等主要内容。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24.7招标人将上述符合要求的投标文件，送至评标小组进行评审的。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 评标</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在投标文件的评审和比较、中标候选人推荐以及授予合同的过程中，投标人向招标人和评标小组施加影响的任何行为，都将会导致其投标被拒绝。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中标人确定后，招标人不对未中标人就评标过程以及未能中标原因作出任何解释。未中标人不得向评标小组组成人员或其他有关人员索问评标过程的情况和材料。</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评标小组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如果投标文件实质上不响应招标文件的各项要求，评标小组将予以拒绝，并且不允许投标人通过修改或撤销其不符合要求的差异或保留，使之成为具有响应性的投标。</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27.1 评标小组将按照本须知第26条规定，仅对在实质上响应招标文件要求的投标文件进行评审和比较。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在评审过程中，评标小组可以以书面形式要求投标人就投标文件中含义不明确的内容进行书面说明并提供相关材料。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27.3 评标小组依据投标须知前附表第20项规定的评标标准和方法，详见本招标文件《评标办法》，对投标文件进行评审和比较，向招标人提出书面评标报告，并推荐经评审</w:t>
      </w:r>
      <w:r>
        <w:rPr>
          <w:rFonts w:hint="eastAsia" w:ascii="宋体" w:hAnsi="宋体" w:eastAsia="宋体" w:cs="宋体"/>
          <w:color w:val="auto"/>
          <w:sz w:val="24"/>
          <w:highlight w:val="none"/>
          <w:lang w:val="en-US" w:eastAsia="zh-CN"/>
        </w:rPr>
        <w:t>综合得分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排序的前一～三名为第一、第二和第三中标候选人。招标人根据评标小组提出的书面评标报告和推荐的中标候选人中，按排序依法确定中标人。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28．评标小组依据有关法律、法规和招标文件的规定对投标文件进行评审，经评定的有效投标人不足三名时，招标人应当依法重新组织招标。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（七）合同的授予</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w:t>
      </w:r>
      <w:r>
        <w:rPr>
          <w:rFonts w:hint="eastAsia" w:ascii="宋体" w:hAnsi="宋体" w:eastAsia="宋体" w:cs="宋体"/>
          <w:color w:val="auto"/>
          <w:sz w:val="24"/>
          <w:highlight w:val="none"/>
          <w:lang w:eastAsia="zh-CN"/>
        </w:rPr>
        <w:t>服务</w:t>
      </w:r>
      <w:r>
        <w:rPr>
          <w:rFonts w:hint="eastAsia" w:ascii="宋体" w:hAnsi="宋体" w:eastAsia="宋体" w:cs="宋体"/>
          <w:color w:val="auto"/>
          <w:sz w:val="24"/>
          <w:highlight w:val="none"/>
        </w:rPr>
        <w:t>合同将授予按本须知第27.3款所确定的中标人。</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招标人不承诺将合同授予报价最低的投标人。招标人在发出中标通知书前，有权依据评标小组的评标报告拒绝不合格的投标。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31.1中标通知书经招标人及招标代理机构确认，并由招标人颁发。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w:t>
      </w:r>
      <w:r>
        <w:rPr>
          <w:rFonts w:hint="eastAsia" w:ascii="宋体" w:hAnsi="宋体" w:eastAsia="宋体" w:cs="宋体"/>
          <w:color w:val="auto"/>
          <w:sz w:val="24"/>
          <w:highlight w:val="none"/>
          <w:lang w:eastAsia="zh-CN"/>
        </w:rPr>
        <w:t>服务</w:t>
      </w:r>
      <w:r>
        <w:rPr>
          <w:rFonts w:hint="eastAsia" w:ascii="宋体" w:hAnsi="宋体" w:eastAsia="宋体" w:cs="宋体"/>
          <w:color w:val="auto"/>
          <w:sz w:val="24"/>
          <w:highlight w:val="none"/>
        </w:rPr>
        <w:t>款项的拨付及至解除合同，由此造成的一切责任由中标人承担。</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33．合同生效</w:t>
      </w:r>
    </w:p>
    <w:p>
      <w:pPr>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p>
    <w:p>
      <w:pPr>
        <w:pStyle w:val="4"/>
        <w:widowControl/>
        <w:spacing w:before="0" w:after="0" w:line="360" w:lineRule="auto"/>
        <w:jc w:val="center"/>
        <w:rPr>
          <w:rFonts w:ascii="黑体" w:hAnsi="宋体" w:cs="黑体"/>
          <w:b/>
          <w:color w:val="auto"/>
          <w:kern w:val="44"/>
          <w:sz w:val="44"/>
          <w:szCs w:val="44"/>
          <w:highlight w:val="none"/>
        </w:rPr>
      </w:pPr>
      <w:bookmarkStart w:id="4" w:name="_Toc374128473"/>
      <w:bookmarkEnd w:id="4"/>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bookmarkStart w:id="5" w:name="_Toc32057"/>
      <w:r>
        <w:rPr>
          <w:rFonts w:hint="eastAsia" w:ascii="黑体" w:hAnsi="宋体" w:cs="黑体"/>
          <w:b/>
          <w:color w:val="auto"/>
          <w:kern w:val="44"/>
          <w:sz w:val="44"/>
          <w:szCs w:val="44"/>
          <w:highlight w:val="none"/>
        </w:rPr>
        <w:t>第2章  投标格式文件</w:t>
      </w:r>
      <w:bookmarkEnd w:id="5"/>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snapToGrid w:val="0"/>
        <w:spacing w:line="360" w:lineRule="auto"/>
        <w:rPr>
          <w:rFonts w:hint="eastAsia" w:ascii="宋体" w:hAnsi="宋体" w:eastAsia="宋体" w:cs="Times New Roman"/>
          <w:color w:val="auto"/>
          <w:spacing w:val="20"/>
          <w:sz w:val="24"/>
          <w:highlight w:val="none"/>
          <w:u w:val="single"/>
        </w:rPr>
      </w:pP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广州南沙湿地旅游发展有限公司</w:t>
      </w:r>
      <w:r>
        <w:rPr>
          <w:rFonts w:hint="eastAsia" w:ascii="宋体" w:hAnsi="宋体" w:eastAsia="宋体" w:cs="Times New Roman"/>
          <w:color w:val="auto"/>
          <w:spacing w:val="20"/>
          <w:sz w:val="24"/>
          <w:szCs w:val="24"/>
          <w:highlight w:val="none"/>
          <w:u w:val="single"/>
        </w:rPr>
        <w:t>、广州南沙建设维护管理有限公司</w:t>
      </w:r>
      <w:r>
        <w:rPr>
          <w:rFonts w:hint="eastAsia" w:ascii="宋体" w:hAnsi="宋体" w:eastAsia="宋体" w:cs="Times New Roman"/>
          <w:color w:val="auto"/>
          <w:spacing w:val="20"/>
          <w:sz w:val="24"/>
          <w:highlight w:val="none"/>
          <w:u w:val="single"/>
        </w:rPr>
        <w:t>：</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我方决定参加贵方的</w:t>
      </w:r>
      <w:r>
        <w:rPr>
          <w:rFonts w:hint="eastAsia" w:ascii="宋体" w:hAnsi="宋体" w:eastAsia="宋体" w:cs="Times New Roman"/>
          <w:color w:val="auto"/>
          <w:spacing w:val="20"/>
          <w:sz w:val="24"/>
          <w:highlight w:val="none"/>
          <w:u w:val="single"/>
          <w:lang w:eastAsia="zh-CN"/>
        </w:rPr>
        <w:t>南沙湿地“渔唱晚主题酒店及疍家水岸广场”项目检测服务</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Times New Roman"/>
          <w:color w:val="auto"/>
          <w:spacing w:val="20"/>
          <w:sz w:val="24"/>
          <w:highlight w:val="none"/>
          <w:lang w:eastAsia="zh-CN"/>
        </w:rPr>
        <w:t>服务</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w:t>
      </w:r>
      <w:r>
        <w:rPr>
          <w:rFonts w:hint="eastAsia" w:ascii="宋体" w:hAnsi="宋体" w:eastAsia="宋体" w:cs="Times New Roman"/>
          <w:color w:val="auto"/>
          <w:spacing w:val="20"/>
          <w:sz w:val="24"/>
          <w:highlight w:val="none"/>
          <w:lang w:eastAsia="zh-CN"/>
        </w:rPr>
        <w:t>服务</w:t>
      </w:r>
      <w:r>
        <w:rPr>
          <w:rFonts w:hint="eastAsia" w:ascii="宋体" w:hAnsi="宋体" w:eastAsia="宋体" w:cs="Times New Roman"/>
          <w:color w:val="auto"/>
          <w:spacing w:val="20"/>
          <w:sz w:val="24"/>
          <w:highlight w:val="none"/>
        </w:rPr>
        <w:t>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w:t>
      </w:r>
      <w:r>
        <w:rPr>
          <w:rFonts w:hint="eastAsia" w:ascii="宋体" w:hAnsi="宋体" w:eastAsia="宋体" w:cs="Times New Roman"/>
          <w:color w:val="auto"/>
          <w:spacing w:val="20"/>
          <w:sz w:val="24"/>
          <w:highlight w:val="none"/>
          <w:lang w:eastAsia="zh-CN"/>
        </w:rPr>
        <w:t>服务</w:t>
      </w:r>
      <w:r>
        <w:rPr>
          <w:rFonts w:hint="eastAsia" w:ascii="宋体" w:hAnsi="宋体" w:eastAsia="宋体" w:cs="Times New Roman"/>
          <w:color w:val="auto"/>
          <w:spacing w:val="20"/>
          <w:sz w:val="24"/>
          <w:highlight w:val="none"/>
        </w:rPr>
        <w:t>合同之前，本投标书连同贵方的中标通知书应成为约束贵、我双方的合同文件。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广州南沙湿地旅游发展有限公司</w:t>
      </w:r>
      <w:r>
        <w:rPr>
          <w:rFonts w:hint="eastAsia" w:ascii="宋体" w:hAnsi="宋体" w:eastAsia="宋体" w:cs="Times New Roman"/>
          <w:color w:val="auto"/>
          <w:spacing w:val="20"/>
          <w:sz w:val="24"/>
          <w:szCs w:val="24"/>
          <w:highlight w:val="none"/>
          <w:u w:val="single"/>
        </w:rPr>
        <w:t>、广州南沙建设维护管理有限公司</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如果我方投标文件中存在计算或表达错误的，我方理解并接受评标小组按照招标文件规定的原则进行修正，这种修正对我方具有约束力，且不需要我方确认。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1680" w:firstLineChars="70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1680" w:firstLineChars="600"/>
        <w:rPr>
          <w:rFonts w:ascii="宋体" w:hAnsi="宋体" w:eastAsia="宋体" w:cs="宋体"/>
          <w:color w:val="auto"/>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u w:val="single"/>
        </w:rPr>
        <w:t xml:space="preserve">              </w:t>
      </w:r>
    </w:p>
    <w:p>
      <w:pPr>
        <w:snapToGrid w:val="0"/>
        <w:spacing w:line="440" w:lineRule="exact"/>
        <w:ind w:right="26" w:firstLine="1680" w:firstLineChars="70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1680" w:firstLineChars="70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1680" w:firstLineChars="70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20"/>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6" w:name="_Toc223342668"/>
      <w:bookmarkEnd w:id="6"/>
      <w:bookmarkStart w:id="7" w:name="_Toc216145749"/>
      <w:bookmarkEnd w:id="7"/>
      <w:r>
        <w:rPr>
          <w:rFonts w:hint="eastAsia" w:ascii="宋体" w:hAnsi="宋体" w:eastAsia="宋体" w:cs="黑体"/>
          <w:color w:val="auto"/>
          <w:sz w:val="28"/>
          <w:szCs w:val="28"/>
          <w:highlight w:val="none"/>
        </w:rPr>
        <w:t>格式三：</w:t>
      </w:r>
    </w:p>
    <w:p>
      <w:pPr>
        <w:pStyle w:val="22"/>
        <w:widowControl/>
        <w:ind w:firstLine="0" w:firstLineChars="0"/>
        <w:jc w:val="center"/>
        <w:outlineLvl w:val="2"/>
        <w:rPr>
          <w:color w:val="auto"/>
          <w:kern w:val="44"/>
          <w:highlight w:val="none"/>
        </w:rPr>
      </w:pPr>
      <w:bookmarkStart w:id="8" w:name="_Toc172416501"/>
      <w:bookmarkEnd w:id="8"/>
      <w:r>
        <w:rPr>
          <w:rFonts w:hint="eastAsia" w:ascii="宋体" w:hAnsi="宋体" w:cs="宋体"/>
          <w:b/>
          <w:color w:val="auto"/>
          <w:sz w:val="30"/>
          <w:szCs w:val="30"/>
          <w:highlight w:val="none"/>
        </w:rPr>
        <w:t>法定代表人证明书</w:t>
      </w:r>
    </w:p>
    <w:p>
      <w:pPr>
        <w:pStyle w:val="22"/>
        <w:widowControl/>
        <w:ind w:firstLine="496"/>
        <w:jc w:val="right"/>
        <w:rPr>
          <w:b/>
          <w:color w:val="auto"/>
          <w:highlight w:val="none"/>
        </w:rPr>
      </w:pPr>
      <w:r>
        <w:rPr>
          <w:color w:val="auto"/>
          <w:highlight w:val="none"/>
        </w:rPr>
        <w:t xml:space="preserve">                                      </w:t>
      </w:r>
    </w:p>
    <w:p>
      <w:pPr>
        <w:pStyle w:val="22"/>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pPr>
        <w:pStyle w:val="22"/>
        <w:widowControl/>
        <w:ind w:firstLine="618"/>
        <w:rPr>
          <w:b/>
          <w:color w:val="auto"/>
          <w:sz w:val="30"/>
          <w:szCs w:val="30"/>
          <w:highlight w:val="none"/>
        </w:rPr>
      </w:pPr>
      <w:r>
        <w:rPr>
          <w:b/>
          <w:color w:val="auto"/>
          <w:sz w:val="30"/>
          <w:szCs w:val="30"/>
          <w:highlight w:val="none"/>
        </w:rPr>
        <w:t xml:space="preserve"> </w:t>
      </w:r>
    </w:p>
    <w:p>
      <w:pPr>
        <w:pStyle w:val="22"/>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2"/>
        <w:widowControl/>
        <w:ind w:firstLine="496"/>
        <w:jc w:val="right"/>
        <w:rPr>
          <w:color w:val="auto"/>
          <w:highlight w:val="none"/>
        </w:rPr>
      </w:pPr>
      <w:r>
        <w:rPr>
          <w:color w:val="auto"/>
          <w:highlight w:val="none"/>
        </w:rPr>
        <w:t xml:space="preserve">         </w:t>
      </w:r>
    </w:p>
    <w:p>
      <w:pPr>
        <w:pStyle w:val="22"/>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pPr>
        <w:pStyle w:val="20"/>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9" w:name="_Toc216145759"/>
      <w:bookmarkEnd w:id="9"/>
      <w:bookmarkStart w:id="10"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20"/>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10"/>
      <w:r>
        <w:rPr>
          <w:rFonts w:hint="eastAsia" w:ascii="宋体" w:hAnsi="宋体" w:eastAsia="宋体" w:cs="宋体"/>
          <w:color w:val="auto"/>
          <w:sz w:val="28"/>
          <w:szCs w:val="28"/>
          <w:highlight w:val="none"/>
        </w:rPr>
        <w:t xml:space="preserve"> </w:t>
      </w:r>
    </w:p>
    <w:p>
      <w:pPr>
        <w:pStyle w:val="22"/>
        <w:widowControl/>
        <w:ind w:firstLine="0" w:firstLineChars="0"/>
        <w:jc w:val="center"/>
        <w:rPr>
          <w:b/>
          <w:color w:val="auto"/>
          <w:sz w:val="28"/>
          <w:szCs w:val="28"/>
          <w:highlight w:val="none"/>
        </w:rPr>
      </w:pPr>
      <w:r>
        <w:rPr>
          <w:b/>
          <w:color w:val="auto"/>
          <w:sz w:val="28"/>
          <w:szCs w:val="28"/>
          <w:highlight w:val="none"/>
        </w:rPr>
        <w:t xml:space="preserve"> </w:t>
      </w:r>
    </w:p>
    <w:p>
      <w:pPr>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服务人员到位承诺书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广州南沙湿地旅游发展有限公司</w:t>
      </w:r>
      <w:r>
        <w:rPr>
          <w:rFonts w:hint="eastAsia" w:ascii="宋体" w:hAnsi="宋体" w:eastAsia="宋体" w:cs="Times New Roman"/>
          <w:color w:val="auto"/>
          <w:spacing w:val="20"/>
          <w:sz w:val="24"/>
          <w:szCs w:val="24"/>
          <w:highlight w:val="none"/>
          <w:u w:val="single"/>
        </w:rPr>
        <w:t>、广州南沙建设维护管理有限公司</w:t>
      </w:r>
    </w:p>
    <w:p>
      <w:pPr>
        <w:spacing w:line="560" w:lineRule="exact"/>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rPr>
        <w:t>投标项目名称：</w:t>
      </w:r>
      <w:r>
        <w:rPr>
          <w:rFonts w:hint="eastAsia" w:ascii="宋体" w:hAnsi="宋体" w:eastAsia="宋体" w:cs="Times New Roman"/>
          <w:color w:val="auto"/>
          <w:spacing w:val="20"/>
          <w:sz w:val="24"/>
          <w:highlight w:val="none"/>
          <w:u w:val="single"/>
          <w:lang w:eastAsia="zh-CN"/>
        </w:rPr>
        <w:t>南沙湿地“渔唱晚主题酒店及疍家水岸广场”项目检测服务</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adjustRightInd w:val="0"/>
        <w:snapToGrid w:val="0"/>
        <w:spacing w:before="85" w:beforeLines="30" w:after="0" w:line="360" w:lineRule="auto"/>
        <w:ind w:firstLine="480" w:firstLineChars="200"/>
        <w:jc w:val="both"/>
        <w:outlineLvl w:val="2"/>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我方如果中标，承诺</w:t>
      </w:r>
      <w:r>
        <w:rPr>
          <w:rFonts w:hint="eastAsia" w:ascii="宋体" w:hAnsi="宋体" w:eastAsia="宋体" w:cs="宋体"/>
          <w:color w:val="auto"/>
          <w:sz w:val="24"/>
          <w:highlight w:val="none"/>
          <w:lang w:eastAsia="zh-CN"/>
        </w:rPr>
        <w:t>检测</w:t>
      </w:r>
      <w:r>
        <w:rPr>
          <w:rFonts w:hint="eastAsia" w:ascii="宋体" w:hAnsi="宋体" w:eastAsia="宋体" w:cs="宋体"/>
          <w:color w:val="auto"/>
          <w:sz w:val="24"/>
          <w:highlight w:val="none"/>
        </w:rPr>
        <w:t>服务人员</w:t>
      </w:r>
      <w:r>
        <w:rPr>
          <w:rFonts w:hint="eastAsia" w:ascii="宋体" w:hAnsi="宋体" w:eastAsia="宋体" w:cs="宋体"/>
          <w:color w:val="auto"/>
          <w:sz w:val="24"/>
          <w:highlight w:val="none"/>
          <w:lang w:eastAsia="zh-CN"/>
        </w:rPr>
        <w:t>按《</w:t>
      </w:r>
      <w:r>
        <w:rPr>
          <w:rFonts w:hint="eastAsia" w:ascii="宋体" w:hAnsi="宋体" w:eastAsia="宋体" w:cs="宋体"/>
          <w:b w:val="0"/>
          <w:color w:val="auto"/>
          <w:sz w:val="24"/>
          <w:szCs w:val="24"/>
          <w:highlight w:val="none"/>
        </w:rPr>
        <w:t>参与本项目的人员一览表</w:t>
      </w:r>
      <w:r>
        <w:rPr>
          <w:rFonts w:hint="eastAsia" w:ascii="宋体" w:hAnsi="宋体" w:eastAsia="宋体" w:cs="宋体"/>
          <w:b w:val="0"/>
          <w:color w:val="auto"/>
          <w:sz w:val="24"/>
          <w:szCs w:val="24"/>
          <w:highlight w:val="none"/>
          <w:lang w:eastAsia="zh-CN"/>
        </w:rPr>
        <w:t>》</w:t>
      </w:r>
      <w:r>
        <w:rPr>
          <w:rFonts w:hint="eastAsia" w:ascii="宋体" w:hAnsi="宋体" w:eastAsia="宋体" w:cs="宋体"/>
          <w:color w:val="auto"/>
          <w:sz w:val="24"/>
          <w:highlight w:val="none"/>
        </w:rPr>
        <w:t>配备。</w:t>
      </w:r>
    </w:p>
    <w:p>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snapToGrid w:val="0"/>
        <w:spacing w:after="120"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outlineLvl w:val="1"/>
        <w:rPr>
          <w:rFonts w:ascii="宋体" w:hAnsi="宋体" w:eastAsia="宋体" w:cs="宋体"/>
          <w:b/>
          <w:color w:val="auto"/>
          <w:sz w:val="28"/>
          <w:szCs w:val="28"/>
          <w:highlight w:val="none"/>
        </w:rPr>
      </w:pPr>
      <w:r>
        <w:rPr>
          <w:rFonts w:ascii="Times New Roman" w:hAnsi="Times New Roman" w:eastAsia="宋体" w:cs="Times New Roman"/>
          <w:color w:val="auto"/>
          <w:spacing w:val="18"/>
          <w:szCs w:val="21"/>
          <w:highlight w:val="none"/>
        </w:rPr>
        <w:br w:type="page"/>
      </w:r>
      <w:bookmarkStart w:id="11" w:name="_Toc459403394"/>
      <w:bookmarkEnd w:id="11"/>
      <w:bookmarkStart w:id="12" w:name="_Toc196036941"/>
      <w:bookmarkEnd w:id="12"/>
      <w:bookmarkStart w:id="13" w:name="_Toc415728297"/>
      <w:bookmarkEnd w:id="13"/>
      <w:bookmarkStart w:id="14" w:name="_Toc41822703"/>
      <w:bookmarkEnd w:id="14"/>
      <w:bookmarkStart w:id="15" w:name="_Toc196037097"/>
      <w:bookmarkEnd w:id="15"/>
      <w:bookmarkStart w:id="16" w:name="_Toc326909213"/>
      <w:bookmarkEnd w:id="16"/>
      <w:bookmarkStart w:id="17" w:name="_Toc196130110"/>
      <w:bookmarkEnd w:id="17"/>
      <w:bookmarkStart w:id="18" w:name="_Toc196130013"/>
      <w:bookmarkEnd w:id="18"/>
      <w:bookmarkStart w:id="19" w:name="_Toc197235848"/>
      <w:bookmarkEnd w:id="19"/>
      <w:bookmarkStart w:id="20" w:name="_Toc415833503"/>
      <w:bookmarkEnd w:id="20"/>
      <w:bookmarkStart w:id="21" w:name="_Toc199647675"/>
      <w:bookmarkEnd w:id="21"/>
      <w:bookmarkStart w:id="22" w:name="_Toc462911098"/>
      <w:r>
        <w:rPr>
          <w:rFonts w:hint="eastAsia" w:ascii="宋体" w:hAnsi="宋体" w:eastAsia="宋体" w:cs="黑体"/>
          <w:b/>
          <w:color w:val="auto"/>
          <w:spacing w:val="4"/>
          <w:kern w:val="0"/>
          <w:sz w:val="28"/>
          <w:szCs w:val="28"/>
          <w:highlight w:val="none"/>
        </w:rPr>
        <w:t>格式五</w:t>
      </w:r>
      <w:bookmarkEnd w:id="22"/>
      <w:r>
        <w:rPr>
          <w:rFonts w:hint="eastAsia" w:ascii="宋体" w:hAnsi="宋体" w:eastAsia="宋体" w:cs="宋体"/>
          <w:color w:val="auto"/>
          <w:sz w:val="28"/>
          <w:szCs w:val="28"/>
          <w:highlight w:val="none"/>
        </w:rPr>
        <w:t>：</w:t>
      </w:r>
    </w:p>
    <w:p>
      <w:pPr>
        <w:spacing w:line="360" w:lineRule="auto"/>
        <w:jc w:val="center"/>
        <w:outlineLvl w:val="2"/>
        <w:rPr>
          <w:rFonts w:ascii="仿宋" w:hAnsi="仿宋" w:eastAsia="仿宋" w:cs="仿宋"/>
          <w:b/>
          <w:bCs/>
          <w:color w:val="auto"/>
          <w:sz w:val="36"/>
          <w:szCs w:val="36"/>
          <w:highlight w:val="none"/>
        </w:rPr>
      </w:pPr>
      <w:bookmarkStart w:id="23" w:name="_Toc41822704"/>
      <w:bookmarkEnd w:id="23"/>
      <w:r>
        <w:rPr>
          <w:rFonts w:hint="eastAsia" w:ascii="仿宋" w:hAnsi="仿宋" w:eastAsia="仿宋" w:cs="仿宋"/>
          <w:b/>
          <w:bCs/>
          <w:color w:val="auto"/>
          <w:sz w:val="36"/>
          <w:szCs w:val="36"/>
          <w:highlight w:val="none"/>
        </w:rPr>
        <w:t>投标人综合概况</w:t>
      </w:r>
    </w:p>
    <w:tbl>
      <w:tblPr>
        <w:tblStyle w:val="14"/>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67"/>
        <w:gridCol w:w="1553"/>
        <w:gridCol w:w="677"/>
        <w:gridCol w:w="21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统一社会信用代码</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6"/>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6"/>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8"/>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439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8"/>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06" w:hRule="atLeast"/>
          <w:jc w:val="center"/>
        </w:trPr>
        <w:tc>
          <w:tcPr>
            <w:tcW w:w="9332" w:type="dxa"/>
            <w:gridSpan w:val="8"/>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备注</w:t>
            </w:r>
          </w:p>
        </w:tc>
      </w:tr>
    </w:tbl>
    <w:p>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24" w:name="_Toc197235849"/>
      <w:bookmarkEnd w:id="24"/>
      <w:bookmarkStart w:id="25" w:name="_Toc326909214"/>
      <w:bookmarkEnd w:id="25"/>
      <w:bookmarkStart w:id="26" w:name="_Toc196037098"/>
      <w:bookmarkEnd w:id="26"/>
      <w:bookmarkStart w:id="27" w:name="_Toc196130111"/>
      <w:bookmarkEnd w:id="27"/>
      <w:bookmarkStart w:id="28" w:name="_Toc196036942"/>
      <w:bookmarkEnd w:id="28"/>
      <w:bookmarkStart w:id="29" w:name="_Toc415833504"/>
      <w:bookmarkEnd w:id="29"/>
      <w:bookmarkStart w:id="30" w:name="_Toc415728298"/>
      <w:bookmarkEnd w:id="30"/>
      <w:bookmarkStart w:id="31" w:name="_Toc199647676"/>
      <w:bookmarkEnd w:id="31"/>
      <w:bookmarkStart w:id="32" w:name="_Toc196130014"/>
      <w:bookmarkEnd w:id="32"/>
      <w:bookmarkStart w:id="33" w:name="_Toc459403395"/>
      <w:bookmarkEnd w:id="33"/>
      <w:bookmarkStart w:id="34" w:name="_Toc462911099"/>
    </w:p>
    <w:p>
      <w:pPr>
        <w:pStyle w:val="6"/>
        <w:rPr>
          <w:rFonts w:ascii="宋体" w:hAnsi="宋体" w:eastAsia="宋体" w:cs="黑体"/>
          <w:b/>
          <w:color w:val="auto"/>
          <w:spacing w:val="4"/>
          <w:sz w:val="28"/>
          <w:szCs w:val="28"/>
          <w:highlight w:val="none"/>
        </w:rPr>
      </w:pPr>
    </w:p>
    <w:p>
      <w:pPr>
        <w:pStyle w:val="6"/>
        <w:rPr>
          <w:rFonts w:ascii="宋体" w:hAnsi="宋体" w:eastAsia="宋体" w:cs="黑体"/>
          <w:b/>
          <w:color w:val="auto"/>
          <w:spacing w:val="4"/>
          <w:sz w:val="28"/>
          <w:szCs w:val="28"/>
          <w:highlight w:val="none"/>
        </w:rPr>
      </w:pPr>
    </w:p>
    <w:p>
      <w:pPr>
        <w:pStyle w:val="6"/>
        <w:rPr>
          <w:rFonts w:ascii="宋体" w:hAnsi="宋体" w:eastAsia="宋体" w:cs="黑体"/>
          <w:b/>
          <w:color w:val="auto"/>
          <w:spacing w:val="4"/>
          <w:sz w:val="28"/>
          <w:szCs w:val="28"/>
          <w:highlight w:val="none"/>
        </w:rPr>
      </w:pPr>
    </w:p>
    <w:p>
      <w:pPr>
        <w:pStyle w:val="6"/>
        <w:rPr>
          <w:rFonts w:ascii="宋体" w:hAnsi="宋体" w:eastAsia="宋体" w:cs="黑体"/>
          <w:b/>
          <w:color w:val="auto"/>
          <w:spacing w:val="4"/>
          <w:sz w:val="28"/>
          <w:szCs w:val="28"/>
          <w:highlight w:val="none"/>
        </w:rPr>
      </w:pPr>
    </w:p>
    <w:p>
      <w:pPr>
        <w:pStyle w:val="6"/>
        <w:rPr>
          <w:rFonts w:ascii="宋体" w:hAnsi="宋体" w:eastAsia="宋体" w:cs="黑体"/>
          <w:b/>
          <w:color w:val="auto"/>
          <w:spacing w:val="4"/>
          <w:sz w:val="28"/>
          <w:szCs w:val="28"/>
          <w:highlight w:val="none"/>
        </w:rPr>
      </w:pPr>
    </w:p>
    <w:p>
      <w:pPr>
        <w:pStyle w:val="6"/>
        <w:rPr>
          <w:rFonts w:ascii="宋体" w:hAnsi="宋体" w:eastAsia="宋体" w:cs="黑体"/>
          <w:b/>
          <w:color w:val="auto"/>
          <w:spacing w:val="4"/>
          <w:sz w:val="28"/>
          <w:szCs w:val="28"/>
          <w:highlight w:val="none"/>
        </w:rPr>
      </w:pPr>
    </w:p>
    <w:p>
      <w:pPr>
        <w:outlineLvl w:val="1"/>
        <w:rPr>
          <w:rFonts w:ascii="仿宋" w:hAnsi="仿宋" w:eastAsia="仿宋" w:cs="仿宋"/>
          <w:color w:val="auto"/>
          <w:kern w:val="24"/>
          <w:sz w:val="28"/>
          <w:szCs w:val="28"/>
          <w:highlight w:val="none"/>
        </w:rPr>
      </w:pPr>
      <w:r>
        <w:rPr>
          <w:rFonts w:hint="eastAsia" w:ascii="宋体" w:hAnsi="宋体" w:eastAsia="宋体" w:cs="黑体"/>
          <w:b/>
          <w:color w:val="auto"/>
          <w:spacing w:val="4"/>
          <w:kern w:val="0"/>
          <w:sz w:val="28"/>
          <w:szCs w:val="28"/>
          <w:highlight w:val="none"/>
        </w:rPr>
        <w:t>格式六</w:t>
      </w:r>
      <w:bookmarkEnd w:id="34"/>
      <w:r>
        <w:rPr>
          <w:rFonts w:hint="eastAsia" w:ascii="仿宋" w:hAnsi="仿宋" w:eastAsia="仿宋" w:cs="仿宋"/>
          <w:color w:val="auto"/>
          <w:kern w:val="24"/>
          <w:sz w:val="28"/>
          <w:szCs w:val="28"/>
          <w:highlight w:val="none"/>
        </w:rPr>
        <w:t>：</w:t>
      </w:r>
    </w:p>
    <w:p>
      <w:pPr>
        <w:ind w:firstLine="480" w:firstLineChars="200"/>
        <w:rPr>
          <w:rFonts w:ascii="仿宋" w:hAnsi="仿宋" w:eastAsia="仿宋" w:cs="仿宋"/>
          <w:color w:val="auto"/>
          <w:kern w:val="24"/>
          <w:sz w:val="24"/>
          <w:highlight w:val="none"/>
        </w:rPr>
      </w:pPr>
      <w:r>
        <w:rPr>
          <w:rFonts w:hint="eastAsia" w:ascii="仿宋" w:hAnsi="仿宋" w:eastAsia="仿宋" w:cs="仿宋"/>
          <w:color w:val="auto"/>
          <w:kern w:val="24"/>
          <w:sz w:val="24"/>
          <w:highlight w:val="none"/>
        </w:rPr>
        <w:t>201</w:t>
      </w:r>
      <w:r>
        <w:rPr>
          <w:rFonts w:hint="eastAsia" w:ascii="仿宋" w:hAnsi="仿宋" w:eastAsia="仿宋" w:cs="仿宋"/>
          <w:color w:val="auto"/>
          <w:kern w:val="24"/>
          <w:sz w:val="24"/>
          <w:highlight w:val="none"/>
          <w:lang w:val="en-US" w:eastAsia="zh-CN"/>
        </w:rPr>
        <w:t>8</w:t>
      </w:r>
      <w:r>
        <w:rPr>
          <w:rFonts w:hint="eastAsia" w:ascii="仿宋" w:hAnsi="仿宋" w:eastAsia="仿宋" w:cs="仿宋"/>
          <w:color w:val="auto"/>
          <w:kern w:val="24"/>
          <w:sz w:val="24"/>
          <w:highlight w:val="none"/>
        </w:rPr>
        <w:t>年1月1日至今企业承担的同类项目</w:t>
      </w:r>
    </w:p>
    <w:p>
      <w:pPr>
        <w:spacing w:before="85" w:beforeLines="30" w:line="360" w:lineRule="auto"/>
        <w:jc w:val="center"/>
        <w:outlineLvl w:val="2"/>
        <w:rPr>
          <w:rFonts w:ascii="仿宋" w:hAnsi="仿宋" w:eastAsia="仿宋" w:cs="仿宋"/>
          <w:color w:val="auto"/>
          <w:kern w:val="24"/>
          <w:sz w:val="28"/>
          <w:szCs w:val="28"/>
          <w:highlight w:val="none"/>
        </w:rPr>
      </w:pPr>
      <w:bookmarkStart w:id="35" w:name="_Toc196036943"/>
      <w:bookmarkEnd w:id="35"/>
      <w:bookmarkStart w:id="36" w:name="_Toc41822705"/>
      <w:bookmarkEnd w:id="36"/>
      <w:bookmarkStart w:id="37" w:name="_Toc199647677"/>
      <w:bookmarkEnd w:id="37"/>
      <w:bookmarkStart w:id="38" w:name="_Toc197235850"/>
      <w:bookmarkEnd w:id="38"/>
      <w:bookmarkStart w:id="39" w:name="_Toc196130112"/>
      <w:bookmarkEnd w:id="39"/>
      <w:bookmarkStart w:id="40" w:name="_Toc196130015"/>
      <w:bookmarkEnd w:id="40"/>
      <w:bookmarkStart w:id="41" w:name="_Toc196037099"/>
      <w:bookmarkEnd w:id="41"/>
      <w:bookmarkStart w:id="42" w:name="_Toc326909215"/>
      <w:r>
        <w:rPr>
          <w:rFonts w:hint="eastAsia" w:ascii="仿宋" w:hAnsi="仿宋" w:eastAsia="仿宋" w:cs="仿宋"/>
          <w:b/>
          <w:bCs/>
          <w:color w:val="auto"/>
          <w:kern w:val="24"/>
          <w:sz w:val="36"/>
          <w:szCs w:val="36"/>
          <w:highlight w:val="none"/>
        </w:rPr>
        <w:t>业绩一览表</w:t>
      </w:r>
      <w:bookmarkEnd w:id="42"/>
    </w:p>
    <w:p>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4"/>
        <w:tblW w:w="7926" w:type="dxa"/>
        <w:jc w:val="center"/>
        <w:tblLayout w:type="fixed"/>
        <w:tblCellMar>
          <w:top w:w="0" w:type="dxa"/>
          <w:left w:w="108" w:type="dxa"/>
          <w:bottom w:w="0" w:type="dxa"/>
          <w:right w:w="108" w:type="dxa"/>
        </w:tblCellMar>
      </w:tblPr>
      <w:tblGrid>
        <w:gridCol w:w="724"/>
        <w:gridCol w:w="2002"/>
        <w:gridCol w:w="2567"/>
        <w:gridCol w:w="1303"/>
        <w:gridCol w:w="1330"/>
      </w:tblGrid>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主要业绩名称</w:t>
            </w: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业绩简介</w:t>
            </w:r>
          </w:p>
        </w:tc>
        <w:tc>
          <w:tcPr>
            <w:tcW w:w="1303"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建筑面积</w:t>
            </w: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完成时间</w:t>
            </w: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bl>
    <w:p>
      <w:pPr>
        <w:spacing w:line="360" w:lineRule="auto"/>
        <w:ind w:firstLine="359" w:firstLineChars="171"/>
        <w:rPr>
          <w:rFonts w:ascii="仿宋" w:hAnsi="仿宋" w:eastAsia="仿宋" w:cs="仿宋"/>
          <w:color w:val="auto"/>
          <w:highlight w:val="none"/>
        </w:rPr>
      </w:pPr>
      <w:r>
        <w:rPr>
          <w:rFonts w:hint="eastAsia" w:ascii="仿宋" w:hAnsi="仿宋" w:eastAsia="仿宋" w:cs="仿宋"/>
          <w:color w:val="auto"/>
          <w:szCs w:val="21"/>
          <w:highlight w:val="none"/>
        </w:rPr>
        <w:t>注：1、投标人提供的同类项目业绩证明资料附于该表后面。业绩证明资料须提供合同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相关证明资料必须能反映出评标所需指标，否则相应子项不予计分；时间以合同文件签订时间为准。</w:t>
      </w:r>
    </w:p>
    <w:p>
      <w:pPr>
        <w:spacing w:line="360" w:lineRule="auto"/>
        <w:ind w:firstLine="779" w:firstLineChars="371"/>
        <w:rPr>
          <w:rFonts w:ascii="仿宋" w:hAnsi="仿宋" w:eastAsia="仿宋" w:cs="仿宋"/>
          <w:color w:val="auto"/>
          <w:sz w:val="24"/>
          <w:highlight w:val="none"/>
        </w:rPr>
      </w:pPr>
      <w:r>
        <w:rPr>
          <w:rFonts w:hint="eastAsia" w:ascii="仿宋" w:hAnsi="仿宋" w:eastAsia="仿宋" w:cs="仿宋"/>
          <w:color w:val="auto"/>
          <w:szCs w:val="21"/>
          <w:highlight w:val="none"/>
        </w:rPr>
        <w:t>2、如有获奖，请附获奖证书复印件。</w:t>
      </w:r>
    </w:p>
    <w:p>
      <w:pPr>
        <w:adjustRightInd w:val="0"/>
        <w:snapToGrid w:val="0"/>
        <w:spacing w:before="85" w:beforeLines="30" w:line="360" w:lineRule="auto"/>
        <w:rPr>
          <w:rFonts w:ascii="仿宋" w:hAnsi="仿宋" w:eastAsia="仿宋" w:cs="仿宋"/>
          <w:color w:val="auto"/>
          <w:sz w:val="24"/>
          <w:highlight w:val="none"/>
        </w:rPr>
      </w:pP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spacing w:line="600" w:lineRule="exact"/>
        <w:rPr>
          <w:rFonts w:ascii="仿宋" w:hAnsi="仿宋" w:eastAsia="仿宋" w:cs="宋体"/>
          <w:color w:val="auto"/>
          <w:sz w:val="28"/>
          <w:szCs w:val="28"/>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格式七</w:t>
      </w:r>
      <w:r>
        <w:rPr>
          <w:rFonts w:hint="eastAsia" w:ascii="仿宋" w:hAnsi="仿宋" w:eastAsia="仿宋" w:cs="宋体"/>
          <w:color w:val="auto"/>
          <w:sz w:val="28"/>
          <w:szCs w:val="28"/>
          <w:highlight w:val="none"/>
        </w:rPr>
        <w:t>：</w:t>
      </w:r>
    </w:p>
    <w:p>
      <w:pPr>
        <w:adjustRightInd w:val="0"/>
        <w:snapToGrid w:val="0"/>
        <w:spacing w:before="85"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4"/>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bl>
    <w:p>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注：1、“拟承担工作”栏，应注明主要人员（须注明项目负责人、各专业负责人）等。</w:t>
      </w:r>
    </w:p>
    <w:p>
      <w:pPr>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2、项目负责人应按格式八表格及备注的规定附相关证明文件，本表后不需重复附相关证件。</w:t>
      </w:r>
    </w:p>
    <w:p>
      <w:pPr>
        <w:adjustRightInd w:val="0"/>
        <w:snapToGrid w:val="0"/>
        <w:spacing w:before="85"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3、其他人员应附上个人注册执业资格证（如有）、身份证、职称证等文件（复印件，加盖单位公章）。</w:t>
      </w:r>
    </w:p>
    <w:p>
      <w:pPr>
        <w:adjustRightInd w:val="0"/>
        <w:snapToGrid w:val="0"/>
        <w:spacing w:before="85" w:beforeLines="30" w:line="360" w:lineRule="auto"/>
        <w:rPr>
          <w:rFonts w:ascii="仿宋" w:hAnsi="仿宋" w:eastAsia="仿宋" w:cs="仿宋"/>
          <w:color w:val="auto"/>
          <w:sz w:val="24"/>
          <w:highlight w:val="none"/>
        </w:rPr>
      </w:pP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格式八</w:t>
      </w:r>
      <w:r>
        <w:rPr>
          <w:rFonts w:hint="eastAsia" w:ascii="仿宋" w:hAnsi="仿宋" w:eastAsia="仿宋" w:cs="宋体"/>
          <w:color w:val="auto"/>
          <w:sz w:val="28"/>
          <w:szCs w:val="28"/>
          <w:highlight w:val="none"/>
        </w:rPr>
        <w:t>：</w:t>
      </w:r>
    </w:p>
    <w:p>
      <w:pPr>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项目负责人相关经验及业绩</w:t>
      </w:r>
    </w:p>
    <w:p>
      <w:pPr>
        <w:adjustRightInd w:val="0"/>
        <w:snapToGrid w:val="0"/>
        <w:spacing w:before="85"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拟在本合同任职</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p>
        </w:tc>
        <w:tc>
          <w:tcPr>
            <w:tcW w:w="3420" w:type="dxa"/>
            <w:gridSpan w:val="4"/>
            <w:vAlign w:val="center"/>
          </w:tcPr>
          <w:p>
            <w:pPr>
              <w:spacing w:line="460" w:lineRule="exact"/>
              <w:jc w:val="left"/>
              <w:rPr>
                <w:rFonts w:ascii="宋体" w:hAnsi="宋体" w:eastAsia="宋体" w:cs="宋体"/>
                <w:color w:val="auto"/>
                <w:szCs w:val="21"/>
                <w:highlight w:val="none"/>
              </w:rPr>
            </w:pPr>
          </w:p>
        </w:tc>
        <w:tc>
          <w:tcPr>
            <w:tcW w:w="1261" w:type="dxa"/>
            <w:vAlign w:val="center"/>
          </w:tcPr>
          <w:p>
            <w:pPr>
              <w:spacing w:line="460" w:lineRule="exact"/>
              <w:jc w:val="left"/>
              <w:rPr>
                <w:rFonts w:ascii="宋体" w:hAnsi="宋体" w:eastAsia="宋体" w:cs="宋体"/>
                <w:color w:val="auto"/>
                <w:szCs w:val="21"/>
                <w:highlight w:val="none"/>
              </w:rPr>
            </w:pPr>
          </w:p>
        </w:tc>
        <w:tc>
          <w:tcPr>
            <w:tcW w:w="2296" w:type="dxa"/>
            <w:gridSpan w:val="2"/>
            <w:vAlign w:val="center"/>
          </w:tcPr>
          <w:p>
            <w:pPr>
              <w:spacing w:line="460" w:lineRule="exact"/>
              <w:jc w:val="left"/>
              <w:rPr>
                <w:rFonts w:ascii="宋体" w:hAnsi="宋体" w:eastAsia="宋体" w:cs="宋体"/>
                <w:color w:val="auto"/>
                <w:szCs w:val="21"/>
                <w:highlight w:val="none"/>
              </w:rPr>
            </w:pPr>
          </w:p>
        </w:tc>
      </w:tr>
    </w:tbl>
    <w:p>
      <w:pPr>
        <w:rPr>
          <w:rFonts w:ascii="仿宋" w:hAnsi="仿宋" w:eastAsia="仿宋" w:cs="仿宋"/>
          <w:color w:val="auto"/>
          <w:szCs w:val="21"/>
          <w:highlight w:val="none"/>
        </w:rPr>
      </w:pPr>
    </w:p>
    <w:p>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2、须附执业证书及资格证书（如有）、身份证、职称证书及业绩（如有）等证明材料（复印件，加盖单位公章）。</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3、业绩证明资料（如有）须提供合同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相关证明资料中必须能反映出评标所需指标、人员姓名和岗位等，否则相应子项不予计分。</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22"/>
        <w:widowControl/>
        <w:ind w:firstLine="0" w:firstLineChars="0"/>
        <w:rPr>
          <w:color w:val="auto"/>
          <w:spacing w:val="18"/>
          <w:highlight w:val="none"/>
        </w:rPr>
      </w:pPr>
      <w:r>
        <w:rPr>
          <w:color w:val="auto"/>
          <w:spacing w:val="18"/>
          <w:highlight w:val="none"/>
        </w:rPr>
        <w:t xml:space="preserve"> </w:t>
      </w:r>
    </w:p>
    <w:p>
      <w:pPr>
        <w:widowControl/>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Borders>
            <w:top w:val="none" w:sz="0" w:space="0"/>
            <w:left w:val="none" w:sz="0" w:space="0"/>
            <w:bottom w:val="none" w:sz="0" w:space="0"/>
            <w:right w:val="none" w:sz="0" w:space="0"/>
          </w:pgBorders>
          <w:pgNumType w:start="1"/>
          <w:cols w:space="425" w:num="1"/>
          <w:docGrid w:type="lines" w:linePitch="285" w:charSpace="0"/>
        </w:sectPr>
      </w:pPr>
    </w:p>
    <w:p>
      <w:pPr>
        <w:spacing w:line="360" w:lineRule="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格式九：</w:t>
      </w:r>
    </w:p>
    <w:p>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zh-CN"/>
        </w:rPr>
        <w:t>报价表</w:t>
      </w:r>
    </w:p>
    <w:p>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4"/>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 w:hRule="atLeast"/>
          <w:jc w:val="center"/>
        </w:trPr>
        <w:tc>
          <w:tcPr>
            <w:tcW w:w="2711" w:type="dxa"/>
            <w:vAlign w:val="center"/>
          </w:tcPr>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pPr>
              <w:autoSpaceDE w:val="0"/>
              <w:autoSpaceDN w:val="0"/>
              <w:adjustRightInd w:val="0"/>
              <w:snapToGrid w:val="0"/>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 w:hRule="atLeast"/>
          <w:jc w:val="center"/>
        </w:trPr>
        <w:tc>
          <w:tcPr>
            <w:tcW w:w="2711" w:type="dxa"/>
            <w:vAlign w:val="center"/>
          </w:tcPr>
          <w:p>
            <w:pPr>
              <w:autoSpaceDE w:val="0"/>
              <w:autoSpaceDN w:val="0"/>
              <w:adjustRightInd w:val="0"/>
              <w:snapToGrid w:val="0"/>
              <w:jc w:val="center"/>
              <w:rPr>
                <w:rFonts w:hint="eastAsia" w:ascii="宋体" w:hAnsi="宋体" w:cs="宋体" w:eastAsiaTheme="minorEastAsia"/>
                <w:bCs/>
                <w:color w:val="auto"/>
                <w:szCs w:val="21"/>
                <w:highlight w:val="none"/>
                <w:lang w:eastAsia="zh-CN"/>
              </w:rPr>
            </w:pPr>
            <w:r>
              <w:rPr>
                <w:rFonts w:hint="eastAsia" w:ascii="宋体" w:hAnsi="宋体" w:cs="宋体"/>
                <w:bCs/>
                <w:color w:val="auto"/>
                <w:szCs w:val="21"/>
                <w:highlight w:val="none"/>
                <w:lang w:val="en-US" w:eastAsia="zh-CN"/>
              </w:rPr>
              <w:t>投标报价</w:t>
            </w:r>
          </w:p>
        </w:tc>
        <w:tc>
          <w:tcPr>
            <w:tcW w:w="6699" w:type="dxa"/>
            <w:vAlign w:val="center"/>
          </w:tcPr>
          <w:p>
            <w:pPr>
              <w:autoSpaceDE w:val="0"/>
              <w:autoSpaceDN w:val="0"/>
              <w:adjustRightInd w:val="0"/>
              <w:snapToGrid w:val="0"/>
              <w:jc w:val="both"/>
              <w:rPr>
                <w:rFonts w:hint="eastAsia"/>
                <w:lang w:val="zh-CN"/>
              </w:rPr>
            </w:pPr>
            <w:r>
              <w:rPr>
                <w:rFonts w:hint="eastAsia"/>
                <w:lang w:val="zh-CN"/>
              </w:rPr>
              <w:t>大写：</w:t>
            </w:r>
          </w:p>
          <w:p>
            <w:pPr>
              <w:pStyle w:val="8"/>
              <w:ind w:left="0" w:leftChars="0"/>
              <w:rPr>
                <w:lang w:val="zh-CN"/>
              </w:rPr>
            </w:pPr>
            <w:r>
              <w:rPr>
                <w:rFonts w:hint="eastAsia" w:ascii="宋体" w:hAnsi="宋体" w:cs="宋体"/>
                <w:bCs/>
                <w:color w:val="auto"/>
                <w:szCs w:val="21"/>
                <w:highlight w:val="none"/>
                <w:lang w:val="zh-CN"/>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7" w:hRule="atLeast"/>
          <w:jc w:val="center"/>
        </w:trPr>
        <w:tc>
          <w:tcPr>
            <w:tcW w:w="2711" w:type="dxa"/>
            <w:tcBorders>
              <w:top w:val="nil"/>
            </w:tcBorders>
            <w:vAlign w:val="center"/>
          </w:tcPr>
          <w:p>
            <w:pPr>
              <w:autoSpaceDE w:val="0"/>
              <w:autoSpaceDN w:val="0"/>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lang w:val="zh-CN"/>
              </w:rPr>
              <w:t>投标下浮率（</w:t>
            </w:r>
            <w:r>
              <w:rPr>
                <w:rFonts w:ascii="宋体" w:hAnsi="宋体" w:cs="宋体"/>
                <w:bCs/>
                <w:color w:val="auto"/>
                <w:szCs w:val="21"/>
                <w:highlight w:val="none"/>
              </w:rPr>
              <w:t>%</w:t>
            </w:r>
            <w:r>
              <w:rPr>
                <w:rFonts w:hint="eastAsia" w:ascii="宋体" w:hAnsi="宋体" w:cs="宋体"/>
                <w:bCs/>
                <w:color w:val="auto"/>
                <w:szCs w:val="21"/>
                <w:highlight w:val="none"/>
                <w:lang w:val="zh-CN"/>
              </w:rPr>
              <w:t>）</w:t>
            </w:r>
          </w:p>
        </w:tc>
        <w:tc>
          <w:tcPr>
            <w:tcW w:w="6699" w:type="dxa"/>
            <w:tcBorders>
              <w:top w:val="nil"/>
            </w:tcBorders>
            <w:vAlign w:val="center"/>
          </w:tcPr>
          <w:p>
            <w:pPr>
              <w:autoSpaceDE w:val="0"/>
              <w:autoSpaceDN w:val="0"/>
              <w:adjustRightInd w:val="0"/>
              <w:snapToGrid w:val="0"/>
              <w:jc w:val="left"/>
              <w:rPr>
                <w:rFonts w:ascii="宋体" w:hAnsi="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jc w:val="center"/>
        </w:trPr>
        <w:tc>
          <w:tcPr>
            <w:tcW w:w="2711" w:type="dxa"/>
            <w:vAlign w:val="center"/>
          </w:tcPr>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9" w:hRule="atLeast"/>
          <w:jc w:val="center"/>
        </w:trPr>
        <w:tc>
          <w:tcPr>
            <w:tcW w:w="2711" w:type="dxa"/>
            <w:vAlign w:val="center"/>
          </w:tcPr>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jc w:val="center"/>
        </w:trPr>
        <w:tc>
          <w:tcPr>
            <w:tcW w:w="2711" w:type="dxa"/>
            <w:vAlign w:val="center"/>
          </w:tcPr>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pPr>
              <w:autoSpaceDE w:val="0"/>
              <w:autoSpaceDN w:val="0"/>
              <w:adjustRightInd w:val="0"/>
              <w:snapToGrid w:val="0"/>
              <w:jc w:val="center"/>
              <w:rPr>
                <w:rFonts w:ascii="宋体" w:hAnsi="宋体" w:cs="宋体"/>
                <w:bCs/>
                <w:color w:val="auto"/>
                <w:szCs w:val="21"/>
                <w:highlight w:val="none"/>
                <w:lang w:val="zh-CN"/>
              </w:rPr>
            </w:pPr>
          </w:p>
        </w:tc>
      </w:tr>
    </w:tbl>
    <w:p>
      <w:pPr>
        <w:pStyle w:val="9"/>
        <w:spacing w:line="360" w:lineRule="auto"/>
        <w:ind w:firstLine="210" w:firstLineChars="100"/>
        <w:rPr>
          <w:rFonts w:hint="eastAsia" w:hAnsi="宋体" w:cs="宋体"/>
          <w:bCs/>
          <w:color w:val="auto"/>
          <w:highlight w:val="none"/>
          <w:lang w:val="en-US" w:eastAsia="zh-CN"/>
        </w:rPr>
      </w:pPr>
      <w:r>
        <w:rPr>
          <w:rFonts w:hAnsi="宋体" w:cs="宋体"/>
          <w:bCs/>
          <w:color w:val="auto"/>
          <w:highlight w:val="none"/>
        </w:rPr>
        <w:t>注：</w:t>
      </w:r>
      <w:r>
        <w:rPr>
          <w:rFonts w:hint="eastAsia" w:hAnsi="宋体" w:cs="宋体"/>
          <w:bCs/>
          <w:color w:val="auto"/>
          <w:highlight w:val="none"/>
          <w:lang w:val="en-US" w:eastAsia="zh-CN"/>
        </w:rPr>
        <w:t>1、投标报价大小写不一致的，以大写金额为准。</w:t>
      </w:r>
    </w:p>
    <w:p>
      <w:pPr>
        <w:pStyle w:val="9"/>
        <w:numPr>
          <w:ilvl w:val="0"/>
          <w:numId w:val="2"/>
        </w:numPr>
        <w:spacing w:line="360" w:lineRule="auto"/>
        <w:ind w:firstLine="210" w:firstLineChars="100"/>
        <w:rPr>
          <w:rFonts w:ascii="宋体" w:hAnsi="宋体" w:eastAsia="宋体" w:cs="宋体"/>
          <w:bCs/>
          <w:color w:val="auto"/>
          <w:highlight w:val="none"/>
        </w:rPr>
      </w:pPr>
      <w:r>
        <w:rPr>
          <w:rFonts w:hint="eastAsia" w:ascii="宋体" w:hAnsi="宋体" w:eastAsia="宋体" w:cs="宋体"/>
          <w:bCs/>
          <w:color w:val="auto"/>
          <w:kern w:val="2"/>
          <w:sz w:val="21"/>
          <w:szCs w:val="21"/>
          <w:highlight w:val="none"/>
        </w:rPr>
        <w:t>投标下浮率</w:t>
      </w:r>
      <w:r>
        <w:rPr>
          <w:rFonts w:hint="eastAsia" w:ascii="宋体" w:hAnsi="宋体" w:eastAsia="宋体" w:cs="宋体"/>
          <w:bCs/>
          <w:color w:val="auto"/>
          <w:kern w:val="2"/>
          <w:sz w:val="21"/>
          <w:szCs w:val="21"/>
          <w:highlight w:val="none"/>
          <w:lang w:val="en-US" w:eastAsia="zh-CN"/>
        </w:rPr>
        <w:t>=1-（投标报价/</w:t>
      </w:r>
      <w:r>
        <w:rPr>
          <w:rFonts w:hint="eastAsia" w:hAnsi="宋体" w:cs="宋体"/>
          <w:bCs/>
          <w:color w:val="auto"/>
          <w:kern w:val="2"/>
          <w:sz w:val="21"/>
          <w:szCs w:val="21"/>
          <w:highlight w:val="none"/>
          <w:lang w:val="en-US" w:eastAsia="zh-CN"/>
        </w:rPr>
        <w:t>收费指导价总价</w:t>
      </w:r>
      <w:r>
        <w:rPr>
          <w:rFonts w:hint="eastAsia" w:ascii="宋体" w:hAnsi="宋体" w:eastAsia="宋体" w:cs="宋体"/>
          <w:bCs/>
          <w:color w:val="auto"/>
          <w:kern w:val="2"/>
          <w:sz w:val="21"/>
          <w:szCs w:val="21"/>
          <w:highlight w:val="none"/>
          <w:lang w:val="en-US" w:eastAsia="zh-CN"/>
        </w:rPr>
        <w:t>）×100%，</w:t>
      </w:r>
      <w:r>
        <w:rPr>
          <w:rFonts w:hint="eastAsia" w:ascii="宋体" w:hAnsi="宋体" w:eastAsia="宋体" w:cs="宋体"/>
          <w:bCs/>
          <w:color w:val="auto"/>
          <w:kern w:val="2"/>
          <w:sz w:val="21"/>
          <w:szCs w:val="21"/>
          <w:highlight w:val="none"/>
        </w:rPr>
        <w:t>精确到小数点后两位</w:t>
      </w:r>
      <w:r>
        <w:rPr>
          <w:rFonts w:ascii="宋体" w:hAnsi="宋体" w:eastAsia="宋体" w:cs="宋体"/>
          <w:bCs/>
          <w:color w:val="auto"/>
          <w:highlight w:val="none"/>
        </w:rPr>
        <w:t>。</w:t>
      </w:r>
    </w:p>
    <w:p>
      <w:pPr>
        <w:numPr>
          <w:ilvl w:val="-1"/>
          <w:numId w:val="0"/>
        </w:numPr>
        <w:spacing w:line="360" w:lineRule="auto"/>
        <w:ind w:firstLine="210" w:firstLineChars="100"/>
        <w:rPr>
          <w:rFonts w:hAnsi="宋体"/>
          <w:b/>
          <w:color w:val="auto"/>
          <w:highlight w:val="none"/>
        </w:rPr>
      </w:pPr>
      <w:r>
        <w:rPr>
          <w:rFonts w:hint="eastAsia" w:ascii="宋体" w:hAnsi="宋体" w:eastAsia="宋体" w:cs="宋体"/>
          <w:b w:val="0"/>
          <w:bCs/>
          <w:color w:val="auto"/>
          <w:sz w:val="21"/>
          <w:szCs w:val="21"/>
          <w:highlight w:val="none"/>
          <w:lang w:val="en-US" w:eastAsia="zh-CN"/>
        </w:rPr>
        <w:t>3、检测服务费</w:t>
      </w:r>
      <w:r>
        <w:rPr>
          <w:rFonts w:hint="eastAsia" w:ascii="宋体" w:hAnsi="宋体" w:eastAsia="宋体" w:cs="宋体"/>
          <w:b w:val="0"/>
          <w:bCs/>
          <w:color w:val="auto"/>
          <w:sz w:val="21"/>
          <w:szCs w:val="21"/>
          <w:highlight w:val="none"/>
          <w:lang w:eastAsia="zh-CN"/>
        </w:rPr>
        <w:t>最终</w:t>
      </w:r>
      <w:r>
        <w:rPr>
          <w:rFonts w:hint="eastAsia" w:ascii="宋体" w:hAnsi="宋体" w:eastAsia="宋体" w:cs="宋体"/>
          <w:b w:val="0"/>
          <w:bCs/>
          <w:color w:val="auto"/>
          <w:sz w:val="21"/>
          <w:szCs w:val="21"/>
          <w:highlight w:val="none"/>
          <w:lang w:val="en-US" w:eastAsia="zh-CN"/>
        </w:rPr>
        <w:t>结算价</w:t>
      </w:r>
      <w:r>
        <w:rPr>
          <w:rFonts w:hint="eastAsia" w:ascii="宋体" w:hAnsi="宋体" w:eastAsia="宋体" w:cs="宋体"/>
          <w:b w:val="0"/>
          <w:bCs/>
          <w:color w:val="auto"/>
          <w:sz w:val="21"/>
          <w:szCs w:val="21"/>
          <w:highlight w:val="none"/>
          <w:lang w:eastAsia="zh-CN"/>
        </w:rPr>
        <w:t>参</w:t>
      </w:r>
      <w:r>
        <w:rPr>
          <w:rFonts w:hint="eastAsia" w:ascii="宋体" w:hAnsi="宋体" w:eastAsia="宋体" w:cs="宋体"/>
          <w:b w:val="0"/>
          <w:bCs/>
          <w:color w:val="auto"/>
          <w:sz w:val="21"/>
          <w:szCs w:val="21"/>
          <w:highlight w:val="none"/>
        </w:rPr>
        <w:t>照</w:t>
      </w:r>
      <w:r>
        <w:rPr>
          <w:rFonts w:hint="eastAsia" w:ascii="宋体" w:hAnsi="宋体" w:eastAsia="宋体" w:cs="宋体"/>
          <w:bCs/>
          <w:color w:val="auto"/>
          <w:sz w:val="21"/>
          <w:szCs w:val="21"/>
          <w:highlight w:val="none"/>
          <w:u w:val="none"/>
        </w:rPr>
        <w:t>《关于印发〈广东省房屋建筑和市政工程质量安全检测收费指导价（第一批）〉、〈广东省既有房屋建筑安全性鉴定收费指导价〉的通知》（粤建检协〔2015〕8号）</w:t>
      </w:r>
      <w:r>
        <w:rPr>
          <w:rFonts w:hint="eastAsia" w:ascii="宋体" w:hAnsi="宋体" w:eastAsia="宋体" w:cs="宋体"/>
          <w:bCs/>
          <w:color w:val="auto"/>
          <w:sz w:val="21"/>
          <w:szCs w:val="21"/>
          <w:highlight w:val="none"/>
          <w:u w:val="none"/>
          <w:lang w:eastAsia="zh-CN"/>
        </w:rPr>
        <w:t>、粤质检[2008]52号、粤价[2001]340号</w:t>
      </w:r>
      <w:r>
        <w:rPr>
          <w:rFonts w:hint="eastAsia" w:ascii="宋体" w:hAnsi="宋体" w:eastAsia="宋体" w:cs="宋体"/>
          <w:bCs/>
          <w:color w:val="auto"/>
          <w:sz w:val="21"/>
          <w:szCs w:val="21"/>
          <w:highlight w:val="none"/>
          <w:u w:val="none"/>
        </w:rPr>
        <w:t>等文件相关检测收费标准</w:t>
      </w:r>
      <w:r>
        <w:rPr>
          <w:rFonts w:hint="eastAsia" w:ascii="宋体" w:hAnsi="宋体" w:eastAsia="宋体" w:cs="宋体"/>
          <w:bCs/>
          <w:color w:val="auto"/>
          <w:sz w:val="21"/>
          <w:szCs w:val="21"/>
          <w:highlight w:val="none"/>
          <w:u w:val="none"/>
          <w:lang w:eastAsia="zh-CN"/>
        </w:rPr>
        <w:t>为依据</w:t>
      </w:r>
      <w:r>
        <w:rPr>
          <w:rFonts w:hint="eastAsia" w:ascii="宋体" w:hAnsi="宋体" w:eastAsia="宋体" w:cs="宋体"/>
          <w:b w:val="0"/>
          <w:bCs/>
          <w:color w:val="auto"/>
          <w:sz w:val="21"/>
          <w:szCs w:val="21"/>
          <w:highlight w:val="none"/>
          <w:lang w:val="en-US" w:eastAsia="zh-CN"/>
        </w:rPr>
        <w:t>，以实际发生的检测项目、数量及综合单价为计费标准计算得出，综合单价=检测项目收费指导价×（1-投标下浮率）</w:t>
      </w:r>
      <w:r>
        <w:rPr>
          <w:rFonts w:hint="eastAsia" w:ascii="宋体" w:hAnsi="宋体" w:eastAsia="宋体" w:cs="宋体"/>
          <w:bCs/>
          <w:color w:val="auto"/>
          <w:sz w:val="21"/>
          <w:szCs w:val="21"/>
          <w:highlight w:val="none"/>
          <w:lang w:bidi="ar-SA"/>
        </w:rPr>
        <w:t>。</w:t>
      </w:r>
      <w:r>
        <w:rPr>
          <w:rFonts w:hAnsi="宋体"/>
          <w:b/>
          <w:color w:val="auto"/>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rPr>
        <w:t>商务文件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w:t>
      </w:r>
      <w:r>
        <w:rPr>
          <w:rFonts w:hint="eastAsia" w:ascii="宋体" w:hAnsi="宋体"/>
          <w:b/>
          <w:color w:val="auto"/>
          <w:sz w:val="24"/>
          <w:highlight w:val="none"/>
          <w:lang w:val="en-US" w:eastAsia="zh-CN"/>
        </w:rPr>
        <w:t>2</w:t>
      </w:r>
      <w:r>
        <w:rPr>
          <w:rFonts w:hint="eastAsia" w:ascii="宋体" w:hAnsi="宋体"/>
          <w:b/>
          <w:color w:val="auto"/>
          <w:sz w:val="24"/>
          <w:highlight w:val="none"/>
        </w:rPr>
        <w:t>：</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lang w:eastAsia="zh-CN"/>
        </w:rPr>
        <w:t>技术</w:t>
      </w:r>
      <w:r>
        <w:rPr>
          <w:rFonts w:hint="eastAsia" w:eastAsia="黑体"/>
          <w:color w:val="auto"/>
          <w:sz w:val="52"/>
          <w:szCs w:val="52"/>
          <w:highlight w:val="none"/>
        </w:rPr>
        <w:t>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pStyle w:val="9"/>
        <w:rPr>
          <w:rFonts w:hint="default"/>
          <w:color w:val="auto"/>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4"/>
        <w:widowControl/>
        <w:spacing w:before="0" w:after="0" w:line="360" w:lineRule="auto"/>
        <w:jc w:val="center"/>
        <w:rPr>
          <w:rFonts w:ascii="黑体" w:hAnsi="宋体" w:cs="黑体"/>
          <w:b/>
          <w:color w:val="auto"/>
          <w:kern w:val="44"/>
          <w:sz w:val="44"/>
          <w:szCs w:val="44"/>
          <w:highlight w:val="none"/>
        </w:rPr>
      </w:pPr>
      <w:bookmarkStart w:id="43" w:name="_Toc374128477"/>
      <w:bookmarkEnd w:id="43"/>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bookmarkStart w:id="44" w:name="_Toc1265"/>
      <w:r>
        <w:rPr>
          <w:rFonts w:hint="eastAsia" w:ascii="黑体" w:hAnsi="宋体" w:cs="黑体"/>
          <w:b/>
          <w:color w:val="auto"/>
          <w:kern w:val="44"/>
          <w:sz w:val="44"/>
          <w:szCs w:val="44"/>
          <w:highlight w:val="none"/>
        </w:rPr>
        <w:t>第3章 评标办法</w:t>
      </w:r>
      <w:bookmarkEnd w:id="44"/>
    </w:p>
    <w:p>
      <w:pPr>
        <w:spacing w:after="120"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pgBorders>
            <w:top w:val="none" w:sz="0" w:space="0"/>
            <w:left w:val="none" w:sz="0" w:space="0"/>
            <w:bottom w:val="none" w:sz="0" w:space="0"/>
            <w:right w:val="none" w:sz="0" w:space="0"/>
          </w:pgBorders>
          <w:cols w:space="425" w:num="1"/>
          <w:docGrid w:linePitch="285" w:charSpace="0"/>
        </w:sectPr>
      </w:pPr>
      <w:r>
        <w:rPr>
          <w:rFonts w:ascii="Times New Roman" w:hAnsi="Times New Roman" w:eastAsia="宋体" w:cs="Times New Roman"/>
          <w:color w:val="auto"/>
          <w:szCs w:val="21"/>
          <w:highlight w:val="none"/>
        </w:rPr>
        <w:br w:type="page"/>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w:t>
      </w:r>
      <w:r>
        <w:rPr>
          <w:rFonts w:hint="eastAsia" w:ascii="仿宋" w:hAnsi="仿宋" w:eastAsia="仿宋" w:cs="仿宋"/>
          <w:color w:val="auto"/>
          <w:sz w:val="28"/>
          <w:szCs w:val="28"/>
          <w:highlight w:val="none"/>
          <w:lang w:eastAsia="zh-CN"/>
        </w:rPr>
        <w:t>方式</w:t>
      </w:r>
      <w:r>
        <w:rPr>
          <w:rFonts w:hint="eastAsia" w:ascii="仿宋" w:hAnsi="仿宋" w:eastAsia="仿宋" w:cs="仿宋"/>
          <w:color w:val="auto"/>
          <w:sz w:val="28"/>
          <w:szCs w:val="28"/>
          <w:highlight w:val="none"/>
        </w:rPr>
        <w:t>选择</w:t>
      </w:r>
      <w:r>
        <w:rPr>
          <w:rFonts w:hint="eastAsia" w:ascii="仿宋" w:hAnsi="仿宋" w:eastAsia="仿宋" w:cs="仿宋"/>
          <w:color w:val="auto"/>
          <w:sz w:val="28"/>
          <w:szCs w:val="28"/>
          <w:highlight w:val="none"/>
          <w:lang w:eastAsia="zh-CN"/>
        </w:rPr>
        <w:t>服务</w:t>
      </w:r>
      <w:r>
        <w:rPr>
          <w:rFonts w:hint="eastAsia" w:ascii="仿宋" w:hAnsi="仿宋" w:eastAsia="仿宋" w:cs="仿宋"/>
          <w:color w:val="auto"/>
          <w:sz w:val="28"/>
          <w:szCs w:val="28"/>
          <w:highlight w:val="none"/>
        </w:rPr>
        <w:t>单位，为保证招标“公开、公平、公正”，根据国家有关工程建设招标投标的法律、法规和方针、政策，制定本评标细则，实行评标的规范化、标准化、科学化。</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本评标办法的解释和修订权属招标人。</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2.1《中华人民共和国民法典》；</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500" w:lineRule="exact"/>
        <w:ind w:firstLine="560" w:firstLineChars="200"/>
        <w:jc w:val="lef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2.3《中华人民共和国招标投标法实施条例》</w:t>
      </w:r>
      <w:r>
        <w:rPr>
          <w:rFonts w:hint="eastAsia" w:ascii="仿宋" w:hAnsi="仿宋" w:eastAsia="仿宋" w:cs="仿宋"/>
          <w:color w:val="auto"/>
          <w:sz w:val="28"/>
          <w:szCs w:val="28"/>
          <w:highlight w:val="none"/>
          <w:lang w:eastAsia="zh-CN"/>
        </w:rPr>
        <w:t>；</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2.4七部委第12号令《评标小组和评标方法暂行规定》；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市公共资源交易中心备案；情节严重，构成犯罪的，由司法机关依法追究其刑事责任。</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3"/>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3"/>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3"/>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3"/>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3"/>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3"/>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招标人依法组建评标小组。</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9"/>
        <w:widowControl/>
        <w:spacing w:line="500" w:lineRule="exact"/>
        <w:ind w:firstLine="562" w:firstLineChars="200"/>
        <w:rPr>
          <w:rFonts w:hint="default" w:ascii="仿宋" w:hAnsi="仿宋" w:eastAsia="仿宋" w:cs="仿宋"/>
          <w:b/>
          <w:color w:val="auto"/>
          <w:sz w:val="28"/>
          <w:szCs w:val="28"/>
          <w:highlight w:val="none"/>
        </w:rPr>
      </w:pPr>
      <w:r>
        <w:rPr>
          <w:rFonts w:ascii="仿宋" w:hAnsi="仿宋" w:eastAsia="仿宋" w:cs="仿宋"/>
          <w:b/>
          <w:color w:val="auto"/>
          <w:sz w:val="28"/>
          <w:szCs w:val="28"/>
          <w:highlight w:val="none"/>
        </w:rPr>
        <w:t>5.1评标小组</w:t>
      </w:r>
    </w:p>
    <w:p>
      <w:pPr>
        <w:pStyle w:val="9"/>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5.1.1  评标小组由招标人依法组建的5名专家组成。</w:t>
      </w:r>
    </w:p>
    <w:p>
      <w:pPr>
        <w:pStyle w:val="9"/>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5.1.2  评标小组推举产生1名评标组长，主持评审工作，评标组长与其他成员有同等表决权。</w:t>
      </w:r>
    </w:p>
    <w:p>
      <w:pPr>
        <w:pStyle w:val="9"/>
        <w:widowControl/>
        <w:spacing w:line="500" w:lineRule="exac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 </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5.2.1  评标小组根据招标文件规定的评标标准和方法，对投标文件进行评审和比较，招标文件中没有规定的标准和方法不得作为评标的依据。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在符合招标文件规定的前提下，评标小组主要对投标文件进行评议。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评标小组负责裁决。裁决前，评标小组应认真阅读招标文件的规定。投标文件中全部符合附件1《符合性审查表》中任一种情形的，为有效标书，否则其投标文件将被否决。若本项目通过符合性审查的投标人不足3名时，应重新招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评标小组成员应当对投标文件发表专业、客观、公正的意见，意见不一致的应作进一步核实和讨论。评标小组成员对任何一个投标文件的质疑，应当在讨论或现场讲解时提出，表决结果公布后才提出的质疑，不可作为改变表决结果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如果少数投标人超越招标文件要求提交了模型、演示动画、特殊规格展示图纸或发生其他特殊情况，评标小组对超越招标文件要求的内容不进行评审，只评审该投标文件符合要求的内容。</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 采用</w:t>
      </w:r>
      <w:r>
        <w:rPr>
          <w:rFonts w:hint="eastAsia" w:ascii="仿宋" w:hAnsi="仿宋" w:eastAsia="仿宋" w:cs="仿宋"/>
          <w:b/>
          <w:color w:val="auto"/>
          <w:sz w:val="28"/>
          <w:szCs w:val="28"/>
          <w:highlight w:val="none"/>
          <w:u w:val="single"/>
        </w:rPr>
        <w:t>综合评分法评标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spacing w:line="500" w:lineRule="exact"/>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500" w:lineRule="exact"/>
        <w:ind w:left="779" w:leftChars="170" w:hanging="422" w:hangingChars="151"/>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(a) 评标小组专家首先按附件1《符合性审查表》对各投标文件进行评审，只有通过符合性审查的投标文件方可进入下一阶段的评审。如果有符合性审查不通过提议，则评标小组成员共同表决，按照少数服从多数的原则决定是否通过符合性审查。</w:t>
      </w:r>
    </w:p>
    <w:p>
      <w:pPr>
        <w:spacing w:line="500" w:lineRule="exact"/>
        <w:ind w:left="919" w:leftChars="171" w:hanging="560" w:hanging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(b) 评标小组专家计算各投标人的综合得分</w:t>
      </w:r>
      <w:r>
        <w:rPr>
          <w:rFonts w:hint="eastAsia" w:ascii="仿宋" w:hAnsi="仿宋" w:eastAsia="仿宋" w:cs="仿宋"/>
          <w:color w:val="auto"/>
          <w:sz w:val="28"/>
          <w:szCs w:val="28"/>
          <w:highlight w:val="none"/>
          <w:lang w:eastAsia="zh-CN"/>
        </w:rPr>
        <w:t>。</w:t>
      </w:r>
    </w:p>
    <w:p>
      <w:pPr>
        <w:spacing w:line="500" w:lineRule="exact"/>
        <w:ind w:left="919" w:leftChars="171" w:hanging="560" w:hanging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(c) 评标小组编写、签署评标报告，向招标人推荐综合得分最高的前三名中标候选方案（中标候选人）并标明排列顺序，评标报告由评标小组全体成员签名，对评标结论持有异议的评标小组成员可以书面方式阐述其不同意见和理由。</w:t>
      </w:r>
    </w:p>
    <w:p>
      <w:pPr>
        <w:spacing w:line="500" w:lineRule="exact"/>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招标人在评标小组推荐的候选方案中确定中标方案。但是，招标人认为评标小组推荐的候选方案不能最大限度满足招标文件规定的要求的，依法重新招标。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500" w:lineRule="exact"/>
        <w:ind w:left="958" w:hanging="957" w:hangingChars="3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□（a）招标人委托评标小组直接确定中标人；</w:t>
      </w:r>
    </w:p>
    <w:p>
      <w:pPr>
        <w:spacing w:line="500" w:lineRule="exact"/>
        <w:ind w:left="961" w:hanging="961" w:hangingChars="342"/>
        <w:jc w:val="left"/>
        <w:rPr>
          <w:rFonts w:ascii="仿宋" w:hAnsi="仿宋" w:eastAsia="仿宋" w:cs="仿宋"/>
          <w:color w:val="auto"/>
          <w:sz w:val="28"/>
          <w:szCs w:val="28"/>
          <w:highlight w:val="none"/>
        </w:rPr>
      </w:pPr>
      <w:r>
        <w:rPr>
          <w:rFonts w:hint="eastAsia" w:ascii="仿宋" w:hAnsi="仿宋" w:eastAsia="仿宋" w:cs="仿宋"/>
          <w:b/>
          <w:color w:val="auto"/>
          <w:kern w:val="0"/>
          <w:sz w:val="28"/>
          <w:szCs w:val="28"/>
          <w:highlight w:val="none"/>
        </w:rPr>
        <w:t>√</w:t>
      </w:r>
      <w:r>
        <w:rPr>
          <w:rFonts w:hint="eastAsia" w:ascii="仿宋" w:hAnsi="仿宋" w:eastAsia="仿宋" w:cs="仿宋"/>
          <w:color w:val="auto"/>
          <w:sz w:val="28"/>
          <w:szCs w:val="28"/>
          <w:highlight w:val="none"/>
        </w:rPr>
        <w:t>（b）确定评标小组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如排名第二的中标候选人也发生上述问题，则确定排名第三的中标候选人为中标人。</w:t>
      </w:r>
    </w:p>
    <w:p>
      <w:pPr>
        <w:spacing w:line="500" w:lineRule="exact"/>
        <w:ind w:left="958" w:hanging="957" w:hangingChars="3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9"/>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9"/>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9"/>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由招标人或其推选的代表检查投标文件的密封情况，也可以由招标人委托的公证机构检查并公证；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a、投标人名称；b、标书密封情况；c、法定代表人证明及授权委托；d、项目负责人名称；e、投标报价等主要内容以及开标记录表中的其他必要内容，并予以记录，记录提交评标小组评审。</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招标人将上述符合要求的投标文件，送至评标小组进行评审。</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1）第一步：进行投标文件符合性审查；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评标小组依据有关法律、法规和招标文件的规定对投标文件进行评审，若本项目经评审有效的投标人不足3名时，本次招标失败，招标人应当依法重新组织招标。</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2）第二步：专家对综合评分表进行打分；</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3）第三步：评标小组完成评标报告，向招标人推荐中标候选人。</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根据附件1“符合性审查表”进行评审。投标文件全部列于附件1《符合性审查表》中情形的，为通过符合性审查。否则其投标文件将被否决。如评标小组成员的评审意见不一致时，以评标小组过半数成员的意见作为评标小组对该情形的认定结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评标小组对所有投标作否决处理的，招标人应当重新招标。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w:t>
      </w:r>
      <w:r>
        <w:rPr>
          <w:rFonts w:hint="eastAsia" w:ascii="仿宋" w:hAnsi="仿宋" w:eastAsia="仿宋" w:cs="仿宋"/>
          <w:b/>
          <w:color w:val="auto"/>
          <w:sz w:val="28"/>
          <w:szCs w:val="28"/>
          <w:highlight w:val="none"/>
          <w:lang w:val="en-US" w:eastAsia="zh-CN"/>
        </w:rPr>
        <w:t>3</w:t>
      </w:r>
      <w:r>
        <w:rPr>
          <w:rFonts w:hint="eastAsia" w:ascii="仿宋" w:hAnsi="仿宋" w:eastAsia="仿宋" w:cs="仿宋"/>
          <w:b/>
          <w:color w:val="auto"/>
          <w:sz w:val="28"/>
          <w:szCs w:val="28"/>
          <w:highlight w:val="none"/>
        </w:rPr>
        <w:t xml:space="preserve">  计算投标人总得分（满分为100分） </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w:t>
      </w:r>
      <w:r>
        <w:rPr>
          <w:rFonts w:hint="eastAsia" w:ascii="仿宋" w:hAnsi="仿宋" w:eastAsia="仿宋" w:cs="仿宋"/>
          <w:b/>
          <w:color w:val="auto"/>
          <w:sz w:val="28"/>
          <w:szCs w:val="28"/>
          <w:highlight w:val="none"/>
          <w:lang w:val="en-US" w:eastAsia="zh-CN"/>
        </w:rPr>
        <w:t>4</w:t>
      </w:r>
      <w:r>
        <w:rPr>
          <w:rFonts w:hint="eastAsia" w:ascii="仿宋" w:hAnsi="仿宋" w:eastAsia="仿宋" w:cs="仿宋"/>
          <w:b/>
          <w:color w:val="auto"/>
          <w:sz w:val="28"/>
          <w:szCs w:val="28"/>
          <w:highlight w:val="none"/>
        </w:rPr>
        <w:t xml:space="preserve">  推荐中标候选人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.1按投标人总得分高低进行先后排序，取评分最高者为第一中标候选人，次高者为第二中标候选人，依次类推。</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.2如果有两个或两个以上的投标人总得分评分相同，则服务报价得分较高的投标人排名优先；如果总得分、服务报价得分均相同的投标文件，则由评标小组采用摇珠方式，确定中标候选人顺序。</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w:t>
      </w:r>
      <w:r>
        <w:rPr>
          <w:rFonts w:hint="eastAsia" w:ascii="仿宋" w:hAnsi="仿宋" w:eastAsia="仿宋" w:cs="仿宋"/>
          <w:b/>
          <w:color w:val="auto"/>
          <w:sz w:val="28"/>
          <w:szCs w:val="28"/>
          <w:highlight w:val="none"/>
          <w:lang w:val="en-US" w:eastAsia="zh-CN"/>
        </w:rPr>
        <w:t>5</w:t>
      </w:r>
      <w:r>
        <w:rPr>
          <w:rFonts w:hint="eastAsia" w:ascii="仿宋" w:hAnsi="仿宋" w:eastAsia="仿宋" w:cs="仿宋"/>
          <w:b/>
          <w:color w:val="auto"/>
          <w:sz w:val="28"/>
          <w:szCs w:val="28"/>
          <w:highlight w:val="none"/>
        </w:rPr>
        <w:t xml:space="preserve"> 确定中标人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 招标人依据评标报告审定本项目的中标人。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w:t>
      </w:r>
      <w:r>
        <w:rPr>
          <w:rFonts w:hint="eastAsia" w:ascii="仿宋" w:hAnsi="仿宋" w:eastAsia="仿宋" w:cs="仿宋"/>
          <w:b/>
          <w:bCs/>
          <w:color w:val="auto"/>
          <w:sz w:val="28"/>
          <w:szCs w:val="28"/>
          <w:highlight w:val="none"/>
          <w:lang w:val="en-US" w:eastAsia="zh-CN"/>
        </w:rPr>
        <w:t>6</w:t>
      </w:r>
      <w:r>
        <w:rPr>
          <w:rFonts w:hint="eastAsia" w:ascii="仿宋" w:hAnsi="仿宋" w:eastAsia="仿宋" w:cs="仿宋"/>
          <w:b/>
          <w:bCs/>
          <w:color w:val="auto"/>
          <w:sz w:val="28"/>
          <w:szCs w:val="28"/>
          <w:highlight w:val="none"/>
        </w:rPr>
        <w:t>招标人将参照以下原则进行本项目中标人的替换：</w:t>
      </w:r>
    </w:p>
    <w:p>
      <w:pPr>
        <w:numPr>
          <w:ilvl w:val="0"/>
          <w:numId w:val="4"/>
        </w:numPr>
        <w:snapToGrid w:val="0"/>
        <w:spacing w:line="360" w:lineRule="auto"/>
        <w:ind w:left="0" w:firstLine="425"/>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若中标人在实际工作中服务质量存在问题，未能表现出符合要求的</w:t>
      </w:r>
      <w:r>
        <w:rPr>
          <w:rFonts w:hint="eastAsia" w:ascii="仿宋" w:hAnsi="仿宋" w:eastAsia="仿宋" w:cs="仿宋"/>
          <w:color w:val="auto"/>
          <w:sz w:val="28"/>
          <w:szCs w:val="28"/>
          <w:highlight w:val="none"/>
          <w:lang w:eastAsia="zh-CN"/>
        </w:rPr>
        <w:t>服务</w:t>
      </w:r>
      <w:r>
        <w:rPr>
          <w:rFonts w:hint="eastAsia" w:ascii="仿宋" w:hAnsi="仿宋" w:eastAsia="仿宋" w:cs="仿宋"/>
          <w:color w:val="auto"/>
          <w:sz w:val="28"/>
          <w:szCs w:val="28"/>
          <w:highlight w:val="none"/>
        </w:rPr>
        <w:t>水平，经招标人研究确定，可解除与中标人的合同关系，并按照中标候选人顺序依次选取新的中标人</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或重新招标</w:t>
      </w:r>
      <w:r>
        <w:rPr>
          <w:rFonts w:hint="eastAsia" w:ascii="仿宋" w:hAnsi="仿宋" w:eastAsia="仿宋" w:cs="仿宋"/>
          <w:color w:val="auto"/>
          <w:sz w:val="28"/>
          <w:szCs w:val="28"/>
          <w:highlight w:val="none"/>
        </w:rPr>
        <w:t>。</w:t>
      </w:r>
    </w:p>
    <w:p>
      <w:pPr>
        <w:numPr>
          <w:ilvl w:val="0"/>
          <w:numId w:val="4"/>
        </w:numPr>
        <w:snapToGrid w:val="0"/>
        <w:spacing w:line="360" w:lineRule="auto"/>
        <w:ind w:left="0" w:firstLine="425"/>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或重新招标</w:t>
      </w:r>
      <w:r>
        <w:rPr>
          <w:rFonts w:hint="eastAsia" w:ascii="仿宋" w:hAnsi="仿宋" w:eastAsia="仿宋" w:cs="仿宋"/>
          <w:color w:val="auto"/>
          <w:sz w:val="28"/>
          <w:szCs w:val="28"/>
          <w:highlight w:val="none"/>
        </w:rPr>
        <w:t>。</w:t>
      </w:r>
    </w:p>
    <w:p>
      <w:pPr>
        <w:pStyle w:val="9"/>
        <w:rPr>
          <w:rFonts w:hint="default" w:ascii="仿宋" w:hAnsi="仿宋" w:eastAsia="仿宋" w:cs="仿宋"/>
          <w:color w:val="auto"/>
          <w:sz w:val="28"/>
          <w:szCs w:val="28"/>
          <w:highlight w:val="none"/>
        </w:rPr>
      </w:pPr>
    </w:p>
    <w:p>
      <w:pPr>
        <w:pStyle w:val="9"/>
        <w:rPr>
          <w:rFonts w:hint="default" w:ascii="仿宋" w:hAnsi="仿宋" w:eastAsia="仿宋" w:cs="仿宋"/>
          <w:color w:val="auto"/>
          <w:sz w:val="28"/>
          <w:szCs w:val="28"/>
          <w:highlight w:val="none"/>
        </w:rPr>
      </w:pPr>
    </w:p>
    <w:p>
      <w:pPr>
        <w:snapToGrid w:val="0"/>
        <w:spacing w:line="360" w:lineRule="auto"/>
        <w:rPr>
          <w:rFonts w:ascii="仿宋" w:hAnsi="仿宋" w:eastAsia="仿宋" w:cs="仿宋"/>
          <w:color w:val="auto"/>
          <w:sz w:val="24"/>
          <w:highlight w:val="none"/>
        </w:rPr>
      </w:pPr>
    </w:p>
    <w:p>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第4章 附件</w:t>
      </w:r>
    </w:p>
    <w:p>
      <w:pPr>
        <w:pStyle w:val="19"/>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pPr>
        <w:pStyle w:val="19"/>
        <w:widowControl/>
        <w:ind w:firstLine="562"/>
        <w:rPr>
          <w:rFonts w:hint="default" w:ascii="仿宋" w:hAnsi="仿宋" w:eastAsia="仿宋" w:cs="仿宋"/>
          <w:b/>
          <w:color w:val="auto"/>
          <w:sz w:val="28"/>
          <w:szCs w:val="28"/>
          <w:highlight w:val="none"/>
          <w:u w:val="single"/>
        </w:rPr>
      </w:pPr>
      <w:bookmarkStart w:id="45" w:name="OLE_LINK3"/>
      <w:bookmarkEnd w:id="45"/>
      <w:r>
        <w:rPr>
          <w:rFonts w:ascii="仿宋" w:hAnsi="仿宋" w:eastAsia="仿宋" w:cs="仿宋"/>
          <w:b/>
          <w:color w:val="auto"/>
          <w:sz w:val="28"/>
          <w:szCs w:val="28"/>
          <w:highlight w:val="none"/>
          <w:u w:val="single"/>
        </w:rPr>
        <w:t>附件2 综合评分表</w:t>
      </w:r>
    </w:p>
    <w:p>
      <w:pPr>
        <w:pStyle w:val="19"/>
        <w:widowControl/>
        <w:ind w:firstLine="562"/>
        <w:rPr>
          <w:rFonts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附件3 投标申请人声明</w:t>
      </w:r>
    </w:p>
    <w:p>
      <w:pPr>
        <w:pStyle w:val="19"/>
        <w:widowControl/>
        <w:ind w:firstLine="562"/>
        <w:rPr>
          <w:rFonts w:hint="default"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eastAsia="zh-CN"/>
        </w:rPr>
        <w:t>附件</w:t>
      </w:r>
      <w:r>
        <w:rPr>
          <w:rFonts w:hint="eastAsia" w:ascii="仿宋" w:hAnsi="仿宋" w:eastAsia="仿宋" w:cs="仿宋"/>
          <w:b/>
          <w:color w:val="auto"/>
          <w:sz w:val="28"/>
          <w:szCs w:val="28"/>
          <w:highlight w:val="none"/>
          <w:u w:val="single"/>
          <w:lang w:val="en-US" w:eastAsia="zh-CN"/>
        </w:rPr>
        <w:t>4 招标人要求</w:t>
      </w:r>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46" w:name="_Toc14580"/>
      <w:r>
        <w:rPr>
          <w:rFonts w:hint="eastAsia" w:ascii="仿宋" w:hAnsi="仿宋" w:eastAsia="仿宋" w:cs="仿宋"/>
          <w:color w:val="auto"/>
          <w:sz w:val="28"/>
          <w:szCs w:val="28"/>
          <w:highlight w:val="none"/>
        </w:rPr>
        <w:t>附件1：符合性审查表</w:t>
      </w:r>
      <w:bookmarkEnd w:id="46"/>
      <w:r>
        <w:rPr>
          <w:rFonts w:hint="eastAsia" w:ascii="仿宋" w:hAnsi="仿宋" w:eastAsia="仿宋" w:cs="仿宋"/>
          <w:color w:val="auto"/>
          <w:sz w:val="28"/>
          <w:szCs w:val="28"/>
          <w:highlight w:val="none"/>
        </w:rPr>
        <w:t xml:space="preserve">  </w:t>
      </w:r>
    </w:p>
    <w:p>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4"/>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120" w:beforeLines="50" w:after="120" w:afterLines="50" w:line="240" w:lineRule="exact"/>
              <w:ind w:left="105" w:leftChars="50" w:right="105" w:rightChars="50"/>
              <w:jc w:val="center"/>
              <w:rPr>
                <w:rFonts w:ascii="仿宋" w:hAnsi="仿宋" w:eastAsia="仿宋" w:cs="仿宋"/>
                <w:b/>
                <w:color w:val="auto"/>
                <w:highlight w:val="none"/>
              </w:rPr>
            </w:pPr>
          </w:p>
          <w:p>
            <w:pPr>
              <w:spacing w:before="120" w:beforeLines="50" w:after="12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77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ind w:right="105" w:rightChars="50" w:firstLine="18" w:firstLineChars="9"/>
              <w:jc w:val="left"/>
              <w:rPr>
                <w:rFonts w:ascii="仿宋" w:hAnsi="仿宋" w:eastAsia="仿宋" w:cs="仿宋"/>
                <w:color w:val="auto"/>
                <w:highlight w:val="none"/>
              </w:rPr>
            </w:pPr>
            <w:r>
              <w:rPr>
                <w:rFonts w:hint="eastAsia" w:ascii="仿宋" w:hAnsi="仿宋" w:eastAsia="仿宋" w:cs="仿宋"/>
                <w:color w:val="auto"/>
                <w:szCs w:val="21"/>
                <w:highlight w:val="none"/>
              </w:rPr>
              <w:t>投标函签名并加盖公章</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86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项目负责人</w:t>
            </w:r>
            <w:r>
              <w:rPr>
                <w:rFonts w:hint="eastAsia" w:ascii="仿宋" w:hAnsi="仿宋" w:eastAsia="仿宋" w:cs="仿宋"/>
                <w:color w:val="auto"/>
                <w:szCs w:val="21"/>
                <w:highlight w:val="none"/>
                <w:lang w:eastAsia="zh-CN"/>
              </w:rPr>
              <w:t>、技术负责人</w:t>
            </w:r>
            <w:r>
              <w:rPr>
                <w:rFonts w:hint="eastAsia" w:ascii="仿宋" w:hAnsi="仿宋" w:eastAsia="仿宋" w:cs="仿宋"/>
                <w:color w:val="auto"/>
                <w:szCs w:val="21"/>
                <w:highlight w:val="none"/>
              </w:rPr>
              <w:t>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投标报价不超过招标控制价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78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pPr>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pPr>
        <w:snapToGrid w:val="0"/>
        <w:ind w:left="74"/>
        <w:rPr>
          <w:rFonts w:ascii="仿宋" w:hAnsi="仿宋" w:eastAsia="仿宋" w:cs="Courier New"/>
          <w:color w:val="auto"/>
          <w:sz w:val="28"/>
          <w:szCs w:val="28"/>
          <w:highlight w:val="none"/>
        </w:rPr>
      </w:pPr>
    </w:p>
    <w:p>
      <w:pPr>
        <w:snapToGrid w:val="0"/>
        <w:ind w:left="74"/>
        <w:outlineLvl w:val="0"/>
        <w:rPr>
          <w:rFonts w:ascii="仿宋" w:hAnsi="仿宋" w:eastAsia="仿宋" w:cs="仿宋"/>
          <w:b/>
          <w:color w:val="auto"/>
          <w:sz w:val="24"/>
          <w:highlight w:val="none"/>
        </w:rPr>
        <w:sectPr>
          <w:footerReference r:id="rId4" w:type="default"/>
          <w:pgSz w:w="12240" w:h="15840"/>
          <w:pgMar w:top="1440" w:right="1797" w:bottom="1440" w:left="1797" w:header="720" w:footer="720" w:gutter="0"/>
          <w:pgBorders>
            <w:top w:val="none" w:sz="0" w:space="0"/>
            <w:left w:val="none" w:sz="0" w:space="0"/>
            <w:bottom w:val="none" w:sz="0" w:space="0"/>
            <w:right w:val="none" w:sz="0" w:space="0"/>
          </w:pgBorders>
          <w:cols w:space="425" w:num="1"/>
          <w:docGrid w:linePitch="312" w:charSpace="0"/>
        </w:sectPr>
      </w:pPr>
    </w:p>
    <w:p>
      <w:pPr>
        <w:snapToGrid w:val="0"/>
        <w:ind w:left="74"/>
        <w:outlineLvl w:val="0"/>
        <w:rPr>
          <w:rFonts w:ascii="仿宋" w:hAnsi="仿宋" w:eastAsia="仿宋" w:cs="仿宋"/>
          <w:color w:val="auto"/>
          <w:sz w:val="24"/>
          <w:highlight w:val="none"/>
        </w:rPr>
      </w:pPr>
      <w:bookmarkStart w:id="47" w:name="_Toc27480"/>
      <w:r>
        <w:rPr>
          <w:rFonts w:hint="eastAsia" w:ascii="仿宋" w:hAnsi="仿宋" w:eastAsia="仿宋" w:cs="仿宋"/>
          <w:b/>
          <w:color w:val="auto"/>
          <w:sz w:val="24"/>
          <w:highlight w:val="none"/>
        </w:rPr>
        <w:t>附件2综合评分表</w:t>
      </w:r>
      <w:r>
        <w:rPr>
          <w:rFonts w:hint="eastAsia" w:ascii="仿宋" w:hAnsi="仿宋" w:eastAsia="仿宋" w:cs="仿宋"/>
          <w:color w:val="auto"/>
          <w:sz w:val="24"/>
          <w:highlight w:val="none"/>
        </w:rPr>
        <w:t>（100分）</w:t>
      </w:r>
      <w:bookmarkEnd w:id="47"/>
    </w:p>
    <w:tbl>
      <w:tblPr>
        <w:tblStyle w:val="14"/>
        <w:tblW w:w="83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1101"/>
        <w:gridCol w:w="735"/>
        <w:gridCol w:w="5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jc w:val="center"/>
        </w:trPr>
        <w:tc>
          <w:tcPr>
            <w:tcW w:w="1127" w:type="dxa"/>
            <w:noWrap w:val="0"/>
            <w:vAlign w:val="center"/>
          </w:tcPr>
          <w:p>
            <w:pPr>
              <w:spacing w:line="400" w:lineRule="exact"/>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评审内容</w:t>
            </w:r>
          </w:p>
        </w:tc>
        <w:tc>
          <w:tcPr>
            <w:tcW w:w="1101" w:type="dxa"/>
            <w:noWrap w:val="0"/>
            <w:vAlign w:val="center"/>
          </w:tcPr>
          <w:p>
            <w:pPr>
              <w:spacing w:line="400" w:lineRule="exact"/>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评分因素</w:t>
            </w:r>
          </w:p>
        </w:tc>
        <w:tc>
          <w:tcPr>
            <w:tcW w:w="735" w:type="dxa"/>
            <w:noWrap w:val="0"/>
            <w:vAlign w:val="center"/>
          </w:tcPr>
          <w:p>
            <w:pPr>
              <w:spacing w:line="400" w:lineRule="exact"/>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得分</w:t>
            </w:r>
          </w:p>
        </w:tc>
        <w:tc>
          <w:tcPr>
            <w:tcW w:w="5428" w:type="dxa"/>
            <w:noWrap w:val="0"/>
            <w:vAlign w:val="center"/>
          </w:tcPr>
          <w:p>
            <w:pPr>
              <w:spacing w:line="400" w:lineRule="exact"/>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vMerge w:val="restart"/>
            <w:noWrap w:val="0"/>
            <w:vAlign w:val="center"/>
          </w:tcPr>
          <w:p>
            <w:pPr>
              <w:spacing w:line="400" w:lineRule="exact"/>
              <w:jc w:val="center"/>
              <w:rPr>
                <w:rFonts w:hint="eastAsia" w:ascii="宋体" w:hAnsi="宋体" w:eastAsia="宋体" w:cs="宋体"/>
                <w:b w:val="0"/>
                <w:bCs w:val="0"/>
                <w:color w:val="auto"/>
                <w:szCs w:val="21"/>
                <w:highlight w:val="none"/>
              </w:rPr>
            </w:pPr>
          </w:p>
          <w:p>
            <w:pPr>
              <w:spacing w:line="400" w:lineRule="exact"/>
              <w:jc w:val="center"/>
              <w:rPr>
                <w:rFonts w:hint="eastAsia" w:ascii="宋体" w:hAnsi="宋体" w:eastAsia="宋体" w:cs="宋体"/>
                <w:b w:val="0"/>
                <w:bCs w:val="0"/>
                <w:color w:val="auto"/>
                <w:szCs w:val="21"/>
                <w:highlight w:val="none"/>
              </w:rPr>
            </w:pPr>
          </w:p>
          <w:p>
            <w:pPr>
              <w:spacing w:line="400" w:lineRule="exact"/>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商务部分</w:t>
            </w:r>
          </w:p>
          <w:p>
            <w:pPr>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w:t>
            </w:r>
            <w:r>
              <w:rPr>
                <w:rFonts w:hint="eastAsia" w:ascii="宋体" w:hAnsi="宋体" w:eastAsia="宋体" w:cs="宋体"/>
                <w:b w:val="0"/>
                <w:bCs w:val="0"/>
                <w:color w:val="auto"/>
                <w:szCs w:val="21"/>
                <w:highlight w:val="none"/>
                <w:lang w:val="en-US" w:eastAsia="zh-CN"/>
              </w:rPr>
              <w:t>50</w:t>
            </w:r>
            <w:r>
              <w:rPr>
                <w:rFonts w:hint="eastAsia" w:ascii="宋体" w:hAnsi="宋体" w:eastAsia="宋体" w:cs="宋体"/>
                <w:b w:val="0"/>
                <w:bCs w:val="0"/>
                <w:color w:val="auto"/>
                <w:szCs w:val="21"/>
                <w:highlight w:val="none"/>
              </w:rPr>
              <w:t>分）</w:t>
            </w:r>
          </w:p>
          <w:p>
            <w:pPr>
              <w:rPr>
                <w:rFonts w:hint="eastAsia" w:ascii="宋体" w:hAnsi="宋体" w:eastAsia="宋体" w:cs="宋体"/>
                <w:b w:val="0"/>
                <w:bCs w:val="0"/>
                <w:color w:val="auto"/>
                <w:szCs w:val="21"/>
                <w:highlight w:val="none"/>
                <w:lang w:eastAsia="zh-CN"/>
              </w:rPr>
            </w:pPr>
          </w:p>
        </w:tc>
        <w:tc>
          <w:tcPr>
            <w:tcW w:w="1101" w:type="dxa"/>
            <w:tcBorders>
              <w:bottom w:val="single" w:color="auto" w:sz="4" w:space="0"/>
            </w:tcBorders>
            <w:noWrap w:val="0"/>
            <w:vAlign w:val="center"/>
          </w:tcPr>
          <w:p>
            <w:pPr>
              <w:spacing w:line="400" w:lineRule="exact"/>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企业业绩</w:t>
            </w:r>
          </w:p>
        </w:tc>
        <w:tc>
          <w:tcPr>
            <w:tcW w:w="735" w:type="dxa"/>
            <w:tcBorders>
              <w:bottom w:val="single" w:color="auto" w:sz="4" w:space="0"/>
            </w:tcBorders>
            <w:noWrap w:val="0"/>
            <w:vAlign w:val="center"/>
          </w:tcPr>
          <w:p>
            <w:pPr>
              <w:jc w:val="center"/>
              <w:rPr>
                <w:rFonts w:hint="eastAsia" w:ascii="宋体" w:hAnsi="宋体" w:eastAsia="宋体" w:cs="宋体"/>
                <w:b w:val="0"/>
                <w:bCs w:val="0"/>
                <w:color w:val="auto"/>
                <w:szCs w:val="21"/>
                <w:highlight w:val="none"/>
                <w:lang w:val="en-US"/>
              </w:rPr>
            </w:pPr>
            <w:r>
              <w:rPr>
                <w:rFonts w:hint="eastAsia" w:ascii="宋体" w:hAnsi="宋体" w:eastAsia="宋体" w:cs="宋体"/>
                <w:b w:val="0"/>
                <w:bCs w:val="0"/>
                <w:color w:val="auto"/>
                <w:szCs w:val="21"/>
                <w:highlight w:val="none"/>
                <w:lang w:val="en-US" w:eastAsia="zh-CN"/>
              </w:rPr>
              <w:t>10</w:t>
            </w:r>
          </w:p>
        </w:tc>
        <w:tc>
          <w:tcPr>
            <w:tcW w:w="5428"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auto"/>
              <w:jc w:val="left"/>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投标人从201</w:t>
            </w:r>
            <w:r>
              <w:rPr>
                <w:rFonts w:hint="eastAsia" w:ascii="宋体" w:hAnsi="宋体" w:eastAsia="宋体" w:cs="宋体"/>
                <w:b w:val="0"/>
                <w:bCs w:val="0"/>
                <w:color w:val="auto"/>
                <w:szCs w:val="21"/>
                <w:highlight w:val="none"/>
                <w:lang w:val="en-US" w:eastAsia="zh-CN"/>
              </w:rPr>
              <w:t>8</w:t>
            </w:r>
            <w:r>
              <w:rPr>
                <w:rFonts w:hint="eastAsia" w:ascii="宋体" w:hAnsi="宋体" w:eastAsia="宋体" w:cs="宋体"/>
                <w:b w:val="0"/>
                <w:bCs w:val="0"/>
                <w:color w:val="auto"/>
                <w:szCs w:val="21"/>
                <w:highlight w:val="none"/>
              </w:rPr>
              <w:t>年1月1日至今承担过单个合同额</w:t>
            </w:r>
            <w:r>
              <w:rPr>
                <w:rFonts w:hint="eastAsia" w:ascii="宋体" w:hAnsi="宋体" w:eastAsia="宋体" w:cs="宋体"/>
                <w:b w:val="0"/>
                <w:bCs w:val="0"/>
                <w:color w:val="auto"/>
                <w:szCs w:val="21"/>
                <w:highlight w:val="none"/>
                <w:lang w:val="en-US" w:eastAsia="zh-CN"/>
              </w:rPr>
              <w:t>10</w:t>
            </w:r>
            <w:r>
              <w:rPr>
                <w:rFonts w:hint="eastAsia" w:ascii="宋体" w:hAnsi="宋体" w:eastAsia="宋体" w:cs="宋体"/>
                <w:b w:val="0"/>
                <w:bCs w:val="0"/>
                <w:color w:val="auto"/>
                <w:szCs w:val="21"/>
                <w:highlight w:val="none"/>
              </w:rPr>
              <w:t>万元或以上的类似检测业绩，每项得</w:t>
            </w:r>
            <w:r>
              <w:rPr>
                <w:rFonts w:hint="eastAsia" w:ascii="宋体" w:hAnsi="宋体" w:eastAsia="宋体" w:cs="宋体"/>
                <w:b w:val="0"/>
                <w:bCs w:val="0"/>
                <w:color w:val="auto"/>
                <w:szCs w:val="21"/>
                <w:highlight w:val="none"/>
                <w:lang w:val="en-US" w:eastAsia="zh-CN"/>
              </w:rPr>
              <w:t>1</w:t>
            </w:r>
            <w:r>
              <w:rPr>
                <w:rFonts w:hint="eastAsia" w:ascii="宋体" w:hAnsi="宋体" w:eastAsia="宋体" w:cs="宋体"/>
                <w:b w:val="0"/>
                <w:bCs w:val="0"/>
                <w:color w:val="auto"/>
                <w:szCs w:val="21"/>
                <w:highlight w:val="none"/>
              </w:rPr>
              <w:t>分；本项最多</w:t>
            </w:r>
            <w:r>
              <w:rPr>
                <w:rFonts w:hint="eastAsia" w:ascii="宋体" w:hAnsi="宋体" w:eastAsia="宋体" w:cs="宋体"/>
                <w:b w:val="0"/>
                <w:bCs w:val="0"/>
                <w:color w:val="auto"/>
                <w:szCs w:val="21"/>
                <w:highlight w:val="none"/>
                <w:lang w:eastAsia="zh-CN"/>
              </w:rPr>
              <w:t>得</w:t>
            </w:r>
            <w:r>
              <w:rPr>
                <w:rFonts w:hint="eastAsia" w:ascii="宋体" w:hAnsi="宋体" w:eastAsia="宋体" w:cs="宋体"/>
                <w:b w:val="0"/>
                <w:bCs w:val="0"/>
                <w:color w:val="auto"/>
                <w:szCs w:val="21"/>
                <w:highlight w:val="none"/>
                <w:lang w:val="en-US" w:eastAsia="zh-CN"/>
              </w:rPr>
              <w:t>10</w:t>
            </w:r>
            <w:r>
              <w:rPr>
                <w:rFonts w:hint="eastAsia" w:ascii="宋体" w:hAnsi="宋体" w:eastAsia="宋体" w:cs="宋体"/>
                <w:b w:val="0"/>
                <w:bCs w:val="0"/>
                <w:color w:val="auto"/>
                <w:szCs w:val="21"/>
                <w:highlight w:val="none"/>
              </w:rPr>
              <w:t>分。</w:t>
            </w:r>
          </w:p>
          <w:p>
            <w:pP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【注：类似检测业绩指包含本次检测招标内容中的一项或多项的建设工程质量检测业绩，需提供中标通知书（或免招标的相关证明）</w:t>
            </w:r>
            <w:r>
              <w:rPr>
                <w:rFonts w:hint="eastAsia" w:ascii="宋体" w:hAnsi="宋体" w:eastAsia="宋体" w:cs="宋体"/>
                <w:b w:val="0"/>
                <w:bCs w:val="0"/>
                <w:color w:val="auto"/>
                <w:szCs w:val="21"/>
                <w:highlight w:val="none"/>
                <w:lang w:eastAsia="zh-CN"/>
              </w:rPr>
              <w:t>、</w:t>
            </w:r>
            <w:r>
              <w:rPr>
                <w:rFonts w:hint="eastAsia" w:ascii="宋体" w:hAnsi="宋体" w:eastAsia="宋体" w:cs="宋体"/>
                <w:b w:val="0"/>
                <w:bCs w:val="0"/>
                <w:color w:val="auto"/>
                <w:szCs w:val="21"/>
                <w:highlight w:val="none"/>
              </w:rPr>
              <w:t>检测服务合同，否则不得分。类似业绩金额以检测服务合同为准。业绩检测内容由投标人提供相关材料证明其业绩满足要求。同一工程只计取一项得分</w:t>
            </w:r>
            <w:r>
              <w:rPr>
                <w:rFonts w:hint="eastAsia" w:ascii="宋体" w:hAnsi="宋体" w:eastAsia="宋体" w:cs="宋体"/>
                <w:b w:val="0"/>
                <w:bCs w:val="0"/>
                <w:color w:val="auto"/>
                <w:szCs w:val="21"/>
                <w:highlight w:val="none"/>
                <w:lang w:eastAsia="zh-CN"/>
              </w:rPr>
              <w:t>。</w:t>
            </w:r>
            <w:r>
              <w:rPr>
                <w:rFonts w:hint="eastAsia" w:ascii="宋体" w:hAnsi="宋体" w:eastAsia="宋体" w:cs="宋体"/>
                <w:b w:val="0"/>
                <w:bCs w:val="0"/>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127" w:type="dxa"/>
            <w:vMerge w:val="continue"/>
            <w:noWrap w:val="0"/>
            <w:vAlign w:val="center"/>
          </w:tcPr>
          <w:p>
            <w:pPr>
              <w:rPr>
                <w:rFonts w:hint="eastAsia" w:ascii="宋体" w:hAnsi="宋体" w:eastAsia="宋体" w:cs="宋体"/>
                <w:b w:val="0"/>
                <w:bCs w:val="0"/>
                <w:color w:val="auto"/>
                <w:szCs w:val="21"/>
                <w:highlight w:val="none"/>
              </w:rPr>
            </w:pPr>
          </w:p>
        </w:tc>
        <w:tc>
          <w:tcPr>
            <w:tcW w:w="1101" w:type="dxa"/>
            <w:vMerge w:val="restart"/>
            <w:tcBorders>
              <w:top w:val="single" w:color="auto" w:sz="4" w:space="0"/>
            </w:tcBorders>
            <w:noWrap w:val="0"/>
            <w:vAlign w:val="center"/>
          </w:tcPr>
          <w:p>
            <w:pPr>
              <w:spacing w:line="400" w:lineRule="exact"/>
              <w:jc w:val="center"/>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eastAsia="zh-CN"/>
              </w:rPr>
              <w:t>企业</w:t>
            </w:r>
            <w:r>
              <w:rPr>
                <w:rFonts w:hint="eastAsia" w:ascii="宋体" w:hAnsi="宋体" w:eastAsia="宋体" w:cs="宋体"/>
                <w:b w:val="0"/>
                <w:bCs w:val="0"/>
                <w:color w:val="auto"/>
                <w:szCs w:val="21"/>
                <w:highlight w:val="none"/>
                <w:lang w:val="en-US" w:eastAsia="zh-CN"/>
              </w:rPr>
              <w:t>资信</w:t>
            </w:r>
          </w:p>
        </w:tc>
        <w:tc>
          <w:tcPr>
            <w:tcW w:w="735" w:type="dxa"/>
            <w:tcBorders>
              <w:top w:val="single" w:color="auto" w:sz="4" w:space="0"/>
              <w:bottom w:val="single" w:color="auto" w:sz="4" w:space="0"/>
            </w:tcBorders>
            <w:noWrap w:val="0"/>
            <w:vAlign w:val="center"/>
          </w:tcPr>
          <w:p>
            <w:pPr>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Cs w:val="21"/>
                <w:highlight w:val="none"/>
                <w:lang w:val="en-US" w:eastAsia="zh-CN"/>
              </w:rPr>
              <w:t>4</w:t>
            </w:r>
          </w:p>
        </w:tc>
        <w:tc>
          <w:tcPr>
            <w:tcW w:w="5428" w:type="dxa"/>
            <w:tcBorders>
              <w:top w:val="nil"/>
            </w:tcBorders>
            <w:noWrap w:val="0"/>
            <w:vAlign w:val="center"/>
          </w:tcPr>
          <w:p>
            <w:pPr>
              <w:widowControl/>
              <w:snapToGrid w:val="0"/>
              <w:jc w:val="left"/>
              <w:rPr>
                <w:rFonts w:hint="eastAsia" w:ascii="宋体" w:hAnsi="宋体" w:eastAsia="宋体" w:cs="宋体"/>
                <w:b w:val="0"/>
                <w:bCs w:val="0"/>
                <w:color w:val="auto"/>
                <w:szCs w:val="21"/>
                <w:highlight w:val="none"/>
                <w:lang w:bidi="ar"/>
              </w:rPr>
            </w:pPr>
            <w:r>
              <w:rPr>
                <w:rFonts w:hint="eastAsia" w:ascii="宋体" w:hAnsi="宋体" w:eastAsia="宋体" w:cs="宋体"/>
                <w:b w:val="0"/>
                <w:bCs w:val="0"/>
                <w:color w:val="auto"/>
                <w:szCs w:val="21"/>
                <w:highlight w:val="none"/>
                <w:lang w:val="en-US" w:eastAsia="zh-CN"/>
              </w:rPr>
              <w:t>投标人</w:t>
            </w:r>
            <w:r>
              <w:rPr>
                <w:rFonts w:hint="eastAsia" w:ascii="宋体" w:hAnsi="宋体" w:eastAsia="宋体" w:cs="宋体"/>
                <w:b w:val="0"/>
                <w:bCs w:val="0"/>
                <w:color w:val="auto"/>
                <w:szCs w:val="21"/>
                <w:highlight w:val="none"/>
              </w:rPr>
              <w:t>具备质量管理体系、环境管理体系、职业健康安全管理体系</w:t>
            </w:r>
            <w:r>
              <w:rPr>
                <w:rFonts w:hint="eastAsia" w:ascii="宋体" w:hAnsi="宋体" w:eastAsia="宋体" w:cs="宋体"/>
                <w:b w:val="0"/>
                <w:bCs w:val="0"/>
                <w:color w:val="auto"/>
                <w:szCs w:val="21"/>
                <w:highlight w:val="none"/>
                <w:lang w:eastAsia="zh-CN"/>
              </w:rPr>
              <w:t>、信息安全管理体系</w:t>
            </w:r>
            <w:r>
              <w:rPr>
                <w:rFonts w:hint="eastAsia" w:ascii="宋体" w:hAnsi="宋体" w:eastAsia="宋体" w:cs="宋体"/>
                <w:b w:val="0"/>
                <w:bCs w:val="0"/>
                <w:strike w:val="0"/>
                <w:color w:val="auto"/>
                <w:szCs w:val="21"/>
                <w:highlight w:val="none"/>
                <w:lang w:eastAsia="zh-CN"/>
              </w:rPr>
              <w:t>认证</w:t>
            </w:r>
            <w:r>
              <w:rPr>
                <w:rFonts w:hint="eastAsia" w:ascii="宋体" w:hAnsi="宋体" w:eastAsia="宋体" w:cs="宋体"/>
                <w:b w:val="0"/>
                <w:bCs w:val="0"/>
                <w:color w:val="auto"/>
                <w:szCs w:val="21"/>
                <w:highlight w:val="none"/>
                <w:lang w:eastAsia="zh-CN"/>
              </w:rPr>
              <w:t>证书</w:t>
            </w:r>
            <w:r>
              <w:rPr>
                <w:rFonts w:hint="eastAsia" w:ascii="宋体" w:hAnsi="宋体" w:eastAsia="宋体" w:cs="宋体"/>
                <w:b w:val="0"/>
                <w:bCs w:val="0"/>
                <w:color w:val="auto"/>
                <w:szCs w:val="21"/>
                <w:highlight w:val="none"/>
                <w:lang w:val="en-US" w:eastAsia="zh-CN"/>
              </w:rPr>
              <w:t>的，每有1项得1分，最多</w:t>
            </w:r>
            <w:r>
              <w:rPr>
                <w:rFonts w:hint="eastAsia" w:ascii="宋体" w:hAnsi="宋体" w:eastAsia="宋体" w:cs="宋体"/>
                <w:b w:val="0"/>
                <w:bCs w:val="0"/>
                <w:color w:val="auto"/>
                <w:szCs w:val="21"/>
                <w:highlight w:val="none"/>
              </w:rPr>
              <w:t>得</w:t>
            </w:r>
            <w:r>
              <w:rPr>
                <w:rFonts w:hint="eastAsia" w:ascii="宋体" w:hAnsi="宋体" w:eastAsia="宋体" w:cs="宋体"/>
                <w:b w:val="0"/>
                <w:bCs w:val="0"/>
                <w:color w:val="auto"/>
                <w:szCs w:val="21"/>
                <w:highlight w:val="none"/>
                <w:lang w:val="en-US" w:eastAsia="zh-CN"/>
              </w:rPr>
              <w:t>4</w:t>
            </w:r>
            <w:r>
              <w:rPr>
                <w:rFonts w:hint="eastAsia" w:ascii="宋体" w:hAnsi="宋体" w:eastAsia="宋体" w:cs="宋体"/>
                <w:b w:val="0"/>
                <w:bCs w:val="0"/>
                <w:color w:val="auto"/>
                <w:szCs w:val="21"/>
                <w:highlight w:val="none"/>
              </w:rPr>
              <w:t>分。</w:t>
            </w:r>
          </w:p>
          <w:p>
            <w:pPr>
              <w:widowControl/>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Cs w:val="21"/>
                <w:highlight w:val="none"/>
                <w:lang w:bidi="ar"/>
              </w:rPr>
              <w:t>注：证书须在有效期内，提供证书</w:t>
            </w:r>
            <w:r>
              <w:rPr>
                <w:rFonts w:hint="eastAsia" w:ascii="宋体" w:hAnsi="宋体" w:eastAsia="宋体" w:cs="宋体"/>
                <w:b w:val="0"/>
                <w:bCs w:val="0"/>
                <w:color w:val="auto"/>
                <w:szCs w:val="21"/>
                <w:highlight w:val="none"/>
                <w:lang w:eastAsia="zh-CN" w:bidi="ar"/>
              </w:rPr>
              <w:t>复印</w:t>
            </w:r>
            <w:r>
              <w:rPr>
                <w:rFonts w:hint="eastAsia" w:ascii="宋体" w:hAnsi="宋体" w:eastAsia="宋体" w:cs="宋体"/>
                <w:b w:val="0"/>
                <w:bCs w:val="0"/>
                <w:color w:val="auto"/>
                <w:szCs w:val="21"/>
                <w:highlight w:val="none"/>
                <w:lang w:bidi="ar"/>
              </w:rPr>
              <w:t>件</w:t>
            </w:r>
            <w:r>
              <w:rPr>
                <w:rFonts w:hint="eastAsia" w:ascii="宋体" w:hAnsi="宋体" w:eastAsia="宋体" w:cs="宋体"/>
                <w:b w:val="0"/>
                <w:bCs w:val="0"/>
                <w:color w:val="auto"/>
                <w:szCs w:val="21"/>
                <w:highlight w:val="none"/>
              </w:rPr>
              <w:t>并加盖印章</w:t>
            </w:r>
            <w:r>
              <w:rPr>
                <w:rFonts w:hint="eastAsia" w:ascii="宋体" w:hAnsi="宋体" w:eastAsia="宋体" w:cs="宋体"/>
                <w:b w:val="0"/>
                <w:bCs w:val="0"/>
                <w:color w:val="auto"/>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127" w:type="dxa"/>
            <w:vMerge w:val="continue"/>
            <w:noWrap w:val="0"/>
            <w:vAlign w:val="center"/>
          </w:tcPr>
          <w:p>
            <w:pPr>
              <w:rPr>
                <w:rFonts w:hint="eastAsia" w:ascii="宋体" w:hAnsi="宋体" w:eastAsia="宋体" w:cs="宋体"/>
                <w:b w:val="0"/>
                <w:bCs w:val="0"/>
                <w:color w:val="auto"/>
                <w:szCs w:val="21"/>
                <w:highlight w:val="none"/>
              </w:rPr>
            </w:pPr>
          </w:p>
        </w:tc>
        <w:tc>
          <w:tcPr>
            <w:tcW w:w="1101" w:type="dxa"/>
            <w:vMerge w:val="continue"/>
            <w:noWrap w:val="0"/>
            <w:vAlign w:val="center"/>
          </w:tcPr>
          <w:p>
            <w:pPr>
              <w:spacing w:line="400" w:lineRule="exact"/>
              <w:jc w:val="center"/>
              <w:rPr>
                <w:rFonts w:hint="eastAsia" w:ascii="宋体" w:hAnsi="宋体" w:eastAsia="宋体" w:cs="宋体"/>
                <w:b w:val="0"/>
                <w:bCs w:val="0"/>
                <w:color w:val="auto"/>
                <w:szCs w:val="21"/>
                <w:highlight w:val="none"/>
                <w:lang w:eastAsia="zh-CN"/>
              </w:rPr>
            </w:pPr>
          </w:p>
        </w:tc>
        <w:tc>
          <w:tcPr>
            <w:tcW w:w="735" w:type="dxa"/>
            <w:tcBorders>
              <w:top w:val="single" w:color="auto" w:sz="4" w:space="0"/>
              <w:bottom w:val="single" w:color="auto" w:sz="4" w:space="0"/>
            </w:tcBorders>
            <w:noWrap w:val="0"/>
            <w:vAlign w:val="center"/>
          </w:tcPr>
          <w:p>
            <w:pPr>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Cs w:val="21"/>
                <w:highlight w:val="none"/>
                <w:lang w:val="en-US" w:eastAsia="zh-CN"/>
              </w:rPr>
              <w:t>6</w:t>
            </w:r>
          </w:p>
        </w:tc>
        <w:tc>
          <w:tcPr>
            <w:tcW w:w="5428"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auto"/>
              <w:jc w:val="left"/>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kern w:val="2"/>
                <w:sz w:val="21"/>
                <w:szCs w:val="21"/>
                <w:highlight w:val="none"/>
                <w:lang w:val="en-US" w:eastAsia="zh-CN" w:bidi="ar-SA"/>
              </w:rPr>
              <w:t>投标人</w:t>
            </w:r>
            <w:r>
              <w:rPr>
                <w:rFonts w:hint="eastAsia" w:ascii="宋体" w:hAnsi="宋体" w:eastAsia="宋体" w:cs="宋体"/>
                <w:b w:val="0"/>
                <w:bCs w:val="0"/>
                <w:color w:val="auto"/>
                <w:szCs w:val="21"/>
                <w:highlight w:val="none"/>
              </w:rPr>
              <w:t>201</w:t>
            </w:r>
            <w:r>
              <w:rPr>
                <w:rFonts w:hint="eastAsia" w:ascii="宋体" w:hAnsi="宋体" w:eastAsia="宋体" w:cs="宋体"/>
                <w:b w:val="0"/>
                <w:bCs w:val="0"/>
                <w:color w:val="auto"/>
                <w:szCs w:val="21"/>
                <w:highlight w:val="none"/>
                <w:lang w:val="en-US" w:eastAsia="zh-CN"/>
              </w:rPr>
              <w:t>8</w:t>
            </w:r>
            <w:r>
              <w:rPr>
                <w:rFonts w:hint="eastAsia" w:ascii="宋体" w:hAnsi="宋体" w:eastAsia="宋体" w:cs="宋体"/>
                <w:b w:val="0"/>
                <w:bCs w:val="0"/>
                <w:color w:val="auto"/>
                <w:szCs w:val="21"/>
                <w:highlight w:val="none"/>
              </w:rPr>
              <w:t>年1月1日至今获得过“高新技术企业”证书称号并且在有效期范围内的</w:t>
            </w:r>
            <w:r>
              <w:rPr>
                <w:rFonts w:hint="eastAsia" w:ascii="宋体" w:hAnsi="宋体" w:eastAsia="宋体" w:cs="宋体"/>
                <w:b w:val="0"/>
                <w:bCs w:val="0"/>
                <w:color w:val="auto"/>
                <w:szCs w:val="21"/>
                <w:highlight w:val="none"/>
                <w:lang w:eastAsia="zh-CN"/>
              </w:rPr>
              <w:t>，</w:t>
            </w:r>
            <w:r>
              <w:rPr>
                <w:rFonts w:hint="eastAsia" w:ascii="宋体" w:hAnsi="宋体" w:eastAsia="宋体" w:cs="宋体"/>
                <w:b w:val="0"/>
                <w:bCs w:val="0"/>
                <w:color w:val="auto"/>
                <w:szCs w:val="21"/>
                <w:highlight w:val="none"/>
              </w:rPr>
              <w:t>得</w:t>
            </w:r>
            <w:r>
              <w:rPr>
                <w:rFonts w:hint="eastAsia" w:ascii="宋体" w:hAnsi="宋体" w:eastAsia="宋体" w:cs="宋体"/>
                <w:b w:val="0"/>
                <w:bCs w:val="0"/>
                <w:color w:val="auto"/>
                <w:szCs w:val="21"/>
                <w:highlight w:val="none"/>
                <w:lang w:val="en-US" w:eastAsia="zh-CN"/>
              </w:rPr>
              <w:t>6</w:t>
            </w:r>
            <w:r>
              <w:rPr>
                <w:rFonts w:hint="eastAsia" w:ascii="宋体" w:hAnsi="宋体" w:eastAsia="宋体" w:cs="宋体"/>
                <w:b w:val="0"/>
                <w:bCs w:val="0"/>
                <w:color w:val="auto"/>
                <w:szCs w:val="21"/>
                <w:highlight w:val="none"/>
              </w:rPr>
              <w:t>分。</w:t>
            </w:r>
          </w:p>
          <w:p>
            <w:pPr>
              <w:widowControl/>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Cs w:val="21"/>
                <w:highlight w:val="none"/>
              </w:rPr>
              <w:t>【注：需提供证书</w:t>
            </w:r>
            <w:r>
              <w:rPr>
                <w:rFonts w:hint="eastAsia" w:ascii="宋体" w:hAnsi="宋体" w:eastAsia="宋体" w:cs="宋体"/>
                <w:b w:val="0"/>
                <w:bCs w:val="0"/>
                <w:color w:val="auto"/>
                <w:szCs w:val="21"/>
                <w:highlight w:val="none"/>
                <w:lang w:eastAsia="zh-CN" w:bidi="ar"/>
              </w:rPr>
              <w:t>复印</w:t>
            </w:r>
            <w:r>
              <w:rPr>
                <w:rFonts w:hint="eastAsia" w:ascii="宋体" w:hAnsi="宋体" w:eastAsia="宋体" w:cs="宋体"/>
                <w:b w:val="0"/>
                <w:bCs w:val="0"/>
                <w:color w:val="auto"/>
                <w:szCs w:val="21"/>
                <w:highlight w:val="none"/>
                <w:lang w:bidi="ar"/>
              </w:rPr>
              <w:t>件</w:t>
            </w:r>
            <w:r>
              <w:rPr>
                <w:rFonts w:hint="eastAsia" w:ascii="宋体" w:hAnsi="宋体" w:eastAsia="宋体" w:cs="宋体"/>
                <w:b w:val="0"/>
                <w:bCs w:val="0"/>
                <w:color w:val="auto"/>
                <w:szCs w:val="21"/>
                <w:highlight w:val="none"/>
              </w:rPr>
              <w:t>并加盖印章，没有提供或不符合要求的不得分</w:t>
            </w:r>
            <w:r>
              <w:rPr>
                <w:rFonts w:hint="eastAsia" w:ascii="宋体" w:hAnsi="宋体" w:eastAsia="宋体" w:cs="宋体"/>
                <w:b w:val="0"/>
                <w:bCs w:val="0"/>
                <w:color w:val="auto"/>
                <w:szCs w:val="21"/>
                <w:highlight w:val="none"/>
                <w:lang w:eastAsia="zh-CN"/>
              </w:rPr>
              <w:t>。</w:t>
            </w:r>
            <w:r>
              <w:rPr>
                <w:rFonts w:hint="eastAsia" w:ascii="宋体" w:hAnsi="宋体" w:eastAsia="宋体" w:cs="宋体"/>
                <w:b w:val="0"/>
                <w:bCs w:val="0"/>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127" w:type="dxa"/>
            <w:vMerge w:val="continue"/>
            <w:noWrap w:val="0"/>
            <w:vAlign w:val="center"/>
          </w:tcPr>
          <w:p>
            <w:pPr>
              <w:rPr>
                <w:rFonts w:hint="eastAsia" w:ascii="宋体" w:hAnsi="宋体" w:eastAsia="宋体" w:cs="宋体"/>
                <w:b w:val="0"/>
                <w:bCs w:val="0"/>
                <w:color w:val="auto"/>
                <w:szCs w:val="21"/>
                <w:highlight w:val="none"/>
              </w:rPr>
            </w:pPr>
          </w:p>
        </w:tc>
        <w:tc>
          <w:tcPr>
            <w:tcW w:w="1101" w:type="dxa"/>
            <w:vMerge w:val="continue"/>
            <w:noWrap w:val="0"/>
            <w:vAlign w:val="center"/>
          </w:tcPr>
          <w:p>
            <w:pPr>
              <w:spacing w:line="400" w:lineRule="exact"/>
              <w:jc w:val="center"/>
              <w:rPr>
                <w:rFonts w:hint="eastAsia" w:ascii="宋体" w:hAnsi="宋体" w:eastAsia="宋体" w:cs="宋体"/>
                <w:b w:val="0"/>
                <w:bCs w:val="0"/>
                <w:color w:val="auto"/>
                <w:szCs w:val="21"/>
                <w:highlight w:val="none"/>
                <w:lang w:eastAsia="zh-CN"/>
              </w:rPr>
            </w:pPr>
          </w:p>
        </w:tc>
        <w:tc>
          <w:tcPr>
            <w:tcW w:w="735" w:type="dxa"/>
            <w:tcBorders>
              <w:top w:val="single" w:color="auto" w:sz="4" w:space="0"/>
              <w:bottom w:val="single" w:color="auto" w:sz="4" w:space="0"/>
            </w:tcBorders>
            <w:noWrap w:val="0"/>
            <w:vAlign w:val="center"/>
          </w:tcPr>
          <w:p>
            <w:pPr>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Cs w:val="21"/>
                <w:highlight w:val="none"/>
                <w:lang w:val="en-US" w:eastAsia="zh-CN"/>
              </w:rPr>
              <w:t>9</w:t>
            </w:r>
          </w:p>
        </w:tc>
        <w:tc>
          <w:tcPr>
            <w:tcW w:w="5428" w:type="dxa"/>
            <w:noWrap w:val="0"/>
            <w:vAlign w:val="center"/>
          </w:tcPr>
          <w:p>
            <w:pPr>
              <w:widowControl/>
              <w:jc w:val="left"/>
              <w:rPr>
                <w:rFonts w:hint="eastAsia" w:ascii="宋体" w:hAnsi="宋体" w:eastAsia="宋体" w:cs="宋体"/>
                <w:b w:val="0"/>
                <w:bCs w:val="0"/>
                <w:color w:val="auto"/>
                <w:kern w:val="0"/>
                <w:szCs w:val="21"/>
                <w:highlight w:val="none"/>
              </w:rPr>
            </w:pPr>
            <w:r>
              <w:rPr>
                <w:rFonts w:hint="eastAsia" w:ascii="宋体" w:hAnsi="宋体" w:eastAsia="宋体" w:cs="宋体"/>
                <w:b w:val="0"/>
                <w:bCs w:val="0"/>
                <w:color w:val="auto"/>
                <w:kern w:val="0"/>
                <w:szCs w:val="21"/>
                <w:highlight w:val="none"/>
                <w:lang w:eastAsia="zh-CN"/>
              </w:rPr>
              <w:t>投标人</w:t>
            </w:r>
            <w:r>
              <w:rPr>
                <w:rFonts w:hint="eastAsia" w:ascii="宋体" w:hAnsi="宋体" w:eastAsia="宋体" w:cs="宋体"/>
                <w:b w:val="0"/>
                <w:bCs w:val="0"/>
                <w:color w:val="auto"/>
                <w:szCs w:val="21"/>
                <w:highlight w:val="none"/>
              </w:rPr>
              <w:t>201</w:t>
            </w:r>
            <w:r>
              <w:rPr>
                <w:rFonts w:hint="eastAsia" w:ascii="宋体" w:hAnsi="宋体" w:eastAsia="宋体" w:cs="宋体"/>
                <w:b w:val="0"/>
                <w:bCs w:val="0"/>
                <w:color w:val="auto"/>
                <w:szCs w:val="21"/>
                <w:highlight w:val="none"/>
                <w:lang w:val="en-US" w:eastAsia="zh-CN"/>
              </w:rPr>
              <w:t>8</w:t>
            </w:r>
            <w:r>
              <w:rPr>
                <w:rFonts w:hint="eastAsia" w:ascii="宋体" w:hAnsi="宋体" w:eastAsia="宋体" w:cs="宋体"/>
                <w:b w:val="0"/>
                <w:bCs w:val="0"/>
                <w:color w:val="auto"/>
                <w:szCs w:val="21"/>
                <w:highlight w:val="none"/>
              </w:rPr>
              <w:t>年1月1日至今</w:t>
            </w:r>
            <w:r>
              <w:rPr>
                <w:rFonts w:hint="eastAsia" w:ascii="宋体" w:hAnsi="宋体" w:eastAsia="宋体" w:cs="宋体"/>
                <w:b w:val="0"/>
                <w:bCs w:val="0"/>
                <w:color w:val="auto"/>
                <w:kern w:val="0"/>
                <w:szCs w:val="21"/>
                <w:highlight w:val="none"/>
              </w:rPr>
              <w:t>获得过“建设工程质量检测行业先进单位”表彰，</w:t>
            </w:r>
            <w:r>
              <w:rPr>
                <w:rFonts w:hint="eastAsia" w:ascii="宋体" w:hAnsi="宋体" w:eastAsia="宋体" w:cs="宋体"/>
                <w:b w:val="0"/>
                <w:bCs w:val="0"/>
                <w:color w:val="auto"/>
                <w:kern w:val="0"/>
                <w:szCs w:val="21"/>
                <w:highlight w:val="none"/>
                <w:lang w:eastAsia="zh-CN"/>
              </w:rPr>
              <w:t>市级的</w:t>
            </w:r>
            <w:r>
              <w:rPr>
                <w:rFonts w:hint="eastAsia" w:ascii="宋体" w:hAnsi="宋体" w:eastAsia="宋体" w:cs="宋体"/>
                <w:b w:val="0"/>
                <w:bCs w:val="0"/>
                <w:color w:val="auto"/>
                <w:kern w:val="0"/>
                <w:szCs w:val="21"/>
                <w:highlight w:val="none"/>
              </w:rPr>
              <w:t>每获得1次得</w:t>
            </w:r>
            <w:r>
              <w:rPr>
                <w:rFonts w:hint="eastAsia" w:ascii="宋体" w:hAnsi="宋体" w:eastAsia="宋体" w:cs="宋体"/>
                <w:b w:val="0"/>
                <w:bCs w:val="0"/>
                <w:color w:val="auto"/>
                <w:kern w:val="0"/>
                <w:szCs w:val="21"/>
                <w:highlight w:val="none"/>
                <w:lang w:val="en-US" w:eastAsia="zh-CN"/>
              </w:rPr>
              <w:t>1</w:t>
            </w:r>
            <w:r>
              <w:rPr>
                <w:rFonts w:hint="eastAsia" w:ascii="宋体" w:hAnsi="宋体" w:eastAsia="宋体" w:cs="宋体"/>
                <w:b w:val="0"/>
                <w:bCs w:val="0"/>
                <w:color w:val="auto"/>
                <w:kern w:val="0"/>
                <w:szCs w:val="21"/>
                <w:highlight w:val="none"/>
              </w:rPr>
              <w:t>分，</w:t>
            </w:r>
            <w:r>
              <w:rPr>
                <w:rFonts w:hint="eastAsia" w:ascii="宋体" w:hAnsi="宋体" w:eastAsia="宋体" w:cs="宋体"/>
                <w:b w:val="0"/>
                <w:bCs w:val="0"/>
                <w:color w:val="auto"/>
                <w:kern w:val="0"/>
                <w:szCs w:val="21"/>
                <w:highlight w:val="none"/>
                <w:lang w:eastAsia="zh-CN"/>
              </w:rPr>
              <w:t>省级的</w:t>
            </w:r>
            <w:r>
              <w:rPr>
                <w:rFonts w:hint="eastAsia" w:ascii="宋体" w:hAnsi="宋体" w:eastAsia="宋体" w:cs="宋体"/>
                <w:b w:val="0"/>
                <w:bCs w:val="0"/>
                <w:color w:val="auto"/>
                <w:kern w:val="0"/>
                <w:szCs w:val="21"/>
                <w:highlight w:val="none"/>
              </w:rPr>
              <w:t>每获得1次得</w:t>
            </w:r>
            <w:r>
              <w:rPr>
                <w:rFonts w:hint="eastAsia" w:ascii="宋体" w:hAnsi="宋体" w:eastAsia="宋体" w:cs="宋体"/>
                <w:b w:val="0"/>
                <w:bCs w:val="0"/>
                <w:color w:val="auto"/>
                <w:kern w:val="0"/>
                <w:szCs w:val="21"/>
                <w:highlight w:val="none"/>
                <w:lang w:val="en-US" w:eastAsia="zh-CN"/>
              </w:rPr>
              <w:t>2</w:t>
            </w:r>
            <w:r>
              <w:rPr>
                <w:rFonts w:hint="eastAsia" w:ascii="宋体" w:hAnsi="宋体" w:eastAsia="宋体" w:cs="宋体"/>
                <w:b w:val="0"/>
                <w:bCs w:val="0"/>
                <w:color w:val="auto"/>
                <w:kern w:val="0"/>
                <w:szCs w:val="21"/>
                <w:highlight w:val="none"/>
              </w:rPr>
              <w:t>分</w:t>
            </w:r>
            <w:r>
              <w:rPr>
                <w:rFonts w:hint="eastAsia" w:ascii="宋体" w:hAnsi="宋体" w:eastAsia="宋体" w:cs="宋体"/>
                <w:b w:val="0"/>
                <w:bCs w:val="0"/>
                <w:color w:val="auto"/>
                <w:kern w:val="0"/>
                <w:szCs w:val="21"/>
                <w:highlight w:val="none"/>
                <w:lang w:eastAsia="zh-CN"/>
              </w:rPr>
              <w:t>，国家级的</w:t>
            </w:r>
            <w:r>
              <w:rPr>
                <w:rFonts w:hint="eastAsia" w:ascii="宋体" w:hAnsi="宋体" w:eastAsia="宋体" w:cs="宋体"/>
                <w:b w:val="0"/>
                <w:bCs w:val="0"/>
                <w:color w:val="auto"/>
                <w:kern w:val="0"/>
                <w:szCs w:val="21"/>
                <w:highlight w:val="none"/>
              </w:rPr>
              <w:t>每获得1次得</w:t>
            </w:r>
            <w:r>
              <w:rPr>
                <w:rFonts w:hint="eastAsia" w:ascii="宋体" w:hAnsi="宋体" w:eastAsia="宋体" w:cs="宋体"/>
                <w:b w:val="0"/>
                <w:bCs w:val="0"/>
                <w:color w:val="auto"/>
                <w:kern w:val="0"/>
                <w:szCs w:val="21"/>
                <w:highlight w:val="none"/>
                <w:lang w:val="en-US" w:eastAsia="zh-CN"/>
              </w:rPr>
              <w:t>3</w:t>
            </w:r>
            <w:r>
              <w:rPr>
                <w:rFonts w:hint="eastAsia" w:ascii="宋体" w:hAnsi="宋体" w:eastAsia="宋体" w:cs="宋体"/>
                <w:b w:val="0"/>
                <w:bCs w:val="0"/>
                <w:color w:val="auto"/>
                <w:kern w:val="0"/>
                <w:szCs w:val="21"/>
                <w:highlight w:val="none"/>
              </w:rPr>
              <w:t>分</w:t>
            </w:r>
            <w:r>
              <w:rPr>
                <w:rFonts w:hint="eastAsia" w:ascii="宋体" w:hAnsi="宋体" w:eastAsia="宋体" w:cs="宋体"/>
                <w:b w:val="0"/>
                <w:bCs w:val="0"/>
                <w:color w:val="auto"/>
                <w:kern w:val="0"/>
                <w:szCs w:val="21"/>
                <w:highlight w:val="none"/>
                <w:lang w:eastAsia="zh-CN"/>
              </w:rPr>
              <w:t>，</w:t>
            </w:r>
            <w:r>
              <w:rPr>
                <w:rFonts w:hint="eastAsia" w:ascii="宋体" w:hAnsi="宋体" w:eastAsia="宋体" w:cs="宋体"/>
                <w:b w:val="0"/>
                <w:bCs w:val="0"/>
                <w:color w:val="auto"/>
                <w:kern w:val="0"/>
                <w:szCs w:val="21"/>
                <w:highlight w:val="none"/>
              </w:rPr>
              <w:t>本项最多得</w:t>
            </w:r>
            <w:r>
              <w:rPr>
                <w:rFonts w:hint="eastAsia" w:ascii="宋体" w:hAnsi="宋体" w:eastAsia="宋体" w:cs="宋体"/>
                <w:b w:val="0"/>
                <w:bCs w:val="0"/>
                <w:color w:val="auto"/>
                <w:kern w:val="0"/>
                <w:szCs w:val="21"/>
                <w:highlight w:val="none"/>
                <w:lang w:val="en-US" w:eastAsia="zh-CN"/>
              </w:rPr>
              <w:t>9</w:t>
            </w:r>
            <w:r>
              <w:rPr>
                <w:rFonts w:hint="eastAsia" w:ascii="宋体" w:hAnsi="宋体" w:eastAsia="宋体" w:cs="宋体"/>
                <w:b w:val="0"/>
                <w:bCs w:val="0"/>
                <w:color w:val="auto"/>
                <w:kern w:val="0"/>
                <w:szCs w:val="21"/>
                <w:highlight w:val="none"/>
              </w:rPr>
              <w:t>分。</w:t>
            </w:r>
          </w:p>
          <w:p>
            <w:pPr>
              <w:widowControl/>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Cs w:val="21"/>
                <w:highlight w:val="none"/>
              </w:rPr>
              <w:t>注：须提供相关证书扫描件并加盖公章</w:t>
            </w:r>
            <w:r>
              <w:rPr>
                <w:rFonts w:hint="eastAsia" w:ascii="宋体" w:hAnsi="宋体" w:eastAsia="宋体" w:cs="宋体"/>
                <w:b w:val="0"/>
                <w:bCs w:val="0"/>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127" w:type="dxa"/>
            <w:vMerge w:val="continue"/>
            <w:noWrap w:val="0"/>
            <w:vAlign w:val="center"/>
          </w:tcPr>
          <w:p>
            <w:pPr>
              <w:rPr>
                <w:rFonts w:hint="eastAsia" w:ascii="宋体" w:hAnsi="宋体" w:eastAsia="宋体" w:cs="宋体"/>
                <w:b w:val="0"/>
                <w:bCs w:val="0"/>
                <w:color w:val="auto"/>
                <w:szCs w:val="21"/>
                <w:highlight w:val="none"/>
              </w:rPr>
            </w:pPr>
          </w:p>
        </w:tc>
        <w:tc>
          <w:tcPr>
            <w:tcW w:w="1101" w:type="dxa"/>
            <w:vMerge w:val="continue"/>
            <w:tcBorders>
              <w:bottom w:val="single" w:color="auto" w:sz="4" w:space="0"/>
            </w:tcBorders>
            <w:noWrap w:val="0"/>
            <w:vAlign w:val="center"/>
          </w:tcPr>
          <w:p>
            <w:pPr>
              <w:spacing w:line="400" w:lineRule="exact"/>
              <w:jc w:val="center"/>
              <w:rPr>
                <w:rFonts w:hint="eastAsia" w:ascii="宋体" w:hAnsi="宋体" w:eastAsia="宋体" w:cs="宋体"/>
                <w:b w:val="0"/>
                <w:bCs w:val="0"/>
                <w:color w:val="auto"/>
                <w:szCs w:val="21"/>
                <w:highlight w:val="none"/>
                <w:lang w:eastAsia="zh-CN"/>
              </w:rPr>
            </w:pPr>
          </w:p>
        </w:tc>
        <w:tc>
          <w:tcPr>
            <w:tcW w:w="735" w:type="dxa"/>
            <w:tcBorders>
              <w:top w:val="single" w:color="auto" w:sz="4" w:space="0"/>
              <w:bottom w:val="single" w:color="auto" w:sz="4" w:space="0"/>
            </w:tcBorders>
            <w:noWrap w:val="0"/>
            <w:vAlign w:val="center"/>
          </w:tcPr>
          <w:p>
            <w:pPr>
              <w:jc w:val="center"/>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6</w:t>
            </w:r>
          </w:p>
        </w:tc>
        <w:tc>
          <w:tcPr>
            <w:tcW w:w="5428" w:type="dxa"/>
            <w:noWrap w:val="0"/>
            <w:vAlign w:val="center"/>
          </w:tcPr>
          <w:p>
            <w:pPr>
              <w:widowControl/>
              <w:jc w:val="left"/>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lang w:val="en-US" w:eastAsia="zh-CN"/>
              </w:rPr>
              <w:t>投标人同时具备中国合格评定国家认可委员会颁发的实验室认可证书和中国合格评定国家认可委员会检验机构认可证书，且在有效期内的，得6分；具备其中一项且在有效期内的，得3分。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127" w:type="dxa"/>
            <w:vMerge w:val="continue"/>
            <w:noWrap w:val="0"/>
            <w:vAlign w:val="center"/>
          </w:tcPr>
          <w:p>
            <w:pPr>
              <w:rPr>
                <w:rFonts w:hint="eastAsia" w:ascii="宋体" w:hAnsi="宋体" w:eastAsia="宋体" w:cs="宋体"/>
                <w:b w:val="0"/>
                <w:bCs w:val="0"/>
                <w:color w:val="auto"/>
                <w:szCs w:val="21"/>
                <w:highlight w:val="none"/>
                <w:lang w:eastAsia="zh-CN"/>
              </w:rPr>
            </w:pPr>
          </w:p>
        </w:tc>
        <w:tc>
          <w:tcPr>
            <w:tcW w:w="1101" w:type="dxa"/>
            <w:tcBorders>
              <w:top w:val="single" w:color="auto" w:sz="4" w:space="0"/>
            </w:tcBorders>
            <w:noWrap w:val="0"/>
            <w:vAlign w:val="center"/>
          </w:tcPr>
          <w:p>
            <w:pPr>
              <w:spacing w:line="400" w:lineRule="exact"/>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Cs w:val="21"/>
                <w:highlight w:val="none"/>
              </w:rPr>
              <w:t>项目负责人</w:t>
            </w:r>
          </w:p>
        </w:tc>
        <w:tc>
          <w:tcPr>
            <w:tcW w:w="735" w:type="dxa"/>
            <w:tcBorders>
              <w:top w:val="single" w:color="auto" w:sz="4" w:space="0"/>
            </w:tcBorders>
            <w:noWrap w:val="0"/>
            <w:vAlign w:val="center"/>
          </w:tcPr>
          <w:p>
            <w:pPr>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Cs w:val="21"/>
                <w:highlight w:val="none"/>
                <w:lang w:val="en-US" w:eastAsia="zh-CN"/>
              </w:rPr>
              <w:t>5</w:t>
            </w:r>
          </w:p>
        </w:tc>
        <w:tc>
          <w:tcPr>
            <w:tcW w:w="5428" w:type="dxa"/>
            <w:tcBorders>
              <w:top w:val="nil"/>
            </w:tcBorders>
            <w:noWrap w:val="0"/>
            <w:vAlign w:val="center"/>
          </w:tcPr>
          <w:p>
            <w:pPr>
              <w:widowControl/>
              <w:numPr>
                <w:ilvl w:val="0"/>
                <w:numId w:val="0"/>
              </w:numPr>
              <w:spacing w:line="400" w:lineRule="exact"/>
              <w:jc w:val="left"/>
              <w:rPr>
                <w:rFonts w:hint="eastAsia" w:ascii="宋体" w:hAnsi="宋体" w:eastAsia="宋体" w:cs="宋体"/>
                <w:b w:val="0"/>
                <w:bCs w:val="0"/>
                <w:color w:val="auto"/>
                <w:kern w:val="2"/>
                <w:szCs w:val="21"/>
                <w:highlight w:val="none"/>
                <w:lang w:eastAsia="zh-CN" w:bidi="ar"/>
              </w:rPr>
            </w:pPr>
            <w:r>
              <w:rPr>
                <w:rFonts w:hint="eastAsia" w:ascii="宋体" w:hAnsi="宋体" w:eastAsia="宋体" w:cs="宋体"/>
                <w:b w:val="0"/>
                <w:bCs w:val="0"/>
                <w:color w:val="auto"/>
                <w:kern w:val="2"/>
                <w:szCs w:val="21"/>
                <w:highlight w:val="none"/>
                <w:lang w:val="en-US" w:eastAsia="zh-CN" w:bidi="ar"/>
              </w:rPr>
              <w:t>1、</w:t>
            </w:r>
            <w:r>
              <w:rPr>
                <w:rFonts w:hint="eastAsia" w:ascii="宋体" w:hAnsi="宋体" w:eastAsia="宋体" w:cs="宋体"/>
                <w:b w:val="0"/>
                <w:bCs w:val="0"/>
                <w:color w:val="auto"/>
                <w:kern w:val="2"/>
                <w:szCs w:val="21"/>
                <w:highlight w:val="none"/>
                <w:lang w:bidi="ar"/>
              </w:rPr>
              <w:t>具有</w:t>
            </w:r>
            <w:r>
              <w:rPr>
                <w:rFonts w:hint="eastAsia" w:ascii="宋体" w:hAnsi="宋体" w:eastAsia="宋体" w:cs="宋体"/>
                <w:b w:val="0"/>
                <w:bCs w:val="0"/>
                <w:color w:val="auto"/>
                <w:sz w:val="21"/>
                <w:szCs w:val="21"/>
                <w:highlight w:val="none"/>
              </w:rPr>
              <w:t>建筑工程检测</w:t>
            </w:r>
            <w:r>
              <w:rPr>
                <w:rFonts w:hint="eastAsia" w:ascii="宋体" w:hAnsi="宋体" w:eastAsia="宋体" w:cs="宋体"/>
                <w:b w:val="0"/>
                <w:bCs w:val="0"/>
                <w:color w:val="auto"/>
                <w:sz w:val="21"/>
                <w:szCs w:val="21"/>
                <w:highlight w:val="none"/>
                <w:lang w:eastAsia="zh-CN"/>
              </w:rPr>
              <w:t>类或</w:t>
            </w:r>
            <w:r>
              <w:rPr>
                <w:rFonts w:hint="eastAsia" w:ascii="宋体" w:hAnsi="宋体" w:eastAsia="宋体" w:cs="宋体"/>
                <w:b w:val="0"/>
                <w:bCs w:val="0"/>
                <w:color w:val="auto"/>
                <w:kern w:val="2"/>
                <w:szCs w:val="21"/>
                <w:highlight w:val="none"/>
                <w:lang w:bidi="ar"/>
              </w:rPr>
              <w:t>工程类教授级或正高级工程师职称的，得</w:t>
            </w:r>
            <w:r>
              <w:rPr>
                <w:rFonts w:hint="eastAsia" w:ascii="宋体" w:hAnsi="宋体" w:eastAsia="宋体" w:cs="宋体"/>
                <w:b w:val="0"/>
                <w:bCs w:val="0"/>
                <w:color w:val="auto"/>
                <w:kern w:val="2"/>
                <w:szCs w:val="21"/>
                <w:highlight w:val="none"/>
                <w:lang w:val="en-US" w:eastAsia="zh-CN" w:bidi="ar"/>
              </w:rPr>
              <w:t>3</w:t>
            </w:r>
            <w:r>
              <w:rPr>
                <w:rFonts w:hint="eastAsia" w:ascii="宋体" w:hAnsi="宋体" w:eastAsia="宋体" w:cs="宋体"/>
                <w:b w:val="0"/>
                <w:bCs w:val="0"/>
                <w:color w:val="auto"/>
                <w:kern w:val="2"/>
                <w:szCs w:val="21"/>
                <w:highlight w:val="none"/>
                <w:lang w:bidi="ar"/>
              </w:rPr>
              <w:t>分；具有</w:t>
            </w:r>
            <w:r>
              <w:rPr>
                <w:rFonts w:hint="eastAsia" w:ascii="宋体" w:hAnsi="宋体" w:eastAsia="宋体" w:cs="宋体"/>
                <w:b w:val="0"/>
                <w:bCs w:val="0"/>
                <w:color w:val="auto"/>
                <w:sz w:val="21"/>
                <w:szCs w:val="21"/>
                <w:highlight w:val="none"/>
              </w:rPr>
              <w:t>建筑工程检测</w:t>
            </w:r>
            <w:r>
              <w:rPr>
                <w:rFonts w:hint="eastAsia" w:ascii="宋体" w:hAnsi="宋体" w:eastAsia="宋体" w:cs="宋体"/>
                <w:b w:val="0"/>
                <w:bCs w:val="0"/>
                <w:color w:val="auto"/>
                <w:sz w:val="21"/>
                <w:szCs w:val="21"/>
                <w:highlight w:val="none"/>
                <w:lang w:eastAsia="zh-CN"/>
              </w:rPr>
              <w:t>类或</w:t>
            </w:r>
            <w:r>
              <w:rPr>
                <w:rFonts w:hint="eastAsia" w:ascii="宋体" w:hAnsi="宋体" w:eastAsia="宋体" w:cs="宋体"/>
                <w:b w:val="0"/>
                <w:bCs w:val="0"/>
                <w:color w:val="auto"/>
                <w:kern w:val="2"/>
                <w:szCs w:val="21"/>
                <w:highlight w:val="none"/>
                <w:lang w:bidi="ar"/>
              </w:rPr>
              <w:t>工程类</w:t>
            </w:r>
            <w:r>
              <w:rPr>
                <w:rFonts w:hint="eastAsia" w:ascii="宋体" w:hAnsi="宋体" w:eastAsia="宋体" w:cs="宋体"/>
                <w:b w:val="0"/>
                <w:bCs w:val="0"/>
                <w:color w:val="auto"/>
                <w:kern w:val="2"/>
                <w:szCs w:val="21"/>
                <w:highlight w:val="none"/>
                <w:lang w:val="en-US" w:eastAsia="zh-CN" w:bidi="ar"/>
              </w:rPr>
              <w:t>高级</w:t>
            </w:r>
            <w:r>
              <w:rPr>
                <w:rFonts w:hint="eastAsia" w:ascii="宋体" w:hAnsi="宋体" w:eastAsia="宋体" w:cs="宋体"/>
                <w:b w:val="0"/>
                <w:bCs w:val="0"/>
                <w:color w:val="auto"/>
                <w:kern w:val="2"/>
                <w:szCs w:val="21"/>
                <w:highlight w:val="none"/>
                <w:lang w:bidi="ar"/>
              </w:rPr>
              <w:t>职称的，得</w:t>
            </w:r>
            <w:r>
              <w:rPr>
                <w:rFonts w:hint="eastAsia" w:ascii="宋体" w:hAnsi="宋体" w:eastAsia="宋体" w:cs="宋体"/>
                <w:b w:val="0"/>
                <w:bCs w:val="0"/>
                <w:color w:val="auto"/>
                <w:kern w:val="2"/>
                <w:szCs w:val="21"/>
                <w:highlight w:val="none"/>
                <w:lang w:val="en-US" w:eastAsia="zh-CN" w:bidi="ar"/>
              </w:rPr>
              <w:t>2</w:t>
            </w:r>
            <w:r>
              <w:rPr>
                <w:rFonts w:hint="eastAsia" w:ascii="宋体" w:hAnsi="宋体" w:eastAsia="宋体" w:cs="宋体"/>
                <w:b w:val="0"/>
                <w:bCs w:val="0"/>
                <w:color w:val="auto"/>
                <w:kern w:val="2"/>
                <w:szCs w:val="21"/>
                <w:highlight w:val="none"/>
                <w:lang w:bidi="ar"/>
              </w:rPr>
              <w:t>分</w:t>
            </w:r>
            <w:r>
              <w:rPr>
                <w:rFonts w:hint="eastAsia" w:ascii="宋体" w:hAnsi="宋体" w:eastAsia="宋体" w:cs="宋体"/>
                <w:b w:val="0"/>
                <w:bCs w:val="0"/>
                <w:color w:val="auto"/>
                <w:kern w:val="2"/>
                <w:szCs w:val="21"/>
                <w:highlight w:val="none"/>
                <w:lang w:eastAsia="zh-CN" w:bidi="ar"/>
              </w:rPr>
              <w:t>；</w:t>
            </w:r>
            <w:r>
              <w:rPr>
                <w:rFonts w:hint="eastAsia" w:ascii="宋体" w:hAnsi="宋体" w:eastAsia="宋体" w:cs="宋体"/>
                <w:b w:val="0"/>
                <w:bCs w:val="0"/>
                <w:color w:val="auto"/>
                <w:kern w:val="2"/>
                <w:szCs w:val="21"/>
                <w:highlight w:val="none"/>
                <w:lang w:val="en-US" w:eastAsia="zh-CN" w:bidi="ar"/>
              </w:rPr>
              <w:t>其他不得分。本小项最多得3分</w:t>
            </w:r>
            <w:r>
              <w:rPr>
                <w:rFonts w:hint="eastAsia" w:ascii="宋体" w:hAnsi="宋体" w:eastAsia="宋体" w:cs="宋体"/>
                <w:b w:val="0"/>
                <w:bCs w:val="0"/>
                <w:color w:val="auto"/>
                <w:kern w:val="2"/>
                <w:szCs w:val="21"/>
                <w:highlight w:val="none"/>
                <w:lang w:bidi="ar"/>
              </w:rPr>
              <w:t>。</w:t>
            </w:r>
          </w:p>
          <w:p>
            <w:pPr>
              <w:widowControl/>
              <w:numPr>
                <w:ilvl w:val="0"/>
                <w:numId w:val="0"/>
              </w:numPr>
              <w:spacing w:line="400" w:lineRule="exact"/>
              <w:jc w:val="left"/>
              <w:rPr>
                <w:rFonts w:hint="eastAsia" w:ascii="宋体" w:hAnsi="宋体" w:eastAsia="宋体" w:cs="宋体"/>
                <w:b w:val="0"/>
                <w:bCs w:val="0"/>
                <w:color w:val="auto"/>
                <w:kern w:val="2"/>
                <w:szCs w:val="21"/>
                <w:highlight w:val="none"/>
                <w:lang w:bidi="ar"/>
              </w:rPr>
            </w:pPr>
            <w:r>
              <w:rPr>
                <w:rFonts w:hint="eastAsia" w:ascii="宋体" w:hAnsi="宋体" w:eastAsia="宋体" w:cs="宋体"/>
                <w:b w:val="0"/>
                <w:bCs w:val="0"/>
                <w:color w:val="auto"/>
                <w:kern w:val="2"/>
                <w:szCs w:val="21"/>
                <w:highlight w:val="none"/>
                <w:lang w:val="en-US" w:eastAsia="zh-CN" w:bidi="ar"/>
              </w:rPr>
              <w:t>2、具有“注册岩土工程师”或“注册结构工程师”的，</w:t>
            </w:r>
            <w:r>
              <w:rPr>
                <w:rFonts w:hint="eastAsia" w:ascii="宋体" w:hAnsi="宋体" w:eastAsia="宋体" w:cs="宋体"/>
                <w:b w:val="0"/>
                <w:bCs w:val="0"/>
                <w:color w:val="auto"/>
                <w:kern w:val="2"/>
                <w:szCs w:val="21"/>
                <w:highlight w:val="none"/>
                <w:lang w:bidi="ar"/>
              </w:rPr>
              <w:t>得</w:t>
            </w:r>
            <w:r>
              <w:rPr>
                <w:rFonts w:hint="eastAsia" w:ascii="宋体" w:hAnsi="宋体" w:eastAsia="宋体" w:cs="宋体"/>
                <w:b w:val="0"/>
                <w:bCs w:val="0"/>
                <w:color w:val="auto"/>
                <w:kern w:val="2"/>
                <w:szCs w:val="21"/>
                <w:highlight w:val="none"/>
                <w:lang w:val="en-US" w:eastAsia="zh-CN" w:bidi="ar"/>
              </w:rPr>
              <w:t>1</w:t>
            </w:r>
            <w:r>
              <w:rPr>
                <w:rFonts w:hint="eastAsia" w:ascii="宋体" w:hAnsi="宋体" w:eastAsia="宋体" w:cs="宋体"/>
                <w:b w:val="0"/>
                <w:bCs w:val="0"/>
                <w:color w:val="auto"/>
                <w:kern w:val="2"/>
                <w:szCs w:val="21"/>
                <w:highlight w:val="none"/>
                <w:lang w:bidi="ar"/>
              </w:rPr>
              <w:t>分</w:t>
            </w:r>
            <w:r>
              <w:rPr>
                <w:rFonts w:hint="eastAsia" w:ascii="宋体" w:hAnsi="宋体" w:eastAsia="宋体" w:cs="宋体"/>
                <w:b w:val="0"/>
                <w:bCs w:val="0"/>
                <w:color w:val="auto"/>
                <w:kern w:val="2"/>
                <w:szCs w:val="21"/>
                <w:highlight w:val="none"/>
                <w:lang w:eastAsia="zh-CN" w:bidi="ar"/>
              </w:rPr>
              <w:t>。</w:t>
            </w:r>
            <w:r>
              <w:rPr>
                <w:rFonts w:hint="eastAsia" w:ascii="宋体" w:hAnsi="宋体" w:eastAsia="宋体" w:cs="宋体"/>
                <w:b w:val="0"/>
                <w:bCs w:val="0"/>
                <w:color w:val="auto"/>
                <w:kern w:val="2"/>
                <w:szCs w:val="21"/>
                <w:highlight w:val="none"/>
                <w:lang w:val="en-US" w:eastAsia="zh-CN" w:bidi="ar"/>
              </w:rPr>
              <w:t>本小项最多得1分</w:t>
            </w:r>
            <w:r>
              <w:rPr>
                <w:rFonts w:hint="eastAsia" w:ascii="宋体" w:hAnsi="宋体" w:eastAsia="宋体" w:cs="宋体"/>
                <w:b w:val="0"/>
                <w:bCs w:val="0"/>
                <w:color w:val="auto"/>
                <w:kern w:val="2"/>
                <w:szCs w:val="21"/>
                <w:highlight w:val="none"/>
                <w:lang w:bidi="ar"/>
              </w:rPr>
              <w:t>。</w:t>
            </w:r>
          </w:p>
          <w:p>
            <w:pPr>
              <w:widowControl/>
              <w:numPr>
                <w:ilvl w:val="0"/>
                <w:numId w:val="0"/>
              </w:numPr>
              <w:spacing w:line="400" w:lineRule="exact"/>
              <w:jc w:val="left"/>
              <w:rPr>
                <w:rFonts w:hint="eastAsia" w:ascii="宋体" w:hAnsi="宋体" w:eastAsia="宋体" w:cs="宋体"/>
                <w:b w:val="0"/>
                <w:bCs w:val="0"/>
                <w:color w:val="auto"/>
                <w:kern w:val="2"/>
                <w:szCs w:val="21"/>
                <w:highlight w:val="none"/>
                <w:lang w:eastAsia="zh-CN" w:bidi="ar"/>
              </w:rPr>
            </w:pPr>
            <w:r>
              <w:rPr>
                <w:rFonts w:hint="eastAsia" w:ascii="宋体" w:hAnsi="宋体" w:eastAsia="宋体" w:cs="宋体"/>
                <w:b w:val="0"/>
                <w:bCs w:val="0"/>
                <w:color w:val="auto"/>
                <w:kern w:val="2"/>
                <w:szCs w:val="21"/>
                <w:highlight w:val="none"/>
                <w:lang w:val="en-US" w:eastAsia="zh-CN" w:bidi="ar"/>
              </w:rPr>
              <w:t>3、</w:t>
            </w:r>
            <w:r>
              <w:rPr>
                <w:rFonts w:hint="eastAsia" w:ascii="宋体" w:hAnsi="宋体" w:eastAsia="宋体" w:cs="宋体"/>
                <w:b w:val="0"/>
                <w:bCs w:val="0"/>
                <w:color w:val="auto"/>
                <w:kern w:val="2"/>
                <w:szCs w:val="21"/>
                <w:highlight w:val="none"/>
                <w:lang w:bidi="ar"/>
              </w:rPr>
              <w:t>具有省级或以上建设质量安全监督部门或其委托的机构、行业协会颁发的检测员证或检测上岗证或培训合格证的，得</w:t>
            </w:r>
            <w:r>
              <w:rPr>
                <w:rFonts w:hint="eastAsia" w:ascii="宋体" w:hAnsi="宋体" w:eastAsia="宋体" w:cs="宋体"/>
                <w:b w:val="0"/>
                <w:bCs w:val="0"/>
                <w:color w:val="auto"/>
                <w:kern w:val="2"/>
                <w:szCs w:val="21"/>
                <w:highlight w:val="none"/>
                <w:lang w:val="en-US" w:eastAsia="zh-CN" w:bidi="ar"/>
              </w:rPr>
              <w:t>1</w:t>
            </w:r>
            <w:r>
              <w:rPr>
                <w:rFonts w:hint="eastAsia" w:ascii="宋体" w:hAnsi="宋体" w:eastAsia="宋体" w:cs="宋体"/>
                <w:b w:val="0"/>
                <w:bCs w:val="0"/>
                <w:color w:val="auto"/>
                <w:kern w:val="2"/>
                <w:szCs w:val="21"/>
                <w:highlight w:val="none"/>
                <w:lang w:bidi="ar"/>
              </w:rPr>
              <w:t>分</w:t>
            </w:r>
            <w:r>
              <w:rPr>
                <w:rFonts w:hint="eastAsia" w:ascii="宋体" w:hAnsi="宋体" w:eastAsia="宋体" w:cs="宋体"/>
                <w:b w:val="0"/>
                <w:bCs w:val="0"/>
                <w:color w:val="auto"/>
                <w:kern w:val="2"/>
                <w:szCs w:val="21"/>
                <w:highlight w:val="none"/>
                <w:lang w:eastAsia="zh-CN" w:bidi="ar"/>
              </w:rPr>
              <w:t>。</w:t>
            </w:r>
          </w:p>
          <w:p>
            <w:pPr>
              <w:widowControl/>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注：①需提供人员相关证明材料和社保证明；②项目负责人不得同时兼任技术负责人。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127" w:type="dxa"/>
            <w:vMerge w:val="continue"/>
            <w:noWrap w:val="0"/>
            <w:vAlign w:val="center"/>
          </w:tcPr>
          <w:p>
            <w:pPr>
              <w:rPr>
                <w:rFonts w:hint="eastAsia" w:ascii="宋体" w:hAnsi="宋体" w:eastAsia="宋体" w:cs="宋体"/>
                <w:b w:val="0"/>
                <w:bCs w:val="0"/>
                <w:color w:val="auto"/>
                <w:szCs w:val="21"/>
                <w:highlight w:val="none"/>
                <w:lang w:eastAsia="zh-CN"/>
              </w:rPr>
            </w:pPr>
          </w:p>
        </w:tc>
        <w:tc>
          <w:tcPr>
            <w:tcW w:w="1101" w:type="dxa"/>
            <w:tcBorders>
              <w:top w:val="single" w:color="auto" w:sz="4" w:space="0"/>
            </w:tcBorders>
            <w:noWrap w:val="0"/>
            <w:vAlign w:val="center"/>
          </w:tcPr>
          <w:p>
            <w:pPr>
              <w:spacing w:line="400" w:lineRule="exact"/>
              <w:jc w:val="center"/>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技术负责人</w:t>
            </w:r>
          </w:p>
        </w:tc>
        <w:tc>
          <w:tcPr>
            <w:tcW w:w="735" w:type="dxa"/>
            <w:tcBorders>
              <w:top w:val="single" w:color="auto" w:sz="4" w:space="0"/>
            </w:tcBorders>
            <w:noWrap w:val="0"/>
            <w:vAlign w:val="center"/>
          </w:tcPr>
          <w:p>
            <w:pPr>
              <w:jc w:val="center"/>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5</w:t>
            </w:r>
          </w:p>
        </w:tc>
        <w:tc>
          <w:tcPr>
            <w:tcW w:w="5428" w:type="dxa"/>
            <w:tcBorders>
              <w:top w:val="nil"/>
            </w:tcBorders>
            <w:noWrap w:val="0"/>
            <w:vAlign w:val="center"/>
          </w:tcPr>
          <w:p>
            <w:pPr>
              <w:widowControl/>
              <w:numPr>
                <w:ilvl w:val="0"/>
                <w:numId w:val="0"/>
              </w:numPr>
              <w:spacing w:line="400" w:lineRule="exact"/>
              <w:jc w:val="left"/>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val="en-US" w:eastAsia="zh-CN"/>
              </w:rPr>
              <w:t>1、</w:t>
            </w:r>
            <w:r>
              <w:rPr>
                <w:rFonts w:hint="eastAsia" w:ascii="宋体" w:hAnsi="宋体" w:eastAsia="宋体" w:cs="宋体"/>
                <w:b w:val="0"/>
                <w:bCs w:val="0"/>
                <w:color w:val="auto"/>
                <w:szCs w:val="21"/>
                <w:highlight w:val="none"/>
              </w:rPr>
              <w:t>具有工程类教授级或正高级工程师职称的，得</w:t>
            </w:r>
            <w:r>
              <w:rPr>
                <w:rFonts w:hint="eastAsia" w:ascii="宋体" w:hAnsi="宋体" w:eastAsia="宋体" w:cs="宋体"/>
                <w:b w:val="0"/>
                <w:bCs w:val="0"/>
                <w:color w:val="auto"/>
                <w:szCs w:val="21"/>
                <w:highlight w:val="none"/>
                <w:lang w:val="en-US" w:eastAsia="zh-CN"/>
              </w:rPr>
              <w:t>3</w:t>
            </w:r>
            <w:r>
              <w:rPr>
                <w:rFonts w:hint="eastAsia" w:ascii="宋体" w:hAnsi="宋体" w:eastAsia="宋体" w:cs="宋体"/>
                <w:b w:val="0"/>
                <w:bCs w:val="0"/>
                <w:color w:val="auto"/>
                <w:szCs w:val="21"/>
                <w:highlight w:val="none"/>
              </w:rPr>
              <w:t>分；具有工程类</w:t>
            </w:r>
            <w:r>
              <w:rPr>
                <w:rFonts w:hint="eastAsia" w:ascii="宋体" w:hAnsi="宋体" w:eastAsia="宋体" w:cs="宋体"/>
                <w:b w:val="0"/>
                <w:bCs w:val="0"/>
                <w:color w:val="auto"/>
                <w:szCs w:val="21"/>
                <w:highlight w:val="none"/>
                <w:lang w:val="en-US" w:eastAsia="zh-CN"/>
              </w:rPr>
              <w:t>高级</w:t>
            </w:r>
            <w:r>
              <w:rPr>
                <w:rFonts w:hint="eastAsia" w:ascii="宋体" w:hAnsi="宋体" w:eastAsia="宋体" w:cs="宋体"/>
                <w:b w:val="0"/>
                <w:bCs w:val="0"/>
                <w:color w:val="auto"/>
                <w:szCs w:val="21"/>
                <w:highlight w:val="none"/>
              </w:rPr>
              <w:t>职称的，得</w:t>
            </w:r>
            <w:r>
              <w:rPr>
                <w:rFonts w:hint="eastAsia" w:ascii="宋体" w:hAnsi="宋体" w:eastAsia="宋体" w:cs="宋体"/>
                <w:b w:val="0"/>
                <w:bCs w:val="0"/>
                <w:color w:val="auto"/>
                <w:szCs w:val="21"/>
                <w:highlight w:val="none"/>
                <w:lang w:val="en-US" w:eastAsia="zh-CN"/>
              </w:rPr>
              <w:t>2</w:t>
            </w:r>
            <w:r>
              <w:rPr>
                <w:rFonts w:hint="eastAsia" w:ascii="宋体" w:hAnsi="宋体" w:eastAsia="宋体" w:cs="宋体"/>
                <w:b w:val="0"/>
                <w:bCs w:val="0"/>
                <w:color w:val="auto"/>
                <w:szCs w:val="21"/>
                <w:highlight w:val="none"/>
              </w:rPr>
              <w:t>分</w:t>
            </w:r>
            <w:r>
              <w:rPr>
                <w:rFonts w:hint="eastAsia" w:ascii="宋体" w:hAnsi="宋体" w:eastAsia="宋体" w:cs="宋体"/>
                <w:b w:val="0"/>
                <w:bCs w:val="0"/>
                <w:color w:val="auto"/>
                <w:szCs w:val="21"/>
                <w:highlight w:val="none"/>
                <w:lang w:eastAsia="zh-CN"/>
              </w:rPr>
              <w:t>。</w:t>
            </w:r>
            <w:r>
              <w:rPr>
                <w:rFonts w:hint="eastAsia" w:ascii="宋体" w:hAnsi="宋体" w:eastAsia="宋体" w:cs="宋体"/>
                <w:b w:val="0"/>
                <w:bCs w:val="0"/>
                <w:color w:val="auto"/>
                <w:szCs w:val="21"/>
                <w:highlight w:val="none"/>
                <w:lang w:val="en-US" w:eastAsia="zh-CN"/>
              </w:rPr>
              <w:t>其他不得分。本小项最多得3分</w:t>
            </w:r>
            <w:r>
              <w:rPr>
                <w:rFonts w:hint="eastAsia" w:ascii="宋体" w:hAnsi="宋体" w:eastAsia="宋体" w:cs="宋体"/>
                <w:b w:val="0"/>
                <w:bCs w:val="0"/>
                <w:color w:val="auto"/>
                <w:szCs w:val="21"/>
                <w:highlight w:val="none"/>
              </w:rPr>
              <w:t>。</w:t>
            </w:r>
          </w:p>
          <w:p>
            <w:pPr>
              <w:widowControl/>
              <w:numPr>
                <w:ilvl w:val="0"/>
                <w:numId w:val="0"/>
              </w:numPr>
              <w:spacing w:line="400" w:lineRule="exact"/>
              <w:jc w:val="left"/>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lang w:val="en-US" w:eastAsia="zh-CN"/>
              </w:rPr>
              <w:t>2、具有“注册岩土工程师”或“注册结构工程师”的，</w:t>
            </w:r>
            <w:r>
              <w:rPr>
                <w:rFonts w:hint="eastAsia" w:ascii="宋体" w:hAnsi="宋体" w:eastAsia="宋体" w:cs="宋体"/>
                <w:b w:val="0"/>
                <w:bCs w:val="0"/>
                <w:color w:val="auto"/>
                <w:szCs w:val="21"/>
                <w:highlight w:val="none"/>
              </w:rPr>
              <w:t>得</w:t>
            </w:r>
            <w:r>
              <w:rPr>
                <w:rFonts w:hint="eastAsia" w:ascii="宋体" w:hAnsi="宋体" w:eastAsia="宋体" w:cs="宋体"/>
                <w:b w:val="0"/>
                <w:bCs w:val="0"/>
                <w:color w:val="auto"/>
                <w:szCs w:val="21"/>
                <w:highlight w:val="none"/>
                <w:lang w:val="en-US" w:eastAsia="zh-CN"/>
              </w:rPr>
              <w:t>1</w:t>
            </w:r>
            <w:r>
              <w:rPr>
                <w:rFonts w:hint="eastAsia" w:ascii="宋体" w:hAnsi="宋体" w:eastAsia="宋体" w:cs="宋体"/>
                <w:b w:val="0"/>
                <w:bCs w:val="0"/>
                <w:color w:val="auto"/>
                <w:szCs w:val="21"/>
                <w:highlight w:val="none"/>
              </w:rPr>
              <w:t>分</w:t>
            </w:r>
            <w:r>
              <w:rPr>
                <w:rFonts w:hint="eastAsia" w:ascii="宋体" w:hAnsi="宋体" w:eastAsia="宋体" w:cs="宋体"/>
                <w:b w:val="0"/>
                <w:bCs w:val="0"/>
                <w:color w:val="auto"/>
                <w:szCs w:val="21"/>
                <w:highlight w:val="none"/>
                <w:lang w:eastAsia="zh-CN"/>
              </w:rPr>
              <w:t>。</w:t>
            </w:r>
            <w:r>
              <w:rPr>
                <w:rFonts w:hint="eastAsia" w:ascii="宋体" w:hAnsi="宋体" w:eastAsia="宋体" w:cs="宋体"/>
                <w:b w:val="0"/>
                <w:bCs w:val="0"/>
                <w:color w:val="auto"/>
                <w:szCs w:val="21"/>
                <w:highlight w:val="none"/>
                <w:lang w:val="en-US" w:eastAsia="zh-CN"/>
              </w:rPr>
              <w:t>本小项最多得1分</w:t>
            </w:r>
            <w:r>
              <w:rPr>
                <w:rFonts w:hint="eastAsia" w:ascii="宋体" w:hAnsi="宋体" w:eastAsia="宋体" w:cs="宋体"/>
                <w:b w:val="0"/>
                <w:bCs w:val="0"/>
                <w:color w:val="auto"/>
                <w:szCs w:val="21"/>
                <w:highlight w:val="none"/>
              </w:rPr>
              <w:t>。</w:t>
            </w:r>
          </w:p>
          <w:p>
            <w:pPr>
              <w:widowControl/>
              <w:numPr>
                <w:ilvl w:val="0"/>
                <w:numId w:val="0"/>
              </w:numPr>
              <w:spacing w:line="400" w:lineRule="exact"/>
              <w:jc w:val="left"/>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val="en-US" w:eastAsia="zh-CN"/>
              </w:rPr>
              <w:t>3、</w:t>
            </w:r>
            <w:r>
              <w:rPr>
                <w:rFonts w:hint="eastAsia" w:ascii="宋体" w:hAnsi="宋体" w:eastAsia="宋体" w:cs="宋体"/>
                <w:b w:val="0"/>
                <w:bCs w:val="0"/>
                <w:color w:val="auto"/>
                <w:szCs w:val="21"/>
                <w:highlight w:val="none"/>
              </w:rPr>
              <w:t>具有省级或以上建设质量安全监督部门或其委托的机构、行业协会颁发的检测员证或检测上岗证或培训合格证的，得</w:t>
            </w:r>
            <w:r>
              <w:rPr>
                <w:rFonts w:hint="eastAsia" w:ascii="宋体" w:hAnsi="宋体" w:eastAsia="宋体" w:cs="宋体"/>
                <w:b w:val="0"/>
                <w:bCs w:val="0"/>
                <w:color w:val="auto"/>
                <w:szCs w:val="21"/>
                <w:highlight w:val="none"/>
                <w:lang w:val="en-US" w:eastAsia="zh-CN"/>
              </w:rPr>
              <w:t>1</w:t>
            </w:r>
            <w:r>
              <w:rPr>
                <w:rFonts w:hint="eastAsia" w:ascii="宋体" w:hAnsi="宋体" w:eastAsia="宋体" w:cs="宋体"/>
                <w:b w:val="0"/>
                <w:bCs w:val="0"/>
                <w:color w:val="auto"/>
                <w:szCs w:val="21"/>
                <w:highlight w:val="none"/>
              </w:rPr>
              <w:t>分</w:t>
            </w:r>
            <w:r>
              <w:rPr>
                <w:rFonts w:hint="eastAsia" w:ascii="宋体" w:hAnsi="宋体" w:eastAsia="宋体" w:cs="宋体"/>
                <w:b w:val="0"/>
                <w:bCs w:val="0"/>
                <w:color w:val="auto"/>
                <w:szCs w:val="21"/>
                <w:highlight w:val="none"/>
                <w:lang w:eastAsia="zh-CN"/>
              </w:rPr>
              <w:t>。</w:t>
            </w:r>
          </w:p>
          <w:p>
            <w:pPr>
              <w:pStyle w:val="2"/>
              <w:ind w:left="0" w:leftChars="0" w:firstLine="0" w:firstLineChars="0"/>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rPr>
              <w:t>注：提供证</w:t>
            </w:r>
            <w:r>
              <w:rPr>
                <w:rFonts w:hint="eastAsia" w:ascii="宋体" w:hAnsi="宋体" w:eastAsia="宋体" w:cs="宋体"/>
                <w:b w:val="0"/>
                <w:bCs w:val="0"/>
                <w:color w:val="auto"/>
                <w:highlight w:val="none"/>
                <w:lang w:eastAsia="zh-CN"/>
              </w:rPr>
              <w:t>书</w:t>
            </w:r>
            <w:r>
              <w:rPr>
                <w:rFonts w:hint="eastAsia" w:ascii="宋体" w:hAnsi="宋体" w:eastAsia="宋体" w:cs="宋体"/>
                <w:b w:val="0"/>
                <w:bCs w:val="0"/>
                <w:color w:val="auto"/>
                <w:highlight w:val="none"/>
              </w:rPr>
              <w:t>复印件并加盖公章，否则此项不得分。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127" w:type="dxa"/>
            <w:vMerge w:val="continue"/>
            <w:noWrap w:val="0"/>
            <w:vAlign w:val="center"/>
          </w:tcPr>
          <w:p>
            <w:pPr>
              <w:rPr>
                <w:rFonts w:hint="eastAsia" w:ascii="宋体" w:hAnsi="宋体" w:eastAsia="宋体" w:cs="宋体"/>
                <w:b w:val="0"/>
                <w:bCs w:val="0"/>
                <w:color w:val="auto"/>
                <w:szCs w:val="21"/>
                <w:highlight w:val="none"/>
              </w:rPr>
            </w:pPr>
          </w:p>
        </w:tc>
        <w:tc>
          <w:tcPr>
            <w:tcW w:w="1101" w:type="dxa"/>
            <w:noWrap w:val="0"/>
            <w:vAlign w:val="center"/>
          </w:tcPr>
          <w:p>
            <w:pPr>
              <w:spacing w:line="400" w:lineRule="exact"/>
              <w:jc w:val="center"/>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rPr>
              <w:t>专业</w:t>
            </w:r>
            <w:r>
              <w:rPr>
                <w:rFonts w:hint="eastAsia" w:ascii="宋体" w:hAnsi="宋体" w:eastAsia="宋体" w:cs="宋体"/>
                <w:b w:val="0"/>
                <w:bCs w:val="0"/>
                <w:color w:val="auto"/>
                <w:szCs w:val="21"/>
                <w:highlight w:val="none"/>
                <w:lang w:eastAsia="zh-CN"/>
              </w:rPr>
              <w:t>技术</w:t>
            </w:r>
            <w:r>
              <w:rPr>
                <w:rFonts w:hint="eastAsia" w:ascii="宋体" w:hAnsi="宋体" w:eastAsia="宋体" w:cs="宋体"/>
                <w:b w:val="0"/>
                <w:bCs w:val="0"/>
                <w:color w:val="auto"/>
                <w:szCs w:val="21"/>
                <w:highlight w:val="none"/>
              </w:rPr>
              <w:t>人员</w:t>
            </w:r>
          </w:p>
        </w:tc>
        <w:tc>
          <w:tcPr>
            <w:tcW w:w="735" w:type="dxa"/>
            <w:noWrap w:val="0"/>
            <w:vAlign w:val="center"/>
          </w:tcPr>
          <w:p>
            <w:pPr>
              <w:jc w:val="center"/>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5</w:t>
            </w:r>
          </w:p>
        </w:tc>
        <w:tc>
          <w:tcPr>
            <w:tcW w:w="5428" w:type="dxa"/>
            <w:noWrap w:val="0"/>
            <w:vAlign w:val="center"/>
          </w:tcPr>
          <w:p>
            <w:pP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拟配备本项目的主要专业技术人员（不含项目负责人</w:t>
            </w:r>
            <w:r>
              <w:rPr>
                <w:rFonts w:hint="eastAsia" w:ascii="宋体" w:hAnsi="宋体" w:eastAsia="宋体" w:cs="宋体"/>
                <w:b w:val="0"/>
                <w:bCs w:val="0"/>
                <w:color w:val="auto"/>
                <w:szCs w:val="21"/>
                <w:highlight w:val="none"/>
                <w:lang w:eastAsia="zh-CN"/>
              </w:rPr>
              <w:t>、技术负责人</w:t>
            </w:r>
            <w:r>
              <w:rPr>
                <w:rFonts w:hint="eastAsia" w:ascii="宋体" w:hAnsi="宋体" w:eastAsia="宋体" w:cs="宋体"/>
                <w:b w:val="0"/>
                <w:bCs w:val="0"/>
                <w:color w:val="auto"/>
                <w:szCs w:val="21"/>
                <w:highlight w:val="none"/>
              </w:rPr>
              <w:t>）</w:t>
            </w:r>
            <w:r>
              <w:rPr>
                <w:rFonts w:hint="eastAsia" w:ascii="宋体" w:hAnsi="宋体" w:eastAsia="宋体" w:cs="宋体"/>
                <w:b w:val="0"/>
                <w:bCs w:val="0"/>
                <w:color w:val="auto"/>
                <w:szCs w:val="21"/>
                <w:highlight w:val="none"/>
                <w:lang w:eastAsia="zh-CN"/>
              </w:rPr>
              <w:t>中，具有中级或以上职称及</w:t>
            </w:r>
            <w:r>
              <w:rPr>
                <w:rFonts w:hint="eastAsia" w:ascii="宋体" w:hAnsi="宋体" w:eastAsia="宋体" w:cs="宋体"/>
                <w:b w:val="0"/>
                <w:bCs w:val="0"/>
                <w:color w:val="auto"/>
                <w:szCs w:val="21"/>
                <w:highlight w:val="none"/>
              </w:rPr>
              <w:t>检测鉴定培训合格证</w:t>
            </w:r>
            <w:r>
              <w:rPr>
                <w:rFonts w:hint="eastAsia" w:ascii="宋体" w:hAnsi="宋体" w:eastAsia="宋体" w:cs="宋体"/>
                <w:b w:val="0"/>
                <w:bCs w:val="0"/>
                <w:color w:val="auto"/>
                <w:szCs w:val="21"/>
                <w:highlight w:val="none"/>
                <w:lang w:eastAsia="zh-CN"/>
              </w:rPr>
              <w:t>的，每有一人得</w:t>
            </w:r>
            <w:r>
              <w:rPr>
                <w:rFonts w:hint="eastAsia" w:ascii="宋体" w:hAnsi="宋体" w:eastAsia="宋体" w:cs="宋体"/>
                <w:b w:val="0"/>
                <w:bCs w:val="0"/>
                <w:color w:val="auto"/>
                <w:szCs w:val="21"/>
                <w:highlight w:val="none"/>
                <w:lang w:val="en-US" w:eastAsia="zh-CN"/>
              </w:rPr>
              <w:t>1分，</w:t>
            </w:r>
            <w:r>
              <w:rPr>
                <w:rFonts w:hint="eastAsia" w:ascii="宋体" w:hAnsi="宋体" w:eastAsia="宋体" w:cs="宋体"/>
                <w:b w:val="0"/>
                <w:bCs w:val="0"/>
                <w:color w:val="auto"/>
                <w:szCs w:val="21"/>
                <w:highlight w:val="none"/>
              </w:rPr>
              <w:t>本项最多得</w:t>
            </w:r>
            <w:r>
              <w:rPr>
                <w:rFonts w:hint="eastAsia" w:ascii="宋体" w:hAnsi="宋体" w:eastAsia="宋体" w:cs="宋体"/>
                <w:b w:val="0"/>
                <w:bCs w:val="0"/>
                <w:color w:val="auto"/>
                <w:szCs w:val="21"/>
                <w:highlight w:val="none"/>
                <w:lang w:val="en-US" w:eastAsia="zh-CN"/>
              </w:rPr>
              <w:t>5</w:t>
            </w:r>
            <w:r>
              <w:rPr>
                <w:rFonts w:hint="eastAsia" w:ascii="宋体" w:hAnsi="宋体" w:eastAsia="宋体" w:cs="宋体"/>
                <w:b w:val="0"/>
                <w:bCs w:val="0"/>
                <w:color w:val="auto"/>
                <w:szCs w:val="21"/>
                <w:highlight w:val="none"/>
              </w:rPr>
              <w:t>分。</w:t>
            </w:r>
          </w:p>
          <w:p>
            <w:pP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注：提供证</w:t>
            </w:r>
            <w:r>
              <w:rPr>
                <w:rFonts w:hint="eastAsia" w:ascii="宋体" w:hAnsi="宋体" w:eastAsia="宋体" w:cs="宋体"/>
                <w:b w:val="0"/>
                <w:bCs w:val="0"/>
                <w:color w:val="auto"/>
                <w:szCs w:val="21"/>
                <w:highlight w:val="none"/>
                <w:lang w:eastAsia="zh-CN"/>
              </w:rPr>
              <w:t>书</w:t>
            </w:r>
            <w:r>
              <w:rPr>
                <w:rFonts w:hint="eastAsia" w:ascii="宋体" w:hAnsi="宋体" w:eastAsia="宋体" w:cs="宋体"/>
                <w:b w:val="0"/>
                <w:bCs w:val="0"/>
                <w:color w:val="auto"/>
                <w:szCs w:val="21"/>
                <w:highlight w:val="none"/>
              </w:rPr>
              <w:t>复印件并加盖公章，否则此项不得分。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127" w:type="dxa"/>
            <w:noWrap w:val="0"/>
            <w:vAlign w:val="center"/>
          </w:tcPr>
          <w:p>
            <w:pPr>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技术部分（</w:t>
            </w:r>
            <w:r>
              <w:rPr>
                <w:rFonts w:hint="eastAsia" w:ascii="宋体" w:hAnsi="宋体" w:eastAsia="宋体" w:cs="宋体"/>
                <w:b w:val="0"/>
                <w:bCs w:val="0"/>
                <w:color w:val="auto"/>
                <w:sz w:val="21"/>
                <w:szCs w:val="21"/>
                <w:highlight w:val="none"/>
                <w:lang w:val="en-US" w:eastAsia="zh-CN"/>
              </w:rPr>
              <w:t>20</w:t>
            </w:r>
            <w:r>
              <w:rPr>
                <w:rFonts w:hint="eastAsia" w:ascii="宋体" w:hAnsi="宋体" w:eastAsia="宋体" w:cs="宋体"/>
                <w:b w:val="0"/>
                <w:bCs w:val="0"/>
                <w:color w:val="auto"/>
                <w:szCs w:val="21"/>
                <w:highlight w:val="none"/>
                <w:lang w:val="en-US" w:eastAsia="zh-CN"/>
              </w:rPr>
              <w:t>分）</w:t>
            </w:r>
          </w:p>
        </w:tc>
        <w:tc>
          <w:tcPr>
            <w:tcW w:w="1101" w:type="dxa"/>
            <w:noWrap w:val="0"/>
            <w:vAlign w:val="center"/>
          </w:tcPr>
          <w:p>
            <w:pPr>
              <w:spacing w:line="400" w:lineRule="exact"/>
              <w:jc w:val="center"/>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eastAsia="zh-CN"/>
              </w:rPr>
              <w:t>检测方案</w:t>
            </w:r>
          </w:p>
        </w:tc>
        <w:tc>
          <w:tcPr>
            <w:tcW w:w="735" w:type="dxa"/>
            <w:noWrap w:val="0"/>
            <w:vAlign w:val="center"/>
          </w:tcPr>
          <w:p>
            <w:pPr>
              <w:spacing w:line="400" w:lineRule="exact"/>
              <w:jc w:val="center"/>
              <w:rPr>
                <w:rFonts w:hint="eastAsia" w:ascii="宋体" w:hAnsi="宋体" w:eastAsia="宋体" w:cs="宋体"/>
                <w:b w:val="0"/>
                <w:bCs w:val="0"/>
                <w:color w:val="auto"/>
                <w:szCs w:val="21"/>
                <w:highlight w:val="none"/>
                <w:lang w:val="en-US"/>
              </w:rPr>
            </w:pPr>
            <w:r>
              <w:rPr>
                <w:rFonts w:hint="eastAsia" w:ascii="宋体" w:hAnsi="宋体" w:eastAsia="宋体" w:cs="宋体"/>
                <w:b w:val="0"/>
                <w:bCs w:val="0"/>
                <w:color w:val="auto"/>
                <w:szCs w:val="21"/>
                <w:highlight w:val="none"/>
                <w:lang w:val="en-US" w:eastAsia="zh-CN"/>
              </w:rPr>
              <w:t>20</w:t>
            </w:r>
          </w:p>
        </w:tc>
        <w:tc>
          <w:tcPr>
            <w:tcW w:w="5428"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auto"/>
              <w:jc w:val="left"/>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lang w:val="en-US" w:eastAsia="zh-CN"/>
              </w:rPr>
              <w:t>1、</w:t>
            </w:r>
            <w:r>
              <w:rPr>
                <w:rFonts w:hint="eastAsia" w:ascii="宋体" w:hAnsi="宋体" w:eastAsia="宋体" w:cs="宋体"/>
                <w:b w:val="0"/>
                <w:bCs w:val="0"/>
                <w:color w:val="auto"/>
                <w:szCs w:val="21"/>
                <w:highlight w:val="none"/>
              </w:rPr>
              <w:t>优：</w:t>
            </w:r>
            <w:r>
              <w:rPr>
                <w:rFonts w:hint="eastAsia" w:ascii="宋体" w:hAnsi="宋体" w:eastAsia="宋体" w:cs="宋体"/>
                <w:b w:val="0"/>
                <w:bCs w:val="0"/>
                <w:color w:val="auto"/>
                <w:szCs w:val="21"/>
                <w:highlight w:val="none"/>
                <w:lang w:val="en-US" w:eastAsia="zh-CN"/>
              </w:rPr>
              <w:t>检测方案详细、具体，内容齐全，方法先进，能满足本工程提出的所有检测项目，有具体可行的质量、进度、安全保障措施</w:t>
            </w:r>
            <w:r>
              <w:rPr>
                <w:rFonts w:hint="eastAsia" w:ascii="宋体" w:hAnsi="宋体" w:eastAsia="宋体" w:cs="宋体"/>
                <w:b w:val="0"/>
                <w:bCs w:val="0"/>
                <w:color w:val="auto"/>
                <w:szCs w:val="21"/>
                <w:highlight w:val="none"/>
              </w:rPr>
              <w:t>，得</w:t>
            </w:r>
            <w:r>
              <w:rPr>
                <w:rFonts w:hint="eastAsia" w:ascii="宋体" w:hAnsi="宋体" w:eastAsia="宋体" w:cs="宋体"/>
                <w:b w:val="0"/>
                <w:bCs w:val="0"/>
                <w:color w:val="auto"/>
                <w:szCs w:val="21"/>
                <w:highlight w:val="none"/>
                <w:lang w:val="en-US" w:eastAsia="zh-CN"/>
              </w:rPr>
              <w:t>15</w:t>
            </w:r>
            <w:r>
              <w:rPr>
                <w:rFonts w:hint="eastAsia" w:ascii="宋体" w:hAnsi="宋体" w:eastAsia="宋体" w:cs="宋体"/>
                <w:b w:val="0"/>
                <w:bCs w:val="0"/>
                <w:color w:val="auto"/>
                <w:szCs w:val="21"/>
                <w:highlight w:val="none"/>
              </w:rPr>
              <w:t>-</w:t>
            </w:r>
            <w:r>
              <w:rPr>
                <w:rFonts w:hint="eastAsia" w:ascii="宋体" w:hAnsi="宋体" w:eastAsia="宋体" w:cs="宋体"/>
                <w:b w:val="0"/>
                <w:bCs w:val="0"/>
                <w:color w:val="auto"/>
                <w:szCs w:val="21"/>
                <w:highlight w:val="none"/>
                <w:lang w:val="en-US" w:eastAsia="zh-CN"/>
              </w:rPr>
              <w:t>20</w:t>
            </w:r>
            <w:r>
              <w:rPr>
                <w:rFonts w:hint="eastAsia" w:ascii="宋体" w:hAnsi="宋体" w:eastAsia="宋体" w:cs="宋体"/>
                <w:b w:val="0"/>
                <w:bCs w:val="0"/>
                <w:color w:val="auto"/>
                <w:szCs w:val="21"/>
                <w:highlight w:val="none"/>
              </w:rPr>
              <w:t>分；</w:t>
            </w:r>
          </w:p>
          <w:p>
            <w:pPr>
              <w:keepNext w:val="0"/>
              <w:keepLines w:val="0"/>
              <w:pageBreakBefore w:val="0"/>
              <w:kinsoku/>
              <w:wordWrap/>
              <w:overflowPunct/>
              <w:topLinePunct w:val="0"/>
              <w:autoSpaceDE/>
              <w:autoSpaceDN/>
              <w:bidi w:val="0"/>
              <w:adjustRightInd/>
              <w:snapToGrid/>
              <w:spacing w:beforeAutospacing="0" w:afterAutospacing="0" w:line="300" w:lineRule="auto"/>
              <w:jc w:val="left"/>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lang w:val="en-US" w:eastAsia="zh-CN"/>
              </w:rPr>
              <w:t>2、</w:t>
            </w:r>
            <w:r>
              <w:rPr>
                <w:rFonts w:hint="eastAsia" w:ascii="宋体" w:hAnsi="宋体" w:eastAsia="宋体" w:cs="宋体"/>
                <w:b w:val="0"/>
                <w:bCs w:val="0"/>
                <w:color w:val="auto"/>
                <w:szCs w:val="21"/>
                <w:highlight w:val="none"/>
              </w:rPr>
              <w:t>良：</w:t>
            </w:r>
            <w:r>
              <w:rPr>
                <w:rFonts w:hint="eastAsia" w:ascii="宋体" w:hAnsi="宋体" w:eastAsia="宋体" w:cs="宋体"/>
                <w:b w:val="0"/>
                <w:bCs w:val="0"/>
                <w:color w:val="auto"/>
                <w:szCs w:val="21"/>
                <w:highlight w:val="none"/>
                <w:lang w:val="en-US" w:eastAsia="zh-CN"/>
              </w:rPr>
              <w:t>检测方案较详细、较具体，内容较齐全，方法符合检测要求，有具体可行的质量、进度、安全保障措施</w:t>
            </w:r>
            <w:r>
              <w:rPr>
                <w:rFonts w:hint="eastAsia" w:ascii="宋体" w:hAnsi="宋体" w:eastAsia="宋体" w:cs="宋体"/>
                <w:b w:val="0"/>
                <w:bCs w:val="0"/>
                <w:color w:val="auto"/>
                <w:szCs w:val="21"/>
                <w:highlight w:val="none"/>
              </w:rPr>
              <w:t>，得</w:t>
            </w:r>
            <w:r>
              <w:rPr>
                <w:rFonts w:hint="eastAsia" w:ascii="宋体" w:hAnsi="宋体" w:eastAsia="宋体" w:cs="宋体"/>
                <w:b w:val="0"/>
                <w:bCs w:val="0"/>
                <w:color w:val="auto"/>
                <w:szCs w:val="21"/>
                <w:highlight w:val="none"/>
                <w:lang w:val="en-US" w:eastAsia="zh-CN"/>
              </w:rPr>
              <w:t>10-14</w:t>
            </w:r>
            <w:r>
              <w:rPr>
                <w:rFonts w:hint="eastAsia" w:ascii="宋体" w:hAnsi="宋体" w:eastAsia="宋体" w:cs="宋体"/>
                <w:b w:val="0"/>
                <w:bCs w:val="0"/>
                <w:color w:val="auto"/>
                <w:szCs w:val="21"/>
                <w:highlight w:val="none"/>
              </w:rPr>
              <w:t>分；</w:t>
            </w:r>
          </w:p>
          <w:p>
            <w:pPr>
              <w:keepNext w:val="0"/>
              <w:keepLines w:val="0"/>
              <w:pageBreakBefore w:val="0"/>
              <w:kinsoku/>
              <w:wordWrap/>
              <w:overflowPunct/>
              <w:topLinePunct w:val="0"/>
              <w:autoSpaceDE/>
              <w:autoSpaceDN/>
              <w:bidi w:val="0"/>
              <w:adjustRightInd/>
              <w:snapToGrid/>
              <w:spacing w:beforeAutospacing="0" w:afterAutospacing="0" w:line="300" w:lineRule="auto"/>
              <w:jc w:val="left"/>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lang w:val="en-US" w:eastAsia="zh-CN"/>
              </w:rPr>
              <w:t>3、</w:t>
            </w:r>
            <w:r>
              <w:rPr>
                <w:rFonts w:hint="eastAsia" w:ascii="宋体" w:hAnsi="宋体" w:eastAsia="宋体" w:cs="宋体"/>
                <w:b w:val="0"/>
                <w:bCs w:val="0"/>
                <w:color w:val="auto"/>
                <w:szCs w:val="21"/>
                <w:highlight w:val="none"/>
              </w:rPr>
              <w:t>中：检</w:t>
            </w:r>
            <w:r>
              <w:rPr>
                <w:rFonts w:hint="eastAsia" w:ascii="宋体" w:hAnsi="宋体" w:eastAsia="宋体" w:cs="宋体"/>
                <w:b w:val="0"/>
                <w:bCs w:val="0"/>
                <w:color w:val="auto"/>
                <w:szCs w:val="21"/>
                <w:highlight w:val="none"/>
                <w:lang w:val="en-US" w:eastAsia="zh-CN"/>
              </w:rPr>
              <w:t>检测方案基本内容满足要求，方法符合检测要求</w:t>
            </w:r>
            <w:r>
              <w:rPr>
                <w:rFonts w:hint="eastAsia" w:ascii="宋体" w:hAnsi="宋体" w:eastAsia="宋体" w:cs="宋体"/>
                <w:b w:val="0"/>
                <w:bCs w:val="0"/>
                <w:color w:val="auto"/>
                <w:szCs w:val="21"/>
                <w:highlight w:val="none"/>
              </w:rPr>
              <w:t>，得</w:t>
            </w:r>
            <w:r>
              <w:rPr>
                <w:rFonts w:hint="eastAsia" w:ascii="宋体" w:hAnsi="宋体" w:eastAsia="宋体" w:cs="宋体"/>
                <w:b w:val="0"/>
                <w:bCs w:val="0"/>
                <w:color w:val="auto"/>
                <w:szCs w:val="21"/>
                <w:highlight w:val="none"/>
                <w:lang w:val="en-US" w:eastAsia="zh-CN"/>
              </w:rPr>
              <w:t>5-9</w:t>
            </w:r>
            <w:r>
              <w:rPr>
                <w:rFonts w:hint="eastAsia" w:ascii="宋体" w:hAnsi="宋体" w:eastAsia="宋体" w:cs="宋体"/>
                <w:b w:val="0"/>
                <w:bCs w:val="0"/>
                <w:color w:val="auto"/>
                <w:szCs w:val="21"/>
                <w:highlight w:val="none"/>
              </w:rPr>
              <w:t>分；</w:t>
            </w:r>
          </w:p>
          <w:p>
            <w:pPr>
              <w:keepNext w:val="0"/>
              <w:keepLines w:val="0"/>
              <w:pageBreakBefore w:val="0"/>
              <w:kinsoku/>
              <w:wordWrap/>
              <w:overflowPunct/>
              <w:topLinePunct w:val="0"/>
              <w:autoSpaceDE/>
              <w:autoSpaceDN/>
              <w:bidi w:val="0"/>
              <w:adjustRightInd/>
              <w:snapToGrid/>
              <w:spacing w:beforeAutospacing="0" w:afterAutospacing="0" w:line="300" w:lineRule="auto"/>
              <w:jc w:val="left"/>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lang w:val="en-US" w:eastAsia="zh-CN"/>
              </w:rPr>
              <w:t>4、</w:t>
            </w:r>
            <w:r>
              <w:rPr>
                <w:rFonts w:hint="eastAsia" w:ascii="宋体" w:hAnsi="宋体" w:eastAsia="宋体" w:cs="宋体"/>
                <w:b w:val="0"/>
                <w:bCs w:val="0"/>
                <w:color w:val="auto"/>
                <w:szCs w:val="21"/>
                <w:highlight w:val="none"/>
              </w:rPr>
              <w:t>差：</w:t>
            </w:r>
            <w:r>
              <w:rPr>
                <w:rFonts w:hint="eastAsia" w:ascii="宋体" w:hAnsi="宋体" w:eastAsia="宋体" w:cs="宋体"/>
                <w:b w:val="0"/>
                <w:bCs w:val="0"/>
                <w:color w:val="auto"/>
                <w:szCs w:val="21"/>
                <w:highlight w:val="none"/>
                <w:lang w:eastAsia="zh-CN"/>
              </w:rPr>
              <w:t>检测</w:t>
            </w:r>
            <w:r>
              <w:rPr>
                <w:rFonts w:hint="eastAsia" w:ascii="宋体" w:hAnsi="宋体" w:eastAsia="宋体" w:cs="宋体"/>
                <w:b w:val="0"/>
                <w:bCs w:val="0"/>
                <w:color w:val="auto"/>
                <w:szCs w:val="21"/>
                <w:highlight w:val="none"/>
              </w:rPr>
              <w:t>方案基本内容阐述缺项，方法基本不能满足检测要求，得0-</w:t>
            </w:r>
            <w:r>
              <w:rPr>
                <w:rFonts w:hint="eastAsia" w:ascii="宋体" w:hAnsi="宋体" w:eastAsia="宋体" w:cs="宋体"/>
                <w:b w:val="0"/>
                <w:bCs w:val="0"/>
                <w:color w:val="auto"/>
                <w:szCs w:val="21"/>
                <w:highlight w:val="none"/>
                <w:lang w:val="en-US" w:eastAsia="zh-CN"/>
              </w:rPr>
              <w:t>4</w:t>
            </w:r>
            <w:r>
              <w:rPr>
                <w:rFonts w:hint="eastAsia" w:ascii="宋体" w:hAnsi="宋体" w:eastAsia="宋体" w:cs="宋体"/>
                <w:b w:val="0"/>
                <w:bCs w:val="0"/>
                <w:color w:val="auto"/>
                <w:szCs w:val="21"/>
                <w:highlight w:val="none"/>
              </w:rPr>
              <w:t>分。</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outlineLvl w:val="9"/>
              <w:rPr>
                <w:rFonts w:hint="eastAsia" w:ascii="宋体" w:hAnsi="宋体" w:eastAsia="宋体" w:cs="宋体"/>
                <w:b w:val="0"/>
                <w:bCs w:val="0"/>
                <w:color w:val="auto"/>
                <w:szCs w:val="21"/>
                <w:highlight w:val="none"/>
                <w:lang w:bidi="ar"/>
              </w:rPr>
            </w:pPr>
            <w:r>
              <w:rPr>
                <w:rFonts w:hint="eastAsia" w:ascii="宋体" w:hAnsi="宋体" w:eastAsia="宋体" w:cs="宋体"/>
                <w:b w:val="0"/>
                <w:bCs w:val="0"/>
                <w:color w:val="auto"/>
                <w:kern w:val="2"/>
                <w:sz w:val="21"/>
                <w:szCs w:val="21"/>
                <w:highlight w:val="none"/>
                <w:lang w:val="en-US" w:eastAsia="zh-CN" w:bidi="ar-SA"/>
              </w:rPr>
              <w:t>【注：本项目最多得20分。】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noWrap w:val="0"/>
            <w:vAlign w:val="center"/>
          </w:tcPr>
          <w:p>
            <w:pPr>
              <w:spacing w:line="400" w:lineRule="exact"/>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价格部分</w:t>
            </w:r>
          </w:p>
          <w:p>
            <w:pPr>
              <w:spacing w:line="400" w:lineRule="exact"/>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w:t>
            </w:r>
            <w:r>
              <w:rPr>
                <w:rFonts w:hint="eastAsia" w:ascii="宋体" w:hAnsi="宋体" w:eastAsia="宋体" w:cs="宋体"/>
                <w:b w:val="0"/>
                <w:bCs w:val="0"/>
                <w:color w:val="auto"/>
                <w:szCs w:val="21"/>
                <w:highlight w:val="none"/>
                <w:lang w:val="en-US" w:eastAsia="zh-CN"/>
              </w:rPr>
              <w:t>3</w:t>
            </w:r>
            <w:r>
              <w:rPr>
                <w:rFonts w:hint="eastAsia" w:ascii="宋体" w:hAnsi="宋体" w:eastAsia="宋体" w:cs="宋体"/>
                <w:b w:val="0"/>
                <w:bCs w:val="0"/>
                <w:color w:val="auto"/>
                <w:szCs w:val="21"/>
                <w:highlight w:val="none"/>
                <w:lang w:eastAsia="zh-CN"/>
              </w:rPr>
              <w:t>0</w:t>
            </w:r>
            <w:r>
              <w:rPr>
                <w:rFonts w:hint="eastAsia" w:ascii="宋体" w:hAnsi="宋体" w:eastAsia="宋体" w:cs="宋体"/>
                <w:b w:val="0"/>
                <w:bCs w:val="0"/>
                <w:color w:val="auto"/>
                <w:szCs w:val="21"/>
                <w:highlight w:val="none"/>
              </w:rPr>
              <w:t>分）</w:t>
            </w:r>
          </w:p>
        </w:tc>
        <w:tc>
          <w:tcPr>
            <w:tcW w:w="1101" w:type="dxa"/>
            <w:noWrap w:val="0"/>
            <w:vAlign w:val="center"/>
          </w:tcPr>
          <w:p>
            <w:pPr>
              <w:spacing w:line="400" w:lineRule="exact"/>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投标报价</w:t>
            </w:r>
          </w:p>
        </w:tc>
        <w:tc>
          <w:tcPr>
            <w:tcW w:w="735" w:type="dxa"/>
            <w:noWrap w:val="0"/>
            <w:vAlign w:val="center"/>
          </w:tcPr>
          <w:p>
            <w:pPr>
              <w:spacing w:line="400" w:lineRule="exact"/>
              <w:jc w:val="center"/>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val="en-US" w:eastAsia="zh-CN"/>
              </w:rPr>
              <w:t>3</w:t>
            </w:r>
            <w:r>
              <w:rPr>
                <w:rFonts w:hint="eastAsia" w:ascii="宋体" w:hAnsi="宋体" w:eastAsia="宋体" w:cs="宋体"/>
                <w:b w:val="0"/>
                <w:bCs w:val="0"/>
                <w:color w:val="auto"/>
                <w:szCs w:val="21"/>
                <w:highlight w:val="none"/>
                <w:lang w:eastAsia="zh-CN"/>
              </w:rPr>
              <w:t>0</w:t>
            </w:r>
          </w:p>
        </w:tc>
        <w:tc>
          <w:tcPr>
            <w:tcW w:w="5428" w:type="dxa"/>
            <w:noWrap w:val="0"/>
            <w:vAlign w:val="top"/>
          </w:tcPr>
          <w:p>
            <w:pPr>
              <w:spacing w:line="300" w:lineRule="auto"/>
              <w:ind w:left="0" w:leftChars="0" w:right="0" w:rightChars="0" w:firstLine="0" w:firstLineChars="0"/>
              <w:jc w:val="lef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Cs w:val="21"/>
                <w:highlight w:val="none"/>
                <w:lang w:val="en-US" w:eastAsia="zh-CN"/>
              </w:rPr>
              <w:t>1、</w:t>
            </w:r>
            <w:r>
              <w:rPr>
                <w:rFonts w:hint="eastAsia" w:ascii="宋体" w:hAnsi="宋体" w:eastAsia="宋体" w:cs="宋体"/>
                <w:b w:val="0"/>
                <w:bCs w:val="0"/>
                <w:color w:val="auto"/>
                <w:szCs w:val="21"/>
                <w:highlight w:val="none"/>
                <w:lang w:eastAsia="zh-CN"/>
              </w:rPr>
              <w:t>统计</w:t>
            </w:r>
            <w:r>
              <w:rPr>
                <w:rFonts w:hint="eastAsia" w:ascii="宋体" w:hAnsi="宋体" w:eastAsia="宋体" w:cs="宋体"/>
                <w:b w:val="0"/>
                <w:bCs w:val="0"/>
                <w:color w:val="auto"/>
                <w:szCs w:val="21"/>
                <w:highlight w:val="none"/>
              </w:rPr>
              <w:t>通过</w:t>
            </w:r>
            <w:r>
              <w:rPr>
                <w:rFonts w:hint="eastAsia" w:ascii="宋体" w:hAnsi="宋体" w:eastAsia="宋体" w:cs="宋体"/>
                <w:b w:val="0"/>
                <w:bCs w:val="0"/>
                <w:color w:val="auto"/>
                <w:szCs w:val="21"/>
                <w:highlight w:val="none"/>
                <w:lang w:eastAsia="zh-CN"/>
              </w:rPr>
              <w:t>符合性</w:t>
            </w:r>
            <w:r>
              <w:rPr>
                <w:rFonts w:hint="eastAsia" w:ascii="宋体" w:hAnsi="宋体" w:eastAsia="宋体" w:cs="宋体"/>
                <w:b w:val="0"/>
                <w:bCs w:val="0"/>
                <w:color w:val="auto"/>
                <w:szCs w:val="21"/>
                <w:highlight w:val="none"/>
              </w:rPr>
              <w:t>审查的</w:t>
            </w:r>
            <w:r>
              <w:rPr>
                <w:rFonts w:hint="eastAsia" w:ascii="宋体" w:hAnsi="宋体" w:eastAsia="宋体" w:cs="宋体"/>
                <w:b w:val="0"/>
                <w:bCs w:val="0"/>
                <w:color w:val="auto"/>
                <w:szCs w:val="21"/>
                <w:highlight w:val="none"/>
                <w:lang w:eastAsia="zh-CN"/>
              </w:rPr>
              <w:t>投标单位数量，若数量大于</w:t>
            </w:r>
            <w:r>
              <w:rPr>
                <w:rFonts w:hint="eastAsia" w:ascii="宋体" w:hAnsi="宋体" w:eastAsia="宋体" w:cs="宋体"/>
                <w:b w:val="0"/>
                <w:bCs w:val="0"/>
                <w:color w:val="auto"/>
                <w:szCs w:val="21"/>
                <w:highlight w:val="none"/>
                <w:lang w:val="en-US" w:eastAsia="zh-CN"/>
              </w:rPr>
              <w:t>5家，则按照投标单位的有效</w:t>
            </w:r>
            <w:r>
              <w:rPr>
                <w:rFonts w:hint="eastAsia" w:ascii="宋体" w:hAnsi="宋体" w:eastAsia="宋体" w:cs="宋体"/>
                <w:b w:val="0"/>
                <w:bCs w:val="0"/>
                <w:color w:val="auto"/>
                <w:szCs w:val="21"/>
                <w:highlight w:val="none"/>
              </w:rPr>
              <w:t>报价中，去掉一个最高价和一个最低价后，剩余报价的算术平均值为评标</w:t>
            </w:r>
            <w:r>
              <w:rPr>
                <w:rFonts w:hint="eastAsia" w:ascii="宋体" w:hAnsi="宋体" w:eastAsia="宋体" w:cs="宋体"/>
                <w:b w:val="0"/>
                <w:bCs w:val="0"/>
                <w:color w:val="auto"/>
                <w:szCs w:val="21"/>
                <w:highlight w:val="none"/>
                <w:lang w:eastAsia="zh-CN"/>
              </w:rPr>
              <w:t>基准价；</w:t>
            </w:r>
            <w:r>
              <w:rPr>
                <w:rFonts w:hint="eastAsia" w:ascii="宋体" w:hAnsi="宋体" w:eastAsia="宋体" w:cs="宋体"/>
                <w:b w:val="0"/>
                <w:bCs w:val="0"/>
                <w:color w:val="auto"/>
                <w:szCs w:val="21"/>
                <w:highlight w:val="none"/>
              </w:rPr>
              <w:t>若</w:t>
            </w:r>
            <w:r>
              <w:rPr>
                <w:rFonts w:hint="eastAsia" w:ascii="宋体" w:hAnsi="宋体" w:eastAsia="宋体" w:cs="宋体"/>
                <w:b w:val="0"/>
                <w:bCs w:val="0"/>
                <w:color w:val="auto"/>
                <w:szCs w:val="21"/>
                <w:highlight w:val="none"/>
                <w:lang w:eastAsia="zh-CN"/>
              </w:rPr>
              <w:t>数量小于</w:t>
            </w:r>
            <w:r>
              <w:rPr>
                <w:rFonts w:hint="eastAsia" w:ascii="宋体" w:hAnsi="宋体" w:eastAsia="宋体" w:cs="宋体"/>
                <w:b w:val="0"/>
                <w:bCs w:val="0"/>
                <w:color w:val="auto"/>
                <w:szCs w:val="21"/>
                <w:highlight w:val="none"/>
                <w:lang w:val="en-US" w:eastAsia="zh-CN"/>
              </w:rPr>
              <w:t>5家（含5家）</w:t>
            </w:r>
            <w:r>
              <w:rPr>
                <w:rFonts w:hint="eastAsia" w:ascii="宋体" w:hAnsi="宋体" w:eastAsia="宋体" w:cs="宋体"/>
                <w:b w:val="0"/>
                <w:bCs w:val="0"/>
                <w:color w:val="auto"/>
                <w:szCs w:val="21"/>
                <w:highlight w:val="none"/>
              </w:rPr>
              <w:t>，</w:t>
            </w:r>
            <w:r>
              <w:rPr>
                <w:rFonts w:hint="eastAsia" w:ascii="宋体" w:hAnsi="宋体" w:eastAsia="宋体" w:cs="宋体"/>
                <w:b w:val="0"/>
                <w:bCs w:val="0"/>
                <w:color w:val="auto"/>
                <w:szCs w:val="21"/>
                <w:highlight w:val="none"/>
                <w:lang w:eastAsia="zh-CN"/>
              </w:rPr>
              <w:t>则</w:t>
            </w:r>
            <w:r>
              <w:rPr>
                <w:rFonts w:hint="eastAsia" w:ascii="宋体" w:hAnsi="宋体" w:eastAsia="宋体" w:cs="宋体"/>
                <w:b w:val="0"/>
                <w:bCs w:val="0"/>
                <w:color w:val="auto"/>
                <w:szCs w:val="21"/>
                <w:highlight w:val="none"/>
              </w:rPr>
              <w:t>直接</w:t>
            </w:r>
            <w:r>
              <w:rPr>
                <w:rFonts w:hint="eastAsia" w:ascii="宋体" w:hAnsi="宋体" w:eastAsia="宋体" w:cs="宋体"/>
                <w:b w:val="0"/>
                <w:bCs w:val="0"/>
                <w:color w:val="auto"/>
                <w:szCs w:val="21"/>
                <w:highlight w:val="none"/>
                <w:lang w:eastAsia="zh-CN"/>
              </w:rPr>
              <w:t>取</w:t>
            </w:r>
            <w:r>
              <w:rPr>
                <w:rFonts w:hint="eastAsia" w:ascii="宋体" w:hAnsi="宋体" w:eastAsia="宋体" w:cs="宋体"/>
                <w:b w:val="0"/>
                <w:bCs w:val="0"/>
                <w:color w:val="auto"/>
                <w:szCs w:val="21"/>
                <w:highlight w:val="none"/>
                <w:lang w:val="en-US" w:eastAsia="zh-CN"/>
              </w:rPr>
              <w:t>投标单位的有效</w:t>
            </w:r>
            <w:r>
              <w:rPr>
                <w:rFonts w:hint="eastAsia" w:ascii="宋体" w:hAnsi="宋体" w:eastAsia="宋体" w:cs="宋体"/>
                <w:b w:val="0"/>
                <w:bCs w:val="0"/>
                <w:color w:val="auto"/>
                <w:szCs w:val="21"/>
                <w:highlight w:val="none"/>
              </w:rPr>
              <w:t>报价的算术平均值为评标</w:t>
            </w:r>
            <w:r>
              <w:rPr>
                <w:rFonts w:hint="eastAsia" w:ascii="宋体" w:hAnsi="宋体" w:eastAsia="宋体" w:cs="宋体"/>
                <w:b w:val="0"/>
                <w:bCs w:val="0"/>
                <w:color w:val="auto"/>
                <w:szCs w:val="21"/>
                <w:highlight w:val="none"/>
                <w:lang w:eastAsia="zh-CN"/>
              </w:rPr>
              <w:t>基准价</w:t>
            </w:r>
            <w:r>
              <w:rPr>
                <w:rFonts w:hint="eastAsia" w:ascii="宋体" w:hAnsi="宋体" w:eastAsia="宋体" w:cs="宋体"/>
                <w:b w:val="0"/>
                <w:bCs w:val="0"/>
                <w:color w:val="auto"/>
                <w:szCs w:val="21"/>
                <w:highlight w:val="none"/>
              </w:rPr>
              <w:t>。</w:t>
            </w:r>
          </w:p>
          <w:p>
            <w:pP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以评标</w:t>
            </w:r>
            <w:r>
              <w:rPr>
                <w:rFonts w:hint="eastAsia" w:ascii="宋体" w:hAnsi="宋体" w:eastAsia="宋体" w:cs="宋体"/>
                <w:b w:val="0"/>
                <w:bCs w:val="0"/>
                <w:color w:val="auto"/>
                <w:sz w:val="21"/>
                <w:szCs w:val="21"/>
                <w:highlight w:val="none"/>
                <w:lang w:eastAsia="zh-CN"/>
              </w:rPr>
              <w:t>基准价</w:t>
            </w:r>
            <w:r>
              <w:rPr>
                <w:rFonts w:hint="eastAsia" w:ascii="宋体" w:hAnsi="宋体" w:eastAsia="宋体" w:cs="宋体"/>
                <w:b w:val="0"/>
                <w:bCs w:val="0"/>
                <w:color w:val="auto"/>
                <w:sz w:val="21"/>
                <w:szCs w:val="21"/>
                <w:highlight w:val="none"/>
              </w:rPr>
              <w:t>作为计算各有效投标报价得分的基础，当有效投标报价等于评标基准价时得</w:t>
            </w:r>
            <w:r>
              <w:rPr>
                <w:rFonts w:hint="eastAsia" w:ascii="宋体" w:hAnsi="宋体" w:eastAsia="宋体" w:cs="宋体"/>
                <w:b w:val="0"/>
                <w:bCs w:val="0"/>
                <w:color w:val="auto"/>
                <w:sz w:val="21"/>
                <w:szCs w:val="21"/>
                <w:highlight w:val="none"/>
                <w:lang w:eastAsia="zh-CN"/>
              </w:rPr>
              <w:t>3</w:t>
            </w:r>
            <w:r>
              <w:rPr>
                <w:rFonts w:hint="eastAsia" w:ascii="宋体" w:hAnsi="宋体" w:eastAsia="宋体" w:cs="宋体"/>
                <w:b w:val="0"/>
                <w:bCs w:val="0"/>
                <w:color w:val="auto"/>
                <w:sz w:val="21"/>
                <w:szCs w:val="21"/>
                <w:highlight w:val="none"/>
              </w:rPr>
              <w:t>0分；有效投标报价与评标基准价相比，每上偏1%扣1分，每下偏 1 %扣 0.5分。最多扣</w:t>
            </w: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0分。</w:t>
            </w:r>
          </w:p>
        </w:tc>
      </w:tr>
    </w:tbl>
    <w:p>
      <w:pPr>
        <w:snapToGrid w:val="0"/>
        <w:ind w:left="74"/>
        <w:rPr>
          <w:rFonts w:ascii="仿宋" w:hAnsi="仿宋" w:eastAsia="仿宋" w:cs="宋体"/>
          <w:color w:val="auto"/>
          <w:sz w:val="24"/>
          <w:highlight w:val="none"/>
        </w:rPr>
      </w:pPr>
      <w:r>
        <w:rPr>
          <w:rFonts w:hint="eastAsia" w:ascii="仿宋" w:hAnsi="仿宋" w:eastAsia="仿宋" w:cs="宋体"/>
          <w:color w:val="auto"/>
          <w:sz w:val="24"/>
          <w:highlight w:val="none"/>
        </w:rPr>
        <w:t xml:space="preserve"> </w:t>
      </w:r>
    </w:p>
    <w:p>
      <w:pPr>
        <w:spacing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说明：</w:t>
      </w:r>
    </w:p>
    <w:p>
      <w:pPr>
        <w:spacing w:line="320" w:lineRule="exact"/>
        <w:ind w:firstLine="420" w:firstLineChars="200"/>
        <w:jc w:val="left"/>
        <w:rPr>
          <w:rFonts w:ascii="宋体" w:hAnsi="宋体" w:cs="宋体"/>
          <w:color w:val="auto"/>
          <w:szCs w:val="18"/>
          <w:highlight w:val="none"/>
        </w:rPr>
      </w:pPr>
      <w:r>
        <w:rPr>
          <w:rFonts w:hint="eastAsia" w:ascii="宋体" w:hAnsi="宋体" w:cs="宋体"/>
          <w:color w:val="auto"/>
          <w:szCs w:val="18"/>
          <w:highlight w:val="none"/>
        </w:rPr>
        <w:t>1、企</w:t>
      </w:r>
      <w:r>
        <w:rPr>
          <w:rFonts w:hint="eastAsia" w:hAnsi="宋体" w:cs="宋体"/>
          <w:color w:val="auto"/>
          <w:szCs w:val="18"/>
          <w:highlight w:val="none"/>
        </w:rPr>
        <w:t>业业绩认定证明材料需提供合同复印件；业绩认定时间以合同签订时间为准。如业绩资料不能证明评标所需指标，须另提供经业主确认的证明资料复印件。</w:t>
      </w:r>
    </w:p>
    <w:p>
      <w:pPr>
        <w:spacing w:line="320" w:lineRule="exact"/>
        <w:ind w:firstLine="420" w:firstLineChars="200"/>
        <w:jc w:val="left"/>
        <w:rPr>
          <w:rFonts w:ascii="宋体" w:hAnsi="宋体" w:cs="宋体"/>
          <w:color w:val="auto"/>
          <w:szCs w:val="18"/>
          <w:highlight w:val="none"/>
        </w:rPr>
      </w:pPr>
      <w:r>
        <w:rPr>
          <w:rFonts w:hint="eastAsia" w:ascii="宋体" w:hAnsi="宋体" w:cs="宋体"/>
          <w:color w:val="auto"/>
          <w:szCs w:val="18"/>
          <w:highlight w:val="none"/>
          <w:lang w:val="en-US" w:eastAsia="zh-CN"/>
        </w:rPr>
        <w:t>2</w:t>
      </w:r>
      <w:r>
        <w:rPr>
          <w:rFonts w:hint="eastAsia" w:ascii="宋体" w:hAnsi="宋体" w:cs="宋体"/>
          <w:color w:val="auto"/>
          <w:szCs w:val="18"/>
          <w:highlight w:val="none"/>
        </w:rPr>
        <w:t>、</w:t>
      </w:r>
      <w:r>
        <w:rPr>
          <w:rFonts w:hint="eastAsia" w:ascii="宋体" w:hAnsi="宋体" w:cs="宋体"/>
          <w:color w:val="auto"/>
          <w:szCs w:val="21"/>
          <w:highlight w:val="none"/>
        </w:rPr>
        <w:t>人员配备及技术水平</w:t>
      </w:r>
      <w:r>
        <w:rPr>
          <w:rFonts w:hint="eastAsia" w:ascii="宋体" w:hAnsi="宋体" w:cs="宋体"/>
          <w:color w:val="auto"/>
          <w:spacing w:val="4"/>
          <w:szCs w:val="21"/>
          <w:highlight w:val="none"/>
        </w:rPr>
        <w:t>：</w:t>
      </w:r>
      <w:r>
        <w:rPr>
          <w:rFonts w:ascii="宋体" w:hAnsi="宋体" w:cs="宋体"/>
          <w:color w:val="auto"/>
          <w:szCs w:val="18"/>
          <w:highlight w:val="none"/>
        </w:rPr>
        <w:t>所提供的投入人员必须为投标单位人员，以提供投标人为其购买的</w:t>
      </w:r>
      <w:r>
        <w:rPr>
          <w:rFonts w:hint="eastAsia" w:ascii="宋体" w:hAnsi="宋体" w:cs="宋体"/>
          <w:color w:val="auto"/>
          <w:szCs w:val="18"/>
          <w:highlight w:val="none"/>
        </w:rPr>
        <w:t>投标截止日前一个月（202</w:t>
      </w:r>
      <w:r>
        <w:rPr>
          <w:rFonts w:hint="eastAsia" w:ascii="宋体" w:hAnsi="宋体" w:cs="宋体"/>
          <w:color w:val="auto"/>
          <w:szCs w:val="18"/>
          <w:highlight w:val="none"/>
          <w:lang w:val="en-US" w:eastAsia="zh-CN"/>
        </w:rPr>
        <w:t>3</w:t>
      </w:r>
      <w:r>
        <w:rPr>
          <w:rFonts w:hint="eastAsia" w:ascii="宋体" w:hAnsi="宋体" w:cs="宋体"/>
          <w:color w:val="auto"/>
          <w:szCs w:val="18"/>
          <w:highlight w:val="none"/>
        </w:rPr>
        <w:t>年</w:t>
      </w:r>
      <w:r>
        <w:rPr>
          <w:rFonts w:hint="eastAsia" w:ascii="宋体" w:hAnsi="宋体" w:cs="宋体"/>
          <w:color w:val="auto"/>
          <w:szCs w:val="18"/>
          <w:highlight w:val="none"/>
          <w:lang w:val="en-US" w:eastAsia="zh-CN"/>
        </w:rPr>
        <w:t>2</w:t>
      </w:r>
      <w:r>
        <w:rPr>
          <w:rFonts w:hint="eastAsia" w:ascii="宋体" w:hAnsi="宋体" w:cs="宋体"/>
          <w:color w:val="auto"/>
          <w:szCs w:val="18"/>
          <w:highlight w:val="none"/>
        </w:rPr>
        <w:t>月）的</w:t>
      </w:r>
      <w:r>
        <w:rPr>
          <w:rFonts w:ascii="宋体" w:hAnsi="宋体" w:cs="宋体"/>
          <w:color w:val="auto"/>
          <w:szCs w:val="18"/>
          <w:highlight w:val="none"/>
        </w:rPr>
        <w:t>社保证明为准。</w:t>
      </w:r>
    </w:p>
    <w:p>
      <w:pPr>
        <w:snapToGrid w:val="0"/>
        <w:ind w:left="74" w:firstLine="420" w:firstLineChars="200"/>
        <w:rPr>
          <w:rFonts w:ascii="仿宋" w:hAnsi="仿宋" w:eastAsia="仿宋" w:cs="仿宋"/>
          <w:color w:val="auto"/>
          <w:szCs w:val="21"/>
          <w:highlight w:val="none"/>
        </w:rPr>
      </w:pPr>
      <w:r>
        <w:rPr>
          <w:rFonts w:hint="eastAsia" w:ascii="宋体" w:hAnsi="宋体" w:cs="宋体"/>
          <w:color w:val="auto"/>
          <w:szCs w:val="18"/>
          <w:highlight w:val="none"/>
          <w:lang w:val="en-US" w:eastAsia="zh-CN"/>
        </w:rPr>
        <w:t>3</w:t>
      </w:r>
      <w:r>
        <w:rPr>
          <w:rFonts w:hint="eastAsia" w:ascii="宋体" w:hAnsi="宋体" w:cs="宋体"/>
          <w:color w:val="auto"/>
          <w:szCs w:val="18"/>
          <w:highlight w:val="none"/>
        </w:rPr>
        <w:t>、本表中所有要求提供的证明资料复印件均需加盖投标人公章。未提供证明资料或提供的证明材料不齐全、不符合要求的，不得分。</w:t>
      </w:r>
    </w:p>
    <w:p>
      <w:pPr>
        <w:snapToGrid/>
        <w:spacing w:line="240" w:lineRule="auto"/>
        <w:jc w:val="left"/>
        <w:rPr>
          <w:rFonts w:hint="eastAsia" w:ascii="宋体" w:hAnsi="宋体"/>
          <w:color w:val="auto"/>
          <w:sz w:val="24"/>
          <w:highlight w:val="none"/>
        </w:rPr>
      </w:pPr>
      <w:r>
        <w:rPr>
          <w:rFonts w:hint="eastAsia" w:ascii="宋体" w:hAnsi="宋体"/>
          <w:color w:val="auto"/>
          <w:sz w:val="24"/>
          <w:highlight w:val="none"/>
        </w:rPr>
        <w:br w:type="page"/>
      </w: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附件3：</w:t>
      </w:r>
    </w:p>
    <w:p>
      <w:pPr>
        <w:shd w:val="clear" w:color="auto" w:fill="FFFFFF"/>
        <w:spacing w:line="360" w:lineRule="auto"/>
        <w:jc w:val="center"/>
        <w:rPr>
          <w:rFonts w:ascii="宋体" w:hAnsi="宋体" w:cs="宋体"/>
          <w:b/>
          <w:bCs/>
          <w:color w:val="auto"/>
          <w:sz w:val="30"/>
          <w:szCs w:val="30"/>
        </w:rPr>
      </w:pPr>
      <w:r>
        <w:rPr>
          <w:rFonts w:hint="eastAsia" w:ascii="宋体" w:hAnsi="宋体" w:cs="宋体"/>
          <w:b/>
          <w:bCs/>
          <w:color w:val="auto"/>
          <w:sz w:val="30"/>
          <w:szCs w:val="30"/>
        </w:rPr>
        <w:t>投标人声明</w:t>
      </w:r>
    </w:p>
    <w:p>
      <w:pPr>
        <w:spacing w:before="156" w:beforeLines="50" w:line="360" w:lineRule="auto"/>
        <w:jc w:val="left"/>
        <w:rPr>
          <w:color w:val="auto"/>
          <w:kern w:val="0"/>
          <w:sz w:val="24"/>
          <w:szCs w:val="24"/>
        </w:rPr>
      </w:pPr>
      <w:r>
        <w:rPr>
          <w:rFonts w:hint="eastAsia" w:ascii="宋体" w:hAnsi="宋体" w:cs="宋体"/>
          <w:color w:val="auto"/>
          <w:kern w:val="0"/>
          <w:sz w:val="24"/>
          <w:szCs w:val="24"/>
        </w:rPr>
        <w:t>本招标项目招标人及招标监管机构：</w:t>
      </w:r>
    </w:p>
    <w:p>
      <w:pPr>
        <w:spacing w:line="360" w:lineRule="auto"/>
        <w:ind w:firstLine="567"/>
        <w:jc w:val="left"/>
        <w:rPr>
          <w:rFonts w:cs="宋体"/>
          <w:color w:val="auto"/>
          <w:kern w:val="0"/>
          <w:sz w:val="24"/>
          <w:szCs w:val="24"/>
        </w:rPr>
      </w:pPr>
      <w:r>
        <w:rPr>
          <w:rFonts w:hint="eastAsia" w:ascii="宋体" w:hAnsi="宋体" w:cs="宋体"/>
          <w:color w:val="auto"/>
          <w:kern w:val="0"/>
          <w:sz w:val="24"/>
          <w:szCs w:val="24"/>
        </w:rPr>
        <w:t>本公司就参加投标工作，作出郑重声明：</w:t>
      </w:r>
    </w:p>
    <w:p>
      <w:pPr>
        <w:spacing w:line="360" w:lineRule="auto"/>
        <w:ind w:firstLine="567"/>
        <w:jc w:val="left"/>
        <w:rPr>
          <w:rFonts w:cs="宋体"/>
          <w:color w:val="auto"/>
          <w:kern w:val="0"/>
          <w:sz w:val="24"/>
          <w:szCs w:val="24"/>
        </w:rPr>
      </w:pPr>
      <w:r>
        <w:rPr>
          <w:rFonts w:hint="eastAsia" w:ascii="宋体" w:hAnsi="宋体" w:cs="宋体"/>
          <w:color w:val="auto"/>
          <w:kern w:val="0"/>
          <w:sz w:val="24"/>
          <w:szCs w:val="24"/>
        </w:rPr>
        <w:t>一、本公司保证投标报名材料及其后提供的一切材料都是真实的。如我司成为本项目中标候选人，我司同意并授权招标人将我司投标文件商务部分的人员、业绩、奖项等资料进行公开。</w:t>
      </w:r>
    </w:p>
    <w:p>
      <w:pPr>
        <w:spacing w:line="360" w:lineRule="auto"/>
        <w:ind w:firstLine="567"/>
        <w:jc w:val="left"/>
        <w:rPr>
          <w:rFonts w:cs="宋体"/>
          <w:color w:val="auto"/>
          <w:kern w:val="0"/>
          <w:sz w:val="24"/>
          <w:szCs w:val="24"/>
        </w:rPr>
      </w:pPr>
      <w:r>
        <w:rPr>
          <w:rFonts w:hint="eastAsia" w:ascii="宋体" w:hAnsi="宋体" w:cs="宋体"/>
          <w:color w:val="auto"/>
          <w:kern w:val="0"/>
          <w:sz w:val="24"/>
          <w:szCs w:val="24"/>
        </w:rPr>
        <w:t>二、本公司保证在本项目投标中不与其他单位围标、串标，不出让投标资格，不向招标人或评标委员会成员行贿。</w:t>
      </w:r>
    </w:p>
    <w:p>
      <w:pPr>
        <w:spacing w:line="360" w:lineRule="auto"/>
        <w:ind w:firstLine="567"/>
        <w:jc w:val="left"/>
        <w:rPr>
          <w:rFonts w:cs="宋体"/>
          <w:color w:val="auto"/>
          <w:kern w:val="0"/>
          <w:sz w:val="24"/>
          <w:szCs w:val="24"/>
        </w:rPr>
      </w:pPr>
      <w:r>
        <w:rPr>
          <w:rFonts w:hint="eastAsia" w:ascii="宋体" w:hAnsi="宋体" w:cs="宋体"/>
          <w:color w:val="auto"/>
          <w:kern w:val="0"/>
          <w:sz w:val="24"/>
          <w:szCs w:val="24"/>
        </w:rPr>
        <w:t>三、本公司没有处于被责令停业的状态；没有处于被建设行政主管部门取消投标资格的处罚期内；没有处于财产被接管、冻结、破产的状态；本公司没有在投标截止时间前三年内被人民法院判决犯有行贿罪的记录。投标截止日期前三年内，本公司没有弄虚作假骗取中标、围标串标行为（以行政主管部门或法院或检察院书面认定为准），本公司没有被人民法院列入失信被执行人名单。在投标截止日期前三年内没有建设行政主管部门已书面认定的重大工程质量问题。本公司未在以往工程中因不诚信行为或不充分履约行为被本项目招标人书面拒绝投标；本公司未被纳入联合惩戒范围。</w:t>
      </w:r>
    </w:p>
    <w:p>
      <w:pPr>
        <w:spacing w:line="360" w:lineRule="auto"/>
        <w:ind w:firstLine="567"/>
        <w:jc w:val="left"/>
        <w:rPr>
          <w:rFonts w:ascii="宋体" w:hAnsi="宋体" w:cs="宋体"/>
          <w:color w:val="auto"/>
          <w:kern w:val="0"/>
          <w:sz w:val="24"/>
          <w:szCs w:val="24"/>
        </w:rPr>
      </w:pPr>
      <w:r>
        <w:rPr>
          <w:rFonts w:hint="eastAsia"/>
          <w:b/>
          <w:color w:val="auto"/>
          <w:kern w:val="0"/>
          <w:sz w:val="24"/>
          <w:szCs w:val="24"/>
        </w:rPr>
        <w:t>四、</w:t>
      </w:r>
      <w:r>
        <w:rPr>
          <w:rFonts w:hint="eastAsia"/>
          <w:b/>
          <w:bCs/>
          <w:color w:val="auto"/>
          <w:kern w:val="0"/>
          <w:sz w:val="24"/>
          <w:szCs w:val="24"/>
        </w:rPr>
        <w:t>本公司</w:t>
      </w:r>
      <w:r>
        <w:rPr>
          <w:rFonts w:hint="eastAsia"/>
          <w:b/>
          <w:bCs/>
          <w:color w:val="auto"/>
          <w:kern w:val="0"/>
          <w:sz w:val="24"/>
          <w:szCs w:val="24"/>
          <w:lang w:eastAsia="zh-CN"/>
        </w:rPr>
        <w:t>自</w:t>
      </w:r>
      <w:r>
        <w:rPr>
          <w:rFonts w:hint="eastAsia" w:asciiTheme="minorHAnsi" w:hAnsiTheme="minorHAnsi" w:eastAsiaTheme="minorEastAsia" w:cstheme="minorBidi"/>
          <w:b/>
          <w:bCs/>
          <w:color w:val="auto"/>
          <w:kern w:val="0"/>
          <w:sz w:val="24"/>
          <w:szCs w:val="24"/>
          <w:highlight w:val="none"/>
          <w:u w:val="none"/>
        </w:rPr>
        <w:t>20</w:t>
      </w:r>
      <w:r>
        <w:rPr>
          <w:rFonts w:hint="eastAsia" w:cstheme="minorBidi"/>
          <w:b/>
          <w:bCs/>
          <w:color w:val="auto"/>
          <w:kern w:val="0"/>
          <w:sz w:val="24"/>
          <w:szCs w:val="24"/>
          <w:highlight w:val="none"/>
          <w:u w:val="none"/>
          <w:lang w:val="en-US" w:eastAsia="zh-CN"/>
        </w:rPr>
        <w:t>20</w:t>
      </w:r>
      <w:r>
        <w:rPr>
          <w:rFonts w:hint="eastAsia" w:asciiTheme="minorHAnsi" w:hAnsiTheme="minorHAnsi" w:eastAsiaTheme="minorEastAsia" w:cstheme="minorBidi"/>
          <w:b/>
          <w:bCs/>
          <w:color w:val="auto"/>
          <w:kern w:val="0"/>
          <w:sz w:val="24"/>
          <w:szCs w:val="24"/>
          <w:highlight w:val="none"/>
          <w:u w:val="none"/>
        </w:rPr>
        <w:t>年1月1日</w:t>
      </w:r>
      <w:r>
        <w:rPr>
          <w:rFonts w:hint="eastAsia"/>
          <w:b/>
          <w:bCs/>
          <w:color w:val="auto"/>
          <w:kern w:val="0"/>
          <w:sz w:val="24"/>
          <w:szCs w:val="24"/>
        </w:rPr>
        <w:t>起至投标截止时间止</w:t>
      </w:r>
      <w:r>
        <w:rPr>
          <w:rFonts w:hint="eastAsia"/>
          <w:b/>
          <w:bCs/>
          <w:color w:val="auto"/>
          <w:kern w:val="0"/>
          <w:sz w:val="24"/>
          <w:szCs w:val="24"/>
          <w:lang w:eastAsia="zh-CN"/>
        </w:rPr>
        <w:t>，</w:t>
      </w:r>
      <w:r>
        <w:rPr>
          <w:rFonts w:hint="eastAsia"/>
          <w:b/>
          <w:bCs/>
          <w:color w:val="auto"/>
          <w:kern w:val="0"/>
          <w:sz w:val="24"/>
          <w:szCs w:val="24"/>
        </w:rPr>
        <w:t>未因以往检测工作中存在伪造检测数据、出具虚假检测报告的行为被各级建设行政主管部门或市场监督管理部门行政处罚或通报。</w:t>
      </w:r>
    </w:p>
    <w:p>
      <w:pPr>
        <w:spacing w:line="360" w:lineRule="auto"/>
        <w:ind w:firstLine="567"/>
        <w:jc w:val="left"/>
        <w:rPr>
          <w:rFonts w:cs="宋体"/>
          <w:color w:val="auto"/>
          <w:kern w:val="0"/>
          <w:sz w:val="24"/>
          <w:szCs w:val="24"/>
        </w:rPr>
      </w:pPr>
      <w:r>
        <w:rPr>
          <w:rFonts w:hint="eastAsia" w:ascii="宋体" w:hAnsi="宋体" w:cs="宋体"/>
          <w:color w:val="auto"/>
          <w:kern w:val="0"/>
          <w:sz w:val="24"/>
          <w:szCs w:val="24"/>
        </w:rPr>
        <w:t>五、本公司及其有隶属关系的机构没有参加本项目的设计、前期工作、招标文件编写、监理工作；本公司与承担本招标项目施工和监理业务的单位没有隶属关系或其他利害关系；本公司与本次招标的招标代理机构没有隶属关系或其他利害关系；本公司与本工程的承包单位以及建筑材料、建筑构配件和设备供应单位没有隶属关系或其他利害关系。</w:t>
      </w:r>
    </w:p>
    <w:p>
      <w:pPr>
        <w:spacing w:line="360" w:lineRule="auto"/>
        <w:ind w:firstLine="567"/>
        <w:jc w:val="left"/>
        <w:rPr>
          <w:rFonts w:cs="宋体"/>
          <w:b/>
          <w:bCs/>
          <w:color w:val="auto"/>
          <w:kern w:val="0"/>
          <w:sz w:val="24"/>
          <w:szCs w:val="24"/>
        </w:rPr>
      </w:pPr>
      <w:r>
        <w:rPr>
          <w:rFonts w:hint="eastAsia" w:ascii="宋体" w:hAnsi="宋体" w:cs="宋体"/>
          <w:b/>
          <w:bCs/>
          <w:color w:val="auto"/>
          <w:kern w:val="0"/>
          <w:sz w:val="24"/>
          <w:szCs w:val="24"/>
        </w:rPr>
        <w:t>六、与本公司单位负责人为同一人或者与本公司存在控股、管理关系的其他单位包括</w:t>
      </w:r>
      <w:r>
        <w:rPr>
          <w:rFonts w:hint="eastAsia" w:ascii="宋体" w:hAnsi="宋体" w:cs="宋体"/>
          <w:b/>
          <w:bCs/>
          <w:color w:val="auto"/>
          <w:kern w:val="0"/>
          <w:sz w:val="24"/>
          <w:szCs w:val="24"/>
          <w:u w:val="single"/>
        </w:rPr>
        <w:t xml:space="preserve">             </w:t>
      </w:r>
      <w:r>
        <w:rPr>
          <w:rFonts w:hint="eastAsia" w:ascii="宋体" w:hAnsi="宋体" w:cs="宋体"/>
          <w:b/>
          <w:bCs/>
          <w:color w:val="auto"/>
          <w:kern w:val="0"/>
          <w:sz w:val="24"/>
          <w:szCs w:val="24"/>
        </w:rPr>
        <w:t>。（注：本条由投标人如实填写，如有，应列出全部满足招标公告资质要求的相关单位的名称；如无，则填写</w:t>
      </w:r>
      <w:r>
        <w:rPr>
          <w:rFonts w:hint="eastAsia" w:cs="宋体"/>
          <w:b/>
          <w:bCs/>
          <w:color w:val="auto"/>
          <w:kern w:val="0"/>
          <w:sz w:val="24"/>
          <w:szCs w:val="24"/>
        </w:rPr>
        <w:t>“无”。）</w:t>
      </w:r>
    </w:p>
    <w:p>
      <w:pPr>
        <w:spacing w:line="360" w:lineRule="auto"/>
        <w:ind w:firstLine="567"/>
        <w:jc w:val="left"/>
        <w:rPr>
          <w:rFonts w:cs="宋体"/>
          <w:color w:val="auto"/>
          <w:kern w:val="0"/>
          <w:sz w:val="24"/>
          <w:szCs w:val="24"/>
        </w:rPr>
      </w:pPr>
      <w:r>
        <w:rPr>
          <w:rFonts w:hint="eastAsia" w:ascii="宋体" w:hAnsi="宋体" w:cs="宋体"/>
          <w:color w:val="auto"/>
          <w:kern w:val="0"/>
          <w:sz w:val="24"/>
          <w:szCs w:val="24"/>
        </w:rPr>
        <w:t>七、本公司承诺，中标后严格执行安全生产相关管理规定。</w:t>
      </w:r>
    </w:p>
    <w:p>
      <w:pPr>
        <w:spacing w:line="360" w:lineRule="auto"/>
        <w:ind w:firstLine="567"/>
        <w:jc w:val="left"/>
        <w:rPr>
          <w:rFonts w:cs="宋体"/>
          <w:color w:val="auto"/>
          <w:kern w:val="0"/>
          <w:sz w:val="24"/>
          <w:szCs w:val="24"/>
        </w:rPr>
      </w:pPr>
      <w:r>
        <w:rPr>
          <w:rFonts w:hint="eastAsia" w:ascii="宋体" w:hAnsi="宋体" w:cs="宋体"/>
          <w:color w:val="auto"/>
          <w:kern w:val="0"/>
          <w:sz w:val="24"/>
          <w:szCs w:val="24"/>
        </w:rPr>
        <w:t>八、本公司承诺，中标后严格按照合同和招投标文件规定履行义务，并同意招标人将其履行合同、招投标文件义务的履约情况和不诚信行为（包括但不限于由招标人做出的违约责任处理决定等）在招标人网站和建设主管部门网站及其他媒体上公开披露，由此造成的一切损失和不利后果均由本公司自行承担。</w:t>
      </w:r>
    </w:p>
    <w:p>
      <w:pPr>
        <w:spacing w:line="360" w:lineRule="auto"/>
        <w:ind w:firstLine="567"/>
        <w:jc w:val="left"/>
        <w:rPr>
          <w:rFonts w:cs="宋体"/>
          <w:color w:val="auto"/>
          <w:kern w:val="0"/>
          <w:sz w:val="24"/>
          <w:szCs w:val="24"/>
        </w:rPr>
      </w:pPr>
      <w:r>
        <w:rPr>
          <w:rFonts w:hint="eastAsia" w:ascii="宋体" w:hAnsi="宋体" w:cs="宋体"/>
          <w:color w:val="auto"/>
          <w:kern w:val="0"/>
          <w:sz w:val="24"/>
          <w:szCs w:val="24"/>
        </w:rPr>
        <w:t>本公司违反上述承诺，或本声明陈述与事实不符，经查实，本公司愿意接受公开通报，愿意按照《广州市建筑市场信用管理办法》（穗建规字﹝2020﹞16号）的规定被记录为失信信息，承担由此带来的法律后果，并自愿停止参加广州市行政辖区内的招标投标活动三个月。</w:t>
      </w:r>
    </w:p>
    <w:p>
      <w:pPr>
        <w:spacing w:line="360" w:lineRule="auto"/>
        <w:ind w:firstLine="567"/>
        <w:jc w:val="left"/>
        <w:rPr>
          <w:rFonts w:cs="宋体"/>
          <w:color w:val="auto"/>
          <w:kern w:val="0"/>
          <w:sz w:val="24"/>
          <w:szCs w:val="24"/>
        </w:rPr>
      </w:pPr>
      <w:r>
        <w:rPr>
          <w:rFonts w:hint="eastAsia" w:ascii="宋体" w:hAnsi="宋体" w:cs="宋体"/>
          <w:color w:val="auto"/>
          <w:kern w:val="0"/>
          <w:sz w:val="24"/>
          <w:szCs w:val="24"/>
        </w:rPr>
        <w:t>特此声明。</w:t>
      </w:r>
    </w:p>
    <w:p>
      <w:pPr>
        <w:spacing w:line="360" w:lineRule="auto"/>
        <w:rPr>
          <w:rFonts w:ascii="宋体" w:hAnsi="宋体" w:cs="宋体"/>
          <w:color w:val="auto"/>
          <w:szCs w:val="21"/>
        </w:rPr>
      </w:pPr>
    </w:p>
    <w:p>
      <w:pPr>
        <w:spacing w:line="360" w:lineRule="auto"/>
        <w:rPr>
          <w:rFonts w:ascii="宋体" w:hAnsi="宋体" w:cs="宋体"/>
          <w:color w:val="auto"/>
        </w:rPr>
      </w:pPr>
    </w:p>
    <w:p>
      <w:pPr>
        <w:spacing w:line="360" w:lineRule="auto"/>
        <w:ind w:firstLine="3402"/>
        <w:jc w:val="left"/>
        <w:rPr>
          <w:rFonts w:cs="宋体"/>
          <w:color w:val="auto"/>
          <w:kern w:val="0"/>
          <w:sz w:val="24"/>
          <w:szCs w:val="24"/>
        </w:rPr>
      </w:pPr>
      <w:r>
        <w:rPr>
          <w:rFonts w:hint="eastAsia" w:ascii="宋体" w:hAnsi="宋体" w:cs="宋体"/>
          <w:color w:val="auto"/>
          <w:kern w:val="0"/>
          <w:sz w:val="24"/>
          <w:szCs w:val="24"/>
        </w:rPr>
        <w:t>投标单位（盖公章）：</w:t>
      </w:r>
    </w:p>
    <w:p>
      <w:pPr>
        <w:spacing w:line="360" w:lineRule="auto"/>
        <w:ind w:firstLine="3402"/>
        <w:jc w:val="left"/>
        <w:rPr>
          <w:rFonts w:cs="宋体"/>
          <w:color w:val="auto"/>
          <w:kern w:val="0"/>
          <w:sz w:val="24"/>
          <w:szCs w:val="24"/>
        </w:rPr>
      </w:pPr>
      <w:r>
        <w:rPr>
          <w:rFonts w:hint="eastAsia" w:ascii="宋体" w:hAnsi="宋体" w:cs="宋体"/>
          <w:color w:val="auto"/>
          <w:kern w:val="0"/>
          <w:sz w:val="24"/>
          <w:szCs w:val="24"/>
        </w:rPr>
        <w:t>法定代表人或授权委托人（签字或盖章）：</w:t>
      </w:r>
    </w:p>
    <w:p>
      <w:pPr>
        <w:spacing w:line="360" w:lineRule="auto"/>
        <w:ind w:firstLine="3402"/>
        <w:jc w:val="left"/>
        <w:rPr>
          <w:rFonts w:hint="eastAsia" w:ascii="宋体" w:hAnsi="宋体" w:cs="宋体"/>
          <w:color w:val="auto"/>
          <w:kern w:val="0"/>
          <w:sz w:val="24"/>
          <w:szCs w:val="24"/>
        </w:rPr>
      </w:pPr>
      <w:r>
        <w:rPr>
          <w:rFonts w:hint="eastAsia" w:ascii="宋体" w:hAnsi="宋体" w:cs="宋体"/>
          <w:color w:val="auto"/>
          <w:kern w:val="0"/>
          <w:sz w:val="24"/>
          <w:szCs w:val="24"/>
        </w:rPr>
        <w:t xml:space="preserve">日  期：   年   月   </w:t>
      </w:r>
    </w:p>
    <w:p>
      <w:pPr>
        <w:rPr>
          <w:color w:val="auto"/>
        </w:rPr>
      </w:pPr>
    </w:p>
    <w:p>
      <w:pPr>
        <w:spacing w:line="360" w:lineRule="auto"/>
        <w:rPr>
          <w:rFonts w:ascii="仿宋_GB2312" w:hAnsi="仿宋_GB2312" w:eastAsia="仿宋_GB2312" w:cs="仿宋_GB2312"/>
          <w:bCs/>
          <w:color w:val="auto"/>
          <w:sz w:val="32"/>
          <w:szCs w:val="32"/>
          <w:highlight w:val="none"/>
        </w:rPr>
      </w:pPr>
    </w:p>
    <w:p>
      <w:pPr>
        <w:rPr>
          <w:rFonts w:hint="default"/>
          <w:color w:val="auto"/>
          <w:highlight w:val="none"/>
        </w:rPr>
      </w:pPr>
      <w:r>
        <w:rPr>
          <w:rFonts w:hint="default"/>
          <w:color w:val="auto"/>
          <w:highlight w:val="none"/>
        </w:rPr>
        <w:br w:type="page"/>
      </w:r>
    </w:p>
    <w:p>
      <w:pPr>
        <w:spacing w:line="360" w:lineRule="auto"/>
        <w:rPr>
          <w:rFonts w:hint="eastAsia"/>
          <w:lang w:val="en-US" w:eastAsia="zh-CN"/>
        </w:rPr>
      </w:pPr>
      <w:r>
        <w:rPr>
          <w:rFonts w:hint="eastAsia"/>
          <w:lang w:eastAsia="zh-CN"/>
        </w:rPr>
        <w:t>附件</w:t>
      </w:r>
      <w:r>
        <w:rPr>
          <w:rFonts w:hint="eastAsia"/>
          <w:lang w:val="en-US" w:eastAsia="zh-CN"/>
        </w:rPr>
        <w:t>4：</w:t>
      </w:r>
    </w:p>
    <w:p>
      <w:pPr>
        <w:pStyle w:val="2"/>
        <w:jc w:val="center"/>
        <w:rPr>
          <w:rFonts w:hint="eastAsia"/>
          <w:b/>
          <w:bCs/>
          <w:sz w:val="44"/>
          <w:szCs w:val="44"/>
          <w:lang w:val="en-US" w:eastAsia="zh-CN"/>
        </w:rPr>
      </w:pPr>
      <w:r>
        <w:rPr>
          <w:rFonts w:hint="eastAsia"/>
          <w:b/>
          <w:bCs/>
          <w:sz w:val="44"/>
          <w:szCs w:val="44"/>
          <w:lang w:val="en-US" w:eastAsia="zh-CN"/>
        </w:rPr>
        <w:t>招标人要求</w:t>
      </w:r>
    </w:p>
    <w:p>
      <w:pPr>
        <w:spacing w:line="360" w:lineRule="auto"/>
        <w:rPr>
          <w:rFonts w:hint="eastAsia"/>
          <w:lang w:val="en-US" w:eastAsia="zh-CN"/>
        </w:rPr>
      </w:pPr>
    </w:p>
    <w:p>
      <w:pPr>
        <w:pStyle w:val="37"/>
        <w:snapToGrid w:val="0"/>
        <w:spacing w:line="360" w:lineRule="auto"/>
        <w:ind w:firstLine="0" w:firstLineChars="0"/>
        <w:rPr>
          <w:rFonts w:hint="eastAsia" w:ascii="宋体" w:hAnsi="宋体" w:eastAsia="宋体" w:cs="宋体"/>
          <w:snapToGrid w:val="0"/>
          <w:color w:val="auto"/>
          <w:kern w:val="28"/>
          <w:highlight w:val="none"/>
        </w:rPr>
      </w:pPr>
      <w:bookmarkStart w:id="48" w:name="_Toc29812"/>
      <w:bookmarkEnd w:id="48"/>
      <w:r>
        <w:rPr>
          <w:rFonts w:hint="eastAsia" w:ascii="宋体" w:hAnsi="宋体" w:eastAsia="宋体" w:cs="宋体"/>
          <w:snapToGrid w:val="0"/>
          <w:color w:val="auto"/>
          <w:kern w:val="28"/>
          <w:highlight w:val="none"/>
        </w:rPr>
        <w:t>一、检测工作要求</w:t>
      </w:r>
    </w:p>
    <w:p>
      <w:pPr>
        <w:pStyle w:val="37"/>
        <w:snapToGrid w:val="0"/>
        <w:spacing w:line="360" w:lineRule="auto"/>
        <w:ind w:firstLine="600" w:firstLineChars="250"/>
        <w:rPr>
          <w:rFonts w:hint="eastAsia" w:ascii="宋体" w:hAnsi="宋体" w:eastAsia="宋体" w:cs="宋体"/>
          <w:snapToGrid w:val="0"/>
          <w:color w:val="auto"/>
          <w:kern w:val="28"/>
          <w:highlight w:val="none"/>
        </w:rPr>
      </w:pPr>
      <w:r>
        <w:rPr>
          <w:rFonts w:hint="eastAsia" w:ascii="宋体" w:hAnsi="宋体" w:eastAsia="宋体" w:cs="宋体"/>
          <w:snapToGrid w:val="0"/>
          <w:color w:val="auto"/>
          <w:kern w:val="28"/>
          <w:highlight w:val="none"/>
        </w:rPr>
        <w:t>1、中标人的检测工作必须满足国家、广东省、广州市相关检测规范、强制性标准。</w:t>
      </w:r>
    </w:p>
    <w:p>
      <w:pPr>
        <w:adjustRightInd w:val="0"/>
        <w:snapToGrid w:val="0"/>
        <w:spacing w:line="360" w:lineRule="auto"/>
        <w:ind w:firstLine="600" w:firstLineChars="250"/>
        <w:rPr>
          <w:rFonts w:hint="eastAsia" w:ascii="宋体" w:hAnsi="宋体" w:cs="宋体"/>
          <w:color w:val="auto"/>
          <w:sz w:val="24"/>
          <w:highlight w:val="none"/>
        </w:rPr>
      </w:pPr>
      <w:r>
        <w:rPr>
          <w:rFonts w:hint="eastAsia" w:ascii="宋体" w:hAnsi="宋体" w:cs="宋体"/>
          <w:color w:val="auto"/>
          <w:sz w:val="24"/>
          <w:highlight w:val="none"/>
        </w:rPr>
        <w:t>2、中标人除按要求完成本次招标范围内的检测工作外，还应完成以下工作：</w:t>
      </w:r>
    </w:p>
    <w:p>
      <w:pPr>
        <w:widowControl/>
        <w:shd w:val="clear" w:color="auto" w:fill="FFFFFF"/>
        <w:spacing w:line="360" w:lineRule="auto"/>
        <w:ind w:firstLine="424" w:firstLineChars="177"/>
        <w:jc w:val="left"/>
        <w:rPr>
          <w:rFonts w:ascii="宋体" w:hAnsi="宋体" w:cs="宋体"/>
          <w:color w:val="auto"/>
          <w:sz w:val="24"/>
          <w:szCs w:val="24"/>
          <w:highlight w:val="none"/>
        </w:rPr>
      </w:pPr>
      <w:r>
        <w:rPr>
          <w:rFonts w:hint="eastAsia" w:ascii="宋体" w:hAnsi="宋体" w:cs="宋体"/>
          <w:color w:val="auto"/>
          <w:sz w:val="24"/>
          <w:szCs w:val="24"/>
          <w:highlight w:val="none"/>
        </w:rPr>
        <w:t>（1）根据设计文件、施工组织设计、相关规范和相关行政职能部门要求和甲方要求，结合项目实际情况，编制检测方案，并确保检测方案符合有关规范要求及通过工程所在行政区域的相关建设行政主管部门和监督部门的审批，同时负责协调相关工作，保证技术成果能够通过相关部门认可，确保不因检测工作影响本工程项目的建设进度和竣工验收；</w:t>
      </w:r>
    </w:p>
    <w:p>
      <w:pPr>
        <w:widowControl/>
        <w:shd w:val="clear" w:color="auto" w:fill="FFFFFF"/>
        <w:spacing w:line="360" w:lineRule="auto"/>
        <w:ind w:firstLine="424" w:firstLineChars="177"/>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（2）在进行检测服务过程中，与该工程相关的施工、监理、设计、咨询等相关单位及建设协调行政主管部门和监督部门协调，投标人需在投标报价中综合考虑该项协调工作费用。</w:t>
      </w:r>
    </w:p>
    <w:p>
      <w:pPr>
        <w:widowControl/>
        <w:shd w:val="clear" w:color="auto" w:fill="FFFFFF"/>
        <w:spacing w:line="360" w:lineRule="auto"/>
        <w:ind w:firstLine="424" w:firstLineChars="177"/>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（3）本招标项目已包含监督抽检的工作内容，监督抽检数量按建设行政主管部门要求实施，投标人需在投标报价中综合考虑该部分费用。</w:t>
      </w:r>
    </w:p>
    <w:p>
      <w:pPr>
        <w:widowControl/>
        <w:shd w:val="clear" w:color="auto" w:fill="FFFFFF"/>
        <w:spacing w:line="360" w:lineRule="auto"/>
        <w:ind w:firstLine="424" w:firstLineChars="177"/>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（4）负责检测数据的有关信息通过广州市建设工程质量检测监管信息网报送。</w:t>
      </w:r>
    </w:p>
    <w:p>
      <w:pPr>
        <w:widowControl/>
        <w:shd w:val="clear" w:color="auto" w:fill="FFFFFF"/>
        <w:spacing w:line="360" w:lineRule="auto"/>
        <w:ind w:firstLine="424" w:firstLineChars="177"/>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（5）本项目实施期间，如果因本项目验收需要，按规范和经批准的检测方案，经招标人确认需增加</w:t>
      </w:r>
      <w:r>
        <w:rPr>
          <w:rFonts w:hint="eastAsia" w:ascii="宋体" w:hAnsi="宋体" w:cs="宋体"/>
          <w:color w:val="auto"/>
          <w:sz w:val="24"/>
          <w:szCs w:val="24"/>
          <w:highlight w:val="none"/>
          <w:lang w:eastAsia="zh-CN"/>
        </w:rPr>
        <w:t>检测清单</w:t>
      </w:r>
      <w:r>
        <w:rPr>
          <w:rFonts w:hint="eastAsia" w:ascii="宋体" w:hAnsi="宋体" w:cs="宋体"/>
          <w:color w:val="auto"/>
          <w:sz w:val="24"/>
          <w:szCs w:val="24"/>
          <w:highlight w:val="none"/>
        </w:rPr>
        <w:t>中没有的项目，且中标人也具备相应资质，则中标人不得以任何原因拒绝为招标人提供检测，并按要求出具符合验收要求的检测报告。中标人检测资质不能涵盖的项目报招标人批准后由中标人委托具有相应资质的单位实施，并取得相应管理部门的确认。</w:t>
      </w:r>
    </w:p>
    <w:p>
      <w:pPr>
        <w:widowControl/>
        <w:shd w:val="clear" w:color="auto" w:fill="FFFFFF"/>
        <w:spacing w:line="360" w:lineRule="auto"/>
        <w:ind w:firstLine="424" w:firstLineChars="177"/>
        <w:rPr>
          <w:rFonts w:hint="eastAsia"/>
        </w:rPr>
      </w:pPr>
      <w:r>
        <w:rPr>
          <w:rFonts w:hint="eastAsia" w:ascii="宋体" w:hAnsi="宋体" w:cs="宋体"/>
          <w:b w:val="0"/>
          <w:bCs w:val="0"/>
          <w:color w:val="auto"/>
          <w:sz w:val="24"/>
          <w:highlight w:val="none"/>
          <w:u w:val="none"/>
          <w:lang w:eastAsia="zh-CN"/>
        </w:rPr>
        <w:t>（</w:t>
      </w:r>
      <w:r>
        <w:rPr>
          <w:rFonts w:hint="eastAsia" w:ascii="宋体" w:hAnsi="宋体" w:cs="宋体"/>
          <w:b w:val="0"/>
          <w:bCs w:val="0"/>
          <w:color w:val="auto"/>
          <w:sz w:val="24"/>
          <w:highlight w:val="none"/>
          <w:u w:val="none"/>
          <w:lang w:val="en-US" w:eastAsia="zh-CN"/>
        </w:rPr>
        <w:t>6</w:t>
      </w:r>
      <w:r>
        <w:rPr>
          <w:rFonts w:hint="eastAsia" w:ascii="宋体" w:hAnsi="宋体" w:cs="宋体"/>
          <w:b w:val="0"/>
          <w:bCs w:val="0"/>
          <w:color w:val="auto"/>
          <w:sz w:val="24"/>
          <w:highlight w:val="none"/>
          <w:u w:val="none"/>
          <w:lang w:eastAsia="zh-CN"/>
        </w:rPr>
        <w:t>）</w:t>
      </w:r>
      <w:r>
        <w:rPr>
          <w:rFonts w:hint="eastAsia" w:ascii="宋体" w:hAnsi="宋体" w:cs="宋体"/>
          <w:b w:val="0"/>
          <w:bCs w:val="0"/>
          <w:color w:val="auto"/>
          <w:sz w:val="24"/>
          <w:highlight w:val="none"/>
          <w:u w:val="none"/>
        </w:rPr>
        <w:t>根据本项目具体情况，如遇该项目的投资规模、结构形式、项目名称或者造价等发生调整（或变更，或增减），也可能会新增或减少、甚至取消部分工程，投标人应充分理解此风险并无条件接受不得拒绝，且投标下浮率固定不变。</w:t>
      </w:r>
    </w:p>
    <w:p>
      <w:pPr>
        <w:pStyle w:val="37"/>
        <w:snapToGrid w:val="0"/>
        <w:spacing w:line="360" w:lineRule="auto"/>
        <w:ind w:firstLine="0" w:firstLineChars="0"/>
        <w:rPr>
          <w:rFonts w:hint="eastAsia" w:ascii="宋体" w:hAnsi="宋体" w:eastAsia="宋体" w:cs="宋体"/>
          <w:snapToGrid w:val="0"/>
          <w:color w:val="auto"/>
          <w:kern w:val="28"/>
          <w:highlight w:val="none"/>
        </w:rPr>
      </w:pPr>
      <w:r>
        <w:rPr>
          <w:rFonts w:hint="eastAsia" w:ascii="宋体" w:hAnsi="宋体" w:eastAsia="宋体" w:cs="宋体"/>
          <w:snapToGrid w:val="0"/>
          <w:color w:val="auto"/>
          <w:kern w:val="28"/>
          <w:highlight w:val="none"/>
        </w:rPr>
        <w:t>二、检测设备要求</w:t>
      </w:r>
    </w:p>
    <w:p>
      <w:pPr>
        <w:tabs>
          <w:tab w:val="left" w:pos="0"/>
          <w:tab w:val="left" w:pos="360"/>
          <w:tab w:val="left" w:pos="1260"/>
          <w:tab w:val="left" w:pos="1440"/>
        </w:tabs>
        <w:adjustRightInd w:val="0"/>
        <w:snapToGrid w:val="0"/>
        <w:spacing w:line="360" w:lineRule="auto"/>
        <w:ind w:firstLine="480" w:firstLineChars="200"/>
        <w:rPr>
          <w:rFonts w:hint="eastAsia" w:ascii="宋体" w:hAnsi="宋体" w:cs="宋体"/>
          <w:snapToGrid w:val="0"/>
          <w:color w:val="auto"/>
          <w:kern w:val="28"/>
          <w:sz w:val="24"/>
          <w:highlight w:val="none"/>
        </w:rPr>
      </w:pPr>
      <w:r>
        <w:rPr>
          <w:rFonts w:hint="eastAsia" w:ascii="宋体" w:hAnsi="宋体" w:cs="宋体"/>
          <w:snapToGrid w:val="0"/>
          <w:color w:val="auto"/>
          <w:kern w:val="28"/>
          <w:sz w:val="24"/>
          <w:highlight w:val="none"/>
        </w:rPr>
        <w:t>用于完成本项目检测的仪器、设备和材料由承包人自行运输，存管。仪器、设备和材料应有产品出厂合格证，检定/校准证书，同时符合相关技术标准和检定要求。</w:t>
      </w:r>
    </w:p>
    <w:p>
      <w:pPr>
        <w:spacing w:line="491" w:lineRule="exact"/>
        <w:jc w:val="center"/>
        <w:rPr>
          <w:b/>
          <w:color w:val="auto"/>
          <w:sz w:val="43"/>
          <w:highlight w:val="none"/>
        </w:rPr>
        <w:sectPr>
          <w:pgSz w:w="11907" w:h="16839"/>
          <w:pgMar w:top="1440" w:right="1440" w:bottom="1135" w:left="1440" w:header="0" w:footer="595" w:gutter="0"/>
          <w:pgBorders>
            <w:top w:val="none" w:sz="0" w:space="0"/>
            <w:left w:val="none" w:sz="0" w:space="0"/>
            <w:bottom w:val="none" w:sz="0" w:space="0"/>
            <w:right w:val="none" w:sz="0" w:space="0"/>
          </w:pgBorders>
          <w:pgNumType w:fmt="decimal"/>
          <w:cols w:space="720" w:num="1"/>
          <w:docGrid w:linePitch="360" w:charSpace="0"/>
        </w:sectPr>
      </w:pPr>
    </w:p>
    <w:p>
      <w:pPr>
        <w:rPr>
          <w:rFonts w:hint="default" w:eastAsiaTheme="minorEastAsia"/>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altName w:val="Segoe Print"/>
    <w:panose1 w:val="02040603050505030304"/>
    <w:charset w:val="00"/>
    <w:family w:val="roman"/>
    <w:pitch w:val="default"/>
    <w:sig w:usb0="00000000" w:usb1="00000000" w:usb2="00000000" w:usb3="00000000" w:csb0="20000001" w:csb1="00000000"/>
  </w:font>
  <w:font w:name="隶书">
    <w:altName w:val="微软雅黑"/>
    <w:panose1 w:val="0201050906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CB8718C6"/>
    <w:multiLevelType w:val="singleLevel"/>
    <w:tmpl w:val="CB8718C6"/>
    <w:lvl w:ilvl="0" w:tentative="0">
      <w:start w:val="3"/>
      <w:numFmt w:val="decimal"/>
      <w:suff w:val="nothing"/>
      <w:lvlText w:val="%1、"/>
      <w:lvlJc w:val="left"/>
    </w:lvl>
  </w:abstractNum>
  <w:abstractNum w:abstractNumId="2">
    <w:nsid w:val="CBBE5AE6"/>
    <w:multiLevelType w:val="singleLevel"/>
    <w:tmpl w:val="CBBE5AE6"/>
    <w:lvl w:ilvl="0" w:tentative="0">
      <w:start w:val="2"/>
      <w:numFmt w:val="decimal"/>
      <w:suff w:val="nothing"/>
      <w:lvlText w:val="%1、"/>
      <w:lvlJc w:val="left"/>
    </w:lvl>
  </w:abstractNum>
  <w:abstractNum w:abstractNumId="3">
    <w:nsid w:val="61B5240C"/>
    <w:multiLevelType w:val="singleLevel"/>
    <w:tmpl w:val="61B5240C"/>
    <w:lvl w:ilvl="0" w:tentative="0">
      <w:start w:val="1"/>
      <w:numFmt w:val="decimal"/>
      <w:lvlText w:val="%1)"/>
      <w:lvlJc w:val="left"/>
      <w:pPr>
        <w:ind w:left="425" w:hanging="425"/>
      </w:pPr>
      <w:rPr>
        <w:rFont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Y1ZjliYzFmMGUxYjBmY2U5ZDZlZjE2ZGI3ZDYxMzUifQ=="/>
  </w:docVars>
  <w:rsids>
    <w:rsidRoot w:val="3B6D4312"/>
    <w:rsid w:val="0002289A"/>
    <w:rsid w:val="0002557B"/>
    <w:rsid w:val="0005254F"/>
    <w:rsid w:val="000744F3"/>
    <w:rsid w:val="00085D0C"/>
    <w:rsid w:val="00090FF3"/>
    <w:rsid w:val="000B7B0A"/>
    <w:rsid w:val="000E0EC3"/>
    <w:rsid w:val="000F63F4"/>
    <w:rsid w:val="001062CA"/>
    <w:rsid w:val="00134FF9"/>
    <w:rsid w:val="001544AB"/>
    <w:rsid w:val="00164413"/>
    <w:rsid w:val="001921E8"/>
    <w:rsid w:val="001D1F1F"/>
    <w:rsid w:val="001E1021"/>
    <w:rsid w:val="001F66EC"/>
    <w:rsid w:val="002D7B13"/>
    <w:rsid w:val="003B47E8"/>
    <w:rsid w:val="003D0F57"/>
    <w:rsid w:val="0040578E"/>
    <w:rsid w:val="00456C93"/>
    <w:rsid w:val="004B2C05"/>
    <w:rsid w:val="004D6177"/>
    <w:rsid w:val="00524AD0"/>
    <w:rsid w:val="005A19E6"/>
    <w:rsid w:val="0065458C"/>
    <w:rsid w:val="0065720F"/>
    <w:rsid w:val="00697CBD"/>
    <w:rsid w:val="006A18B1"/>
    <w:rsid w:val="006D7EB2"/>
    <w:rsid w:val="007055DD"/>
    <w:rsid w:val="007309C3"/>
    <w:rsid w:val="00793DB5"/>
    <w:rsid w:val="007A7407"/>
    <w:rsid w:val="007C0AF5"/>
    <w:rsid w:val="007C717F"/>
    <w:rsid w:val="007E14F9"/>
    <w:rsid w:val="007F42A9"/>
    <w:rsid w:val="00802BFD"/>
    <w:rsid w:val="0080751A"/>
    <w:rsid w:val="00841D4A"/>
    <w:rsid w:val="008F47DB"/>
    <w:rsid w:val="008F491E"/>
    <w:rsid w:val="009538E5"/>
    <w:rsid w:val="009B4E73"/>
    <w:rsid w:val="009C14AA"/>
    <w:rsid w:val="009C50DE"/>
    <w:rsid w:val="00A05D0A"/>
    <w:rsid w:val="00A14DC5"/>
    <w:rsid w:val="00A2633E"/>
    <w:rsid w:val="00A367D2"/>
    <w:rsid w:val="00A81829"/>
    <w:rsid w:val="00A920B1"/>
    <w:rsid w:val="00B11F8D"/>
    <w:rsid w:val="00B21734"/>
    <w:rsid w:val="00B96CE0"/>
    <w:rsid w:val="00BB3D24"/>
    <w:rsid w:val="00CA24DF"/>
    <w:rsid w:val="00D06D88"/>
    <w:rsid w:val="00D0796B"/>
    <w:rsid w:val="00D50CF1"/>
    <w:rsid w:val="00D650B3"/>
    <w:rsid w:val="00D85D6D"/>
    <w:rsid w:val="00DD64C1"/>
    <w:rsid w:val="00DE3299"/>
    <w:rsid w:val="00E14E87"/>
    <w:rsid w:val="00E52FD7"/>
    <w:rsid w:val="00E85F0E"/>
    <w:rsid w:val="00EC3FB8"/>
    <w:rsid w:val="00EE23EE"/>
    <w:rsid w:val="00F15754"/>
    <w:rsid w:val="00F5751A"/>
    <w:rsid w:val="00F72550"/>
    <w:rsid w:val="00FF33A0"/>
    <w:rsid w:val="00FF76D9"/>
    <w:rsid w:val="01443353"/>
    <w:rsid w:val="01583855"/>
    <w:rsid w:val="02F7533D"/>
    <w:rsid w:val="03562994"/>
    <w:rsid w:val="035A0EDE"/>
    <w:rsid w:val="03CB6D70"/>
    <w:rsid w:val="03D5206B"/>
    <w:rsid w:val="04364A4F"/>
    <w:rsid w:val="043A0F20"/>
    <w:rsid w:val="04754D24"/>
    <w:rsid w:val="04CF4159"/>
    <w:rsid w:val="04E40895"/>
    <w:rsid w:val="050B0AD1"/>
    <w:rsid w:val="051B7598"/>
    <w:rsid w:val="05577B55"/>
    <w:rsid w:val="055B7D38"/>
    <w:rsid w:val="07AC4D2B"/>
    <w:rsid w:val="083B43B1"/>
    <w:rsid w:val="08757A2C"/>
    <w:rsid w:val="087A40C4"/>
    <w:rsid w:val="08A86F0A"/>
    <w:rsid w:val="09A667E8"/>
    <w:rsid w:val="09C053E7"/>
    <w:rsid w:val="0A7462CE"/>
    <w:rsid w:val="0B093D1A"/>
    <w:rsid w:val="0B372B92"/>
    <w:rsid w:val="0B3B76F5"/>
    <w:rsid w:val="0B9610F4"/>
    <w:rsid w:val="0C855B7E"/>
    <w:rsid w:val="0C87037B"/>
    <w:rsid w:val="0CC632E2"/>
    <w:rsid w:val="0CEF0CD8"/>
    <w:rsid w:val="0D386A70"/>
    <w:rsid w:val="0E1B10A8"/>
    <w:rsid w:val="0E80564C"/>
    <w:rsid w:val="0EA03B8A"/>
    <w:rsid w:val="0EAC0C18"/>
    <w:rsid w:val="0EB25F9A"/>
    <w:rsid w:val="0F0E1360"/>
    <w:rsid w:val="0F7977F4"/>
    <w:rsid w:val="0F8D0176"/>
    <w:rsid w:val="10C90F85"/>
    <w:rsid w:val="115626A3"/>
    <w:rsid w:val="12116B6C"/>
    <w:rsid w:val="123F2E4A"/>
    <w:rsid w:val="12E86716"/>
    <w:rsid w:val="14082F52"/>
    <w:rsid w:val="14085DAD"/>
    <w:rsid w:val="14233C6D"/>
    <w:rsid w:val="144323F4"/>
    <w:rsid w:val="14452035"/>
    <w:rsid w:val="145B3800"/>
    <w:rsid w:val="147E4E1C"/>
    <w:rsid w:val="16007AF5"/>
    <w:rsid w:val="163A203A"/>
    <w:rsid w:val="16B965DF"/>
    <w:rsid w:val="178F2FEA"/>
    <w:rsid w:val="17BF20B0"/>
    <w:rsid w:val="17E977C8"/>
    <w:rsid w:val="186B0207"/>
    <w:rsid w:val="1873680D"/>
    <w:rsid w:val="18AF3306"/>
    <w:rsid w:val="18F12637"/>
    <w:rsid w:val="1922150A"/>
    <w:rsid w:val="19880595"/>
    <w:rsid w:val="1AB46DAB"/>
    <w:rsid w:val="1B6C2995"/>
    <w:rsid w:val="1BC44893"/>
    <w:rsid w:val="1BC65F54"/>
    <w:rsid w:val="1BDF2274"/>
    <w:rsid w:val="1C05708F"/>
    <w:rsid w:val="1C307374"/>
    <w:rsid w:val="1C9203A6"/>
    <w:rsid w:val="1E8832A2"/>
    <w:rsid w:val="1F0215B9"/>
    <w:rsid w:val="1F1C5732"/>
    <w:rsid w:val="1F664E2A"/>
    <w:rsid w:val="1FC2316E"/>
    <w:rsid w:val="20336A96"/>
    <w:rsid w:val="21424D60"/>
    <w:rsid w:val="21901353"/>
    <w:rsid w:val="220D3E3F"/>
    <w:rsid w:val="223B07F0"/>
    <w:rsid w:val="224A02E7"/>
    <w:rsid w:val="227411DF"/>
    <w:rsid w:val="22803312"/>
    <w:rsid w:val="238E7B64"/>
    <w:rsid w:val="24856237"/>
    <w:rsid w:val="24F20F0E"/>
    <w:rsid w:val="24FE116D"/>
    <w:rsid w:val="25053D8A"/>
    <w:rsid w:val="254B515D"/>
    <w:rsid w:val="25791876"/>
    <w:rsid w:val="26B94C66"/>
    <w:rsid w:val="26FF6942"/>
    <w:rsid w:val="272958A8"/>
    <w:rsid w:val="272B74FA"/>
    <w:rsid w:val="27A44741"/>
    <w:rsid w:val="27C21F87"/>
    <w:rsid w:val="2865301D"/>
    <w:rsid w:val="28732366"/>
    <w:rsid w:val="28C86C87"/>
    <w:rsid w:val="28FB65E3"/>
    <w:rsid w:val="296119D7"/>
    <w:rsid w:val="297D19A3"/>
    <w:rsid w:val="2A97100B"/>
    <w:rsid w:val="2B401296"/>
    <w:rsid w:val="2B4754A3"/>
    <w:rsid w:val="2B9F277C"/>
    <w:rsid w:val="2D0635AD"/>
    <w:rsid w:val="2DDB1EBF"/>
    <w:rsid w:val="2DF963B5"/>
    <w:rsid w:val="2E6961DD"/>
    <w:rsid w:val="2EA67F31"/>
    <w:rsid w:val="2EC40C57"/>
    <w:rsid w:val="2EE433BF"/>
    <w:rsid w:val="30334755"/>
    <w:rsid w:val="309A6C96"/>
    <w:rsid w:val="311233CC"/>
    <w:rsid w:val="332E1E50"/>
    <w:rsid w:val="34375C94"/>
    <w:rsid w:val="34935BA4"/>
    <w:rsid w:val="34A264CA"/>
    <w:rsid w:val="355552CD"/>
    <w:rsid w:val="362A056A"/>
    <w:rsid w:val="36BA638E"/>
    <w:rsid w:val="3703456E"/>
    <w:rsid w:val="37A26BD4"/>
    <w:rsid w:val="386E2C1B"/>
    <w:rsid w:val="39FC703A"/>
    <w:rsid w:val="3A4968CA"/>
    <w:rsid w:val="3B6D4312"/>
    <w:rsid w:val="3B7D5E2D"/>
    <w:rsid w:val="3BB466CB"/>
    <w:rsid w:val="3BB9179A"/>
    <w:rsid w:val="3C536A33"/>
    <w:rsid w:val="3CB7521C"/>
    <w:rsid w:val="3CE76215"/>
    <w:rsid w:val="3CFF0303"/>
    <w:rsid w:val="3D7619F9"/>
    <w:rsid w:val="3D96007A"/>
    <w:rsid w:val="3E512B11"/>
    <w:rsid w:val="3E9F1660"/>
    <w:rsid w:val="3F5F332B"/>
    <w:rsid w:val="3F8502F8"/>
    <w:rsid w:val="3FD704B2"/>
    <w:rsid w:val="3FE0447A"/>
    <w:rsid w:val="402D7BCF"/>
    <w:rsid w:val="405854B3"/>
    <w:rsid w:val="409313F9"/>
    <w:rsid w:val="40CA2819"/>
    <w:rsid w:val="40DE71F5"/>
    <w:rsid w:val="40F706D6"/>
    <w:rsid w:val="418C72E5"/>
    <w:rsid w:val="41EC3A6C"/>
    <w:rsid w:val="42A2655E"/>
    <w:rsid w:val="42E71D47"/>
    <w:rsid w:val="436C5E0D"/>
    <w:rsid w:val="440F6ACF"/>
    <w:rsid w:val="44631084"/>
    <w:rsid w:val="446A549B"/>
    <w:rsid w:val="44800368"/>
    <w:rsid w:val="45C40D74"/>
    <w:rsid w:val="46871AD6"/>
    <w:rsid w:val="46E44703"/>
    <w:rsid w:val="4735560E"/>
    <w:rsid w:val="47413F22"/>
    <w:rsid w:val="47D55FFA"/>
    <w:rsid w:val="481D5A38"/>
    <w:rsid w:val="48783071"/>
    <w:rsid w:val="487975A7"/>
    <w:rsid w:val="48E72086"/>
    <w:rsid w:val="494D5092"/>
    <w:rsid w:val="49732ED5"/>
    <w:rsid w:val="4A1079FD"/>
    <w:rsid w:val="4A1D620C"/>
    <w:rsid w:val="4AE21D6F"/>
    <w:rsid w:val="4BC136D0"/>
    <w:rsid w:val="4C2E17B4"/>
    <w:rsid w:val="4D904DD7"/>
    <w:rsid w:val="4D9C287D"/>
    <w:rsid w:val="4DC53F66"/>
    <w:rsid w:val="4E4F4497"/>
    <w:rsid w:val="4F815FEA"/>
    <w:rsid w:val="50932EAD"/>
    <w:rsid w:val="51552F81"/>
    <w:rsid w:val="5174053C"/>
    <w:rsid w:val="51AB2104"/>
    <w:rsid w:val="525C5CD6"/>
    <w:rsid w:val="52840C61"/>
    <w:rsid w:val="533D4D64"/>
    <w:rsid w:val="53427976"/>
    <w:rsid w:val="53715570"/>
    <w:rsid w:val="53A63423"/>
    <w:rsid w:val="54386D63"/>
    <w:rsid w:val="54A36172"/>
    <w:rsid w:val="54B0714A"/>
    <w:rsid w:val="54BC0EE8"/>
    <w:rsid w:val="55C049DC"/>
    <w:rsid w:val="55D41C4B"/>
    <w:rsid w:val="562E1696"/>
    <w:rsid w:val="594F1692"/>
    <w:rsid w:val="59566C52"/>
    <w:rsid w:val="5AAF5CCA"/>
    <w:rsid w:val="5AC43F2A"/>
    <w:rsid w:val="5AD32383"/>
    <w:rsid w:val="5AD75A27"/>
    <w:rsid w:val="5B6E68B8"/>
    <w:rsid w:val="5B8D6C19"/>
    <w:rsid w:val="5BCE61FA"/>
    <w:rsid w:val="5C9B134E"/>
    <w:rsid w:val="5CE91666"/>
    <w:rsid w:val="5D580334"/>
    <w:rsid w:val="5DAA1580"/>
    <w:rsid w:val="5DEB0F2A"/>
    <w:rsid w:val="5E1A6FB5"/>
    <w:rsid w:val="5E7A3CE2"/>
    <w:rsid w:val="5F355496"/>
    <w:rsid w:val="602642B3"/>
    <w:rsid w:val="61A7533B"/>
    <w:rsid w:val="62B2296D"/>
    <w:rsid w:val="62C266BA"/>
    <w:rsid w:val="636147EE"/>
    <w:rsid w:val="63677EFB"/>
    <w:rsid w:val="63DB6B9E"/>
    <w:rsid w:val="63F47577"/>
    <w:rsid w:val="64CD6224"/>
    <w:rsid w:val="65B441A4"/>
    <w:rsid w:val="66373494"/>
    <w:rsid w:val="66591B82"/>
    <w:rsid w:val="66790C75"/>
    <w:rsid w:val="67110541"/>
    <w:rsid w:val="674F15EA"/>
    <w:rsid w:val="67A63985"/>
    <w:rsid w:val="686731DA"/>
    <w:rsid w:val="6898637C"/>
    <w:rsid w:val="68B16D7B"/>
    <w:rsid w:val="68BA7003"/>
    <w:rsid w:val="68C057C9"/>
    <w:rsid w:val="6A364F93"/>
    <w:rsid w:val="6BE11926"/>
    <w:rsid w:val="6C920572"/>
    <w:rsid w:val="6D827B87"/>
    <w:rsid w:val="6DC31ECB"/>
    <w:rsid w:val="6E656845"/>
    <w:rsid w:val="6EA64B45"/>
    <w:rsid w:val="6F471F5D"/>
    <w:rsid w:val="710F157A"/>
    <w:rsid w:val="718C3480"/>
    <w:rsid w:val="726F354B"/>
    <w:rsid w:val="72B9765A"/>
    <w:rsid w:val="72F3401B"/>
    <w:rsid w:val="731416B4"/>
    <w:rsid w:val="73712518"/>
    <w:rsid w:val="738E7AB2"/>
    <w:rsid w:val="73A54F01"/>
    <w:rsid w:val="73DF2037"/>
    <w:rsid w:val="73F47C56"/>
    <w:rsid w:val="74624F7D"/>
    <w:rsid w:val="7546516B"/>
    <w:rsid w:val="75AF555B"/>
    <w:rsid w:val="75D91BB6"/>
    <w:rsid w:val="75DC4673"/>
    <w:rsid w:val="76F3488A"/>
    <w:rsid w:val="77281C38"/>
    <w:rsid w:val="77864705"/>
    <w:rsid w:val="77ED4E91"/>
    <w:rsid w:val="781828A1"/>
    <w:rsid w:val="78780B98"/>
    <w:rsid w:val="788E06C1"/>
    <w:rsid w:val="78D76423"/>
    <w:rsid w:val="79E02BD8"/>
    <w:rsid w:val="7A3458D0"/>
    <w:rsid w:val="7A4B048B"/>
    <w:rsid w:val="7A96669D"/>
    <w:rsid w:val="7B4F6DFC"/>
    <w:rsid w:val="7B667A30"/>
    <w:rsid w:val="7B672810"/>
    <w:rsid w:val="7B681B66"/>
    <w:rsid w:val="7C6B2EC5"/>
    <w:rsid w:val="7E300909"/>
    <w:rsid w:val="7EC84C80"/>
    <w:rsid w:val="7ED83F50"/>
    <w:rsid w:val="7EF55FF4"/>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5">
    <w:name w:val="heading 2"/>
    <w:basedOn w:val="1"/>
    <w:next w:val="1"/>
    <w:semiHidden/>
    <w:unhideWhenUsed/>
    <w:qFormat/>
    <w:uiPriority w:val="0"/>
    <w:pPr>
      <w:keepNext/>
      <w:keepLines/>
      <w:spacing w:before="260" w:after="260" w:line="413" w:lineRule="auto"/>
      <w:outlineLvl w:val="1"/>
    </w:pPr>
    <w:rPr>
      <w:rFonts w:ascii="Arial" w:hAnsi="Arial" w:eastAsia="黑体"/>
      <w:b/>
      <w:sz w:val="32"/>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link w:val="31"/>
    <w:qFormat/>
    <w:uiPriority w:val="0"/>
    <w:pPr>
      <w:spacing w:beforeAutospacing="1" w:after="120"/>
      <w:ind w:firstLine="420"/>
    </w:pPr>
    <w:rPr>
      <w:rFonts w:ascii="Times New Roman" w:hAnsi="Times New Roman" w:eastAsia="宋体" w:cs="Times New Roman"/>
      <w:szCs w:val="21"/>
    </w:rPr>
  </w:style>
  <w:style w:type="paragraph" w:styleId="3">
    <w:name w:val="Body Text"/>
    <w:basedOn w:val="1"/>
    <w:next w:val="1"/>
    <w:qFormat/>
    <w:uiPriority w:val="0"/>
  </w:style>
  <w:style w:type="paragraph" w:styleId="6">
    <w:name w:val="Normal Indent"/>
    <w:basedOn w:val="1"/>
    <w:qFormat/>
    <w:uiPriority w:val="0"/>
    <w:pPr>
      <w:adjustRightInd w:val="0"/>
      <w:spacing w:line="480" w:lineRule="atLeast"/>
      <w:ind w:firstLine="600"/>
      <w:textAlignment w:val="baseline"/>
    </w:pPr>
    <w:rPr>
      <w:rFonts w:eastAsia="仿宋_GB2312"/>
      <w:kern w:val="0"/>
      <w:sz w:val="30"/>
      <w:szCs w:val="20"/>
    </w:rPr>
  </w:style>
  <w:style w:type="paragraph" w:styleId="7">
    <w:name w:val="annotation text"/>
    <w:basedOn w:val="1"/>
    <w:semiHidden/>
    <w:unhideWhenUsed/>
    <w:qFormat/>
    <w:uiPriority w:val="0"/>
    <w:pPr>
      <w:jc w:val="left"/>
    </w:pPr>
  </w:style>
  <w:style w:type="paragraph" w:styleId="8">
    <w:name w:val="index 4"/>
    <w:basedOn w:val="1"/>
    <w:next w:val="1"/>
    <w:unhideWhenUsed/>
    <w:qFormat/>
    <w:uiPriority w:val="99"/>
    <w:pPr>
      <w:ind w:left="600" w:leftChars="600"/>
    </w:pPr>
  </w:style>
  <w:style w:type="paragraph" w:styleId="9">
    <w:name w:val="Plain Text"/>
    <w:basedOn w:val="1"/>
    <w:next w:val="1"/>
    <w:link w:val="30"/>
    <w:qFormat/>
    <w:uiPriority w:val="0"/>
    <w:rPr>
      <w:rFonts w:hint="eastAsia" w:ascii="宋体" w:hAnsi="Courier New" w:eastAsia="宋体" w:cs="Times New Roman"/>
      <w:szCs w:val="21"/>
    </w:rPr>
  </w:style>
  <w:style w:type="paragraph" w:styleId="10">
    <w:name w:val="Balloon Text"/>
    <w:basedOn w:val="1"/>
    <w:link w:val="28"/>
    <w:qFormat/>
    <w:uiPriority w:val="0"/>
    <w:rPr>
      <w:sz w:val="18"/>
      <w:szCs w:val="18"/>
    </w:rPr>
  </w:style>
  <w:style w:type="paragraph" w:styleId="11">
    <w:name w:val="footer"/>
    <w:basedOn w:val="1"/>
    <w:link w:val="27"/>
    <w:qFormat/>
    <w:uiPriority w:val="0"/>
    <w:pPr>
      <w:tabs>
        <w:tab w:val="center" w:pos="4153"/>
        <w:tab w:val="right" w:pos="8306"/>
      </w:tabs>
      <w:snapToGrid w:val="0"/>
      <w:jc w:val="left"/>
    </w:pPr>
    <w:rPr>
      <w:sz w:val="18"/>
      <w:szCs w:val="18"/>
    </w:rPr>
  </w:style>
  <w:style w:type="paragraph" w:styleId="12">
    <w:name w:val="header"/>
    <w:basedOn w:val="1"/>
    <w:link w:val="26"/>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rPr>
      <w:rFonts w:ascii="Times New Roman" w:hAnsi="Times New Roman" w:eastAsia="宋体" w:cs="Times New Roman"/>
      <w:szCs w:val="21"/>
    </w:rPr>
  </w:style>
  <w:style w:type="character" w:styleId="16">
    <w:name w:val="page number"/>
    <w:basedOn w:val="15"/>
    <w:qFormat/>
    <w:uiPriority w:val="0"/>
  </w:style>
  <w:style w:type="character" w:styleId="17">
    <w:name w:val="FollowedHyperlink"/>
    <w:basedOn w:val="15"/>
    <w:qFormat/>
    <w:uiPriority w:val="0"/>
    <w:rPr>
      <w:color w:val="0000FF"/>
      <w:u w:val="single"/>
    </w:rPr>
  </w:style>
  <w:style w:type="character" w:styleId="18">
    <w:name w:val="Hyperlink"/>
    <w:basedOn w:val="15"/>
    <w:qFormat/>
    <w:uiPriority w:val="0"/>
    <w:rPr>
      <w:color w:val="0000FF"/>
      <w:u w:val="single"/>
    </w:rPr>
  </w:style>
  <w:style w:type="paragraph" w:customStyle="1" w:styleId="19">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0">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1">
    <w:name w:val="列出段落1"/>
    <w:basedOn w:val="1"/>
    <w:qFormat/>
    <w:uiPriority w:val="0"/>
    <w:pPr>
      <w:ind w:firstLine="420" w:firstLineChars="200"/>
    </w:pPr>
    <w:rPr>
      <w:rFonts w:ascii="Calibri" w:hAnsi="Calibri" w:eastAsia="宋体" w:cs="Times New Roman"/>
      <w:szCs w:val="21"/>
    </w:rPr>
  </w:style>
  <w:style w:type="paragraph" w:customStyle="1" w:styleId="22">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3">
    <w:name w:val="10"/>
    <w:basedOn w:val="15"/>
    <w:qFormat/>
    <w:uiPriority w:val="0"/>
    <w:rPr>
      <w:rFonts w:hint="default" w:ascii="Times New Roman" w:hAnsi="Times New Roman" w:cs="Times New Roman"/>
    </w:rPr>
  </w:style>
  <w:style w:type="character" w:customStyle="1" w:styleId="24">
    <w:name w:val="15"/>
    <w:basedOn w:val="15"/>
    <w:qFormat/>
    <w:uiPriority w:val="0"/>
    <w:rPr>
      <w:rFonts w:hint="default" w:ascii="Times New Roman" w:hAnsi="Times New Roman" w:cs="Times New Roman"/>
    </w:rPr>
  </w:style>
  <w:style w:type="character" w:customStyle="1" w:styleId="25">
    <w:name w:val="16"/>
    <w:basedOn w:val="15"/>
    <w:qFormat/>
    <w:uiPriority w:val="0"/>
    <w:rPr>
      <w:rFonts w:hint="default" w:ascii="Times New Roman" w:hAnsi="Times New Roman" w:cs="Times New Roman"/>
      <w:color w:val="0000FF"/>
      <w:u w:val="single"/>
    </w:rPr>
  </w:style>
  <w:style w:type="character" w:customStyle="1" w:styleId="26">
    <w:name w:val="页眉 Char"/>
    <w:basedOn w:val="15"/>
    <w:link w:val="12"/>
    <w:qFormat/>
    <w:uiPriority w:val="0"/>
    <w:rPr>
      <w:rFonts w:asciiTheme="minorHAnsi" w:hAnsiTheme="minorHAnsi" w:eastAsiaTheme="minorEastAsia" w:cstheme="minorBidi"/>
      <w:kern w:val="2"/>
      <w:sz w:val="18"/>
      <w:szCs w:val="18"/>
    </w:rPr>
  </w:style>
  <w:style w:type="character" w:customStyle="1" w:styleId="27">
    <w:name w:val="页脚 Char"/>
    <w:basedOn w:val="15"/>
    <w:link w:val="11"/>
    <w:qFormat/>
    <w:uiPriority w:val="0"/>
    <w:rPr>
      <w:rFonts w:asciiTheme="minorHAnsi" w:hAnsiTheme="minorHAnsi" w:eastAsiaTheme="minorEastAsia" w:cstheme="minorBidi"/>
      <w:kern w:val="2"/>
      <w:sz w:val="18"/>
      <w:szCs w:val="18"/>
    </w:rPr>
  </w:style>
  <w:style w:type="character" w:customStyle="1" w:styleId="28">
    <w:name w:val="批注框文本 Char"/>
    <w:basedOn w:val="15"/>
    <w:link w:val="10"/>
    <w:qFormat/>
    <w:uiPriority w:val="0"/>
    <w:rPr>
      <w:rFonts w:asciiTheme="minorHAnsi" w:hAnsiTheme="minorHAnsi" w:eastAsiaTheme="minorEastAsia" w:cstheme="minorBidi"/>
      <w:kern w:val="2"/>
      <w:sz w:val="18"/>
      <w:szCs w:val="18"/>
    </w:rPr>
  </w:style>
  <w:style w:type="paragraph" w:customStyle="1" w:styleId="29">
    <w:name w:val="WPSOffice手动目录 1"/>
    <w:qFormat/>
    <w:uiPriority w:val="0"/>
    <w:rPr>
      <w:rFonts w:ascii="Times New Roman" w:hAnsi="Times New Roman" w:eastAsia="宋体" w:cs="Times New Roman"/>
      <w:lang w:val="en-US" w:eastAsia="zh-CN" w:bidi="ar-SA"/>
    </w:rPr>
  </w:style>
  <w:style w:type="character" w:customStyle="1" w:styleId="30">
    <w:name w:val="纯文本 Char"/>
    <w:link w:val="9"/>
    <w:qFormat/>
    <w:uiPriority w:val="0"/>
    <w:rPr>
      <w:rFonts w:ascii="宋体" w:hAnsi="Courier New"/>
      <w:kern w:val="2"/>
      <w:sz w:val="21"/>
      <w:szCs w:val="21"/>
    </w:rPr>
  </w:style>
  <w:style w:type="character" w:customStyle="1" w:styleId="31">
    <w:name w:val="正文首行缩进 Char"/>
    <w:basedOn w:val="15"/>
    <w:link w:val="2"/>
    <w:qFormat/>
    <w:uiPriority w:val="0"/>
    <w:rPr>
      <w:kern w:val="2"/>
      <w:sz w:val="21"/>
      <w:szCs w:val="21"/>
    </w:rPr>
  </w:style>
  <w:style w:type="paragraph" w:styleId="32">
    <w:name w:val="List Paragraph"/>
    <w:basedOn w:val="1"/>
    <w:unhideWhenUsed/>
    <w:qFormat/>
    <w:uiPriority w:val="99"/>
    <w:pPr>
      <w:ind w:firstLine="420" w:firstLineChars="200"/>
    </w:pPr>
  </w:style>
  <w:style w:type="paragraph" w:customStyle="1" w:styleId="33">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4">
    <w:name w:val="发文落款"/>
    <w:basedOn w:val="33"/>
    <w:qFormat/>
    <w:uiPriority w:val="0"/>
    <w:pPr>
      <w:ind w:left="4094" w:right="607" w:firstLine="0"/>
      <w:jc w:val="center"/>
    </w:pPr>
  </w:style>
  <w:style w:type="paragraph" w:customStyle="1" w:styleId="35">
    <w:name w:val="样式 小四 行距: 1.5 倍行距"/>
    <w:basedOn w:val="1"/>
    <w:qFormat/>
    <w:uiPriority w:val="0"/>
    <w:pPr>
      <w:ind w:firstLine="480"/>
    </w:pPr>
    <w:rPr>
      <w:rFonts w:cs="宋体"/>
    </w:rPr>
  </w:style>
  <w:style w:type="paragraph" w:customStyle="1" w:styleId="36">
    <w:name w:val="正文 New New"/>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7">
    <w:name w:val="CM6"/>
    <w:basedOn w:val="1"/>
    <w:next w:val="1"/>
    <w:qFormat/>
    <w:uiPriority w:val="99"/>
    <w:pPr>
      <w:autoSpaceDE w:val="0"/>
      <w:autoSpaceDN w:val="0"/>
      <w:adjustRightInd w:val="0"/>
      <w:spacing w:line="626" w:lineRule="atLeast"/>
      <w:jc w:val="left"/>
    </w:pPr>
    <w:rPr>
      <w:rFonts w:ascii="隶书" w:eastAsia="隶书"/>
      <w:kern w:val="0"/>
      <w:sz w:val="24"/>
      <w:szCs w:val="24"/>
    </w:rPr>
  </w:style>
  <w:style w:type="paragraph" w:customStyle="1" w:styleId="38">
    <w:name w:val="表格文字"/>
    <w:basedOn w:val="1"/>
    <w:qFormat/>
    <w:uiPriority w:val="0"/>
    <w:pPr>
      <w:spacing w:before="25" w:after="25"/>
      <w:jc w:val="left"/>
    </w:pPr>
    <w:rPr>
      <w:bCs/>
      <w:spacing w:val="10"/>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AEE305-43BA-46E1-85F4-564A5F93B79E}">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43</Pages>
  <Words>17235</Words>
  <Characters>18028</Characters>
  <Lines>139</Lines>
  <Paragraphs>39</Paragraphs>
  <TotalTime>3</TotalTime>
  <ScaleCrop>false</ScaleCrop>
  <LinksUpToDate>false</LinksUpToDate>
  <CharactersWithSpaces>18864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2022-07-22T06:29:00Z</dcterms:created>
  <dc:creator>李晓晨</dc:creator>
  <cp:lastModifiedBy>Lenovo</cp:lastModifiedBy>
  <cp:lastPrinted>2020-07-23T07:52:00Z</cp:lastPrinted>
  <dcterms:modified xsi:type="dcterms:W3CDTF">2023-03-23T06:45:12Z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34A582031BBD4A8392FE98AAD5F97DA6</vt:lpwstr>
  </property>
</Properties>
</file>