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pStyle w:val="22"/>
      </w:pPr>
    </w:p>
    <w:p>
      <w:pPr>
        <w:jc w:val="center"/>
        <w:rPr>
          <w:rFonts w:hint="eastAsia" w:ascii="宋体" w:hAnsi="宋体" w:eastAsia="宋体" w:cs="宋体"/>
          <w:b/>
          <w:color w:val="auto"/>
          <w:sz w:val="44"/>
          <w:szCs w:val="44"/>
          <w:highlight w:val="none"/>
          <w:lang w:eastAsia="zh-CN"/>
        </w:rPr>
      </w:pPr>
      <w:r>
        <w:rPr>
          <w:rFonts w:hint="eastAsia" w:ascii="宋体" w:hAnsi="宋体" w:eastAsia="宋体" w:cs="宋体"/>
          <w:b/>
          <w:bCs w:val="0"/>
          <w:color w:val="auto"/>
          <w:kern w:val="2"/>
          <w:sz w:val="44"/>
          <w:szCs w:val="44"/>
          <w:highlight w:val="none"/>
          <w:lang w:val="en-US" w:eastAsia="zh-CN"/>
        </w:rPr>
        <w:t>南沙天后宫正殿、南岭塔室内照明提升</w:t>
      </w:r>
      <w:r>
        <w:rPr>
          <w:rFonts w:hint="eastAsia" w:ascii="宋体" w:hAnsi="宋体" w:eastAsia="宋体" w:cs="宋体"/>
          <w:b/>
          <w:color w:val="auto"/>
          <w:sz w:val="44"/>
          <w:szCs w:val="44"/>
          <w:highlight w:val="none"/>
          <w:lang w:val="en-US" w:eastAsia="zh-CN"/>
        </w:rPr>
        <w:t>项目</w:t>
      </w:r>
    </w:p>
    <w:p>
      <w:pPr>
        <w:rPr>
          <w:rFonts w:ascii="宋体" w:hAnsi="宋体" w:eastAsia="宋体" w:cs="宋体"/>
          <w:color w:val="auto"/>
          <w:sz w:val="72"/>
          <w:szCs w:val="72"/>
          <w:highlight w:val="none"/>
        </w:rPr>
      </w:pP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bCs w:val="0"/>
          <w:i w:val="0"/>
          <w:caps w:val="0"/>
          <w:color w:val="auto"/>
          <w:spacing w:val="0"/>
          <w:w w:val="100"/>
          <w:kern w:val="2"/>
          <w:sz w:val="32"/>
          <w:szCs w:val="32"/>
          <w:highlight w:val="none"/>
          <w:lang w:val="en-US" w:eastAsia="zh-CN"/>
        </w:rPr>
        <w:t>广州市南沙</w:t>
      </w:r>
      <w:r>
        <w:rPr>
          <w:rFonts w:hint="eastAsia" w:ascii="宋体" w:hAnsi="宋体" w:eastAsia="宋体" w:cs="宋体"/>
          <w:b/>
          <w:color w:val="auto"/>
          <w:kern w:val="2"/>
          <w:sz w:val="32"/>
          <w:szCs w:val="32"/>
          <w:highlight w:val="none"/>
          <w:lang w:val="en-US" w:eastAsia="zh-CN"/>
        </w:rPr>
        <w:t>天后文化学会</w:t>
      </w:r>
      <w:r>
        <w:rPr>
          <w:rFonts w:hint="eastAsia" w:ascii="宋体" w:hAnsi="宋体" w:eastAsia="宋体" w:cs="宋体"/>
          <w:b/>
          <w:color w:val="auto"/>
          <w:sz w:val="32"/>
          <w:szCs w:val="32"/>
          <w:highlight w:val="none"/>
        </w:rPr>
        <w:t>（业主单位）</w:t>
      </w:r>
    </w:p>
    <w:p>
      <w:pPr>
        <w:spacing w:line="360" w:lineRule="auto"/>
        <w:ind w:firstLine="2528" w:firstLineChars="787"/>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lang w:eastAsia="zh-CN"/>
        </w:rPr>
        <w:t>广州南沙旅游发展有限公司</w:t>
      </w:r>
      <w:r>
        <w:rPr>
          <w:rFonts w:hint="eastAsia" w:ascii="宋体" w:hAnsi="宋体" w:eastAsia="宋体" w:cs="宋体"/>
          <w:b/>
          <w:color w:val="auto"/>
          <w:sz w:val="32"/>
          <w:szCs w:val="32"/>
          <w:highlight w:val="none"/>
        </w:rPr>
        <w:t>（建设管理单位）</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3月</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color w:val="auto"/>
          <w:sz w:val="36"/>
          <w:szCs w:val="36"/>
          <w:highlight w:val="yellow"/>
        </w:rPr>
      </w:pPr>
    </w:p>
    <w:bookmarkEnd w:id="0"/>
    <w:sdt>
      <w:sdtPr>
        <w:rPr>
          <w:rFonts w:ascii="宋体" w:hAnsi="宋体" w:eastAsia="宋体"/>
          <w:color w:val="auto"/>
          <w:highlight w:val="yellow"/>
        </w:rPr>
        <w:id w:val="147481204"/>
        <w:docPartObj>
          <w:docPartGallery w:val="Table of Contents"/>
          <w:docPartUnique/>
        </w:docPartObj>
      </w:sdtPr>
      <w:sdtEndPr>
        <w:rPr>
          <w:rFonts w:hint="eastAsia" w:ascii="宋体" w:hAnsi="宋体" w:eastAsia="宋体" w:cs="宋体"/>
          <w:color w:val="auto"/>
          <w:sz w:val="24"/>
          <w:highlight w:val="none"/>
        </w:rPr>
      </w:sdtEndPr>
      <w:sdtContent>
        <w:p>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5"/>
            <w:tabs>
              <w:tab w:val="right" w:leader="dot" w:pos="9419"/>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_Toc20698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第1章 投标须知及前附表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_Toc20698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5"/>
            <w:tabs>
              <w:tab w:val="right" w:leader="dot" w:pos="9419"/>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_Toc22411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第2章 项目需求书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_Toc22411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5"/>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_Toc5931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第3章  投标格式文件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_Toc5931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5"/>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_Toc4893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第4章 评标办法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_Toc4893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5"/>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"_Toc26593"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第5章 附件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val="en-US" w:eastAsia="zh-CN"/>
            </w:rPr>
            <w:t>29</w:t>
          </w:r>
        </w:p>
        <w:p>
          <w:pPr>
            <w:pStyle w:val="15"/>
            <w:tabs>
              <w:tab w:val="right" w:leader="dot" w:pos="9419"/>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_Toc3331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附件1：符合性审查表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_Toc3331 \h </w:instrText>
          </w:r>
          <w:r>
            <w:rPr>
              <w:rFonts w:hint="eastAsia" w:ascii="宋体" w:hAnsi="宋体" w:eastAsia="宋体" w:cs="宋体"/>
              <w:sz w:val="24"/>
              <w:szCs w:val="24"/>
            </w:rPr>
            <w:fldChar w:fldCharType="separate"/>
          </w:r>
          <w:r>
            <w:rPr>
              <w:rFonts w:hint="eastAsia" w:ascii="宋体" w:hAnsi="宋体" w:eastAsia="宋体" w:cs="宋体"/>
              <w:sz w:val="24"/>
              <w:szCs w:val="24"/>
            </w:rPr>
            <w:t>30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5"/>
            <w:tabs>
              <w:tab w:val="right" w:leader="dot" w:pos="9419"/>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_Toc15249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附件2</w:t>
          </w:r>
          <w:r>
            <w:rPr>
              <w:rFonts w:hint="eastAsia" w:ascii="宋体" w:hAnsi="宋体" w:eastAsia="宋体" w:cs="宋体"/>
              <w:sz w:val="24"/>
              <w:szCs w:val="24"/>
              <w:highlight w:val="none"/>
            </w:rPr>
            <w:t>：</w:t>
          </w:r>
          <w:r>
            <w:rPr>
              <w:rFonts w:hint="eastAsia" w:ascii="宋体" w:hAnsi="宋体" w:eastAsia="宋体" w:cs="宋体"/>
              <w:sz w:val="24"/>
              <w:szCs w:val="24"/>
              <w:highlight w:val="none"/>
            </w:rPr>
            <w:t>综合评分表（100分）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_Toc15249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end"/>
          </w:r>
        </w:p>
      </w:sdtContent>
    </w:sdt>
    <w:p>
      <w:pPr>
        <w:pStyle w:val="4"/>
        <w:widowControl/>
        <w:spacing w:after="0"/>
        <w:ind w:firstLine="0"/>
        <w:rPr>
          <w:rFonts w:hint="eastAsia" w:asciiTheme="minorEastAsia" w:hAnsiTheme="minorEastAsia" w:eastAsiaTheme="minorEastAsia" w:cstheme="minorEastAsia"/>
          <w:color w:val="auto"/>
          <w:sz w:val="24"/>
          <w:szCs w:val="24"/>
          <w:highlight w:val="none"/>
        </w:rPr>
        <w:sectPr>
          <w:pgSz w:w="11915" w:h="16840"/>
          <w:pgMar w:top="1247" w:right="1135" w:bottom="1247" w:left="1361" w:header="720" w:footer="720" w:gutter="0"/>
          <w:cols w:space="425" w:num="1"/>
          <w:docGrid w:type="lines" w:linePitch="285" w:charSpace="0"/>
        </w:sectPr>
      </w:pPr>
      <w:r>
        <w:rPr>
          <w:rFonts w:hint="eastAsia" w:asciiTheme="minorEastAsia" w:hAnsiTheme="minorEastAsia" w:eastAsiaTheme="minorEastAsia" w:cstheme="minorEastAsia"/>
          <w:color w:val="auto"/>
          <w:sz w:val="24"/>
          <w:szCs w:val="24"/>
          <w:highlight w:val="none"/>
        </w:rPr>
        <w:t xml:space="preserve"> </w:t>
      </w:r>
      <w:bookmarkStart w:id="51" w:name="_GoBack"/>
      <w:bookmarkEnd w:id="51"/>
    </w:p>
    <w:p>
      <w:pPr>
        <w:pStyle w:val="3"/>
        <w:widowControl/>
        <w:spacing w:before="0" w:after="0" w:line="360" w:lineRule="auto"/>
        <w:jc w:val="center"/>
        <w:rPr>
          <w:rFonts w:ascii="黑体" w:hAnsi="宋体" w:cs="黑体"/>
          <w:b/>
          <w:color w:val="auto"/>
          <w:kern w:val="44"/>
          <w:sz w:val="44"/>
          <w:szCs w:val="44"/>
          <w:highlight w:val="none"/>
        </w:rPr>
      </w:pPr>
      <w:bookmarkStart w:id="2" w:name="_Toc13302"/>
      <w:bookmarkStart w:id="3" w:name="_Toc374128472"/>
      <w:bookmarkStart w:id="4" w:name="_Toc13388"/>
      <w:bookmarkStart w:id="5" w:name="_Toc20698"/>
      <w:r>
        <w:rPr>
          <w:rFonts w:hint="eastAsia" w:ascii="黑体" w:hAnsi="宋体" w:cs="黑体"/>
          <w:b/>
          <w:color w:val="auto"/>
          <w:kern w:val="44"/>
          <w:sz w:val="44"/>
          <w:szCs w:val="44"/>
          <w:highlight w:val="none"/>
        </w:rPr>
        <w:t>第1章 投标须知及前附表</w:t>
      </w:r>
      <w:bookmarkEnd w:id="2"/>
      <w:bookmarkEnd w:id="3"/>
      <w:bookmarkEnd w:id="4"/>
      <w:bookmarkEnd w:id="5"/>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7"/>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jc w:val="both"/>
              <w:rPr>
                <w:rFonts w:hint="eastAsia" w:ascii="宋体" w:hAnsi="宋体" w:eastAsia="宋体" w:cs="宋体"/>
                <w:color w:val="auto"/>
                <w:highlight w:val="none"/>
                <w:u w:val="none"/>
                <w:lang w:eastAsia="zh-CN"/>
              </w:rPr>
            </w:pPr>
            <w:r>
              <w:rPr>
                <w:rFonts w:hint="eastAsia" w:ascii="宋体" w:hAnsi="宋体" w:eastAsia="宋体" w:cs="宋体"/>
                <w:b w:val="0"/>
                <w:bCs w:val="0"/>
                <w:color w:val="auto"/>
                <w:kern w:val="2"/>
                <w:sz w:val="21"/>
                <w:szCs w:val="21"/>
                <w:highlight w:val="none"/>
                <w:u w:val="none"/>
                <w:lang w:val="en-US" w:eastAsia="zh-CN"/>
              </w:rPr>
              <w:t>南沙天后宫正殿、南岭塔室内照明提升</w:t>
            </w:r>
            <w:r>
              <w:rPr>
                <w:rFonts w:hint="eastAsia" w:ascii="宋体" w:hAnsi="宋体" w:eastAsia="宋体" w:cs="宋体"/>
                <w:b w:val="0"/>
                <w:color w:val="auto"/>
                <w:sz w:val="21"/>
                <w:szCs w:val="21"/>
                <w:highlight w:val="none"/>
                <w:u w:val="none"/>
                <w:lang w:val="en-US" w:eastAsia="zh-CN"/>
              </w:rPr>
              <w:t>项目</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jc w:val="left"/>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广州市南沙区天后宫景区内</w:t>
            </w:r>
          </w:p>
        </w:tc>
      </w:tr>
      <w:tr>
        <w:tblPrEx>
          <w:tblCellMar>
            <w:top w:w="0" w:type="dxa"/>
            <w:left w:w="108" w:type="dxa"/>
            <w:bottom w:w="0" w:type="dxa"/>
            <w:right w:w="108" w:type="dxa"/>
          </w:tblCellMar>
        </w:tblPrEx>
        <w:trPr>
          <w:trHeight w:val="562"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cs="宋体"/>
                <w:color w:val="auto"/>
                <w:highlight w:val="none"/>
                <w:lang w:val="en-US" w:eastAsia="zh-CN"/>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u w:val="none"/>
              </w:rPr>
              <w:t>对南沙天后宫正殿、南岭塔进行室内照明系统改造提升</w:t>
            </w:r>
            <w:r>
              <w:rPr>
                <w:rFonts w:hint="eastAsia" w:ascii="宋体" w:hAnsi="宋体" w:eastAsia="宋体" w:cs="宋体"/>
                <w:bCs w:val="0"/>
                <w:color w:val="auto"/>
                <w:kern w:val="2"/>
                <w:sz w:val="21"/>
                <w:szCs w:val="21"/>
                <w:highlight w:val="none"/>
                <w:u w:val="none"/>
                <w:lang w:eastAsia="zh-CN"/>
              </w:rPr>
              <w:t>，</w:t>
            </w:r>
            <w:r>
              <w:rPr>
                <w:rFonts w:hint="eastAsia" w:ascii="宋体" w:hAnsi="宋体" w:eastAsia="宋体" w:cs="宋体"/>
                <w:bCs w:val="0"/>
                <w:color w:val="auto"/>
                <w:kern w:val="2"/>
                <w:sz w:val="21"/>
                <w:szCs w:val="21"/>
                <w:highlight w:val="none"/>
                <w:u w:val="none"/>
                <w:lang w:val="en-US" w:eastAsia="zh-CN"/>
              </w:rPr>
              <w:t>主要内容为</w:t>
            </w:r>
            <w:r>
              <w:rPr>
                <w:rFonts w:hint="eastAsia" w:ascii="宋体" w:hAnsi="宋体" w:eastAsia="宋体" w:cs="宋体"/>
                <w:color w:val="auto"/>
                <w:kern w:val="2"/>
                <w:position w:val="0"/>
                <w:sz w:val="21"/>
                <w:szCs w:val="21"/>
                <w:highlight w:val="none"/>
                <w:u w:val="none"/>
              </w:rPr>
              <w:t>新做洗墙灯、投光灯、射灯、筒灯及管线安装</w:t>
            </w:r>
            <w:r>
              <w:rPr>
                <w:rFonts w:hint="eastAsia" w:ascii="宋体" w:hAnsi="宋体" w:eastAsia="宋体" w:cs="宋体"/>
                <w:color w:val="auto"/>
                <w:kern w:val="2"/>
                <w:position w:val="0"/>
                <w:sz w:val="21"/>
                <w:szCs w:val="21"/>
                <w:highlight w:val="none"/>
                <w:u w:val="none"/>
                <w:lang w:val="en-US" w:eastAsia="zh-CN"/>
              </w:rPr>
              <w:t>等</w:t>
            </w:r>
            <w:r>
              <w:rPr>
                <w:rFonts w:hint="eastAsia" w:ascii="宋体" w:hAnsi="宋体" w:eastAsia="宋体" w:cs="宋体"/>
                <w:color w:val="auto"/>
                <w:kern w:val="2"/>
                <w:sz w:val="21"/>
                <w:szCs w:val="21"/>
                <w:highlight w:val="none"/>
                <w:u w:val="none"/>
                <w:lang w:val="en-US" w:eastAsia="zh-CN" w:bidi="ar-SA"/>
              </w:rPr>
              <w:t>。详细内容请参阅招标文件第三章用户需求书相关内容。</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FF0000"/>
                <w:highlight w:val="none"/>
                <w:u w:val="none"/>
                <w:lang w:eastAsia="zh-CN"/>
              </w:rPr>
            </w:pPr>
            <w:r>
              <w:rPr>
                <w:rFonts w:hint="eastAsia" w:ascii="宋体" w:hAnsi="宋体" w:eastAsia="宋体" w:cs="宋体"/>
                <w:color w:val="auto"/>
                <w:kern w:val="2"/>
                <w:sz w:val="21"/>
                <w:highlight w:val="none"/>
                <w:u w:val="none"/>
                <w:lang w:val="en-US" w:eastAsia="zh-CN"/>
              </w:rPr>
              <w:t>总价包干，</w:t>
            </w:r>
            <w:r>
              <w:rPr>
                <w:rFonts w:hint="eastAsia" w:ascii="宋体" w:hAnsi="宋体" w:eastAsia="宋体" w:cs="宋体"/>
                <w:bCs w:val="0"/>
                <w:color w:val="auto"/>
                <w:sz w:val="21"/>
                <w:szCs w:val="21"/>
                <w:highlight w:val="none"/>
                <w:u w:val="none"/>
              </w:rPr>
              <w:t>包工、包料、包设备、包工期、包质量、包安全、包文明施工、包项目协调管理、包验收移交、包竣工资料收集整理、包保修</w:t>
            </w:r>
            <w:r>
              <w:rPr>
                <w:rFonts w:hint="eastAsia" w:ascii="宋体" w:hAnsi="宋体" w:cs="宋体"/>
                <w:bCs w:val="0"/>
                <w:color w:val="auto"/>
                <w:sz w:val="21"/>
                <w:szCs w:val="21"/>
                <w:highlight w:val="none"/>
                <w:u w:val="none"/>
                <w:lang w:val="en-US" w:eastAsia="zh-CN"/>
              </w:rPr>
              <w:t>等</w:t>
            </w:r>
            <w:r>
              <w:rPr>
                <w:rFonts w:hint="eastAsia" w:ascii="宋体" w:hAnsi="宋体" w:eastAsia="宋体" w:cs="宋体"/>
                <w:bCs w:val="0"/>
                <w:color w:val="auto"/>
                <w:sz w:val="21"/>
                <w:szCs w:val="21"/>
                <w:highlight w:val="none"/>
                <w:u w:val="none"/>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shd w:val="clear"/>
                <w:lang w:eastAsia="zh-CN"/>
              </w:rPr>
              <w:t>总投资约</w:t>
            </w:r>
            <w:r>
              <w:rPr>
                <w:rFonts w:hint="eastAsia" w:ascii="宋体" w:hAnsi="宋体" w:cs="宋体"/>
                <w:color w:val="auto"/>
                <w:sz w:val="21"/>
                <w:szCs w:val="21"/>
                <w:highlight w:val="none"/>
                <w:u w:val="none"/>
                <w:lang w:val="en-US" w:eastAsia="zh-CN"/>
              </w:rPr>
              <w:t>48.7</w:t>
            </w:r>
            <w:r>
              <w:rPr>
                <w:rFonts w:hint="eastAsia" w:ascii="宋体" w:hAnsi="宋体" w:eastAsia="宋体" w:cs="宋体"/>
                <w:color w:val="auto"/>
                <w:sz w:val="21"/>
                <w:szCs w:val="21"/>
                <w:highlight w:val="none"/>
                <w:u w:val="none"/>
              </w:rPr>
              <w:t>万元</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6</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合格</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u w:val="none"/>
              </w:rPr>
              <w:t>招标图纸及工程量清单范围内施工专业承包（承包人需按发包人要求施工，根据现场实际情况施工，设计图纸有调整时，必须服从要求调整）</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kern w:val="2"/>
                <w:sz w:val="21"/>
                <w:szCs w:val="21"/>
                <w:highlight w:val="none"/>
                <w:u w:val="none"/>
                <w:lang w:val="en-US" w:eastAsia="zh-CN" w:bidi="ar-SA"/>
              </w:rPr>
              <w:t>30</w:t>
            </w:r>
            <w:r>
              <w:rPr>
                <w:rFonts w:hint="eastAsia" w:ascii="宋体" w:hAnsi="宋体" w:eastAsia="宋体" w:cs="宋体"/>
                <w:color w:val="auto"/>
                <w:kern w:val="2"/>
                <w:sz w:val="21"/>
                <w:szCs w:val="21"/>
                <w:highlight w:val="none"/>
                <w:u w:val="none"/>
                <w:lang w:val="en-US" w:eastAsia="zh-CN" w:bidi="ar-SA"/>
              </w:rPr>
              <w:t>个日历天。</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具有承接本工程所需的城市及道路照明工程专业承包</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rPr>
              <w:t>级或以上资质</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cs="宋体"/>
                <w:color w:val="auto"/>
                <w:highlight w:val="none"/>
              </w:rPr>
            </w:pPr>
            <w:r>
              <w:rPr>
                <w:rFonts w:hint="eastAsia" w:ascii="宋体" w:hAnsi="宋体" w:cs="宋体"/>
                <w:color w:val="0000FF"/>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1"/>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Autospacing="0" w:after="0" w:line="440" w:lineRule="exact"/>
              <w:ind w:firstLine="0"/>
              <w:jc w:val="center"/>
              <w:rPr>
                <w:rFonts w:ascii="宋体" w:hAnsi="宋体" w:cs="宋体"/>
                <w:color w:val="auto"/>
                <w:highlight w:val="none"/>
              </w:rPr>
            </w:pPr>
            <w:r>
              <w:rPr>
                <w:rFonts w:hint="eastAsia" w:ascii="宋体" w:hAnsi="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Autospacing="0" w:after="0" w:line="440" w:lineRule="exact"/>
              <w:ind w:left="0" w:leftChars="0" w:right="0" w:rightChars="0"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47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line="440" w:lineRule="exact"/>
              <w:ind w:firstLine="210" w:firstLineChars="100"/>
              <w:rPr>
                <w:rFonts w:hint="eastAsia" w:ascii="宋体" w:hAnsi="宋体" w:eastAsia="宋体" w:cs="宋体"/>
                <w:color w:val="auto"/>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line="440" w:lineRule="exact"/>
              <w:rPr>
                <w:rFonts w:hint="eastAsia" w:ascii="宋体" w:hAnsi="宋体" w:eastAsia="宋体" w:cs="宋体"/>
                <w:color w:val="auto"/>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line="44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100" w:beforeAutospacing="0" w:after="0" w:line="440" w:lineRule="exact"/>
              <w:ind w:left="-59" w:leftChars="-28" w:right="-44" w:rightChars="-21" w:firstLine="0"/>
              <w:jc w:val="center"/>
              <w:rPr>
                <w:rFonts w:ascii="宋体" w:hAnsi="宋体" w:cs="宋体"/>
                <w:color w:val="auto"/>
                <w:highlight w:val="none"/>
              </w:rPr>
            </w:pPr>
            <w:r>
              <w:rPr>
                <w:rFonts w:hint="eastAsia" w:ascii="宋体" w:hAnsi="宋体" w:cs="宋体"/>
                <w:color w:val="auto"/>
                <w:sz w:val="21"/>
                <w:szCs w:val="21"/>
                <w:highlight w:val="none"/>
              </w:rPr>
              <w:t>投标最高限价</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1"/>
              <w:widowControl/>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招标控制价为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bCs w:val="0"/>
                <w:color w:val="auto"/>
                <w:sz w:val="21"/>
                <w:szCs w:val="21"/>
                <w:highlight w:val="none"/>
                <w:u w:val="none"/>
              </w:rPr>
              <w:t>454982.09</w:t>
            </w:r>
            <w:r>
              <w:rPr>
                <w:rFonts w:hint="eastAsia" w:ascii="宋体" w:hAnsi="宋体" w:eastAsia="宋体" w:cs="宋体"/>
                <w:color w:val="auto"/>
                <w:sz w:val="21"/>
                <w:szCs w:val="21"/>
                <w:highlight w:val="none"/>
                <w:u w:val="none"/>
              </w:rPr>
              <w:t>元</w:t>
            </w:r>
            <w:r>
              <w:rPr>
                <w:rFonts w:hint="eastAsia" w:ascii="宋体" w:hAnsi="宋体" w:eastAsia="宋体" w:cs="宋体"/>
                <w:color w:val="auto"/>
                <w:sz w:val="21"/>
                <w:szCs w:val="21"/>
                <w:highlight w:val="none"/>
                <w:u w:val="none"/>
                <w:lang w:eastAsia="zh-CN"/>
              </w:rPr>
              <w:t>（大写：人民币</w:t>
            </w:r>
            <w:r>
              <w:rPr>
                <w:rFonts w:hint="eastAsia" w:ascii="宋体" w:hAnsi="宋体" w:eastAsia="宋体" w:cs="宋体"/>
                <w:color w:val="auto"/>
                <w:sz w:val="21"/>
                <w:szCs w:val="21"/>
                <w:highlight w:val="none"/>
                <w:u w:val="none"/>
                <w:lang w:val="en-US" w:eastAsia="zh-CN"/>
              </w:rPr>
              <w:t>肆拾伍万肆仟玖佰捌拾贰元玖分</w:t>
            </w:r>
            <w:r>
              <w:rPr>
                <w:rFonts w:hint="eastAsia" w:ascii="宋体" w:hAnsi="宋体" w:eastAsia="宋体" w:cs="宋体"/>
                <w:color w:val="auto"/>
                <w:sz w:val="21"/>
                <w:szCs w:val="21"/>
                <w:highlight w:val="none"/>
                <w:u w:val="none"/>
                <w:lang w:eastAsia="zh-CN"/>
              </w:rPr>
              <w:t>），其中，</w:t>
            </w:r>
            <w:r>
              <w:rPr>
                <w:rFonts w:hint="eastAsia" w:ascii="宋体" w:hAnsi="宋体" w:eastAsia="宋体" w:cs="宋体"/>
                <w:bCs w:val="0"/>
                <w:color w:val="auto"/>
                <w:sz w:val="21"/>
                <w:szCs w:val="21"/>
                <w:highlight w:val="none"/>
                <w:u w:val="none"/>
                <w:lang w:eastAsia="zh-CN"/>
              </w:rPr>
              <w:t>绿色施工安全防护措施费为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bCs w:val="0"/>
                <w:color w:val="auto"/>
                <w:sz w:val="21"/>
                <w:szCs w:val="21"/>
                <w:highlight w:val="none"/>
                <w:u w:val="none"/>
                <w:lang w:val="en-US" w:eastAsia="zh-CN"/>
              </w:rPr>
              <w:t>25445.15元（固定值）</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kern w:val="2"/>
                <w:sz w:val="21"/>
                <w:szCs w:val="21"/>
                <w:highlight w:val="none"/>
                <w:u w:val="none"/>
                <w:lang w:val="en-US" w:eastAsia="zh-CN" w:bidi="ar-SA"/>
              </w:rPr>
              <w:t>投标单位自行报价，投标总报价不能超过招标控制价，否则按废标处理）。（小数点后保留二位小数，第三位小数四舍五入）</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1、金额：人民币</w:t>
            </w:r>
            <w:r>
              <w:rPr>
                <w:rFonts w:hint="eastAsia" w:asciiTheme="minorEastAsia" w:hAnsiTheme="minorEastAsia" w:cstheme="minorBidi"/>
                <w:b w:val="0"/>
                <w:bCs w:val="0"/>
                <w:color w:val="auto"/>
                <w:sz w:val="21"/>
                <w:szCs w:val="21"/>
                <w:highlight w:val="none"/>
                <w:lang w:val="en-US" w:eastAsia="zh-CN"/>
              </w:rPr>
              <w:t>伍仟</w:t>
            </w:r>
            <w:r>
              <w:rPr>
                <w:rFonts w:hint="eastAsia" w:asciiTheme="minorEastAsia" w:hAnsiTheme="minorEastAsia" w:eastAsiaTheme="minorEastAsia"/>
                <w:color w:val="auto"/>
                <w:sz w:val="21"/>
                <w:szCs w:val="21"/>
                <w:highlight w:val="none"/>
              </w:rPr>
              <w:t>元。</w:t>
            </w:r>
          </w:p>
          <w:p>
            <w:pPr>
              <w:numPr>
                <w:ilvl w:val="-1"/>
                <w:numId w:val="0"/>
              </w:numPr>
              <w:adjustRightInd w:val="0"/>
              <w:snapToGrid w:val="0"/>
              <w:spacing w:line="360" w:lineRule="auto"/>
              <w:rPr>
                <w:rFonts w:hint="eastAsia" w:asciiTheme="minorEastAsia" w:hAnsiTheme="minorEastAsia" w:eastAsiaTheme="minorEastAsia"/>
                <w:color w:val="auto"/>
                <w:sz w:val="21"/>
                <w:szCs w:val="21"/>
                <w:highlight w:val="none"/>
                <w:lang w:eastAsia="zh-CN"/>
              </w:rPr>
            </w:pPr>
            <w:r>
              <w:rPr>
                <w:rFonts w:hint="eastAsia" w:asciiTheme="minorEastAsia" w:hAnsiTheme="minorEastAsia" w:eastAsiaTheme="minorEastAsia"/>
                <w:color w:val="auto"/>
                <w:sz w:val="21"/>
                <w:szCs w:val="21"/>
                <w:highlight w:val="none"/>
              </w:rPr>
              <w:t>2、缴纳方式：</w:t>
            </w:r>
            <w:r>
              <w:rPr>
                <w:rFonts w:hint="eastAsia" w:asciiTheme="minorEastAsia" w:hAnsiTheme="minorEastAsia"/>
                <w:color w:val="auto"/>
                <w:sz w:val="21"/>
                <w:szCs w:val="21"/>
                <w:highlight w:val="none"/>
                <w:lang w:eastAsia="zh-CN"/>
              </w:rPr>
              <w:t>银行转账。</w:t>
            </w:r>
          </w:p>
          <w:p>
            <w:pPr>
              <w:numPr>
                <w:ilvl w:val="-1"/>
                <w:numId w:val="0"/>
              </w:numPr>
              <w:adjustRightInd w:val="0"/>
              <w:spacing w:line="360" w:lineRule="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账户名称：</w:t>
            </w:r>
            <w:r>
              <w:rPr>
                <w:rFonts w:ascii="宋体" w:hAnsi="宋体" w:cs="宋体"/>
                <w:color w:val="auto"/>
                <w:sz w:val="21"/>
                <w:szCs w:val="21"/>
                <w:highlight w:val="none"/>
              </w:rPr>
              <w:t>广州南沙</w:t>
            </w:r>
            <w:r>
              <w:rPr>
                <w:rFonts w:hint="eastAsia" w:ascii="宋体" w:hAnsi="宋体" w:cs="宋体"/>
                <w:color w:val="auto"/>
                <w:sz w:val="21"/>
                <w:szCs w:val="21"/>
                <w:highlight w:val="none"/>
                <w:lang w:val="en-US" w:eastAsia="zh-CN"/>
              </w:rPr>
              <w:t>旅游发展</w:t>
            </w:r>
            <w:r>
              <w:rPr>
                <w:rFonts w:ascii="宋体" w:hAnsi="宋体" w:cs="宋体"/>
                <w:color w:val="auto"/>
                <w:sz w:val="21"/>
                <w:szCs w:val="21"/>
                <w:highlight w:val="none"/>
              </w:rPr>
              <w:t>有限公司</w:t>
            </w:r>
          </w:p>
          <w:p>
            <w:pPr>
              <w:numPr>
                <w:ilvl w:val="-1"/>
                <w:numId w:val="0"/>
              </w:numPr>
              <w:adjustRightInd w:val="0"/>
              <w:spacing w:line="360" w:lineRule="auto"/>
              <w:rPr>
                <w:rFonts w:hint="default" w:ascii="宋体" w:hAnsi="宋体" w:cs="宋体" w:eastAsiaTheme="minorEastAsia"/>
                <w:color w:val="auto"/>
                <w:sz w:val="21"/>
                <w:szCs w:val="21"/>
                <w:highlight w:val="none"/>
                <w:lang w:eastAsia="zh-CN"/>
              </w:rPr>
            </w:pPr>
            <w:r>
              <w:rPr>
                <w:rFonts w:hint="eastAsia" w:ascii="宋体" w:hAnsi="宋体"/>
                <w:color w:val="auto"/>
                <w:sz w:val="21"/>
                <w:szCs w:val="21"/>
                <w:highlight w:val="none"/>
              </w:rPr>
              <w:t>开户银行：</w:t>
            </w:r>
            <w:r>
              <w:rPr>
                <w:rFonts w:hint="default" w:ascii="宋体" w:hAnsi="宋体" w:cs="宋体"/>
                <w:b w:val="0"/>
                <w:bCs w:val="0"/>
                <w:color w:val="auto"/>
                <w:sz w:val="21"/>
                <w:szCs w:val="21"/>
                <w:highlight w:val="none"/>
              </w:rPr>
              <w:t>中国银行广州南沙科技园区支行</w:t>
            </w:r>
            <w:r>
              <w:rPr>
                <w:rFonts w:hint="default" w:ascii="宋体" w:hAnsi="宋体" w:cs="宋体"/>
                <w:color w:val="auto"/>
                <w:sz w:val="21"/>
                <w:szCs w:val="21"/>
                <w:highlight w:val="none"/>
                <w:lang w:val="en-US" w:eastAsia="zh-CN"/>
              </w:rPr>
              <w:t xml:space="preserve"> </w:t>
            </w:r>
          </w:p>
          <w:p>
            <w:pPr>
              <w:numPr>
                <w:ilvl w:val="-1"/>
                <w:numId w:val="0"/>
              </w:numPr>
              <w:adjustRightInd w:val="0"/>
              <w:spacing w:line="360" w:lineRule="auto"/>
              <w:rPr>
                <w:rFonts w:hint="default" w:ascii="宋体" w:hAnsi="宋体" w:cs="宋体" w:eastAsiaTheme="minorEastAsia"/>
                <w:color w:val="auto"/>
                <w:sz w:val="21"/>
                <w:szCs w:val="21"/>
                <w:highlight w:val="none"/>
                <w:lang w:val="en-US" w:eastAsia="zh-CN"/>
              </w:rPr>
            </w:pPr>
            <w:r>
              <w:rPr>
                <w:rFonts w:hint="eastAsia" w:ascii="宋体" w:hAnsi="宋体"/>
                <w:color w:val="auto"/>
                <w:sz w:val="21"/>
                <w:szCs w:val="21"/>
                <w:highlight w:val="none"/>
              </w:rPr>
              <w:t>账号</w:t>
            </w:r>
            <w:r>
              <w:rPr>
                <w:rFonts w:hint="default" w:ascii="宋体" w:hAnsi="宋体" w:cs="宋体"/>
                <w:color w:val="auto"/>
                <w:sz w:val="21"/>
                <w:szCs w:val="21"/>
                <w:highlight w:val="none"/>
              </w:rPr>
              <w:t>：</w:t>
            </w:r>
            <w:r>
              <w:rPr>
                <w:rFonts w:hint="default" w:ascii="宋体" w:hAnsi="宋体" w:cs="宋体"/>
                <w:b w:val="0"/>
                <w:bCs w:val="0"/>
                <w:color w:val="auto"/>
                <w:sz w:val="21"/>
                <w:szCs w:val="21"/>
                <w:highlight w:val="none"/>
              </w:rPr>
              <w:t>644457756045</w:t>
            </w:r>
          </w:p>
          <w:p>
            <w:pPr>
              <w:numPr>
                <w:ilvl w:val="0"/>
                <w:numId w:val="1"/>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Theme="minorEastAsia" w:hAnsiTheme="minorEastAsia" w:eastAsiaTheme="minorEastAsia"/>
                <w:color w:val="auto"/>
                <w:sz w:val="21"/>
                <w:szCs w:val="21"/>
                <w:highlight w:val="none"/>
              </w:rPr>
              <w:t>缴纳时间：投标单位须在</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3月30</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 xml:space="preserve">四 </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12</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color w:val="auto"/>
                <w:sz w:val="21"/>
                <w:szCs w:val="21"/>
                <w:highlight w:val="none"/>
                <w:u w:val="single"/>
                <w:lang w:eastAsia="zh-CN"/>
              </w:rPr>
              <w:t>前</w:t>
            </w:r>
            <w:r>
              <w:rPr>
                <w:rFonts w:hint="eastAsia" w:asciiTheme="minorEastAsia" w:hAnsiTheme="minorEastAsia" w:eastAsiaTheme="minorEastAsia"/>
                <w:color w:val="auto"/>
                <w:sz w:val="21"/>
                <w:szCs w:val="21"/>
                <w:highlight w:val="none"/>
              </w:rPr>
              <w:t>以</w:t>
            </w:r>
            <w:r>
              <w:rPr>
                <w:rFonts w:hint="eastAsia"/>
                <w:color w:val="auto"/>
                <w:sz w:val="21"/>
                <w:szCs w:val="21"/>
                <w:highlight w:val="none"/>
              </w:rPr>
              <w:t>投标人转出【以招标单位查询的信息为准，汇款时备注：</w:t>
            </w:r>
            <w:r>
              <w:rPr>
                <w:rFonts w:hint="eastAsia" w:ascii="宋体" w:hAnsi="宋体" w:eastAsia="宋体" w:cs="宋体"/>
                <w:b w:val="0"/>
                <w:bCs w:val="0"/>
                <w:color w:val="auto"/>
                <w:kern w:val="2"/>
                <w:sz w:val="21"/>
                <w:szCs w:val="24"/>
                <w:highlight w:val="none"/>
                <w:u w:val="none"/>
                <w:lang w:val="en-US" w:eastAsia="zh-CN"/>
              </w:rPr>
              <w:t>南沙天后宫正殿、南岭塔室内照明提升</w:t>
            </w:r>
            <w:r>
              <w:rPr>
                <w:rFonts w:hint="eastAsia" w:ascii="宋体" w:hAnsi="宋体" w:eastAsia="宋体" w:cs="宋体"/>
                <w:color w:val="auto"/>
                <w:highlight w:val="none"/>
                <w:u w:val="none"/>
                <w:lang w:eastAsia="zh-CN"/>
              </w:rPr>
              <w:t>项目</w:t>
            </w:r>
            <w:r>
              <w:rPr>
                <w:rFonts w:hint="eastAsia"/>
                <w:color w:val="auto"/>
                <w:sz w:val="21"/>
                <w:szCs w:val="21"/>
                <w:highlight w:val="none"/>
              </w:rPr>
              <w:t>投标保证金】</w:t>
            </w:r>
          </w:p>
          <w:p>
            <w:pPr>
              <w:numPr>
                <w:ilvl w:val="-1"/>
                <w:numId w:val="0"/>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color w:val="auto"/>
                <w:sz w:val="21"/>
                <w:szCs w:val="21"/>
                <w:highlight w:val="none"/>
                <w:lang w:val="en-US" w:eastAsia="zh-CN"/>
              </w:rPr>
              <w:t>4、</w:t>
            </w:r>
            <w:r>
              <w:rPr>
                <w:rFonts w:hint="eastAsia"/>
                <w:color w:val="auto"/>
                <w:sz w:val="21"/>
                <w:szCs w:val="21"/>
                <w:highlight w:val="none"/>
              </w:rPr>
              <w:t>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0" w:beforeAutospacing="0" w:after="0" w:line="440" w:lineRule="exact"/>
              <w:ind w:left="0" w:leftChars="0" w:right="0" w:rightChars="0" w:firstLine="0"/>
              <w:jc w:val="center"/>
              <w:rPr>
                <w:rFonts w:hint="eastAsia"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收件人：林小姐，</w:t>
            </w:r>
            <w:r>
              <w:rPr>
                <w:rFonts w:hint="eastAsia" w:ascii="宋体" w:hAnsi="宋体" w:eastAsia="宋体" w:cs="宋体"/>
                <w:color w:val="auto"/>
                <w:kern w:val="2"/>
                <w:sz w:val="21"/>
                <w:szCs w:val="21"/>
                <w:highlight w:val="none"/>
                <w:u w:val="none"/>
              </w:rPr>
              <w:t>020-</w:t>
            </w:r>
            <w:r>
              <w:rPr>
                <w:rFonts w:hint="eastAsia" w:ascii="宋体" w:hAnsi="宋体" w:eastAsia="宋体" w:cs="宋体"/>
                <w:color w:val="auto"/>
                <w:kern w:val="2"/>
                <w:sz w:val="21"/>
                <w:szCs w:val="21"/>
                <w:highlight w:val="none"/>
                <w:u w:val="none"/>
                <w:lang w:val="en-US" w:eastAsia="zh-CN"/>
              </w:rPr>
              <w:t>31151828</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w:t>
            </w:r>
            <w:r>
              <w:rPr>
                <w:rFonts w:hint="eastAsia" w:ascii="宋体" w:hAnsi="宋体" w:eastAsia="宋体" w:cs="宋体"/>
                <w:color w:val="auto"/>
                <w:kern w:val="2"/>
                <w:sz w:val="21"/>
                <w:szCs w:val="21"/>
                <w:highlight w:val="none"/>
                <w:u w:val="none"/>
                <w:shd w:val="clear" w:color="auto" w:fill="auto"/>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color="auto" w:fill="auto"/>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 xml:space="preserve"> 3月31</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3月31</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分前</w:t>
            </w:r>
            <w:r>
              <w:rPr>
                <w:rFonts w:hint="eastAsia" w:ascii="宋体" w:hAnsi="宋体" w:eastAsia="宋体" w:cs="宋体"/>
                <w:color w:val="auto"/>
                <w:kern w:val="2"/>
                <w:sz w:val="21"/>
                <w:szCs w:val="21"/>
                <w:highlight w:val="none"/>
                <w:u w:val="none"/>
                <w:lang w:val="en-US" w:eastAsia="zh-CN" w:bidi="ar-SA"/>
              </w:rPr>
              <w:t>。</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3月31</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w:t>
            </w:r>
            <w:r>
              <w:rPr>
                <w:rFonts w:hint="eastAsia" w:ascii="宋体" w:hAnsi="宋体" w:eastAsia="宋体" w:cs="宋体"/>
                <w:color w:val="auto"/>
                <w:kern w:val="2"/>
                <w:sz w:val="21"/>
                <w:szCs w:val="21"/>
                <w:highlight w:val="none"/>
                <w:u w:val="none"/>
                <w:shd w:val="clear"/>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4"/>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ascii="宋体" w:hAnsi="宋体" w:eastAsia="宋体" w:cs="宋体"/>
                <w:color w:val="auto"/>
                <w:highlight w:val="none"/>
                <w:u w:val="none"/>
              </w:rPr>
            </w:pPr>
            <w:r>
              <w:rPr>
                <w:rFonts w:hint="eastAsia" w:ascii="宋体" w:hAnsi="宋体" w:eastAsia="宋体" w:cs="宋体"/>
                <w:color w:val="auto"/>
                <w:szCs w:val="21"/>
                <w:highlight w:val="none"/>
                <w:u w:val="none"/>
              </w:rPr>
              <w:t>综合评分法</w:t>
            </w:r>
          </w:p>
        </w:tc>
      </w:tr>
    </w:tbl>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pStyle w:val="2"/>
        <w:rPr>
          <w:rFonts w:hint="eastAsia" w:ascii="宋体" w:hAnsi="宋体" w:eastAsia="宋体" w:cs="宋体"/>
          <w:b/>
          <w:color w:val="auto"/>
          <w:sz w:val="36"/>
          <w:szCs w:val="36"/>
          <w:highlight w:val="none"/>
        </w:rPr>
      </w:pPr>
    </w:p>
    <w:p>
      <w:pPr>
        <w:rPr>
          <w:rFonts w:hint="eastAsia"/>
        </w:rPr>
      </w:pPr>
    </w:p>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lang w:val="en-US" w:eastAsia="zh-CN"/>
        </w:rPr>
        <w:t xml:space="preserve"> </w:t>
      </w:r>
      <w:r>
        <w:rPr>
          <w:rFonts w:hint="eastAsia" w:ascii="宋体" w:hAnsi="宋体" w:eastAsia="宋体" w:cs="宋体"/>
          <w:b w:val="0"/>
          <w:bCs w:val="0"/>
          <w:i w:val="0"/>
          <w:caps w:val="0"/>
          <w:color w:val="auto"/>
          <w:spacing w:val="0"/>
          <w:w w:val="100"/>
          <w:kern w:val="2"/>
          <w:sz w:val="24"/>
          <w:szCs w:val="24"/>
          <w:highlight w:val="none"/>
          <w:u w:val="single"/>
          <w:lang w:val="en-US" w:eastAsia="zh-CN"/>
        </w:rPr>
        <w:t>广州市南沙</w:t>
      </w:r>
      <w:r>
        <w:rPr>
          <w:rFonts w:hint="eastAsia" w:ascii="宋体" w:hAnsi="宋体" w:eastAsia="宋体" w:cs="宋体"/>
          <w:b w:val="0"/>
          <w:color w:val="auto"/>
          <w:kern w:val="2"/>
          <w:sz w:val="24"/>
          <w:szCs w:val="24"/>
          <w:highlight w:val="none"/>
          <w:u w:val="single"/>
          <w:lang w:val="en-US" w:eastAsia="zh-CN"/>
        </w:rPr>
        <w:t>天后文化学会、</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rPr>
        <w:t>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 “书面函件”指打字或印刷的函件，包括电传、电报和传真。</w:t>
      </w:r>
    </w:p>
    <w:p>
      <w:pPr>
        <w:spacing w:line="360" w:lineRule="auto"/>
        <w:ind w:firstLine="482" w:firstLineChars="200"/>
        <w:outlineLvl w:val="3"/>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2.2项目概况：</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建设</w:t>
      </w:r>
      <w:r>
        <w:rPr>
          <w:rFonts w:hint="eastAsia" w:ascii="宋体" w:hAnsi="宋体" w:eastAsia="宋体" w:cs="宋体"/>
          <w:color w:val="auto"/>
          <w:sz w:val="24"/>
          <w:highlight w:val="none"/>
          <w:lang w:val="en-US" w:eastAsia="zh-CN"/>
        </w:rPr>
        <w:t>规模</w:t>
      </w:r>
      <w:r>
        <w:rPr>
          <w:rFonts w:hint="eastAsia" w:ascii="宋体" w:hAnsi="宋体" w:eastAsia="宋体" w:cs="宋体"/>
          <w:color w:val="auto"/>
          <w:sz w:val="24"/>
          <w:highlight w:val="none"/>
        </w:rPr>
        <w:t>：见投标须知前附表第2项。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4承包方式</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见投标须知前附表第3项。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6质量</w:t>
      </w:r>
      <w:r>
        <w:rPr>
          <w:rFonts w:hint="eastAsia" w:ascii="宋体" w:hAnsi="宋体" w:eastAsia="宋体" w:cs="宋体"/>
          <w:color w:val="auto"/>
          <w:sz w:val="24"/>
          <w:highlight w:val="none"/>
        </w:rPr>
        <w:t>目标：见投标须知前附表第5项。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4"/>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hint="eastAsia" w:ascii="黑体" w:hAnsi="华文楷体" w:eastAsia="黑体" w:cs="黑体"/>
          <w:color w:val="auto"/>
          <w:sz w:val="24"/>
          <w:highlight w:val="none"/>
          <w:lang w:eastAsia="zh-CN"/>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4）合同</w:t>
      </w:r>
      <w:r>
        <w:rPr>
          <w:rFonts w:hint="eastAsia" w:ascii="黑体" w:hAnsi="华文楷体" w:eastAsia="黑体" w:cs="黑体"/>
          <w:color w:val="auto"/>
          <w:sz w:val="24"/>
          <w:highlight w:val="none"/>
          <w:lang w:eastAsia="zh-CN"/>
        </w:rPr>
        <w:t>（</w:t>
      </w:r>
      <w:r>
        <w:rPr>
          <w:rFonts w:hint="eastAsia" w:ascii="黑体" w:hAnsi="华文楷体" w:eastAsia="黑体" w:cs="黑体"/>
          <w:color w:val="auto"/>
          <w:sz w:val="24"/>
          <w:highlight w:val="none"/>
          <w:lang w:val="en-US" w:eastAsia="zh-CN"/>
        </w:rPr>
        <w:t>另附</w:t>
      </w:r>
      <w:r>
        <w:rPr>
          <w:rFonts w:hint="eastAsia" w:ascii="黑体" w:hAnsi="华文楷体" w:eastAsia="黑体" w:cs="黑体"/>
          <w:color w:val="auto"/>
          <w:sz w:val="24"/>
          <w:highlight w:val="none"/>
          <w:lang w:eastAsia="zh-CN"/>
        </w:rPr>
        <w:t>）</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日前，招标人可对招标文件进行必要的澄清或修改。</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4"/>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widowControl/>
        <w:spacing w:line="360" w:lineRule="auto"/>
        <w:ind w:firstLine="480" w:firstLineChars="200"/>
        <w:jc w:val="left"/>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 xml:space="preserve">6 </w:t>
      </w:r>
      <w:r>
        <w:rPr>
          <w:rFonts w:hint="eastAsia" w:ascii="宋体" w:hAnsi="宋体" w:eastAsia="宋体" w:cs="宋体"/>
          <w:color w:val="auto"/>
          <w:sz w:val="24"/>
          <w:highlight w:val="none"/>
        </w:rPr>
        <w:t>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7</w:t>
      </w:r>
      <w:r>
        <w:rPr>
          <w:rFonts w:hint="eastAsia" w:ascii="宋体" w:hAnsi="宋体" w:eastAsia="宋体" w:cs="宋体"/>
          <w:b w:val="0"/>
          <w:bCs w:val="0"/>
          <w:color w:val="auto"/>
          <w:kern w:val="2"/>
          <w:sz w:val="24"/>
          <w:highlight w:val="none"/>
          <w:lang w:val="en-US" w:eastAsia="zh-CN" w:bidi="ar-SA"/>
        </w:rPr>
        <w:t>投标人业绩一览表</w:t>
      </w:r>
      <w:r>
        <w:rPr>
          <w:rFonts w:hint="eastAsia" w:ascii="宋体" w:hAnsi="宋体" w:eastAsia="宋体" w:cs="宋体"/>
          <w:color w:val="auto"/>
          <w:sz w:val="24"/>
          <w:highlight w:val="none"/>
        </w:rPr>
        <w:t>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报价表。</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技术标文件（独立成册）。</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投标文件电子版（刻录光盘</w:t>
      </w:r>
      <w:r>
        <w:rPr>
          <w:rFonts w:hint="eastAsia" w:ascii="宋体" w:hAnsi="宋体" w:eastAsia="宋体" w:cs="宋体"/>
          <w:color w:val="auto"/>
          <w:sz w:val="24"/>
          <w:highlight w:val="none"/>
          <w:lang w:eastAsia="zh-CN"/>
        </w:rPr>
        <w:t>或提供</w:t>
      </w:r>
      <w:r>
        <w:rPr>
          <w:rFonts w:hint="eastAsia" w:ascii="宋体" w:hAnsi="宋体" w:eastAsia="宋体" w:cs="宋体"/>
          <w:color w:val="auto"/>
          <w:sz w:val="24"/>
          <w:highlight w:val="none"/>
          <w:lang w:val="en-US" w:eastAsia="zh-CN"/>
        </w:rPr>
        <w:t>U盘</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11.11投标申请人声明。</w:t>
      </w:r>
    </w:p>
    <w:p>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11.12投标人认为需要提供的其他文件。</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招标控制价，否则按废标处理</w:t>
      </w:r>
      <w:r>
        <w:rPr>
          <w:rFonts w:hint="eastAsia" w:ascii="宋体" w:hAnsi="宋体" w:cs="宋体"/>
          <w:color w:val="auto"/>
          <w:sz w:val="24"/>
          <w:szCs w:val="24"/>
          <w:highlight w:val="none"/>
        </w:rPr>
        <w:t>。（小数点后保留二位小数，第三位小数四舍五入）</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4"/>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yellow"/>
        </w:rPr>
      </w:pPr>
      <w:r>
        <w:rPr>
          <w:rFonts w:hint="eastAsia" w:ascii="宋体" w:hAnsi="宋体" w:eastAsia="宋体" w:cs="宋体"/>
          <w:color w:val="auto"/>
          <w:sz w:val="24"/>
          <w:highlight w:val="none"/>
        </w:rPr>
        <w:t>3）经确认无误后，由有关工作人员公布下列内容：</w:t>
      </w:r>
      <w:r>
        <w:rPr>
          <w:rFonts w:hint="eastAsia" w:ascii="宋体" w:hAnsi="宋体" w:eastAsia="宋体" w:cs="宋体"/>
          <w:color w:val="auto"/>
          <w:sz w:val="24"/>
          <w:szCs w:val="24"/>
          <w:highlight w:val="none"/>
        </w:rPr>
        <w:t>a、投标人名称；b、标书密封情况；c、有无法定代表人证明书及授权委托证明书；d、投标总报价</w:t>
      </w:r>
      <w:r>
        <w:rPr>
          <w:rFonts w:hint="eastAsia" w:ascii="宋体" w:hAnsi="宋体" w:eastAsia="宋体" w:cs="宋体"/>
          <w:color w:val="auto"/>
          <w:sz w:val="24"/>
          <w:highlight w:val="none"/>
        </w:rPr>
        <w:t>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4"/>
        <w:widowControl/>
        <w:numPr>
          <w:ilvl w:val="0"/>
          <w:numId w:val="2"/>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4"/>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6" w:name="_Toc1632"/>
      <w:bookmarkStart w:id="7"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bookmarkStart w:id="8" w:name="_Toc28984"/>
      <w:bookmarkStart w:id="9" w:name="_Toc22411"/>
      <w:r>
        <w:rPr>
          <w:rFonts w:hint="eastAsia" w:ascii="方正小标宋简体" w:hAnsi="方正小标宋简体" w:eastAsia="方正小标宋简体" w:cs="方正小标宋简体"/>
          <w:b/>
          <w:color w:val="auto"/>
          <w:kern w:val="44"/>
          <w:sz w:val="36"/>
          <w:szCs w:val="36"/>
          <w:highlight w:val="none"/>
        </w:rPr>
        <w:t>第2章 项目需求书</w:t>
      </w:r>
      <w:bookmarkEnd w:id="6"/>
      <w:bookmarkEnd w:id="8"/>
      <w:bookmarkEnd w:id="9"/>
    </w:p>
    <w:p>
      <w:pPr>
        <w:rPr>
          <w:rFonts w:ascii="宋体" w:hAnsi="宋体" w:eastAsia="宋体" w:cs="宋体"/>
          <w:b/>
          <w:color w:val="auto"/>
          <w:sz w:val="30"/>
          <w:szCs w:val="30"/>
          <w:highlight w:val="none"/>
        </w:rPr>
      </w:pPr>
    </w:p>
    <w:p>
      <w:pPr>
        <w:pStyle w:val="6"/>
        <w:bidi w:val="0"/>
        <w:spacing w:line="560" w:lineRule="exact"/>
        <w:rPr>
          <w:rFonts w:hint="eastAsia" w:ascii="宋体" w:hAnsi="宋体" w:eastAsia="宋体" w:cs="宋体"/>
          <w:kern w:val="0"/>
          <w:szCs w:val="20"/>
        </w:rPr>
      </w:pPr>
      <w:bookmarkStart w:id="10" w:name="_Toc23673"/>
      <w:r>
        <w:rPr>
          <w:rFonts w:hint="eastAsia" w:ascii="宋体" w:hAnsi="宋体" w:eastAsia="宋体" w:cs="宋体"/>
          <w:color w:val="000000"/>
          <w:kern w:val="0"/>
          <w:szCs w:val="20"/>
        </w:rPr>
        <w:t>一、</w:t>
      </w:r>
      <w:r>
        <w:rPr>
          <w:rFonts w:hint="eastAsia" w:ascii="宋体" w:hAnsi="宋体" w:eastAsia="宋体" w:cs="宋体"/>
          <w:kern w:val="0"/>
          <w:szCs w:val="20"/>
        </w:rPr>
        <w:t>项目要求</w:t>
      </w:r>
      <w:bookmarkEnd w:id="10"/>
    </w:p>
    <w:p>
      <w:pPr>
        <w:spacing w:line="560" w:lineRule="exact"/>
        <w:ind w:firstLine="480" w:firstLineChars="200"/>
        <w:rPr>
          <w:rFonts w:hint="eastAsia" w:ascii="宋体" w:hAnsi="宋体" w:eastAsia="宋体" w:cs="Times New Roman"/>
          <w:color w:val="000000"/>
          <w:kern w:val="0"/>
          <w:sz w:val="24"/>
          <w:szCs w:val="24"/>
        </w:rPr>
      </w:pPr>
      <w:r>
        <w:rPr>
          <w:rFonts w:hint="eastAsia" w:ascii="宋体" w:hAnsi="宋体" w:eastAsia="宋体" w:cs="Times New Roman"/>
          <w:bCs w:val="0"/>
          <w:color w:val="000000"/>
          <w:kern w:val="0"/>
          <w:sz w:val="24"/>
          <w:szCs w:val="24"/>
          <w:u w:val="none"/>
        </w:rPr>
        <w:t>对南沙天后宫正殿、南岭塔进行室内照明系统改造提升</w:t>
      </w:r>
      <w:r>
        <w:rPr>
          <w:rFonts w:hint="eastAsia" w:ascii="宋体" w:hAnsi="宋体" w:eastAsia="宋体" w:cs="Times New Roman"/>
          <w:bCs w:val="0"/>
          <w:color w:val="000000"/>
          <w:kern w:val="0"/>
          <w:sz w:val="24"/>
          <w:szCs w:val="24"/>
          <w:u w:val="none"/>
          <w:lang w:eastAsia="zh-CN"/>
        </w:rPr>
        <w:t>，</w:t>
      </w:r>
      <w:r>
        <w:rPr>
          <w:rFonts w:hint="eastAsia" w:ascii="宋体" w:hAnsi="宋体" w:eastAsia="宋体" w:cs="Times New Roman"/>
          <w:bCs w:val="0"/>
          <w:color w:val="000000"/>
          <w:kern w:val="0"/>
          <w:sz w:val="24"/>
          <w:szCs w:val="24"/>
          <w:u w:val="none"/>
          <w:lang w:val="en-US" w:eastAsia="zh-CN"/>
        </w:rPr>
        <w:t>主要内容为</w:t>
      </w:r>
      <w:r>
        <w:rPr>
          <w:rFonts w:hint="eastAsia" w:ascii="宋体" w:hAnsi="宋体" w:eastAsia="宋体" w:cs="Times New Roman"/>
          <w:color w:val="000000"/>
          <w:kern w:val="0"/>
          <w:position w:val="0"/>
          <w:sz w:val="24"/>
          <w:szCs w:val="24"/>
          <w:u w:val="none"/>
        </w:rPr>
        <w:t>新做洗墙灯、投光灯、射灯、筒灯及管线安装</w:t>
      </w:r>
      <w:r>
        <w:rPr>
          <w:rFonts w:hint="eastAsia" w:ascii="宋体" w:hAnsi="宋体" w:eastAsia="宋体" w:cs="Times New Roman"/>
          <w:color w:val="000000"/>
          <w:kern w:val="0"/>
          <w:position w:val="0"/>
          <w:sz w:val="24"/>
          <w:szCs w:val="24"/>
          <w:u w:val="none"/>
          <w:lang w:val="en-US" w:eastAsia="zh-CN"/>
        </w:rPr>
        <w:t>等</w:t>
      </w:r>
      <w:r>
        <w:rPr>
          <w:rFonts w:hint="eastAsia" w:ascii="宋体" w:hAnsi="宋体" w:eastAsia="宋体" w:cs="Times New Roman"/>
          <w:color w:val="000000"/>
          <w:kern w:val="0"/>
          <w:sz w:val="24"/>
          <w:szCs w:val="24"/>
        </w:rPr>
        <w:t>。</w:t>
      </w:r>
    </w:p>
    <w:p>
      <w:pPr>
        <w:spacing w:line="560" w:lineRule="exact"/>
        <w:ind w:firstLine="480" w:firstLineChars="200"/>
        <w:rPr>
          <w:rFonts w:hint="eastAsia" w:ascii="宋体" w:hAnsi="宋体" w:eastAsia="宋体" w:cs="宋体"/>
          <w:kern w:val="0"/>
          <w:sz w:val="24"/>
          <w:szCs w:val="24"/>
          <w:lang w:eastAsia="zh-CN"/>
        </w:rPr>
      </w:pPr>
      <w:r>
        <w:rPr>
          <w:rFonts w:hint="eastAsia" w:ascii="宋体" w:hAnsi="宋体" w:eastAsia="宋体" w:cs="宋体"/>
          <w:b w:val="0"/>
          <w:bCs/>
          <w:color w:val="000000"/>
          <w:kern w:val="0"/>
          <w:sz w:val="24"/>
          <w:szCs w:val="24"/>
          <w:lang w:val="en-US" w:eastAsia="zh-CN"/>
        </w:rPr>
        <w:t>1</w:t>
      </w:r>
      <w:r>
        <w:rPr>
          <w:rFonts w:hint="eastAsia" w:ascii="宋体" w:hAnsi="宋体" w:eastAsia="宋体" w:cs="宋体"/>
          <w:b w:val="0"/>
          <w:bCs/>
          <w:color w:val="000000"/>
          <w:kern w:val="0"/>
          <w:sz w:val="24"/>
          <w:szCs w:val="24"/>
        </w:rPr>
        <w:t>.1</w:t>
      </w:r>
      <w:r>
        <w:rPr>
          <w:rFonts w:hint="eastAsia" w:ascii="宋体" w:hAnsi="宋体" w:eastAsia="宋体" w:cs="宋体"/>
          <w:b w:val="0"/>
          <w:bCs/>
          <w:color w:val="000000"/>
          <w:kern w:val="0"/>
          <w:sz w:val="24"/>
          <w:szCs w:val="24"/>
          <w:lang w:val="en-US" w:eastAsia="zh-CN"/>
        </w:rPr>
        <w:t xml:space="preserve"> </w:t>
      </w:r>
      <w:r>
        <w:rPr>
          <w:rFonts w:hint="eastAsia" w:ascii="宋体" w:hAnsi="宋体" w:eastAsia="宋体" w:cs="宋体"/>
          <w:kern w:val="0"/>
          <w:sz w:val="24"/>
          <w:szCs w:val="24"/>
        </w:rPr>
        <w:t>安装过程中不得破坏建筑物的外面装饰，影响原有的外观</w:t>
      </w:r>
      <w:r>
        <w:rPr>
          <w:rFonts w:hint="eastAsia" w:ascii="宋体" w:hAnsi="宋体" w:eastAsia="宋体" w:cs="宋体"/>
          <w:kern w:val="0"/>
          <w:sz w:val="24"/>
          <w:szCs w:val="24"/>
          <w:lang w:eastAsia="zh-CN"/>
        </w:rPr>
        <w:t>。</w:t>
      </w:r>
    </w:p>
    <w:p>
      <w:pPr>
        <w:spacing w:line="560" w:lineRule="exact"/>
        <w:ind w:firstLine="480" w:firstLineChars="200"/>
        <w:rPr>
          <w:rFonts w:hint="eastAsia" w:ascii="宋体" w:hAnsi="宋体" w:eastAsia="宋体" w:cs="宋体"/>
          <w:kern w:val="0"/>
          <w:sz w:val="24"/>
          <w:szCs w:val="24"/>
          <w:lang w:eastAsia="zh-CN"/>
        </w:rPr>
      </w:pPr>
      <w:r>
        <w:rPr>
          <w:rFonts w:hint="eastAsia" w:ascii="宋体" w:hAnsi="宋体" w:eastAsia="宋体" w:cs="宋体"/>
          <w:b w:val="0"/>
          <w:bCs/>
          <w:color w:val="000000"/>
          <w:kern w:val="0"/>
          <w:sz w:val="24"/>
          <w:szCs w:val="24"/>
          <w:lang w:val="en-US" w:eastAsia="zh-CN"/>
        </w:rPr>
        <w:t>1</w:t>
      </w:r>
      <w:r>
        <w:rPr>
          <w:rFonts w:hint="eastAsia" w:ascii="宋体" w:hAnsi="宋体" w:eastAsia="宋体" w:cs="宋体"/>
          <w:b w:val="0"/>
          <w:bCs/>
          <w:color w:val="000000"/>
          <w:kern w:val="0"/>
          <w:sz w:val="24"/>
          <w:szCs w:val="24"/>
        </w:rPr>
        <w:t>.</w:t>
      </w:r>
      <w:r>
        <w:rPr>
          <w:rFonts w:hint="eastAsia" w:ascii="宋体" w:hAnsi="宋体" w:eastAsia="宋体" w:cs="宋体"/>
          <w:b w:val="0"/>
          <w:bCs/>
          <w:color w:val="000000"/>
          <w:kern w:val="0"/>
          <w:sz w:val="24"/>
          <w:szCs w:val="24"/>
          <w:lang w:val="en-US" w:eastAsia="zh-CN"/>
        </w:rPr>
        <w:t xml:space="preserve">2 </w:t>
      </w:r>
      <w:r>
        <w:rPr>
          <w:rFonts w:hint="eastAsia" w:ascii="宋体" w:hAnsi="宋体" w:eastAsia="宋体" w:cs="宋体"/>
          <w:kern w:val="0"/>
          <w:sz w:val="24"/>
          <w:szCs w:val="24"/>
        </w:rPr>
        <w:t>为配合景区活动，</w:t>
      </w:r>
      <w:r>
        <w:rPr>
          <w:rFonts w:hint="eastAsia" w:ascii="宋体" w:hAnsi="宋体" w:eastAsia="宋体" w:cs="宋体"/>
          <w:kern w:val="0"/>
          <w:sz w:val="24"/>
          <w:szCs w:val="24"/>
          <w:highlight w:val="none"/>
        </w:rPr>
        <w:t>该</w:t>
      </w:r>
      <w:r>
        <w:rPr>
          <w:rFonts w:hint="eastAsia" w:ascii="宋体" w:hAnsi="宋体" w:eastAsia="宋体" w:cs="宋体"/>
          <w:kern w:val="0"/>
          <w:sz w:val="24"/>
          <w:szCs w:val="24"/>
          <w:highlight w:val="none"/>
          <w:lang w:val="en-US" w:eastAsia="zh-CN"/>
        </w:rPr>
        <w:t>项目</w:t>
      </w:r>
      <w:r>
        <w:rPr>
          <w:rFonts w:hint="eastAsia" w:ascii="宋体" w:hAnsi="宋体" w:eastAsia="宋体" w:cs="宋体"/>
          <w:kern w:val="0"/>
          <w:sz w:val="24"/>
          <w:szCs w:val="24"/>
          <w:highlight w:val="none"/>
        </w:rPr>
        <w:t>必须</w:t>
      </w:r>
      <w:r>
        <w:rPr>
          <w:rFonts w:hint="eastAsia" w:ascii="宋体" w:hAnsi="宋体" w:eastAsia="宋体" w:cs="宋体"/>
          <w:kern w:val="0"/>
          <w:sz w:val="24"/>
          <w:szCs w:val="24"/>
          <w:highlight w:val="none"/>
          <w:lang w:val="en-US" w:eastAsia="zh-CN"/>
        </w:rPr>
        <w:t>于规定工期内</w:t>
      </w:r>
      <w:r>
        <w:rPr>
          <w:rFonts w:hint="eastAsia" w:ascii="宋体" w:hAnsi="宋体" w:eastAsia="宋体" w:cs="宋体"/>
          <w:kern w:val="0"/>
          <w:sz w:val="24"/>
          <w:szCs w:val="24"/>
          <w:highlight w:val="none"/>
        </w:rPr>
        <w:t>完工</w:t>
      </w:r>
      <w:r>
        <w:rPr>
          <w:rFonts w:hint="eastAsia" w:ascii="宋体" w:hAnsi="宋体" w:eastAsia="宋体" w:cs="宋体"/>
          <w:kern w:val="0"/>
          <w:sz w:val="24"/>
          <w:szCs w:val="24"/>
          <w:highlight w:val="none"/>
          <w:lang w:eastAsia="zh-CN"/>
        </w:rPr>
        <w:t>。</w:t>
      </w:r>
    </w:p>
    <w:p>
      <w:pPr>
        <w:spacing w:line="560" w:lineRule="exact"/>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 xml:space="preserve">1.3 </w:t>
      </w:r>
      <w:r>
        <w:rPr>
          <w:rFonts w:hint="eastAsia" w:ascii="宋体" w:hAnsi="宋体" w:eastAsia="宋体" w:cs="宋体"/>
          <w:kern w:val="0"/>
          <w:sz w:val="24"/>
          <w:szCs w:val="24"/>
        </w:rPr>
        <w:t>所有的安装灯具必须是防水抗风、耐海水腐蚀的户外产品</w:t>
      </w:r>
      <w:r>
        <w:rPr>
          <w:rFonts w:hint="eastAsia" w:ascii="宋体" w:hAnsi="宋体" w:eastAsia="宋体" w:cs="宋体"/>
          <w:kern w:val="0"/>
          <w:sz w:val="24"/>
          <w:szCs w:val="24"/>
          <w:lang w:eastAsia="zh-CN"/>
        </w:rPr>
        <w:t>。</w:t>
      </w:r>
    </w:p>
    <w:p>
      <w:pPr>
        <w:spacing w:line="560" w:lineRule="exact"/>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 xml:space="preserve">1.4 </w:t>
      </w:r>
      <w:r>
        <w:rPr>
          <w:rFonts w:hint="eastAsia" w:ascii="宋体" w:hAnsi="宋体" w:eastAsia="宋体" w:cs="宋体"/>
          <w:kern w:val="0"/>
          <w:sz w:val="24"/>
          <w:szCs w:val="24"/>
        </w:rPr>
        <w:t>投标人需提前勘察现场环境</w:t>
      </w:r>
      <w:r>
        <w:rPr>
          <w:rFonts w:hint="eastAsia" w:ascii="宋体" w:hAnsi="宋体" w:eastAsia="宋体" w:cs="宋体"/>
          <w:kern w:val="0"/>
          <w:sz w:val="24"/>
          <w:szCs w:val="24"/>
          <w:lang w:eastAsia="zh-CN"/>
        </w:rPr>
        <w:t>。</w:t>
      </w:r>
    </w:p>
    <w:p>
      <w:pPr>
        <w:spacing w:line="560" w:lineRule="exact"/>
        <w:ind w:firstLine="480" w:firstLineChars="200"/>
        <w:rPr>
          <w:rFonts w:hint="eastAsia" w:ascii="宋体" w:hAnsi="宋体" w:eastAsia="宋体" w:cs="Times New Roman"/>
          <w:bCs w:val="0"/>
          <w:color w:val="000000"/>
          <w:kern w:val="0"/>
          <w:sz w:val="24"/>
          <w:szCs w:val="24"/>
          <w:highlight w:val="none"/>
          <w:lang w:eastAsia="zh-CN"/>
        </w:rPr>
      </w:pPr>
      <w:r>
        <w:rPr>
          <w:rFonts w:hint="eastAsia" w:ascii="宋体" w:hAnsi="宋体" w:eastAsia="宋体" w:cs="宋体"/>
          <w:bCs/>
          <w:color w:val="000000"/>
          <w:kern w:val="0"/>
          <w:sz w:val="24"/>
          <w:szCs w:val="24"/>
          <w:highlight w:val="none"/>
          <w:lang w:val="en-US" w:eastAsia="zh-CN"/>
        </w:rPr>
        <w:t xml:space="preserve">1.5 </w:t>
      </w:r>
      <w:r>
        <w:rPr>
          <w:rFonts w:hint="eastAsia" w:ascii="宋体" w:hAnsi="宋体" w:eastAsia="宋体" w:cs="宋体"/>
          <w:bCs/>
          <w:color w:val="000000"/>
          <w:kern w:val="0"/>
          <w:sz w:val="24"/>
          <w:szCs w:val="24"/>
          <w:highlight w:val="none"/>
        </w:rPr>
        <w:t>投标人必须承诺中标后施工过程中如遇到设备、线材等需增加才能完成方案的，均由中标人自行解决，</w:t>
      </w:r>
      <w:r>
        <w:rPr>
          <w:rFonts w:hint="eastAsia" w:ascii="宋体" w:hAnsi="宋体" w:eastAsia="宋体" w:cs="宋体"/>
          <w:bCs/>
          <w:color w:val="000000"/>
          <w:kern w:val="0"/>
          <w:sz w:val="24"/>
          <w:szCs w:val="24"/>
          <w:highlight w:val="none"/>
          <w:lang w:val="en-US" w:eastAsia="zh-CN"/>
        </w:rPr>
        <w:t>本</w:t>
      </w:r>
      <w:r>
        <w:rPr>
          <w:rFonts w:hint="eastAsia" w:ascii="宋体" w:hAnsi="宋体" w:eastAsia="宋体" w:cs="宋体"/>
          <w:bCs/>
          <w:color w:val="000000"/>
          <w:kern w:val="0"/>
          <w:sz w:val="24"/>
          <w:szCs w:val="24"/>
          <w:highlight w:val="none"/>
        </w:rPr>
        <w:t>项目</w:t>
      </w:r>
      <w:r>
        <w:rPr>
          <w:rFonts w:hint="eastAsia" w:ascii="宋体" w:hAnsi="宋体" w:eastAsia="宋体" w:cs="宋体"/>
          <w:bCs/>
          <w:color w:val="000000"/>
          <w:kern w:val="0"/>
          <w:sz w:val="24"/>
          <w:szCs w:val="24"/>
          <w:highlight w:val="none"/>
          <w:lang w:val="en-US" w:eastAsia="zh-CN"/>
        </w:rPr>
        <w:t>承包方式</w:t>
      </w:r>
      <w:r>
        <w:rPr>
          <w:rFonts w:hint="eastAsia" w:ascii="宋体" w:hAnsi="宋体" w:eastAsia="宋体" w:cs="宋体"/>
          <w:bCs/>
          <w:color w:val="000000"/>
          <w:kern w:val="0"/>
          <w:sz w:val="24"/>
          <w:szCs w:val="24"/>
          <w:highlight w:val="none"/>
        </w:rPr>
        <w:t>为</w:t>
      </w:r>
      <w:r>
        <w:rPr>
          <w:rFonts w:hint="eastAsia" w:ascii="宋体" w:hAnsi="宋体" w:eastAsia="宋体" w:cs="宋体"/>
          <w:bCs/>
          <w:color w:val="000000"/>
          <w:kern w:val="0"/>
          <w:sz w:val="24"/>
          <w:szCs w:val="24"/>
          <w:highlight w:val="none"/>
          <w:lang w:val="en-US" w:eastAsia="zh-CN"/>
        </w:rPr>
        <w:t>总价</w:t>
      </w:r>
      <w:r>
        <w:rPr>
          <w:rFonts w:hint="eastAsia" w:ascii="宋体" w:hAnsi="宋体" w:eastAsia="宋体" w:cs="宋体"/>
          <w:bCs/>
          <w:color w:val="000000"/>
          <w:kern w:val="0"/>
          <w:sz w:val="24"/>
          <w:szCs w:val="24"/>
          <w:highlight w:val="none"/>
        </w:rPr>
        <w:t>包干，</w:t>
      </w:r>
      <w:r>
        <w:rPr>
          <w:rFonts w:hint="eastAsia" w:ascii="宋体" w:hAnsi="宋体" w:eastAsia="宋体" w:cs="宋体"/>
          <w:bCs/>
          <w:color w:val="000000"/>
          <w:kern w:val="0"/>
          <w:sz w:val="24"/>
          <w:szCs w:val="24"/>
          <w:highlight w:val="none"/>
          <w:u w:val="none"/>
        </w:rPr>
        <w:t>包工、包料、包设备、包工期、包质量、包安全、包文明施工、包项目协调管理、包验收移交、包竣工资料收集整理、包保修</w:t>
      </w:r>
      <w:r>
        <w:rPr>
          <w:rFonts w:hint="eastAsia" w:ascii="宋体" w:hAnsi="宋体" w:eastAsia="宋体" w:cs="宋体"/>
          <w:bCs/>
          <w:color w:val="000000"/>
          <w:kern w:val="0"/>
          <w:sz w:val="24"/>
          <w:szCs w:val="24"/>
          <w:highlight w:val="none"/>
          <w:u w:val="none"/>
          <w:lang w:val="en-US" w:eastAsia="zh-CN"/>
        </w:rPr>
        <w:t>等，</w:t>
      </w:r>
      <w:r>
        <w:rPr>
          <w:rFonts w:hint="eastAsia" w:ascii="宋体" w:hAnsi="宋体" w:eastAsia="宋体" w:cs="宋体"/>
          <w:bCs/>
          <w:color w:val="000000"/>
          <w:kern w:val="0"/>
          <w:sz w:val="24"/>
          <w:szCs w:val="24"/>
          <w:highlight w:val="none"/>
        </w:rPr>
        <w:t>所有</w:t>
      </w:r>
      <w:r>
        <w:rPr>
          <w:rFonts w:hint="eastAsia" w:ascii="宋体" w:hAnsi="宋体" w:eastAsia="宋体" w:cs="Times New Roman"/>
          <w:bCs w:val="0"/>
          <w:color w:val="000000"/>
          <w:kern w:val="0"/>
          <w:sz w:val="24"/>
          <w:szCs w:val="24"/>
          <w:highlight w:val="none"/>
        </w:rPr>
        <w:t>费用包含在报价中</w:t>
      </w:r>
      <w:r>
        <w:rPr>
          <w:rFonts w:hint="eastAsia" w:ascii="宋体" w:hAnsi="宋体" w:eastAsia="宋体" w:cs="Times New Roman"/>
          <w:bCs w:val="0"/>
          <w:color w:val="000000"/>
          <w:kern w:val="0"/>
          <w:sz w:val="24"/>
          <w:szCs w:val="24"/>
          <w:highlight w:val="none"/>
          <w:lang w:eastAsia="zh-CN"/>
        </w:rPr>
        <w:t>。</w:t>
      </w:r>
    </w:p>
    <w:p>
      <w:pPr>
        <w:spacing w:line="560" w:lineRule="exact"/>
        <w:ind w:firstLine="480" w:firstLineChars="200"/>
        <w:rPr>
          <w:rFonts w:hint="eastAsia" w:ascii="宋体" w:hAnsi="宋体" w:eastAsia="宋体" w:cs="Times New Roman"/>
          <w:color w:val="000000"/>
          <w:kern w:val="0"/>
          <w:sz w:val="24"/>
          <w:highlight w:val="none"/>
          <w:lang w:val="en-US" w:eastAsia="zh-CN"/>
        </w:rPr>
      </w:pPr>
      <w:r>
        <w:rPr>
          <w:rFonts w:hint="eastAsia" w:ascii="宋体" w:hAnsi="宋体" w:eastAsia="宋体" w:cs="Times New Roman"/>
          <w:color w:val="000000"/>
          <w:kern w:val="0"/>
          <w:sz w:val="24"/>
          <w:highlight w:val="none"/>
          <w:lang w:val="en-US" w:eastAsia="zh-CN"/>
        </w:rPr>
        <w:t xml:space="preserve">1.6 </w:t>
      </w:r>
      <w:r>
        <w:rPr>
          <w:rFonts w:hint="eastAsia" w:ascii="宋体" w:hAnsi="宋体" w:eastAsia="宋体" w:cs="Times New Roman"/>
          <w:color w:val="000000"/>
          <w:kern w:val="0"/>
          <w:sz w:val="24"/>
          <w:highlight w:val="none"/>
        </w:rPr>
        <w:t>项目</w:t>
      </w:r>
      <w:r>
        <w:rPr>
          <w:rFonts w:hint="eastAsia" w:ascii="宋体" w:hAnsi="宋体" w:eastAsia="宋体" w:cs="Times New Roman"/>
          <w:color w:val="000000"/>
          <w:kern w:val="0"/>
          <w:sz w:val="24"/>
          <w:highlight w:val="none"/>
          <w:lang w:val="en-US" w:eastAsia="zh-CN"/>
        </w:rPr>
        <w:t>限价</w:t>
      </w:r>
      <w:r>
        <w:rPr>
          <w:rFonts w:hint="eastAsia" w:ascii="宋体" w:hAnsi="宋体" w:eastAsia="宋体" w:cs="Times New Roman"/>
          <w:color w:val="000000"/>
          <w:kern w:val="0"/>
          <w:sz w:val="24"/>
          <w:highlight w:val="none"/>
        </w:rPr>
        <w:t>：</w:t>
      </w:r>
      <w:r>
        <w:rPr>
          <w:rFonts w:hint="eastAsia" w:ascii="宋体" w:hAnsi="宋体" w:eastAsia="宋体" w:cs="Times New Roman"/>
          <w:color w:val="000000"/>
          <w:kern w:val="0"/>
          <w:sz w:val="24"/>
          <w:szCs w:val="24"/>
          <w:highlight w:val="none"/>
          <w:u w:val="none"/>
          <w:lang w:val="en-US" w:eastAsia="zh-CN"/>
        </w:rPr>
        <w:t>¥</w:t>
      </w:r>
      <w:r>
        <w:rPr>
          <w:rFonts w:hint="eastAsia" w:ascii="宋体" w:hAnsi="宋体" w:eastAsia="宋体" w:cs="Times New Roman"/>
          <w:bCs w:val="0"/>
          <w:color w:val="000000"/>
          <w:kern w:val="0"/>
          <w:sz w:val="24"/>
          <w:szCs w:val="24"/>
          <w:highlight w:val="none"/>
          <w:u w:val="none"/>
        </w:rPr>
        <w:t>454982.09</w:t>
      </w:r>
      <w:r>
        <w:rPr>
          <w:rFonts w:hint="eastAsia" w:ascii="宋体" w:hAnsi="宋体" w:eastAsia="宋体" w:cs="Times New Roman"/>
          <w:color w:val="000000"/>
          <w:kern w:val="0"/>
          <w:sz w:val="24"/>
          <w:szCs w:val="24"/>
          <w:highlight w:val="none"/>
          <w:u w:val="none"/>
        </w:rPr>
        <w:t>元</w:t>
      </w:r>
      <w:r>
        <w:rPr>
          <w:rFonts w:hint="eastAsia" w:ascii="宋体" w:hAnsi="宋体" w:eastAsia="宋体" w:cs="Times New Roman"/>
          <w:color w:val="000000"/>
          <w:kern w:val="0"/>
          <w:sz w:val="24"/>
          <w:szCs w:val="24"/>
          <w:highlight w:val="none"/>
          <w:u w:val="none"/>
          <w:lang w:eastAsia="zh-CN"/>
        </w:rPr>
        <w:t>（大写：人民币</w:t>
      </w:r>
      <w:r>
        <w:rPr>
          <w:rFonts w:hint="eastAsia" w:ascii="宋体" w:hAnsi="宋体" w:eastAsia="宋体" w:cs="Times New Roman"/>
          <w:color w:val="000000"/>
          <w:kern w:val="0"/>
          <w:sz w:val="24"/>
          <w:szCs w:val="24"/>
          <w:highlight w:val="none"/>
          <w:u w:val="none"/>
          <w:lang w:val="en-US" w:eastAsia="zh-CN"/>
        </w:rPr>
        <w:t>肆拾伍万肆仟玖佰捌拾贰元玖分</w:t>
      </w:r>
      <w:r>
        <w:rPr>
          <w:rFonts w:hint="eastAsia" w:ascii="宋体" w:hAnsi="宋体" w:eastAsia="宋体" w:cs="Times New Roman"/>
          <w:color w:val="000000"/>
          <w:kern w:val="0"/>
          <w:sz w:val="24"/>
          <w:szCs w:val="24"/>
          <w:highlight w:val="none"/>
          <w:u w:val="none"/>
          <w:lang w:eastAsia="zh-CN"/>
        </w:rPr>
        <w:t>）</w:t>
      </w:r>
      <w:r>
        <w:rPr>
          <w:rFonts w:hint="eastAsia" w:ascii="宋体" w:hAnsi="宋体" w:eastAsia="宋体" w:cs="Times New Roman"/>
          <w:color w:val="000000"/>
          <w:kern w:val="0"/>
          <w:sz w:val="24"/>
          <w:highlight w:val="none"/>
        </w:rPr>
        <w:t>。</w:t>
      </w:r>
    </w:p>
    <w:p>
      <w:pPr>
        <w:spacing w:line="560" w:lineRule="exact"/>
        <w:ind w:firstLine="480" w:firstLineChars="200"/>
        <w:rPr>
          <w:rFonts w:hint="eastAsia" w:ascii="宋体" w:hAnsi="宋体" w:eastAsia="宋体" w:cs="Times New Roman"/>
          <w:color w:val="000000"/>
          <w:kern w:val="0"/>
          <w:sz w:val="24"/>
          <w:szCs w:val="24"/>
          <w:highlight w:val="none"/>
          <w:lang w:val="en-US" w:eastAsia="zh-CN"/>
        </w:rPr>
      </w:pPr>
      <w:r>
        <w:rPr>
          <w:rFonts w:hint="eastAsia" w:ascii="宋体" w:hAnsi="宋体" w:eastAsia="宋体" w:cs="Times New Roman"/>
          <w:color w:val="000000"/>
          <w:kern w:val="0"/>
          <w:sz w:val="24"/>
          <w:szCs w:val="24"/>
          <w:highlight w:val="none"/>
          <w:lang w:val="en-US" w:eastAsia="zh-CN"/>
        </w:rPr>
        <w:t>1.7 施工</w:t>
      </w:r>
      <w:r>
        <w:rPr>
          <w:rFonts w:hint="eastAsia" w:ascii="宋体" w:hAnsi="宋体" w:eastAsia="宋体" w:cs="Times New Roman"/>
          <w:color w:val="000000"/>
          <w:kern w:val="0"/>
          <w:sz w:val="24"/>
          <w:szCs w:val="24"/>
          <w:highlight w:val="none"/>
          <w:u w:val="none"/>
        </w:rPr>
        <w:t>图纸</w:t>
      </w:r>
      <w:r>
        <w:rPr>
          <w:rFonts w:hint="eastAsia" w:ascii="宋体" w:hAnsi="宋体" w:eastAsia="宋体" w:cs="Times New Roman"/>
          <w:color w:val="000000"/>
          <w:kern w:val="0"/>
          <w:sz w:val="24"/>
          <w:szCs w:val="24"/>
          <w:highlight w:val="none"/>
          <w:u w:val="none"/>
          <w:lang w:eastAsia="zh-CN"/>
        </w:rPr>
        <w:t>、</w:t>
      </w:r>
      <w:r>
        <w:rPr>
          <w:rFonts w:hint="eastAsia" w:ascii="宋体" w:hAnsi="宋体" w:eastAsia="宋体" w:cs="Times New Roman"/>
          <w:color w:val="000000"/>
          <w:kern w:val="0"/>
          <w:sz w:val="24"/>
          <w:szCs w:val="24"/>
          <w:highlight w:val="none"/>
          <w:u w:val="none"/>
        </w:rPr>
        <w:t>工程量清单</w:t>
      </w:r>
      <w:r>
        <w:rPr>
          <w:rFonts w:hint="eastAsia" w:ascii="宋体" w:hAnsi="宋体" w:eastAsia="宋体" w:cs="Times New Roman"/>
          <w:color w:val="000000"/>
          <w:kern w:val="0"/>
          <w:sz w:val="24"/>
          <w:szCs w:val="24"/>
          <w:highlight w:val="none"/>
          <w:u w:val="none"/>
          <w:lang w:eastAsia="zh-CN"/>
        </w:rPr>
        <w:t>：</w:t>
      </w:r>
      <w:r>
        <w:rPr>
          <w:rFonts w:hint="eastAsia" w:ascii="宋体" w:hAnsi="宋体" w:eastAsia="宋体" w:cs="Times New Roman"/>
          <w:color w:val="000000"/>
          <w:kern w:val="0"/>
          <w:sz w:val="24"/>
          <w:szCs w:val="24"/>
          <w:highlight w:val="none"/>
          <w:lang w:val="en-US" w:eastAsia="zh-CN"/>
        </w:rPr>
        <w:t>详见附件。</w:t>
      </w:r>
    </w:p>
    <w:p>
      <w:pPr>
        <w:pStyle w:val="6"/>
        <w:spacing w:line="560" w:lineRule="exact"/>
        <w:rPr>
          <w:rFonts w:hint="eastAsia" w:ascii="宋体" w:hAnsi="宋体" w:eastAsia="宋体" w:cs="宋体"/>
          <w:b/>
          <w:color w:val="000000"/>
          <w:kern w:val="0"/>
          <w:sz w:val="28"/>
          <w:szCs w:val="20"/>
          <w:highlight w:val="none"/>
        </w:rPr>
      </w:pPr>
      <w:r>
        <w:rPr>
          <w:rFonts w:hint="eastAsia" w:ascii="宋体" w:hAnsi="宋体" w:eastAsia="宋体" w:cs="宋体"/>
          <w:b/>
          <w:color w:val="000000"/>
          <w:kern w:val="0"/>
          <w:sz w:val="28"/>
          <w:szCs w:val="20"/>
          <w:highlight w:val="none"/>
          <w:lang w:eastAsia="zh-CN"/>
        </w:rPr>
        <w:t>二、招标范围</w:t>
      </w:r>
    </w:p>
    <w:p>
      <w:pPr>
        <w:pStyle w:val="9"/>
        <w:spacing w:line="560" w:lineRule="exact"/>
        <w:ind w:firstLine="480" w:firstLineChars="200"/>
        <w:rPr>
          <w:rFonts w:hint="eastAsia" w:ascii="宋体" w:hAnsi="宋体" w:eastAsia="宋体" w:cs="Times New Roman"/>
          <w:color w:val="000000"/>
          <w:kern w:val="0"/>
          <w:sz w:val="24"/>
          <w:szCs w:val="24"/>
          <w:highlight w:val="none"/>
          <w:u w:val="none"/>
        </w:rPr>
      </w:pPr>
      <w:r>
        <w:rPr>
          <w:rFonts w:hint="eastAsia" w:ascii="宋体" w:hAnsi="宋体" w:eastAsia="宋体" w:cs="Times New Roman"/>
          <w:color w:val="000000"/>
          <w:kern w:val="0"/>
          <w:sz w:val="24"/>
          <w:szCs w:val="24"/>
          <w:highlight w:val="none"/>
          <w:u w:val="none"/>
        </w:rPr>
        <w:t>招标图纸及工程量清单范围内施工专业承包（承包人需按发包人要求施工，根据现场实际情况施工，设计图纸有调整时，必须服从要求调整）</w:t>
      </w:r>
    </w:p>
    <w:p>
      <w:pPr>
        <w:pStyle w:val="9"/>
        <w:spacing w:line="560" w:lineRule="exact"/>
        <w:ind w:firstLine="0" w:firstLineChars="0"/>
        <w:rPr>
          <w:rFonts w:hint="eastAsia" w:ascii="宋体" w:hAnsi="宋体" w:eastAsia="宋体" w:cs="Times New Roman"/>
          <w:b/>
          <w:bCs w:val="0"/>
          <w:kern w:val="0"/>
          <w:sz w:val="28"/>
          <w:szCs w:val="20"/>
          <w:highlight w:val="none"/>
        </w:rPr>
      </w:pPr>
      <w:r>
        <w:rPr>
          <w:rFonts w:hint="eastAsia" w:ascii="宋体" w:hAnsi="宋体" w:eastAsia="宋体" w:cs="Times New Roman"/>
          <w:b/>
          <w:kern w:val="0"/>
          <w:sz w:val="28"/>
          <w:szCs w:val="20"/>
          <w:highlight w:val="none"/>
          <w:u w:val="none"/>
          <w:lang w:val="en-US" w:eastAsia="zh-CN"/>
        </w:rPr>
        <w:t>三、付款方式</w:t>
      </w:r>
    </w:p>
    <w:p>
      <w:pPr>
        <w:pStyle w:val="9"/>
        <w:spacing w:line="560" w:lineRule="exact"/>
        <w:ind w:firstLine="480" w:firstLineChars="200"/>
        <w:rPr>
          <w:rFonts w:hint="eastAsia" w:ascii="宋体" w:hAnsi="宋体" w:eastAsia="宋体" w:cs="宋体"/>
          <w:color w:val="000000"/>
          <w:kern w:val="0"/>
          <w:highlight w:val="none"/>
        </w:rPr>
      </w:pPr>
      <w:r>
        <w:rPr>
          <w:rFonts w:hint="eastAsia" w:eastAsia="宋体" w:cs="Times New Roman"/>
          <w:b w:val="0"/>
          <w:bCs w:val="0"/>
          <w:kern w:val="0"/>
          <w:highlight w:val="none"/>
          <w:lang w:val="en-US" w:eastAsia="zh-CN"/>
        </w:rPr>
        <w:t>合同签订</w:t>
      </w:r>
      <w:r>
        <w:rPr>
          <w:rFonts w:hint="eastAsia" w:ascii="Times New Roman" w:hAnsi="Times New Roman" w:eastAsia="宋体" w:cs="Times New Roman"/>
          <w:color w:val="auto"/>
          <w:sz w:val="24"/>
          <w:highlight w:val="none"/>
        </w:rPr>
        <w:t>且承包人进场施工</w:t>
      </w:r>
      <w:r>
        <w:rPr>
          <w:rFonts w:hint="eastAsia" w:ascii="Times New Roman" w:hAnsi="Times New Roman" w:eastAsia="宋体" w:cs="Times New Roman"/>
          <w:color w:val="auto"/>
          <w:sz w:val="24"/>
          <w:highlight w:val="none"/>
          <w:lang w:val="en-US" w:eastAsia="zh-CN"/>
        </w:rPr>
        <w:t>7</w:t>
      </w:r>
      <w:r>
        <w:rPr>
          <w:rFonts w:hint="eastAsia" w:ascii="Times New Roman" w:hAnsi="Times New Roman" w:eastAsia="宋体" w:cs="Times New Roman"/>
          <w:color w:val="auto"/>
          <w:sz w:val="24"/>
          <w:highlight w:val="none"/>
        </w:rPr>
        <w:t>天内</w:t>
      </w:r>
      <w:r>
        <w:rPr>
          <w:rFonts w:hint="eastAsia" w:ascii="Times New Roman" w:hAnsi="Times New Roman" w:eastAsia="宋体" w:cs="Times New Roman"/>
          <w:color w:val="auto"/>
          <w:sz w:val="24"/>
          <w:highlight w:val="none"/>
          <w:lang w:eastAsia="zh-CN"/>
        </w:rPr>
        <w:t>，</w:t>
      </w:r>
      <w:r>
        <w:rPr>
          <w:rFonts w:hint="eastAsia" w:eastAsia="宋体" w:cs="Times New Roman"/>
          <w:b w:val="0"/>
          <w:bCs w:val="0"/>
          <w:kern w:val="0"/>
          <w:highlight w:val="none"/>
          <w:lang w:val="en-US" w:eastAsia="zh-CN"/>
        </w:rPr>
        <w:t>在收到</w:t>
      </w:r>
      <w:r>
        <w:rPr>
          <w:rFonts w:hint="eastAsia" w:ascii="Times New Roman" w:hAnsi="Times New Roman" w:eastAsia="宋体" w:cs="Times New Roman"/>
          <w:color w:val="auto"/>
          <w:sz w:val="24"/>
          <w:highlight w:val="none"/>
        </w:rPr>
        <w:t>承包人</w:t>
      </w:r>
      <w:r>
        <w:rPr>
          <w:rFonts w:hint="eastAsia" w:eastAsia="宋体" w:cs="Times New Roman"/>
          <w:b w:val="0"/>
          <w:bCs w:val="0"/>
          <w:kern w:val="0"/>
          <w:highlight w:val="none"/>
          <w:lang w:val="en-US" w:eastAsia="zh-CN"/>
        </w:rPr>
        <w:t>提供的有效合格的增值税专用发票之日后5个工作日内</w:t>
      </w:r>
      <w:r>
        <w:rPr>
          <w:rFonts w:hint="eastAsia" w:ascii="宋体" w:hAnsi="宋体" w:eastAsia="宋体" w:cs="宋体"/>
          <w:b w:val="0"/>
          <w:bCs w:val="0"/>
          <w:color w:val="000000"/>
          <w:kern w:val="0"/>
          <w:highlight w:val="none"/>
        </w:rPr>
        <w:t>支付定金30%</w:t>
      </w:r>
      <w:r>
        <w:rPr>
          <w:rFonts w:hint="eastAsia" w:ascii="宋体" w:hAnsi="宋体" w:cs="宋体"/>
          <w:b w:val="0"/>
          <w:bCs w:val="0"/>
          <w:color w:val="000000"/>
          <w:kern w:val="0"/>
          <w:highlight w:val="none"/>
          <w:lang w:eastAsia="zh-CN"/>
        </w:rPr>
        <w:t>；</w:t>
      </w:r>
      <w:r>
        <w:rPr>
          <w:rFonts w:hint="eastAsia" w:ascii="Times New Roman" w:hAnsi="Times New Roman" w:eastAsia="宋体" w:cs="Times New Roman"/>
          <w:color w:val="auto"/>
          <w:sz w:val="24"/>
          <w:highlight w:val="none"/>
        </w:rPr>
        <w:t>工程</w:t>
      </w:r>
      <w:r>
        <w:rPr>
          <w:rFonts w:hint="eastAsia" w:ascii="Times New Roman" w:hAnsi="Times New Roman" w:eastAsia="宋体" w:cs="Times New Roman"/>
          <w:color w:val="auto"/>
          <w:sz w:val="24"/>
          <w:highlight w:val="none"/>
          <w:lang w:val="en-US" w:eastAsia="zh-CN"/>
        </w:rPr>
        <w:t>完工，验收合格且完成结算后</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在</w:t>
      </w:r>
      <w:r>
        <w:rPr>
          <w:rFonts w:hint="eastAsia" w:ascii="Times New Roman" w:hAnsi="Times New Roman" w:eastAsia="宋体" w:cs="Times New Roman"/>
          <w:color w:val="auto"/>
          <w:sz w:val="24"/>
          <w:highlight w:val="none"/>
          <w:lang w:val="en-US" w:eastAsia="zh-CN" w:bidi="zh-CN"/>
        </w:rPr>
        <w:t>收到</w:t>
      </w:r>
      <w:r>
        <w:rPr>
          <w:rFonts w:hint="eastAsia" w:ascii="Times New Roman" w:hAnsi="Times New Roman" w:eastAsia="宋体" w:cs="Times New Roman"/>
          <w:b w:val="0"/>
          <w:bCs w:val="0"/>
          <w:i w:val="0"/>
          <w:iCs w:val="0"/>
          <w:color w:val="auto"/>
          <w:sz w:val="24"/>
          <w:szCs w:val="24"/>
          <w:highlight w:val="none"/>
          <w:u w:val="none"/>
          <w:lang w:bidi="zh-CN"/>
        </w:rPr>
        <w:t>与结算价</w:t>
      </w:r>
      <w:r>
        <w:rPr>
          <w:rFonts w:hint="eastAsia" w:ascii="Times New Roman" w:hAnsi="Times New Roman" w:eastAsia="宋体" w:cs="Times New Roman"/>
          <w:color w:val="auto"/>
          <w:sz w:val="24"/>
          <w:szCs w:val="24"/>
          <w:highlight w:val="none"/>
          <w:lang w:val="en-US" w:eastAsia="zh-CN" w:bidi="zh-CN"/>
        </w:rPr>
        <w:t>等额合法有效的增值税专用发票起15个工作日内</w:t>
      </w:r>
      <w:r>
        <w:rPr>
          <w:rFonts w:hint="eastAsia" w:ascii="宋体" w:hAnsi="宋体" w:eastAsia="宋体" w:cs="宋体"/>
          <w:b w:val="0"/>
          <w:bCs w:val="0"/>
          <w:color w:val="000000"/>
          <w:kern w:val="0"/>
          <w:highlight w:val="none"/>
        </w:rPr>
        <w:t>支付合同总价的</w:t>
      </w:r>
      <w:r>
        <w:rPr>
          <w:rFonts w:hint="eastAsia" w:ascii="宋体" w:hAnsi="宋体" w:cs="宋体"/>
          <w:b w:val="0"/>
          <w:bCs w:val="0"/>
          <w:color w:val="000000"/>
          <w:kern w:val="0"/>
          <w:highlight w:val="none"/>
          <w:lang w:eastAsia="zh-CN"/>
        </w:rPr>
        <w:t>9</w:t>
      </w:r>
      <w:r>
        <w:rPr>
          <w:rFonts w:hint="eastAsia" w:ascii="宋体" w:hAnsi="宋体" w:cs="宋体"/>
          <w:b w:val="0"/>
          <w:bCs w:val="0"/>
          <w:color w:val="000000"/>
          <w:kern w:val="0"/>
          <w:highlight w:val="none"/>
          <w:lang w:val="en-US" w:eastAsia="zh-CN"/>
        </w:rPr>
        <w:t>7</w:t>
      </w:r>
      <w:r>
        <w:rPr>
          <w:rFonts w:hint="eastAsia" w:ascii="宋体" w:hAnsi="宋体" w:eastAsia="宋体" w:cs="宋体"/>
          <w:b w:val="0"/>
          <w:bCs w:val="0"/>
          <w:color w:val="000000"/>
          <w:kern w:val="0"/>
          <w:highlight w:val="none"/>
        </w:rPr>
        <w:t>%</w:t>
      </w:r>
      <w:r>
        <w:rPr>
          <w:rFonts w:hint="eastAsia" w:ascii="宋体" w:hAnsi="宋体" w:cs="宋体"/>
          <w:b w:val="0"/>
          <w:bCs w:val="0"/>
          <w:color w:val="000000"/>
          <w:kern w:val="0"/>
          <w:highlight w:val="none"/>
          <w:lang w:eastAsia="zh-CN"/>
        </w:rPr>
        <w:t>；</w:t>
      </w:r>
      <w:r>
        <w:rPr>
          <w:rFonts w:hint="eastAsia" w:ascii="宋体" w:hAnsi="宋体" w:eastAsia="宋体" w:cs="宋体"/>
          <w:b w:val="0"/>
          <w:bCs w:val="0"/>
          <w:color w:val="000000"/>
          <w:kern w:val="0"/>
          <w:highlight w:val="none"/>
        </w:rPr>
        <w:t>剩下合同总价的</w:t>
      </w:r>
      <w:r>
        <w:rPr>
          <w:rFonts w:hint="eastAsia" w:ascii="宋体" w:hAnsi="宋体" w:eastAsia="宋体" w:cs="宋体"/>
          <w:b w:val="0"/>
          <w:bCs w:val="0"/>
          <w:color w:val="000000"/>
          <w:kern w:val="0"/>
          <w:highlight w:val="none"/>
          <w:lang w:val="en-US" w:eastAsia="zh-CN"/>
        </w:rPr>
        <w:t>3</w:t>
      </w:r>
      <w:r>
        <w:rPr>
          <w:rFonts w:hint="eastAsia" w:ascii="宋体" w:hAnsi="宋体" w:eastAsia="宋体" w:cs="宋体"/>
          <w:b w:val="0"/>
          <w:bCs w:val="0"/>
          <w:color w:val="000000"/>
          <w:kern w:val="0"/>
          <w:highlight w:val="none"/>
        </w:rPr>
        <w:t>%作为质保金，质保</w:t>
      </w:r>
      <w:r>
        <w:rPr>
          <w:rFonts w:hint="eastAsia" w:ascii="宋体" w:hAnsi="宋体" w:cs="宋体"/>
          <w:b w:val="0"/>
          <w:bCs w:val="0"/>
          <w:color w:val="000000"/>
          <w:kern w:val="0"/>
          <w:highlight w:val="none"/>
          <w:lang w:val="en-US" w:eastAsia="zh-CN"/>
        </w:rPr>
        <w:t>期满</w:t>
      </w:r>
      <w:r>
        <w:rPr>
          <w:rFonts w:hint="eastAsia" w:ascii="宋体" w:hAnsi="宋体" w:eastAsia="宋体" w:cs="宋体"/>
          <w:b w:val="0"/>
          <w:bCs w:val="0"/>
          <w:color w:val="000000"/>
          <w:kern w:val="0"/>
          <w:highlight w:val="none"/>
        </w:rPr>
        <w:t>后一个月内支付完成。</w:t>
      </w:r>
    </w:p>
    <w:p>
      <w:pPr>
        <w:pStyle w:val="11"/>
        <w:spacing w:line="560" w:lineRule="exact"/>
        <w:rPr>
          <w:rFonts w:hint="eastAsia" w:ascii="仿宋_GB2312" w:hAnsi="仿宋_GB2312" w:eastAsia="仿宋_GB2312" w:cs="仿宋_GB2312"/>
          <w:color w:val="auto"/>
          <w:sz w:val="32"/>
          <w:szCs w:val="32"/>
          <w:highlight w:val="none"/>
        </w:rPr>
      </w:pPr>
    </w:p>
    <w:p>
      <w:pPr>
        <w:spacing w:line="560" w:lineRule="exact"/>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11" w:name="_Toc2266"/>
      <w:bookmarkStart w:id="12" w:name="_Toc5931"/>
      <w:r>
        <w:rPr>
          <w:rFonts w:hint="eastAsia" w:ascii="黑体" w:hAnsi="宋体" w:cs="黑体"/>
          <w:b/>
          <w:color w:val="auto"/>
          <w:kern w:val="44"/>
          <w:sz w:val="44"/>
          <w:szCs w:val="44"/>
          <w:highlight w:val="none"/>
        </w:rPr>
        <w:t>第3章  投标格式文件</w:t>
      </w:r>
      <w:bookmarkEnd w:id="7"/>
      <w:bookmarkEnd w:id="11"/>
      <w:bookmarkEnd w:id="12"/>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b w:val="0"/>
          <w:bCs w:val="0"/>
          <w:i w:val="0"/>
          <w:caps w:val="0"/>
          <w:color w:val="auto"/>
          <w:spacing w:val="20"/>
          <w:w w:val="100"/>
          <w:kern w:val="2"/>
          <w:sz w:val="24"/>
          <w:szCs w:val="24"/>
          <w:highlight w:val="none"/>
          <w:u w:val="single"/>
          <w:lang w:val="en-US" w:eastAsia="zh-CN"/>
        </w:rPr>
        <w:t>广州市南沙</w:t>
      </w:r>
      <w:r>
        <w:rPr>
          <w:rFonts w:hint="eastAsia" w:ascii="宋体" w:hAnsi="宋体" w:eastAsia="宋体" w:cs="Times New Roman"/>
          <w:b w:val="0"/>
          <w:color w:val="auto"/>
          <w:spacing w:val="20"/>
          <w:kern w:val="2"/>
          <w:sz w:val="24"/>
          <w:szCs w:val="24"/>
          <w:highlight w:val="none"/>
          <w:u w:val="single"/>
          <w:lang w:val="en-US" w:eastAsia="zh-CN"/>
        </w:rPr>
        <w:t>天后文化学会、</w:t>
      </w: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w:t>
      </w:r>
      <w:r>
        <w:rPr>
          <w:rFonts w:hint="eastAsia" w:ascii="宋体" w:hAnsi="宋体" w:eastAsia="宋体" w:cs="Times New Roman"/>
          <w:color w:val="auto"/>
          <w:spacing w:val="20"/>
          <w:sz w:val="24"/>
          <w:highlight w:val="none"/>
          <w:u w:val="single"/>
        </w:rPr>
        <w:t>的</w:t>
      </w:r>
      <w:r>
        <w:rPr>
          <w:rFonts w:hint="eastAsia" w:ascii="宋体" w:hAnsi="宋体" w:eastAsia="宋体" w:cs="Times New Roman"/>
          <w:b w:val="0"/>
          <w:bCs w:val="0"/>
          <w:color w:val="auto"/>
          <w:spacing w:val="20"/>
          <w:kern w:val="2"/>
          <w:sz w:val="24"/>
          <w:szCs w:val="24"/>
          <w:highlight w:val="none"/>
          <w:u w:val="single"/>
          <w:lang w:val="en-US" w:eastAsia="zh-CN"/>
        </w:rPr>
        <w:t>南沙天后宫正殿、南岭塔室内照明提升</w:t>
      </w:r>
      <w:r>
        <w:rPr>
          <w:rFonts w:hint="eastAsia" w:ascii="宋体" w:hAnsi="宋体" w:eastAsia="宋体" w:cs="Times New Roman"/>
          <w:color w:val="auto"/>
          <w:spacing w:val="20"/>
          <w:sz w:val="24"/>
          <w:highlight w:val="none"/>
          <w:u w:val="single"/>
          <w:lang w:eastAsia="zh-CN"/>
        </w:rPr>
        <w:t>项目</w:t>
      </w:r>
      <w:r>
        <w:rPr>
          <w:rFonts w:hint="eastAsia" w:ascii="宋体" w:hAnsi="宋体" w:eastAsia="宋体" w:cs="Times New Roman"/>
          <w:color w:val="auto"/>
          <w:spacing w:val="20"/>
          <w:sz w:val="24"/>
          <w:highlight w:val="none"/>
          <w:u w:val="single"/>
          <w:lang w:val="en-US" w:eastAsia="zh-CN"/>
        </w:rPr>
        <w:t>承包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b w:val="0"/>
          <w:bCs w:val="0"/>
          <w:color w:val="auto"/>
          <w:spacing w:val="20"/>
          <w:kern w:val="2"/>
          <w:sz w:val="24"/>
          <w:szCs w:val="24"/>
          <w:highlight w:val="none"/>
          <w:u w:val="single"/>
          <w:lang w:val="en-US" w:eastAsia="zh-CN"/>
        </w:rPr>
        <w:t>南沙天后宫正殿、南岭塔室内照明提升</w:t>
      </w:r>
      <w:r>
        <w:rPr>
          <w:rFonts w:hint="eastAsia" w:ascii="宋体" w:hAnsi="宋体" w:eastAsia="宋体" w:cs="Times New Roman"/>
          <w:color w:val="auto"/>
          <w:spacing w:val="20"/>
          <w:sz w:val="24"/>
          <w:highlight w:val="none"/>
          <w:u w:val="single"/>
          <w:lang w:eastAsia="zh-CN"/>
        </w:rPr>
        <w:t>项目</w:t>
      </w:r>
      <w:r>
        <w:rPr>
          <w:rFonts w:hint="eastAsia" w:ascii="宋体" w:hAnsi="宋体" w:eastAsia="宋体" w:cs="Times New Roman"/>
          <w:color w:val="auto"/>
          <w:spacing w:val="20"/>
          <w:sz w:val="24"/>
          <w:highlight w:val="none"/>
          <w:u w:val="single"/>
          <w:lang w:val="en-US" w:eastAsia="zh-CN"/>
        </w:rPr>
        <w:t>施工</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val="en-US" w:eastAsia="zh-CN"/>
        </w:rPr>
        <w:t>合同</w:t>
      </w:r>
      <w:r>
        <w:rPr>
          <w:rFonts w:hint="eastAsia" w:ascii="宋体" w:hAnsi="宋体" w:eastAsia="宋体" w:cs="Times New Roman"/>
          <w:color w:val="auto"/>
          <w:spacing w:val="20"/>
          <w:sz w:val="24"/>
          <w:highlight w:val="none"/>
        </w:rPr>
        <w:t>之前，本投标</w:t>
      </w:r>
      <w:r>
        <w:rPr>
          <w:rFonts w:hint="eastAsia" w:ascii="宋体" w:hAnsi="宋体" w:eastAsia="宋体" w:cs="Times New Roman"/>
          <w:color w:val="auto"/>
          <w:spacing w:val="20"/>
          <w:sz w:val="24"/>
          <w:highlight w:val="none"/>
          <w:lang w:val="en-US" w:eastAsia="zh-CN"/>
        </w:rPr>
        <w:t>函</w:t>
      </w:r>
      <w:r>
        <w:rPr>
          <w:rFonts w:hint="eastAsia" w:ascii="宋体" w:hAnsi="宋体" w:eastAsia="宋体" w:cs="Times New Roman"/>
          <w:color w:val="auto"/>
          <w:spacing w:val="20"/>
          <w:sz w:val="24"/>
          <w:highlight w:val="none"/>
        </w:rPr>
        <w:t>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b w:val="0"/>
          <w:bCs w:val="0"/>
          <w:i w:val="0"/>
          <w:caps w:val="0"/>
          <w:color w:val="auto"/>
          <w:spacing w:val="20"/>
          <w:w w:val="100"/>
          <w:kern w:val="2"/>
          <w:sz w:val="24"/>
          <w:szCs w:val="24"/>
          <w:highlight w:val="none"/>
          <w:u w:val="single"/>
          <w:lang w:val="en-US" w:eastAsia="zh-CN"/>
        </w:rPr>
        <w:t>广州市南沙</w:t>
      </w:r>
      <w:r>
        <w:rPr>
          <w:rFonts w:hint="eastAsia" w:ascii="宋体" w:hAnsi="宋体" w:eastAsia="宋体" w:cs="Times New Roman"/>
          <w:b w:val="0"/>
          <w:color w:val="auto"/>
          <w:spacing w:val="20"/>
          <w:kern w:val="2"/>
          <w:sz w:val="24"/>
          <w:szCs w:val="24"/>
          <w:highlight w:val="none"/>
          <w:u w:val="single"/>
          <w:lang w:val="en-US" w:eastAsia="zh-CN"/>
        </w:rPr>
        <w:t>天后文化学会、</w:t>
      </w:r>
      <w:r>
        <w:rPr>
          <w:rFonts w:hint="eastAsia" w:ascii="宋体" w:hAnsi="宋体" w:eastAsia="宋体" w:cs="Times New Roman"/>
          <w:color w:val="auto"/>
          <w:spacing w:val="20"/>
          <w:sz w:val="24"/>
          <w:highlight w:val="none"/>
          <w:u w:val="single"/>
          <w:lang w:eastAsia="zh-CN"/>
        </w:rPr>
        <w:t>广州南沙旅游发展有限公司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6"/>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13" w:name="_Toc216145749"/>
      <w:bookmarkEnd w:id="13"/>
      <w:bookmarkStart w:id="14" w:name="_Toc223342668"/>
      <w:bookmarkEnd w:id="14"/>
      <w:r>
        <w:rPr>
          <w:rFonts w:hint="eastAsia" w:ascii="宋体" w:hAnsi="宋体" w:eastAsia="宋体" w:cs="黑体"/>
          <w:color w:val="auto"/>
          <w:sz w:val="28"/>
          <w:szCs w:val="28"/>
          <w:highlight w:val="none"/>
        </w:rPr>
        <w:t>格式三：</w:t>
      </w:r>
    </w:p>
    <w:p>
      <w:pPr>
        <w:pStyle w:val="28"/>
        <w:widowControl/>
        <w:ind w:firstLine="0" w:firstLineChars="0"/>
        <w:jc w:val="center"/>
        <w:outlineLvl w:val="2"/>
        <w:rPr>
          <w:color w:val="auto"/>
          <w:kern w:val="44"/>
          <w:highlight w:val="none"/>
        </w:rPr>
      </w:pPr>
      <w:bookmarkStart w:id="15" w:name="_Toc172416501"/>
      <w:bookmarkEnd w:id="15"/>
      <w:r>
        <w:rPr>
          <w:rFonts w:hint="eastAsia" w:ascii="宋体" w:hAnsi="宋体" w:cs="宋体"/>
          <w:b/>
          <w:color w:val="auto"/>
          <w:sz w:val="30"/>
          <w:szCs w:val="30"/>
          <w:highlight w:val="none"/>
        </w:rPr>
        <w:t>法定代表人证明书</w:t>
      </w:r>
    </w:p>
    <w:p>
      <w:pPr>
        <w:pStyle w:val="28"/>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8"/>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r:link="rId8" cstate="print"/>
                    <a:stretch>
                      <a:fillRect/>
                    </a:stretch>
                  </pic:blipFill>
                  <pic:spPr>
                    <a:xfrm>
                      <a:off x="0" y="0"/>
                      <a:ext cx="5543550" cy="2790825"/>
                    </a:xfrm>
                    <a:prstGeom prst="rect">
                      <a:avLst/>
                    </a:prstGeom>
                    <a:noFill/>
                    <a:ln w="9525">
                      <a:noFill/>
                    </a:ln>
                  </pic:spPr>
                </pic:pic>
              </a:graphicData>
            </a:graphic>
          </wp:inline>
        </w:drawing>
      </w:r>
    </w:p>
    <w:p>
      <w:pPr>
        <w:pStyle w:val="28"/>
        <w:widowControl/>
        <w:ind w:firstLine="618"/>
        <w:rPr>
          <w:b/>
          <w:color w:val="auto"/>
          <w:sz w:val="30"/>
          <w:szCs w:val="30"/>
          <w:highlight w:val="none"/>
        </w:rPr>
      </w:pPr>
      <w:r>
        <w:rPr>
          <w:b/>
          <w:color w:val="auto"/>
          <w:sz w:val="30"/>
          <w:szCs w:val="30"/>
          <w:highlight w:val="none"/>
        </w:rPr>
        <w:t xml:space="preserve"> </w:t>
      </w:r>
    </w:p>
    <w:p>
      <w:pPr>
        <w:pStyle w:val="28"/>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8"/>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8"/>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r:link="rId10" cstate="print"/>
                    <a:stretch>
                      <a:fillRect/>
                    </a:stretch>
                  </pic:blipFill>
                  <pic:spPr>
                    <a:xfrm>
                      <a:off x="0" y="0"/>
                      <a:ext cx="5543550" cy="2838450"/>
                    </a:xfrm>
                    <a:prstGeom prst="rect">
                      <a:avLst/>
                    </a:prstGeom>
                    <a:noFill/>
                    <a:ln w="9525">
                      <a:noFill/>
                    </a:ln>
                  </pic:spPr>
                </pic:pic>
              </a:graphicData>
            </a:graphic>
          </wp:inline>
        </w:drawing>
      </w:r>
    </w:p>
    <w:p>
      <w:pPr>
        <w:pStyle w:val="26"/>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16" w:name="_Toc216145759"/>
      <w:bookmarkEnd w:id="16"/>
      <w:bookmarkStart w:id="17"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6"/>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7"/>
      <w:r>
        <w:rPr>
          <w:rFonts w:hint="eastAsia" w:ascii="宋体" w:hAnsi="宋体" w:eastAsia="宋体" w:cs="宋体"/>
          <w:color w:val="auto"/>
          <w:sz w:val="28"/>
          <w:szCs w:val="28"/>
          <w:highlight w:val="none"/>
        </w:rPr>
        <w:t xml:space="preserve"> </w:t>
      </w:r>
    </w:p>
    <w:p>
      <w:pPr>
        <w:snapToGrid w:val="0"/>
        <w:spacing w:after="120" w:line="440" w:lineRule="exact"/>
        <w:outlineLvl w:val="9"/>
        <w:rPr>
          <w:rFonts w:ascii="宋体" w:hAnsi="宋体" w:eastAsia="宋体" w:cs="宋体"/>
          <w:b/>
          <w:color w:val="auto"/>
          <w:sz w:val="28"/>
          <w:szCs w:val="28"/>
          <w:highlight w:val="none"/>
        </w:rPr>
      </w:pPr>
    </w:p>
    <w:p>
      <w:pPr>
        <w:spacing w:line="360" w:lineRule="auto"/>
        <w:jc w:val="center"/>
        <w:outlineLvl w:val="2"/>
        <w:rPr>
          <w:rFonts w:ascii="仿宋" w:hAnsi="仿宋" w:eastAsia="仿宋" w:cs="仿宋"/>
          <w:b/>
          <w:bCs/>
          <w:color w:val="auto"/>
          <w:sz w:val="36"/>
          <w:szCs w:val="36"/>
          <w:highlight w:val="none"/>
        </w:rPr>
      </w:pPr>
      <w:bookmarkStart w:id="18" w:name="_Toc41822704"/>
      <w:bookmarkEnd w:id="18"/>
      <w:r>
        <w:rPr>
          <w:rFonts w:hint="eastAsia" w:ascii="仿宋" w:hAnsi="仿宋" w:eastAsia="仿宋" w:cs="仿宋"/>
          <w:b/>
          <w:bCs/>
          <w:color w:val="auto"/>
          <w:sz w:val="36"/>
          <w:szCs w:val="36"/>
          <w:highlight w:val="none"/>
        </w:rPr>
        <w:t>投标人综合概况</w:t>
      </w:r>
    </w:p>
    <w:tbl>
      <w:tblPr>
        <w:tblStyle w:val="17"/>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19" w:name="_Toc196037098"/>
      <w:bookmarkEnd w:id="19"/>
      <w:bookmarkStart w:id="20" w:name="_Toc415833504"/>
      <w:bookmarkEnd w:id="20"/>
      <w:bookmarkStart w:id="21" w:name="_Toc197235849"/>
      <w:bookmarkEnd w:id="21"/>
      <w:bookmarkStart w:id="22" w:name="_Toc459403395"/>
      <w:bookmarkEnd w:id="22"/>
      <w:bookmarkStart w:id="23" w:name="_Toc196036942"/>
      <w:bookmarkEnd w:id="23"/>
      <w:bookmarkStart w:id="24" w:name="_Toc326909214"/>
      <w:bookmarkEnd w:id="24"/>
      <w:bookmarkStart w:id="25" w:name="_Toc415728298"/>
      <w:bookmarkEnd w:id="25"/>
      <w:bookmarkStart w:id="26" w:name="_Toc196130014"/>
      <w:bookmarkEnd w:id="26"/>
      <w:bookmarkStart w:id="27" w:name="_Toc196130111"/>
      <w:bookmarkEnd w:id="27"/>
      <w:bookmarkStart w:id="28" w:name="_Toc199647676"/>
      <w:bookmarkEnd w:id="28"/>
      <w:bookmarkStart w:id="29" w:name="_Toc462911099"/>
    </w:p>
    <w:bookmarkEnd w:id="29"/>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五</w:t>
      </w:r>
      <w:r>
        <w:rPr>
          <w:rFonts w:hint="eastAsia" w:ascii="仿宋" w:hAnsi="仿宋" w:eastAsia="仿宋" w:cs="宋体"/>
          <w:color w:val="auto"/>
          <w:sz w:val="28"/>
          <w:szCs w:val="28"/>
          <w:highlight w:val="none"/>
        </w:rPr>
        <w:t>：</w:t>
      </w:r>
    </w:p>
    <w:p>
      <w:pPr>
        <w:keepNext/>
        <w:keepLines/>
        <w:widowControl w:val="0"/>
        <w:adjustRightInd w:val="0"/>
        <w:spacing w:before="62" w:beforeLines="20" w:after="62" w:afterLines="20" w:line="360" w:lineRule="auto"/>
        <w:jc w:val="both"/>
        <w:textAlignment w:val="baseline"/>
        <w:outlineLvl w:val="1"/>
        <w:rPr>
          <w:rFonts w:ascii="宋体" w:hAnsi="宋体" w:eastAsia="宋体" w:cs="Times New Roman"/>
          <w:b/>
          <w:kern w:val="0"/>
          <w:sz w:val="30"/>
          <w:szCs w:val="20"/>
          <w:lang w:val="en-US" w:eastAsia="zh-CN" w:bidi="ar-SA"/>
        </w:rPr>
      </w:pPr>
    </w:p>
    <w:p>
      <w:pPr>
        <w:keepNext/>
        <w:keepLines/>
        <w:widowControl w:val="0"/>
        <w:adjustRightInd w:val="0"/>
        <w:spacing w:before="40" w:beforeLines="0" w:after="40" w:afterLines="0" w:line="360" w:lineRule="auto"/>
        <w:ind w:firstLine="3318" w:firstLineChars="1377"/>
        <w:jc w:val="both"/>
        <w:textAlignment w:val="baseline"/>
        <w:outlineLvl w:val="2"/>
        <w:rPr>
          <w:rFonts w:hint="eastAsia" w:ascii="宋体" w:hAnsi="宋体" w:eastAsia="宋体" w:cs="Times New Roman"/>
          <w:b/>
          <w:bCs/>
          <w:kern w:val="2"/>
          <w:sz w:val="24"/>
          <w:lang w:val="en-US" w:eastAsia="zh-CN" w:bidi="ar-SA"/>
        </w:rPr>
      </w:pPr>
      <w:bookmarkStart w:id="30" w:name="_Toc196130112"/>
      <w:bookmarkEnd w:id="30"/>
      <w:bookmarkStart w:id="31" w:name="_Toc199647677"/>
      <w:bookmarkEnd w:id="31"/>
      <w:bookmarkStart w:id="32" w:name="_Toc196130015"/>
      <w:bookmarkEnd w:id="32"/>
      <w:bookmarkStart w:id="33" w:name="_Toc41822705"/>
      <w:bookmarkEnd w:id="33"/>
      <w:bookmarkStart w:id="34" w:name="_Toc197235850"/>
      <w:bookmarkEnd w:id="34"/>
      <w:bookmarkStart w:id="35" w:name="_Toc196037099"/>
      <w:bookmarkEnd w:id="35"/>
      <w:bookmarkStart w:id="36" w:name="_Toc196036943"/>
      <w:bookmarkEnd w:id="36"/>
      <w:r>
        <w:rPr>
          <w:rFonts w:hint="eastAsia" w:ascii="宋体" w:hAnsi="宋体" w:eastAsia="宋体" w:cs="Times New Roman"/>
          <w:b/>
          <w:bCs/>
          <w:kern w:val="2"/>
          <w:sz w:val="24"/>
          <w:lang w:val="en-US" w:eastAsia="zh-CN" w:bidi="ar-SA"/>
        </w:rPr>
        <w:t>投标人业绩一览表</w:t>
      </w:r>
    </w:p>
    <w:p>
      <w:pPr>
        <w:keepNext/>
        <w:keepLines/>
        <w:widowControl w:val="0"/>
        <w:adjustRightInd w:val="0"/>
        <w:spacing w:before="40" w:beforeLines="0" w:after="40" w:afterLines="0" w:line="360" w:lineRule="auto"/>
        <w:ind w:right="-260" w:rightChars="-124" w:firstLine="0" w:firstLineChars="0"/>
        <w:jc w:val="both"/>
        <w:textAlignment w:val="baseline"/>
        <w:outlineLvl w:val="2"/>
        <w:rPr>
          <w:rFonts w:hint="eastAsia" w:ascii="宋体" w:hAnsi="宋体" w:eastAsia="宋体" w:cs="Times New Roman"/>
          <w:b/>
          <w:bCs/>
          <w:kern w:val="2"/>
          <w:sz w:val="24"/>
          <w:u w:val="none"/>
          <w:lang w:val="en-US" w:eastAsia="zh-CN" w:bidi="ar-SA"/>
        </w:rPr>
      </w:pPr>
      <w:r>
        <w:rPr>
          <w:rFonts w:hint="eastAsia" w:ascii="宋体" w:hAnsi="宋体" w:eastAsia="宋体" w:cs="Times New Roman"/>
          <w:b/>
          <w:bCs/>
          <w:kern w:val="2"/>
          <w:sz w:val="24"/>
          <w:u w:val="none"/>
          <w:lang w:val="en-US" w:eastAsia="zh-CN" w:bidi="ar-SA"/>
        </w:rPr>
        <w:t xml:space="preserve">项目名称：                  </w:t>
      </w:r>
    </w:p>
    <w:tbl>
      <w:tblPr>
        <w:tblStyle w:val="17"/>
        <w:tblW w:w="9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707"/>
        <w:gridCol w:w="1707"/>
        <w:gridCol w:w="1707"/>
        <w:gridCol w:w="1707"/>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5" w:hRule="atLeast"/>
          <w:jc w:val="center"/>
        </w:trPr>
        <w:tc>
          <w:tcPr>
            <w:tcW w:w="911" w:type="dxa"/>
            <w:noWrap w:val="0"/>
            <w:vAlign w:val="center"/>
          </w:tcPr>
          <w:p>
            <w:pPr>
              <w:ind w:firstLine="0" w:firstLineChars="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序号</w:t>
            </w:r>
          </w:p>
        </w:tc>
        <w:tc>
          <w:tcPr>
            <w:tcW w:w="1707" w:type="dxa"/>
            <w:noWrap w:val="0"/>
            <w:vAlign w:val="center"/>
          </w:tcPr>
          <w:p>
            <w:pPr>
              <w:ind w:firstLine="240" w:firstLineChars="10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项目名称</w:t>
            </w:r>
          </w:p>
        </w:tc>
        <w:tc>
          <w:tcPr>
            <w:tcW w:w="1707" w:type="dxa"/>
            <w:noWrap w:val="0"/>
            <w:vAlign w:val="center"/>
          </w:tcPr>
          <w:p>
            <w:pPr>
              <w:ind w:firstLine="480" w:firstLineChars="20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规模</w:t>
            </w:r>
          </w:p>
        </w:tc>
        <w:tc>
          <w:tcPr>
            <w:tcW w:w="1707" w:type="dxa"/>
            <w:noWrap w:val="0"/>
            <w:vAlign w:val="center"/>
          </w:tcPr>
          <w:p>
            <w:pPr>
              <w:ind w:firstLine="240" w:firstLineChars="10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合同总价</w:t>
            </w:r>
          </w:p>
        </w:tc>
        <w:tc>
          <w:tcPr>
            <w:tcW w:w="1707" w:type="dxa"/>
            <w:noWrap w:val="0"/>
            <w:vAlign w:val="center"/>
          </w:tcPr>
          <w:p>
            <w:pPr>
              <w:ind w:firstLine="240" w:firstLineChars="10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开始时间</w:t>
            </w:r>
          </w:p>
        </w:tc>
        <w:tc>
          <w:tcPr>
            <w:tcW w:w="1708" w:type="dxa"/>
            <w:noWrap w:val="0"/>
            <w:vAlign w:val="center"/>
          </w:tcPr>
          <w:p>
            <w:pPr>
              <w:jc w:val="left"/>
              <w:rPr>
                <w:rFonts w:ascii="宋体" w:hAnsi="宋体" w:eastAsia="宋体" w:cs="Times New Roman"/>
                <w:kern w:val="0"/>
                <w:sz w:val="24"/>
                <w:szCs w:val="20"/>
              </w:rPr>
            </w:pPr>
            <w:r>
              <w:rPr>
                <w:rFonts w:hint="eastAsia" w:ascii="宋体" w:hAnsi="宋体" w:eastAsia="宋体" w:cs="Times New Roman"/>
                <w:kern w:val="0"/>
                <w:sz w:val="24"/>
                <w:szCs w:val="20"/>
              </w:rPr>
              <w:t>业主单位、</w:t>
            </w:r>
          </w:p>
          <w:p>
            <w:pPr>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widowControl w:val="0"/>
              <w:spacing w:line="360" w:lineRule="auto"/>
              <w:jc w:val="both"/>
              <w:rPr>
                <w:rFonts w:ascii="宋体" w:hAnsi="宋体" w:eastAsia="宋体" w:cs="Times New Roman"/>
                <w:color w:val="auto"/>
                <w:kern w:val="2"/>
                <w:sz w:val="24"/>
                <w:szCs w:val="20"/>
                <w:lang w:val="en-US" w:eastAsia="zh-CN" w:bidi="ar-SA"/>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bl>
    <w:p>
      <w:pPr>
        <w:spacing w:line="360" w:lineRule="auto"/>
        <w:rPr>
          <w:rFonts w:ascii="宋体" w:hAnsi="宋体" w:eastAsia="宋体" w:cs="Times New Roman"/>
          <w:kern w:val="2"/>
          <w:sz w:val="24"/>
          <w:szCs w:val="20"/>
        </w:rPr>
      </w:pPr>
    </w:p>
    <w:p>
      <w:pPr>
        <w:spacing w:line="360" w:lineRule="auto"/>
        <w:rPr>
          <w:rFonts w:ascii="宋体" w:hAnsi="宋体" w:eastAsia="宋体" w:cs="Times New Roman"/>
          <w:kern w:val="2"/>
          <w:sz w:val="24"/>
          <w:szCs w:val="20"/>
        </w:rPr>
      </w:pPr>
      <w:r>
        <w:rPr>
          <w:rFonts w:hint="eastAsia" w:ascii="宋体" w:hAnsi="宋体" w:eastAsia="宋体" w:cs="Times New Roman"/>
          <w:kern w:val="2"/>
          <w:sz w:val="24"/>
          <w:szCs w:val="20"/>
        </w:rPr>
        <w:t>投标人全称（盖公章）：</w:t>
      </w:r>
    </w:p>
    <w:p>
      <w:pPr>
        <w:spacing w:line="360" w:lineRule="auto"/>
        <w:rPr>
          <w:rFonts w:ascii="宋体" w:hAnsi="宋体" w:eastAsia="宋体" w:cs="Times New Roman"/>
          <w:kern w:val="2"/>
          <w:sz w:val="24"/>
          <w:szCs w:val="20"/>
        </w:rPr>
      </w:pPr>
      <w:r>
        <w:rPr>
          <w:rFonts w:hint="eastAsia" w:ascii="宋体" w:hAnsi="宋体" w:eastAsia="宋体" w:cs="Times New Roman"/>
          <w:kern w:val="2"/>
          <w:sz w:val="24"/>
          <w:szCs w:val="20"/>
        </w:rPr>
        <w:t>法定代表人或投标授权代表（签字或签章）：</w:t>
      </w:r>
    </w:p>
    <w:p>
      <w:pPr>
        <w:spacing w:line="360" w:lineRule="auto"/>
        <w:rPr>
          <w:rFonts w:ascii="宋体" w:hAnsi="宋体" w:eastAsia="宋体" w:cs="Times New Roman"/>
          <w:kern w:val="2"/>
          <w:sz w:val="24"/>
          <w:szCs w:val="20"/>
        </w:rPr>
      </w:pPr>
      <w:r>
        <w:rPr>
          <w:rFonts w:hint="eastAsia" w:ascii="宋体" w:hAnsi="宋体" w:eastAsia="宋体" w:cs="Times New Roman"/>
          <w:kern w:val="2"/>
          <w:sz w:val="24"/>
          <w:szCs w:val="20"/>
        </w:rPr>
        <w:t>日    期：     年   月   日</w:t>
      </w:r>
    </w:p>
    <w:p>
      <w:pPr>
        <w:keepNext/>
        <w:keepLines/>
        <w:widowControl w:val="0"/>
        <w:adjustRightInd w:val="0"/>
        <w:spacing w:before="40" w:after="40" w:line="360" w:lineRule="auto"/>
        <w:ind w:left="0"/>
        <w:jc w:val="both"/>
        <w:textAlignment w:val="baseline"/>
        <w:outlineLvl w:val="2"/>
        <w:rPr>
          <w:rFonts w:hint="eastAsia" w:ascii="宋体" w:hAnsi="宋体" w:eastAsia="宋体" w:cs="Times New Roman"/>
          <w:b/>
          <w:kern w:val="2"/>
          <w:sz w:val="21"/>
          <w:szCs w:val="20"/>
          <w:lang w:val="en-US" w:eastAsia="zh-CN" w:bidi="ar-SA"/>
        </w:rPr>
      </w:pPr>
    </w:p>
    <w:p>
      <w:pPr>
        <w:keepNext/>
        <w:keepLines/>
        <w:widowControl w:val="0"/>
        <w:adjustRightInd w:val="0"/>
        <w:spacing w:before="40" w:after="40" w:line="360" w:lineRule="auto"/>
        <w:ind w:left="0"/>
        <w:jc w:val="both"/>
        <w:textAlignment w:val="baseline"/>
        <w:outlineLvl w:val="2"/>
        <w:rPr>
          <w:rFonts w:ascii="宋体" w:hAnsi="宋体" w:eastAsia="宋体" w:cs="Times New Roman"/>
          <w:b/>
          <w:kern w:val="2"/>
          <w:sz w:val="21"/>
          <w:szCs w:val="20"/>
          <w:lang w:val="en-US" w:eastAsia="zh-CN" w:bidi="ar-SA"/>
        </w:rPr>
      </w:pPr>
      <w:r>
        <w:rPr>
          <w:rFonts w:hint="eastAsia" w:ascii="宋体" w:hAnsi="宋体" w:eastAsia="宋体" w:cs="Times New Roman"/>
          <w:b/>
          <w:kern w:val="2"/>
          <w:sz w:val="21"/>
          <w:szCs w:val="20"/>
          <w:lang w:val="en-US" w:eastAsia="zh-CN" w:bidi="ar-SA"/>
        </w:rPr>
        <w:t>注：1、本格式仅供参考，投标人可根据实际情况自定。</w:t>
      </w:r>
    </w:p>
    <w:p>
      <w:pPr>
        <w:bidi w:val="0"/>
        <w:spacing w:line="360" w:lineRule="auto"/>
        <w:ind w:firstLine="422" w:firstLineChars="200"/>
        <w:rPr>
          <w:rFonts w:hint="default" w:ascii="Calibri" w:hAnsi="Calibri" w:eastAsia="宋体" w:cs="Times New Roman"/>
          <w:b/>
          <w:bCs/>
          <w:kern w:val="2"/>
          <w:sz w:val="21"/>
          <w:szCs w:val="20"/>
          <w:highlight w:val="none"/>
          <w:lang w:val="en-US" w:eastAsia="zh-CN"/>
        </w:rPr>
      </w:pPr>
      <w:r>
        <w:rPr>
          <w:rFonts w:hint="eastAsia" w:ascii="Calibri" w:hAnsi="Calibri" w:eastAsia="宋体" w:cs="Times New Roman"/>
          <w:b/>
          <w:bCs/>
          <w:kern w:val="2"/>
          <w:sz w:val="21"/>
          <w:szCs w:val="20"/>
        </w:rPr>
        <w:t>2、</w:t>
      </w:r>
      <w:r>
        <w:rPr>
          <w:rFonts w:hint="eastAsia" w:ascii="宋体" w:hAnsi="宋体" w:eastAsia="宋体" w:cs="Times New Roman"/>
          <w:b/>
          <w:color w:val="auto"/>
          <w:kern w:val="2"/>
          <w:sz w:val="21"/>
          <w:szCs w:val="20"/>
          <w:highlight w:val="none"/>
        </w:rPr>
        <w:t>投标人提供的同类项目业绩证明资料附于该表后面</w:t>
      </w:r>
      <w:r>
        <w:rPr>
          <w:rFonts w:hint="eastAsia" w:ascii="宋体" w:hAnsi="宋体" w:eastAsia="宋体" w:cs="Times New Roman"/>
          <w:b/>
          <w:color w:val="auto"/>
          <w:kern w:val="2"/>
          <w:sz w:val="21"/>
          <w:szCs w:val="20"/>
          <w:highlight w:val="none"/>
          <w:lang w:eastAsia="zh-CN"/>
        </w:rPr>
        <w:t>，</w:t>
      </w:r>
      <w:r>
        <w:rPr>
          <w:rFonts w:hint="eastAsia" w:ascii="Calibri" w:hAnsi="Calibri" w:eastAsia="宋体" w:cs="Times New Roman"/>
          <w:b/>
          <w:bCs/>
          <w:kern w:val="2"/>
          <w:sz w:val="21"/>
          <w:szCs w:val="20"/>
          <w:highlight w:val="none"/>
        </w:rPr>
        <w:t>证明材料所需资料评见商务评分要求。</w:t>
      </w:r>
    </w:p>
    <w:p>
      <w:pPr>
        <w:outlineLvl w:val="1"/>
        <w:rPr>
          <w:rFonts w:ascii="仿宋" w:hAnsi="仿宋" w:eastAsia="宋体" w:cs="仿宋"/>
          <w:color w:val="auto"/>
          <w:szCs w:val="21"/>
          <w:highlight w:val="none"/>
        </w:rPr>
      </w:pPr>
      <w:r>
        <w:rPr>
          <w:rFonts w:ascii="宋体" w:hAnsi="宋体" w:eastAsia="宋体" w:cs="黑体"/>
          <w:b/>
          <w:color w:val="auto"/>
          <w:spacing w:val="4"/>
          <w:kern w:val="0"/>
          <w:sz w:val="28"/>
          <w:szCs w:val="28"/>
          <w:highlight w:val="none"/>
        </w:rPr>
        <w:br w:type="page"/>
      </w: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六</w:t>
      </w:r>
      <w:r>
        <w:rPr>
          <w:rFonts w:hint="eastAsia" w:ascii="仿宋" w:hAnsi="仿宋" w:eastAsia="仿宋" w:cs="宋体"/>
          <w:color w:val="auto"/>
          <w:sz w:val="28"/>
          <w:szCs w:val="28"/>
          <w:highlight w:val="none"/>
        </w:rPr>
        <w:t>：</w:t>
      </w:r>
    </w:p>
    <w:p>
      <w:pPr>
        <w:spacing w:line="360" w:lineRule="auto"/>
        <w:outlineLvl w:val="1"/>
        <w:rPr>
          <w:rFonts w:ascii="仿宋" w:hAnsi="仿宋" w:eastAsia="仿宋" w:cs="宋体"/>
          <w:color w:val="auto"/>
          <w:sz w:val="28"/>
          <w:szCs w:val="28"/>
          <w:highlight w:val="none"/>
        </w:rPr>
      </w:pPr>
      <w:r>
        <w:rPr>
          <w:color w:val="auto"/>
          <w:spacing w:val="18"/>
          <w:highlight w:val="none"/>
        </w:rPr>
        <w:t xml:space="preserve"> </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7"/>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ind w:firstLine="420" w:firstLineChars="200"/>
              <w:jc w:val="both"/>
              <w:rPr>
                <w:rFonts w:ascii="宋体" w:hAnsi="宋体" w:cs="宋体"/>
                <w:bCs/>
                <w:color w:val="auto"/>
                <w:szCs w:val="21"/>
                <w:highlight w:val="none"/>
                <w:lang w:val="zh-CN"/>
              </w:rPr>
            </w:pPr>
            <w:r>
              <w:rPr>
                <w:rFonts w:hint="eastAsia" w:ascii="宋体" w:hAnsi="宋体" w:cs="宋体" w:eastAsiaTheme="minorEastAsia"/>
                <w:b w:val="0"/>
                <w:bCs/>
                <w:color w:val="auto"/>
                <w:spacing w:val="0"/>
                <w:kern w:val="2"/>
                <w:sz w:val="21"/>
                <w:szCs w:val="21"/>
                <w:highlight w:val="none"/>
                <w:u w:val="none"/>
                <w:lang w:val="en-US" w:eastAsia="zh-CN"/>
              </w:rPr>
              <w:t>南沙天后宫正殿、南岭塔室内照明提升</w:t>
            </w:r>
            <w:r>
              <w:rPr>
                <w:rFonts w:hint="eastAsia" w:ascii="宋体" w:hAnsi="宋体" w:cs="宋体"/>
                <w:bCs/>
                <w:color w:val="auto"/>
                <w:szCs w:val="21"/>
                <w:highlight w:val="none"/>
                <w:lang w:eastAsia="zh-CN"/>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ind w:firstLine="630" w:firstLineChars="300"/>
              <w:jc w:val="both"/>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11"/>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11"/>
        <w:spacing w:line="360" w:lineRule="auto"/>
        <w:ind w:firstLine="630" w:firstLineChars="300"/>
        <w:rPr>
          <w:rFonts w:hint="eastAsia" w:ascii="宋体" w:hAnsi="宋体" w:eastAsia="宋体" w:cs="宋体"/>
          <w:color w:val="auto"/>
          <w:sz w:val="21"/>
          <w:szCs w:val="21"/>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ascii="宋体" w:hAnsi="宋体" w:eastAsia="宋体" w:cs="宋体"/>
          <w:color w:val="auto"/>
          <w:sz w:val="21"/>
          <w:szCs w:val="21"/>
          <w:highlight w:val="none"/>
        </w:rPr>
        <w:t>本项目</w:t>
      </w:r>
      <w:r>
        <w:rPr>
          <w:rFonts w:hint="eastAsia" w:hAnsi="宋体" w:cs="宋体"/>
          <w:color w:val="auto"/>
          <w:sz w:val="21"/>
          <w:szCs w:val="21"/>
          <w:highlight w:val="none"/>
          <w:lang w:eastAsia="zh-CN"/>
        </w:rPr>
        <w:t>招标控制价详见投标须知前附表约定。</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11"/>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37" w:name="_Toc374128477"/>
      <w:bookmarkEnd w:id="37"/>
      <w:bookmarkStart w:id="38"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39" w:name="_Toc25010"/>
      <w:bookmarkStart w:id="40" w:name="_Toc4893"/>
      <w:r>
        <w:rPr>
          <w:rFonts w:hint="eastAsia" w:ascii="黑体" w:hAnsi="宋体" w:cs="黑体"/>
          <w:b/>
          <w:color w:val="auto"/>
          <w:kern w:val="44"/>
          <w:sz w:val="44"/>
          <w:szCs w:val="44"/>
          <w:highlight w:val="none"/>
        </w:rPr>
        <w:t>第4章 评标办法</w:t>
      </w:r>
      <w:bookmarkEnd w:id="38"/>
      <w:bookmarkEnd w:id="39"/>
      <w:bookmarkEnd w:id="40"/>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headerReference r:id="rId3" w:type="default"/>
          <w:footerReference r:id="rId4" w:type="default"/>
          <w:pgSz w:w="11915" w:h="16840"/>
          <w:pgMar w:top="1247" w:right="1135" w:bottom="1247" w:left="1361" w:header="720" w:footer="720" w:gutter="0"/>
          <w:pgNumType w:start="1"/>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val="en-US" w:eastAsia="zh-CN"/>
        </w:rPr>
        <w:t>方式</w:t>
      </w:r>
      <w:r>
        <w:rPr>
          <w:rFonts w:hint="eastAsia" w:ascii="仿宋" w:hAnsi="仿宋" w:eastAsia="仿宋" w:cs="仿宋"/>
          <w:color w:val="auto"/>
          <w:sz w:val="28"/>
          <w:szCs w:val="28"/>
          <w:highlight w:val="none"/>
        </w:rPr>
        <w:t>，为保证招标“公开、公平、公正”，根据国家有关工程建设招标投标的法律、法规和方针、政策，制定本评标细则，实行评标的规范化、标准化、科学化。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 xml:space="preserve">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11"/>
        <w:widowControl/>
        <w:spacing w:line="500" w:lineRule="exact"/>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11"/>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11"/>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专家首先按附件1《符合性审查表》对各投标文件进行评审，只有通过符合性审查的投标文件方可进入下一阶段的评审。如果有符合性审查不通过提议，则</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成员共同表决，按照少数服从多数的原则决定是否通过符合性审查。</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500" w:lineRule="exact"/>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eastAsia" w:ascii="仿宋" w:hAnsi="仿宋" w:eastAsia="仿宋" w:cs="仿宋"/>
          <w:color w:val="auto"/>
          <w:sz w:val="28"/>
          <w:szCs w:val="28"/>
          <w:highlight w:val="none"/>
          <w:u w:val="none"/>
        </w:rPr>
        <w:t>，也可以重新招标</w:t>
      </w:r>
      <w:r>
        <w:rPr>
          <w:rFonts w:hint="eastAsia" w:ascii="仿宋" w:hAnsi="仿宋" w:eastAsia="仿宋" w:cs="仿宋"/>
          <w:color w:val="auto"/>
          <w:sz w:val="28"/>
          <w:szCs w:val="28"/>
          <w:highlight w:val="none"/>
        </w:rPr>
        <w:t>。以此类推，如所有中标候选人均出现前款所列的情形，为招标失败，招标人依法重新招标。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11"/>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11"/>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11"/>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a、投标人名称；b、标书密封情况；c、法定代表人证明及授权委托；d、投标报价等主要内容，并予以记录，记录提交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7.5.2如果有两个或两个以上的投标人总得分评分相同，则服务报价得分较高的投标人排名优先；如果总得分、服务报价得分均相同的投标文件，则由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pStyle w:val="11"/>
        <w:rPr>
          <w:rFonts w:hint="default" w:ascii="仿宋" w:hAnsi="仿宋" w:eastAsia="仿宋" w:cs="仿宋"/>
          <w:color w:val="auto"/>
          <w:sz w:val="28"/>
          <w:szCs w:val="28"/>
          <w:highlight w:val="none"/>
        </w:rPr>
      </w:pPr>
    </w:p>
    <w:p>
      <w:pPr>
        <w:pStyle w:val="11"/>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hint="eastAsia" w:ascii="黑体" w:hAnsi="宋体" w:cs="黑体"/>
          <w:b/>
          <w:color w:val="auto"/>
          <w:kern w:val="44"/>
          <w:sz w:val="44"/>
          <w:szCs w:val="44"/>
          <w:highlight w:val="none"/>
        </w:rPr>
      </w:pPr>
      <w:bookmarkStart w:id="41"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41"/>
    </w:p>
    <w:p>
      <w:pPr>
        <w:pStyle w:val="25"/>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5"/>
        <w:widowControl/>
        <w:ind w:firstLine="562"/>
        <w:rPr>
          <w:rFonts w:ascii="仿宋" w:hAnsi="仿宋" w:eastAsia="仿宋" w:cs="仿宋"/>
          <w:b/>
          <w:color w:val="auto"/>
          <w:sz w:val="28"/>
          <w:szCs w:val="28"/>
          <w:highlight w:val="none"/>
          <w:u w:val="single"/>
        </w:rPr>
      </w:pPr>
      <w:bookmarkStart w:id="42" w:name="OLE_LINK3"/>
      <w:bookmarkEnd w:id="42"/>
      <w:r>
        <w:rPr>
          <w:rFonts w:ascii="仿宋" w:hAnsi="仿宋" w:eastAsia="仿宋" w:cs="仿宋"/>
          <w:b/>
          <w:color w:val="auto"/>
          <w:sz w:val="28"/>
          <w:szCs w:val="28"/>
          <w:highlight w:val="none"/>
          <w:u w:val="single"/>
        </w:rPr>
        <w:t>附件2 综合评分表</w:t>
      </w:r>
    </w:p>
    <w:p>
      <w:pPr>
        <w:pStyle w:val="25"/>
        <w:widowControl/>
        <w:ind w:firstLine="562"/>
        <w:rPr>
          <w:rFonts w:hint="default"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3" w:name="_Toc5919"/>
      <w:bookmarkStart w:id="44" w:name="_Toc12170"/>
      <w:bookmarkStart w:id="45" w:name="_Toc3331"/>
      <w:r>
        <w:rPr>
          <w:rFonts w:hint="eastAsia" w:ascii="仿宋" w:hAnsi="仿宋" w:eastAsia="仿宋" w:cs="仿宋"/>
          <w:color w:val="auto"/>
          <w:sz w:val="28"/>
          <w:szCs w:val="28"/>
          <w:highlight w:val="none"/>
        </w:rPr>
        <w:t>附件1：符合性审查表</w:t>
      </w:r>
      <w:bookmarkEnd w:id="43"/>
      <w:bookmarkEnd w:id="44"/>
      <w:bookmarkEnd w:id="45"/>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7"/>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50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投标文件密封性</w:t>
            </w:r>
            <w:r>
              <w:rPr>
                <w:rFonts w:hint="eastAsia" w:ascii="仿宋" w:hAnsi="仿宋" w:eastAsia="仿宋" w:cs="仿宋"/>
                <w:color w:val="auto"/>
                <w:szCs w:val="21"/>
                <w:highlight w:val="none"/>
                <w:lang w:val="en-US" w:eastAsia="zh-CN"/>
              </w:rPr>
              <w:t>完</w:t>
            </w:r>
            <w:r>
              <w:rPr>
                <w:rFonts w:hint="eastAsia" w:ascii="仿宋" w:hAnsi="仿宋" w:eastAsia="仿宋" w:cs="仿宋"/>
                <w:color w:val="auto"/>
                <w:szCs w:val="21"/>
                <w:highlight w:val="none"/>
              </w:rPr>
              <w:t>好</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ascii="仿宋" w:hAnsi="仿宋" w:eastAsia="仿宋" w:cs="仿宋"/>
                <w:color w:val="auto"/>
                <w:highlight w:val="none"/>
              </w:rPr>
            </w:pPr>
            <w:r>
              <w:rPr>
                <w:rFonts w:hint="eastAsia" w:ascii="仿宋" w:hAnsi="仿宋" w:eastAsia="仿宋" w:cs="仿宋"/>
                <w:color w:val="auto"/>
                <w:szCs w:val="21"/>
                <w:highlight w:val="none"/>
              </w:rPr>
              <w:t>投标函签名、并加盖公章有效，且内容与招标文件相同</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color w:val="auto"/>
                <w:szCs w:val="21"/>
                <w:highlight w:val="none"/>
              </w:rPr>
              <w:t>投标文件中</w:t>
            </w:r>
            <w:r>
              <w:rPr>
                <w:rFonts w:hint="eastAsia" w:ascii="仿宋" w:hAnsi="仿宋" w:eastAsia="仿宋" w:cs="仿宋"/>
                <w:color w:val="auto"/>
                <w:szCs w:val="21"/>
                <w:highlight w:val="none"/>
                <w:lang w:val="en-US" w:eastAsia="zh-CN"/>
              </w:rPr>
              <w:t>附有</w:t>
            </w:r>
            <w:r>
              <w:rPr>
                <w:rFonts w:hint="eastAsia" w:ascii="仿宋" w:hAnsi="仿宋" w:eastAsia="仿宋" w:cs="仿宋"/>
                <w:color w:val="auto"/>
                <w:szCs w:val="21"/>
                <w:highlight w:val="none"/>
              </w:rPr>
              <w:t>有效的营业执照复印件、法定代表人证明书原件，如委托需提供委托授权书原件及受委托人身份证复印件</w:t>
            </w:r>
            <w:r>
              <w:rPr>
                <w:rFonts w:hint="eastAsia"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color w:val="auto"/>
                <w:sz w:val="21"/>
                <w:szCs w:val="21"/>
                <w:highlight w:val="none"/>
              </w:rPr>
              <w:t>符合本项目招标公告</w:t>
            </w:r>
            <w:r>
              <w:rPr>
                <w:rFonts w:hint="eastAsia" w:ascii="仿宋" w:hAnsi="仿宋" w:eastAsia="仿宋" w:cs="仿宋"/>
                <w:color w:val="auto"/>
                <w:sz w:val="21"/>
                <w:szCs w:val="21"/>
                <w:highlight w:val="none"/>
                <w:lang w:val="en-US" w:eastAsia="zh-CN"/>
              </w:rPr>
              <w:t>第七条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2"/>
                <w:sz w:val="21"/>
                <w:szCs w:val="21"/>
                <w:highlight w:val="none"/>
              </w:rPr>
              <w:t>投标人资格要求</w:t>
            </w:r>
            <w:r>
              <w:rPr>
                <w:rFonts w:hint="eastAsia" w:ascii="仿宋" w:hAnsi="仿宋" w:eastAsia="仿宋" w:cs="仿宋"/>
                <w:color w:val="auto"/>
                <w:sz w:val="21"/>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9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cs="仿宋" w:eastAsiaTheme="minorEastAsia"/>
                <w:color w:val="auto"/>
                <w:sz w:val="21"/>
                <w:szCs w:val="21"/>
                <w:highlight w:val="none"/>
                <w:lang w:eastAsia="zh-CN"/>
              </w:rPr>
            </w:pPr>
            <w:r>
              <w:rPr>
                <w:rFonts w:hint="eastAsia" w:ascii="仿宋" w:hAnsi="仿宋" w:eastAsia="仿宋" w:cs="仿宋"/>
                <w:color w:val="auto"/>
                <w:sz w:val="21"/>
                <w:szCs w:val="21"/>
                <w:highlight w:val="none"/>
              </w:rPr>
              <w:t>投标保证金符合招标文件规定</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提供</w:t>
            </w:r>
            <w:r>
              <w:rPr>
                <w:rFonts w:hint="eastAsia" w:ascii="仿宋" w:hAnsi="仿宋" w:eastAsia="仿宋" w:cs="仿宋"/>
                <w:color w:val="auto"/>
                <w:szCs w:val="21"/>
                <w:highlight w:val="none"/>
              </w:rPr>
              <w:t>保证金的银行转账单，或收据复印件。</w:t>
            </w:r>
            <w:r>
              <w:rPr>
                <w:rFonts w:hint="eastAsia" w:ascii="仿宋" w:hAnsi="仿宋" w:eastAsia="仿宋" w:cs="仿宋"/>
                <w:color w:val="auto"/>
                <w:sz w:val="21"/>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6</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contextualSpacing w:val="0"/>
              <w:jc w:val="center"/>
              <w:rPr>
                <w:rFonts w:ascii="仿宋" w:hAnsi="仿宋" w:eastAsia="仿宋" w:cs="仿宋"/>
                <w:color w:val="auto"/>
                <w:szCs w:val="21"/>
                <w:highlight w:val="none"/>
              </w:rPr>
            </w:pPr>
            <w:r>
              <w:rPr>
                <w:rFonts w:hint="default" w:ascii="仿宋" w:hAnsi="仿宋" w:eastAsia="仿宋" w:cs="仿宋"/>
                <w:color w:val="auto"/>
                <w:szCs w:val="21"/>
                <w:highlight w:val="none"/>
              </w:rPr>
              <w:t>结论</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51"/>
              <w:contextualSpacing w:val="0"/>
              <w:jc w:val="both"/>
              <w:rPr>
                <w:rFonts w:ascii="仿宋" w:hAnsi="仿宋" w:eastAsia="仿宋" w:cs="仿宋"/>
                <w:color w:val="auto"/>
                <w:szCs w:val="21"/>
                <w:highlight w:val="none"/>
              </w:rPr>
            </w:pPr>
            <w:r>
              <w:rPr>
                <w:rFonts w:hint="default" w:ascii="仿宋" w:hAnsi="仿宋" w:eastAsia="仿宋" w:cs="仿宋"/>
                <w:color w:val="auto"/>
                <w:szCs w:val="21"/>
                <w:highlight w:val="none"/>
              </w:rPr>
              <w:t>是否通过并进入下一阶段评审</w:t>
            </w:r>
            <w:r>
              <w:rPr>
                <w:rFonts w:hint="default"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5" w:type="default"/>
          <w:pgSz w:w="12240" w:h="15840"/>
          <w:pgMar w:top="1440" w:right="1797" w:bottom="1440" w:left="1797" w:header="720" w:footer="720" w:gutter="0"/>
          <w:cols w:space="425" w:num="1"/>
          <w:docGrid w:linePitch="312" w:charSpace="0"/>
        </w:sectPr>
      </w:pPr>
      <w:bookmarkStart w:id="46" w:name="_Toc18783"/>
    </w:p>
    <w:bookmarkEnd w:id="46"/>
    <w:p>
      <w:pPr>
        <w:snapToGrid w:val="0"/>
        <w:ind w:left="74"/>
        <w:outlineLvl w:val="0"/>
        <w:rPr>
          <w:rFonts w:hint="eastAsia" w:ascii="仿宋" w:hAnsi="仿宋" w:eastAsia="仿宋" w:cs="仿宋"/>
          <w:color w:val="auto"/>
          <w:sz w:val="28"/>
          <w:szCs w:val="28"/>
          <w:highlight w:val="none"/>
        </w:rPr>
      </w:pPr>
      <w:bookmarkStart w:id="47" w:name="_Toc6504"/>
      <w:bookmarkStart w:id="48" w:name="_Toc15249"/>
      <w:r>
        <w:rPr>
          <w:rFonts w:hint="eastAsia" w:ascii="仿宋" w:hAnsi="仿宋" w:eastAsia="仿宋" w:cs="仿宋"/>
          <w:b/>
          <w:color w:val="auto"/>
          <w:sz w:val="28"/>
          <w:szCs w:val="28"/>
          <w:highlight w:val="none"/>
        </w:rPr>
        <w:t>附件2综合评分表</w:t>
      </w:r>
      <w:r>
        <w:rPr>
          <w:rFonts w:hint="eastAsia" w:ascii="仿宋" w:hAnsi="仿宋" w:eastAsia="仿宋" w:cs="仿宋"/>
          <w:color w:val="auto"/>
          <w:sz w:val="28"/>
          <w:szCs w:val="28"/>
          <w:highlight w:val="none"/>
        </w:rPr>
        <w:t>（100分）</w:t>
      </w:r>
      <w:bookmarkEnd w:id="47"/>
      <w:bookmarkEnd w:id="48"/>
    </w:p>
    <w:tbl>
      <w:tblPr>
        <w:tblStyle w:val="17"/>
        <w:tblW w:w="13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188"/>
        <w:gridCol w:w="927"/>
        <w:gridCol w:w="9535"/>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53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94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5" w:hRule="atLeast"/>
          <w:jc w:val="center"/>
        </w:trPr>
        <w:tc>
          <w:tcPr>
            <w:tcW w:w="6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napToGrid w:val="0"/>
              <w:ind w:left="-2" w:leftChars="-1"/>
              <w:jc w:val="center"/>
              <w:rPr>
                <w:rFonts w:hint="eastAsia" w:ascii="宋体" w:hAnsi="宋体" w:eastAsia="宋体" w:cs="宋体"/>
                <w:color w:val="auto"/>
                <w:szCs w:val="21"/>
                <w:highlight w:val="none"/>
              </w:rPr>
            </w:pPr>
          </w:p>
          <w:p>
            <w:pPr>
              <w:snapToGrid w:val="0"/>
              <w:ind w:left="-2" w:leftChars="-1"/>
              <w:jc w:val="center"/>
              <w:rPr>
                <w:rFonts w:hint="eastAsia" w:ascii="宋体" w:hAnsi="宋体" w:eastAsia="宋体" w:cs="宋体"/>
                <w:color w:val="auto"/>
                <w:szCs w:val="21"/>
                <w:highlight w:val="none"/>
              </w:rPr>
            </w:pPr>
          </w:p>
          <w:p>
            <w:pPr>
              <w:snapToGrid w:val="0"/>
              <w:ind w:left="-2" w:leftChars="-1"/>
              <w:jc w:val="center"/>
              <w:rPr>
                <w:rFonts w:hint="eastAsia" w:ascii="宋体" w:hAnsi="宋体" w:eastAsia="宋体" w:cs="宋体"/>
                <w:color w:val="auto"/>
                <w:szCs w:val="21"/>
                <w:highlight w:val="none"/>
              </w:rPr>
            </w:pPr>
          </w:p>
          <w:p>
            <w:pPr>
              <w:snapToGrid w:val="0"/>
              <w:ind w:left="-2" w:leftChars="-1"/>
              <w:jc w:val="center"/>
              <w:rPr>
                <w:rFonts w:hint="eastAsia" w:ascii="宋体" w:hAnsi="宋体" w:eastAsia="宋体" w:cs="宋体"/>
                <w:color w:val="auto"/>
                <w:szCs w:val="21"/>
                <w:highlight w:val="none"/>
              </w:rPr>
            </w:pP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pStyle w:val="7"/>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40</w:t>
            </w:r>
            <w:r>
              <w:rPr>
                <w:rFonts w:hint="eastAsia" w:ascii="宋体" w:hAnsi="宋体" w:eastAsia="宋体" w:cs="宋体"/>
                <w:b w:val="0"/>
                <w:bCs/>
                <w:color w:val="auto"/>
                <w:szCs w:val="21"/>
                <w:highlight w:val="none"/>
                <w:lang w:val="en-US" w:eastAsia="zh-CN"/>
              </w:rPr>
              <w:t>分</w:t>
            </w:r>
            <w:r>
              <w:rPr>
                <w:rFonts w:hint="eastAsia" w:ascii="宋体" w:hAnsi="宋体" w:eastAsia="宋体" w:cs="宋体"/>
                <w:b w:val="0"/>
                <w:bCs/>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rPr>
            </w:pP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ind w:left="42" w:leftChars="20" w:right="42" w:rightChars="20"/>
              <w:jc w:val="center"/>
              <w:rPr>
                <w:rFonts w:hint="eastAsia" w:ascii="宋体" w:hAnsi="宋体" w:eastAsia="宋体" w:cs="宋体"/>
                <w:color w:val="auto"/>
                <w:szCs w:val="21"/>
                <w:highlight w:val="none"/>
                <w:lang w:eastAsia="zh-CN"/>
              </w:rPr>
            </w:pPr>
            <w:r>
              <w:rPr>
                <w:rFonts w:hint="eastAsia" w:ascii="宋体" w:hAnsi="宋体" w:eastAsia="宋体" w:cs="宋体"/>
                <w:color w:val="auto"/>
                <w:sz w:val="21"/>
                <w:szCs w:val="21"/>
                <w:highlight w:val="none"/>
                <w:lang w:val="en-US" w:eastAsia="zh-CN"/>
              </w:rPr>
              <w:t>类似业绩</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42" w:leftChars="20" w:right="42" w:rightChars="2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15</w:t>
            </w:r>
          </w:p>
        </w:tc>
        <w:tc>
          <w:tcPr>
            <w:tcW w:w="9535" w:type="dxa"/>
            <w:tcBorders>
              <w:top w:val="single" w:color="auto" w:sz="4" w:space="0"/>
              <w:left w:val="single" w:color="auto" w:sz="4" w:space="0"/>
              <w:bottom w:val="single" w:color="auto" w:sz="4" w:space="0"/>
              <w:right w:val="single" w:color="auto" w:sz="4" w:space="0"/>
            </w:tcBorders>
            <w:shd w:val="clear" w:color="auto" w:fill="auto"/>
            <w:vAlign w:val="center"/>
          </w:tcPr>
          <w:p>
            <w:pPr>
              <w:numPr>
                <w:ilvl w:val="-1"/>
                <w:numId w:val="0"/>
              </w:numPr>
              <w:snapToGrid/>
              <w:spacing w:line="360" w:lineRule="auto"/>
              <w:ind w:left="42" w:leftChars="20" w:right="42" w:rightChars="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rPr>
              <w:t>投标人</w:t>
            </w:r>
            <w:r>
              <w:rPr>
                <w:rFonts w:hint="eastAsia" w:ascii="宋体" w:hAnsi="宋体" w:eastAsia="宋体" w:cs="宋体"/>
                <w:sz w:val="21"/>
                <w:szCs w:val="21"/>
                <w:highlight w:val="none"/>
                <w:lang w:val="en-US" w:eastAsia="zh-CN"/>
              </w:rPr>
              <w:t>4年内</w:t>
            </w:r>
            <w:r>
              <w:rPr>
                <w:rFonts w:hint="eastAsia" w:ascii="Times New Roman"/>
                <w:sz w:val="21"/>
                <w:szCs w:val="21"/>
                <w:highlight w:val="none"/>
                <w:lang w:val="zh-CN"/>
              </w:rPr>
              <w:t>（以合同签订时间为准）</w:t>
            </w:r>
            <w:r>
              <w:rPr>
                <w:rFonts w:hint="eastAsia" w:ascii="宋体" w:hAnsi="宋体" w:eastAsia="宋体" w:cs="宋体"/>
                <w:color w:val="auto"/>
                <w:sz w:val="21"/>
                <w:szCs w:val="21"/>
                <w:highlight w:val="none"/>
                <w:lang w:val="en-US"/>
              </w:rPr>
              <w:t>类似项目业绩（</w:t>
            </w:r>
            <w:r>
              <w:rPr>
                <w:rFonts w:hint="eastAsia" w:ascii="宋体" w:hAnsi="宋体" w:eastAsia="宋体" w:cs="宋体"/>
                <w:color w:val="auto"/>
                <w:sz w:val="21"/>
                <w:szCs w:val="21"/>
                <w:highlight w:val="none"/>
                <w:lang w:val="en-US" w:eastAsia="zh-CN"/>
              </w:rPr>
              <w:t>单项合同金额不低于300万</w:t>
            </w:r>
            <w:r>
              <w:rPr>
                <w:rFonts w:hint="eastAsia" w:ascii="宋体" w:hAnsi="宋体" w:eastAsia="宋体" w:cs="宋体"/>
                <w:color w:val="auto"/>
                <w:sz w:val="21"/>
                <w:szCs w:val="21"/>
                <w:highlight w:val="none"/>
                <w:lang w:val="en-US"/>
              </w:rPr>
              <w:t>），每提供一个计</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en-US"/>
              </w:rPr>
              <w:t>分，满分为</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en-US"/>
              </w:rPr>
              <w:t>分；</w:t>
            </w:r>
          </w:p>
          <w:p>
            <w:pPr>
              <w:spacing w:line="360" w:lineRule="auto"/>
              <w:ind w:left="42" w:leftChars="20" w:right="42" w:rightChars="20"/>
              <w:jc w:val="left"/>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2、</w:t>
            </w:r>
            <w:r>
              <w:rPr>
                <w:rFonts w:hint="eastAsia" w:ascii="宋体" w:hAnsi="宋体" w:eastAsia="宋体" w:cs="宋体"/>
                <w:b w:val="0"/>
                <w:color w:val="auto"/>
                <w:kern w:val="2"/>
                <w:sz w:val="21"/>
                <w:szCs w:val="21"/>
                <w:highlight w:val="none"/>
                <w:lang w:val="en-US" w:eastAsia="zh-CN" w:bidi="ar-SA"/>
              </w:rPr>
              <w:t>投标人具有4A或以上评级景区的夜间灯光工程施工经历的，得5分，否则不得分。</w:t>
            </w:r>
          </w:p>
          <w:p>
            <w:pPr>
              <w:spacing w:line="360" w:lineRule="auto"/>
              <w:ind w:left="42" w:leftChars="20" w:right="42" w:rightChars="20"/>
              <w:jc w:val="left"/>
              <w:rPr>
                <w:rFonts w:hint="eastAsia" w:ascii="宋体" w:hAnsi="宋体" w:eastAsia="宋体" w:cs="宋体"/>
                <w:color w:val="auto"/>
                <w:szCs w:val="21"/>
                <w:highlight w:val="none"/>
                <w:lang w:val="en-US" w:eastAsia="zh-CN"/>
              </w:rPr>
            </w:pPr>
            <w:r>
              <w:rPr>
                <w:rFonts w:hint="eastAsia" w:ascii="宋体" w:hAnsi="宋体" w:eastAsia="宋体" w:cs="宋体"/>
                <w:sz w:val="21"/>
                <w:szCs w:val="21"/>
                <w:highlight w:val="none"/>
              </w:rPr>
              <w:t>注：</w:t>
            </w:r>
            <w:r>
              <w:rPr>
                <w:rFonts w:hint="eastAsia" w:ascii="宋体" w:hAnsi="宋体" w:eastAsia="宋体" w:cs="宋体"/>
                <w:sz w:val="21"/>
                <w:szCs w:val="21"/>
                <w:highlight w:val="none"/>
                <w:lang w:val="en-US" w:eastAsia="zh-CN"/>
              </w:rPr>
              <w:t>需</w:t>
            </w:r>
            <w:r>
              <w:rPr>
                <w:rFonts w:hint="eastAsia" w:ascii="宋体" w:hAnsi="宋体" w:eastAsia="宋体" w:cs="宋体"/>
                <w:color w:val="auto"/>
                <w:sz w:val="21"/>
                <w:szCs w:val="21"/>
                <w:highlight w:val="none"/>
                <w:lang w:val="en-US"/>
              </w:rPr>
              <w:t>提供类似项目业绩证明材料（合同复印件</w:t>
            </w:r>
            <w:r>
              <w:rPr>
                <w:rFonts w:hint="eastAsia" w:ascii="宋体" w:hAnsi="宋体" w:eastAsia="宋体" w:cs="宋体"/>
                <w:color w:val="auto"/>
                <w:sz w:val="21"/>
                <w:szCs w:val="21"/>
                <w:highlight w:val="none"/>
                <w:lang w:val="en-US" w:eastAsia="zh-CN"/>
              </w:rPr>
              <w:t>加盖公章</w:t>
            </w:r>
            <w:r>
              <w:rPr>
                <w:rFonts w:hint="eastAsia" w:ascii="宋体" w:hAnsi="宋体" w:eastAsia="宋体" w:cs="宋体"/>
                <w:color w:val="auto"/>
                <w:sz w:val="21"/>
                <w:szCs w:val="21"/>
                <w:highlight w:val="none"/>
                <w:lang w:val="en-US"/>
              </w:rPr>
              <w:t>）原件备查</w:t>
            </w:r>
            <w:r>
              <w:rPr>
                <w:rFonts w:hint="eastAsia" w:ascii="宋体" w:hAnsi="宋体" w:eastAsia="宋体" w:cs="宋体"/>
                <w:sz w:val="21"/>
                <w:szCs w:val="21"/>
                <w:highlight w:val="none"/>
              </w:rPr>
              <w:t>，不提供不得分。</w:t>
            </w:r>
          </w:p>
        </w:tc>
        <w:tc>
          <w:tcPr>
            <w:tcW w:w="94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5" w:hRule="atLeast"/>
          <w:jc w:val="center"/>
        </w:trPr>
        <w:tc>
          <w:tcPr>
            <w:tcW w:w="6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ind w:left="42" w:leftChars="20" w:right="42" w:rightChars="20"/>
              <w:jc w:val="center"/>
              <w:rPr>
                <w:rFonts w:hint="eastAsia" w:ascii="宋体" w:hAnsi="宋体" w:eastAsia="宋体" w:cs="宋体"/>
                <w:bCs w:val="0"/>
                <w:color w:val="auto"/>
                <w:sz w:val="21"/>
                <w:szCs w:val="21"/>
                <w:highlight w:val="none"/>
                <w:lang w:val="zh-CN"/>
              </w:rPr>
            </w:pPr>
            <w:r>
              <w:rPr>
                <w:rFonts w:hint="eastAsia" w:ascii="宋体" w:hAnsi="宋体" w:eastAsia="宋体" w:cs="宋体"/>
                <w:bCs w:val="0"/>
                <w:color w:val="auto"/>
                <w:sz w:val="21"/>
                <w:szCs w:val="21"/>
                <w:highlight w:val="none"/>
                <w:lang w:val="zh-CN"/>
              </w:rPr>
              <w:t>投标人</w:t>
            </w:r>
          </w:p>
          <w:p>
            <w:pPr>
              <w:snapToGrid/>
              <w:ind w:left="42" w:leftChars="20" w:right="42" w:rightChars="2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Cs w:val="0"/>
                <w:color w:val="auto"/>
                <w:sz w:val="21"/>
                <w:szCs w:val="21"/>
                <w:highlight w:val="none"/>
                <w:lang w:val="zh-CN"/>
              </w:rPr>
              <w:t>综合实力</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ind w:left="42" w:leftChars="20" w:right="42" w:rightChars="20"/>
              <w:jc w:val="center"/>
              <w:rPr>
                <w:rFonts w:hint="eastAsia" w:ascii="宋体" w:hAnsi="宋体" w:eastAsia="宋体" w:cs="宋体"/>
                <w:color w:val="auto"/>
                <w:kern w:val="2"/>
                <w:position w:val="0"/>
                <w:sz w:val="21"/>
                <w:szCs w:val="21"/>
                <w:highlight w:val="none"/>
                <w:lang w:val="en-US" w:eastAsia="zh-CN" w:bidi="ar-SA"/>
              </w:rPr>
            </w:pPr>
            <w:r>
              <w:rPr>
                <w:rFonts w:hint="eastAsia" w:ascii="宋体" w:hAnsi="宋体" w:eastAsia="宋体" w:cs="宋体"/>
                <w:bCs w:val="0"/>
                <w:color w:val="auto"/>
                <w:sz w:val="21"/>
                <w:szCs w:val="21"/>
                <w:highlight w:val="none"/>
              </w:rPr>
              <w:t>1</w:t>
            </w:r>
            <w:r>
              <w:rPr>
                <w:rFonts w:hint="eastAsia" w:ascii="宋体" w:hAnsi="宋体" w:eastAsia="宋体" w:cs="宋体"/>
                <w:bCs w:val="0"/>
                <w:color w:val="auto"/>
                <w:sz w:val="21"/>
                <w:szCs w:val="21"/>
                <w:highlight w:val="none"/>
                <w:lang w:val="en-US" w:eastAsia="zh-CN"/>
              </w:rPr>
              <w:t>5</w:t>
            </w:r>
          </w:p>
        </w:tc>
        <w:tc>
          <w:tcPr>
            <w:tcW w:w="9535" w:type="dxa"/>
            <w:tcBorders>
              <w:top w:val="single" w:color="auto" w:sz="4" w:space="0"/>
              <w:left w:val="single" w:color="auto" w:sz="4" w:space="0"/>
              <w:bottom w:val="single" w:color="auto" w:sz="4" w:space="0"/>
              <w:right w:val="single" w:color="auto" w:sz="4" w:space="0"/>
            </w:tcBorders>
            <w:shd w:val="clear" w:color="auto" w:fill="auto"/>
            <w:vAlign w:val="center"/>
          </w:tcPr>
          <w:p>
            <w:pPr>
              <w:numPr>
                <w:ilvl w:val="-1"/>
                <w:numId w:val="0"/>
              </w:numPr>
              <w:snapToGrid/>
              <w:spacing w:line="360" w:lineRule="auto"/>
              <w:ind w:left="42" w:leftChars="20" w:right="42" w:rightChars="20"/>
              <w:jc w:val="left"/>
              <w:rPr>
                <w:rFonts w:hint="eastAsia" w:ascii="宋体" w:hAnsi="宋体" w:eastAsia="宋体" w:cs="宋体"/>
                <w:color w:val="auto"/>
                <w:szCs w:val="21"/>
                <w:highlight w:val="none"/>
                <w:lang w:val="zh-CN"/>
              </w:rPr>
            </w:pPr>
            <w:r>
              <w:rPr>
                <w:rFonts w:hint="eastAsia" w:ascii="宋体" w:hAnsi="宋体" w:eastAsia="宋体" w:cs="宋体"/>
                <w:color w:val="auto"/>
                <w:sz w:val="21"/>
                <w:szCs w:val="21"/>
                <w:highlight w:val="none"/>
                <w:lang w:val="en-US" w:eastAsia="zh-CN"/>
              </w:rPr>
              <w:t>1、投标人具备城市及道路照明工程专业承包三级或以上资质证书的得5分，否则不得分；</w:t>
            </w:r>
          </w:p>
          <w:p>
            <w:pPr>
              <w:numPr>
                <w:ilvl w:val="-1"/>
                <w:numId w:val="0"/>
              </w:numPr>
              <w:snapToGrid/>
              <w:spacing w:line="360" w:lineRule="auto"/>
              <w:ind w:left="42" w:leftChars="20" w:right="42" w:rightChars="20"/>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w:t>
            </w:r>
            <w:r>
              <w:rPr>
                <w:rFonts w:hint="eastAsia" w:ascii="宋体" w:hAnsi="宋体" w:eastAsia="宋体" w:cs="宋体"/>
                <w:color w:val="auto"/>
                <w:sz w:val="21"/>
                <w:szCs w:val="21"/>
                <w:highlight w:val="none"/>
                <w:lang w:val="en-US" w:eastAsia="zh-CN"/>
              </w:rPr>
              <w:t>施工人员同时具备高处作业和电工特种作业操作证的，</w:t>
            </w:r>
            <w:r>
              <w:rPr>
                <w:rFonts w:hint="eastAsia" w:ascii="宋体" w:hAnsi="宋体" w:eastAsia="宋体" w:cs="宋体"/>
                <w:color w:val="auto"/>
                <w:sz w:val="21"/>
                <w:szCs w:val="21"/>
                <w:highlight w:val="none"/>
                <w:lang w:val="zh-CN"/>
              </w:rPr>
              <w:t>每提供一个计</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分，满分为</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zh-CN"/>
              </w:rPr>
              <w:t>分；</w:t>
            </w:r>
          </w:p>
          <w:p>
            <w:pPr>
              <w:numPr>
                <w:ilvl w:val="-1"/>
                <w:numId w:val="0"/>
              </w:numPr>
              <w:snapToGrid/>
              <w:spacing w:line="360" w:lineRule="auto"/>
              <w:ind w:left="0" w:leftChars="0" w:right="42" w:rightChars="2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3、具有《广东省“守合同重信用”》企业证书的，每连续1年获得证书的得1分，</w:t>
            </w:r>
            <w:r>
              <w:rPr>
                <w:rFonts w:hint="eastAsia" w:ascii="宋体" w:hAnsi="宋体" w:eastAsia="宋体" w:cs="宋体"/>
                <w:color w:val="auto"/>
                <w:sz w:val="21"/>
                <w:szCs w:val="21"/>
                <w:highlight w:val="none"/>
                <w:lang w:val="zh-CN"/>
              </w:rPr>
              <w:t>满分为</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分。</w:t>
            </w:r>
          </w:p>
          <w:p>
            <w:pPr>
              <w:snapToGrid/>
              <w:spacing w:line="360" w:lineRule="auto"/>
              <w:ind w:left="42" w:leftChars="20" w:right="42" w:rightChars="2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注：以上均需提供证书复印件加盖公章，人员需提供近3个月社保证明，否则视为不符合条件。</w:t>
            </w:r>
          </w:p>
        </w:tc>
        <w:tc>
          <w:tcPr>
            <w:tcW w:w="94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3" w:hRule="atLeast"/>
          <w:jc w:val="center"/>
        </w:trPr>
        <w:tc>
          <w:tcPr>
            <w:tcW w:w="6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spacing w:line="240" w:lineRule="auto"/>
              <w:jc w:val="center"/>
              <w:rPr>
                <w:rFonts w:hint="eastAsia" w:ascii="宋体" w:hAnsi="宋体" w:cs="宋体" w:eastAsiaTheme="minorEastAsia"/>
                <w:szCs w:val="21"/>
                <w:highlight w:val="none"/>
                <w:lang w:eastAsia="zh-CN"/>
              </w:rPr>
            </w:pPr>
            <w:r>
              <w:rPr>
                <w:rFonts w:hint="eastAsia" w:ascii="宋体" w:hAnsi="宋体" w:cs="宋体"/>
                <w:bCs w:val="0"/>
                <w:sz w:val="21"/>
                <w:szCs w:val="21"/>
                <w:highlight w:val="none"/>
                <w:lang w:val="en-US" w:eastAsia="zh-CN"/>
              </w:rPr>
              <w:t>售后服务</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40" w:lineRule="auto"/>
              <w:ind w:left="-2" w:leftChars="-1" w:firstLine="0" w:firstLineChars="0"/>
              <w:jc w:val="center"/>
              <w:rPr>
                <w:rFonts w:hint="eastAsia" w:ascii="宋体" w:hAnsi="宋体" w:eastAsia="宋体" w:cs="宋体"/>
                <w:color w:val="auto"/>
                <w:position w:val="0"/>
                <w:szCs w:val="21"/>
                <w:highlight w:val="none"/>
                <w:lang w:val="en-US" w:eastAsia="zh-CN"/>
              </w:rPr>
            </w:pPr>
            <w:r>
              <w:rPr>
                <w:rFonts w:hint="eastAsia" w:ascii="宋体" w:hAnsi="宋体" w:eastAsia="宋体" w:cs="宋体"/>
                <w:bCs w:val="0"/>
                <w:color w:val="auto"/>
                <w:sz w:val="21"/>
                <w:szCs w:val="21"/>
                <w:highlight w:val="none"/>
                <w:lang w:val="en-US" w:eastAsia="zh-CN"/>
              </w:rPr>
              <w:t>10</w:t>
            </w:r>
          </w:p>
        </w:tc>
        <w:tc>
          <w:tcPr>
            <w:tcW w:w="9535" w:type="dxa"/>
            <w:tcBorders>
              <w:top w:val="single" w:color="auto" w:sz="4" w:space="0"/>
              <w:left w:val="single" w:color="auto" w:sz="4" w:space="0"/>
              <w:bottom w:val="single" w:color="auto" w:sz="4" w:space="0"/>
              <w:right w:val="single" w:color="auto" w:sz="4" w:space="0"/>
            </w:tcBorders>
            <w:shd w:val="clear" w:color="auto" w:fill="auto"/>
            <w:vAlign w:val="center"/>
          </w:tcPr>
          <w:p>
            <w:pPr>
              <w:numPr>
                <w:ilvl w:val="-1"/>
                <w:numId w:val="0"/>
              </w:numPr>
              <w:snapToGrid w:val="0"/>
              <w:ind w:left="-2" w:leftChars="-1"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rPr>
              <w:t>深入了解本项目要求，并提出科学、合理、可行的售后服务方案的，然后根据各</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的方案进行横向比较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方案优秀合理得10</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良好得6</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一般得3</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r>
              <w:rPr>
                <w:rFonts w:hint="eastAsia" w:ascii="宋体" w:hAnsi="宋体" w:cs="宋体"/>
                <w:b w:val="0"/>
                <w:bCs w:val="0"/>
                <w:sz w:val="21"/>
                <w:szCs w:val="21"/>
                <w:highlight w:val="none"/>
                <w:lang w:val="en-US" w:eastAsia="zh-CN"/>
              </w:rPr>
              <w:t>不提供、提供不符合需求</w:t>
            </w:r>
            <w:r>
              <w:rPr>
                <w:rFonts w:hint="eastAsia" w:ascii="宋体" w:hAnsi="宋体" w:cs="宋体" w:eastAsiaTheme="minorEastAsia"/>
                <w:b w:val="0"/>
                <w:bCs w:val="0"/>
                <w:sz w:val="21"/>
                <w:szCs w:val="21"/>
                <w:highlight w:val="none"/>
              </w:rPr>
              <w:t>的不得分</w:t>
            </w:r>
            <w:r>
              <w:rPr>
                <w:rFonts w:hint="eastAsia" w:ascii="宋体" w:hAnsi="宋体" w:cs="宋体" w:eastAsiaTheme="minorEastAsia"/>
                <w:b w:val="0"/>
                <w:bCs w:val="0"/>
                <w:sz w:val="21"/>
                <w:szCs w:val="21"/>
                <w:highlight w:val="none"/>
                <w:lang w:eastAsia="zh-CN"/>
              </w:rPr>
              <w:t>。</w:t>
            </w:r>
          </w:p>
        </w:tc>
        <w:tc>
          <w:tcPr>
            <w:tcW w:w="94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1" w:hRule="atLeast"/>
          <w:jc w:val="center"/>
        </w:trPr>
        <w:tc>
          <w:tcPr>
            <w:tcW w:w="6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ind w:left="-2" w:leftChars="-1"/>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30分</w:t>
            </w:r>
            <w:r>
              <w:rPr>
                <w:rFonts w:hint="eastAsia" w:ascii="宋体" w:hAnsi="宋体" w:eastAsia="宋体" w:cs="宋体"/>
                <w:b w:val="0"/>
                <w:bCs w:val="0"/>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rPr>
            </w:pP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jc w:val="center"/>
              <w:rPr>
                <w:rFonts w:hint="eastAsia" w:ascii="宋体" w:hAnsi="宋体" w:cs="宋体" w:eastAsiaTheme="minorEastAsia"/>
                <w:kern w:val="2"/>
                <w:sz w:val="21"/>
                <w:szCs w:val="21"/>
                <w:highlight w:val="none"/>
                <w:lang w:val="en-US" w:eastAsia="zh-CN" w:bidi="ar-SA"/>
              </w:rPr>
            </w:pPr>
            <w:r>
              <w:rPr>
                <w:rFonts w:hint="eastAsia" w:ascii="宋体" w:hAnsi="宋体" w:cs="宋体"/>
                <w:szCs w:val="21"/>
                <w:highlight w:val="none"/>
                <w:lang w:val="en-US" w:eastAsia="zh-CN"/>
              </w:rPr>
              <w:t>施工组织方案</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jc w:val="center"/>
              <w:rPr>
                <w:rFonts w:hint="eastAsia" w:ascii="宋体" w:hAnsi="宋体" w:cs="宋体" w:eastAsiaTheme="minorEastAsia"/>
                <w:kern w:val="2"/>
                <w:position w:val="0"/>
                <w:sz w:val="21"/>
                <w:szCs w:val="21"/>
                <w:highlight w:val="none"/>
                <w:lang w:val="en-US" w:eastAsia="zh-CN" w:bidi="ar-SA"/>
              </w:rPr>
            </w:pPr>
            <w:r>
              <w:rPr>
                <w:rFonts w:hint="eastAsia" w:ascii="宋体" w:hAnsi="宋体" w:cs="宋体"/>
                <w:sz w:val="21"/>
                <w:szCs w:val="21"/>
                <w:highlight w:val="none"/>
                <w:lang w:val="en-US" w:eastAsia="zh-CN"/>
              </w:rPr>
              <w:t>20</w:t>
            </w:r>
          </w:p>
        </w:tc>
        <w:tc>
          <w:tcPr>
            <w:tcW w:w="953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jc w:val="center"/>
              <w:rPr>
                <w:rFonts w:hint="eastAsia" w:ascii="宋体" w:hAnsi="宋体" w:cs="宋体" w:eastAsiaTheme="minorEastAsia"/>
                <w:kern w:val="2"/>
                <w:sz w:val="21"/>
                <w:szCs w:val="21"/>
                <w:highlight w:val="none"/>
                <w:lang w:val="en-US" w:eastAsia="zh-CN" w:bidi="ar-SA"/>
              </w:rPr>
            </w:pPr>
            <w:r>
              <w:rPr>
                <w:rFonts w:hint="eastAsia" w:ascii="宋体" w:hAnsi="宋体" w:cs="宋体" w:eastAsiaTheme="minorEastAsia"/>
                <w:b w:val="0"/>
                <w:bCs w:val="0"/>
                <w:sz w:val="21"/>
                <w:szCs w:val="21"/>
                <w:highlight w:val="none"/>
                <w:lang w:val="en-US" w:eastAsia="zh-CN"/>
              </w:rPr>
              <w:t>根据投标人提供的项目施工组织方案的</w:t>
            </w:r>
            <w:r>
              <w:rPr>
                <w:rFonts w:hint="eastAsia" w:ascii="宋体" w:hAnsi="宋体" w:cs="宋体" w:eastAsiaTheme="minorEastAsia"/>
                <w:b w:val="0"/>
                <w:bCs w:val="0"/>
                <w:sz w:val="21"/>
                <w:szCs w:val="21"/>
                <w:highlight w:val="none"/>
              </w:rPr>
              <w:t>可行性、可操作性</w:t>
            </w:r>
            <w:r>
              <w:rPr>
                <w:rFonts w:hint="eastAsia" w:ascii="宋体" w:hAnsi="宋体" w:cs="宋体" w:eastAsiaTheme="minorEastAsia"/>
                <w:b w:val="0"/>
                <w:bCs w:val="0"/>
                <w:sz w:val="21"/>
                <w:szCs w:val="21"/>
                <w:highlight w:val="none"/>
                <w:lang w:eastAsia="zh-CN"/>
              </w:rPr>
              <w:t>、</w:t>
            </w:r>
            <w:r>
              <w:rPr>
                <w:rFonts w:hint="eastAsia" w:ascii="宋体" w:hAnsi="宋体" w:cs="宋体" w:eastAsiaTheme="minorEastAsia"/>
                <w:b w:val="0"/>
                <w:bCs w:val="0"/>
                <w:sz w:val="21"/>
                <w:szCs w:val="21"/>
                <w:highlight w:val="none"/>
                <w:lang w:val="en-US" w:eastAsia="zh-CN"/>
              </w:rPr>
              <w:t>专业性等进行评分</w:t>
            </w:r>
            <w:r>
              <w:rPr>
                <w:rFonts w:hint="eastAsia" w:ascii="宋体" w:hAnsi="宋体" w:cs="宋体" w:eastAsiaTheme="minorEastAsia"/>
                <w:b w:val="0"/>
                <w:bCs w:val="0"/>
                <w:sz w:val="21"/>
                <w:szCs w:val="21"/>
                <w:highlight w:val="none"/>
                <w:lang w:eastAsia="zh-CN"/>
              </w:rPr>
              <w:t>，</w:t>
            </w:r>
            <w:r>
              <w:rPr>
                <w:rFonts w:hint="eastAsia" w:ascii="宋体" w:hAnsi="宋体" w:cs="宋体" w:eastAsiaTheme="minorEastAsia"/>
                <w:b w:val="0"/>
                <w:bCs w:val="0"/>
                <w:sz w:val="21"/>
                <w:szCs w:val="21"/>
                <w:highlight w:val="none"/>
                <w:lang w:val="en-US" w:eastAsia="zh-CN"/>
              </w:rPr>
              <w:t>方案</w:t>
            </w:r>
            <w:r>
              <w:rPr>
                <w:rFonts w:hint="eastAsia" w:ascii="宋体" w:hAnsi="宋体" w:cs="宋体" w:eastAsiaTheme="minorEastAsia"/>
                <w:b w:val="0"/>
                <w:bCs w:val="0"/>
                <w:sz w:val="21"/>
                <w:szCs w:val="21"/>
                <w:highlight w:val="none"/>
                <w:lang w:val="en-US"/>
              </w:rPr>
              <w:t>优秀合理得</w:t>
            </w:r>
            <w:r>
              <w:rPr>
                <w:rFonts w:hint="eastAsia" w:ascii="宋体" w:hAnsi="宋体" w:cs="宋体" w:eastAsiaTheme="minorEastAsia"/>
                <w:b w:val="0"/>
                <w:bCs w:val="0"/>
                <w:sz w:val="21"/>
                <w:szCs w:val="21"/>
                <w:highlight w:val="none"/>
                <w:lang w:val="en-US" w:eastAsia="zh-CN"/>
              </w:rPr>
              <w:t>20</w:t>
            </w:r>
            <w:r>
              <w:rPr>
                <w:rFonts w:hint="eastAsia" w:ascii="宋体" w:hAnsi="宋体" w:cs="宋体" w:eastAsiaTheme="minorEastAsia"/>
                <w:b w:val="0"/>
                <w:bCs w:val="0"/>
                <w:sz w:val="21"/>
                <w:szCs w:val="21"/>
                <w:highlight w:val="none"/>
                <w:lang w:val="en-US"/>
              </w:rPr>
              <w:t>分，</w:t>
            </w:r>
            <w:r>
              <w:rPr>
                <w:rFonts w:hint="eastAsia" w:ascii="宋体" w:hAnsi="宋体" w:cs="宋体" w:eastAsiaTheme="minorEastAsia"/>
                <w:b w:val="0"/>
                <w:bCs w:val="0"/>
                <w:sz w:val="21"/>
                <w:szCs w:val="21"/>
                <w:highlight w:val="none"/>
                <w:lang w:val="en-US" w:eastAsia="zh-CN"/>
              </w:rPr>
              <w:t>良好得15分，一般得8分，</w:t>
            </w:r>
            <w:r>
              <w:rPr>
                <w:rFonts w:hint="eastAsia" w:ascii="宋体" w:hAnsi="宋体" w:cs="宋体"/>
                <w:b w:val="0"/>
                <w:bCs w:val="0"/>
                <w:sz w:val="21"/>
                <w:szCs w:val="21"/>
                <w:highlight w:val="none"/>
                <w:lang w:val="en-US" w:eastAsia="zh-CN"/>
              </w:rPr>
              <w:t>不提供、提供不符合需求</w:t>
            </w:r>
            <w:r>
              <w:rPr>
                <w:rFonts w:hint="eastAsia" w:ascii="宋体" w:hAnsi="宋体" w:cs="宋体" w:eastAsiaTheme="minorEastAsia"/>
                <w:b w:val="0"/>
                <w:bCs w:val="0"/>
                <w:sz w:val="21"/>
                <w:szCs w:val="21"/>
                <w:highlight w:val="none"/>
              </w:rPr>
              <w:t>的不得分</w:t>
            </w:r>
            <w:r>
              <w:rPr>
                <w:rFonts w:hint="eastAsia" w:ascii="宋体" w:hAnsi="宋体" w:cs="宋体" w:eastAsiaTheme="minorEastAsia"/>
                <w:b w:val="0"/>
                <w:bCs w:val="0"/>
                <w:sz w:val="21"/>
                <w:szCs w:val="21"/>
                <w:highlight w:val="none"/>
                <w:lang w:eastAsia="zh-CN"/>
              </w:rPr>
              <w:t>。</w:t>
            </w:r>
          </w:p>
        </w:tc>
        <w:tc>
          <w:tcPr>
            <w:tcW w:w="94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6" w:hRule="atLeast"/>
          <w:jc w:val="center"/>
        </w:trPr>
        <w:tc>
          <w:tcPr>
            <w:tcW w:w="6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ind w:left="-2" w:leftChars="-1"/>
              <w:jc w:val="center"/>
              <w:rPr>
                <w:rFonts w:hint="eastAsia" w:ascii="宋体" w:hAnsi="宋体" w:eastAsia="宋体" w:cs="宋体"/>
                <w:color w:val="auto"/>
                <w:szCs w:val="21"/>
                <w:highlight w:val="none"/>
                <w:lang w:eastAsia="zh-CN"/>
              </w:rPr>
            </w:pPr>
            <w:r>
              <w:rPr>
                <w:rFonts w:hint="eastAsia" w:ascii="宋体" w:hAnsi="宋体" w:eastAsia="宋体" w:cs="宋体"/>
                <w:color w:val="auto"/>
                <w:sz w:val="21"/>
                <w:szCs w:val="21"/>
                <w:highlight w:val="none"/>
                <w:lang w:val="en-US" w:eastAsia="zh-CN"/>
              </w:rPr>
              <w:t>项目安全保障方案</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ind w:left="-2" w:leftChars="-1"/>
              <w:jc w:val="center"/>
              <w:rPr>
                <w:rFonts w:hint="eastAsia" w:ascii="宋体" w:hAnsi="宋体" w:eastAsia="宋体" w:cs="宋体"/>
                <w:color w:val="auto"/>
                <w:position w:val="0"/>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953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ind w:left="-2" w:leftChars="-1"/>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根据投标人提供的项目安全保障方案的</w:t>
            </w:r>
            <w:r>
              <w:rPr>
                <w:rFonts w:hint="eastAsia" w:ascii="宋体" w:hAnsi="宋体" w:eastAsia="宋体" w:cs="宋体"/>
                <w:b w:val="0"/>
                <w:bCs w:val="0"/>
                <w:color w:val="auto"/>
                <w:sz w:val="21"/>
                <w:szCs w:val="21"/>
                <w:highlight w:val="none"/>
              </w:rPr>
              <w:t>可行性、可操作性</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专业性等进行评分</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安全保障方案</w:t>
            </w:r>
            <w:r>
              <w:rPr>
                <w:rFonts w:hint="eastAsia" w:ascii="宋体" w:hAnsi="宋体" w:eastAsia="宋体" w:cs="宋体"/>
                <w:color w:val="auto"/>
                <w:sz w:val="21"/>
                <w:szCs w:val="21"/>
                <w:highlight w:val="none"/>
                <w:lang w:val="zh-CN"/>
              </w:rPr>
              <w:t>优秀合理得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zh-CN"/>
              </w:rPr>
              <w:t>分，</w:t>
            </w:r>
            <w:r>
              <w:rPr>
                <w:rFonts w:hint="eastAsia" w:ascii="宋体" w:hAnsi="宋体" w:eastAsia="宋体" w:cs="宋体"/>
                <w:color w:val="auto"/>
                <w:sz w:val="21"/>
                <w:szCs w:val="21"/>
                <w:highlight w:val="none"/>
                <w:lang w:val="en-US" w:eastAsia="zh-CN"/>
              </w:rPr>
              <w:t>良好得6分，一般得2分，</w:t>
            </w:r>
            <w:r>
              <w:rPr>
                <w:rFonts w:hint="eastAsia" w:ascii="宋体" w:hAnsi="宋体" w:cs="宋体"/>
                <w:b w:val="0"/>
                <w:bCs w:val="0"/>
                <w:sz w:val="21"/>
                <w:szCs w:val="21"/>
                <w:highlight w:val="none"/>
                <w:lang w:val="en-US" w:eastAsia="zh-CN"/>
              </w:rPr>
              <w:t>不提供、提供不符合需求</w:t>
            </w:r>
            <w:r>
              <w:rPr>
                <w:rFonts w:hint="eastAsia" w:ascii="宋体" w:hAnsi="宋体" w:cs="宋体" w:eastAsiaTheme="minorEastAsia"/>
                <w:b w:val="0"/>
                <w:bCs w:val="0"/>
                <w:sz w:val="21"/>
                <w:szCs w:val="21"/>
                <w:highlight w:val="none"/>
              </w:rPr>
              <w:t>的不得分</w:t>
            </w:r>
            <w:r>
              <w:rPr>
                <w:rFonts w:hint="eastAsia" w:ascii="宋体" w:hAnsi="宋体" w:cs="宋体" w:eastAsiaTheme="minorEastAsia"/>
                <w:b w:val="0"/>
                <w:bCs w:val="0"/>
                <w:sz w:val="21"/>
                <w:szCs w:val="21"/>
                <w:highlight w:val="none"/>
                <w:lang w:eastAsia="zh-CN"/>
              </w:rPr>
              <w:t>。</w:t>
            </w:r>
          </w:p>
        </w:tc>
        <w:tc>
          <w:tcPr>
            <w:tcW w:w="94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643"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经济部分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30分</w:t>
            </w:r>
            <w:r>
              <w:rPr>
                <w:rFonts w:hint="eastAsia" w:ascii="宋体" w:hAnsi="宋体" w:eastAsia="宋体" w:cs="宋体"/>
                <w:color w:val="auto"/>
                <w:szCs w:val="21"/>
                <w:highlight w:val="none"/>
                <w:lang w:eastAsia="zh-CN"/>
              </w:rPr>
              <w:t>）</w:t>
            </w:r>
          </w:p>
        </w:tc>
        <w:tc>
          <w:tcPr>
            <w:tcW w:w="1188" w:type="dxa"/>
            <w:shd w:val="clear" w:color="auto" w:fill="auto"/>
            <w:vAlign w:val="center"/>
          </w:tcPr>
          <w:p>
            <w:pPr>
              <w:snapToGrid w:val="0"/>
              <w:ind w:left="-2" w:leftChars="-1"/>
              <w:jc w:val="center"/>
              <w:rPr>
                <w:rFonts w:hint="eastAsia" w:ascii="宋体" w:hAnsi="宋体" w:eastAsia="宋体" w:cs="宋体"/>
                <w:color w:val="auto"/>
                <w:szCs w:val="21"/>
                <w:highlight w:val="none"/>
              </w:rPr>
            </w:pPr>
          </w:p>
          <w:p>
            <w:pPr>
              <w:snapToGrid w:val="0"/>
              <w:ind w:left="-2" w:leftChars="-1"/>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30分</w:t>
            </w:r>
            <w:r>
              <w:rPr>
                <w:rFonts w:hint="eastAsia" w:ascii="宋体" w:hAnsi="宋体" w:eastAsia="宋体" w:cs="宋体"/>
                <w:color w:val="auto"/>
                <w:szCs w:val="21"/>
                <w:highlight w:val="none"/>
                <w:lang w:eastAsia="zh-CN"/>
              </w:rPr>
              <w:t>）</w:t>
            </w:r>
          </w:p>
        </w:tc>
        <w:tc>
          <w:tcPr>
            <w:tcW w:w="927" w:type="dxa"/>
            <w:shd w:val="clear" w:color="auto" w:fill="auto"/>
            <w:vAlign w:val="center"/>
          </w:tcPr>
          <w:p>
            <w:pPr>
              <w:spacing w:line="220" w:lineRule="exact"/>
              <w:ind w:left="-2" w:leftChars="-1"/>
              <w:jc w:val="center"/>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30</w:t>
            </w:r>
          </w:p>
        </w:tc>
        <w:tc>
          <w:tcPr>
            <w:tcW w:w="9535" w:type="dxa"/>
            <w:shd w:val="clear" w:color="auto" w:fill="auto"/>
          </w:tcPr>
          <w:p>
            <w:pPr>
              <w:ind w:firstLine="315"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若经过符合性审查，（</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3至5家的，则</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单位的有效</w:t>
            </w:r>
            <w:r>
              <w:rPr>
                <w:rFonts w:hint="eastAsia" w:ascii="宋体" w:hAnsi="宋体" w:eastAsia="宋体" w:cs="宋体"/>
                <w:color w:val="auto"/>
                <w:szCs w:val="21"/>
                <w:highlight w:val="none"/>
                <w:lang w:eastAsia="zh-CN"/>
              </w:rPr>
              <w:t>总</w:t>
            </w:r>
            <w:r>
              <w:rPr>
                <w:rFonts w:hint="eastAsia" w:ascii="宋体" w:hAnsi="宋体" w:eastAsia="宋体" w:cs="宋体"/>
                <w:color w:val="auto"/>
                <w:szCs w:val="21"/>
                <w:highlight w:val="none"/>
              </w:rPr>
              <w:t>报价的</w:t>
            </w:r>
            <w:r>
              <w:rPr>
                <w:rFonts w:hint="eastAsia" w:ascii="宋体" w:hAnsi="宋体" w:eastAsia="宋体" w:cs="宋体"/>
                <w:color w:val="auto"/>
                <w:szCs w:val="21"/>
                <w:highlight w:val="none"/>
                <w:lang w:eastAsia="zh-CN"/>
              </w:rPr>
              <w:t>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6家或以上的，则去掉报价最高及报价最低的两家单位后，</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剩余入围投标</w:t>
            </w:r>
            <w:r>
              <w:rPr>
                <w:rFonts w:hint="eastAsia" w:ascii="宋体" w:hAnsi="宋体" w:eastAsia="宋体" w:cs="宋体"/>
                <w:color w:val="auto"/>
                <w:szCs w:val="21"/>
                <w:highlight w:val="none"/>
              </w:rPr>
              <w:t>单位</w:t>
            </w:r>
            <w:r>
              <w:rPr>
                <w:rFonts w:hint="eastAsia" w:ascii="宋体" w:hAnsi="宋体" w:eastAsia="宋体" w:cs="宋体"/>
                <w:color w:val="auto"/>
                <w:szCs w:val="21"/>
                <w:highlight w:val="none"/>
                <w:lang w:eastAsia="zh-CN"/>
              </w:rPr>
              <w:t>有效报价的算术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p>
          <w:p>
            <w:pPr>
              <w:ind w:firstLine="315"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等于基准价为满分</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分，高于基准价的1%扣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分，低于基准价的1%扣</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分，以此类推。最低得分0分。得分保留两位小数。</w:t>
            </w:r>
            <w:r>
              <w:rPr>
                <w:rFonts w:hint="eastAsia" w:ascii="宋体" w:hAnsi="宋体" w:eastAsia="宋体" w:cs="宋体"/>
                <w:color w:val="auto"/>
                <w:szCs w:val="21"/>
                <w:highlight w:val="none"/>
                <w:lang w:eastAsia="zh-CN"/>
              </w:rPr>
              <w:t>计算公式如下：</w:t>
            </w:r>
          </w:p>
          <w:p>
            <w:pPr>
              <w:pStyle w:val="11"/>
              <w:numPr>
                <w:ilvl w:val="0"/>
                <w:numId w:val="4"/>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报价等于基准价的，得分=</w:t>
            </w:r>
            <w:r>
              <w:rPr>
                <w:rFonts w:hint="eastAsia" w:hAnsi="宋体" w:cs="宋体"/>
                <w:color w:val="auto"/>
                <w:highlight w:val="none"/>
                <w:lang w:val="en-US" w:eastAsia="zh-CN"/>
              </w:rPr>
              <w:t>30</w:t>
            </w:r>
            <w:r>
              <w:rPr>
                <w:rFonts w:hint="eastAsia" w:ascii="宋体" w:hAnsi="宋体" w:eastAsia="宋体" w:cs="宋体"/>
                <w:color w:val="auto"/>
                <w:highlight w:val="none"/>
                <w:lang w:val="en-US" w:eastAsia="zh-CN"/>
              </w:rPr>
              <w:t>。</w:t>
            </w:r>
          </w:p>
          <w:p>
            <w:pPr>
              <w:pStyle w:val="11"/>
              <w:numPr>
                <w:ilvl w:val="0"/>
                <w:numId w:val="4"/>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报价高于基准价的，得分=</w:t>
            </w:r>
            <w:r>
              <w:rPr>
                <w:rFonts w:hint="eastAsia" w:hAnsi="宋体" w:cs="宋体"/>
                <w:color w:val="auto"/>
                <w:highlight w:val="none"/>
                <w:lang w:val="en-US" w:eastAsia="zh-CN"/>
              </w:rPr>
              <w:t>30</w:t>
            </w:r>
            <w:r>
              <w:rPr>
                <w:rFonts w:hint="eastAsia" w:ascii="宋体" w:hAnsi="宋体" w:eastAsia="宋体" w:cs="宋体"/>
                <w:color w:val="auto"/>
                <w:highlight w:val="none"/>
                <w:lang w:val="en-US" w:eastAsia="zh-CN"/>
              </w:rPr>
              <w:t>-[（报价-基准价）/基准价]×100×1</w:t>
            </w:r>
          </w:p>
          <w:p>
            <w:pPr>
              <w:pStyle w:val="11"/>
              <w:numPr>
                <w:ilvl w:val="0"/>
                <w:numId w:val="4"/>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报价低于基准价的，得分=</w:t>
            </w:r>
            <w:r>
              <w:rPr>
                <w:rFonts w:hint="eastAsia" w:hAnsi="宋体" w:cs="宋体"/>
                <w:color w:val="auto"/>
                <w:highlight w:val="none"/>
                <w:lang w:val="en-US" w:eastAsia="zh-CN"/>
              </w:rPr>
              <w:t>30</w:t>
            </w:r>
            <w:r>
              <w:rPr>
                <w:rFonts w:hint="eastAsia" w:ascii="宋体" w:hAnsi="宋体" w:eastAsia="宋体" w:cs="宋体"/>
                <w:color w:val="auto"/>
                <w:highlight w:val="none"/>
                <w:lang w:val="en-US" w:eastAsia="zh-CN"/>
              </w:rPr>
              <w:t>-[（基准价-报价）/基准价]×100×0.5</w:t>
            </w:r>
          </w:p>
        </w:tc>
        <w:tc>
          <w:tcPr>
            <w:tcW w:w="948"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831" w:type="dxa"/>
            <w:gridSpan w:val="2"/>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927" w:type="dxa"/>
            <w:shd w:val="clear" w:color="auto" w:fill="auto"/>
            <w:vAlign w:val="center"/>
          </w:tcPr>
          <w:p>
            <w:pPr>
              <w:spacing w:line="220" w:lineRule="exact"/>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9535" w:type="dxa"/>
            <w:shd w:val="clear" w:color="auto" w:fill="auto"/>
            <w:vAlign w:val="center"/>
          </w:tcPr>
          <w:p>
            <w:pPr>
              <w:spacing w:line="220" w:lineRule="exact"/>
              <w:ind w:left="-2" w:leftChars="-1"/>
              <w:rPr>
                <w:rFonts w:hint="eastAsia" w:ascii="宋体" w:hAnsi="宋体" w:eastAsia="宋体" w:cs="宋体"/>
                <w:color w:val="auto"/>
                <w:sz w:val="21"/>
                <w:szCs w:val="21"/>
                <w:highlight w:val="none"/>
              </w:rPr>
            </w:pPr>
          </w:p>
        </w:tc>
        <w:tc>
          <w:tcPr>
            <w:tcW w:w="948"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napToGrid/>
        <w:spacing w:line="320" w:lineRule="exact"/>
        <w:ind w:firstLine="0" w:firstLineChars="0"/>
        <w:jc w:val="left"/>
        <w:rPr>
          <w:rFonts w:hint="eastAsia" w:ascii="宋体" w:hAnsi="宋体" w:eastAsia="宋体" w:cs="宋体"/>
          <w:color w:val="auto"/>
          <w:szCs w:val="21"/>
          <w:highlight w:val="none"/>
        </w:rPr>
      </w:pPr>
      <w:r>
        <w:rPr>
          <w:rFonts w:hint="eastAsia" w:ascii="宋体" w:hAnsi="宋体" w:cs="宋体"/>
          <w:color w:val="auto"/>
          <w:szCs w:val="21"/>
          <w:highlight w:val="none"/>
        </w:rPr>
        <w:t>说明：</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p>
      <w:pPr>
        <w:pStyle w:val="24"/>
        <w:ind w:firstLine="420" w:firstLineChars="200"/>
        <w:rPr>
          <w:rFonts w:hint="eastAsia" w:ascii="宋体" w:hAnsi="宋体" w:cs="宋体"/>
          <w:color w:val="auto"/>
          <w:kern w:val="0"/>
          <w:sz w:val="21"/>
          <w:szCs w:val="21"/>
          <w:highlight w:val="none"/>
          <w:lang w:eastAsia="zh-CN"/>
        </w:rPr>
      </w:pPr>
    </w:p>
    <w:p>
      <w:pPr>
        <w:pStyle w:val="24"/>
        <w:ind w:firstLine="420" w:firstLineChars="200"/>
        <w:rPr>
          <w:rFonts w:hint="eastAsia" w:ascii="宋体" w:hAnsi="宋体" w:cs="宋体"/>
          <w:color w:val="auto"/>
          <w:kern w:val="0"/>
          <w:sz w:val="21"/>
          <w:szCs w:val="21"/>
          <w:highlight w:val="none"/>
          <w:lang w:eastAsia="zh-CN"/>
        </w:rPr>
      </w:pPr>
    </w:p>
    <w:p>
      <w:pPr>
        <w:rPr>
          <w:rFonts w:hint="default" w:ascii="Calibri" w:hAnsi="Calibri" w:eastAsia="宋体" w:cs="Times New Roman"/>
          <w:bCs/>
          <w:szCs w:val="20"/>
          <w:highlight w:val="none"/>
          <w:lang w:val="en-US" w:eastAsia="zh-CN"/>
        </w:rPr>
      </w:pPr>
      <w:r>
        <w:rPr>
          <w:rFonts w:hint="eastAsia" w:ascii="宋体" w:hAnsi="宋体" w:eastAsia="宋体" w:cs="Times New Roman"/>
          <w:b w:val="0"/>
          <w:bCs/>
          <w:sz w:val="21"/>
          <w:szCs w:val="21"/>
          <w:highlight w:val="none"/>
        </w:rPr>
        <w:t>评标专家</w:t>
      </w:r>
      <w:r>
        <w:rPr>
          <w:rFonts w:hint="eastAsia" w:ascii="宋体" w:hAnsi="宋体" w:eastAsia="宋体" w:cs="Times New Roman"/>
          <w:b w:val="0"/>
          <w:bCs/>
          <w:sz w:val="21"/>
          <w:szCs w:val="21"/>
          <w:highlight w:val="none"/>
          <w:lang w:val="en-US" w:eastAsia="zh-CN"/>
        </w:rPr>
        <w:t>签名：                                                      日期：</w:t>
      </w:r>
    </w:p>
    <w:p>
      <w:pPr>
        <w:pStyle w:val="24"/>
        <w:ind w:firstLine="420" w:firstLineChars="200"/>
        <w:rPr>
          <w:rFonts w:hint="eastAsia" w:ascii="宋体" w:hAnsi="宋体" w:cs="宋体"/>
          <w:bCs/>
          <w:color w:val="auto"/>
          <w:kern w:val="0"/>
          <w:sz w:val="21"/>
          <w:szCs w:val="21"/>
          <w:highlight w:val="none"/>
          <w:lang w:eastAsia="zh-CN"/>
        </w:rPr>
      </w:pPr>
    </w:p>
    <w:p>
      <w:pPr>
        <w:pStyle w:val="24"/>
        <w:ind w:firstLine="420" w:firstLineChars="200"/>
        <w:rPr>
          <w:rFonts w:hint="eastAsia" w:ascii="宋体" w:hAnsi="宋体" w:cs="宋体"/>
          <w:bCs/>
          <w:color w:val="auto"/>
          <w:kern w:val="0"/>
          <w:sz w:val="21"/>
          <w:szCs w:val="21"/>
          <w:highlight w:val="none"/>
          <w:lang w:val="en-US" w:eastAsia="zh-CN"/>
        </w:rPr>
        <w:sectPr>
          <w:pgSz w:w="15840" w:h="12240" w:orient="landscape"/>
          <w:pgMar w:top="1797" w:right="1440" w:bottom="1797" w:left="1440" w:header="720" w:footer="720" w:gutter="0"/>
          <w:cols w:space="425" w:num="1"/>
          <w:docGrid w:linePitch="312" w:charSpace="0"/>
        </w:sectPr>
      </w:pP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pPr>
        <w:adjustRightInd w:val="0"/>
        <w:snapToGrid w:val="0"/>
        <w:spacing w:line="360" w:lineRule="auto"/>
        <w:jc w:val="center"/>
        <w:outlineLvl w:val="0"/>
        <w:rPr>
          <w:rFonts w:ascii="宋体" w:hAnsi="宋体" w:cs="宋体"/>
          <w:b/>
          <w:color w:val="auto"/>
          <w:sz w:val="28"/>
          <w:szCs w:val="28"/>
          <w:highlight w:val="none"/>
        </w:rPr>
      </w:pPr>
      <w:bookmarkStart w:id="49" w:name="_Toc17298"/>
      <w:bookmarkStart w:id="50" w:name="_Toc27349"/>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bookmarkEnd w:id="49"/>
      <w:bookmarkEnd w:id="50"/>
    </w:p>
    <w:p>
      <w:pPr>
        <w:pStyle w:val="39"/>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lang w:val="en-US" w:eastAsia="zh-CN"/>
        </w:rPr>
        <w:t xml:space="preserve"> </w:t>
      </w:r>
      <w:r>
        <w:rPr>
          <w:rFonts w:hint="eastAsia" w:ascii="宋体" w:hAnsi="宋体" w:eastAsia="宋体" w:cs="Times New Roman"/>
          <w:b w:val="0"/>
          <w:bCs w:val="0"/>
          <w:i w:val="0"/>
          <w:caps w:val="0"/>
          <w:color w:val="auto"/>
          <w:spacing w:val="0"/>
          <w:w w:val="100"/>
          <w:kern w:val="0"/>
          <w:sz w:val="24"/>
          <w:szCs w:val="24"/>
          <w:highlight w:val="none"/>
          <w:u w:val="single"/>
          <w:lang w:val="en-US" w:eastAsia="zh-CN"/>
        </w:rPr>
        <w:t>广州市南沙</w:t>
      </w:r>
      <w:r>
        <w:rPr>
          <w:rFonts w:hint="eastAsia" w:ascii="宋体" w:hAnsi="宋体" w:eastAsia="宋体" w:cs="Times New Roman"/>
          <w:b w:val="0"/>
          <w:color w:val="auto"/>
          <w:kern w:val="0"/>
          <w:sz w:val="24"/>
          <w:szCs w:val="24"/>
          <w:highlight w:val="none"/>
          <w:u w:val="single"/>
          <w:lang w:val="en-US" w:eastAsia="zh-CN"/>
        </w:rPr>
        <w:t>天后文化学会、</w:t>
      </w:r>
      <w:r>
        <w:rPr>
          <w:rFonts w:hint="eastAsia" w:ascii="宋体" w:hAnsi="宋体" w:eastAsia="宋体"/>
          <w:color w:val="auto"/>
          <w:sz w:val="24"/>
          <w:szCs w:val="24"/>
          <w:highlight w:val="none"/>
          <w:u w:val="single"/>
          <w:lang w:eastAsia="zh-CN"/>
        </w:rPr>
        <w:t>广州南沙旅游发展有限公司</w:t>
      </w:r>
    </w:p>
    <w:p>
      <w:pPr>
        <w:pStyle w:val="39"/>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lang w:val="en-US" w:eastAsia="zh-CN"/>
        </w:rPr>
        <w:t xml:space="preserve"> </w:t>
      </w:r>
      <w:r>
        <w:rPr>
          <w:rFonts w:hint="eastAsia" w:ascii="宋体" w:hAnsi="宋体" w:eastAsia="宋体" w:cs="Times New Roman"/>
          <w:b w:val="0"/>
          <w:bCs w:val="0"/>
          <w:color w:val="auto"/>
          <w:spacing w:val="20"/>
          <w:kern w:val="0"/>
          <w:sz w:val="24"/>
          <w:szCs w:val="24"/>
          <w:highlight w:val="none"/>
          <w:u w:val="single"/>
          <w:lang w:val="en-US" w:eastAsia="zh-CN"/>
        </w:rPr>
        <w:t>南沙天后宫正殿、南岭塔室内照明提升</w:t>
      </w:r>
      <w:r>
        <w:rPr>
          <w:rFonts w:hint="eastAsia" w:ascii="宋体" w:hAnsi="宋体" w:eastAsia="宋体" w:cs="Times New Roman"/>
          <w:color w:val="auto"/>
          <w:spacing w:val="20"/>
          <w:sz w:val="24"/>
          <w:szCs w:val="24"/>
          <w:highlight w:val="none"/>
          <w:u w:val="single"/>
          <w:lang w:eastAsia="zh-CN"/>
        </w:rPr>
        <w:t>项目</w:t>
      </w:r>
      <w:r>
        <w:rPr>
          <w:rFonts w:hint="eastAsia" w:ascii="宋体" w:hAnsi="宋体" w:eastAsia="宋体"/>
          <w:color w:val="auto"/>
          <w:sz w:val="24"/>
          <w:szCs w:val="24"/>
          <w:highlight w:val="none"/>
        </w:rPr>
        <w:t>投标工作，做出郑重声明：</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9"/>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40"/>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9"/>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9"/>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11"/>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left"/>
      <w:rPr>
        <w:rFonts w:hint="eastAsia" w:ascii="Times New Roman" w:hAnsi="Times New Roman"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F9153F42"/>
    <w:multiLevelType w:val="singleLevel"/>
    <w:tmpl w:val="F9153F42"/>
    <w:lvl w:ilvl="0" w:tentative="0">
      <w:start w:val="1"/>
      <w:numFmt w:val="decimal"/>
      <w:suff w:val="nothing"/>
      <w:lvlText w:val="%1、"/>
      <w:lvlJc w:val="left"/>
    </w:lvl>
  </w:abstractNum>
  <w:abstractNum w:abstractNumId="3">
    <w:nsid w:val="7A7B36A8"/>
    <w:multiLevelType w:val="singleLevel"/>
    <w:tmpl w:val="7A7B36A8"/>
    <w:lvl w:ilvl="0" w:tentative="0">
      <w:start w:val="33"/>
      <w:numFmt w:val="decimal"/>
      <w:suff w:val="nothing"/>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zZjliNzQ4M2JhYjM0MjI3YTk2NzE0ZGY0MWQ5N2Y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E9680F"/>
    <w:rsid w:val="02F7533D"/>
    <w:rsid w:val="030457ED"/>
    <w:rsid w:val="03562994"/>
    <w:rsid w:val="03CB6D70"/>
    <w:rsid w:val="04364A4F"/>
    <w:rsid w:val="04376975"/>
    <w:rsid w:val="04E40895"/>
    <w:rsid w:val="05031424"/>
    <w:rsid w:val="051B7598"/>
    <w:rsid w:val="052E78DA"/>
    <w:rsid w:val="0557469B"/>
    <w:rsid w:val="059A4101"/>
    <w:rsid w:val="073B0CB2"/>
    <w:rsid w:val="07746BCF"/>
    <w:rsid w:val="07F66A4C"/>
    <w:rsid w:val="083B43B1"/>
    <w:rsid w:val="08757A2C"/>
    <w:rsid w:val="08A9464F"/>
    <w:rsid w:val="08D505E6"/>
    <w:rsid w:val="09062DA7"/>
    <w:rsid w:val="09A667E8"/>
    <w:rsid w:val="0A621C44"/>
    <w:rsid w:val="0A9867C9"/>
    <w:rsid w:val="0B372B92"/>
    <w:rsid w:val="0BFF40FB"/>
    <w:rsid w:val="0C855B7E"/>
    <w:rsid w:val="0C87037B"/>
    <w:rsid w:val="0CF74903"/>
    <w:rsid w:val="0E1B10A8"/>
    <w:rsid w:val="0E80564C"/>
    <w:rsid w:val="0EA03B8A"/>
    <w:rsid w:val="0EAC0C18"/>
    <w:rsid w:val="0EB25F9A"/>
    <w:rsid w:val="0EE07B74"/>
    <w:rsid w:val="0F8D0176"/>
    <w:rsid w:val="0F912314"/>
    <w:rsid w:val="0FD73768"/>
    <w:rsid w:val="10A4638E"/>
    <w:rsid w:val="10D83B3D"/>
    <w:rsid w:val="11135DC8"/>
    <w:rsid w:val="11F528ED"/>
    <w:rsid w:val="12E86716"/>
    <w:rsid w:val="130F5872"/>
    <w:rsid w:val="134A310C"/>
    <w:rsid w:val="13E640E2"/>
    <w:rsid w:val="13E744B7"/>
    <w:rsid w:val="14082F52"/>
    <w:rsid w:val="14085DAD"/>
    <w:rsid w:val="14233C6D"/>
    <w:rsid w:val="14452035"/>
    <w:rsid w:val="1448567A"/>
    <w:rsid w:val="145B3800"/>
    <w:rsid w:val="14DA40AE"/>
    <w:rsid w:val="15B036FB"/>
    <w:rsid w:val="16007AF5"/>
    <w:rsid w:val="17463991"/>
    <w:rsid w:val="179E3273"/>
    <w:rsid w:val="17E977C8"/>
    <w:rsid w:val="1873680D"/>
    <w:rsid w:val="18E67433"/>
    <w:rsid w:val="18F12637"/>
    <w:rsid w:val="19095239"/>
    <w:rsid w:val="1A361CF4"/>
    <w:rsid w:val="1AA864E1"/>
    <w:rsid w:val="1AB46DAB"/>
    <w:rsid w:val="1B6C2995"/>
    <w:rsid w:val="1BB630ED"/>
    <w:rsid w:val="1BC44893"/>
    <w:rsid w:val="1BE136FF"/>
    <w:rsid w:val="1C05708F"/>
    <w:rsid w:val="1C307374"/>
    <w:rsid w:val="1C9203A6"/>
    <w:rsid w:val="1E032835"/>
    <w:rsid w:val="1E562810"/>
    <w:rsid w:val="1EBD45C4"/>
    <w:rsid w:val="1F1C5732"/>
    <w:rsid w:val="1F584BD1"/>
    <w:rsid w:val="205D447F"/>
    <w:rsid w:val="206E043A"/>
    <w:rsid w:val="20AD4C4C"/>
    <w:rsid w:val="21424D60"/>
    <w:rsid w:val="215321ED"/>
    <w:rsid w:val="224A02E7"/>
    <w:rsid w:val="227411DF"/>
    <w:rsid w:val="232E3EB1"/>
    <w:rsid w:val="24856237"/>
    <w:rsid w:val="25053D8A"/>
    <w:rsid w:val="25687B33"/>
    <w:rsid w:val="25791876"/>
    <w:rsid w:val="26236584"/>
    <w:rsid w:val="26B94C66"/>
    <w:rsid w:val="26FF6942"/>
    <w:rsid w:val="272101A5"/>
    <w:rsid w:val="272B74FA"/>
    <w:rsid w:val="2751149E"/>
    <w:rsid w:val="2837076A"/>
    <w:rsid w:val="2865301D"/>
    <w:rsid w:val="28C86C87"/>
    <w:rsid w:val="29051210"/>
    <w:rsid w:val="296119D7"/>
    <w:rsid w:val="2A97100B"/>
    <w:rsid w:val="2B401296"/>
    <w:rsid w:val="2BEC17AE"/>
    <w:rsid w:val="2C1B0D4A"/>
    <w:rsid w:val="2C5357E2"/>
    <w:rsid w:val="2D0635AD"/>
    <w:rsid w:val="2DDB1EBF"/>
    <w:rsid w:val="2DE71DA9"/>
    <w:rsid w:val="2DF963B5"/>
    <w:rsid w:val="2E6C5CB5"/>
    <w:rsid w:val="2EC40C57"/>
    <w:rsid w:val="2EE433BF"/>
    <w:rsid w:val="2F9B6BBA"/>
    <w:rsid w:val="2FEA73B1"/>
    <w:rsid w:val="30136E93"/>
    <w:rsid w:val="30334755"/>
    <w:rsid w:val="30EC6390"/>
    <w:rsid w:val="311233CC"/>
    <w:rsid w:val="31B57180"/>
    <w:rsid w:val="347657C9"/>
    <w:rsid w:val="34935BA4"/>
    <w:rsid w:val="34A264CA"/>
    <w:rsid w:val="35830B03"/>
    <w:rsid w:val="36276355"/>
    <w:rsid w:val="3700775A"/>
    <w:rsid w:val="37A26BD4"/>
    <w:rsid w:val="37AE7FE3"/>
    <w:rsid w:val="38417D8A"/>
    <w:rsid w:val="390F4B98"/>
    <w:rsid w:val="39731517"/>
    <w:rsid w:val="39F52602"/>
    <w:rsid w:val="39FC703A"/>
    <w:rsid w:val="3A041618"/>
    <w:rsid w:val="3AC802EF"/>
    <w:rsid w:val="3B183024"/>
    <w:rsid w:val="3B6D4312"/>
    <w:rsid w:val="3BB718A6"/>
    <w:rsid w:val="3BC04127"/>
    <w:rsid w:val="3C88543E"/>
    <w:rsid w:val="3CB7521C"/>
    <w:rsid w:val="3CE76215"/>
    <w:rsid w:val="3CFF0303"/>
    <w:rsid w:val="3D7619F9"/>
    <w:rsid w:val="3D957982"/>
    <w:rsid w:val="3D96007A"/>
    <w:rsid w:val="3F4915A0"/>
    <w:rsid w:val="3F5F332B"/>
    <w:rsid w:val="3F641BC2"/>
    <w:rsid w:val="3F8502F8"/>
    <w:rsid w:val="3FD704B2"/>
    <w:rsid w:val="405854B3"/>
    <w:rsid w:val="408D1DBF"/>
    <w:rsid w:val="409313F9"/>
    <w:rsid w:val="40B7508E"/>
    <w:rsid w:val="40C17CBA"/>
    <w:rsid w:val="40CA2819"/>
    <w:rsid w:val="418831AE"/>
    <w:rsid w:val="41EC3A6C"/>
    <w:rsid w:val="42A2655E"/>
    <w:rsid w:val="43420D2F"/>
    <w:rsid w:val="436C5E0D"/>
    <w:rsid w:val="43D9356D"/>
    <w:rsid w:val="44631084"/>
    <w:rsid w:val="446A549B"/>
    <w:rsid w:val="44800368"/>
    <w:rsid w:val="44E811C0"/>
    <w:rsid w:val="46871AD6"/>
    <w:rsid w:val="47025D0E"/>
    <w:rsid w:val="4735560E"/>
    <w:rsid w:val="47413F22"/>
    <w:rsid w:val="4792678F"/>
    <w:rsid w:val="47E03B89"/>
    <w:rsid w:val="481D5A38"/>
    <w:rsid w:val="487975A7"/>
    <w:rsid w:val="48E72086"/>
    <w:rsid w:val="49732ED5"/>
    <w:rsid w:val="4999462F"/>
    <w:rsid w:val="499C01CA"/>
    <w:rsid w:val="49D2082D"/>
    <w:rsid w:val="49EF5898"/>
    <w:rsid w:val="4A1079FD"/>
    <w:rsid w:val="4A1D620C"/>
    <w:rsid w:val="4AED722D"/>
    <w:rsid w:val="4B3D40BA"/>
    <w:rsid w:val="4BC136D0"/>
    <w:rsid w:val="4BF328A0"/>
    <w:rsid w:val="4C2E17B4"/>
    <w:rsid w:val="4C547C35"/>
    <w:rsid w:val="4C81677F"/>
    <w:rsid w:val="4D195C1E"/>
    <w:rsid w:val="4D904DD7"/>
    <w:rsid w:val="4D9C287D"/>
    <w:rsid w:val="4DC04FA6"/>
    <w:rsid w:val="4DC53F66"/>
    <w:rsid w:val="4E165AE9"/>
    <w:rsid w:val="4E2A0E48"/>
    <w:rsid w:val="4FC91A1A"/>
    <w:rsid w:val="50DB6247"/>
    <w:rsid w:val="50F24C19"/>
    <w:rsid w:val="51531E87"/>
    <w:rsid w:val="51552F81"/>
    <w:rsid w:val="51AB2104"/>
    <w:rsid w:val="525A7F6F"/>
    <w:rsid w:val="52760C06"/>
    <w:rsid w:val="530E35F9"/>
    <w:rsid w:val="53427976"/>
    <w:rsid w:val="53A07C03"/>
    <w:rsid w:val="53A63423"/>
    <w:rsid w:val="53B638D1"/>
    <w:rsid w:val="54386D63"/>
    <w:rsid w:val="54A36172"/>
    <w:rsid w:val="54BC0EE8"/>
    <w:rsid w:val="55055F70"/>
    <w:rsid w:val="55D41C4B"/>
    <w:rsid w:val="5702252D"/>
    <w:rsid w:val="572444C0"/>
    <w:rsid w:val="576D49E8"/>
    <w:rsid w:val="579C393A"/>
    <w:rsid w:val="594F1692"/>
    <w:rsid w:val="59566C52"/>
    <w:rsid w:val="597674DD"/>
    <w:rsid w:val="5A416E84"/>
    <w:rsid w:val="5AAF5CCA"/>
    <w:rsid w:val="5B6E68B8"/>
    <w:rsid w:val="5B8D6C19"/>
    <w:rsid w:val="5BAA698D"/>
    <w:rsid w:val="5BCE61FA"/>
    <w:rsid w:val="5C9B134E"/>
    <w:rsid w:val="5DAA1580"/>
    <w:rsid w:val="5DF14932"/>
    <w:rsid w:val="5DFF04E8"/>
    <w:rsid w:val="5E1A6FB5"/>
    <w:rsid w:val="5E7A3CE2"/>
    <w:rsid w:val="5E960581"/>
    <w:rsid w:val="5F355496"/>
    <w:rsid w:val="5F8349F8"/>
    <w:rsid w:val="5F865CD7"/>
    <w:rsid w:val="5FB4440E"/>
    <w:rsid w:val="5FDC4484"/>
    <w:rsid w:val="60BA0556"/>
    <w:rsid w:val="60F61E20"/>
    <w:rsid w:val="6118527D"/>
    <w:rsid w:val="61A7533B"/>
    <w:rsid w:val="621244D5"/>
    <w:rsid w:val="62B2296D"/>
    <w:rsid w:val="62B247EF"/>
    <w:rsid w:val="636147EE"/>
    <w:rsid w:val="63DB6B9E"/>
    <w:rsid w:val="65B441A4"/>
    <w:rsid w:val="65D8147F"/>
    <w:rsid w:val="66373494"/>
    <w:rsid w:val="66591B82"/>
    <w:rsid w:val="66A2527C"/>
    <w:rsid w:val="66CF4630"/>
    <w:rsid w:val="66E005EB"/>
    <w:rsid w:val="68550B65"/>
    <w:rsid w:val="6898637C"/>
    <w:rsid w:val="68B16D7B"/>
    <w:rsid w:val="68BA7003"/>
    <w:rsid w:val="6B121E89"/>
    <w:rsid w:val="6C281E78"/>
    <w:rsid w:val="6C307E68"/>
    <w:rsid w:val="6C920572"/>
    <w:rsid w:val="6CE07597"/>
    <w:rsid w:val="6D373324"/>
    <w:rsid w:val="6D635AD2"/>
    <w:rsid w:val="6DB227E4"/>
    <w:rsid w:val="6DBE1759"/>
    <w:rsid w:val="6DC31ECB"/>
    <w:rsid w:val="6E307289"/>
    <w:rsid w:val="6E656845"/>
    <w:rsid w:val="6F471F5D"/>
    <w:rsid w:val="6F8E74DB"/>
    <w:rsid w:val="70836CF8"/>
    <w:rsid w:val="70CF07C8"/>
    <w:rsid w:val="710F157A"/>
    <w:rsid w:val="71840FD7"/>
    <w:rsid w:val="718C3480"/>
    <w:rsid w:val="721D56A4"/>
    <w:rsid w:val="7225592F"/>
    <w:rsid w:val="72BC4D15"/>
    <w:rsid w:val="72F3401B"/>
    <w:rsid w:val="731416B4"/>
    <w:rsid w:val="73712518"/>
    <w:rsid w:val="738A0204"/>
    <w:rsid w:val="738E7AB2"/>
    <w:rsid w:val="73EF0074"/>
    <w:rsid w:val="74624F7D"/>
    <w:rsid w:val="74B72A06"/>
    <w:rsid w:val="7546516B"/>
    <w:rsid w:val="75AF555B"/>
    <w:rsid w:val="763204BA"/>
    <w:rsid w:val="767D2F83"/>
    <w:rsid w:val="76F3488A"/>
    <w:rsid w:val="77281C38"/>
    <w:rsid w:val="7741229E"/>
    <w:rsid w:val="781828A1"/>
    <w:rsid w:val="781C3DC0"/>
    <w:rsid w:val="78780B98"/>
    <w:rsid w:val="788E06C1"/>
    <w:rsid w:val="78D76423"/>
    <w:rsid w:val="78D80007"/>
    <w:rsid w:val="78D86E43"/>
    <w:rsid w:val="79566D81"/>
    <w:rsid w:val="79E02BD8"/>
    <w:rsid w:val="7A2B55F9"/>
    <w:rsid w:val="7A3458D0"/>
    <w:rsid w:val="7A4B048B"/>
    <w:rsid w:val="7A7C35B8"/>
    <w:rsid w:val="7A96669D"/>
    <w:rsid w:val="7AC70013"/>
    <w:rsid w:val="7AF85D08"/>
    <w:rsid w:val="7B672810"/>
    <w:rsid w:val="7B681B66"/>
    <w:rsid w:val="7C561F60"/>
    <w:rsid w:val="7C6B2EC5"/>
    <w:rsid w:val="7C831CEC"/>
    <w:rsid w:val="7DDF7DDD"/>
    <w:rsid w:val="7E262745"/>
    <w:rsid w:val="7E300909"/>
    <w:rsid w:val="7EC84C80"/>
    <w:rsid w:val="7EF434D2"/>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qFormat="1" w:unhideWhenUsed="0" w:uiPriority="99"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4"/>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2">
    <w:name w:val="heading 2"/>
    <w:basedOn w:val="1"/>
    <w:next w:val="1"/>
    <w:semiHidden/>
    <w:unhideWhenUsed/>
    <w:qFormat/>
    <w:uiPriority w:val="0"/>
    <w:pPr>
      <w:keepNext/>
      <w:keepLines/>
      <w:spacing w:line="413" w:lineRule="auto"/>
      <w:outlineLvl w:val="1"/>
    </w:pPr>
    <w:rPr>
      <w:rFonts w:ascii="Arial" w:hAnsi="Arial" w:eastAsia="黑体"/>
      <w:b/>
      <w:sz w:val="32"/>
    </w:rPr>
  </w:style>
  <w:style w:type="paragraph" w:styleId="6">
    <w:name w:val="heading 3"/>
    <w:next w:val="1"/>
    <w:link w:val="43"/>
    <w:qFormat/>
    <w:uiPriority w:val="0"/>
    <w:pPr>
      <w:keepNext/>
      <w:keepLines/>
      <w:widowControl w:val="0"/>
      <w:adjustRightInd w:val="0"/>
      <w:spacing w:before="40" w:beforeLines="0" w:after="40" w:afterLines="0" w:line="360" w:lineRule="auto"/>
      <w:jc w:val="both"/>
      <w:textAlignment w:val="baseline"/>
      <w:outlineLvl w:val="2"/>
    </w:pPr>
    <w:rPr>
      <w:rFonts w:ascii="宋体" w:hAnsi="宋体" w:eastAsia="宋体" w:cs="Times New Roman"/>
      <w:b/>
      <w:sz w:val="28"/>
      <w:lang w:val="en-US" w:eastAsia="zh-CN" w:bidi="ar-SA"/>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Body Text First Indent"/>
    <w:basedOn w:val="5"/>
    <w:link w:val="37"/>
    <w:qFormat/>
    <w:uiPriority w:val="0"/>
    <w:pPr>
      <w:spacing w:beforeAutospacing="1" w:after="120"/>
      <w:ind w:firstLine="420"/>
    </w:pPr>
    <w:rPr>
      <w:rFonts w:ascii="Times New Roman" w:hAnsi="Times New Roman" w:eastAsia="宋体" w:cs="Times New Roman"/>
      <w:szCs w:val="21"/>
    </w:rPr>
  </w:style>
  <w:style w:type="paragraph" w:styleId="5">
    <w:name w:val="Body Text"/>
    <w:basedOn w:val="1"/>
    <w:next w:val="1"/>
    <w:qFormat/>
    <w:uiPriority w:val="0"/>
  </w:style>
  <w:style w:type="paragraph" w:styleId="7">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8">
    <w:name w:val="Normal Indent"/>
    <w:basedOn w:val="1"/>
    <w:qFormat/>
    <w:uiPriority w:val="0"/>
    <w:pPr>
      <w:ind w:firstLine="420"/>
    </w:pPr>
    <w:rPr>
      <w:rFonts w:ascii="Times New Roman" w:hAnsi="Times New Roman" w:eastAsia="宋体" w:cs="Times New Roman"/>
      <w:szCs w:val="20"/>
    </w:rPr>
  </w:style>
  <w:style w:type="paragraph" w:styleId="9">
    <w:name w:val="toa heading"/>
    <w:next w:val="1"/>
    <w:semiHidden/>
    <w:qFormat/>
    <w:uiPriority w:val="99"/>
    <w:pPr>
      <w:widowControl w:val="0"/>
      <w:spacing w:before="120"/>
      <w:jc w:val="both"/>
    </w:pPr>
    <w:rPr>
      <w:rFonts w:ascii="Cambria" w:hAnsi="Cambria" w:eastAsia="宋体" w:cs="Cambria"/>
      <w:sz w:val="24"/>
      <w:szCs w:val="24"/>
      <w:lang w:val="en-US" w:eastAsia="zh-CN" w:bidi="ar-SA"/>
    </w:rPr>
  </w:style>
  <w:style w:type="paragraph" w:styleId="10">
    <w:name w:val="annotation text"/>
    <w:basedOn w:val="1"/>
    <w:semiHidden/>
    <w:unhideWhenUsed/>
    <w:qFormat/>
    <w:uiPriority w:val="0"/>
    <w:pPr>
      <w:jc w:val="left"/>
    </w:pPr>
  </w:style>
  <w:style w:type="paragraph" w:styleId="11">
    <w:name w:val="Plain Text"/>
    <w:basedOn w:val="1"/>
    <w:next w:val="1"/>
    <w:link w:val="36"/>
    <w:qFormat/>
    <w:uiPriority w:val="0"/>
    <w:rPr>
      <w:rFonts w:hint="eastAsia" w:ascii="宋体" w:hAnsi="Courier New" w:eastAsia="宋体" w:cs="Times New Roman"/>
      <w:szCs w:val="21"/>
    </w:rPr>
  </w:style>
  <w:style w:type="paragraph" w:styleId="12">
    <w:name w:val="Balloon Text"/>
    <w:basedOn w:val="1"/>
    <w:link w:val="34"/>
    <w:qFormat/>
    <w:uiPriority w:val="0"/>
    <w:rPr>
      <w:sz w:val="18"/>
      <w:szCs w:val="18"/>
    </w:rPr>
  </w:style>
  <w:style w:type="paragraph" w:styleId="13">
    <w:name w:val="footer"/>
    <w:basedOn w:val="1"/>
    <w:link w:val="33"/>
    <w:qFormat/>
    <w:uiPriority w:val="0"/>
    <w:pPr>
      <w:tabs>
        <w:tab w:val="center" w:pos="4153"/>
        <w:tab w:val="right" w:pos="8306"/>
      </w:tabs>
      <w:snapToGrid w:val="0"/>
      <w:jc w:val="left"/>
    </w:pPr>
    <w:rPr>
      <w:sz w:val="18"/>
      <w:szCs w:val="18"/>
    </w:rPr>
  </w:style>
  <w:style w:type="paragraph" w:styleId="14">
    <w:name w:val="header"/>
    <w:basedOn w:val="1"/>
    <w:link w:val="32"/>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rPr>
      <w:rFonts w:ascii="Times New Roman" w:hAnsi="Times New Roman" w:eastAsia="宋体" w:cs="Times New Roman"/>
      <w:szCs w:val="21"/>
    </w:rPr>
  </w:style>
  <w:style w:type="paragraph" w:styleId="16">
    <w:name w:val="Title"/>
    <w:next w:val="1"/>
    <w:qFormat/>
    <w:uiPriority w:val="0"/>
    <w:pPr>
      <w:widowControl w:val="0"/>
      <w:spacing w:before="240" w:beforeLines="0" w:after="60" w:afterLines="0"/>
      <w:jc w:val="left"/>
      <w:outlineLvl w:val="0"/>
    </w:pPr>
    <w:rPr>
      <w:rFonts w:ascii="Cambria" w:hAnsi="Cambria" w:eastAsia="宋体" w:cs="Times New Roman"/>
      <w:b/>
      <w:bCs/>
      <w:kern w:val="2"/>
      <w:sz w:val="30"/>
      <w:szCs w:val="32"/>
      <w:lang w:val="en-US" w:eastAsia="zh-CN" w:bidi="ar-SA"/>
    </w:rPr>
  </w:style>
  <w:style w:type="character" w:styleId="19">
    <w:name w:val="page number"/>
    <w:basedOn w:val="18"/>
    <w:qFormat/>
    <w:uiPriority w:val="0"/>
  </w:style>
  <w:style w:type="character" w:styleId="20">
    <w:name w:val="FollowedHyperlink"/>
    <w:basedOn w:val="18"/>
    <w:qFormat/>
    <w:uiPriority w:val="0"/>
    <w:rPr>
      <w:color w:val="0000FF"/>
      <w:u w:val="single"/>
    </w:rPr>
  </w:style>
  <w:style w:type="character" w:styleId="21">
    <w:name w:val="Hyperlink"/>
    <w:basedOn w:val="18"/>
    <w:qFormat/>
    <w:uiPriority w:val="0"/>
    <w:rPr>
      <w:color w:val="0000FF"/>
      <w:u w:val="single"/>
    </w:rPr>
  </w:style>
  <w:style w:type="paragraph" w:customStyle="1" w:styleId="22">
    <w:name w:val="样式 小四 行距: 1.5 倍行距"/>
    <w:basedOn w:val="1"/>
    <w:qFormat/>
    <w:uiPriority w:val="0"/>
    <w:pPr>
      <w:ind w:firstLine="480"/>
    </w:pPr>
    <w:rPr>
      <w:rFonts w:cs="宋体"/>
    </w:rPr>
  </w:style>
  <w:style w:type="paragraph" w:customStyle="1" w:styleId="23">
    <w:name w:val="表格文字"/>
    <w:basedOn w:val="1"/>
    <w:qFormat/>
    <w:uiPriority w:val="0"/>
    <w:pPr>
      <w:spacing w:before="25" w:after="25"/>
      <w:jc w:val="left"/>
    </w:pPr>
    <w:rPr>
      <w:bCs/>
      <w:spacing w:val="10"/>
      <w:kern w:val="0"/>
      <w:sz w:val="24"/>
    </w:rPr>
  </w:style>
  <w:style w:type="paragraph" w:customStyle="1" w:styleId="24">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5">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6">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7">
    <w:name w:val="列出段落1"/>
    <w:basedOn w:val="1"/>
    <w:qFormat/>
    <w:uiPriority w:val="0"/>
    <w:pPr>
      <w:ind w:firstLine="420" w:firstLineChars="200"/>
    </w:pPr>
    <w:rPr>
      <w:rFonts w:ascii="Calibri" w:hAnsi="Calibri" w:eastAsia="宋体" w:cs="Times New Roman"/>
      <w:szCs w:val="21"/>
    </w:rPr>
  </w:style>
  <w:style w:type="paragraph" w:customStyle="1" w:styleId="28">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9">
    <w:name w:val="10"/>
    <w:basedOn w:val="18"/>
    <w:qFormat/>
    <w:uiPriority w:val="0"/>
    <w:rPr>
      <w:rFonts w:hint="default" w:ascii="Times New Roman" w:hAnsi="Times New Roman" w:cs="Times New Roman"/>
    </w:rPr>
  </w:style>
  <w:style w:type="character" w:customStyle="1" w:styleId="30">
    <w:name w:val="15"/>
    <w:basedOn w:val="18"/>
    <w:qFormat/>
    <w:uiPriority w:val="0"/>
    <w:rPr>
      <w:rFonts w:hint="default" w:ascii="Times New Roman" w:hAnsi="Times New Roman" w:cs="Times New Roman"/>
    </w:rPr>
  </w:style>
  <w:style w:type="character" w:customStyle="1" w:styleId="31">
    <w:name w:val="16"/>
    <w:basedOn w:val="18"/>
    <w:qFormat/>
    <w:uiPriority w:val="0"/>
    <w:rPr>
      <w:rFonts w:hint="default" w:ascii="Times New Roman" w:hAnsi="Times New Roman" w:cs="Times New Roman"/>
      <w:color w:val="0000FF"/>
      <w:u w:val="single"/>
    </w:rPr>
  </w:style>
  <w:style w:type="character" w:customStyle="1" w:styleId="32">
    <w:name w:val="页眉 Char"/>
    <w:basedOn w:val="18"/>
    <w:link w:val="14"/>
    <w:qFormat/>
    <w:uiPriority w:val="0"/>
    <w:rPr>
      <w:rFonts w:asciiTheme="minorHAnsi" w:hAnsiTheme="minorHAnsi" w:eastAsiaTheme="minorEastAsia" w:cstheme="minorBidi"/>
      <w:kern w:val="2"/>
      <w:sz w:val="18"/>
      <w:szCs w:val="18"/>
    </w:rPr>
  </w:style>
  <w:style w:type="character" w:customStyle="1" w:styleId="33">
    <w:name w:val="页脚 Char"/>
    <w:basedOn w:val="18"/>
    <w:link w:val="13"/>
    <w:qFormat/>
    <w:uiPriority w:val="0"/>
    <w:rPr>
      <w:rFonts w:asciiTheme="minorHAnsi" w:hAnsiTheme="minorHAnsi" w:eastAsiaTheme="minorEastAsia" w:cstheme="minorBidi"/>
      <w:kern w:val="2"/>
      <w:sz w:val="18"/>
      <w:szCs w:val="18"/>
    </w:rPr>
  </w:style>
  <w:style w:type="character" w:customStyle="1" w:styleId="34">
    <w:name w:val="批注框文本 Char"/>
    <w:basedOn w:val="18"/>
    <w:link w:val="12"/>
    <w:qFormat/>
    <w:uiPriority w:val="0"/>
    <w:rPr>
      <w:rFonts w:asciiTheme="minorHAnsi" w:hAnsiTheme="minorHAnsi" w:eastAsiaTheme="minorEastAsia" w:cstheme="minorBidi"/>
      <w:kern w:val="2"/>
      <w:sz w:val="18"/>
      <w:szCs w:val="18"/>
    </w:rPr>
  </w:style>
  <w:style w:type="paragraph" w:customStyle="1" w:styleId="35">
    <w:name w:val="WPSOffice手动目录 1"/>
    <w:qFormat/>
    <w:uiPriority w:val="0"/>
    <w:rPr>
      <w:rFonts w:ascii="Times New Roman" w:hAnsi="Times New Roman" w:eastAsia="宋体" w:cs="Times New Roman"/>
      <w:lang w:val="en-US" w:eastAsia="zh-CN" w:bidi="ar-SA"/>
    </w:rPr>
  </w:style>
  <w:style w:type="character" w:customStyle="1" w:styleId="36">
    <w:name w:val="纯文本 Char"/>
    <w:link w:val="11"/>
    <w:qFormat/>
    <w:uiPriority w:val="0"/>
    <w:rPr>
      <w:rFonts w:ascii="宋体" w:hAnsi="Courier New"/>
      <w:kern w:val="2"/>
      <w:sz w:val="21"/>
      <w:szCs w:val="21"/>
    </w:rPr>
  </w:style>
  <w:style w:type="character" w:customStyle="1" w:styleId="37">
    <w:name w:val="正文首行缩进 Char"/>
    <w:basedOn w:val="18"/>
    <w:link w:val="4"/>
    <w:qFormat/>
    <w:uiPriority w:val="0"/>
    <w:rPr>
      <w:kern w:val="2"/>
      <w:sz w:val="21"/>
      <w:szCs w:val="21"/>
    </w:rPr>
  </w:style>
  <w:style w:type="paragraph" w:styleId="38">
    <w:name w:val="List Paragraph"/>
    <w:basedOn w:val="1"/>
    <w:unhideWhenUsed/>
    <w:qFormat/>
    <w:uiPriority w:val="99"/>
    <w:pPr>
      <w:ind w:firstLine="420" w:firstLineChars="200"/>
    </w:pPr>
  </w:style>
  <w:style w:type="paragraph" w:customStyle="1" w:styleId="39">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0">
    <w:name w:val="发文落款"/>
    <w:basedOn w:val="39"/>
    <w:qFormat/>
    <w:uiPriority w:val="0"/>
    <w:pPr>
      <w:ind w:left="4094" w:right="607" w:firstLine="0"/>
      <w:jc w:val="center"/>
    </w:pPr>
  </w:style>
  <w:style w:type="character" w:customStyle="1" w:styleId="41">
    <w:name w:val="c Char1"/>
    <w:link w:val="42"/>
    <w:qFormat/>
    <w:uiPriority w:val="0"/>
    <w:rPr>
      <w:rFonts w:eastAsia="仿宋_GB2312" w:cs="宋体"/>
      <w:sz w:val="28"/>
    </w:rPr>
  </w:style>
  <w:style w:type="paragraph" w:customStyle="1" w:styleId="42">
    <w:name w:val="c"/>
    <w:basedOn w:val="1"/>
    <w:link w:val="41"/>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character" w:customStyle="1" w:styleId="43">
    <w:name w:val="标题 3 Char"/>
    <w:link w:val="6"/>
    <w:qFormat/>
    <w:uiPriority w:val="0"/>
    <w:rPr>
      <w:rFonts w:ascii="宋体" w:hAnsi="宋体"/>
      <w:b/>
      <w:sz w:val="28"/>
      <w:lang w:val="en-US" w:eastAsia="zh-CN" w:bidi="ar-SA"/>
    </w:rPr>
  </w:style>
  <w:style w:type="character" w:customStyle="1" w:styleId="44">
    <w:name w:val="active2"/>
    <w:basedOn w:val="18"/>
    <w:qFormat/>
    <w:uiPriority w:val="0"/>
    <w:rPr>
      <w:color w:val="00FF00"/>
      <w:shd w:val="clear" w:fill="111111"/>
    </w:rPr>
  </w:style>
  <w:style w:type="character" w:customStyle="1" w:styleId="45">
    <w:name w:val="cdropright"/>
    <w:basedOn w:val="18"/>
    <w:qFormat/>
    <w:uiPriority w:val="0"/>
  </w:style>
  <w:style w:type="character" w:customStyle="1" w:styleId="46">
    <w:name w:val="drapbtn"/>
    <w:basedOn w:val="18"/>
    <w:uiPriority w:val="0"/>
  </w:style>
  <w:style w:type="character" w:customStyle="1" w:styleId="47">
    <w:name w:val="after"/>
    <w:basedOn w:val="18"/>
    <w:uiPriority w:val="0"/>
    <w:rPr>
      <w:sz w:val="0"/>
      <w:szCs w:val="0"/>
    </w:rPr>
  </w:style>
  <w:style w:type="character" w:customStyle="1" w:styleId="48">
    <w:name w:val="pagechatarealistclose_box"/>
    <w:basedOn w:val="18"/>
    <w:qFormat/>
    <w:uiPriority w:val="0"/>
  </w:style>
  <w:style w:type="character" w:customStyle="1" w:styleId="49">
    <w:name w:val="pagechatarealistclose_box1"/>
    <w:basedOn w:val="18"/>
    <w:qFormat/>
    <w:uiPriority w:val="0"/>
  </w:style>
  <w:style w:type="character" w:customStyle="1" w:styleId="50">
    <w:name w:val="hilite5"/>
    <w:basedOn w:val="18"/>
    <w:qFormat/>
    <w:uiPriority w:val="0"/>
    <w:rPr>
      <w:color w:val="FFFFFF"/>
      <w:shd w:val="clear" w:fill="666666"/>
    </w:rPr>
  </w:style>
  <w:style w:type="character" w:customStyle="1" w:styleId="51">
    <w:name w:val="associateddata"/>
    <w:basedOn w:val="18"/>
    <w:qFormat/>
    <w:uiPriority w:val="0"/>
    <w:rPr>
      <w:shd w:val="clear" w:fill="50A6F9"/>
    </w:rPr>
  </w:style>
  <w:style w:type="character" w:customStyle="1" w:styleId="52">
    <w:name w:val="cy"/>
    <w:basedOn w:val="18"/>
    <w:qFormat/>
    <w:uiPriority w:val="0"/>
  </w:style>
  <w:style w:type="character" w:customStyle="1" w:styleId="53">
    <w:name w:val="cdropleft"/>
    <w:basedOn w:val="18"/>
    <w:uiPriority w:val="0"/>
  </w:style>
  <w:style w:type="character" w:customStyle="1" w:styleId="54">
    <w:name w:val="ico1654"/>
    <w:basedOn w:val="18"/>
    <w:uiPriority w:val="0"/>
  </w:style>
  <w:style w:type="character" w:customStyle="1" w:styleId="55">
    <w:name w:val="ico1655"/>
    <w:basedOn w:val="18"/>
    <w:qFormat/>
    <w:uiPriority w:val="0"/>
  </w:style>
  <w:style w:type="character" w:customStyle="1" w:styleId="56">
    <w:name w:val="layui-layer-tabnow"/>
    <w:basedOn w:val="18"/>
    <w:qFormat/>
    <w:uiPriority w:val="0"/>
    <w:rPr>
      <w:bdr w:val="single" w:color="CCCCCC" w:sz="6" w:space="0"/>
      <w:shd w:val="clear" w:fill="FFFFFF"/>
    </w:rPr>
  </w:style>
  <w:style w:type="character" w:customStyle="1" w:styleId="57">
    <w:name w:val="button4"/>
    <w:basedOn w:val="18"/>
    <w:qFormat/>
    <w:uiPriority w:val="0"/>
  </w:style>
  <w:style w:type="character" w:customStyle="1" w:styleId="58">
    <w:name w:val="w32"/>
    <w:basedOn w:val="18"/>
    <w:qFormat/>
    <w:uiPriority w:val="0"/>
  </w:style>
  <w:style w:type="character" w:customStyle="1" w:styleId="59">
    <w:name w:val="tmpztreemove_arrow"/>
    <w:basedOn w:val="18"/>
    <w:qFormat/>
    <w:uiPriority w:val="0"/>
  </w:style>
  <w:style w:type="character" w:customStyle="1" w:styleId="60">
    <w:name w:val="icontext1"/>
    <w:basedOn w:val="18"/>
    <w:qFormat/>
    <w:uiPriority w:val="0"/>
  </w:style>
  <w:style w:type="character" w:customStyle="1" w:styleId="61">
    <w:name w:val="icontext11"/>
    <w:basedOn w:val="18"/>
    <w:qFormat/>
    <w:uiPriority w:val="0"/>
  </w:style>
  <w:style w:type="character" w:customStyle="1" w:styleId="62">
    <w:name w:val="icontext12"/>
    <w:basedOn w:val="18"/>
    <w:qFormat/>
    <w:uiPriority w:val="0"/>
  </w:style>
  <w:style w:type="character" w:customStyle="1" w:styleId="63">
    <w:name w:val="iconline2"/>
    <w:basedOn w:val="18"/>
    <w:qFormat/>
    <w:uiPriority w:val="0"/>
  </w:style>
  <w:style w:type="character" w:customStyle="1" w:styleId="64">
    <w:name w:val="iconline21"/>
    <w:basedOn w:val="18"/>
    <w:qFormat/>
    <w:uiPriority w:val="0"/>
  </w:style>
  <w:style w:type="character" w:customStyle="1" w:styleId="65">
    <w:name w:val="icontext2"/>
    <w:basedOn w:val="18"/>
    <w:qFormat/>
    <w:uiPriority w:val="0"/>
  </w:style>
  <w:style w:type="character" w:customStyle="1" w:styleId="66">
    <w:name w:val="icontext3"/>
    <w:basedOn w:val="18"/>
    <w:qFormat/>
    <w:uiPriority w:val="0"/>
  </w:style>
  <w:style w:type="character" w:customStyle="1" w:styleId="67">
    <w:name w:val="first-child"/>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35</Pages>
  <Words>14295</Words>
  <Characters>15065</Characters>
  <Lines>131</Lines>
  <Paragraphs>37</Paragraphs>
  <TotalTime>2</TotalTime>
  <ScaleCrop>false</ScaleCrop>
  <LinksUpToDate>false</LinksUpToDate>
  <CharactersWithSpaces>15908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林乒</cp:lastModifiedBy>
  <cp:lastPrinted>2023-03-27T01:47:14Z</cp:lastPrinted>
  <dcterms:modified xsi:type="dcterms:W3CDTF">2023-03-27T01:48:49Z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F48E31CFF93F4A27A297A98E8A095708</vt:lpwstr>
  </property>
</Properties>
</file>