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ascii="宋体" w:hAnsi="宋体" w:eastAsia="宋体" w:cs="宋体"/>
          <w:color w:val="auto"/>
          <w:sz w:val="72"/>
          <w:szCs w:val="72"/>
          <w:highlight w:val="none"/>
        </w:rPr>
      </w:pPr>
      <w:r>
        <w:rPr>
          <w:rFonts w:hint="eastAsia" w:ascii="宋体" w:hAnsi="宋体" w:eastAsia="黑体"/>
          <w:color w:val="auto"/>
          <w:sz w:val="48"/>
          <w:szCs w:val="48"/>
          <w:highlight w:val="none"/>
          <w:lang w:eastAsia="zh-CN"/>
        </w:rPr>
        <w:t>“南沙前锋水乡样板区”</w:t>
      </w:r>
      <w:r>
        <w:rPr>
          <w:rFonts w:hint="eastAsia" w:ascii="宋体" w:hAnsi="宋体" w:eastAsia="黑体"/>
          <w:color w:val="auto"/>
          <w:sz w:val="48"/>
          <w:szCs w:val="48"/>
          <w:highlight w:val="none"/>
          <w:lang w:val="en-US" w:eastAsia="zh-CN"/>
        </w:rPr>
        <w:t>方案</w:t>
      </w:r>
      <w:r>
        <w:rPr>
          <w:rFonts w:hint="eastAsia" w:ascii="宋体" w:hAnsi="宋体" w:eastAsia="黑体"/>
          <w:color w:val="auto"/>
          <w:sz w:val="48"/>
          <w:szCs w:val="48"/>
          <w:highlight w:val="none"/>
          <w:lang w:eastAsia="zh-CN"/>
        </w:rPr>
        <w:t>设计服务</w:t>
      </w: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lang w:val="en-US" w:eastAsia="zh-CN"/>
        </w:rPr>
        <w:t>邀请</w:t>
      </w:r>
      <w:r>
        <w:rPr>
          <w:rFonts w:hint="eastAsia" w:ascii="楷体" w:hAnsi="楷体" w:eastAsia="楷体" w:cs="楷体"/>
          <w:b/>
          <w:color w:val="auto"/>
          <w:sz w:val="110"/>
          <w:szCs w:val="110"/>
          <w:highlight w:val="none"/>
        </w:rPr>
        <w:t>招标文件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360" w:lineRule="auto"/>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资产经营集团</w:t>
      </w:r>
      <w:r>
        <w:rPr>
          <w:rFonts w:hint="eastAsia" w:ascii="宋体" w:hAnsi="宋体" w:eastAsia="宋体" w:cs="宋体"/>
          <w:b/>
          <w:color w:val="auto"/>
          <w:sz w:val="32"/>
          <w:szCs w:val="32"/>
          <w:highlight w:val="none"/>
          <w:lang w:eastAsia="zh-CN"/>
        </w:rPr>
        <w:t>有限公司</w:t>
      </w:r>
    </w:p>
    <w:p>
      <w:pPr>
        <w:spacing w:line="360" w:lineRule="auto"/>
        <w:ind w:right="-101" w:rightChars="-48" w:firstLine="1928" w:firstLineChars="600"/>
        <w:rPr>
          <w:rFonts w:ascii="宋体" w:hAnsi="宋体" w:eastAsia="宋体" w:cs="宋体"/>
          <w:color w:val="auto"/>
          <w:spacing w:val="28"/>
          <w:position w:val="8"/>
          <w:sz w:val="28"/>
          <w:szCs w:val="28"/>
          <w:highlight w:val="none"/>
        </w:rPr>
      </w:pPr>
      <w:bookmarkStart w:id="0" w:name="OLE_LINK4"/>
      <w:bookmarkEnd w:id="0"/>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rFonts w:hint="default" w:eastAsia="宋体"/>
              <w:color w:val="auto"/>
              <w:sz w:val="32"/>
              <w:szCs w:val="32"/>
              <w:highlight w:val="none"/>
              <w:lang w:val="en-US" w:eastAsia="zh-CN"/>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34</w:t>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cs="宋体"/>
                <w:color w:val="auto"/>
                <w:sz w:val="21"/>
                <w:szCs w:val="21"/>
                <w:highlight w:val="none"/>
                <w:lang w:eastAsia="zh-CN"/>
              </w:rPr>
              <w:t>南沙前锋水乡样板区</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方案</w:t>
            </w:r>
            <w:r>
              <w:rPr>
                <w:rFonts w:hint="eastAsia" w:ascii="宋体" w:hAnsi="宋体" w:eastAsia="宋体" w:cs="宋体"/>
                <w:color w:val="auto"/>
                <w:highlight w:val="none"/>
                <w:lang w:eastAsia="zh-CN"/>
              </w:rPr>
              <w:t>设计服务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sz w:val="21"/>
                <w:szCs w:val="21"/>
              </w:rPr>
              <w:t>广州市南沙区珠江街道前锋社区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spacing w:val="0"/>
                <w:w w:val="100"/>
                <w:position w:val="0"/>
                <w:sz w:val="21"/>
                <w:szCs w:val="21"/>
                <w:highlight w:val="none"/>
              </w:rPr>
              <w:t>项目主要包括</w:t>
            </w:r>
            <w:r>
              <w:rPr>
                <w:rFonts w:hint="eastAsia" w:ascii="宋体" w:hAnsi="宋体" w:eastAsia="宋体" w:cs="宋体"/>
                <w:b w:val="0"/>
                <w:bCs w:val="0"/>
                <w:sz w:val="21"/>
                <w:szCs w:val="21"/>
                <w:lang w:val="en-US" w:eastAsia="zh-CN"/>
              </w:rPr>
              <w:t>设计</w:t>
            </w:r>
            <w:r>
              <w:rPr>
                <w:rFonts w:hint="eastAsia" w:ascii="宋体" w:hAnsi="宋体" w:eastAsia="宋体" w:cs="宋体"/>
                <w:b w:val="0"/>
                <w:bCs w:val="0"/>
                <w:sz w:val="21"/>
                <w:szCs w:val="21"/>
                <w:lang w:eastAsia="zh-CN"/>
              </w:rPr>
              <w:t>范围</w:t>
            </w:r>
            <w:r>
              <w:rPr>
                <w:rFonts w:hint="eastAsia" w:ascii="宋体" w:hAnsi="宋体" w:eastAsia="宋体" w:cs="宋体"/>
                <w:b w:val="0"/>
                <w:bCs w:val="0"/>
                <w:sz w:val="21"/>
                <w:szCs w:val="21"/>
                <w:lang w:val="en-US" w:eastAsia="zh-CN"/>
              </w:rPr>
              <w:t>为</w:t>
            </w:r>
            <w:r>
              <w:rPr>
                <w:rFonts w:hint="eastAsia" w:ascii="宋体" w:hAnsi="宋体" w:eastAsia="宋体" w:cs="宋体"/>
                <w:b w:val="0"/>
                <w:bCs w:val="0"/>
                <w:sz w:val="21"/>
                <w:szCs w:val="21"/>
                <w:lang w:eastAsia="zh-CN"/>
              </w:rPr>
              <w:t>前锋社区村委会周边七栋建筑及外围约20000㎡的区域。</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cs="宋体"/>
                <w:color w:val="auto"/>
                <w:highlight w:val="none"/>
              </w:rPr>
            </w:pPr>
            <w:r>
              <w:rPr>
                <w:rFonts w:hint="eastAsia" w:ascii="宋体" w:hAnsi="宋体" w:cs="宋体"/>
                <w:color w:val="auto"/>
                <w:highlight w:val="none"/>
              </w:rPr>
              <w:t>总投资约</w:t>
            </w:r>
            <w:r>
              <w:rPr>
                <w:rFonts w:hint="eastAsia" w:ascii="宋体" w:hAnsi="宋体" w:cs="宋体"/>
                <w:color w:val="auto"/>
                <w:highlight w:val="none"/>
                <w:lang w:val="en-US" w:eastAsia="zh-CN"/>
              </w:rPr>
              <w:t>1500</w:t>
            </w:r>
            <w:r>
              <w:rPr>
                <w:rFonts w:hint="eastAsia" w:ascii="宋体" w:hAnsi="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Theme="minorHAnsi" w:hAnsiTheme="minorHAnsi" w:eastAsiaTheme="minorEastAsia" w:cstheme="minorBidi"/>
                <w:szCs w:val="24"/>
              </w:rPr>
            </w:pPr>
            <w:r>
              <w:rPr>
                <w:rFonts w:hint="eastAsia" w:asciiTheme="minorHAnsi" w:hAnsiTheme="minorHAnsi" w:eastAsiaTheme="minorEastAsia" w:cstheme="minorBidi"/>
                <w:szCs w:val="24"/>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lang w:eastAsia="zh-CN"/>
              </w:rPr>
            </w:pPr>
            <w:r>
              <w:rPr>
                <w:rFonts w:hint="eastAsia"/>
              </w:rPr>
              <w:t>设计服务内容</w:t>
            </w:r>
            <w:r>
              <w:rPr>
                <w:rFonts w:hint="eastAsia"/>
                <w:lang w:eastAsia="zh-CN"/>
              </w:rPr>
              <w:t>包括但不限于</w:t>
            </w:r>
          </w:p>
          <w:p>
            <w:pPr>
              <w:spacing w:line="360" w:lineRule="auto"/>
              <w:rPr>
                <w:rFonts w:hint="eastAsia"/>
                <w:lang w:eastAsia="zh-CN"/>
              </w:rPr>
            </w:pPr>
            <w:r>
              <w:rPr>
                <w:rFonts w:hint="eastAsia"/>
                <w:lang w:eastAsia="zh-CN"/>
              </w:rPr>
              <w:t>1 总体平面设计图</w:t>
            </w:r>
          </w:p>
          <w:p>
            <w:pPr>
              <w:spacing w:line="360" w:lineRule="auto"/>
              <w:rPr>
                <w:rFonts w:hint="eastAsia"/>
                <w:lang w:eastAsia="zh-CN"/>
              </w:rPr>
            </w:pPr>
            <w:r>
              <w:rPr>
                <w:rFonts w:hint="eastAsia"/>
                <w:lang w:eastAsia="zh-CN"/>
              </w:rPr>
              <w:t>2 功能分区图</w:t>
            </w:r>
          </w:p>
          <w:p>
            <w:pPr>
              <w:spacing w:line="360" w:lineRule="auto"/>
              <w:rPr>
                <w:rFonts w:hint="eastAsia"/>
                <w:lang w:eastAsia="zh-CN"/>
              </w:rPr>
            </w:pPr>
            <w:r>
              <w:rPr>
                <w:rFonts w:hint="eastAsia"/>
                <w:lang w:eastAsia="zh-CN"/>
              </w:rPr>
              <w:t>3各组团平面放大图</w:t>
            </w:r>
          </w:p>
          <w:p>
            <w:pPr>
              <w:spacing w:line="360" w:lineRule="auto"/>
              <w:rPr>
                <w:rFonts w:hint="eastAsia"/>
                <w:lang w:eastAsia="zh-CN"/>
              </w:rPr>
            </w:pPr>
            <w:r>
              <w:rPr>
                <w:rFonts w:hint="eastAsia"/>
                <w:lang w:eastAsia="zh-CN"/>
              </w:rPr>
              <w:t>4 系统分析图</w:t>
            </w:r>
          </w:p>
          <w:p>
            <w:pPr>
              <w:spacing w:line="360" w:lineRule="auto"/>
              <w:rPr>
                <w:rFonts w:hint="eastAsia"/>
                <w:lang w:eastAsia="zh-CN"/>
              </w:rPr>
            </w:pPr>
            <w:r>
              <w:rPr>
                <w:rFonts w:hint="eastAsia"/>
                <w:lang w:eastAsia="zh-CN"/>
              </w:rPr>
              <w:t>5交通流线分析图</w:t>
            </w:r>
          </w:p>
          <w:p>
            <w:pPr>
              <w:spacing w:line="360" w:lineRule="auto"/>
              <w:rPr>
                <w:rFonts w:hint="eastAsia"/>
                <w:lang w:eastAsia="zh-CN"/>
              </w:rPr>
            </w:pPr>
            <w:r>
              <w:rPr>
                <w:rFonts w:hint="eastAsia"/>
                <w:lang w:eastAsia="zh-CN"/>
              </w:rPr>
              <w:t>6重要节点透视效果图</w:t>
            </w:r>
          </w:p>
          <w:p>
            <w:pPr>
              <w:spacing w:line="360" w:lineRule="auto"/>
              <w:rPr>
                <w:rFonts w:hint="eastAsia"/>
                <w:lang w:eastAsia="zh-CN"/>
              </w:rPr>
            </w:pPr>
            <w:r>
              <w:rPr>
                <w:rFonts w:hint="eastAsia"/>
                <w:lang w:eastAsia="zh-CN"/>
              </w:rPr>
              <w:t>7建筑改造效果图、室内空间布局、室内设计、外立面设计</w:t>
            </w:r>
          </w:p>
          <w:p>
            <w:pPr>
              <w:spacing w:line="360" w:lineRule="auto"/>
              <w:rPr>
                <w:rFonts w:hint="eastAsia"/>
                <w:lang w:eastAsia="zh-CN"/>
              </w:rPr>
            </w:pPr>
            <w:r>
              <w:rPr>
                <w:rFonts w:hint="eastAsia"/>
                <w:lang w:eastAsia="zh-CN"/>
              </w:rPr>
              <w:t>8雕塑及艺术品意向图</w:t>
            </w:r>
          </w:p>
          <w:p>
            <w:pPr>
              <w:spacing w:line="360" w:lineRule="auto"/>
              <w:rPr>
                <w:rFonts w:hint="eastAsia"/>
                <w:lang w:eastAsia="zh-CN"/>
              </w:rPr>
            </w:pPr>
            <w:r>
              <w:rPr>
                <w:rFonts w:hint="eastAsia"/>
                <w:lang w:eastAsia="zh-CN"/>
              </w:rPr>
              <w:t>9绿化设计</w:t>
            </w:r>
          </w:p>
          <w:p>
            <w:pPr>
              <w:spacing w:line="360" w:lineRule="auto"/>
              <w:rPr>
                <w:rFonts w:hint="eastAsia"/>
                <w:lang w:eastAsia="zh-CN"/>
              </w:rPr>
            </w:pPr>
            <w:r>
              <w:rPr>
                <w:rFonts w:hint="eastAsia"/>
                <w:lang w:eastAsia="zh-CN"/>
              </w:rPr>
              <w:t>10 项目建设估算（</w:t>
            </w:r>
            <w:r>
              <w:rPr>
                <w:rFonts w:hint="eastAsia"/>
                <w:lang w:val="en-US" w:eastAsia="zh-CN"/>
              </w:rPr>
              <w:t>含</w:t>
            </w:r>
            <w:r>
              <w:rPr>
                <w:rFonts w:hint="eastAsia"/>
                <w:lang w:eastAsia="zh-CN"/>
              </w:rPr>
              <w:t>设计概算编制）</w:t>
            </w:r>
          </w:p>
          <w:p>
            <w:pPr>
              <w:spacing w:line="360" w:lineRule="auto"/>
              <w:rPr>
                <w:rFonts w:hint="eastAsia"/>
              </w:rPr>
            </w:pPr>
            <w:r>
              <w:rPr>
                <w:rFonts w:hint="eastAsia"/>
                <w:lang w:val="en-US" w:eastAsia="zh-CN"/>
              </w:rPr>
              <w:t>11初步设计评审</w:t>
            </w:r>
            <w:r>
              <w:rPr>
                <w:rFonts w:hint="eastAsia"/>
              </w:rPr>
              <w:t>等</w:t>
            </w:r>
            <w:r>
              <w:rPr>
                <w:rFonts w:hint="eastAsia"/>
                <w:lang w:eastAsia="zh-CN"/>
              </w:rPr>
              <w:t>，</w:t>
            </w:r>
            <w:r>
              <w:rPr>
                <w:rFonts w:hint="eastAsia"/>
                <w:lang w:val="en-US" w:eastAsia="zh-CN"/>
              </w:rPr>
              <w:t>即</w:t>
            </w:r>
            <w:r>
              <w:rPr>
                <w:rFonts w:hint="eastAsia"/>
                <w:lang w:eastAsia="zh-CN"/>
              </w:rPr>
              <w:t>含方案+扩初。</w:t>
            </w:r>
            <w:r>
              <w:rPr>
                <w:rFonts w:hint="eastAsia"/>
              </w:rPr>
              <w:t>本次招标要求中标单位有一定的服务质量保证，且具有对本项目建设特点有相关设计经验，信誉可靠。</w:t>
            </w:r>
          </w:p>
          <w:p>
            <w:pPr>
              <w:spacing w:line="360" w:lineRule="auto"/>
              <w:rPr>
                <w:rFonts w:hint="eastAsia" w:eastAsiaTheme="minorEastAsia"/>
                <w:kern w:val="2"/>
                <w:sz w:val="21"/>
                <w:szCs w:val="24"/>
                <w:lang w:val="en-US" w:eastAsia="zh-CN"/>
              </w:rPr>
            </w:pPr>
            <w:r>
              <w:rPr>
                <w:rFonts w:hint="eastAsia" w:asciiTheme="minorHAnsi" w:hAnsiTheme="minorHAnsi" w:eastAsiaTheme="minorEastAsia" w:cstheme="minorBidi"/>
                <w:kern w:val="2"/>
                <w:sz w:val="21"/>
                <w:szCs w:val="24"/>
                <w:lang w:val="en-US" w:eastAsia="zh-CN"/>
              </w:rPr>
              <w:t>12本次设计服务内容包</w:t>
            </w:r>
            <w:r>
              <w:rPr>
                <w:rFonts w:hint="eastAsia" w:cstheme="minorBidi"/>
                <w:kern w:val="2"/>
                <w:sz w:val="21"/>
                <w:szCs w:val="24"/>
                <w:lang w:val="en-US" w:eastAsia="zh-CN"/>
              </w:rPr>
              <w:t>含</w:t>
            </w:r>
            <w:r>
              <w:rPr>
                <w:rFonts w:hint="eastAsia" w:asciiTheme="minorHAnsi" w:hAnsiTheme="minorHAnsi" w:eastAsiaTheme="minorEastAsia" w:cstheme="minorBidi"/>
                <w:kern w:val="2"/>
                <w:sz w:val="21"/>
                <w:szCs w:val="24"/>
                <w:lang w:val="en-US" w:eastAsia="zh-CN"/>
              </w:rPr>
              <w:t>对</w:t>
            </w:r>
            <w:r>
              <w:rPr>
                <w:rFonts w:hint="eastAsia" w:cstheme="minorBidi"/>
                <w:kern w:val="2"/>
                <w:sz w:val="21"/>
                <w:szCs w:val="24"/>
                <w:lang w:val="en-US" w:eastAsia="zh-CN"/>
              </w:rPr>
              <w:t>二涌</w:t>
            </w:r>
            <w:r>
              <w:rPr>
                <w:rFonts w:hint="eastAsia" w:asciiTheme="minorHAnsi" w:hAnsiTheme="minorHAnsi" w:eastAsiaTheme="minorEastAsia" w:cstheme="minorBidi"/>
                <w:kern w:val="2"/>
                <w:sz w:val="21"/>
                <w:szCs w:val="24"/>
                <w:lang w:val="en-US" w:eastAsia="zh-CN"/>
              </w:rPr>
              <w:t>前锋水乡项目前期整体策划方案的优化提升。</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自招标人发出中标通知书后，</w:t>
            </w:r>
            <w:r>
              <w:rPr>
                <w:rFonts w:hint="eastAsia" w:ascii="宋体" w:hAnsi="宋体" w:eastAsia="宋体" w:cs="宋体"/>
                <w:color w:val="auto"/>
                <w:sz w:val="21"/>
                <w:szCs w:val="21"/>
                <w:highlight w:val="none"/>
                <w:lang w:val="en-US" w:eastAsia="zh-CN"/>
              </w:rPr>
              <w:t>30</w:t>
            </w:r>
            <w:r>
              <w:rPr>
                <w:rFonts w:ascii="宋体" w:hAnsi="宋体" w:eastAsia="宋体" w:cs="宋体"/>
                <w:color w:val="auto"/>
                <w:sz w:val="21"/>
                <w:szCs w:val="21"/>
                <w:highlight w:val="none"/>
              </w:rPr>
              <w:t>个日历天内完成合同范围内全部</w:t>
            </w:r>
            <w:r>
              <w:rPr>
                <w:rFonts w:hint="eastAsia" w:ascii="宋体" w:hAnsi="宋体" w:eastAsia="宋体" w:cs="宋体"/>
                <w:color w:val="auto"/>
                <w:sz w:val="21"/>
                <w:szCs w:val="21"/>
                <w:highlight w:val="none"/>
                <w:lang w:val="en-US" w:eastAsia="zh-CN"/>
              </w:rPr>
              <w:t>服务工作。</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投标人具有建设行政主管部门颁发的工程设计综合资质甲级，或建筑行业设计</w:t>
            </w:r>
            <w:r>
              <w:rPr>
                <w:rFonts w:hint="eastAsia" w:ascii="宋体" w:hAnsi="宋体" w:cs="宋体"/>
                <w:color w:val="auto"/>
                <w:highlight w:val="none"/>
                <w:lang w:eastAsia="zh-CN"/>
              </w:rPr>
              <w:t>丙</w:t>
            </w:r>
            <w:r>
              <w:rPr>
                <w:rFonts w:hint="eastAsia" w:ascii="宋体" w:hAnsi="宋体" w:cs="宋体"/>
                <w:color w:val="auto"/>
                <w:highlight w:val="none"/>
              </w:rPr>
              <w:t>级(或以上）资质或建筑行业（建筑工程）专业</w:t>
            </w:r>
            <w:r>
              <w:rPr>
                <w:rFonts w:hint="eastAsia" w:ascii="宋体" w:hAnsi="宋体" w:cs="宋体"/>
                <w:color w:val="auto"/>
                <w:highlight w:val="none"/>
                <w:lang w:eastAsia="zh-CN"/>
              </w:rPr>
              <w:t>设计丙</w:t>
            </w:r>
            <w:r>
              <w:rPr>
                <w:rFonts w:hint="eastAsia" w:ascii="宋体" w:hAnsi="宋体" w:cs="宋体"/>
                <w:color w:val="auto"/>
                <w:highlight w:val="none"/>
              </w:rPr>
              <w:t>级(或以上）资质或建筑工程设计事务所资质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2"/>
              <w:widowControl/>
              <w:spacing w:after="0"/>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1、项目负责人要求：具有二级或以上注册建筑师资格证书。</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2、其他专业负责人要求：</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（1）具有建筑相关专业中级职称或以上；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（2）具有结构相关专业中级职称或以上；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（3）具有给排水相关专业中级职称或以上；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（4）具有暖通空调相关专业中级职称或以上；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（5）具有电气相关专业中级职称或以上；</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ind w:firstLine="0"/>
              <w:rPr>
                <w:rFonts w:hint="default" w:ascii="宋体" w:hAnsi="宋体" w:cs="宋体" w:eastAsiaTheme="minorEastAsia"/>
                <w:color w:val="auto"/>
                <w:kern w:val="2"/>
                <w:sz w:val="21"/>
                <w:szCs w:val="21"/>
                <w:highlight w:val="none"/>
              </w:rPr>
            </w:pPr>
            <w:r>
              <w:rPr>
                <w:rFonts w:hint="default" w:ascii="宋体" w:hAnsi="宋体" w:cs="宋体" w:eastAsiaTheme="minorEastAsia"/>
                <w:color w:val="auto"/>
                <w:kern w:val="2"/>
                <w:sz w:val="21"/>
                <w:szCs w:val="21"/>
                <w:highlight w:val="none"/>
              </w:rPr>
              <w:t>本次设计服务招标最高投标限价为</w:t>
            </w:r>
            <w:r>
              <w:rPr>
                <w:rFonts w:hint="eastAsia" w:ascii="宋体" w:hAnsi="宋体" w:eastAsia="宋体" w:cs="宋体"/>
                <w:b w:val="0"/>
                <w:bCs w:val="0"/>
                <w:color w:val="auto"/>
                <w:kern w:val="2"/>
                <w:sz w:val="21"/>
                <w:szCs w:val="21"/>
                <w:highlight w:val="none"/>
                <w:lang w:val="en-US" w:eastAsia="zh-CN"/>
              </w:rPr>
              <w:t>46.98万</w:t>
            </w:r>
            <w:r>
              <w:rPr>
                <w:rFonts w:hint="default" w:ascii="宋体" w:hAnsi="宋体" w:cs="宋体" w:eastAsiaTheme="minorEastAsia"/>
                <w:color w:val="auto"/>
                <w:kern w:val="2"/>
                <w:sz w:val="21"/>
                <w:szCs w:val="21"/>
                <w:highlight w:val="none"/>
              </w:rPr>
              <w:t>元</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暂按工程建安费</w:t>
            </w:r>
            <w:r>
              <w:rPr>
                <w:rFonts w:hint="eastAsia" w:ascii="宋体" w:hAnsi="宋体" w:cs="宋体" w:eastAsiaTheme="minorEastAsia"/>
                <w:color w:val="auto"/>
                <w:kern w:val="2"/>
                <w:sz w:val="21"/>
                <w:szCs w:val="21"/>
                <w:highlight w:val="none"/>
                <w:lang w:val="en-US" w:eastAsia="zh-CN"/>
              </w:rPr>
              <w:t>15</w:t>
            </w:r>
            <w:r>
              <w:rPr>
                <w:rFonts w:hint="default" w:ascii="宋体" w:hAnsi="宋体" w:cs="宋体" w:eastAsiaTheme="minorEastAsia"/>
                <w:color w:val="auto"/>
                <w:kern w:val="2"/>
                <w:sz w:val="21"/>
                <w:szCs w:val="21"/>
                <w:highlight w:val="none"/>
                <w:lang w:val="en-US" w:eastAsia="zh-CN"/>
              </w:rPr>
              <w:t>00</w:t>
            </w:r>
            <w:r>
              <w:rPr>
                <w:rFonts w:hint="default" w:ascii="宋体" w:hAnsi="宋体" w:cs="宋体" w:eastAsiaTheme="minorEastAsia"/>
                <w:color w:val="auto"/>
                <w:kern w:val="2"/>
                <w:sz w:val="21"/>
                <w:szCs w:val="21"/>
                <w:highlight w:val="none"/>
              </w:rPr>
              <w:t>万元为计费基数</w:t>
            </w:r>
            <w:r>
              <w:rPr>
                <w:rFonts w:hint="default" w:ascii="宋体" w:hAnsi="宋体" w:cs="宋体" w:eastAsiaTheme="minorEastAsia"/>
                <w:color w:val="auto"/>
                <w:kern w:val="2"/>
                <w:sz w:val="21"/>
                <w:szCs w:val="21"/>
                <w:highlight w:val="none"/>
                <w:lang w:eastAsia="zh-CN"/>
              </w:rPr>
              <w:t>，</w:t>
            </w:r>
            <w:r>
              <w:rPr>
                <w:rFonts w:hint="default" w:ascii="宋体" w:hAnsi="宋体" w:cs="宋体" w:eastAsiaTheme="minorEastAsia"/>
                <w:color w:val="auto"/>
                <w:kern w:val="2"/>
                <w:sz w:val="21"/>
                <w:szCs w:val="21"/>
                <w:highlight w:val="none"/>
              </w:rPr>
              <w:t>参照国家发展计划委员会、建设部2002年颁布的《工程勘察设计收费标准》计价格【2002】10号文</w:t>
            </w:r>
            <w:r>
              <w:rPr>
                <w:rFonts w:hint="default" w:ascii="宋体" w:hAnsi="宋体" w:cs="宋体" w:eastAsiaTheme="minorEastAsia"/>
                <w:color w:val="auto"/>
                <w:kern w:val="2"/>
                <w:sz w:val="21"/>
                <w:szCs w:val="21"/>
                <w:highlight w:val="none"/>
                <w:lang w:eastAsia="zh-CN"/>
              </w:rPr>
              <w:t>为计费标准，</w:t>
            </w:r>
            <w:r>
              <w:rPr>
                <w:rFonts w:hint="default" w:ascii="宋体" w:hAnsi="宋体" w:cs="宋体" w:eastAsiaTheme="minorEastAsia"/>
                <w:color w:val="auto"/>
                <w:kern w:val="2"/>
                <w:sz w:val="21"/>
                <w:szCs w:val="21"/>
                <w:highlight w:val="none"/>
              </w:rPr>
              <w:t>计算出基本设计费用，乘以设计费调整系数（</w:t>
            </w:r>
            <w:r>
              <w:rPr>
                <w:rFonts w:hint="default" w:ascii="宋体" w:hAnsi="宋体" w:cs="宋体" w:eastAsiaTheme="minorEastAsia"/>
                <w:b w:val="0"/>
                <w:bCs w:val="0"/>
                <w:color w:val="auto"/>
                <w:kern w:val="2"/>
                <w:sz w:val="21"/>
                <w:szCs w:val="21"/>
                <w:highlight w:val="none"/>
                <w:lang w:val="en-US" w:eastAsia="zh-CN" w:bidi="ar-SA"/>
              </w:rPr>
              <w:t>专业调整系数1.0，工程复杂程度调整系数为1.</w:t>
            </w:r>
            <w:r>
              <w:rPr>
                <w:rFonts w:hint="eastAsia" w:ascii="宋体" w:hAnsi="宋体" w:cs="宋体" w:eastAsiaTheme="minorEastAsia"/>
                <w:b w:val="0"/>
                <w:bCs w:val="0"/>
                <w:color w:val="auto"/>
                <w:kern w:val="2"/>
                <w:sz w:val="21"/>
                <w:szCs w:val="21"/>
                <w:highlight w:val="none"/>
                <w:lang w:val="en-US" w:eastAsia="zh-CN" w:bidi="ar-SA"/>
              </w:rPr>
              <w:t>15</w:t>
            </w:r>
            <w:r>
              <w:rPr>
                <w:rFonts w:hint="default" w:ascii="宋体" w:hAnsi="宋体" w:cs="宋体" w:eastAsiaTheme="minorEastAsia"/>
                <w:b w:val="0"/>
                <w:bCs w:val="0"/>
                <w:color w:val="auto"/>
                <w:kern w:val="2"/>
                <w:sz w:val="21"/>
                <w:szCs w:val="21"/>
                <w:highlight w:val="none"/>
                <w:lang w:val="en-US" w:eastAsia="zh-CN" w:bidi="ar-SA"/>
              </w:rPr>
              <w:t>，附加调整系数为1.</w:t>
            </w:r>
            <w:r>
              <w:rPr>
                <w:rFonts w:hint="eastAsia" w:ascii="宋体" w:hAnsi="宋体" w:cs="宋体" w:eastAsiaTheme="minorEastAsia"/>
                <w:b w:val="0"/>
                <w:bCs w:val="0"/>
                <w:color w:val="auto"/>
                <w:kern w:val="2"/>
                <w:sz w:val="21"/>
                <w:szCs w:val="21"/>
                <w:highlight w:val="none"/>
                <w:lang w:val="en-US" w:eastAsia="zh-CN" w:bidi="ar-SA"/>
              </w:rPr>
              <w:t>4</w:t>
            </w:r>
            <w:r>
              <w:rPr>
                <w:rFonts w:hint="default" w:ascii="宋体" w:hAnsi="宋体" w:cs="宋体" w:eastAsiaTheme="minorEastAsia"/>
                <w:color w:val="auto"/>
                <w:kern w:val="2"/>
                <w:sz w:val="21"/>
                <w:szCs w:val="21"/>
                <w:highlight w:val="none"/>
              </w:rPr>
              <w:t>）</w:t>
            </w:r>
            <w:r>
              <w:rPr>
                <w:rFonts w:hint="eastAsia" w:ascii="宋体" w:hAnsi="宋体" w:cs="宋体" w:eastAsiaTheme="minorEastAsia"/>
                <w:color w:val="auto"/>
                <w:kern w:val="2"/>
                <w:sz w:val="21"/>
                <w:szCs w:val="21"/>
                <w:highlight w:val="none"/>
                <w:lang w:eastAsia="zh-CN"/>
              </w:rPr>
              <w:t>，</w:t>
            </w:r>
            <w:r>
              <w:rPr>
                <w:rFonts w:hint="default" w:ascii="宋体" w:hAnsi="宋体" w:cs="宋体" w:eastAsiaTheme="minorEastAsia"/>
                <w:color w:val="auto"/>
                <w:kern w:val="2"/>
                <w:sz w:val="21"/>
                <w:szCs w:val="21"/>
                <w:highlight w:val="none"/>
              </w:rPr>
              <w:t>再</w:t>
            </w:r>
            <w:r>
              <w:rPr>
                <w:rFonts w:hint="eastAsia" w:ascii="宋体" w:hAnsi="宋体" w:cs="宋体" w:eastAsiaTheme="minorEastAsia"/>
                <w:color w:val="auto"/>
                <w:kern w:val="2"/>
                <w:sz w:val="21"/>
                <w:szCs w:val="21"/>
                <w:highlight w:val="none"/>
                <w:lang w:val="en-US" w:eastAsia="zh-CN"/>
              </w:rPr>
              <w:t>按增值税率</w:t>
            </w:r>
            <w:r>
              <w:rPr>
                <w:rFonts w:hint="default" w:ascii="宋体" w:hAnsi="宋体" w:cs="宋体" w:eastAsiaTheme="minorEastAsia"/>
                <w:color w:val="auto"/>
                <w:kern w:val="2"/>
                <w:sz w:val="21"/>
                <w:szCs w:val="21"/>
                <w:highlight w:val="none"/>
              </w:rPr>
              <w:t>乘以（1</w:t>
            </w:r>
            <w:r>
              <w:rPr>
                <w:rFonts w:hint="eastAsia" w:ascii="宋体" w:hAnsi="宋体" w:cs="宋体" w:eastAsiaTheme="minorEastAsia"/>
                <w:color w:val="auto"/>
                <w:kern w:val="2"/>
                <w:sz w:val="21"/>
                <w:szCs w:val="21"/>
                <w:highlight w:val="none"/>
                <w:lang w:val="en-US" w:eastAsia="zh-CN"/>
              </w:rPr>
              <w:t>+6</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）计算得出</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w:t>
            </w:r>
          </w:p>
          <w:p>
            <w:pPr>
              <w:spacing w:line="360" w:lineRule="auto"/>
              <w:rPr>
                <w:rFonts w:hint="eastAsia" w:ascii="宋体" w:hAnsi="宋体" w:eastAsia="宋体" w:cs="宋体"/>
                <w:szCs w:val="21"/>
                <w:lang w:eastAsia="zh-CN"/>
              </w:rPr>
            </w:pPr>
            <w:r>
              <w:rPr>
                <w:rFonts w:hint="eastAsia" w:ascii="宋体" w:hAnsi="宋体" w:cs="宋体" w:eastAsiaTheme="minorEastAsia"/>
                <w:color w:val="auto"/>
                <w:kern w:val="2"/>
                <w:sz w:val="21"/>
                <w:szCs w:val="21"/>
                <w:highlight w:val="none"/>
                <w:lang w:val="en-US" w:eastAsia="zh-CN"/>
              </w:rPr>
              <w:t>设计费</w:t>
            </w:r>
            <w:r>
              <w:rPr>
                <w:rFonts w:hint="default" w:ascii="宋体" w:hAnsi="宋体" w:cs="宋体" w:eastAsiaTheme="minorEastAsia"/>
                <w:color w:val="auto"/>
                <w:kern w:val="2"/>
                <w:sz w:val="21"/>
                <w:szCs w:val="21"/>
                <w:highlight w:val="none"/>
              </w:rPr>
              <w:t>结算价以</w:t>
            </w:r>
            <w:r>
              <w:rPr>
                <w:rFonts w:hint="eastAsia" w:ascii="宋体" w:hAnsi="宋体" w:cs="宋体" w:eastAsiaTheme="minorEastAsia"/>
                <w:color w:val="auto"/>
                <w:kern w:val="2"/>
                <w:sz w:val="21"/>
                <w:szCs w:val="21"/>
                <w:highlight w:val="none"/>
                <w:lang w:val="en-US" w:eastAsia="zh-CN"/>
              </w:rPr>
              <w:t>最终业主审定为准建安工程费的招标控制价</w:t>
            </w:r>
            <w:r>
              <w:rPr>
                <w:rFonts w:hint="default" w:ascii="宋体" w:hAnsi="宋体" w:cs="宋体" w:eastAsiaTheme="minorEastAsia"/>
                <w:color w:val="auto"/>
                <w:kern w:val="2"/>
                <w:sz w:val="21"/>
                <w:szCs w:val="21"/>
                <w:highlight w:val="none"/>
              </w:rPr>
              <w:t>为计费基数</w:t>
            </w:r>
            <w:r>
              <w:rPr>
                <w:rFonts w:hint="default" w:ascii="宋体" w:hAnsi="宋体" w:cs="宋体" w:eastAsiaTheme="minorEastAsia"/>
                <w:color w:val="auto"/>
                <w:kern w:val="2"/>
                <w:sz w:val="21"/>
                <w:szCs w:val="21"/>
                <w:highlight w:val="none"/>
                <w:lang w:eastAsia="zh-CN"/>
              </w:rPr>
              <w:t>，</w:t>
            </w:r>
            <w:r>
              <w:rPr>
                <w:rFonts w:hint="default" w:ascii="宋体" w:hAnsi="宋体" w:cs="宋体" w:eastAsiaTheme="minorEastAsia"/>
                <w:color w:val="auto"/>
                <w:kern w:val="2"/>
                <w:sz w:val="21"/>
                <w:szCs w:val="21"/>
                <w:highlight w:val="none"/>
              </w:rPr>
              <w:t>参照国家发展计划委员会、建设部2002年颁布的《工程勘察设计收费标准》计价格【2002】10号文</w:t>
            </w:r>
            <w:r>
              <w:rPr>
                <w:rFonts w:hint="default" w:ascii="宋体" w:hAnsi="宋体" w:cs="宋体" w:eastAsiaTheme="minorEastAsia"/>
                <w:color w:val="auto"/>
                <w:kern w:val="2"/>
                <w:sz w:val="21"/>
                <w:szCs w:val="21"/>
                <w:highlight w:val="none"/>
                <w:lang w:eastAsia="zh-CN"/>
              </w:rPr>
              <w:t>为计费标准</w:t>
            </w:r>
            <w:r>
              <w:rPr>
                <w:rFonts w:hint="default" w:ascii="宋体" w:hAnsi="宋体" w:cs="宋体" w:eastAsiaTheme="minorEastAsia"/>
                <w:color w:val="auto"/>
                <w:kern w:val="2"/>
                <w:sz w:val="21"/>
                <w:szCs w:val="21"/>
                <w:highlight w:val="none"/>
              </w:rPr>
              <w:t>，计算出基本设计费用，乘以设计费调整系数（</w:t>
            </w:r>
            <w:r>
              <w:rPr>
                <w:rFonts w:hint="default" w:ascii="宋体" w:hAnsi="宋体" w:cs="宋体" w:eastAsiaTheme="minorEastAsia"/>
                <w:b w:val="0"/>
                <w:bCs w:val="0"/>
                <w:color w:val="auto"/>
                <w:kern w:val="2"/>
                <w:sz w:val="21"/>
                <w:szCs w:val="21"/>
                <w:highlight w:val="none"/>
                <w:lang w:val="en-US" w:eastAsia="zh-CN" w:bidi="ar-SA"/>
              </w:rPr>
              <w:t>专业调整系数1.0，工程复杂程度调整系数为1.</w:t>
            </w:r>
            <w:r>
              <w:rPr>
                <w:rFonts w:hint="eastAsia" w:ascii="宋体" w:hAnsi="宋体" w:cs="宋体"/>
                <w:b w:val="0"/>
                <w:bCs w:val="0"/>
                <w:color w:val="auto"/>
                <w:kern w:val="2"/>
                <w:sz w:val="21"/>
                <w:szCs w:val="21"/>
                <w:highlight w:val="none"/>
                <w:lang w:val="en-US" w:eastAsia="zh-CN" w:bidi="ar-SA"/>
              </w:rPr>
              <w:t>15</w:t>
            </w:r>
            <w:r>
              <w:rPr>
                <w:rFonts w:hint="default" w:ascii="宋体" w:hAnsi="宋体" w:cs="宋体" w:eastAsiaTheme="minorEastAsia"/>
                <w:b w:val="0"/>
                <w:bCs w:val="0"/>
                <w:color w:val="auto"/>
                <w:kern w:val="2"/>
                <w:sz w:val="21"/>
                <w:szCs w:val="21"/>
                <w:highlight w:val="none"/>
                <w:lang w:val="en-US" w:eastAsia="zh-CN" w:bidi="ar-SA"/>
              </w:rPr>
              <w:t>，附加调整系数为1.</w:t>
            </w:r>
            <w:r>
              <w:rPr>
                <w:rFonts w:hint="eastAsia" w:ascii="宋体" w:hAnsi="宋体" w:cs="宋体"/>
                <w:b w:val="0"/>
                <w:bCs w:val="0"/>
                <w:color w:val="auto"/>
                <w:kern w:val="2"/>
                <w:sz w:val="21"/>
                <w:szCs w:val="21"/>
                <w:highlight w:val="none"/>
                <w:lang w:val="en-US" w:eastAsia="zh-CN" w:bidi="ar-SA"/>
              </w:rPr>
              <w:t>4</w:t>
            </w:r>
            <w:r>
              <w:rPr>
                <w:rFonts w:hint="default" w:ascii="宋体" w:hAnsi="宋体" w:cs="宋体" w:eastAsiaTheme="minorEastAsia"/>
                <w:color w:val="auto"/>
                <w:kern w:val="2"/>
                <w:sz w:val="21"/>
                <w:szCs w:val="21"/>
                <w:highlight w:val="none"/>
              </w:rPr>
              <w:t>）</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按</w:t>
            </w:r>
            <w:r>
              <w:rPr>
                <w:rFonts w:hint="eastAsia" w:ascii="宋体" w:hAnsi="宋体" w:cs="宋体" w:eastAsiaTheme="minorEastAsia"/>
                <w:color w:val="auto"/>
                <w:kern w:val="2"/>
                <w:sz w:val="21"/>
                <w:szCs w:val="21"/>
                <w:highlight w:val="none"/>
                <w:lang w:val="en-US" w:eastAsia="zh-CN"/>
              </w:rPr>
              <w:t>增值税率</w:t>
            </w:r>
            <w:r>
              <w:rPr>
                <w:rFonts w:hint="default" w:ascii="宋体" w:hAnsi="宋体" w:cs="宋体" w:eastAsiaTheme="minorEastAsia"/>
                <w:color w:val="auto"/>
                <w:kern w:val="2"/>
                <w:sz w:val="21"/>
                <w:szCs w:val="21"/>
                <w:highlight w:val="none"/>
              </w:rPr>
              <w:t>乘以（1</w:t>
            </w:r>
            <w:r>
              <w:rPr>
                <w:rFonts w:hint="eastAsia" w:ascii="宋体" w:hAnsi="宋体" w:cs="宋体" w:eastAsiaTheme="minorEastAsia"/>
                <w:color w:val="auto"/>
                <w:kern w:val="2"/>
                <w:sz w:val="21"/>
                <w:szCs w:val="21"/>
                <w:highlight w:val="none"/>
                <w:lang w:val="en-US" w:eastAsia="zh-CN"/>
              </w:rPr>
              <w:t>+6</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w:t>
            </w:r>
            <w:r>
              <w:rPr>
                <w:rFonts w:hint="eastAsia" w:ascii="宋体" w:hAnsi="宋体" w:cs="宋体"/>
                <w:color w:val="auto"/>
                <w:kern w:val="2"/>
                <w:sz w:val="21"/>
                <w:szCs w:val="21"/>
                <w:highlight w:val="none"/>
                <w:lang w:eastAsia="zh-CN"/>
              </w:rPr>
              <w:t>，</w:t>
            </w:r>
            <w:r>
              <w:rPr>
                <w:rFonts w:hint="default" w:ascii="宋体" w:hAnsi="宋体" w:cs="宋体" w:eastAsiaTheme="minorEastAsia"/>
                <w:color w:val="auto"/>
                <w:kern w:val="2"/>
                <w:sz w:val="21"/>
                <w:szCs w:val="21"/>
                <w:highlight w:val="none"/>
              </w:rPr>
              <w:t>再乘以</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1-</w:t>
            </w:r>
            <w:r>
              <w:rPr>
                <w:rFonts w:hint="default" w:ascii="宋体" w:hAnsi="宋体" w:cs="宋体" w:eastAsiaTheme="minorEastAsia"/>
                <w:color w:val="auto"/>
                <w:kern w:val="2"/>
                <w:sz w:val="21"/>
                <w:szCs w:val="21"/>
                <w:highlight w:val="none"/>
                <w:lang w:eastAsia="zh-CN"/>
              </w:rPr>
              <w:t>（</w:t>
            </w:r>
            <w:r>
              <w:rPr>
                <w:rFonts w:hint="default" w:ascii="宋体" w:hAnsi="宋体" w:cs="宋体" w:eastAsiaTheme="minorEastAsia"/>
                <w:color w:val="auto"/>
                <w:kern w:val="2"/>
                <w:sz w:val="21"/>
                <w:szCs w:val="21"/>
                <w:highlight w:val="none"/>
              </w:rPr>
              <w:t>投标下浮率</w:t>
            </w:r>
            <w:r>
              <w:rPr>
                <w:rFonts w:hint="default" w:ascii="宋体" w:hAnsi="宋体" w:cs="宋体" w:eastAsiaTheme="minorEastAsia"/>
                <w:color w:val="auto"/>
                <w:kern w:val="2"/>
                <w:sz w:val="21"/>
                <w:szCs w:val="21"/>
                <w:highlight w:val="none"/>
                <w:lang w:val="en-US" w:eastAsia="zh-CN"/>
              </w:rPr>
              <w:t>+10%）]，</w:t>
            </w:r>
            <w:r>
              <w:rPr>
                <w:rFonts w:hint="default" w:ascii="宋体" w:hAnsi="宋体" w:cs="宋体" w:eastAsiaTheme="minorEastAsia"/>
                <w:bCs w:val="0"/>
                <w:color w:val="auto"/>
                <w:kern w:val="2"/>
                <w:sz w:val="21"/>
                <w:szCs w:val="21"/>
                <w:highlight w:val="none"/>
                <w:lang w:val="en-US" w:eastAsia="zh-CN"/>
              </w:rPr>
              <w:t>投标下浮率=（1-投标报价/最高投标限价）*100%。</w:t>
            </w:r>
          </w:p>
          <w:p>
            <w:pPr>
              <w:spacing w:line="360" w:lineRule="auto"/>
              <w:rPr>
                <w:rFonts w:hint="eastAsia" w:ascii="宋体" w:hAnsi="宋体" w:eastAsia="宋体" w:cs="宋体"/>
                <w:vanish/>
                <w:szCs w:val="21"/>
              </w:rPr>
            </w:pPr>
          </w:p>
          <w:p>
            <w:pPr>
              <w:pStyle w:val="35"/>
              <w:numPr>
                <w:ilvl w:val="0"/>
                <w:numId w:val="1"/>
              </w:numPr>
              <w:spacing w:line="360" w:lineRule="auto"/>
              <w:ind w:firstLineChars="0"/>
              <w:rPr>
                <w:rFonts w:hint="eastAsia" w:eastAsia="宋体" w:cs="宋体"/>
                <w:vanish/>
              </w:rPr>
            </w:pPr>
          </w:p>
          <w:p>
            <w:pPr>
              <w:pStyle w:val="35"/>
              <w:numPr>
                <w:ilvl w:val="0"/>
                <w:numId w:val="1"/>
              </w:numPr>
              <w:spacing w:line="360" w:lineRule="auto"/>
              <w:ind w:firstLineChars="0"/>
              <w:rPr>
                <w:rFonts w:hint="eastAsia" w:eastAsia="宋体" w:cs="宋体"/>
                <w:vanish/>
              </w:rPr>
            </w:pPr>
          </w:p>
          <w:p>
            <w:pPr>
              <w:pStyle w:val="35"/>
              <w:numPr>
                <w:ilvl w:val="1"/>
                <w:numId w:val="1"/>
              </w:numPr>
              <w:spacing w:line="360" w:lineRule="auto"/>
              <w:ind w:firstLineChars="0"/>
              <w:rPr>
                <w:rFonts w:hint="eastAsia" w:eastAsia="宋体" w:cs="宋体"/>
                <w:vanish/>
              </w:rPr>
            </w:pPr>
          </w:p>
          <w:p>
            <w:pPr>
              <w:pStyle w:val="35"/>
              <w:numPr>
                <w:ilvl w:val="2"/>
                <w:numId w:val="1"/>
              </w:numPr>
              <w:spacing w:line="360" w:lineRule="auto"/>
              <w:ind w:firstLineChars="0"/>
              <w:rPr>
                <w:rFonts w:hint="eastAsia" w:eastAsia="宋体" w:cs="宋体"/>
                <w:vanish/>
              </w:rPr>
            </w:pPr>
          </w:p>
          <w:p>
            <w:pPr>
              <w:pStyle w:val="2"/>
              <w:widowControl/>
              <w:spacing w:before="0" w:line="360" w:lineRule="auto"/>
              <w:ind w:right="0" w:rightChars="0" w:firstLine="0"/>
              <w:jc w:val="left"/>
              <w:rPr>
                <w:rFonts w:ascii="宋体" w:hAnsi="宋体" w:cs="宋体" w:eastAsiaTheme="minorEastAsia"/>
                <w:color w:val="auto"/>
                <w:kern w:val="2"/>
                <w:sz w:val="21"/>
                <w:szCs w:val="21"/>
                <w:highlight w:val="none"/>
              </w:rPr>
            </w:pPr>
            <w:r>
              <w:rPr>
                <w:rFonts w:hint="default" w:ascii="宋体" w:hAnsi="宋体" w:cs="宋体" w:eastAsiaTheme="minorEastAsia"/>
                <w:color w:val="auto"/>
                <w:kern w:val="2"/>
                <w:sz w:val="21"/>
                <w:szCs w:val="21"/>
                <w:highlight w:val="none"/>
              </w:rPr>
              <w:t>本次</w:t>
            </w:r>
            <w:r>
              <w:rPr>
                <w:rFonts w:hint="default" w:ascii="宋体" w:hAnsi="宋体" w:cs="宋体" w:eastAsiaTheme="minorEastAsia"/>
                <w:color w:val="auto"/>
                <w:kern w:val="2"/>
                <w:sz w:val="21"/>
                <w:szCs w:val="21"/>
                <w:highlight w:val="none"/>
                <w:lang w:eastAsia="zh-CN"/>
              </w:rPr>
              <w:t>设计服务</w:t>
            </w:r>
            <w:r>
              <w:rPr>
                <w:rFonts w:hint="default" w:ascii="宋体" w:hAnsi="宋体" w:cs="宋体" w:eastAsiaTheme="minorEastAsia"/>
                <w:color w:val="auto"/>
                <w:kern w:val="2"/>
                <w:sz w:val="21"/>
                <w:szCs w:val="21"/>
                <w:highlight w:val="none"/>
              </w:rPr>
              <w:t>费包含完成该设计项目的成本、利润、税金、资料文印费、</w:t>
            </w:r>
            <w:r>
              <w:rPr>
                <w:rFonts w:hint="default" w:ascii="宋体" w:hAnsi="宋体" w:cs="宋体" w:eastAsiaTheme="minorEastAsia"/>
                <w:color w:val="auto"/>
                <w:kern w:val="2"/>
                <w:sz w:val="21"/>
                <w:szCs w:val="21"/>
                <w:highlight w:val="none"/>
                <w:lang w:val="en-US" w:eastAsia="zh-CN"/>
              </w:rPr>
              <w:t>分包费</w:t>
            </w:r>
            <w:r>
              <w:rPr>
                <w:rFonts w:hint="default" w:ascii="宋体" w:hAnsi="宋体" w:cs="宋体" w:eastAsiaTheme="minorEastAsia"/>
                <w:color w:val="auto"/>
                <w:kern w:val="2"/>
                <w:sz w:val="21"/>
                <w:szCs w:val="21"/>
                <w:highlight w:val="none"/>
              </w:rPr>
              <w:t>、专家评审费等一切费用，投标人应考虑上述情况进行投标下浮率的报价。</w:t>
            </w:r>
            <w:r>
              <w:rPr>
                <w:rFonts w:hint="default" w:ascii="宋体" w:hAnsi="宋体" w:cs="宋体" w:eastAsiaTheme="minorEastAsia"/>
                <w:color w:val="auto"/>
                <w:kern w:val="2"/>
                <w:sz w:val="21"/>
                <w:szCs w:val="21"/>
                <w:highlight w:val="none"/>
                <w:lang w:val="en-US" w:eastAsia="zh-CN"/>
              </w:rPr>
              <w:t>投标报价超过最高投标限价的为废标。</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6</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default" w:ascii="宋体" w:hAnsi="宋体" w:eastAsia="宋体" w:cs="宋体"/>
                <w:color w:val="auto"/>
                <w:highlight w:val="none"/>
                <w:lang w:val="en-US" w:eastAsia="zh-CN"/>
              </w:rPr>
            </w:pPr>
            <w:r>
              <w:rPr>
                <w:rFonts w:hint="eastAsia" w:ascii="宋体" w:hAnsi="宋体" w:cs="宋体"/>
                <w:color w:val="auto"/>
                <w:highlight w:val="none"/>
              </w:rPr>
              <w:t>投标文件：1份正本（含电子文件一套），4份副本。</w:t>
            </w:r>
            <w:r>
              <w:rPr>
                <w:rFonts w:hint="eastAsia" w:ascii="宋体" w:hAnsi="宋体" w:cs="宋体"/>
                <w:color w:val="auto"/>
                <w:highlight w:val="none"/>
                <w:lang w:val="en-US" w:eastAsia="zh-CN"/>
              </w:rPr>
              <w:t>均为密封状态。</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7</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收件人：</w:t>
            </w:r>
            <w:r>
              <w:rPr>
                <w:rFonts w:hint="eastAsia" w:ascii="宋体" w:hAnsi="宋体" w:eastAsia="宋体" w:cs="宋体"/>
                <w:color w:val="auto"/>
                <w:szCs w:val="21"/>
                <w:highlight w:val="none"/>
                <w:lang w:val="en-US" w:eastAsia="zh-CN"/>
              </w:rPr>
              <w:t>陈小姐</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w:t>
            </w:r>
            <w:r>
              <w:rPr>
                <w:rFonts w:hint="eastAsia" w:ascii="宋体" w:hAnsi="宋体" w:eastAsia="宋体" w:cs="宋体"/>
                <w:color w:val="auto"/>
                <w:szCs w:val="21"/>
                <w:highlight w:val="none"/>
                <w:lang w:val="en-US" w:eastAsia="zh-CN"/>
              </w:rPr>
              <w:t>11楼风控合规部</w:t>
            </w:r>
          </w:p>
          <w:p>
            <w:pPr>
              <w:spacing w:line="3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初定</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rPr>
              <w:t>前</w:t>
            </w:r>
            <w:r>
              <w:rPr>
                <w:rFonts w:hint="eastAsia" w:ascii="宋体" w:hAnsi="宋体" w:eastAsia="宋体" w:cs="宋体"/>
                <w:color w:val="auto"/>
                <w:szCs w:val="21"/>
                <w:highlight w:val="none"/>
                <w:lang w:eastAsia="zh-CN"/>
              </w:rPr>
              <w:t>。</w:t>
            </w:r>
          </w:p>
          <w:p>
            <w:pPr>
              <w:pStyle w:val="12"/>
              <w:widowControl/>
              <w:spacing w:after="0" w:line="320" w:lineRule="exact"/>
              <w:ind w:firstLine="0"/>
              <w:rPr>
                <w:rFonts w:ascii="宋体" w:hAnsi="宋体" w:cs="宋体"/>
                <w:b/>
                <w:color w:val="auto"/>
                <w:highlight w:val="none"/>
              </w:rPr>
            </w:pPr>
            <w:r>
              <w:rPr>
                <w:rFonts w:hint="eastAsia" w:ascii="宋体" w:hAnsi="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18</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开标时间：202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00分</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19</w:t>
            </w:r>
            <w:r>
              <w:rPr>
                <w:rFonts w:hint="eastAsia" w:ascii="宋体" w:hAnsi="宋体" w:cs="宋体"/>
                <w:color w:val="auto"/>
                <w:highlight w:val="none"/>
              </w:rPr>
              <w:t>.</w:t>
            </w:r>
            <w:r>
              <w:rPr>
                <w:rFonts w:hint="eastAsia" w:ascii="宋体" w:hAnsi="宋体" w:cs="宋体"/>
                <w:color w:val="auto"/>
                <w:highlight w:val="none"/>
                <w:lang w:val="en-US" w:eastAsia="zh-CN"/>
              </w:rPr>
              <w:t>1</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资产经营集团</w:t>
      </w:r>
      <w:r>
        <w:rPr>
          <w:rFonts w:hint="eastAsia" w:ascii="宋体" w:hAnsi="宋体" w:eastAsia="宋体" w:cs="宋体"/>
          <w:color w:val="auto"/>
          <w:sz w:val="24"/>
          <w:highlight w:val="none"/>
          <w:u w:val="single"/>
        </w:rPr>
        <w:t>有限公司。</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 xml:space="preserve">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2.1本招标项目按照《中华人民共和国招标投标法》等有关法律、行政法规和部门规章，采取邀请招标的办法，选择有经验、有实力、社会信誉好的设计咨询单位承担设计服务，确保本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2.2.1项目名称：见投标须知前附表第1项。</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 设计服务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pPr>
        <w:spacing w:line="500" w:lineRule="exact"/>
        <w:ind w:left="-1" w:firstLine="480" w:firstLineChars="200"/>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服务人员的专业</w:t>
      </w:r>
      <w:r>
        <w:rPr>
          <w:rFonts w:hint="eastAsia" w:ascii="宋体" w:hAnsi="宋体" w:eastAsia="宋体" w:cs="宋体"/>
          <w:color w:val="auto"/>
          <w:sz w:val="24"/>
          <w:highlight w:val="none"/>
        </w:rPr>
        <w:t>要求：见投标须知前附表第</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3.1</w:t>
      </w: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11.5公司法人营业执照及设计资质证书复印件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ascii="宋体" w:hAnsi="宋体" w:eastAsia="宋体" w:cs="宋体"/>
          <w:color w:val="auto"/>
          <w:sz w:val="24"/>
          <w:highlight w:val="none"/>
        </w:rPr>
        <w:t>9</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w:t>
      </w:r>
      <w:r>
        <w:rPr>
          <w:rFonts w:hint="eastAsia" w:ascii="宋体" w:hAnsi="宋体" w:eastAsia="宋体" w:cs="宋体"/>
          <w:color w:val="auto"/>
          <w:sz w:val="24"/>
          <w:highlight w:val="none"/>
          <w:lang w:eastAsia="zh-CN"/>
        </w:rPr>
        <w:t>简介</w:t>
      </w:r>
      <w:r>
        <w:rPr>
          <w:rFonts w:hint="eastAsia" w:ascii="宋体" w:hAnsi="宋体" w:eastAsia="宋体" w:cs="宋体"/>
          <w:color w:val="auto"/>
          <w:sz w:val="24"/>
          <w:highlight w:val="none"/>
        </w:rPr>
        <w:t>（按招标文件第2章格式填写）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pStyle w:val="7"/>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lang w:val="en-US" w:eastAsia="zh-CN"/>
        </w:rPr>
        <w:t>16</w:t>
      </w:r>
      <w:r>
        <w:rPr>
          <w:rFonts w:hint="eastAsia" w:ascii="宋体" w:hAnsi="宋体" w:cs="宋体"/>
          <w:b/>
          <w:color w:val="auto"/>
          <w:sz w:val="24"/>
          <w:szCs w:val="24"/>
          <w:highlight w:val="none"/>
        </w:rPr>
        <w:t>．投标文件的份数和签署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.1 投标人应按投标须知前附表第1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w:t>
      </w:r>
      <w:r>
        <w:rPr>
          <w:rFonts w:hint="eastAsia" w:ascii="宋体" w:hAnsi="宋体" w:cs="宋体"/>
          <w:b/>
          <w:color w:val="auto"/>
          <w:sz w:val="24"/>
          <w:szCs w:val="24"/>
          <w:highlight w:val="none"/>
          <w:lang w:val="en-US" w:eastAsia="zh-CN"/>
        </w:rPr>
        <w:t>7</w:t>
      </w:r>
      <w:r>
        <w:rPr>
          <w:rFonts w:hint="eastAsia" w:ascii="宋体" w:hAnsi="宋体" w:cs="宋体"/>
          <w:b/>
          <w:color w:val="auto"/>
          <w:sz w:val="24"/>
          <w:szCs w:val="24"/>
          <w:highlight w:val="none"/>
        </w:rPr>
        <w:t>．投标文件的包封、密封和标记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.3.2 </w:t>
      </w:r>
      <w:r>
        <w:rPr>
          <w:rFonts w:hint="eastAsia" w:ascii="宋体" w:hAnsi="宋体" w:eastAsia="宋体" w:cs="宋体"/>
          <w:color w:val="auto"/>
          <w:sz w:val="24"/>
          <w:highlight w:val="none"/>
          <w:u w:val="non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lang w:eastAsia="zh-CN"/>
        </w:rPr>
        <w:t>南沙前锋水乡样板区</w:t>
      </w:r>
      <w:r>
        <w:rPr>
          <w:rFonts w:hint="eastAsia" w:ascii="宋体" w:hAnsi="宋体" w:eastAsia="宋体" w:cs="宋体"/>
          <w:color w:val="auto"/>
          <w:highlight w:val="none"/>
          <w:lang w:eastAsia="zh-CN"/>
        </w:rPr>
        <w:t>”方案设计服务</w:t>
      </w:r>
      <w:r>
        <w:rPr>
          <w:rFonts w:hint="eastAsia" w:ascii="宋体" w:hAnsi="宋体" w:eastAsia="宋体" w:cs="宋体"/>
          <w:color w:val="auto"/>
          <w:sz w:val="24"/>
          <w:highlight w:val="none"/>
          <w:u w:val="non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13</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w:t>
      </w: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.1 投标人应按投标须知前附表第1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19</w:t>
      </w:r>
      <w:r>
        <w:rPr>
          <w:rFonts w:hint="eastAsia" w:ascii="宋体" w:hAnsi="宋体" w:cs="宋体"/>
          <w:b/>
          <w:color w:val="auto"/>
          <w:sz w:val="24"/>
          <w:highlight w:val="none"/>
        </w:rPr>
        <w:t>．投标文件提交的截止时间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.1投标人应按前附表第1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项所述的地点、日期和时间将投标文件提交给招标人。</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0</w:t>
      </w:r>
      <w:r>
        <w:rPr>
          <w:rFonts w:hint="eastAsia" w:ascii="宋体" w:hAnsi="宋体" w:cs="宋体"/>
          <w:b/>
          <w:color w:val="auto"/>
          <w:sz w:val="24"/>
          <w:highlight w:val="none"/>
        </w:rPr>
        <w:t>．迟交的投标文件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招标人在本须知第1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条规定的投标截止时间以后收到的投标文件，将被拒绝并退回给投标人。</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.1 招标人按投标须知前附表第</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 评标小组将按照本须知规定，仅对在实质上响应招标文件要求的投标文件进行评审和比较。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.3 评标小组依据</w:t>
      </w:r>
      <w:r>
        <w:rPr>
          <w:rFonts w:hint="eastAsia" w:ascii="宋体" w:hAnsi="宋体" w:eastAsia="宋体" w:cs="宋体"/>
          <w:color w:val="auto"/>
          <w:sz w:val="24"/>
          <w:highlight w:val="none"/>
          <w:lang w:val="en-US" w:eastAsia="zh-CN"/>
        </w:rPr>
        <w:t>本招标文件</w:t>
      </w:r>
      <w:r>
        <w:rPr>
          <w:rFonts w:hint="eastAsia" w:ascii="宋体" w:hAnsi="宋体" w:eastAsia="宋体" w:cs="宋体"/>
          <w:color w:val="auto"/>
          <w:sz w:val="24"/>
          <w:highlight w:val="none"/>
        </w:rPr>
        <w:t>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.1 本招标(项目)的设计</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合同将授予</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27</w:t>
      </w:r>
      <w:r>
        <w:rPr>
          <w:rFonts w:hint="eastAsia" w:ascii="宋体" w:hAnsi="宋体" w:cs="宋体"/>
          <w:b/>
          <w:color w:val="auto"/>
          <w:sz w:val="24"/>
          <w:highlight w:val="none"/>
        </w:rPr>
        <w:t>．招标人保留接受或拒绝任何某一投标或所有投标的权力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r>
        <w:rPr>
          <w:rFonts w:hint="eastAsia" w:ascii="宋体" w:hAnsi="宋体" w:eastAsia="宋体" w:cs="宋体"/>
          <w:color w:val="auto"/>
          <w:sz w:val="24"/>
          <w:highlight w:val="none"/>
        </w:rPr>
        <w:t>.1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r>
        <w:rPr>
          <w:rFonts w:hint="eastAsia" w:ascii="宋体" w:hAnsi="宋体" w:eastAsia="宋体" w:cs="宋体"/>
          <w:color w:val="auto"/>
          <w:sz w:val="24"/>
          <w:highlight w:val="none"/>
        </w:rPr>
        <w:t>.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28</w:t>
      </w:r>
      <w:r>
        <w:rPr>
          <w:rFonts w:hint="eastAsia" w:ascii="宋体" w:hAnsi="宋体" w:cs="宋体"/>
          <w:b/>
          <w:color w:val="auto"/>
          <w:sz w:val="24"/>
          <w:highlight w:val="none"/>
        </w:rPr>
        <w:t>．中标通知书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28</w:t>
      </w:r>
      <w:r>
        <w:rPr>
          <w:rFonts w:hint="eastAsia" w:ascii="宋体" w:hAnsi="宋体" w:eastAsia="宋体" w:cs="宋体"/>
          <w:color w:val="auto"/>
          <w:sz w:val="24"/>
          <w:highlight w:val="none"/>
        </w:rPr>
        <w:t>.1中标通知书经招标人及招标代理机构确认，并由招标人颁发。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28</w:t>
      </w:r>
      <w:r>
        <w:rPr>
          <w:rFonts w:hint="eastAsia" w:ascii="宋体" w:hAnsi="宋体" w:eastAsia="宋体" w:cs="宋体"/>
          <w:color w:val="auto"/>
          <w:sz w:val="24"/>
          <w:highlight w:val="none"/>
        </w:rPr>
        <w:t>.2中标人必须在收到中标通知书后24小时之内以书面形式回复招标人，确认收到。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29</w:t>
      </w:r>
      <w:r>
        <w:rPr>
          <w:rFonts w:hint="eastAsia" w:ascii="宋体" w:hAnsi="宋体" w:cs="宋体"/>
          <w:b/>
          <w:color w:val="auto"/>
          <w:sz w:val="24"/>
          <w:highlight w:val="none"/>
        </w:rPr>
        <w:t>．合同协议书的签订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29</w:t>
      </w:r>
      <w:r>
        <w:rPr>
          <w:rFonts w:hint="eastAsia" w:ascii="宋体" w:hAnsi="宋体" w:eastAsia="宋体" w:cs="宋体"/>
          <w:color w:val="auto"/>
          <w:sz w:val="24"/>
          <w:highlight w:val="none"/>
        </w:rPr>
        <w:t>.1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29</w:t>
      </w:r>
      <w:r>
        <w:rPr>
          <w:rFonts w:hint="eastAsia" w:ascii="宋体" w:hAnsi="宋体" w:eastAsia="宋体" w:cs="宋体"/>
          <w:color w:val="auto"/>
          <w:sz w:val="24"/>
          <w:highlight w:val="none"/>
        </w:rPr>
        <w:t>.2中标人放弃中标资格的，无正当理由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29</w:t>
      </w:r>
      <w:r>
        <w:rPr>
          <w:rFonts w:hint="eastAsia" w:ascii="宋体" w:hAnsi="宋体" w:eastAsia="宋体" w:cs="宋体"/>
          <w:color w:val="auto"/>
          <w:sz w:val="24"/>
          <w:highlight w:val="none"/>
        </w:rPr>
        <w:t>.3中标人在投标过程使用的投标人名称、银行名称和账号至项目完成竣工结算不得变更，否则，招标人有权停止设计服务款项的拨付及至解除合同，由此造成的一切责任由中标人承担。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b/>
          <w:color w:val="auto"/>
          <w:sz w:val="24"/>
          <w:highlight w:val="none"/>
          <w:lang w:val="en-US" w:eastAsia="zh-CN"/>
        </w:rPr>
        <w:t>0</w:t>
      </w:r>
      <w:r>
        <w:rPr>
          <w:rFonts w:hint="eastAsia" w:ascii="宋体" w:hAnsi="宋体" w:cs="宋体"/>
          <w:b/>
          <w:color w:val="auto"/>
          <w:sz w:val="24"/>
          <w:highlight w:val="none"/>
        </w:rPr>
        <w:t>．合同生效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资产经营集团</w:t>
      </w:r>
      <w:r>
        <w:rPr>
          <w:rFonts w:hint="eastAsia" w:ascii="宋体" w:hAnsi="宋体" w:eastAsia="宋体" w:cs="Times New Roman"/>
          <w:color w:val="auto"/>
          <w:spacing w:val="20"/>
          <w:sz w:val="24"/>
          <w:highlight w:val="none"/>
          <w:u w:val="single"/>
        </w:rPr>
        <w:t>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lang w:eastAsia="zh-CN"/>
        </w:rPr>
        <w:t>南沙前锋水乡样板区</w:t>
      </w:r>
      <w:r>
        <w:rPr>
          <w:rFonts w:hint="eastAsia" w:ascii="宋体" w:hAnsi="宋体" w:eastAsia="宋体" w:cs="宋体"/>
          <w:color w:val="auto"/>
          <w:sz w:val="24"/>
          <w:highlight w:val="none"/>
          <w:lang w:eastAsia="zh-CN"/>
        </w:rPr>
        <w:t>”</w:t>
      </w:r>
      <w:r>
        <w:rPr>
          <w:rFonts w:hint="eastAsia" w:ascii="宋体" w:hAnsi="宋体" w:eastAsia="宋体" w:cs="Times New Roman"/>
          <w:color w:val="auto"/>
          <w:spacing w:val="20"/>
          <w:sz w:val="24"/>
          <w:highlight w:val="none"/>
          <w:u w:val="single"/>
          <w:lang w:eastAsia="zh-CN"/>
        </w:rPr>
        <w:t>方案设计服务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hint="eastAsia"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pStyle w:val="2"/>
        <w:ind w:left="0" w:leftChars="0" w:firstLine="560" w:firstLineChars="200"/>
        <w:rPr>
          <w:rFonts w:hint="eastAsia" w:ascii="宋体" w:hAnsi="宋体" w:eastAsia="宋体" w:cs="Times New Roman"/>
          <w:color w:val="auto"/>
          <w:spacing w:val="20"/>
          <w:kern w:val="2"/>
          <w:sz w:val="24"/>
          <w:szCs w:val="24"/>
          <w:highlight w:val="none"/>
          <w:lang w:val="en-US" w:eastAsia="zh-CN"/>
        </w:rPr>
      </w:pPr>
      <w:r>
        <w:rPr>
          <w:rFonts w:hint="eastAsia" w:ascii="宋体" w:hAnsi="宋体" w:eastAsia="宋体" w:cs="Times New Roman"/>
          <w:color w:val="auto"/>
          <w:spacing w:val="20"/>
          <w:kern w:val="2"/>
          <w:sz w:val="24"/>
          <w:szCs w:val="24"/>
          <w:highlight w:val="none"/>
          <w:lang w:val="en-US" w:eastAsia="zh-CN"/>
        </w:rPr>
        <w:t>7、我方承诺不与其他投标人存在以下关联关系：</w:t>
      </w:r>
    </w:p>
    <w:p>
      <w:pPr>
        <w:pStyle w:val="2"/>
        <w:ind w:left="0" w:leftChars="0" w:firstLine="560" w:firstLineChars="200"/>
        <w:rPr>
          <w:rFonts w:hint="eastAsia" w:ascii="宋体" w:hAnsi="宋体" w:eastAsia="宋体" w:cs="Times New Roman"/>
          <w:color w:val="auto"/>
          <w:spacing w:val="20"/>
          <w:kern w:val="2"/>
          <w:sz w:val="24"/>
          <w:szCs w:val="24"/>
          <w:highlight w:val="none"/>
          <w:lang w:eastAsia="zh-CN"/>
        </w:rPr>
      </w:pPr>
      <w:r>
        <w:rPr>
          <w:rFonts w:hint="eastAsia" w:ascii="宋体" w:hAnsi="宋体" w:eastAsia="宋体" w:cs="Times New Roman"/>
          <w:color w:val="auto"/>
          <w:spacing w:val="20"/>
          <w:kern w:val="2"/>
          <w:sz w:val="24"/>
          <w:szCs w:val="24"/>
          <w:highlight w:val="none"/>
          <w:lang w:val="en-US" w:eastAsia="zh-CN"/>
        </w:rPr>
        <w:t>（1）我方</w:t>
      </w:r>
      <w:r>
        <w:rPr>
          <w:rFonts w:hint="eastAsia" w:ascii="宋体" w:hAnsi="宋体" w:eastAsia="宋体" w:cs="Times New Roman"/>
          <w:color w:val="auto"/>
          <w:spacing w:val="20"/>
          <w:kern w:val="2"/>
          <w:sz w:val="24"/>
          <w:szCs w:val="24"/>
          <w:highlight w:val="none"/>
        </w:rPr>
        <w:t>法定代表人、董事、监事及高级管理人员</w:t>
      </w:r>
      <w:r>
        <w:rPr>
          <w:rFonts w:hint="eastAsia" w:ascii="宋体" w:hAnsi="宋体" w:eastAsia="宋体" w:cs="Times New Roman"/>
          <w:color w:val="auto"/>
          <w:spacing w:val="20"/>
          <w:kern w:val="2"/>
          <w:sz w:val="24"/>
          <w:szCs w:val="24"/>
          <w:highlight w:val="none"/>
          <w:lang w:val="en-US" w:eastAsia="zh-CN"/>
        </w:rPr>
        <w:t>与其他投标人的</w:t>
      </w:r>
      <w:r>
        <w:rPr>
          <w:rFonts w:hint="eastAsia" w:ascii="宋体" w:hAnsi="宋体" w:eastAsia="宋体" w:cs="Times New Roman"/>
          <w:color w:val="auto"/>
          <w:spacing w:val="20"/>
          <w:kern w:val="2"/>
          <w:sz w:val="24"/>
          <w:szCs w:val="24"/>
          <w:highlight w:val="none"/>
        </w:rPr>
        <w:t>法定代表人、董事、监事及高级管理人员</w:t>
      </w:r>
      <w:r>
        <w:rPr>
          <w:rFonts w:hint="eastAsia" w:ascii="宋体" w:hAnsi="宋体" w:eastAsia="宋体" w:cs="Times New Roman"/>
          <w:color w:val="auto"/>
          <w:spacing w:val="20"/>
          <w:kern w:val="2"/>
          <w:sz w:val="24"/>
          <w:szCs w:val="24"/>
          <w:highlight w:val="none"/>
          <w:lang w:val="en-US" w:eastAsia="zh-CN"/>
        </w:rPr>
        <w:t>是</w:t>
      </w:r>
      <w:r>
        <w:rPr>
          <w:rFonts w:hint="eastAsia" w:ascii="宋体" w:hAnsi="宋体" w:eastAsia="宋体" w:cs="Times New Roman"/>
          <w:color w:val="auto"/>
          <w:spacing w:val="20"/>
          <w:kern w:val="2"/>
          <w:sz w:val="24"/>
          <w:szCs w:val="24"/>
          <w:highlight w:val="none"/>
        </w:rPr>
        <w:t>同一个人，或在其他投标人担任法定代表人、董事、监事及高级管理人员</w:t>
      </w:r>
      <w:r>
        <w:rPr>
          <w:rFonts w:hint="eastAsia" w:ascii="宋体" w:hAnsi="宋体" w:eastAsia="宋体" w:cs="Times New Roman"/>
          <w:color w:val="auto"/>
          <w:spacing w:val="20"/>
          <w:kern w:val="2"/>
          <w:sz w:val="24"/>
          <w:szCs w:val="24"/>
          <w:highlight w:val="none"/>
          <w:lang w:eastAsia="zh-CN"/>
        </w:rPr>
        <w:t>；</w:t>
      </w:r>
    </w:p>
    <w:p>
      <w:pPr>
        <w:pStyle w:val="2"/>
        <w:ind w:left="0" w:leftChars="0" w:firstLine="560" w:firstLineChars="200"/>
        <w:rPr>
          <w:rFonts w:hint="eastAsia" w:ascii="宋体" w:hAnsi="宋体" w:eastAsia="宋体" w:cs="Times New Roman"/>
          <w:color w:val="auto"/>
          <w:spacing w:val="20"/>
          <w:kern w:val="2"/>
          <w:sz w:val="24"/>
          <w:szCs w:val="24"/>
          <w:highlight w:val="none"/>
          <w:lang w:eastAsia="zh-CN"/>
        </w:rPr>
      </w:pP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2</w:t>
      </w: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我方</w:t>
      </w:r>
      <w:r>
        <w:rPr>
          <w:rFonts w:hint="eastAsia" w:ascii="宋体" w:hAnsi="宋体" w:eastAsia="宋体" w:cs="Times New Roman"/>
          <w:color w:val="auto"/>
          <w:spacing w:val="20"/>
          <w:kern w:val="2"/>
          <w:sz w:val="24"/>
          <w:szCs w:val="24"/>
          <w:highlight w:val="none"/>
        </w:rPr>
        <w:t>法定代表人、董事、监事及高级管理人员持有其他投标人股比超过33.34%的</w:t>
      </w:r>
      <w:r>
        <w:rPr>
          <w:rFonts w:hint="eastAsia" w:ascii="宋体" w:hAnsi="宋体" w:eastAsia="宋体" w:cs="Times New Roman"/>
          <w:color w:val="auto"/>
          <w:spacing w:val="20"/>
          <w:kern w:val="2"/>
          <w:sz w:val="24"/>
          <w:szCs w:val="24"/>
          <w:highlight w:val="none"/>
          <w:lang w:eastAsia="zh-CN"/>
        </w:rPr>
        <w:t>；</w:t>
      </w:r>
    </w:p>
    <w:p>
      <w:pPr>
        <w:pStyle w:val="2"/>
        <w:ind w:left="0" w:leftChars="0" w:firstLine="560" w:firstLineChars="200"/>
        <w:rPr>
          <w:rFonts w:hint="eastAsia" w:ascii="宋体" w:hAnsi="宋体" w:eastAsia="宋体" w:cs="Times New Roman"/>
          <w:color w:val="auto"/>
          <w:spacing w:val="20"/>
          <w:kern w:val="2"/>
          <w:sz w:val="24"/>
          <w:szCs w:val="24"/>
          <w:highlight w:val="none"/>
        </w:rPr>
      </w:pP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3</w:t>
      </w: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我方与其他投标人存在共同股东</w:t>
      </w:r>
      <w:r>
        <w:rPr>
          <w:rFonts w:hint="eastAsia" w:ascii="宋体" w:hAnsi="宋体" w:eastAsia="宋体" w:cs="Times New Roman"/>
          <w:color w:val="auto"/>
          <w:spacing w:val="20"/>
          <w:kern w:val="2"/>
          <w:sz w:val="24"/>
          <w:szCs w:val="24"/>
          <w:highlight w:val="none"/>
        </w:rPr>
        <w:t>。</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资产经营集团</w:t>
      </w:r>
      <w:r>
        <w:rPr>
          <w:rFonts w:hint="eastAsia" w:ascii="宋体" w:hAnsi="宋体" w:eastAsia="宋体" w:cs="Times New Roman"/>
          <w:color w:val="auto"/>
          <w:spacing w:val="20"/>
          <w:sz w:val="24"/>
          <w:highlight w:val="none"/>
          <w:u w:val="single"/>
        </w:rPr>
        <w:t>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招标人名称：</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资产经营集团</w:t>
      </w:r>
      <w:r>
        <w:rPr>
          <w:rFonts w:hint="eastAsia" w:ascii="宋体" w:hAnsi="宋体" w:eastAsia="宋体" w:cs="Times New Roman"/>
          <w:color w:val="auto"/>
          <w:spacing w:val="20"/>
          <w:sz w:val="24"/>
          <w:highlight w:val="none"/>
          <w:u w:val="single"/>
        </w:rPr>
        <w:t>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lang w:eastAsia="zh-CN"/>
        </w:rPr>
        <w:t>南沙前锋水乡样板区</w:t>
      </w:r>
      <w:r>
        <w:rPr>
          <w:rFonts w:hint="eastAsia" w:ascii="宋体" w:hAnsi="宋体" w:eastAsia="宋体" w:cs="宋体"/>
          <w:color w:val="auto"/>
          <w:sz w:val="24"/>
          <w:highlight w:val="none"/>
          <w:lang w:eastAsia="zh-CN"/>
        </w:rPr>
        <w:t>”</w:t>
      </w:r>
      <w:r>
        <w:rPr>
          <w:rFonts w:hint="eastAsia" w:ascii="宋体" w:hAnsi="宋体" w:eastAsia="宋体" w:cs="Times New Roman"/>
          <w:color w:val="auto"/>
          <w:spacing w:val="20"/>
          <w:sz w:val="24"/>
          <w:highlight w:val="none"/>
          <w:u w:val="single"/>
          <w:lang w:eastAsia="zh-CN"/>
        </w:rPr>
        <w:t>方案设计服务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不包括项目负责人）：建筑、结构、给排水、暖通空调、电气各配备1名负责人，具有相应专业中级或以上职称；各专业人员根据项目进度完成设计任务及施工配合服务。</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9647675"/>
      <w:bookmarkEnd w:id="11"/>
      <w:bookmarkStart w:id="12" w:name="_Toc415728297"/>
      <w:bookmarkEnd w:id="12"/>
      <w:bookmarkStart w:id="13" w:name="_Toc196130013"/>
      <w:bookmarkEnd w:id="13"/>
      <w:bookmarkStart w:id="14" w:name="_Toc196130110"/>
      <w:bookmarkEnd w:id="14"/>
      <w:bookmarkStart w:id="15" w:name="_Toc326909213"/>
      <w:bookmarkEnd w:id="15"/>
      <w:bookmarkStart w:id="16" w:name="_Toc415833503"/>
      <w:bookmarkEnd w:id="16"/>
      <w:bookmarkStart w:id="17" w:name="_Toc41822703"/>
      <w:bookmarkEnd w:id="17"/>
      <w:bookmarkStart w:id="18" w:name="_Toc196036941"/>
      <w:bookmarkEnd w:id="18"/>
      <w:bookmarkStart w:id="19" w:name="_Toc459403394"/>
      <w:bookmarkEnd w:id="19"/>
      <w:bookmarkStart w:id="20" w:name="_Toc197235848"/>
      <w:bookmarkEnd w:id="20"/>
      <w:bookmarkStart w:id="21" w:name="_Toc1960370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014"/>
      <w:bookmarkEnd w:id="24"/>
      <w:bookmarkStart w:id="25" w:name="_Toc199647676"/>
      <w:bookmarkEnd w:id="25"/>
      <w:bookmarkStart w:id="26" w:name="_Toc326909214"/>
      <w:bookmarkEnd w:id="26"/>
      <w:bookmarkStart w:id="27" w:name="_Toc197235849"/>
      <w:bookmarkEnd w:id="27"/>
      <w:bookmarkStart w:id="28" w:name="_Toc196130111"/>
      <w:bookmarkEnd w:id="28"/>
      <w:bookmarkStart w:id="29" w:name="_Toc415833504"/>
      <w:bookmarkEnd w:id="29"/>
      <w:bookmarkStart w:id="30" w:name="_Toc459403395"/>
      <w:bookmarkEnd w:id="30"/>
      <w:bookmarkStart w:id="31" w:name="_Toc415728298"/>
      <w:bookmarkEnd w:id="31"/>
      <w:bookmarkStart w:id="32" w:name="_Toc196037098"/>
      <w:bookmarkEnd w:id="32"/>
      <w:bookmarkStart w:id="33" w:name="_Toc196036942"/>
      <w:bookmarkEnd w:id="33"/>
      <w:bookmarkStart w:id="34" w:name="_Toc462911099"/>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ascii="仿宋" w:hAnsi="仿宋" w:eastAsia="仿宋" w:cs="仿宋"/>
          <w:color w:val="auto"/>
          <w:kern w:val="24"/>
          <w:sz w:val="24"/>
          <w:highlight w:val="none"/>
        </w:rPr>
        <w:t>9</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41822705"/>
      <w:bookmarkEnd w:id="35"/>
      <w:bookmarkStart w:id="36" w:name="_Toc196130112"/>
      <w:bookmarkEnd w:id="36"/>
      <w:bookmarkStart w:id="37" w:name="_Toc196037099"/>
      <w:bookmarkEnd w:id="37"/>
      <w:bookmarkStart w:id="38" w:name="_Toc196036943"/>
      <w:bookmarkEnd w:id="38"/>
      <w:bookmarkStart w:id="39" w:name="_Toc196130015"/>
      <w:bookmarkEnd w:id="39"/>
      <w:bookmarkStart w:id="40" w:name="_Toc197235850"/>
      <w:bookmarkEnd w:id="40"/>
      <w:bookmarkStart w:id="41" w:name="_Toc199647677"/>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注：1、“拟承担工作”栏，应注明主要设计咨询人员（须注明项目负责人、各专业负责人）等。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lang w:eastAsia="zh-CN"/>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简介</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2、须附执业证书及资格证书（如有）、身份证、职称证书等证明材料（复印件，加盖单位公章）。</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711" w:type="dxa"/>
            <w:vMerge w:val="restart"/>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Merge w:val="continue"/>
            <w:vAlign w:val="center"/>
          </w:tcPr>
          <w:p>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p>
    <w:p>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pStyle w:val="7"/>
        <w:rPr>
          <w:rFonts w:hint="default"/>
          <w:color w:val="auto"/>
          <w:highlight w:val="none"/>
        </w:rPr>
      </w:pPr>
    </w:p>
    <w:p>
      <w:pPr>
        <w:jc w:val="left"/>
        <w:rPr>
          <w:b/>
          <w:color w:val="auto"/>
          <w:sz w:val="24"/>
          <w:highlight w:val="none"/>
        </w:rPr>
      </w:pPr>
      <w:r>
        <w:rPr>
          <w:rFonts w:hint="eastAsia" w:ascii="宋体" w:hAnsi="宋体" w:eastAsia="宋体" w:cs="宋体"/>
          <w:color w:val="auto"/>
          <w:sz w:val="24"/>
          <w:highlight w:val="none"/>
        </w:rPr>
        <w:t xml:space="preserve"> </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spacing w:line="240" w:lineRule="auto"/>
        <w:rPr>
          <w:rFonts w:hint="eastAsia" w:ascii="宋体" w:hAnsi="宋体" w:eastAsia="宋体" w:cs="宋体"/>
          <w:color w:val="auto"/>
          <w:sz w:val="24"/>
          <w:highlight w:val="none"/>
        </w:rPr>
      </w:pPr>
      <w:r>
        <w:rPr>
          <w:b/>
          <w:color w:val="auto"/>
          <w:sz w:val="24"/>
          <w:highlight w:val="none"/>
        </w:rPr>
        <w:br w:type="page"/>
      </w:r>
    </w:p>
    <w:p>
      <w:pPr>
        <w:pStyle w:val="2"/>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9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3"/>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189"/>
        <w:gridCol w:w="663"/>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11" w:type="dxa"/>
            <w:vAlign w:val="center"/>
          </w:tcPr>
          <w:p>
            <w:pPr>
              <w:spacing w:line="400" w:lineRule="exact"/>
              <w:jc w:val="center"/>
              <w:rPr>
                <w:rFonts w:ascii="宋体"/>
                <w:color w:val="auto"/>
                <w:szCs w:val="21"/>
                <w:highlight w:val="none"/>
              </w:rPr>
            </w:pPr>
            <w:r>
              <w:rPr>
                <w:rFonts w:hint="eastAsia" w:ascii="宋体"/>
                <w:color w:val="auto"/>
                <w:szCs w:val="21"/>
                <w:highlight w:val="none"/>
              </w:rPr>
              <w:t>评审内容</w:t>
            </w:r>
          </w:p>
        </w:tc>
        <w:tc>
          <w:tcPr>
            <w:tcW w:w="1189" w:type="dxa"/>
            <w:vAlign w:val="center"/>
          </w:tcPr>
          <w:p>
            <w:pPr>
              <w:spacing w:line="400" w:lineRule="exact"/>
              <w:jc w:val="center"/>
              <w:rPr>
                <w:rFonts w:ascii="宋体"/>
                <w:color w:val="auto"/>
                <w:szCs w:val="21"/>
                <w:highlight w:val="none"/>
              </w:rPr>
            </w:pPr>
            <w:r>
              <w:rPr>
                <w:rFonts w:hint="eastAsia" w:ascii="宋体"/>
                <w:color w:val="auto"/>
                <w:szCs w:val="21"/>
                <w:highlight w:val="none"/>
              </w:rPr>
              <w:t>评分因素</w:t>
            </w:r>
          </w:p>
        </w:tc>
        <w:tc>
          <w:tcPr>
            <w:tcW w:w="663" w:type="dxa"/>
            <w:vAlign w:val="center"/>
          </w:tcPr>
          <w:p>
            <w:pPr>
              <w:spacing w:line="400" w:lineRule="exact"/>
              <w:jc w:val="center"/>
              <w:rPr>
                <w:rFonts w:ascii="宋体"/>
                <w:color w:val="auto"/>
                <w:szCs w:val="21"/>
                <w:highlight w:val="none"/>
              </w:rPr>
            </w:pPr>
            <w:r>
              <w:rPr>
                <w:rFonts w:hint="eastAsia" w:ascii="宋体"/>
                <w:color w:val="auto"/>
                <w:szCs w:val="21"/>
                <w:highlight w:val="none"/>
              </w:rPr>
              <w:t>得分</w:t>
            </w:r>
          </w:p>
        </w:tc>
        <w:tc>
          <w:tcPr>
            <w:tcW w:w="5428" w:type="dxa"/>
            <w:vAlign w:val="center"/>
          </w:tcPr>
          <w:p>
            <w:pPr>
              <w:spacing w:line="400" w:lineRule="exact"/>
              <w:jc w:val="center"/>
              <w:rPr>
                <w:rFonts w:ascii="宋体"/>
                <w:color w:val="auto"/>
                <w:szCs w:val="21"/>
                <w:highlight w:val="none"/>
              </w:rPr>
            </w:pPr>
            <w:r>
              <w:rPr>
                <w:rFonts w:hint="eastAsia" w:ascii="宋体"/>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restart"/>
            <w:vAlign w:val="center"/>
          </w:tcPr>
          <w:p>
            <w:pPr>
              <w:spacing w:line="400" w:lineRule="exact"/>
              <w:jc w:val="center"/>
              <w:rPr>
                <w:rFonts w:ascii="宋体"/>
                <w:color w:val="auto"/>
                <w:szCs w:val="21"/>
                <w:highlight w:val="none"/>
              </w:rPr>
            </w:pPr>
            <w:r>
              <w:rPr>
                <w:rFonts w:hint="eastAsia" w:ascii="宋体"/>
                <w:color w:val="auto"/>
                <w:szCs w:val="21"/>
                <w:highlight w:val="none"/>
              </w:rPr>
              <w:t>商务部分</w:t>
            </w:r>
          </w:p>
          <w:p>
            <w:pPr>
              <w:rPr>
                <w:color w:val="auto"/>
                <w:highlight w:val="none"/>
              </w:rPr>
            </w:pPr>
            <w:r>
              <w:rPr>
                <w:rFonts w:hint="eastAsia" w:ascii="宋体"/>
                <w:color w:val="auto"/>
                <w:szCs w:val="21"/>
                <w:highlight w:val="none"/>
              </w:rPr>
              <w:t>（</w:t>
            </w:r>
            <w:r>
              <w:rPr>
                <w:rFonts w:hint="eastAsia" w:ascii="宋体"/>
                <w:color w:val="auto"/>
                <w:szCs w:val="21"/>
                <w:highlight w:val="none"/>
                <w:lang w:val="en-US" w:eastAsia="zh-CN"/>
              </w:rPr>
              <w:t>20</w:t>
            </w:r>
            <w:r>
              <w:rPr>
                <w:rFonts w:hint="eastAsia" w:ascii="宋体"/>
                <w:color w:val="auto"/>
                <w:szCs w:val="21"/>
                <w:highlight w:val="none"/>
              </w:rPr>
              <w:t>分）</w:t>
            </w:r>
          </w:p>
        </w:tc>
        <w:tc>
          <w:tcPr>
            <w:tcW w:w="1189" w:type="dxa"/>
            <w:vAlign w:val="center"/>
          </w:tcPr>
          <w:p>
            <w:pPr>
              <w:spacing w:line="400" w:lineRule="exact"/>
              <w:jc w:val="center"/>
              <w:rPr>
                <w:rFonts w:ascii="宋体"/>
                <w:color w:val="auto"/>
                <w:szCs w:val="21"/>
                <w:highlight w:val="none"/>
              </w:rPr>
            </w:pPr>
            <w:r>
              <w:rPr>
                <w:rFonts w:hint="eastAsia" w:ascii="宋体" w:hAnsi="宋体" w:eastAsia="宋体" w:cs="宋体"/>
                <w:color w:val="auto"/>
                <w:kern w:val="0"/>
                <w:szCs w:val="21"/>
                <w:highlight w:val="none"/>
              </w:rPr>
              <w:t>企业综合实力</w:t>
            </w:r>
          </w:p>
        </w:tc>
        <w:tc>
          <w:tcPr>
            <w:tcW w:w="663" w:type="dxa"/>
            <w:vAlign w:val="center"/>
          </w:tcPr>
          <w:p>
            <w:pPr>
              <w:jc w:val="center"/>
              <w:rPr>
                <w:rFonts w:ascii="宋体" w:eastAsia="宋体"/>
                <w:color w:val="auto"/>
                <w:szCs w:val="21"/>
                <w:highlight w:val="none"/>
              </w:rPr>
            </w:pPr>
            <w:r>
              <w:rPr>
                <w:rFonts w:hint="eastAsia" w:ascii="宋体"/>
                <w:color w:val="auto"/>
                <w:szCs w:val="21"/>
                <w:highlight w:val="none"/>
                <w:lang w:val="en-US" w:eastAsia="zh-CN"/>
              </w:rPr>
              <w:t>4</w:t>
            </w:r>
          </w:p>
        </w:tc>
        <w:tc>
          <w:tcPr>
            <w:tcW w:w="5428" w:type="dxa"/>
            <w:vAlign w:val="center"/>
          </w:tcPr>
          <w:p>
            <w:pPr>
              <w:keepNext w:val="0"/>
              <w:keepLines w:val="0"/>
              <w:pageBreakBefore w:val="0"/>
              <w:widowControl w:val="0"/>
              <w:numPr>
                <w:ilvl w:val="0"/>
                <w:numId w:val="4"/>
              </w:numPr>
              <w:kinsoku/>
              <w:wordWrap/>
              <w:overflowPunct/>
              <w:topLinePunct w:val="0"/>
              <w:autoSpaceDE w:val="0"/>
              <w:autoSpaceDN w:val="0"/>
              <w:bidi w:val="0"/>
              <w:adjustRightInd w:val="0"/>
              <w:spacing w:line="264" w:lineRule="auto"/>
              <w:ind w:left="-50" w:leftChars="-24" w:right="-65" w:rightChars="-31"/>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具备建筑行业设计甲级资质</w:t>
            </w:r>
            <w:r>
              <w:rPr>
                <w:rFonts w:hint="eastAsia" w:ascii="宋体" w:hAnsi="宋体" w:eastAsia="宋体" w:cs="宋体"/>
                <w:color w:val="auto"/>
                <w:sz w:val="21"/>
                <w:szCs w:val="24"/>
                <w:highlight w:val="none"/>
              </w:rPr>
              <w:t>或建筑行业（建筑工程）专业</w:t>
            </w:r>
            <w:r>
              <w:rPr>
                <w:rFonts w:hint="eastAsia" w:ascii="宋体" w:hAnsi="宋体" w:eastAsia="宋体" w:cs="宋体"/>
                <w:color w:val="auto"/>
                <w:sz w:val="21"/>
                <w:szCs w:val="24"/>
                <w:highlight w:val="none"/>
                <w:lang w:eastAsia="zh-CN"/>
              </w:rPr>
              <w:t>设计甲级资质</w:t>
            </w:r>
            <w:r>
              <w:rPr>
                <w:rFonts w:hint="eastAsia" w:ascii="宋体" w:hAnsi="宋体" w:eastAsia="宋体" w:cs="宋体"/>
                <w:color w:val="auto"/>
                <w:highlight w:val="none"/>
                <w:lang w:val="en-US" w:eastAsia="zh-CN"/>
              </w:rPr>
              <w:t>的，得2分；</w:t>
            </w:r>
          </w:p>
          <w:p>
            <w:pPr>
              <w:numPr>
                <w:ilvl w:val="0"/>
                <w:numId w:val="4"/>
              </w:numPr>
              <w:autoSpaceDE w:val="0"/>
              <w:autoSpaceDN w:val="0"/>
              <w:adjustRightInd w:val="0"/>
              <w:spacing w:line="264" w:lineRule="auto"/>
              <w:ind w:left="-50" w:leftChars="-24" w:right="-65" w:rightChars="-31"/>
              <w:rPr>
                <w:rFonts w:eastAsia="仿宋_GB2312"/>
                <w:color w:val="auto"/>
                <w:highlight w:val="none"/>
              </w:rPr>
            </w:pPr>
            <w:r>
              <w:rPr>
                <w:rFonts w:hint="eastAsia" w:ascii="宋体" w:hAnsi="宋体" w:eastAsia="宋体" w:cs="宋体"/>
                <w:color w:val="auto"/>
                <w:highlight w:val="none"/>
                <w:lang w:val="en-US" w:eastAsia="zh-CN"/>
              </w:rPr>
              <w:t>具备风景园林工程设计专项乙级或以上</w:t>
            </w:r>
            <w:r>
              <w:rPr>
                <w:rFonts w:hint="eastAsia" w:ascii="宋体" w:hAnsi="宋体" w:eastAsia="宋体" w:cs="宋体"/>
                <w:color w:val="auto"/>
                <w:sz w:val="21"/>
                <w:szCs w:val="24"/>
                <w:highlight w:val="none"/>
                <w:lang w:eastAsia="zh-CN"/>
              </w:rPr>
              <w:t>资质</w:t>
            </w:r>
            <w:r>
              <w:rPr>
                <w:rFonts w:hint="eastAsia" w:ascii="宋体" w:hAnsi="宋体" w:eastAsia="宋体" w:cs="宋体"/>
                <w:color w:val="auto"/>
                <w:highlight w:val="none"/>
                <w:lang w:val="en-US" w:eastAsia="zh-CN"/>
              </w:rPr>
              <w:t>的，得2分；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rPr>
                <w:rFonts w:hint="eastAsia" w:ascii="宋体"/>
                <w:color w:val="auto"/>
                <w:szCs w:val="21"/>
                <w:highlight w:val="none"/>
              </w:rPr>
            </w:pPr>
          </w:p>
        </w:tc>
        <w:tc>
          <w:tcPr>
            <w:tcW w:w="1189" w:type="dxa"/>
            <w:vAlign w:val="center"/>
          </w:tcPr>
          <w:p>
            <w:pPr>
              <w:spacing w:line="400" w:lineRule="exact"/>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企业业绩</w:t>
            </w:r>
          </w:p>
        </w:tc>
        <w:tc>
          <w:tcPr>
            <w:tcW w:w="663" w:type="dxa"/>
            <w:vAlign w:val="center"/>
          </w:tcPr>
          <w:p>
            <w:pPr>
              <w:jc w:val="center"/>
              <w:rPr>
                <w:rFonts w:hint="default" w:ascii="宋体"/>
                <w:color w:val="auto"/>
                <w:szCs w:val="21"/>
                <w:highlight w:val="none"/>
                <w:lang w:val="en-US" w:eastAsia="zh-CN"/>
              </w:rPr>
            </w:pPr>
            <w:r>
              <w:rPr>
                <w:rFonts w:hint="eastAsia" w:ascii="宋体"/>
                <w:color w:val="auto"/>
                <w:szCs w:val="21"/>
                <w:highlight w:val="none"/>
                <w:lang w:val="en-US" w:eastAsia="zh-CN"/>
              </w:rPr>
              <w:t>4</w:t>
            </w:r>
          </w:p>
        </w:tc>
        <w:tc>
          <w:tcPr>
            <w:tcW w:w="5428" w:type="dxa"/>
            <w:vAlign w:val="center"/>
          </w:tcPr>
          <w:p>
            <w:pPr>
              <w:rPr>
                <w:color w:val="auto"/>
                <w:highlight w:val="none"/>
              </w:rPr>
            </w:pPr>
            <w:r>
              <w:rPr>
                <w:rFonts w:hint="eastAsia"/>
                <w:color w:val="auto"/>
                <w:highlight w:val="none"/>
              </w:rPr>
              <w:t>2019年1月1日至今独立承担</w:t>
            </w:r>
            <w:r>
              <w:rPr>
                <w:rFonts w:hint="eastAsia"/>
                <w:color w:val="auto"/>
                <w:highlight w:val="none"/>
                <w:lang w:val="en-US" w:eastAsia="zh-CN"/>
              </w:rPr>
              <w:t>过合同金额50万</w:t>
            </w:r>
            <w:r>
              <w:rPr>
                <w:rFonts w:hint="eastAsia"/>
                <w:color w:val="auto"/>
                <w:highlight w:val="none"/>
              </w:rPr>
              <w:t>或以上的同类业绩，每项得</w:t>
            </w:r>
            <w:r>
              <w:rPr>
                <w:rFonts w:hint="eastAsia"/>
                <w:color w:val="auto"/>
                <w:highlight w:val="none"/>
                <w:lang w:val="en-US" w:eastAsia="zh-CN"/>
              </w:rPr>
              <w:t>2</w:t>
            </w:r>
            <w:r>
              <w:rPr>
                <w:rFonts w:hint="eastAsia"/>
                <w:color w:val="auto"/>
                <w:highlight w:val="none"/>
              </w:rPr>
              <w:t>分，最高得分为</w:t>
            </w:r>
            <w:r>
              <w:rPr>
                <w:rFonts w:hint="eastAsia"/>
                <w:color w:val="auto"/>
                <w:highlight w:val="none"/>
                <w:lang w:val="en-US" w:eastAsia="zh-CN"/>
              </w:rPr>
              <w:t>4</w:t>
            </w:r>
            <w:r>
              <w:rPr>
                <w:rFonts w:hint="eastAsia"/>
                <w:color w:val="auto"/>
                <w:highlight w:val="none"/>
              </w:rPr>
              <w:t>分。</w:t>
            </w:r>
          </w:p>
          <w:p>
            <w:pPr>
              <w:rPr>
                <w:rFonts w:hint="eastAsia"/>
                <w:color w:val="auto"/>
                <w:highlight w:val="none"/>
              </w:rPr>
            </w:pPr>
            <w:r>
              <w:rPr>
                <w:rFonts w:hint="eastAsia"/>
                <w:color w:val="auto"/>
                <w:highlight w:val="none"/>
              </w:rPr>
              <w:t>注：同类业绩指建筑工程类</w:t>
            </w:r>
            <w:r>
              <w:rPr>
                <w:rFonts w:hint="eastAsia"/>
                <w:color w:val="auto"/>
                <w:highlight w:val="none"/>
                <w:lang w:eastAsia="zh-CN"/>
              </w:rPr>
              <w:t>项目设计业绩</w:t>
            </w:r>
            <w:r>
              <w:rPr>
                <w:rFonts w:hint="eastAsia"/>
                <w:color w:val="auto"/>
                <w:highlight w:val="none"/>
              </w:rPr>
              <w:t>，</w:t>
            </w:r>
            <w:r>
              <w:rPr>
                <w:rFonts w:hint="eastAsia" w:ascii="宋体" w:hAnsi="宋体" w:cs="宋体"/>
                <w:color w:val="auto"/>
                <w:szCs w:val="18"/>
                <w:highlight w:val="none"/>
              </w:rPr>
              <w:t>企</w:t>
            </w:r>
            <w:r>
              <w:rPr>
                <w:rFonts w:hint="eastAsia" w:hAnsi="宋体" w:cs="宋体"/>
                <w:color w:val="auto"/>
                <w:szCs w:val="18"/>
                <w:highlight w:val="none"/>
              </w:rPr>
              <w:t>业业绩认定证明材料需提供设计合同复印件；业绩认定时间以设计合同签订时间为准。如业绩资料不能证明评标所需指标，须另提供经业主确认的证明资料复印件</w:t>
            </w:r>
            <w:r>
              <w:rPr>
                <w:rFonts w:hint="eastAsia" w:cs="Times New Roman"/>
                <w:color w:val="auto"/>
                <w:highlight w:val="none"/>
              </w:rPr>
              <w:t>，</w:t>
            </w:r>
            <w:r>
              <w:rPr>
                <w:rFonts w:hint="eastAsia" w:ascii="Times New Roman" w:hAnsi="Times New Roman" w:cs="Times New Roman"/>
                <w:color w:val="auto"/>
                <w:highlight w:val="none"/>
              </w:rPr>
              <w:t>无证明材料不计分</w:t>
            </w:r>
            <w:r>
              <w:rPr>
                <w:rFonts w:hint="eastAsia"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111" w:type="dxa"/>
            <w:vMerge w:val="continue"/>
            <w:vAlign w:val="center"/>
          </w:tcPr>
          <w:p>
            <w:pPr>
              <w:rPr>
                <w:color w:val="auto"/>
                <w:highlight w:val="none"/>
              </w:rPr>
            </w:pPr>
          </w:p>
        </w:tc>
        <w:tc>
          <w:tcPr>
            <w:tcW w:w="1189" w:type="dxa"/>
            <w:vAlign w:val="center"/>
          </w:tcPr>
          <w:p>
            <w:pPr>
              <w:spacing w:line="400" w:lineRule="exact"/>
              <w:jc w:val="center"/>
              <w:rPr>
                <w:rFonts w:ascii="宋体"/>
                <w:color w:val="auto"/>
                <w:szCs w:val="21"/>
                <w:highlight w:val="none"/>
              </w:rPr>
            </w:pPr>
            <w:r>
              <w:rPr>
                <w:rFonts w:hint="eastAsia" w:ascii="宋体"/>
                <w:color w:val="auto"/>
                <w:szCs w:val="21"/>
                <w:highlight w:val="none"/>
              </w:rPr>
              <w:t>项目负责人</w:t>
            </w:r>
          </w:p>
        </w:tc>
        <w:tc>
          <w:tcPr>
            <w:tcW w:w="663" w:type="dxa"/>
            <w:vAlign w:val="center"/>
          </w:tcPr>
          <w:p>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4</w:t>
            </w:r>
          </w:p>
        </w:tc>
        <w:tc>
          <w:tcPr>
            <w:tcW w:w="5428" w:type="dxa"/>
            <w:vAlign w:val="center"/>
          </w:tcPr>
          <w:p>
            <w:pPr>
              <w:widowControl/>
              <w:numPr>
                <w:ilvl w:val="-1"/>
                <w:numId w:val="0"/>
              </w:numPr>
              <w:jc w:val="left"/>
              <w:rPr>
                <w:rFonts w:ascii="宋体" w:hAnsi="宋体" w:eastAsia="宋体" w:cs="宋体"/>
                <w:color w:val="auto"/>
                <w:highlight w:val="none"/>
              </w:rPr>
            </w:pPr>
            <w:r>
              <w:rPr>
                <w:rFonts w:hint="eastAsia"/>
                <w:color w:val="auto"/>
                <w:highlight w:val="none"/>
                <w:lang w:val="en-US" w:eastAsia="zh-CN"/>
              </w:rPr>
              <w:t>1）</w:t>
            </w:r>
            <w:r>
              <w:rPr>
                <w:rFonts w:hint="eastAsia"/>
                <w:color w:val="auto"/>
                <w:highlight w:val="none"/>
              </w:rPr>
              <w:t>具有</w:t>
            </w:r>
            <w:r>
              <w:rPr>
                <w:rFonts w:hint="eastAsia"/>
                <w:color w:val="auto"/>
                <w:highlight w:val="none"/>
                <w:lang w:eastAsia="zh-CN"/>
              </w:rPr>
              <w:t>中</w:t>
            </w:r>
            <w:r>
              <w:rPr>
                <w:rFonts w:hint="eastAsia"/>
                <w:color w:val="auto"/>
                <w:highlight w:val="none"/>
              </w:rPr>
              <w:t>级</w:t>
            </w:r>
            <w:r>
              <w:rPr>
                <w:rFonts w:hint="eastAsia"/>
                <w:color w:val="auto"/>
                <w:highlight w:val="none"/>
                <w:lang w:eastAsia="zh-CN"/>
              </w:rPr>
              <w:t>或以上</w:t>
            </w:r>
            <w:r>
              <w:rPr>
                <w:rFonts w:hint="eastAsia"/>
                <w:color w:val="auto"/>
                <w:highlight w:val="none"/>
              </w:rPr>
              <w:t>工程师资质的，得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p>
          <w:p>
            <w:pPr>
              <w:widowControl/>
              <w:numPr>
                <w:ilvl w:val="-1"/>
                <w:numId w:val="0"/>
              </w:numPr>
              <w:jc w:val="left"/>
              <w:rPr>
                <w:color w:val="auto"/>
                <w:highlight w:val="none"/>
              </w:rPr>
            </w:pPr>
            <w:r>
              <w:rPr>
                <w:rFonts w:hint="eastAsia" w:cstheme="minorBidi"/>
                <w:color w:val="auto"/>
                <w:szCs w:val="24"/>
                <w:highlight w:val="none"/>
                <w:lang w:val="en-US" w:eastAsia="zh-CN"/>
              </w:rPr>
              <w:t>2）</w:t>
            </w:r>
            <w:r>
              <w:rPr>
                <w:rFonts w:hint="eastAsia" w:asciiTheme="minorHAnsi" w:hAnsiTheme="minorHAnsi" w:eastAsiaTheme="minorEastAsia" w:cstheme="minorBidi"/>
                <w:color w:val="auto"/>
                <w:szCs w:val="24"/>
                <w:highlight w:val="none"/>
              </w:rPr>
              <w:t>具有一级注册建筑师资格证书</w:t>
            </w:r>
            <w:r>
              <w:rPr>
                <w:rFonts w:hint="eastAsia" w:cstheme="minorBidi"/>
                <w:color w:val="auto"/>
                <w:szCs w:val="24"/>
                <w:highlight w:val="none"/>
                <w:lang w:eastAsia="zh-CN"/>
              </w:rPr>
              <w:t>的</w:t>
            </w:r>
            <w:r>
              <w:rPr>
                <w:rFonts w:hint="eastAsia"/>
                <w:color w:val="auto"/>
                <w:highlight w:val="none"/>
              </w:rPr>
              <w:t>，得</w:t>
            </w:r>
            <w:r>
              <w:rPr>
                <w:rFonts w:hint="eastAsia"/>
                <w:color w:val="auto"/>
                <w:highlight w:val="none"/>
                <w:lang w:val="en-US" w:eastAsia="zh-CN"/>
              </w:rPr>
              <w:t>2</w:t>
            </w:r>
            <w:r>
              <w:rPr>
                <w:rFonts w:hint="eastAsia"/>
                <w:color w:val="auto"/>
                <w:highlight w:val="none"/>
              </w:rPr>
              <w:t>分</w:t>
            </w:r>
            <w:r>
              <w:rPr>
                <w:rFonts w:hint="eastAsia"/>
                <w:color w:val="auto"/>
                <w:highlight w:val="none"/>
                <w:lang w:eastAsia="zh-CN"/>
              </w:rPr>
              <w:t>。</w:t>
            </w:r>
          </w:p>
          <w:p>
            <w:pPr>
              <w:widowControl/>
              <w:jc w:val="left"/>
              <w:rPr>
                <w:rFonts w:eastAsia="仿宋_GB2312"/>
                <w:color w:val="auto"/>
                <w:highlight w:val="none"/>
              </w:rPr>
            </w:pPr>
            <w:r>
              <w:rPr>
                <w:rFonts w:hint="eastAsia"/>
                <w:color w:val="auto"/>
                <w:highlight w:val="none"/>
              </w:rPr>
              <w:t>注：提供职称证、注册证书等证明材料，无证明材料则不计分。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11" w:type="dxa"/>
            <w:vMerge w:val="continue"/>
            <w:vAlign w:val="center"/>
          </w:tcPr>
          <w:p>
            <w:pPr>
              <w:rPr>
                <w:color w:val="auto"/>
                <w:highlight w:val="none"/>
              </w:rPr>
            </w:pPr>
          </w:p>
        </w:tc>
        <w:tc>
          <w:tcPr>
            <w:tcW w:w="1189" w:type="dxa"/>
            <w:vAlign w:val="center"/>
          </w:tcPr>
          <w:p>
            <w:pPr>
              <w:spacing w:line="400" w:lineRule="exact"/>
              <w:jc w:val="center"/>
              <w:rPr>
                <w:rFonts w:hint="eastAsia" w:ascii="宋体" w:hAnsi="宋体" w:eastAsiaTheme="minorEastAsia"/>
                <w:color w:val="auto"/>
                <w:szCs w:val="21"/>
                <w:highlight w:val="none"/>
                <w:lang w:eastAsia="zh-CN"/>
              </w:rPr>
            </w:pPr>
            <w:r>
              <w:rPr>
                <w:rFonts w:hint="eastAsia" w:ascii="宋体"/>
                <w:color w:val="auto"/>
                <w:szCs w:val="21"/>
                <w:highlight w:val="none"/>
              </w:rPr>
              <w:t>各专业</w:t>
            </w:r>
            <w:r>
              <w:rPr>
                <w:rFonts w:hint="eastAsia" w:ascii="宋体"/>
                <w:color w:val="auto"/>
                <w:szCs w:val="21"/>
                <w:highlight w:val="none"/>
                <w:lang w:eastAsia="zh-CN"/>
              </w:rPr>
              <w:t>负责人</w:t>
            </w:r>
          </w:p>
        </w:tc>
        <w:tc>
          <w:tcPr>
            <w:tcW w:w="663" w:type="dxa"/>
            <w:vAlign w:val="center"/>
          </w:tcPr>
          <w:p>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6</w:t>
            </w:r>
          </w:p>
        </w:tc>
        <w:tc>
          <w:tcPr>
            <w:tcW w:w="5428" w:type="dxa"/>
            <w:vAlign w:val="center"/>
          </w:tcPr>
          <w:p>
            <w:pPr>
              <w:widowControl/>
              <w:jc w:val="left"/>
              <w:rPr>
                <w:rFonts w:hint="default" w:eastAsiaTheme="minorEastAsia"/>
                <w:color w:val="auto"/>
                <w:kern w:val="2"/>
                <w:sz w:val="21"/>
                <w:szCs w:val="24"/>
                <w:highlight w:val="none"/>
                <w:lang w:val="en-US" w:eastAsia="zh-CN"/>
              </w:rPr>
            </w:pPr>
            <w:r>
              <w:rPr>
                <w:rFonts w:hint="eastAsia"/>
                <w:color w:val="auto"/>
                <w:highlight w:val="none"/>
              </w:rPr>
              <w:t>建筑、结构、给排水、暖通空调、电气各专业</w:t>
            </w:r>
            <w:r>
              <w:rPr>
                <w:rFonts w:hint="eastAsia"/>
                <w:color w:val="auto"/>
                <w:highlight w:val="none"/>
                <w:lang w:eastAsia="zh-CN"/>
              </w:rPr>
              <w:t>负责人</w:t>
            </w:r>
            <w:r>
              <w:rPr>
                <w:rFonts w:hint="eastAsia"/>
                <w:color w:val="auto"/>
                <w:highlight w:val="none"/>
              </w:rPr>
              <w:t>具有相关专业</w:t>
            </w:r>
            <w:r>
              <w:rPr>
                <w:rFonts w:hint="eastAsia"/>
                <w:color w:val="auto"/>
                <w:highlight w:val="none"/>
                <w:lang w:val="en-US" w:eastAsia="zh-CN"/>
              </w:rPr>
              <w:t>执业资格证书的</w:t>
            </w:r>
            <w:r>
              <w:rPr>
                <w:rFonts w:hint="eastAsia"/>
                <w:color w:val="auto"/>
                <w:highlight w:val="none"/>
              </w:rPr>
              <w:t>，每人得</w:t>
            </w:r>
            <w:r>
              <w:rPr>
                <w:rFonts w:hint="eastAsia"/>
                <w:color w:val="auto"/>
                <w:highlight w:val="none"/>
                <w:lang w:val="en-US" w:eastAsia="zh-CN"/>
              </w:rPr>
              <w:t>1</w:t>
            </w:r>
            <w:r>
              <w:rPr>
                <w:rFonts w:hint="eastAsia"/>
                <w:color w:val="auto"/>
                <w:highlight w:val="none"/>
              </w:rPr>
              <w:t>分，</w:t>
            </w:r>
            <w:r>
              <w:rPr>
                <w:rFonts w:hint="eastAsia" w:eastAsiaTheme="minorEastAsia"/>
                <w:color w:val="auto"/>
                <w:kern w:val="2"/>
                <w:sz w:val="21"/>
                <w:szCs w:val="24"/>
                <w:highlight w:val="none"/>
                <w:lang w:val="en-US" w:eastAsia="zh-CN"/>
              </w:rPr>
              <w:t>景观</w:t>
            </w:r>
            <w:r>
              <w:rPr>
                <w:rFonts w:hint="eastAsia"/>
                <w:color w:val="auto"/>
                <w:kern w:val="2"/>
                <w:sz w:val="21"/>
                <w:szCs w:val="24"/>
                <w:highlight w:val="none"/>
                <w:lang w:val="en-US" w:eastAsia="zh-CN"/>
              </w:rPr>
              <w:t>专业</w:t>
            </w:r>
            <w:r>
              <w:rPr>
                <w:rFonts w:hint="eastAsia" w:eastAsiaTheme="minorEastAsia"/>
                <w:color w:val="auto"/>
                <w:kern w:val="2"/>
                <w:sz w:val="21"/>
                <w:szCs w:val="24"/>
                <w:highlight w:val="none"/>
                <w:lang w:val="en-US" w:eastAsia="zh-CN"/>
              </w:rPr>
              <w:t>负责人具有相关高级及以上职业资格证书的，得1分，</w:t>
            </w:r>
            <w:r>
              <w:rPr>
                <w:rFonts w:hint="eastAsia" w:eastAsiaTheme="minorEastAsia"/>
                <w:color w:val="auto"/>
                <w:kern w:val="2"/>
                <w:sz w:val="21"/>
                <w:szCs w:val="24"/>
                <w:highlight w:val="none"/>
              </w:rPr>
              <w:t>本项最高得</w:t>
            </w:r>
            <w:r>
              <w:rPr>
                <w:rFonts w:hint="eastAsia" w:eastAsiaTheme="minorEastAsia"/>
                <w:color w:val="auto"/>
                <w:kern w:val="2"/>
                <w:sz w:val="21"/>
                <w:szCs w:val="24"/>
                <w:highlight w:val="none"/>
                <w:lang w:val="en-US" w:eastAsia="zh-CN"/>
              </w:rPr>
              <w:t>6</w:t>
            </w:r>
            <w:r>
              <w:rPr>
                <w:rFonts w:hint="eastAsia" w:eastAsiaTheme="minorEastAsia"/>
                <w:color w:val="auto"/>
                <w:kern w:val="2"/>
                <w:sz w:val="21"/>
                <w:szCs w:val="24"/>
                <w:highlight w:val="none"/>
              </w:rPr>
              <w:t>分。</w:t>
            </w:r>
          </w:p>
          <w:p>
            <w:pPr>
              <w:widowControl/>
              <w:snapToGrid w:val="0"/>
              <w:jc w:val="left"/>
              <w:rPr>
                <w:rFonts w:ascii="宋体"/>
                <w:b/>
                <w:color w:val="auto"/>
                <w:szCs w:val="21"/>
                <w:highlight w:val="none"/>
                <w:u w:val="single"/>
              </w:rPr>
            </w:pPr>
            <w:r>
              <w:rPr>
                <w:rFonts w:hint="eastAsia"/>
                <w:color w:val="auto"/>
                <w:highlight w:val="none"/>
              </w:rPr>
              <w:t>注：提供职称证、注册证书</w:t>
            </w:r>
            <w:r>
              <w:rPr>
                <w:rFonts w:hint="eastAsia"/>
                <w:color w:val="auto"/>
                <w:highlight w:val="none"/>
                <w:lang w:eastAsia="zh-CN"/>
              </w:rPr>
              <w:t>、</w:t>
            </w:r>
            <w:r>
              <w:rPr>
                <w:rFonts w:hint="eastAsia"/>
                <w:color w:val="auto"/>
                <w:highlight w:val="none"/>
                <w:lang w:val="en-US" w:eastAsia="zh-CN"/>
              </w:rPr>
              <w:t>及人员社保</w:t>
            </w:r>
            <w:r>
              <w:rPr>
                <w:rFonts w:hint="eastAsia"/>
                <w:color w:val="auto"/>
                <w:highlight w:val="none"/>
              </w:rPr>
              <w:t>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pPr>
              <w:rPr>
                <w:color w:val="auto"/>
                <w:highlight w:val="none"/>
              </w:rPr>
            </w:pPr>
          </w:p>
        </w:tc>
        <w:tc>
          <w:tcPr>
            <w:tcW w:w="1189" w:type="dxa"/>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企业实力</w:t>
            </w:r>
          </w:p>
        </w:tc>
        <w:tc>
          <w:tcPr>
            <w:tcW w:w="663" w:type="dxa"/>
            <w:vAlign w:val="center"/>
          </w:tcPr>
          <w:p>
            <w:pPr>
              <w:jc w:val="center"/>
              <w:rPr>
                <w:rFonts w:hint="eastAsia" w:ascii="宋体" w:eastAsiaTheme="minorEastAsia"/>
                <w:color w:val="auto"/>
                <w:szCs w:val="21"/>
                <w:highlight w:val="none"/>
                <w:lang w:eastAsia="zh-CN"/>
              </w:rPr>
            </w:pPr>
            <w:r>
              <w:rPr>
                <w:rFonts w:hint="eastAsia" w:ascii="宋体"/>
                <w:color w:val="auto"/>
                <w:szCs w:val="21"/>
                <w:highlight w:val="none"/>
                <w:lang w:val="en-US" w:eastAsia="zh-CN"/>
              </w:rPr>
              <w:t>2</w:t>
            </w:r>
          </w:p>
        </w:tc>
        <w:tc>
          <w:tcPr>
            <w:tcW w:w="5428" w:type="dxa"/>
            <w:vAlign w:val="center"/>
          </w:tcPr>
          <w:p>
            <w:pPr>
              <w:widowControl/>
              <w:snapToGrid w:val="0"/>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具有</w:t>
            </w:r>
            <w:r>
              <w:rPr>
                <w:rFonts w:hint="eastAsia" w:ascii="宋体" w:hAnsi="宋体" w:eastAsia="宋体" w:cs="宋体"/>
                <w:color w:val="auto"/>
                <w:szCs w:val="21"/>
                <w:highlight w:val="none"/>
                <w:lang w:val="en-US" w:eastAsia="zh-CN" w:bidi="ar"/>
              </w:rPr>
              <w:t>ISO的</w:t>
            </w:r>
            <w:r>
              <w:rPr>
                <w:rFonts w:hint="eastAsia" w:ascii="宋体" w:hAnsi="宋体" w:eastAsia="宋体" w:cs="宋体"/>
                <w:color w:val="auto"/>
                <w:szCs w:val="21"/>
                <w:highlight w:val="none"/>
                <w:lang w:eastAsia="zh-CN" w:bidi="ar"/>
              </w:rPr>
              <w:t>国际</w:t>
            </w:r>
            <w:r>
              <w:rPr>
                <w:rFonts w:hint="eastAsia" w:ascii="宋体" w:hAnsi="宋体" w:eastAsia="宋体" w:cs="宋体"/>
                <w:color w:val="auto"/>
                <w:szCs w:val="21"/>
                <w:highlight w:val="none"/>
                <w:lang w:bidi="ar"/>
              </w:rPr>
              <w:t>质量管理体系认证得</w:t>
            </w:r>
            <w:r>
              <w:rPr>
                <w:rFonts w:hint="eastAsia" w:ascii="宋体" w:hAnsi="宋体" w:eastAsia="宋体" w:cs="宋体"/>
                <w:color w:val="auto"/>
                <w:szCs w:val="21"/>
                <w:highlight w:val="none"/>
                <w:lang w:val="en-US" w:eastAsia="zh-CN" w:bidi="ar"/>
              </w:rPr>
              <w:t>2</w:t>
            </w:r>
            <w:r>
              <w:rPr>
                <w:rFonts w:hint="eastAsia" w:ascii="宋体" w:hAnsi="宋体" w:eastAsia="宋体" w:cs="宋体"/>
                <w:color w:val="auto"/>
                <w:szCs w:val="21"/>
                <w:highlight w:val="none"/>
                <w:lang w:bidi="ar"/>
              </w:rPr>
              <w:t>分，最高</w:t>
            </w:r>
            <w:r>
              <w:rPr>
                <w:rFonts w:hint="eastAsia" w:ascii="宋体" w:hAnsi="宋体" w:eastAsia="宋体" w:cs="宋体"/>
                <w:color w:val="auto"/>
                <w:szCs w:val="21"/>
                <w:highlight w:val="none"/>
                <w:lang w:eastAsia="zh-CN" w:bidi="ar"/>
              </w:rPr>
              <w:t>得</w:t>
            </w:r>
            <w:r>
              <w:rPr>
                <w:rFonts w:hint="eastAsia" w:ascii="宋体" w:hAnsi="宋体" w:eastAsia="宋体" w:cs="宋体"/>
                <w:color w:val="auto"/>
                <w:szCs w:val="21"/>
                <w:highlight w:val="none"/>
                <w:lang w:val="en-US" w:eastAsia="zh-CN" w:bidi="ar"/>
              </w:rPr>
              <w:t>2</w:t>
            </w:r>
            <w:r>
              <w:rPr>
                <w:rFonts w:hint="eastAsia" w:ascii="宋体" w:hAnsi="宋体" w:eastAsia="宋体" w:cs="宋体"/>
                <w:color w:val="auto"/>
                <w:szCs w:val="21"/>
                <w:highlight w:val="none"/>
                <w:lang w:bidi="ar"/>
              </w:rPr>
              <w:t>分。</w:t>
            </w:r>
          </w:p>
          <w:p>
            <w:pPr>
              <w:widowControl/>
              <w:snapToGrid w:val="0"/>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注：提供证书原件扫描件</w:t>
            </w:r>
            <w:r>
              <w:rPr>
                <w:rFonts w:hint="eastAsia"/>
                <w:color w:val="auto"/>
                <w:highlight w:val="none"/>
              </w:rPr>
              <w:t>，无证明材料则不计分</w:t>
            </w:r>
            <w:r>
              <w:rPr>
                <w:rFonts w:hint="eastAsia" w:ascii="宋体" w:hAnsi="宋体" w:eastAsia="宋体" w:cs="宋体"/>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restart"/>
            <w:vAlign w:val="center"/>
          </w:tcPr>
          <w:p>
            <w:pPr>
              <w:rPr>
                <w:rFonts w:hint="eastAsia" w:eastAsiaTheme="minorEastAsia"/>
                <w:color w:val="auto"/>
                <w:highlight w:val="none"/>
                <w:lang w:eastAsia="zh-CN"/>
              </w:rPr>
            </w:pPr>
            <w:r>
              <w:rPr>
                <w:rFonts w:hint="eastAsia"/>
                <w:color w:val="auto"/>
                <w:highlight w:val="none"/>
                <w:lang w:eastAsia="zh-CN"/>
              </w:rPr>
              <w:t>技术部分（</w:t>
            </w:r>
            <w:r>
              <w:rPr>
                <w:rFonts w:hint="eastAsia"/>
                <w:color w:val="auto"/>
                <w:highlight w:val="none"/>
                <w:lang w:val="en-US" w:eastAsia="zh-CN"/>
              </w:rPr>
              <w:t>60分</w:t>
            </w:r>
            <w:r>
              <w:rPr>
                <w:rFonts w:hint="eastAsia"/>
                <w:color w:val="auto"/>
                <w:highlight w:val="none"/>
                <w:lang w:eastAsia="zh-CN"/>
              </w:rPr>
              <w:t>）</w:t>
            </w:r>
          </w:p>
        </w:tc>
        <w:tc>
          <w:tcPr>
            <w:tcW w:w="1189" w:type="dxa"/>
            <w:vAlign w:val="center"/>
          </w:tcPr>
          <w:p>
            <w:pPr>
              <w:spacing w:line="320" w:lineRule="exact"/>
              <w:jc w:val="center"/>
              <w:rPr>
                <w:rFonts w:hint="eastAsia" w:ascii="宋体" w:hAnsiTheme="minorHAnsi" w:eastAsiaTheme="minorEastAsia" w:cstheme="minorBidi"/>
                <w:bCs/>
                <w:color w:val="auto"/>
                <w:kern w:val="2"/>
                <w:sz w:val="21"/>
                <w:szCs w:val="21"/>
                <w:highlight w:val="none"/>
                <w:lang w:val="en-US" w:eastAsia="zh-CN" w:bidi="ar-SA"/>
              </w:rPr>
            </w:pPr>
            <w:r>
              <w:rPr>
                <w:rFonts w:hint="eastAsia" w:ascii="宋体" w:hAnsi="宋体" w:cs="宋体"/>
                <w:color w:val="auto"/>
                <w:szCs w:val="21"/>
                <w:highlight w:val="none"/>
              </w:rPr>
              <w:t>项目理解</w:t>
            </w:r>
          </w:p>
        </w:tc>
        <w:tc>
          <w:tcPr>
            <w:tcW w:w="663" w:type="dxa"/>
            <w:vAlign w:val="center"/>
          </w:tcPr>
          <w:p>
            <w:pPr>
              <w:spacing w:line="400" w:lineRule="exact"/>
              <w:jc w:val="center"/>
              <w:rPr>
                <w:rFonts w:hint="default" w:ascii="宋体" w:eastAsia="宋体" w:hAnsiTheme="minorHAnsi" w:cstheme="minorBidi"/>
                <w:color w:val="auto"/>
                <w:kern w:val="2"/>
                <w:sz w:val="21"/>
                <w:szCs w:val="21"/>
                <w:highlight w:val="none"/>
                <w:lang w:val="en-US" w:eastAsia="zh-CN" w:bidi="ar-SA"/>
              </w:rPr>
            </w:pPr>
            <w:r>
              <w:rPr>
                <w:rFonts w:hint="eastAsia" w:ascii="宋体"/>
                <w:bCs/>
                <w:color w:val="auto"/>
                <w:szCs w:val="21"/>
                <w:highlight w:val="none"/>
                <w:lang w:val="en-US" w:eastAsia="zh-CN"/>
              </w:rPr>
              <w:t>10</w:t>
            </w:r>
          </w:p>
        </w:tc>
        <w:tc>
          <w:tcPr>
            <w:tcW w:w="5428" w:type="dxa"/>
            <w:vAlign w:val="center"/>
          </w:tcPr>
          <w:p>
            <w:pPr>
              <w:spacing w:line="320" w:lineRule="exact"/>
              <w:rPr>
                <w:rFonts w:ascii="宋体" w:hAnsi="宋体" w:cs="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Fonts w:hint="eastAsia" w:ascii="宋体" w:hAnsi="宋体" w:cs="宋体"/>
                <w:color w:val="auto"/>
                <w:szCs w:val="21"/>
                <w:highlight w:val="none"/>
              </w:rPr>
              <w:t>全面、准确的理解项目服务范围及内容，对项目重难点理解清晰、把握准确，</w:t>
            </w:r>
            <w:r>
              <w:rPr>
                <w:rFonts w:hint="eastAsia" w:ascii="宋体" w:hAnsi="宋体"/>
                <w:color w:val="auto"/>
                <w:szCs w:val="21"/>
                <w:highlight w:val="none"/>
              </w:rPr>
              <w:t>措施具体，针对性强</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7-10</w:t>
            </w:r>
            <w:r>
              <w:rPr>
                <w:rFonts w:hint="eastAsia" w:ascii="宋体" w:hAnsi="宋体" w:cs="宋体"/>
                <w:color w:val="auto"/>
                <w:szCs w:val="21"/>
                <w:highlight w:val="none"/>
              </w:rPr>
              <w:t>分；</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（中）：基本理解项目服务范围及内容，对项目重难点</w:t>
            </w:r>
            <w:r>
              <w:rPr>
                <w:rFonts w:hint="eastAsia" w:ascii="宋体" w:hAnsi="宋体"/>
                <w:color w:val="auto"/>
                <w:szCs w:val="21"/>
                <w:highlight w:val="none"/>
              </w:rPr>
              <w:t>有认识，措施有针对性但不具体；得</w:t>
            </w:r>
            <w:r>
              <w:rPr>
                <w:rFonts w:hint="eastAsia" w:ascii="宋体" w:hAnsi="宋体"/>
                <w:color w:val="auto"/>
                <w:szCs w:val="21"/>
                <w:highlight w:val="none"/>
                <w:lang w:val="en-US" w:eastAsia="zh-CN"/>
              </w:rPr>
              <w:t>4-7</w:t>
            </w:r>
            <w:r>
              <w:rPr>
                <w:rFonts w:hint="eastAsia" w:ascii="宋体" w:hAnsi="宋体"/>
                <w:color w:val="auto"/>
                <w:szCs w:val="21"/>
                <w:highlight w:val="none"/>
              </w:rPr>
              <w:t>分；</w:t>
            </w:r>
          </w:p>
          <w:p>
            <w:pPr>
              <w:spacing w:line="320" w:lineRule="exact"/>
              <w:rPr>
                <w:rFonts w:hint="eastAsia" w:ascii="宋体" w:hAnsiTheme="minorHAnsi" w:eastAsiaTheme="minorEastAsia" w:cstheme="minorBidi"/>
                <w:color w:val="auto"/>
                <w:kern w:val="2"/>
                <w:sz w:val="21"/>
                <w:szCs w:val="21"/>
                <w:highlight w:val="none"/>
                <w:lang w:val="en-US" w:eastAsia="zh-CN" w:bidi="ar-SA"/>
              </w:rPr>
            </w:pPr>
            <w:r>
              <w:rPr>
                <w:rFonts w:hint="eastAsia" w:ascii="宋体" w:hAnsi="宋体" w:cs="宋体"/>
                <w:color w:val="auto"/>
                <w:szCs w:val="21"/>
                <w:highlight w:val="none"/>
              </w:rPr>
              <w:t>（差）：不理解项目服务范围及内容，对项目重难点没有充分的认识</w:t>
            </w:r>
            <w:r>
              <w:rPr>
                <w:rFonts w:hint="eastAsia" w:ascii="宋体" w:hAnsi="宋体"/>
                <w:color w:val="auto"/>
                <w:szCs w:val="21"/>
                <w:highlight w:val="none"/>
              </w:rPr>
              <w:t>；得</w:t>
            </w:r>
            <w:r>
              <w:rPr>
                <w:rFonts w:hint="eastAsia" w:ascii="宋体" w:hAnsi="宋体"/>
                <w:color w:val="auto"/>
                <w:szCs w:val="21"/>
                <w:highlight w:val="none"/>
                <w:lang w:val="en-US" w:eastAsia="zh-CN"/>
              </w:rPr>
              <w:t>0-4</w:t>
            </w:r>
            <w:r>
              <w:rPr>
                <w:rFonts w:hint="eastAsia" w:ascii="宋体" w:hAnsi="宋体"/>
                <w:color w:val="auto"/>
                <w:szCs w:val="21"/>
                <w:highlight w:val="none"/>
              </w:rPr>
              <w:t>分</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1111" w:type="dxa"/>
            <w:vMerge w:val="continue"/>
            <w:vAlign w:val="center"/>
          </w:tcPr>
          <w:p>
            <w:pPr>
              <w:rPr>
                <w:rFonts w:hint="eastAsia"/>
                <w:color w:val="auto"/>
                <w:highlight w:val="none"/>
                <w:lang w:eastAsia="zh-CN"/>
              </w:rPr>
            </w:pPr>
          </w:p>
        </w:tc>
        <w:tc>
          <w:tcPr>
            <w:tcW w:w="1189" w:type="dxa"/>
            <w:vAlign w:val="center"/>
          </w:tcPr>
          <w:p>
            <w:pPr>
              <w:spacing w:line="320" w:lineRule="exact"/>
              <w:jc w:val="center"/>
              <w:rPr>
                <w:rFonts w:hint="default"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总体规划设计</w:t>
            </w:r>
          </w:p>
        </w:tc>
        <w:tc>
          <w:tcPr>
            <w:tcW w:w="663" w:type="dxa"/>
            <w:vAlign w:val="center"/>
          </w:tcPr>
          <w:p>
            <w:pPr>
              <w:spacing w:line="400" w:lineRule="exact"/>
              <w:jc w:val="center"/>
              <w:rPr>
                <w:rFonts w:hint="default" w:ascii="宋体"/>
                <w:bCs/>
                <w:color w:val="auto"/>
                <w:szCs w:val="21"/>
                <w:highlight w:val="none"/>
                <w:lang w:val="en-US" w:eastAsia="zh-CN"/>
              </w:rPr>
            </w:pPr>
            <w:r>
              <w:rPr>
                <w:rFonts w:hint="eastAsia" w:ascii="宋体"/>
                <w:bCs/>
                <w:color w:val="auto"/>
                <w:szCs w:val="21"/>
                <w:highlight w:val="none"/>
                <w:lang w:val="en-US" w:eastAsia="zh-CN"/>
              </w:rPr>
              <w:t>15</w:t>
            </w:r>
          </w:p>
        </w:tc>
        <w:tc>
          <w:tcPr>
            <w:tcW w:w="5428" w:type="dxa"/>
            <w:vAlign w:val="center"/>
          </w:tcPr>
          <w:p>
            <w:pPr>
              <w:spacing w:line="320" w:lineRule="exact"/>
              <w:rPr>
                <w:rFonts w:hint="eastAsia"/>
                <w:lang w:val="en-US" w:eastAsia="zh-CN"/>
              </w:rPr>
            </w:pPr>
            <w:r>
              <w:rPr>
                <w:rFonts w:hint="eastAsia"/>
              </w:rPr>
              <w:t>（</w:t>
            </w:r>
            <w:r>
              <w:rPr>
                <w:rFonts w:hint="eastAsia"/>
                <w:lang w:eastAsia="zh-CN"/>
              </w:rPr>
              <w:t>优</w:t>
            </w:r>
            <w:r>
              <w:rPr>
                <w:rFonts w:hint="eastAsia"/>
              </w:rPr>
              <w:t>）充分考虑地域环境条件，空间布局合理性；符合项目功能特性，合理利用基地面积，并与周边环境相辅相成；交通流线清晰性，满足规范和项目要求，</w:t>
            </w:r>
            <w:r>
              <w:rPr>
                <w:rFonts w:hint="eastAsia"/>
                <w:lang w:val="en-US" w:eastAsia="zh-CN"/>
              </w:rPr>
              <w:t>得10-15；</w:t>
            </w:r>
          </w:p>
          <w:p>
            <w:pPr>
              <w:spacing w:line="320" w:lineRule="exact"/>
              <w:rPr>
                <w:rFonts w:hint="default"/>
                <w:lang w:val="en-US" w:eastAsia="zh-CN"/>
              </w:rPr>
            </w:pPr>
            <w:r>
              <w:rPr>
                <w:rFonts w:hint="eastAsia" w:ascii="宋体" w:hAnsi="宋体" w:cs="宋体"/>
                <w:color w:val="auto"/>
                <w:szCs w:val="21"/>
                <w:highlight w:val="none"/>
              </w:rPr>
              <w:t>（中）</w:t>
            </w:r>
            <w:r>
              <w:rPr>
                <w:rFonts w:hint="eastAsia"/>
                <w:lang w:val="en-US" w:eastAsia="zh-CN"/>
              </w:rPr>
              <w:t>基本</w:t>
            </w:r>
            <w:r>
              <w:rPr>
                <w:rFonts w:hint="eastAsia"/>
              </w:rPr>
              <w:t>考虑地域环境条件，空间布局合理性；</w:t>
            </w:r>
            <w:r>
              <w:rPr>
                <w:rFonts w:hint="eastAsia"/>
                <w:lang w:val="en-US" w:eastAsia="zh-CN"/>
              </w:rPr>
              <w:t>基本</w:t>
            </w:r>
            <w:r>
              <w:rPr>
                <w:rFonts w:hint="eastAsia"/>
              </w:rPr>
              <w:t>符合项目功能特性</w:t>
            </w:r>
            <w:r>
              <w:rPr>
                <w:rFonts w:hint="eastAsia"/>
                <w:lang w:val="en-US" w:eastAsia="zh-CN"/>
              </w:rPr>
              <w:t>等，得5-10；</w:t>
            </w:r>
          </w:p>
          <w:p>
            <w:pPr>
              <w:spacing w:line="320" w:lineRule="exact"/>
              <w:rPr>
                <w:rFonts w:hint="default"/>
                <w:lang w:val="en-US" w:eastAsia="zh-CN"/>
              </w:rPr>
            </w:pPr>
            <w:r>
              <w:rPr>
                <w:rFonts w:hint="eastAsia" w:ascii="宋体" w:hAnsi="宋体" w:cs="宋体"/>
                <w:color w:val="auto"/>
                <w:szCs w:val="21"/>
                <w:highlight w:val="none"/>
              </w:rPr>
              <w:t>（差）</w:t>
            </w:r>
            <w:r>
              <w:rPr>
                <w:rFonts w:hint="eastAsia"/>
                <w:lang w:val="en-US" w:eastAsia="zh-CN"/>
              </w:rPr>
              <w:t>不</w:t>
            </w:r>
            <w:r>
              <w:rPr>
                <w:rFonts w:hint="eastAsia"/>
              </w:rPr>
              <w:t>考虑地域环境条件，空间布局合理性；</w:t>
            </w:r>
            <w:r>
              <w:rPr>
                <w:rFonts w:hint="eastAsia"/>
                <w:lang w:val="en-US" w:eastAsia="zh-CN"/>
              </w:rPr>
              <w:t>基本</w:t>
            </w:r>
            <w:r>
              <w:rPr>
                <w:rFonts w:hint="eastAsia"/>
              </w:rPr>
              <w:t>符合项目功能特性</w:t>
            </w:r>
            <w:r>
              <w:rPr>
                <w:rFonts w:hint="eastAsia"/>
                <w:lang w:val="en-US" w:eastAsia="zh-CN"/>
              </w:rPr>
              <w:t>等，得0-5；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1111" w:type="dxa"/>
            <w:vMerge w:val="continue"/>
            <w:vAlign w:val="center"/>
          </w:tcPr>
          <w:p>
            <w:pPr>
              <w:rPr>
                <w:rFonts w:hint="eastAsia"/>
                <w:color w:val="auto"/>
                <w:highlight w:val="none"/>
                <w:lang w:eastAsia="zh-CN"/>
              </w:rPr>
            </w:pPr>
          </w:p>
        </w:tc>
        <w:tc>
          <w:tcPr>
            <w:tcW w:w="1189" w:type="dxa"/>
            <w:vAlign w:val="center"/>
          </w:tcPr>
          <w:p>
            <w:pPr>
              <w:spacing w:line="32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方案创意</w:t>
            </w:r>
          </w:p>
        </w:tc>
        <w:tc>
          <w:tcPr>
            <w:tcW w:w="663" w:type="dxa"/>
            <w:vAlign w:val="center"/>
          </w:tcPr>
          <w:p>
            <w:pPr>
              <w:spacing w:line="400" w:lineRule="exact"/>
              <w:jc w:val="center"/>
              <w:rPr>
                <w:rFonts w:hint="default" w:ascii="宋体"/>
                <w:bCs/>
                <w:color w:val="auto"/>
                <w:szCs w:val="21"/>
                <w:highlight w:val="none"/>
                <w:lang w:val="en-US" w:eastAsia="zh-CN"/>
              </w:rPr>
            </w:pPr>
            <w:r>
              <w:rPr>
                <w:rFonts w:hint="eastAsia" w:ascii="宋体"/>
                <w:bCs/>
                <w:color w:val="auto"/>
                <w:szCs w:val="21"/>
                <w:highlight w:val="none"/>
                <w:lang w:val="en-US" w:eastAsia="zh-CN"/>
              </w:rPr>
              <w:t>15</w:t>
            </w:r>
          </w:p>
        </w:tc>
        <w:tc>
          <w:tcPr>
            <w:tcW w:w="5428" w:type="dxa"/>
            <w:vAlign w:val="center"/>
          </w:tcPr>
          <w:p>
            <w:pPr>
              <w:spacing w:line="320" w:lineRule="exact"/>
              <w:rPr>
                <w:rFonts w:hint="eastAsia"/>
                <w:color w:val="auto"/>
                <w:highlight w:val="none"/>
              </w:rPr>
            </w:pPr>
            <w:r>
              <w:rPr>
                <w:rFonts w:hint="eastAsia"/>
              </w:rPr>
              <w:t>（</w:t>
            </w:r>
            <w:r>
              <w:rPr>
                <w:rFonts w:hint="eastAsia"/>
                <w:lang w:eastAsia="zh-CN"/>
              </w:rPr>
              <w:t>优</w:t>
            </w:r>
            <w:r>
              <w:rPr>
                <w:rFonts w:hint="eastAsia"/>
              </w:rPr>
              <w:t>）</w:t>
            </w:r>
            <w:r>
              <w:rPr>
                <w:rFonts w:hint="eastAsia"/>
                <w:color w:val="auto"/>
                <w:highlight w:val="none"/>
              </w:rPr>
              <w:t>设计方案充分考虑理念创新、多元场景构想、</w:t>
            </w:r>
            <w:r>
              <w:rPr>
                <w:rFonts w:hint="eastAsia"/>
                <w:color w:val="auto"/>
                <w:highlight w:val="none"/>
                <w:lang w:val="en-US" w:eastAsia="zh-CN"/>
              </w:rPr>
              <w:t>运营场景构建</w:t>
            </w:r>
            <w:r>
              <w:rPr>
                <w:rFonts w:hint="eastAsia"/>
                <w:color w:val="auto"/>
                <w:highlight w:val="none"/>
              </w:rPr>
              <w:t>、地域文化融合以及新技术新材料的应用等创意性要求，</w:t>
            </w:r>
            <w:r>
              <w:rPr>
                <w:rFonts w:hint="eastAsia"/>
                <w:lang w:val="en-US" w:eastAsia="zh-CN"/>
              </w:rPr>
              <w:t>得10-15</w:t>
            </w:r>
          </w:p>
          <w:p>
            <w:pPr>
              <w:spacing w:line="320" w:lineRule="exact"/>
              <w:rPr>
                <w:rFonts w:hint="eastAsia"/>
                <w:color w:val="auto"/>
                <w:highlight w:val="none"/>
              </w:rPr>
            </w:pPr>
            <w:r>
              <w:rPr>
                <w:rFonts w:hint="eastAsia" w:ascii="宋体" w:hAnsi="宋体" w:cs="宋体"/>
                <w:color w:val="auto"/>
                <w:szCs w:val="21"/>
                <w:highlight w:val="none"/>
              </w:rPr>
              <w:t>（中）</w:t>
            </w:r>
            <w:r>
              <w:rPr>
                <w:rFonts w:hint="eastAsia"/>
                <w:color w:val="auto"/>
                <w:highlight w:val="none"/>
              </w:rPr>
              <w:t>设计方案</w:t>
            </w:r>
            <w:r>
              <w:rPr>
                <w:rFonts w:hint="eastAsia"/>
                <w:color w:val="auto"/>
                <w:highlight w:val="none"/>
                <w:lang w:val="en-US" w:eastAsia="zh-CN"/>
              </w:rPr>
              <w:t>一般</w:t>
            </w:r>
            <w:r>
              <w:rPr>
                <w:rFonts w:hint="eastAsia"/>
                <w:color w:val="auto"/>
                <w:highlight w:val="none"/>
              </w:rPr>
              <w:t>考虑理念创新、多元场景构想、</w:t>
            </w:r>
            <w:r>
              <w:rPr>
                <w:rFonts w:hint="eastAsia"/>
                <w:color w:val="auto"/>
                <w:highlight w:val="none"/>
                <w:lang w:val="en-US" w:eastAsia="zh-CN"/>
              </w:rPr>
              <w:t>运营场景构建</w:t>
            </w:r>
            <w:r>
              <w:rPr>
                <w:rFonts w:hint="eastAsia"/>
                <w:color w:val="auto"/>
                <w:highlight w:val="none"/>
              </w:rPr>
              <w:t>、地域文化融合以及新技术新材料的应用等创意性要求，</w:t>
            </w:r>
            <w:r>
              <w:rPr>
                <w:rFonts w:hint="eastAsia"/>
                <w:lang w:val="en-US" w:eastAsia="zh-CN"/>
              </w:rPr>
              <w:t>得5-10</w:t>
            </w:r>
          </w:p>
          <w:p>
            <w:pPr>
              <w:spacing w:line="320" w:lineRule="exact"/>
              <w:rPr>
                <w:rFonts w:hint="eastAsia" w:ascii="宋体" w:hAnsi="宋体" w:cs="宋体"/>
                <w:color w:val="auto"/>
                <w:szCs w:val="21"/>
                <w:highlight w:val="none"/>
              </w:rPr>
            </w:pPr>
            <w:r>
              <w:rPr>
                <w:rFonts w:hint="eastAsia" w:ascii="宋体" w:hAnsi="宋体" w:cs="宋体"/>
                <w:color w:val="auto"/>
                <w:szCs w:val="21"/>
                <w:highlight w:val="none"/>
              </w:rPr>
              <w:t>（差）</w:t>
            </w:r>
            <w:r>
              <w:rPr>
                <w:rFonts w:hint="eastAsia"/>
                <w:color w:val="auto"/>
                <w:highlight w:val="none"/>
              </w:rPr>
              <w:t>设计方案</w:t>
            </w:r>
            <w:r>
              <w:rPr>
                <w:rFonts w:hint="eastAsia"/>
                <w:color w:val="auto"/>
                <w:highlight w:val="none"/>
                <w:lang w:val="en-US" w:eastAsia="zh-CN"/>
              </w:rPr>
              <w:t>没有</w:t>
            </w:r>
            <w:r>
              <w:rPr>
                <w:rFonts w:hint="eastAsia"/>
                <w:color w:val="auto"/>
                <w:highlight w:val="none"/>
              </w:rPr>
              <w:t>考虑理念创新、多元场景构想、</w:t>
            </w:r>
            <w:r>
              <w:rPr>
                <w:rFonts w:hint="eastAsia"/>
                <w:color w:val="auto"/>
                <w:highlight w:val="none"/>
                <w:lang w:val="en-US" w:eastAsia="zh-CN"/>
              </w:rPr>
              <w:t>运营场景构建</w:t>
            </w:r>
            <w:r>
              <w:rPr>
                <w:rFonts w:hint="eastAsia"/>
                <w:color w:val="auto"/>
                <w:highlight w:val="none"/>
              </w:rPr>
              <w:t>、地域文化融合以及新技术新材料的应用等创意性要求，</w:t>
            </w:r>
            <w:r>
              <w:rPr>
                <w:rFonts w:hint="eastAsia"/>
                <w:lang w:val="en-US" w:eastAsia="zh-CN"/>
              </w:rPr>
              <w:t>得0-5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pPr>
              <w:rPr>
                <w:color w:val="auto"/>
                <w:highlight w:val="none"/>
              </w:rPr>
            </w:pPr>
          </w:p>
        </w:tc>
        <w:tc>
          <w:tcPr>
            <w:tcW w:w="1189" w:type="dxa"/>
            <w:vAlign w:val="center"/>
          </w:tcPr>
          <w:p>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设计服务实施方案</w:t>
            </w:r>
          </w:p>
        </w:tc>
        <w:tc>
          <w:tcPr>
            <w:tcW w:w="663" w:type="dxa"/>
            <w:vAlign w:val="center"/>
          </w:tcPr>
          <w:p>
            <w:pPr>
              <w:spacing w:line="400" w:lineRule="exact"/>
              <w:jc w:val="center"/>
              <w:rPr>
                <w:rFonts w:hint="default" w:ascii="宋体"/>
                <w:color w:val="auto"/>
                <w:szCs w:val="21"/>
                <w:highlight w:val="none"/>
                <w:lang w:val="en-US"/>
              </w:rPr>
            </w:pPr>
            <w:r>
              <w:rPr>
                <w:rFonts w:hint="eastAsia" w:ascii="宋体"/>
                <w:color w:val="auto"/>
                <w:szCs w:val="21"/>
                <w:highlight w:val="none"/>
                <w:lang w:val="en-US" w:eastAsia="zh-CN"/>
              </w:rPr>
              <w:t>10</w:t>
            </w:r>
          </w:p>
        </w:tc>
        <w:tc>
          <w:tcPr>
            <w:tcW w:w="5428" w:type="dxa"/>
            <w:vAlign w:val="center"/>
          </w:tcPr>
          <w:p>
            <w:pPr>
              <w:spacing w:line="320" w:lineRule="exact"/>
              <w:rPr>
                <w:rFonts w:ascii="宋体" w:hAnsi="宋体" w:cs="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）：准确理解项目需求内容，方案重点明确，特点突出，提供的项目咨询服务实施方案详细清晰、合理可行。</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7-10</w:t>
            </w:r>
            <w:r>
              <w:rPr>
                <w:rFonts w:hint="eastAsia" w:ascii="宋体" w:hAnsi="宋体" w:cs="宋体"/>
                <w:color w:val="auto"/>
                <w:szCs w:val="21"/>
                <w:highlight w:val="none"/>
              </w:rPr>
              <w:t>分；</w:t>
            </w:r>
          </w:p>
          <w:p>
            <w:pPr>
              <w:spacing w:line="320" w:lineRule="exact"/>
              <w:rPr>
                <w:rFonts w:ascii="宋体" w:hAnsi="宋体" w:cs="宋体"/>
                <w:color w:val="auto"/>
                <w:szCs w:val="21"/>
                <w:highlight w:val="none"/>
              </w:rPr>
            </w:pPr>
            <w:r>
              <w:rPr>
                <w:rFonts w:hint="eastAsia" w:ascii="宋体" w:hAnsi="宋体"/>
                <w:color w:val="auto"/>
                <w:szCs w:val="21"/>
                <w:highlight w:val="none"/>
              </w:rPr>
              <w:t>（中）：基本理解项目需求内容，方案重点较明确，特点较突出，提供的项目咨询服务实施方案较详细清晰、较合理可行。</w:t>
            </w:r>
            <w:r>
              <w:rPr>
                <w:rFonts w:hint="eastAsia" w:ascii="宋体" w:hAnsi="宋体" w:cs="宋体"/>
                <w:color w:val="auto"/>
                <w:szCs w:val="21"/>
                <w:highlight w:val="none"/>
              </w:rPr>
              <w:t>得</w:t>
            </w:r>
            <w:r>
              <w:rPr>
                <w:rFonts w:hint="eastAsia" w:ascii="宋体" w:hAnsi="宋体"/>
                <w:color w:val="auto"/>
                <w:szCs w:val="21"/>
                <w:highlight w:val="none"/>
                <w:lang w:val="en-US" w:eastAsia="zh-CN"/>
              </w:rPr>
              <w:t>4-7</w:t>
            </w:r>
            <w:r>
              <w:rPr>
                <w:rFonts w:hint="eastAsia" w:ascii="宋体" w:hAnsi="宋体" w:cs="宋体"/>
                <w:color w:val="auto"/>
                <w:szCs w:val="21"/>
                <w:highlight w:val="none"/>
              </w:rPr>
              <w:t>分；</w:t>
            </w:r>
          </w:p>
          <w:p>
            <w:pPr>
              <w:spacing w:line="320" w:lineRule="exact"/>
              <w:rPr>
                <w:rFonts w:hint="eastAsia" w:ascii="宋体" w:hAnsi="宋体" w:eastAsia="宋体" w:cs="宋体"/>
                <w:color w:val="auto"/>
                <w:szCs w:val="21"/>
                <w:highlight w:val="none"/>
                <w:lang w:bidi="ar"/>
              </w:rPr>
            </w:pPr>
            <w:r>
              <w:rPr>
                <w:rFonts w:hint="eastAsia" w:ascii="宋体" w:hAnsi="宋体"/>
                <w:color w:val="auto"/>
                <w:szCs w:val="21"/>
                <w:highlight w:val="none"/>
              </w:rPr>
              <w:t>（</w:t>
            </w:r>
            <w:r>
              <w:rPr>
                <w:rFonts w:hint="eastAsia" w:ascii="宋体" w:hAnsi="宋体"/>
                <w:color w:val="auto"/>
                <w:szCs w:val="21"/>
                <w:highlight w:val="none"/>
                <w:lang w:eastAsia="zh-CN"/>
              </w:rPr>
              <w:t>差</w:t>
            </w:r>
            <w:r>
              <w:rPr>
                <w:rFonts w:hint="eastAsia" w:ascii="宋体" w:hAnsi="宋体"/>
                <w:color w:val="auto"/>
                <w:szCs w:val="21"/>
                <w:highlight w:val="none"/>
              </w:rPr>
              <w:t>）：不理解项目需求内容，方案重点不明确，特点不突出，提供的设计咨询服务实施方案不详细清晰、不合理可行。</w:t>
            </w:r>
            <w:r>
              <w:rPr>
                <w:rFonts w:hint="eastAsia" w:ascii="宋体" w:hAnsi="宋体" w:cs="宋体"/>
                <w:color w:val="auto"/>
                <w:szCs w:val="21"/>
                <w:highlight w:val="none"/>
              </w:rPr>
              <w:t>得</w:t>
            </w:r>
            <w:r>
              <w:rPr>
                <w:rFonts w:hint="eastAsia" w:ascii="宋体" w:hAnsi="宋体"/>
                <w:color w:val="auto"/>
                <w:szCs w:val="21"/>
                <w:highlight w:val="none"/>
                <w:lang w:val="en-US" w:eastAsia="zh-CN"/>
              </w:rPr>
              <w:t>0-4</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pPr>
              <w:rPr>
                <w:color w:val="auto"/>
                <w:highlight w:val="none"/>
              </w:rPr>
            </w:pPr>
          </w:p>
        </w:tc>
        <w:tc>
          <w:tcPr>
            <w:tcW w:w="1189" w:type="dxa"/>
            <w:vAlign w:val="center"/>
          </w:tcPr>
          <w:p>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项目进度控制</w:t>
            </w:r>
          </w:p>
        </w:tc>
        <w:tc>
          <w:tcPr>
            <w:tcW w:w="663" w:type="dxa"/>
            <w:vAlign w:val="center"/>
          </w:tcPr>
          <w:p>
            <w:pPr>
              <w:spacing w:line="400" w:lineRule="exact"/>
              <w:jc w:val="center"/>
              <w:rPr>
                <w:rFonts w:hint="eastAsia" w:ascii="宋体"/>
                <w:color w:val="auto"/>
                <w:szCs w:val="21"/>
                <w:highlight w:val="none"/>
              </w:rPr>
            </w:pPr>
            <w:r>
              <w:rPr>
                <w:rFonts w:hint="eastAsia" w:ascii="宋体"/>
                <w:color w:val="auto"/>
                <w:szCs w:val="21"/>
                <w:highlight w:val="none"/>
                <w:lang w:val="en-US" w:eastAsia="zh-CN"/>
              </w:rPr>
              <w:t>5</w:t>
            </w:r>
          </w:p>
        </w:tc>
        <w:tc>
          <w:tcPr>
            <w:tcW w:w="5428" w:type="dxa"/>
            <w:vAlign w:val="center"/>
          </w:tcPr>
          <w:p>
            <w:pPr>
              <w:spacing w:line="32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）投标人制定的工作计划安排合理，进度控制措施准确、合理，能在规定的时间内按要求高质量、高效地完成项目服务。得</w:t>
            </w:r>
            <w:r>
              <w:rPr>
                <w:rFonts w:hint="eastAsia" w:ascii="宋体" w:hAnsi="宋体" w:cs="宋体"/>
                <w:color w:val="auto"/>
                <w:szCs w:val="21"/>
                <w:highlight w:val="none"/>
                <w:lang w:val="en-US" w:eastAsia="zh-CN"/>
              </w:rPr>
              <w:t>3-5</w:t>
            </w:r>
            <w:r>
              <w:rPr>
                <w:rFonts w:hint="eastAsia" w:ascii="宋体" w:hAnsi="宋体"/>
                <w:color w:val="auto"/>
                <w:szCs w:val="21"/>
                <w:highlight w:val="none"/>
              </w:rPr>
              <w:t>分；</w:t>
            </w:r>
          </w:p>
          <w:p>
            <w:pPr>
              <w:spacing w:line="320" w:lineRule="exact"/>
              <w:rPr>
                <w:rFonts w:ascii="宋体" w:hAnsi="宋体"/>
                <w:color w:val="auto"/>
                <w:szCs w:val="21"/>
                <w:highlight w:val="none"/>
              </w:rPr>
            </w:pPr>
            <w:r>
              <w:rPr>
                <w:rFonts w:hint="eastAsia" w:ascii="宋体" w:hAnsi="宋体"/>
                <w:color w:val="auto"/>
                <w:szCs w:val="21"/>
                <w:highlight w:val="none"/>
              </w:rPr>
              <w:t>（中）投标人制定的工作计划安排基本合理，进度控制措施基本准确、基本合理，基本能在规定的时间内按要求高质量、高效地完成项目服务。得</w:t>
            </w:r>
            <w:r>
              <w:rPr>
                <w:rFonts w:hint="eastAsia" w:ascii="宋体" w:hAnsi="宋体"/>
                <w:color w:val="auto"/>
                <w:szCs w:val="21"/>
                <w:highlight w:val="none"/>
                <w:lang w:val="en-US" w:eastAsia="zh-CN"/>
              </w:rPr>
              <w:t>1-3</w:t>
            </w:r>
            <w:r>
              <w:rPr>
                <w:rFonts w:hint="eastAsia" w:ascii="宋体" w:hAnsi="宋体"/>
                <w:color w:val="auto"/>
                <w:szCs w:val="21"/>
                <w:highlight w:val="none"/>
              </w:rPr>
              <w:t>分；</w:t>
            </w:r>
          </w:p>
          <w:p>
            <w:pPr>
              <w:spacing w:line="320" w:lineRule="exact"/>
              <w:rPr>
                <w:rFonts w:hint="eastAsia" w:ascii="宋体" w:hAnsi="宋体" w:eastAsia="宋体" w:cs="宋体"/>
                <w:color w:val="auto"/>
                <w:szCs w:val="21"/>
                <w:highlight w:val="none"/>
                <w:lang w:bidi="ar"/>
              </w:rPr>
            </w:pPr>
            <w:r>
              <w:rPr>
                <w:rFonts w:hint="eastAsia" w:ascii="宋体" w:hAnsi="宋体"/>
                <w:color w:val="auto"/>
                <w:szCs w:val="21"/>
                <w:highlight w:val="none"/>
              </w:rPr>
              <w:t>（差）投标人制定的工作计划安排不合理，进度控制措施不准确、不合理，不能在规定的时间内按要求高质量、高效地完成项目服务。得</w:t>
            </w:r>
            <w:r>
              <w:rPr>
                <w:rFonts w:hint="eastAsia" w:ascii="宋体" w:hAnsi="宋体"/>
                <w:color w:val="auto"/>
                <w:szCs w:val="21"/>
                <w:highlight w:val="none"/>
                <w:lang w:val="en-US" w:eastAsia="zh-CN"/>
              </w:rPr>
              <w:t>0-1</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Align w:val="center"/>
          </w:tcPr>
          <w:p>
            <w:pPr>
              <w:rPr>
                <w:color w:val="auto"/>
                <w:highlight w:val="none"/>
              </w:rPr>
            </w:pPr>
          </w:p>
        </w:tc>
        <w:tc>
          <w:tcPr>
            <w:tcW w:w="1189" w:type="dxa"/>
            <w:vAlign w:val="center"/>
          </w:tcPr>
          <w:p>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质量保证</w:t>
            </w:r>
          </w:p>
        </w:tc>
        <w:tc>
          <w:tcPr>
            <w:tcW w:w="663" w:type="dxa"/>
            <w:vAlign w:val="center"/>
          </w:tcPr>
          <w:p>
            <w:pPr>
              <w:spacing w:line="400" w:lineRule="exact"/>
              <w:jc w:val="center"/>
              <w:rPr>
                <w:rFonts w:hint="default" w:ascii="宋体"/>
                <w:color w:val="auto"/>
                <w:szCs w:val="21"/>
                <w:highlight w:val="none"/>
                <w:lang w:val="en-US" w:eastAsia="zh-CN"/>
              </w:rPr>
            </w:pPr>
            <w:r>
              <w:rPr>
                <w:rFonts w:hint="eastAsia" w:ascii="宋体"/>
                <w:color w:val="auto"/>
                <w:szCs w:val="21"/>
                <w:highlight w:val="none"/>
                <w:lang w:val="en-US" w:eastAsia="zh-CN"/>
              </w:rPr>
              <w:t>5</w:t>
            </w:r>
          </w:p>
        </w:tc>
        <w:tc>
          <w:tcPr>
            <w:tcW w:w="5428" w:type="dxa"/>
            <w:vAlign w:val="center"/>
          </w:tcPr>
          <w:p>
            <w:pPr>
              <w:spacing w:line="32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）投标人制定的服务质量控制措施齐全、体系完整、保障方法到位、目标明确、有针对性。得</w:t>
            </w:r>
            <w:r>
              <w:rPr>
                <w:rFonts w:hint="eastAsia" w:ascii="宋体" w:hAnsi="宋体" w:cs="宋体"/>
                <w:color w:val="auto"/>
                <w:szCs w:val="21"/>
                <w:highlight w:val="none"/>
                <w:lang w:val="en-US" w:eastAsia="zh-CN"/>
              </w:rPr>
              <w:t>3-5</w:t>
            </w:r>
            <w:r>
              <w:rPr>
                <w:rFonts w:hint="eastAsia" w:ascii="宋体" w:hAnsi="宋体"/>
                <w:color w:val="auto"/>
                <w:szCs w:val="21"/>
                <w:highlight w:val="none"/>
              </w:rPr>
              <w:t>分；</w:t>
            </w:r>
          </w:p>
          <w:p>
            <w:pPr>
              <w:spacing w:line="320" w:lineRule="exact"/>
              <w:rPr>
                <w:rFonts w:ascii="宋体" w:hAnsi="宋体"/>
                <w:color w:val="auto"/>
                <w:szCs w:val="21"/>
                <w:highlight w:val="none"/>
              </w:rPr>
            </w:pPr>
            <w:r>
              <w:rPr>
                <w:rFonts w:hint="eastAsia" w:ascii="宋体" w:hAnsi="宋体"/>
                <w:color w:val="auto"/>
                <w:szCs w:val="21"/>
                <w:highlight w:val="none"/>
              </w:rPr>
              <w:t>（中）投标人制定的服务质量控制措施基本齐全、体系基本完整、保障方法基本到位、目标基本明确、有一定针对性。得</w:t>
            </w:r>
            <w:r>
              <w:rPr>
                <w:rFonts w:hint="eastAsia" w:ascii="宋体" w:hAnsi="宋体"/>
                <w:color w:val="auto"/>
                <w:szCs w:val="21"/>
                <w:highlight w:val="none"/>
                <w:lang w:val="en-US" w:eastAsia="zh-CN"/>
              </w:rPr>
              <w:t>1-3</w:t>
            </w:r>
            <w:r>
              <w:rPr>
                <w:rFonts w:hint="eastAsia" w:ascii="宋体" w:hAnsi="宋体"/>
                <w:color w:val="auto"/>
                <w:szCs w:val="21"/>
                <w:highlight w:val="none"/>
              </w:rPr>
              <w:t>分；</w:t>
            </w:r>
          </w:p>
          <w:p>
            <w:pPr>
              <w:spacing w:line="320" w:lineRule="exact"/>
              <w:rPr>
                <w:rFonts w:hint="eastAsia" w:ascii="宋体" w:hAnsi="宋体"/>
                <w:color w:val="auto"/>
                <w:szCs w:val="21"/>
                <w:highlight w:val="none"/>
              </w:rPr>
            </w:pPr>
            <w:r>
              <w:rPr>
                <w:rFonts w:hint="eastAsia" w:ascii="宋体" w:hAnsi="宋体"/>
                <w:color w:val="auto"/>
                <w:szCs w:val="21"/>
                <w:highlight w:val="none"/>
              </w:rPr>
              <w:t>（差）投标人制定的服务质量控制措施不齐全、体系不完整、保障方法不到位、目标不明确、没有针对性。得</w:t>
            </w:r>
            <w:r>
              <w:rPr>
                <w:rFonts w:hint="eastAsia" w:ascii="宋体" w:hAnsi="宋体"/>
                <w:color w:val="auto"/>
                <w:szCs w:val="21"/>
                <w:highlight w:val="none"/>
                <w:lang w:val="en-US" w:eastAsia="zh-CN"/>
              </w:rPr>
              <w:t>0-1</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spacing w:line="400" w:lineRule="exact"/>
              <w:jc w:val="center"/>
              <w:rPr>
                <w:rFonts w:ascii="宋体"/>
                <w:color w:val="auto"/>
                <w:szCs w:val="21"/>
                <w:highlight w:val="none"/>
              </w:rPr>
            </w:pPr>
            <w:r>
              <w:rPr>
                <w:rFonts w:hint="eastAsia" w:ascii="宋体"/>
                <w:color w:val="auto"/>
                <w:szCs w:val="21"/>
                <w:highlight w:val="none"/>
              </w:rPr>
              <w:t>价格部分</w:t>
            </w:r>
          </w:p>
          <w:p>
            <w:pPr>
              <w:spacing w:line="400" w:lineRule="exact"/>
              <w:jc w:val="center"/>
              <w:rPr>
                <w:rFonts w:ascii="宋体"/>
                <w:color w:val="auto"/>
                <w:szCs w:val="21"/>
                <w:highlight w:val="none"/>
              </w:rPr>
            </w:pPr>
            <w:r>
              <w:rPr>
                <w:rFonts w:hint="eastAsia" w:ascii="宋体"/>
                <w:color w:val="auto"/>
                <w:szCs w:val="21"/>
                <w:highlight w:val="none"/>
              </w:rPr>
              <w:t>（</w:t>
            </w:r>
            <w:r>
              <w:rPr>
                <w:rFonts w:hint="eastAsia" w:ascii="宋体"/>
                <w:color w:val="auto"/>
                <w:szCs w:val="21"/>
                <w:highlight w:val="none"/>
                <w:lang w:val="en-US" w:eastAsia="zh-CN"/>
              </w:rPr>
              <w:t>20</w:t>
            </w:r>
            <w:r>
              <w:rPr>
                <w:rFonts w:hint="eastAsia" w:ascii="宋体"/>
                <w:color w:val="auto"/>
                <w:szCs w:val="21"/>
                <w:highlight w:val="none"/>
              </w:rPr>
              <w:t>分）</w:t>
            </w:r>
          </w:p>
        </w:tc>
        <w:tc>
          <w:tcPr>
            <w:tcW w:w="1189" w:type="dxa"/>
            <w:vAlign w:val="center"/>
          </w:tcPr>
          <w:p>
            <w:pPr>
              <w:spacing w:line="400" w:lineRule="exact"/>
              <w:jc w:val="center"/>
              <w:rPr>
                <w:rFonts w:ascii="宋体"/>
                <w:color w:val="auto"/>
                <w:szCs w:val="21"/>
                <w:highlight w:val="none"/>
              </w:rPr>
            </w:pPr>
            <w:r>
              <w:rPr>
                <w:rFonts w:hint="eastAsia" w:ascii="宋体"/>
                <w:color w:val="auto"/>
                <w:szCs w:val="21"/>
                <w:highlight w:val="none"/>
              </w:rPr>
              <w:t>投标报价</w:t>
            </w:r>
          </w:p>
        </w:tc>
        <w:tc>
          <w:tcPr>
            <w:tcW w:w="663" w:type="dxa"/>
            <w:vAlign w:val="center"/>
          </w:tcPr>
          <w:p>
            <w:pPr>
              <w:spacing w:line="400" w:lineRule="exact"/>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20</w:t>
            </w:r>
          </w:p>
        </w:tc>
        <w:tc>
          <w:tcPr>
            <w:tcW w:w="5428" w:type="dxa"/>
          </w:tcPr>
          <w:p>
            <w:pPr>
              <w:rPr>
                <w:rFonts w:ascii="宋体" w:hAnsi="宋体" w:eastAsia="宋体" w:cs="宋体"/>
                <w:color w:val="auto"/>
                <w:szCs w:val="21"/>
                <w:highlight w:val="none"/>
              </w:rPr>
            </w:pPr>
            <w:r>
              <w:rPr>
                <w:rFonts w:hint="eastAsia" w:ascii="宋体" w:hAnsi="宋体" w:eastAsia="宋体" w:cs="宋体"/>
                <w:color w:val="auto"/>
                <w:szCs w:val="21"/>
                <w:highlight w:val="none"/>
              </w:rPr>
              <w:t>报价得分：M＝N-100 ×</w:t>
            </w:r>
            <w:r>
              <w:rPr>
                <w:rFonts w:hint="eastAsia" w:ascii="宋体" w:hAnsi="宋体" w:eastAsia="宋体" w:cs="宋体"/>
                <w:color w:val="auto"/>
                <w:position w:val="-30"/>
                <w:szCs w:val="21"/>
                <w:highlight w:val="none"/>
              </w:rPr>
              <w:object>
                <v:shape id="_x0000_i1025" o:spt="75" type="#_x0000_t75" style="height:32.6pt;width:45.9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rFonts w:hint="eastAsia" w:ascii="宋体" w:hAnsi="宋体" w:eastAsia="宋体" w:cs="宋体"/>
                <w:color w:val="auto"/>
                <w:szCs w:val="21"/>
                <w:highlight w:val="none"/>
              </w:rPr>
              <w:t>×F</w:t>
            </w:r>
          </w:p>
          <w:p>
            <w:pPr>
              <w:spacing w:line="3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其中 N（分）：投标报价权重分值，为</w:t>
            </w:r>
            <w:r>
              <w:rPr>
                <w:rFonts w:hint="eastAsia" w:ascii="宋体" w:hAnsi="宋体" w:cs="宋体"/>
                <w:color w:val="auto"/>
                <w:szCs w:val="21"/>
                <w:highlight w:val="none"/>
                <w:u w:val="single"/>
                <w:lang w:val="en-US" w:eastAsia="zh-CN"/>
              </w:rPr>
              <w:t>20</w:t>
            </w:r>
            <w:r>
              <w:rPr>
                <w:rFonts w:hint="eastAsia" w:ascii="宋体" w:hAnsi="宋体" w:eastAsia="宋体" w:cs="宋体"/>
                <w:color w:val="auto"/>
                <w:szCs w:val="21"/>
                <w:highlight w:val="none"/>
              </w:rPr>
              <w:t>分；</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P（元）：投标文件通过初步评审的有效投标报价；</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Q（元）：评标基准价；</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F：偏离扣分分值，当P≥Q，F=</w:t>
            </w:r>
            <w:r>
              <w:rPr>
                <w:rFonts w:hint="eastAsia" w:ascii="宋体" w:hAnsi="宋体" w:cs="宋体"/>
                <w:color w:val="auto"/>
                <w:szCs w:val="21"/>
                <w:highlight w:val="none"/>
              </w:rPr>
              <w:t>0.4</w:t>
            </w:r>
            <w:r>
              <w:rPr>
                <w:rFonts w:hint="eastAsia" w:ascii="宋体" w:hAnsi="宋体" w:eastAsia="宋体" w:cs="宋体"/>
                <w:color w:val="auto"/>
                <w:szCs w:val="21"/>
                <w:highlight w:val="none"/>
              </w:rPr>
              <w:t>；当P＜Q，F=</w:t>
            </w:r>
            <w:r>
              <w:rPr>
                <w:rFonts w:hint="eastAsia" w:ascii="宋体" w:hAnsi="宋体" w:cs="宋体"/>
                <w:color w:val="auto"/>
                <w:szCs w:val="21"/>
                <w:highlight w:val="none"/>
              </w:rPr>
              <w:t>0.2</w:t>
            </w:r>
            <w:r>
              <w:rPr>
                <w:rFonts w:hint="eastAsia" w:ascii="宋体" w:hAnsi="宋体" w:eastAsia="宋体" w:cs="宋体"/>
                <w:color w:val="auto"/>
                <w:szCs w:val="21"/>
                <w:highlight w:val="none"/>
              </w:rPr>
              <w:t>。</w:t>
            </w:r>
          </w:p>
          <w:p>
            <w:pPr>
              <w:rPr>
                <w:rFonts w:ascii="宋体" w:eastAsia="宋体"/>
                <w:color w:val="auto"/>
                <w:szCs w:val="21"/>
                <w:highlight w:val="none"/>
              </w:rPr>
            </w:pPr>
            <w:r>
              <w:rPr>
                <w:rFonts w:hint="eastAsia" w:ascii="宋体" w:hAnsi="宋体" w:eastAsia="宋体" w:cs="宋体"/>
                <w:b/>
                <w:color w:val="auto"/>
                <w:szCs w:val="21"/>
                <w:highlight w:val="none"/>
              </w:rPr>
              <w:t>注：</w:t>
            </w:r>
            <w:r>
              <w:rPr>
                <w:rFonts w:hint="eastAsia" w:ascii="宋体" w:hAnsi="宋体" w:cs="微软雅黑"/>
                <w:b/>
                <w:color w:val="auto"/>
                <w:position w:val="-1"/>
                <w:szCs w:val="21"/>
                <w:highlight w:val="none"/>
              </w:rPr>
              <w:t>①以所有通过初步评审的投标文件的有效报价作为依据，（当有效报价大于或等于5家时，去掉一个最高报价和一个最低报价后进行算术平均；当有效报价不超过5家时，则对全部有效报价进行算术平均），并以此算术平均值为评标基准价确定其他投标人的投标报价得分。②计算值按四舍五入法保留两位有效小数，本项最低得分为0分。③除计算错误外，评标基准价不因招投标当事人质疑、投诉、复议以及其它任何情形而改变。</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w:t>
      </w:r>
      <w:r>
        <w:rPr>
          <w:rFonts w:hint="eastAsia" w:ascii="宋体" w:hAnsi="宋体" w:eastAsia="宋体"/>
          <w:color w:val="auto"/>
          <w:sz w:val="24"/>
          <w:szCs w:val="24"/>
          <w:highlight w:val="none"/>
          <w:u w:val="single"/>
          <w:lang w:val="en-US" w:eastAsia="zh-CN"/>
        </w:rPr>
        <w:t>资产经营集团</w:t>
      </w:r>
      <w:r>
        <w:rPr>
          <w:rFonts w:hint="eastAsia" w:ascii="宋体" w:hAnsi="宋体" w:eastAsia="宋体"/>
          <w:color w:val="auto"/>
          <w:sz w:val="24"/>
          <w:szCs w:val="24"/>
          <w:highlight w:val="none"/>
          <w:u w:val="single"/>
        </w:rPr>
        <w:t xml:space="preserve">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南沙“</w:t>
      </w:r>
      <w:r>
        <w:rPr>
          <w:rFonts w:hint="eastAsia" w:ascii="宋体" w:hAnsi="宋体" w:eastAsia="宋体"/>
          <w:color w:val="auto"/>
          <w:sz w:val="24"/>
          <w:szCs w:val="24"/>
          <w:highlight w:val="none"/>
          <w:u w:val="single"/>
          <w:lang w:val="en-US" w:eastAsia="zh-CN"/>
        </w:rPr>
        <w:t>南沙前锋水乡样板区</w:t>
      </w:r>
      <w:r>
        <w:rPr>
          <w:rFonts w:hint="eastAsia" w:ascii="宋体" w:hAnsi="宋体" w:eastAsia="宋体"/>
          <w:color w:val="auto"/>
          <w:sz w:val="24"/>
          <w:szCs w:val="24"/>
          <w:highlight w:val="none"/>
          <w:u w:val="single"/>
          <w:lang w:eastAsia="zh-CN"/>
        </w:rPr>
        <w:t>”</w:t>
      </w:r>
      <w:bookmarkStart w:id="48" w:name="_GoBack"/>
      <w:bookmarkEnd w:id="48"/>
      <w:r>
        <w:rPr>
          <w:rFonts w:hint="eastAsia" w:ascii="宋体" w:hAnsi="宋体" w:eastAsia="宋体"/>
          <w:color w:val="auto"/>
          <w:sz w:val="24"/>
          <w:szCs w:val="24"/>
          <w:highlight w:val="none"/>
          <w:u w:val="single"/>
          <w:lang w:eastAsia="zh-CN"/>
        </w:rPr>
        <w:t>方案设计服务</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1998262B"/>
    <w:multiLevelType w:val="singleLevel"/>
    <w:tmpl w:val="1998262B"/>
    <w:lvl w:ilvl="0" w:tentative="0">
      <w:start w:val="1"/>
      <w:numFmt w:val="decimal"/>
      <w:suff w:val="nothing"/>
      <w:lvlText w:val="%1）"/>
      <w:lvlJc w:val="left"/>
    </w:lvl>
  </w:abstractNum>
  <w:abstractNum w:abstractNumId="2">
    <w:nsid w:val="2C422135"/>
    <w:multiLevelType w:val="multilevel"/>
    <w:tmpl w:val="2C422135"/>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1" w:hanging="851"/>
      </w:pPr>
      <w:rPr>
        <w:rFonts w:hint="default" w:ascii="Times New Roman" w:hAnsi="Times New Roman" w:cs="Times New Roman"/>
      </w:rPr>
    </w:lvl>
    <w:lvl w:ilvl="4" w:tentative="0">
      <w:start w:val="1"/>
      <w:numFmt w:val="decimal"/>
      <w:lvlText w:val="%1.%2.%3.%4.%5."/>
      <w:lvlJc w:val="left"/>
      <w:pPr>
        <w:ind w:left="992" w:hanging="992"/>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6" w:hanging="1276"/>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9" w:hanging="1559"/>
      </w:pPr>
      <w:rPr>
        <w:rFonts w:hint="default" w:ascii="Times New Roman" w:hAnsi="Times New Roman" w:cs="Times New Roman"/>
      </w:rPr>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F7533D"/>
    <w:rsid w:val="03562994"/>
    <w:rsid w:val="035A0EDE"/>
    <w:rsid w:val="03CB6D70"/>
    <w:rsid w:val="03D5206B"/>
    <w:rsid w:val="04364A4F"/>
    <w:rsid w:val="043A0F20"/>
    <w:rsid w:val="04754D24"/>
    <w:rsid w:val="04A60B94"/>
    <w:rsid w:val="04CE3D21"/>
    <w:rsid w:val="04E40895"/>
    <w:rsid w:val="050B0AD1"/>
    <w:rsid w:val="051B7598"/>
    <w:rsid w:val="05577B55"/>
    <w:rsid w:val="064E336B"/>
    <w:rsid w:val="06EA58D8"/>
    <w:rsid w:val="07167BB0"/>
    <w:rsid w:val="080F2686"/>
    <w:rsid w:val="083B43B1"/>
    <w:rsid w:val="08757A2C"/>
    <w:rsid w:val="08A86F0A"/>
    <w:rsid w:val="08BE0C1E"/>
    <w:rsid w:val="09A667E8"/>
    <w:rsid w:val="09C053E7"/>
    <w:rsid w:val="0A170558"/>
    <w:rsid w:val="0B093D1A"/>
    <w:rsid w:val="0B372B92"/>
    <w:rsid w:val="0B3B76F5"/>
    <w:rsid w:val="0B6E5C7D"/>
    <w:rsid w:val="0C450D6C"/>
    <w:rsid w:val="0C855B7E"/>
    <w:rsid w:val="0C87037B"/>
    <w:rsid w:val="0CEF0CD8"/>
    <w:rsid w:val="0CF34345"/>
    <w:rsid w:val="0D4F2C69"/>
    <w:rsid w:val="0D8D48BA"/>
    <w:rsid w:val="0E1B10A8"/>
    <w:rsid w:val="0E5E4367"/>
    <w:rsid w:val="0E80564C"/>
    <w:rsid w:val="0EA03B8A"/>
    <w:rsid w:val="0EAC0C18"/>
    <w:rsid w:val="0EB25F9A"/>
    <w:rsid w:val="0EDB6CB4"/>
    <w:rsid w:val="0EFB4DD0"/>
    <w:rsid w:val="0F0E1360"/>
    <w:rsid w:val="0F8D0176"/>
    <w:rsid w:val="115626A3"/>
    <w:rsid w:val="12D06EB6"/>
    <w:rsid w:val="12E86716"/>
    <w:rsid w:val="131568C0"/>
    <w:rsid w:val="13824654"/>
    <w:rsid w:val="14082F52"/>
    <w:rsid w:val="14085DAD"/>
    <w:rsid w:val="14233C6D"/>
    <w:rsid w:val="14452035"/>
    <w:rsid w:val="145B3800"/>
    <w:rsid w:val="147E4E1C"/>
    <w:rsid w:val="16007AF5"/>
    <w:rsid w:val="163A203A"/>
    <w:rsid w:val="177F2113"/>
    <w:rsid w:val="17BF20B0"/>
    <w:rsid w:val="17E977C8"/>
    <w:rsid w:val="1873680D"/>
    <w:rsid w:val="18AF3306"/>
    <w:rsid w:val="18F12637"/>
    <w:rsid w:val="18FE6DAF"/>
    <w:rsid w:val="1922150A"/>
    <w:rsid w:val="19880595"/>
    <w:rsid w:val="198C1D89"/>
    <w:rsid w:val="1AB46DAB"/>
    <w:rsid w:val="1B6C2995"/>
    <w:rsid w:val="1BC44893"/>
    <w:rsid w:val="1BC65F54"/>
    <w:rsid w:val="1BDF2274"/>
    <w:rsid w:val="1C05708F"/>
    <w:rsid w:val="1C307374"/>
    <w:rsid w:val="1C9203A6"/>
    <w:rsid w:val="1E8832A2"/>
    <w:rsid w:val="1EE2244B"/>
    <w:rsid w:val="1EFA5645"/>
    <w:rsid w:val="1F1C5732"/>
    <w:rsid w:val="1FC2316E"/>
    <w:rsid w:val="1FF32F87"/>
    <w:rsid w:val="20336A96"/>
    <w:rsid w:val="21424D60"/>
    <w:rsid w:val="21FD2FF1"/>
    <w:rsid w:val="220D3E3F"/>
    <w:rsid w:val="224A02E7"/>
    <w:rsid w:val="227411DF"/>
    <w:rsid w:val="22803312"/>
    <w:rsid w:val="22B0546B"/>
    <w:rsid w:val="238E7B64"/>
    <w:rsid w:val="24856237"/>
    <w:rsid w:val="24FE116D"/>
    <w:rsid w:val="25053D8A"/>
    <w:rsid w:val="25791876"/>
    <w:rsid w:val="25E20F82"/>
    <w:rsid w:val="25F45843"/>
    <w:rsid w:val="26795443"/>
    <w:rsid w:val="26B94C66"/>
    <w:rsid w:val="26FF6942"/>
    <w:rsid w:val="272B74FA"/>
    <w:rsid w:val="2840244E"/>
    <w:rsid w:val="2865301D"/>
    <w:rsid w:val="28732366"/>
    <w:rsid w:val="28C86C87"/>
    <w:rsid w:val="28FB65E3"/>
    <w:rsid w:val="296119D7"/>
    <w:rsid w:val="297D19A3"/>
    <w:rsid w:val="2A0E0B36"/>
    <w:rsid w:val="2A97100B"/>
    <w:rsid w:val="2A9C3F94"/>
    <w:rsid w:val="2B401296"/>
    <w:rsid w:val="2B9F277C"/>
    <w:rsid w:val="2CB5592B"/>
    <w:rsid w:val="2D0635AD"/>
    <w:rsid w:val="2D0E0BB5"/>
    <w:rsid w:val="2D2307FE"/>
    <w:rsid w:val="2DAD1F37"/>
    <w:rsid w:val="2DCC5B6B"/>
    <w:rsid w:val="2DDB1EBF"/>
    <w:rsid w:val="2DF963B5"/>
    <w:rsid w:val="2E6961DD"/>
    <w:rsid w:val="2EA67F31"/>
    <w:rsid w:val="2EC40C57"/>
    <w:rsid w:val="2EE433BF"/>
    <w:rsid w:val="2FD162F0"/>
    <w:rsid w:val="30334755"/>
    <w:rsid w:val="307870C9"/>
    <w:rsid w:val="309A6C96"/>
    <w:rsid w:val="311233CC"/>
    <w:rsid w:val="312F2611"/>
    <w:rsid w:val="318850D4"/>
    <w:rsid w:val="31C3610C"/>
    <w:rsid w:val="31E83DC4"/>
    <w:rsid w:val="32696CB3"/>
    <w:rsid w:val="332E1E50"/>
    <w:rsid w:val="34036C94"/>
    <w:rsid w:val="340B78F6"/>
    <w:rsid w:val="34160775"/>
    <w:rsid w:val="34375C94"/>
    <w:rsid w:val="34935BA4"/>
    <w:rsid w:val="34A264CA"/>
    <w:rsid w:val="34E46AC5"/>
    <w:rsid w:val="35A05A75"/>
    <w:rsid w:val="36BA638E"/>
    <w:rsid w:val="36F76710"/>
    <w:rsid w:val="3703456E"/>
    <w:rsid w:val="37A26BD4"/>
    <w:rsid w:val="386E2C1B"/>
    <w:rsid w:val="39FC703A"/>
    <w:rsid w:val="3A4968CA"/>
    <w:rsid w:val="3AB072C1"/>
    <w:rsid w:val="3B352BB2"/>
    <w:rsid w:val="3B57188A"/>
    <w:rsid w:val="3B6D4312"/>
    <w:rsid w:val="3B7D5E2D"/>
    <w:rsid w:val="3BB466CB"/>
    <w:rsid w:val="3BB9179A"/>
    <w:rsid w:val="3C536A33"/>
    <w:rsid w:val="3CB7521C"/>
    <w:rsid w:val="3CE76215"/>
    <w:rsid w:val="3CFF0303"/>
    <w:rsid w:val="3D7619F9"/>
    <w:rsid w:val="3D96007A"/>
    <w:rsid w:val="3DDC3898"/>
    <w:rsid w:val="3E512B11"/>
    <w:rsid w:val="3E9F1660"/>
    <w:rsid w:val="3ECB4852"/>
    <w:rsid w:val="3F5F332B"/>
    <w:rsid w:val="3F8502F8"/>
    <w:rsid w:val="3FD704B2"/>
    <w:rsid w:val="3FE0447A"/>
    <w:rsid w:val="405854B3"/>
    <w:rsid w:val="409313F9"/>
    <w:rsid w:val="40B437EF"/>
    <w:rsid w:val="40CA2819"/>
    <w:rsid w:val="40CC6241"/>
    <w:rsid w:val="40DE71F5"/>
    <w:rsid w:val="40E43D1E"/>
    <w:rsid w:val="40F706D6"/>
    <w:rsid w:val="417254F7"/>
    <w:rsid w:val="418C72E5"/>
    <w:rsid w:val="41AE6491"/>
    <w:rsid w:val="41CE268F"/>
    <w:rsid w:val="41EC3A6C"/>
    <w:rsid w:val="42A2655E"/>
    <w:rsid w:val="42E71D47"/>
    <w:rsid w:val="436C5E0D"/>
    <w:rsid w:val="440F6ACF"/>
    <w:rsid w:val="44227249"/>
    <w:rsid w:val="44631084"/>
    <w:rsid w:val="446A549B"/>
    <w:rsid w:val="44800368"/>
    <w:rsid w:val="45C40D74"/>
    <w:rsid w:val="46871AD6"/>
    <w:rsid w:val="469519CD"/>
    <w:rsid w:val="46AE0CE1"/>
    <w:rsid w:val="46E31443"/>
    <w:rsid w:val="4735560E"/>
    <w:rsid w:val="47413F22"/>
    <w:rsid w:val="474927B8"/>
    <w:rsid w:val="47D55FFA"/>
    <w:rsid w:val="481D5A38"/>
    <w:rsid w:val="486D24D6"/>
    <w:rsid w:val="487975A7"/>
    <w:rsid w:val="48B502A2"/>
    <w:rsid w:val="48E72086"/>
    <w:rsid w:val="494D5092"/>
    <w:rsid w:val="49732ED5"/>
    <w:rsid w:val="499321A6"/>
    <w:rsid w:val="4A1079FD"/>
    <w:rsid w:val="4A1D620C"/>
    <w:rsid w:val="4AE21D6F"/>
    <w:rsid w:val="4AEE0F2F"/>
    <w:rsid w:val="4B6449DF"/>
    <w:rsid w:val="4BC136D0"/>
    <w:rsid w:val="4C2E17B4"/>
    <w:rsid w:val="4CEE06A1"/>
    <w:rsid w:val="4D904DD7"/>
    <w:rsid w:val="4D9C287D"/>
    <w:rsid w:val="4DC53F66"/>
    <w:rsid w:val="4E4F4497"/>
    <w:rsid w:val="504F0E3F"/>
    <w:rsid w:val="50932EAD"/>
    <w:rsid w:val="51035D74"/>
    <w:rsid w:val="51051E45"/>
    <w:rsid w:val="51552F81"/>
    <w:rsid w:val="5174053C"/>
    <w:rsid w:val="51AB2104"/>
    <w:rsid w:val="51E67581"/>
    <w:rsid w:val="525C5CD6"/>
    <w:rsid w:val="52796647"/>
    <w:rsid w:val="52840C61"/>
    <w:rsid w:val="53427976"/>
    <w:rsid w:val="53A63423"/>
    <w:rsid w:val="53CE29C2"/>
    <w:rsid w:val="54386D63"/>
    <w:rsid w:val="54A36172"/>
    <w:rsid w:val="54B0714A"/>
    <w:rsid w:val="54BC0EE8"/>
    <w:rsid w:val="55833339"/>
    <w:rsid w:val="55D41C4B"/>
    <w:rsid w:val="562E1696"/>
    <w:rsid w:val="594F1692"/>
    <w:rsid w:val="59566C52"/>
    <w:rsid w:val="5AAF5CCA"/>
    <w:rsid w:val="5AD32383"/>
    <w:rsid w:val="5AD75A27"/>
    <w:rsid w:val="5B6E68B8"/>
    <w:rsid w:val="5B8D6C19"/>
    <w:rsid w:val="5BCE61FA"/>
    <w:rsid w:val="5C9B134E"/>
    <w:rsid w:val="5CE91666"/>
    <w:rsid w:val="5D580334"/>
    <w:rsid w:val="5DAA1580"/>
    <w:rsid w:val="5DF9688E"/>
    <w:rsid w:val="5E1A6FB5"/>
    <w:rsid w:val="5E3329AB"/>
    <w:rsid w:val="5E7A3CE2"/>
    <w:rsid w:val="5F355496"/>
    <w:rsid w:val="5F84662B"/>
    <w:rsid w:val="5F857532"/>
    <w:rsid w:val="60083F26"/>
    <w:rsid w:val="603C0CB4"/>
    <w:rsid w:val="608C09EB"/>
    <w:rsid w:val="60995CE1"/>
    <w:rsid w:val="613C2115"/>
    <w:rsid w:val="614D13CA"/>
    <w:rsid w:val="61746D1A"/>
    <w:rsid w:val="61A7533B"/>
    <w:rsid w:val="62B2296D"/>
    <w:rsid w:val="62BD60DC"/>
    <w:rsid w:val="62C266BA"/>
    <w:rsid w:val="636147EE"/>
    <w:rsid w:val="63677EFB"/>
    <w:rsid w:val="63DB6B9E"/>
    <w:rsid w:val="63F47577"/>
    <w:rsid w:val="64C73242"/>
    <w:rsid w:val="65B441A4"/>
    <w:rsid w:val="66373494"/>
    <w:rsid w:val="66591B82"/>
    <w:rsid w:val="66790C75"/>
    <w:rsid w:val="66BA2932"/>
    <w:rsid w:val="66E66212"/>
    <w:rsid w:val="67110541"/>
    <w:rsid w:val="674F15EA"/>
    <w:rsid w:val="67A63985"/>
    <w:rsid w:val="684E77D6"/>
    <w:rsid w:val="686731DA"/>
    <w:rsid w:val="6898637C"/>
    <w:rsid w:val="68B16D7B"/>
    <w:rsid w:val="68BA7003"/>
    <w:rsid w:val="68C057C9"/>
    <w:rsid w:val="6A364F93"/>
    <w:rsid w:val="6BE11926"/>
    <w:rsid w:val="6C450EF0"/>
    <w:rsid w:val="6C920572"/>
    <w:rsid w:val="6CFC5A53"/>
    <w:rsid w:val="6D7E6398"/>
    <w:rsid w:val="6D827B87"/>
    <w:rsid w:val="6DC31ECB"/>
    <w:rsid w:val="6E656845"/>
    <w:rsid w:val="6EA64B45"/>
    <w:rsid w:val="6F471F5D"/>
    <w:rsid w:val="705D4A5A"/>
    <w:rsid w:val="7072470C"/>
    <w:rsid w:val="70AB3A18"/>
    <w:rsid w:val="70D170FB"/>
    <w:rsid w:val="70D42DED"/>
    <w:rsid w:val="710F157A"/>
    <w:rsid w:val="718C3480"/>
    <w:rsid w:val="726F354B"/>
    <w:rsid w:val="72B9765A"/>
    <w:rsid w:val="72F3401B"/>
    <w:rsid w:val="731416B4"/>
    <w:rsid w:val="73712518"/>
    <w:rsid w:val="738E7AB2"/>
    <w:rsid w:val="73A54F01"/>
    <w:rsid w:val="73DF2037"/>
    <w:rsid w:val="73F47C56"/>
    <w:rsid w:val="74624F7D"/>
    <w:rsid w:val="74652E24"/>
    <w:rsid w:val="7546516B"/>
    <w:rsid w:val="758F20BE"/>
    <w:rsid w:val="75AF555B"/>
    <w:rsid w:val="765B7357"/>
    <w:rsid w:val="76DD73DE"/>
    <w:rsid w:val="76F3488A"/>
    <w:rsid w:val="77281C38"/>
    <w:rsid w:val="77DC6BAC"/>
    <w:rsid w:val="78144651"/>
    <w:rsid w:val="781828A1"/>
    <w:rsid w:val="78780B98"/>
    <w:rsid w:val="788E06C1"/>
    <w:rsid w:val="78D76423"/>
    <w:rsid w:val="78FF6FF6"/>
    <w:rsid w:val="79382508"/>
    <w:rsid w:val="795409C4"/>
    <w:rsid w:val="79923F6A"/>
    <w:rsid w:val="79E02BD8"/>
    <w:rsid w:val="7A3458D0"/>
    <w:rsid w:val="7A4B048B"/>
    <w:rsid w:val="7A635363"/>
    <w:rsid w:val="7A96669D"/>
    <w:rsid w:val="7B4F6DFC"/>
    <w:rsid w:val="7B667A30"/>
    <w:rsid w:val="7B672810"/>
    <w:rsid w:val="7B681B66"/>
    <w:rsid w:val="7BCD518A"/>
    <w:rsid w:val="7C6B2EC5"/>
    <w:rsid w:val="7CB753E4"/>
    <w:rsid w:val="7E1D1CCD"/>
    <w:rsid w:val="7E300909"/>
    <w:rsid w:val="7EA1645A"/>
    <w:rsid w:val="7EC84C80"/>
    <w:rsid w:val="7ECD263E"/>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next w:val="1"/>
    <w:qFormat/>
    <w:uiPriority w:val="0"/>
  </w:style>
  <w:style w:type="paragraph" w:styleId="7">
    <w:name w:val="Plain Text"/>
    <w:basedOn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 w:type="paragraph" w:customStyle="1" w:styleId="35">
    <w:name w:val="列出段落"/>
    <w:basedOn w:val="1"/>
    <w:qFormat/>
    <w:uiPriority w:val="0"/>
    <w:pPr>
      <w:widowControl w:val="0"/>
      <w:ind w:firstLine="420" w:firstLineChars="200"/>
      <w:jc w:val="both"/>
    </w:pPr>
    <w:rPr>
      <w:rFonts w:ascii="宋体" w:hAnsi="宋体"/>
      <w:kern w:val="2"/>
      <w:sz w:val="21"/>
      <w:szCs w:val="21"/>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15045</Words>
  <Characters>15793</Characters>
  <Lines>139</Lines>
  <Paragraphs>39</Paragraphs>
  <TotalTime>7</TotalTime>
  <ScaleCrop>false</ScaleCrop>
  <LinksUpToDate>false</LinksUpToDate>
  <CharactersWithSpaces>16622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追梦人@段桂敏</cp:lastModifiedBy>
  <cp:lastPrinted>2023-04-10T01:56:00Z</cp:lastPrinted>
  <dcterms:modified xsi:type="dcterms:W3CDTF">2023-04-12T01:11:00Z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0185C494F9BD4C3DB197539617905B7F</vt:lpwstr>
  </property>
</Properties>
</file>