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bookmarkStart w:id="41" w:name="_GoBack"/>
    </w:p>
    <w:p>
      <w:pPr>
        <w:jc w:val="center"/>
        <w:rPr>
          <w:rFonts w:hint="eastAsia" w:ascii="宋体" w:hAnsi="宋体" w:eastAsia="宋体" w:cs="宋体"/>
          <w:b/>
          <w:color w:val="auto"/>
          <w:sz w:val="44"/>
          <w:szCs w:val="44"/>
          <w:highlight w:val="none"/>
          <w:lang w:eastAsia="zh-CN"/>
        </w:rPr>
      </w:pPr>
      <w:r>
        <w:rPr>
          <w:rFonts w:hint="eastAsia" w:ascii="宋体" w:hAnsi="宋体" w:eastAsia="宋体" w:cs="宋体"/>
          <w:b/>
          <w:color w:val="auto"/>
          <w:sz w:val="44"/>
          <w:szCs w:val="44"/>
          <w:highlight w:val="none"/>
          <w:lang w:eastAsia="zh-CN"/>
        </w:rPr>
        <w:t>湿地景区二期停车场道路升级改造项目</w:t>
      </w:r>
    </w:p>
    <w:p>
      <w:pPr>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lang w:eastAsia="zh-CN"/>
        </w:rPr>
        <w:t>施工总承包</w:t>
      </w:r>
    </w:p>
    <w:p>
      <w:pPr>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ind w:firstLine="1285" w:firstLineChars="400"/>
        <w:jc w:val="both"/>
        <w:rPr>
          <w:rFonts w:ascii="宋体" w:hAnsi="宋体" w:eastAsia="宋体" w:cs="宋体"/>
          <w:color w:val="auto"/>
          <w:sz w:val="32"/>
          <w:szCs w:val="32"/>
          <w:highlight w:val="none"/>
        </w:rPr>
      </w:pPr>
      <w:bookmarkStart w:id="0" w:name="_Toc29976"/>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广州南沙湿地旅游发展有限公司</w:t>
      </w:r>
      <w:r>
        <w:rPr>
          <w:rFonts w:hint="eastAsia" w:ascii="宋体" w:hAnsi="宋体" w:eastAsia="宋体" w:cs="宋体"/>
          <w:b/>
          <w:color w:val="auto"/>
          <w:sz w:val="32"/>
          <w:szCs w:val="32"/>
          <w:highlight w:val="none"/>
        </w:rPr>
        <w:t>（业主单位）</w:t>
      </w:r>
    </w:p>
    <w:p>
      <w:pPr>
        <w:spacing w:line="360" w:lineRule="auto"/>
        <w:ind w:firstLine="2445" w:firstLineChars="761"/>
        <w:rPr>
          <w:rFonts w:ascii="宋体" w:hAnsi="宋体" w:eastAsia="宋体" w:cs="宋体"/>
          <w:b/>
          <w:color w:val="auto"/>
          <w:sz w:val="32"/>
          <w:szCs w:val="32"/>
          <w:highlight w:val="none"/>
        </w:rPr>
      </w:pPr>
      <w:bookmarkStart w:id="1" w:name="OLE_LINK4"/>
      <w:bookmarkEnd w:id="1"/>
      <w:r>
        <w:rPr>
          <w:rFonts w:hint="eastAsia" w:ascii="宋体" w:hAnsi="宋体" w:eastAsia="宋体" w:cs="宋体"/>
          <w:b/>
          <w:color w:val="auto"/>
          <w:sz w:val="32"/>
          <w:szCs w:val="32"/>
          <w:highlight w:val="none"/>
        </w:rPr>
        <w:t>广州南沙建设维护管理有限公司（建设管理单位）</w:t>
      </w:r>
    </w:p>
    <w:p>
      <w:pPr>
        <w:spacing w:line="520" w:lineRule="exact"/>
        <w:ind w:right="-101" w:rightChars="-48" w:firstLine="1285" w:firstLineChars="400"/>
        <w:rPr>
          <w:rFonts w:ascii="宋体" w:hAnsi="宋体" w:eastAsia="宋体" w:cs="宋体"/>
          <w:color w:val="auto"/>
          <w:spacing w:val="28"/>
          <w:position w:val="8"/>
          <w:sz w:val="28"/>
          <w:szCs w:val="28"/>
          <w:highlight w:val="none"/>
        </w:rPr>
      </w:pPr>
      <w:r>
        <w:rPr>
          <w:rFonts w:hint="eastAsia" w:ascii="宋体" w:hAnsi="宋体" w:eastAsia="宋体" w:cs="宋体"/>
          <w:b/>
          <w:color w:val="auto"/>
          <w:sz w:val="32"/>
          <w:szCs w:val="32"/>
          <w:highlight w:val="none"/>
        </w:rPr>
        <w:t>日</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期：202</w:t>
      </w:r>
      <w:r>
        <w:rPr>
          <w:rFonts w:hint="eastAsia" w:ascii="宋体" w:hAnsi="宋体" w:eastAsia="宋体" w:cs="宋体"/>
          <w:b/>
          <w:color w:val="auto"/>
          <w:sz w:val="32"/>
          <w:szCs w:val="32"/>
          <w:highlight w:val="none"/>
          <w:lang w:val="en-US" w:eastAsia="zh-CN"/>
        </w:rPr>
        <w:t>3</w:t>
      </w:r>
      <w:r>
        <w:rPr>
          <w:rFonts w:hint="eastAsia" w:ascii="宋体" w:hAnsi="宋体" w:eastAsia="宋体" w:cs="宋体"/>
          <w:b/>
          <w:color w:val="auto"/>
          <w:sz w:val="32"/>
          <w:szCs w:val="32"/>
          <w:highlight w:val="none"/>
        </w:rPr>
        <w:t>年</w:t>
      </w:r>
      <w:r>
        <w:rPr>
          <w:rFonts w:hint="eastAsia" w:ascii="宋体" w:hAnsi="宋体" w:eastAsia="宋体" w:cs="宋体"/>
          <w:b/>
          <w:color w:val="auto"/>
          <w:sz w:val="32"/>
          <w:szCs w:val="32"/>
          <w:highlight w:val="none"/>
          <w:lang w:val="en-US" w:eastAsia="zh-CN"/>
        </w:rPr>
        <w:t>4月</w:t>
      </w:r>
    </w:p>
    <w:p>
      <w:pPr>
        <w:rPr>
          <w:rFonts w:ascii="黑体" w:hAnsi="宋体" w:eastAsia="黑体" w:cs="黑体"/>
          <w:color w:val="auto"/>
          <w:sz w:val="36"/>
          <w:szCs w:val="36"/>
          <w:highlight w:val="none"/>
        </w:rPr>
        <w:sectPr>
          <w:pgSz w:w="11915" w:h="16840"/>
          <w:pgMar w:top="1247" w:right="1135" w:bottom="1247" w:left="1361" w:header="720" w:footer="720" w:gutter="0"/>
          <w:cols w:space="425" w:num="1"/>
          <w:docGrid w:type="lines" w:linePitch="285" w:charSpace="0"/>
        </w:sectPr>
      </w:pPr>
    </w:p>
    <w:p>
      <w:pPr>
        <w:rPr>
          <w:rFonts w:ascii="黑体" w:hAnsi="宋体" w:eastAsia="黑体" w:cs="黑体"/>
          <w:color w:val="auto"/>
          <w:sz w:val="36"/>
          <w:szCs w:val="36"/>
          <w:highlight w:val="none"/>
        </w:rPr>
      </w:pPr>
    </w:p>
    <w:bookmarkEnd w:id="0"/>
    <w:sdt>
      <w:sdtPr>
        <w:rPr>
          <w:rFonts w:ascii="宋体" w:hAnsi="宋体" w:eastAsia="宋体"/>
          <w:color w:val="auto"/>
          <w:highlight w:val="none"/>
        </w:rPr>
        <w:id w:val="147481204"/>
        <w:docPartObj>
          <w:docPartGallery w:val="Table of Contents"/>
          <w:docPartUnique/>
        </w:docPartObj>
      </w:sdtPr>
      <w:sdtEndPr>
        <w:rPr>
          <w:rFonts w:ascii="宋体" w:hAnsi="宋体" w:eastAsia="宋体"/>
          <w:color w:val="auto"/>
          <w:highlight w:val="none"/>
        </w:rPr>
      </w:sdtEndPr>
      <w:sdtContent>
        <w:p>
          <w:pPr>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pPr>
            <w:pStyle w:val="13"/>
            <w:tabs>
              <w:tab w:val="right" w:leader="dot" w:pos="9419"/>
            </w:tabs>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TOC \o "1-1" \h \u </w:instrText>
          </w:r>
          <w:r>
            <w:rPr>
              <w:rFonts w:hint="eastAsia" w:asciiTheme="minorEastAsia" w:hAnsiTheme="minorEastAsia" w:eastAsiaTheme="minorEastAsia" w:cstheme="minorEastAsia"/>
              <w:color w:val="auto"/>
              <w:sz w:val="24"/>
              <w:szCs w:val="24"/>
              <w:highlight w:val="none"/>
            </w:rPr>
            <w:fldChar w:fldCharType="separate"/>
          </w:r>
        </w:p>
        <w:p>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"_Toc13302"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第1章 投标须知及前附表</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_Toc13302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"_Toc1632"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第2章 项目需求书</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_Toc1632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"_Toc27492"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第3章  投标格式文件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_Toc27492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"_Toc30913"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第4章 评标办法</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_Toc30913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"_Toc26593"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第5章 附件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_Toc26593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38</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rPr>
              <w:color w:val="auto"/>
              <w:highlight w:val="none"/>
            </w:rPr>
          </w:pPr>
          <w:r>
            <w:rPr>
              <w:rFonts w:hint="eastAsia" w:asciiTheme="minorEastAsia" w:hAnsiTheme="minorEastAsia" w:cstheme="minorEastAsia"/>
              <w:color w:val="auto"/>
              <w:sz w:val="24"/>
              <w:highlight w:val="none"/>
            </w:rPr>
            <w:fldChar w:fldCharType="end"/>
          </w:r>
        </w:p>
      </w:sdtContent>
    </w:sdt>
    <w:p>
      <w:pPr>
        <w:pStyle w:val="14"/>
        <w:widowControl/>
        <w:spacing w:after="0"/>
        <w:ind w:firstLine="0"/>
        <w:rPr>
          <w:rFonts w:ascii="宋体" w:hAnsi="宋体" w:cs="宋体"/>
          <w:color w:val="auto"/>
          <w:highlight w:val="none"/>
        </w:rPr>
        <w:sectPr>
          <w:pgSz w:w="11915" w:h="16840"/>
          <w:pgMar w:top="1247" w:right="1135" w:bottom="1247" w:left="1361" w:header="720" w:footer="720" w:gutter="0"/>
          <w:cols w:space="425" w:num="1"/>
          <w:docGrid w:type="lines" w:linePitch="285" w:charSpace="0"/>
        </w:sectPr>
      </w:pPr>
      <w:r>
        <w:rPr>
          <w:rFonts w:hint="eastAsia" w:ascii="宋体" w:hAnsi="宋体" w:cs="宋体"/>
          <w:color w:val="auto"/>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2" w:name="_Toc13302"/>
      <w:bookmarkStart w:id="3" w:name="_Toc374128472"/>
      <w:r>
        <w:rPr>
          <w:rFonts w:hint="eastAsia" w:ascii="黑体" w:hAnsi="宋体" w:cs="黑体"/>
          <w:b/>
          <w:color w:val="auto"/>
          <w:kern w:val="44"/>
          <w:sz w:val="44"/>
          <w:szCs w:val="44"/>
          <w:highlight w:val="none"/>
        </w:rPr>
        <w:t>第1章 投标须知及前附表</w:t>
      </w:r>
      <w:bookmarkEnd w:id="2"/>
      <w:bookmarkEnd w:id="3"/>
    </w:p>
    <w:p>
      <w:pPr>
        <w:spacing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5"/>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14"/>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color w:val="auto"/>
                <w:highlight w:val="none"/>
                <w:u w:val="none"/>
                <w:lang w:eastAsia="zh-CN"/>
              </w:rPr>
              <w:t>湿地景区二期停车场道路升级改造项目施工总承包</w:t>
            </w:r>
          </w:p>
        </w:tc>
      </w:tr>
      <w:tr>
        <w:tblPrEx>
          <w:tblCellMar>
            <w:top w:w="0" w:type="dxa"/>
            <w:left w:w="108" w:type="dxa"/>
            <w:bottom w:w="0" w:type="dxa"/>
            <w:right w:w="108" w:type="dxa"/>
          </w:tblCellMar>
        </w:tblPrEx>
        <w:trPr>
          <w:trHeight w:val="462" w:hRule="atLeast"/>
          <w:jc w:val="center"/>
        </w:trPr>
        <w:tc>
          <w:tcPr>
            <w:tcW w:w="720" w:type="dxa"/>
            <w:vMerge w:val="restart"/>
            <w:tcBorders>
              <w:top w:val="single" w:color="auto" w:sz="4" w:space="0"/>
              <w:left w:val="double" w:color="auto" w:sz="2"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p>
            <w:pPr>
              <w:pStyle w:val="14"/>
              <w:widowControl/>
              <w:spacing w:after="0" w:line="440" w:lineRule="exact"/>
              <w:ind w:firstLine="0"/>
              <w:jc w:val="center"/>
              <w:rPr>
                <w:rFonts w:hint="eastAsia" w:ascii="宋体" w:hAnsi="宋体" w:eastAsia="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rPr>
              <w:t>广州市南沙区</w:t>
            </w:r>
            <w:r>
              <w:rPr>
                <w:rFonts w:hint="eastAsia" w:ascii="宋体" w:hAnsi="宋体" w:eastAsia="宋体" w:cs="宋体"/>
                <w:color w:val="auto"/>
                <w:sz w:val="21"/>
                <w:szCs w:val="21"/>
                <w:highlight w:val="none"/>
                <w:lang w:eastAsia="zh-CN"/>
              </w:rPr>
              <w:t>湿地公园景区二期内</w:t>
            </w:r>
          </w:p>
        </w:tc>
      </w:tr>
      <w:tr>
        <w:tblPrEx>
          <w:tblCellMar>
            <w:top w:w="0" w:type="dxa"/>
            <w:left w:w="108" w:type="dxa"/>
            <w:bottom w:w="0" w:type="dxa"/>
            <w:right w:w="108" w:type="dxa"/>
          </w:tblCellMar>
        </w:tblPrEx>
        <w:trPr>
          <w:trHeight w:val="963" w:hRule="atLeast"/>
          <w:jc w:val="center"/>
        </w:trPr>
        <w:tc>
          <w:tcPr>
            <w:tcW w:w="720" w:type="dxa"/>
            <w:vMerge w:val="continue"/>
            <w:tcBorders>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u w:val="none"/>
                <w:lang w:eastAsia="zh-CN"/>
              </w:rPr>
            </w:pPr>
            <w:r>
              <w:rPr>
                <w:rFonts w:hint="eastAsia" w:ascii="宋体" w:hAnsi="宋体" w:eastAsia="宋体" w:cs="宋体"/>
                <w:color w:val="auto"/>
                <w:highlight w:val="none"/>
                <w:u w:val="none"/>
                <w:lang w:eastAsia="zh-CN"/>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color w:val="auto"/>
                <w:spacing w:val="0"/>
                <w:sz w:val="21"/>
                <w:szCs w:val="21"/>
                <w:highlight w:val="none"/>
              </w:rPr>
              <w:t>湿地景区二期停车场于2012年建设，场内道路面层为6%水泥石粉</w:t>
            </w:r>
            <w:r>
              <w:rPr>
                <w:rFonts w:hint="eastAsia" w:ascii="宋体" w:hAnsi="宋体" w:eastAsia="宋体" w:cs="宋体"/>
                <w:color w:val="auto"/>
                <w:spacing w:val="0"/>
                <w:sz w:val="21"/>
                <w:szCs w:val="21"/>
                <w:highlight w:val="none"/>
                <w:lang w:eastAsia="zh-CN"/>
              </w:rPr>
              <w:t>面</w:t>
            </w:r>
            <w:r>
              <w:rPr>
                <w:rFonts w:hint="eastAsia" w:ascii="宋体" w:hAnsi="宋体" w:eastAsia="宋体" w:cs="宋体"/>
                <w:color w:val="auto"/>
                <w:spacing w:val="0"/>
                <w:sz w:val="21"/>
                <w:szCs w:val="21"/>
                <w:highlight w:val="none"/>
              </w:rPr>
              <w:t>层，坑洼积水较多，对场内主</w:t>
            </w:r>
            <w:r>
              <w:rPr>
                <w:rFonts w:hint="eastAsia" w:ascii="宋体" w:hAnsi="宋体" w:eastAsia="宋体" w:cs="宋体"/>
                <w:color w:val="auto"/>
                <w:spacing w:val="0"/>
                <w:sz w:val="21"/>
                <w:szCs w:val="21"/>
                <w:highlight w:val="none"/>
                <w:lang w:eastAsia="zh-CN"/>
              </w:rPr>
              <w:t>干</w:t>
            </w:r>
            <w:r>
              <w:rPr>
                <w:rFonts w:hint="eastAsia" w:ascii="宋体" w:hAnsi="宋体" w:eastAsia="宋体" w:cs="宋体"/>
                <w:color w:val="auto"/>
                <w:spacing w:val="0"/>
                <w:sz w:val="21"/>
                <w:szCs w:val="21"/>
                <w:highlight w:val="none"/>
              </w:rPr>
              <w:t>道进行升级改造</w:t>
            </w:r>
            <w:r>
              <w:rPr>
                <w:rFonts w:hint="eastAsia" w:ascii="宋体" w:hAnsi="宋体" w:eastAsia="宋体" w:cs="宋体"/>
                <w:color w:val="auto"/>
                <w:sz w:val="21"/>
                <w:szCs w:val="21"/>
                <w:highlight w:val="none"/>
              </w:rPr>
              <w:t>。</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承包方式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bCs w:val="0"/>
                <w:color w:val="auto"/>
                <w:sz w:val="21"/>
                <w:szCs w:val="21"/>
                <w:highlight w:val="none"/>
                <w:u w:val="none"/>
                <w:lang w:eastAsia="zh-CN"/>
              </w:rPr>
              <w:t>固定综合单价包干，工程量按实结算，绿色施工安全防护措施费固定总价包干。</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项目总投资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u w:val="none"/>
                <w:shd w:val="clear"/>
                <w:lang w:eastAsia="zh-CN"/>
              </w:rPr>
              <w:t>总投资约</w:t>
            </w:r>
            <w:r>
              <w:rPr>
                <w:rFonts w:hint="eastAsia" w:ascii="宋体" w:hAnsi="宋体" w:eastAsia="宋体" w:cs="宋体"/>
                <w:color w:val="auto"/>
                <w:sz w:val="21"/>
                <w:szCs w:val="21"/>
                <w:highlight w:val="none"/>
                <w:u w:val="none"/>
                <w:lang w:val="en-US" w:eastAsia="zh-CN"/>
              </w:rPr>
              <w:t>120</w:t>
            </w:r>
            <w:r>
              <w:rPr>
                <w:rFonts w:hint="eastAsia" w:ascii="宋体" w:hAnsi="宋体" w:eastAsia="宋体" w:cs="宋体"/>
                <w:color w:val="auto"/>
                <w:sz w:val="21"/>
                <w:szCs w:val="21"/>
                <w:highlight w:val="none"/>
                <w:u w:val="none"/>
              </w:rPr>
              <w:t>万元</w:t>
            </w:r>
            <w:r>
              <w:rPr>
                <w:rFonts w:hint="eastAsia" w:ascii="宋体" w:hAnsi="宋体" w:eastAsia="宋体" w:cs="宋体"/>
                <w:color w:val="auto"/>
                <w:sz w:val="21"/>
                <w:szCs w:val="21"/>
                <w:highlight w:val="none"/>
                <w:u w:val="none"/>
                <w:lang w:eastAsia="zh-CN"/>
              </w:rPr>
              <w:t>。</w:t>
            </w:r>
          </w:p>
        </w:tc>
      </w:tr>
      <w:tr>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color w:val="auto"/>
                <w:kern w:val="2"/>
                <w:sz w:val="21"/>
                <w:szCs w:val="21"/>
                <w:highlight w:val="none"/>
                <w:shd w:val="clear" w:color="auto" w:fill="auto"/>
                <w:lang w:bidi="ar-SA"/>
              </w:rPr>
              <w:t>工程质量符合国家验收规范，达到合格标准</w:t>
            </w:r>
            <w:r>
              <w:rPr>
                <w:rFonts w:hint="eastAsia" w:ascii="宋体" w:hAnsi="宋体" w:eastAsia="宋体" w:cs="宋体"/>
                <w:bCs w:val="0"/>
                <w:color w:val="auto"/>
                <w:kern w:val="2"/>
                <w:sz w:val="21"/>
                <w:szCs w:val="21"/>
                <w:highlight w:val="none"/>
                <w:shd w:val="clear" w:color="auto" w:fill="auto"/>
                <w:lang w:eastAsia="zh-CN" w:bidi="ar-SA"/>
              </w:rPr>
              <w:t>。</w:t>
            </w:r>
          </w:p>
        </w:tc>
      </w:tr>
      <w:tr>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2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20" w:lineRule="exact"/>
              <w:ind w:firstLine="0"/>
              <w:jc w:val="left"/>
              <w:rPr>
                <w:rFonts w:hint="eastAsia" w:ascii="宋体" w:hAnsi="宋体" w:eastAsia="宋体" w:cs="宋体"/>
                <w:color w:val="auto"/>
                <w:highlight w:val="none"/>
              </w:rPr>
            </w:pPr>
            <w:r>
              <w:rPr>
                <w:rFonts w:hint="eastAsia" w:ascii="宋体" w:hAnsi="宋体" w:eastAsia="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line="320" w:lineRule="exact"/>
              <w:ind w:firstLine="0"/>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eastAsia="zh-CN"/>
              </w:rPr>
              <w:t>拆除二期停车场排水沟86.87米；新增排水沟313米</w:t>
            </w:r>
            <w:r>
              <w:rPr>
                <w:rFonts w:hint="eastAsia" w:ascii="宋体" w:hAnsi="宋体" w:eastAsia="宋体" w:cs="宋体"/>
                <w:color w:val="auto"/>
                <w:spacing w:val="0"/>
                <w:sz w:val="21"/>
                <w:szCs w:val="21"/>
                <w:highlight w:val="none"/>
                <w:lang w:val="en-US" w:eastAsia="zh-CN"/>
              </w:rPr>
              <w:t>；混凝土道路铺设约375米，宽7米，面积约2750平方米，厚15厘米；开通岔路约192平方米，厚15厘米；停车场出入口闸门改造和增设人行上下楼梯建设等。具体以实际施工图纸、工程量清单为准。</w:t>
            </w:r>
          </w:p>
          <w:p>
            <w:pPr>
              <w:pStyle w:val="2"/>
              <w:widowControl/>
              <w:spacing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0"/>
                <w:sz w:val="21"/>
                <w:szCs w:val="21"/>
                <w:highlight w:val="none"/>
                <w:lang w:val="en-US" w:eastAsia="zh-CN"/>
              </w:rPr>
              <w:t>投标</w:t>
            </w:r>
            <w:r>
              <w:rPr>
                <w:rFonts w:hint="eastAsia" w:ascii="宋体" w:hAnsi="宋体" w:eastAsia="宋体" w:cs="宋体"/>
                <w:color w:val="auto"/>
                <w:kern w:val="0"/>
                <w:sz w:val="21"/>
                <w:szCs w:val="21"/>
                <w:highlight w:val="none"/>
              </w:rPr>
              <w:t>人需按</w:t>
            </w:r>
            <w:r>
              <w:rPr>
                <w:rFonts w:hint="eastAsia" w:ascii="宋体" w:hAnsi="宋体" w:eastAsia="宋体" w:cs="宋体"/>
                <w:color w:val="auto"/>
                <w:kern w:val="0"/>
                <w:sz w:val="21"/>
                <w:szCs w:val="21"/>
                <w:highlight w:val="none"/>
                <w:lang w:val="en-US" w:eastAsia="zh-CN"/>
              </w:rPr>
              <w:t>招标文件、图纸规范等</w:t>
            </w:r>
            <w:r>
              <w:rPr>
                <w:rFonts w:hint="eastAsia" w:ascii="宋体" w:hAnsi="宋体" w:eastAsia="宋体" w:cs="宋体"/>
                <w:color w:val="auto"/>
                <w:kern w:val="0"/>
                <w:sz w:val="21"/>
                <w:szCs w:val="21"/>
                <w:highlight w:val="none"/>
              </w:rPr>
              <w:t>要求</w:t>
            </w:r>
            <w:r>
              <w:rPr>
                <w:rFonts w:hint="eastAsia" w:ascii="宋体" w:hAnsi="宋体" w:eastAsia="宋体" w:cs="宋体"/>
                <w:color w:val="auto"/>
                <w:kern w:val="0"/>
                <w:sz w:val="21"/>
                <w:szCs w:val="21"/>
                <w:highlight w:val="none"/>
                <w:lang w:val="en-US" w:eastAsia="zh-CN"/>
              </w:rPr>
              <w:t>进行</w:t>
            </w:r>
            <w:r>
              <w:rPr>
                <w:rFonts w:hint="eastAsia" w:ascii="宋体" w:hAnsi="宋体" w:eastAsia="宋体" w:cs="宋体"/>
                <w:color w:val="auto"/>
                <w:kern w:val="0"/>
                <w:sz w:val="21"/>
                <w:szCs w:val="21"/>
                <w:highlight w:val="none"/>
              </w:rPr>
              <w:t>施工，</w:t>
            </w:r>
            <w:r>
              <w:rPr>
                <w:rFonts w:hint="eastAsia" w:ascii="宋体" w:hAnsi="宋体" w:eastAsia="宋体" w:cs="宋体"/>
                <w:color w:val="auto"/>
                <w:kern w:val="0"/>
                <w:sz w:val="21"/>
                <w:szCs w:val="21"/>
                <w:highlight w:val="none"/>
                <w:lang w:val="en-US" w:eastAsia="zh-CN"/>
              </w:rPr>
              <w:t>如</w:t>
            </w:r>
            <w:r>
              <w:rPr>
                <w:rFonts w:hint="eastAsia" w:ascii="宋体" w:hAnsi="宋体" w:eastAsia="宋体" w:cs="宋体"/>
                <w:color w:val="auto"/>
                <w:kern w:val="0"/>
                <w:sz w:val="21"/>
                <w:szCs w:val="21"/>
                <w:highlight w:val="none"/>
              </w:rPr>
              <w:t>设计图纸有调整时，必须服从要求调整</w:t>
            </w:r>
            <w:r>
              <w:rPr>
                <w:rFonts w:hint="eastAsia" w:ascii="宋体" w:hAnsi="宋体" w:eastAsia="宋体" w:cs="宋体"/>
                <w:bCs w:val="0"/>
                <w:color w:val="auto"/>
                <w:sz w:val="21"/>
                <w:szCs w:val="21"/>
                <w:highlight w:val="none"/>
                <w:lang w:eastAsia="zh-CN"/>
              </w:rPr>
              <w:t>。</w:t>
            </w:r>
          </w:p>
        </w:tc>
      </w:tr>
      <w:tr>
        <w:tblPrEx>
          <w:tblCellMar>
            <w:top w:w="0" w:type="dxa"/>
            <w:left w:w="108" w:type="dxa"/>
            <w:bottom w:w="0" w:type="dxa"/>
            <w:right w:w="108" w:type="dxa"/>
          </w:tblCellMar>
        </w:tblPrEx>
        <w:trPr>
          <w:trHeight w:val="91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工期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2023年6月20日前完工、交付。</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自筹资金</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color w:val="auto"/>
                <w:kern w:val="2"/>
                <w:sz w:val="21"/>
                <w:szCs w:val="21"/>
                <w:highlight w:val="none"/>
              </w:rPr>
              <w:t>投标人</w:t>
            </w:r>
            <w:r>
              <w:rPr>
                <w:rFonts w:hint="eastAsia" w:ascii="宋体" w:hAnsi="宋体" w:eastAsia="宋体" w:cs="宋体"/>
                <w:bCs w:val="0"/>
                <w:color w:val="auto"/>
                <w:kern w:val="2"/>
                <w:sz w:val="21"/>
                <w:szCs w:val="21"/>
                <w:highlight w:val="none"/>
                <w:lang w:eastAsia="zh-CN"/>
              </w:rPr>
              <w:t>具有市政公用工程施工总承包三级或以上资质</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9"/>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不接受联合体投标。</w:t>
            </w:r>
          </w:p>
        </w:tc>
      </w:tr>
      <w:tr>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服务人员的专业配套要求</w:t>
            </w:r>
          </w:p>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line="360" w:lineRule="auto"/>
              <w:ind w:firstLine="0" w:firstLineChars="0"/>
              <w:rPr>
                <w:rFonts w:hint="eastAsia" w:ascii="宋体" w:hAnsi="宋体" w:eastAsia="宋体" w:cs="宋体"/>
                <w:b w:val="0"/>
                <w:bCs w:val="0"/>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、投标</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委派的项目负责人</w:t>
            </w:r>
            <w:r>
              <w:rPr>
                <w:rFonts w:hint="eastAsia" w:ascii="宋体" w:hAnsi="宋体" w:eastAsia="宋体" w:cs="宋体"/>
                <w:color w:val="auto"/>
                <w:sz w:val="21"/>
                <w:szCs w:val="21"/>
                <w:highlight w:val="none"/>
                <w:lang w:eastAsia="zh-CN"/>
              </w:rPr>
              <w:t>为</w:t>
            </w:r>
            <w:r>
              <w:rPr>
                <w:rFonts w:hint="eastAsia" w:ascii="宋体" w:hAnsi="宋体" w:eastAsia="宋体" w:cs="宋体"/>
                <w:i w:val="0"/>
                <w:iCs w:val="0"/>
                <w:caps w:val="0"/>
                <w:color w:val="auto"/>
                <w:spacing w:val="0"/>
                <w:sz w:val="21"/>
                <w:szCs w:val="21"/>
                <w:highlight w:val="none"/>
                <w:shd w:val="clear"/>
              </w:rPr>
              <w:t>市政公用工程专业</w:t>
            </w:r>
            <w:r>
              <w:rPr>
                <w:rFonts w:hint="eastAsia" w:ascii="宋体" w:hAnsi="宋体" w:eastAsia="宋体" w:cs="宋体"/>
                <w:i w:val="0"/>
                <w:iCs w:val="0"/>
                <w:caps w:val="0"/>
                <w:color w:val="auto"/>
                <w:spacing w:val="0"/>
                <w:sz w:val="21"/>
                <w:szCs w:val="21"/>
                <w:highlight w:val="none"/>
                <w:shd w:val="clear"/>
                <w:lang w:eastAsia="zh-CN"/>
              </w:rPr>
              <w:t>二</w:t>
            </w:r>
            <w:r>
              <w:rPr>
                <w:rFonts w:hint="eastAsia" w:ascii="宋体" w:hAnsi="宋体" w:eastAsia="宋体" w:cs="宋体"/>
                <w:i w:val="0"/>
                <w:iCs w:val="0"/>
                <w:caps w:val="0"/>
                <w:color w:val="auto"/>
                <w:spacing w:val="0"/>
                <w:sz w:val="21"/>
                <w:szCs w:val="21"/>
                <w:highlight w:val="none"/>
                <w:shd w:val="clear"/>
              </w:rPr>
              <w:t>级</w:t>
            </w:r>
            <w:r>
              <w:rPr>
                <w:rFonts w:hint="eastAsia" w:ascii="宋体" w:hAnsi="宋体" w:eastAsia="宋体" w:cs="宋体"/>
                <w:i w:val="0"/>
                <w:iCs w:val="0"/>
                <w:caps w:val="0"/>
                <w:color w:val="auto"/>
                <w:spacing w:val="0"/>
                <w:sz w:val="21"/>
                <w:szCs w:val="21"/>
                <w:highlight w:val="none"/>
                <w:shd w:val="clear"/>
                <w:lang w:eastAsia="zh-CN"/>
              </w:rPr>
              <w:t>或以上</w:t>
            </w:r>
            <w:r>
              <w:rPr>
                <w:rFonts w:hint="eastAsia" w:ascii="宋体" w:hAnsi="宋体" w:eastAsia="宋体" w:cs="宋体"/>
                <w:i w:val="0"/>
                <w:iCs w:val="0"/>
                <w:caps w:val="0"/>
                <w:color w:val="auto"/>
                <w:spacing w:val="0"/>
                <w:sz w:val="21"/>
                <w:szCs w:val="21"/>
                <w:highlight w:val="none"/>
                <w:shd w:val="clear"/>
              </w:rPr>
              <w:t>注册建造师</w:t>
            </w:r>
            <w:r>
              <w:rPr>
                <w:rFonts w:hint="eastAsia" w:ascii="宋体" w:hAnsi="宋体" w:eastAsia="宋体" w:cs="宋体"/>
                <w:color w:val="auto"/>
                <w:sz w:val="21"/>
                <w:szCs w:val="21"/>
                <w:highlight w:val="none"/>
                <w:lang w:eastAsia="zh-CN"/>
              </w:rPr>
              <w:t>。</w:t>
            </w:r>
            <w:r>
              <w:rPr>
                <w:rFonts w:hint="eastAsia" w:ascii="宋体" w:hAnsi="宋体" w:eastAsia="宋体" w:cs="宋体"/>
                <w:b w:val="0"/>
                <w:bCs w:val="0"/>
                <w:color w:val="auto"/>
                <w:sz w:val="21"/>
                <w:szCs w:val="21"/>
                <w:highlight w:val="none"/>
              </w:rPr>
              <w:t>项目负责人</w:t>
            </w:r>
            <w:r>
              <w:rPr>
                <w:rFonts w:hint="eastAsia" w:ascii="宋体" w:hAnsi="宋体" w:eastAsia="宋体" w:cs="宋体"/>
                <w:color w:val="auto"/>
                <w:sz w:val="21"/>
                <w:szCs w:val="21"/>
                <w:highlight w:val="none"/>
                <w:u w:val="none"/>
              </w:rPr>
              <w:t>持有安全培训考核合格证（B类）或建筑施工企业项目负责人安全生产考核合格证书</w:t>
            </w:r>
            <w:r>
              <w:rPr>
                <w:rFonts w:hint="eastAsia" w:ascii="宋体" w:hAnsi="宋体" w:eastAsia="宋体" w:cs="宋体"/>
                <w:b w:val="0"/>
                <w:bCs w:val="0"/>
                <w:color w:val="auto"/>
                <w:sz w:val="21"/>
                <w:szCs w:val="21"/>
                <w:highlight w:val="none"/>
              </w:rPr>
              <w:t>。</w:t>
            </w:r>
          </w:p>
          <w:p>
            <w:pPr>
              <w:widowControl/>
              <w:spacing w:line="360" w:lineRule="auto"/>
              <w:ind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color w:val="auto"/>
                <w:sz w:val="21"/>
                <w:szCs w:val="21"/>
                <w:highlight w:val="none"/>
              </w:rPr>
              <w:t>投标</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委派的</w:t>
            </w:r>
            <w:r>
              <w:rPr>
                <w:rFonts w:hint="eastAsia" w:ascii="宋体" w:hAnsi="宋体" w:eastAsia="宋体" w:cs="宋体"/>
                <w:color w:val="auto"/>
                <w:sz w:val="21"/>
                <w:szCs w:val="21"/>
                <w:highlight w:val="none"/>
                <w:lang w:eastAsia="zh-CN"/>
              </w:rPr>
              <w:t>技术</w:t>
            </w:r>
            <w:r>
              <w:rPr>
                <w:rFonts w:hint="eastAsia" w:ascii="宋体" w:hAnsi="宋体" w:eastAsia="宋体" w:cs="宋体"/>
                <w:color w:val="auto"/>
                <w:sz w:val="21"/>
                <w:szCs w:val="21"/>
                <w:highlight w:val="none"/>
              </w:rPr>
              <w:t>负责人</w:t>
            </w:r>
            <w:r>
              <w:rPr>
                <w:rFonts w:hint="eastAsia" w:ascii="宋体" w:hAnsi="宋体" w:eastAsia="宋体" w:cs="宋体"/>
                <w:color w:val="auto"/>
                <w:sz w:val="21"/>
                <w:szCs w:val="21"/>
                <w:highlight w:val="none"/>
                <w:lang w:eastAsia="zh-CN"/>
              </w:rPr>
              <w:t>具有</w:t>
            </w:r>
            <w:r>
              <w:rPr>
                <w:rFonts w:hint="eastAsia" w:ascii="宋体" w:hAnsi="宋体" w:eastAsia="宋体" w:cs="宋体"/>
                <w:i w:val="0"/>
                <w:iCs w:val="0"/>
                <w:caps w:val="0"/>
                <w:color w:val="auto"/>
                <w:spacing w:val="0"/>
                <w:sz w:val="21"/>
                <w:szCs w:val="21"/>
                <w:highlight w:val="none"/>
                <w:shd w:val="clear"/>
              </w:rPr>
              <w:t>工程</w:t>
            </w:r>
            <w:r>
              <w:rPr>
                <w:rFonts w:hint="eastAsia" w:ascii="宋体" w:hAnsi="宋体" w:eastAsia="宋体" w:cs="宋体"/>
                <w:i w:val="0"/>
                <w:iCs w:val="0"/>
                <w:caps w:val="0"/>
                <w:color w:val="auto"/>
                <w:spacing w:val="0"/>
                <w:sz w:val="21"/>
                <w:szCs w:val="21"/>
                <w:highlight w:val="none"/>
                <w:shd w:val="clear"/>
                <w:lang w:eastAsia="zh-CN"/>
              </w:rPr>
              <w:t>类</w:t>
            </w:r>
            <w:r>
              <w:rPr>
                <w:rFonts w:hint="eastAsia" w:ascii="宋体" w:hAnsi="宋体" w:eastAsia="宋体" w:cs="宋体"/>
                <w:color w:val="auto"/>
                <w:sz w:val="21"/>
                <w:szCs w:val="21"/>
                <w:highlight w:val="none"/>
                <w:lang w:eastAsia="zh-CN"/>
              </w:rPr>
              <w:t>工程师中级或以上职称。项目负责人和技术负责人不能为同一人。</w:t>
            </w:r>
          </w:p>
          <w:p>
            <w:pPr>
              <w:widowControl/>
              <w:spacing w:line="360" w:lineRule="auto"/>
              <w:ind w:firstLine="0" w:firstLineChars="0"/>
              <w:rPr>
                <w:rFonts w:hint="eastAsia" w:ascii="宋体" w:hAnsi="宋体" w:eastAsia="宋体" w:cs="宋体"/>
                <w:color w:val="auto"/>
                <w:szCs w:val="21"/>
                <w:highlight w:val="none"/>
                <w:u w:val="none"/>
                <w:lang w:val="en-US"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b w:val="0"/>
                <w:bCs w:val="0"/>
                <w:color w:val="auto"/>
                <w:sz w:val="21"/>
                <w:szCs w:val="21"/>
                <w:highlight w:val="none"/>
              </w:rPr>
              <w:t>专职安全员须具有</w:t>
            </w:r>
            <w:r>
              <w:rPr>
                <w:rFonts w:hint="eastAsia" w:ascii="宋体" w:hAnsi="宋体" w:eastAsia="宋体" w:cs="宋体"/>
                <w:color w:val="auto"/>
                <w:sz w:val="21"/>
                <w:szCs w:val="21"/>
                <w:highlight w:val="none"/>
                <w:u w:val="none"/>
              </w:rPr>
              <w:t>安全生产考核合格证（C类）</w:t>
            </w:r>
            <w:r>
              <w:rPr>
                <w:rFonts w:hint="eastAsia" w:ascii="宋体" w:hAnsi="宋体" w:eastAsia="宋体" w:cs="宋体"/>
                <w:color w:val="auto"/>
                <w:kern w:val="2"/>
                <w:sz w:val="21"/>
                <w:szCs w:val="21"/>
                <w:highlight w:val="none"/>
                <w:u w:val="none"/>
              </w:rPr>
              <w:t>或建筑施工企业专职安全生产管理人员安全生产考核合格证书</w:t>
            </w:r>
            <w:r>
              <w:rPr>
                <w:rFonts w:hint="eastAsia" w:ascii="宋体" w:hAnsi="宋体" w:eastAsia="宋体" w:cs="宋体"/>
                <w:b w:val="0"/>
                <w:bCs w:val="0"/>
                <w:color w:val="auto"/>
                <w:sz w:val="21"/>
                <w:szCs w:val="21"/>
                <w:highlight w:val="none"/>
                <w:lang w:eastAsia="zh-CN"/>
              </w:rPr>
              <w:t>。</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beforeAutospacing="0" w:after="0"/>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beforeAutospacing="0" w:after="0"/>
              <w:ind w:left="-59" w:leftChars="-28"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资格后审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由投标人自行考察。</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jc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w:t>
            </w:r>
          </w:p>
        </w:tc>
      </w:tr>
      <w:tr>
        <w:tblPrEx>
          <w:tblCellMar>
            <w:top w:w="0" w:type="dxa"/>
            <w:left w:w="108" w:type="dxa"/>
            <w:bottom w:w="0" w:type="dxa"/>
            <w:right w:w="108" w:type="dxa"/>
          </w:tblCellMar>
        </w:tblPrEx>
        <w:trPr>
          <w:trHeight w:val="75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before="100" w:beforeAutospacing="0" w:after="0" w:line="440" w:lineRule="exact"/>
              <w:ind w:left="-59" w:leftChars="-28" w:right="-44" w:rightChars="-21" w:firstLine="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招标控制价及</w:t>
            </w:r>
            <w:r>
              <w:rPr>
                <w:rFonts w:hint="eastAsia" w:ascii="宋体" w:hAnsi="宋体" w:eastAsia="宋体" w:cs="宋体"/>
                <w:color w:val="auto"/>
                <w:highlight w:val="none"/>
                <w:lang w:eastAsia="zh-CN"/>
              </w:rPr>
              <w:t>报价</w:t>
            </w:r>
            <w:r>
              <w:rPr>
                <w:rFonts w:hint="eastAsia" w:ascii="宋体" w:hAnsi="宋体" w:eastAsia="宋体" w:cs="宋体"/>
                <w:color w:val="auto"/>
                <w:highlight w:val="none"/>
              </w:rPr>
              <w:t>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9"/>
              <w:widowControl/>
              <w:spacing w:line="360" w:lineRule="auto"/>
              <w:ind w:firstLine="0" w:firstLineChars="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rPr>
              <w:t>招标控制价为</w:t>
            </w:r>
            <w:r>
              <w:rPr>
                <w:rFonts w:hint="eastAsia" w:ascii="宋体" w:hAnsi="宋体" w:eastAsia="宋体" w:cs="宋体"/>
                <w:color w:val="auto"/>
                <w:sz w:val="21"/>
                <w:szCs w:val="21"/>
                <w:highlight w:val="none"/>
                <w:u w:val="none"/>
                <w:lang w:val="en-US" w:eastAsia="zh-CN"/>
              </w:rPr>
              <w:t>¥</w:t>
            </w:r>
            <w:r>
              <w:rPr>
                <w:rFonts w:hint="eastAsia" w:ascii="宋体" w:hAnsi="宋体" w:eastAsia="宋体" w:cs="宋体"/>
                <w:b w:val="0"/>
                <w:bCs w:val="0"/>
                <w:color w:val="auto"/>
                <w:sz w:val="21"/>
                <w:szCs w:val="21"/>
                <w:highlight w:val="none"/>
                <w:u w:val="none"/>
                <w:lang w:val="en-US" w:eastAsia="zh-CN"/>
              </w:rPr>
              <w:t>882052.37</w:t>
            </w:r>
            <w:r>
              <w:rPr>
                <w:rFonts w:hint="eastAsia" w:ascii="宋体" w:hAnsi="宋体" w:eastAsia="宋体" w:cs="宋体"/>
                <w:color w:val="auto"/>
                <w:sz w:val="21"/>
                <w:szCs w:val="21"/>
                <w:highlight w:val="none"/>
                <w:u w:val="none"/>
              </w:rPr>
              <w:t>元</w:t>
            </w:r>
            <w:r>
              <w:rPr>
                <w:rFonts w:hint="eastAsia" w:ascii="宋体" w:hAnsi="宋体" w:eastAsia="宋体" w:cs="宋体"/>
                <w:color w:val="auto"/>
                <w:sz w:val="21"/>
                <w:szCs w:val="21"/>
                <w:highlight w:val="none"/>
                <w:u w:val="none"/>
                <w:lang w:eastAsia="zh-CN"/>
              </w:rPr>
              <w:t>（大写：人民币</w:t>
            </w:r>
            <w:r>
              <w:rPr>
                <w:rFonts w:hint="eastAsia" w:ascii="宋体" w:hAnsi="宋体" w:eastAsia="宋体" w:cs="宋体"/>
                <w:color w:val="auto"/>
                <w:sz w:val="21"/>
                <w:szCs w:val="21"/>
                <w:highlight w:val="none"/>
                <w:u w:val="none"/>
                <w:lang w:val="en-US" w:eastAsia="zh-CN"/>
              </w:rPr>
              <w:t>捌拾捌万贰仟零伍拾贰元叁角柒分</w:t>
            </w:r>
            <w:r>
              <w:rPr>
                <w:rFonts w:hint="eastAsia" w:ascii="宋体" w:hAnsi="宋体" w:eastAsia="宋体" w:cs="宋体"/>
                <w:color w:val="auto"/>
                <w:sz w:val="21"/>
                <w:szCs w:val="21"/>
                <w:highlight w:val="none"/>
                <w:u w:val="none"/>
                <w:lang w:eastAsia="zh-CN"/>
              </w:rPr>
              <w:t>），其中，</w:t>
            </w:r>
            <w:r>
              <w:rPr>
                <w:rFonts w:hint="eastAsia" w:ascii="宋体" w:hAnsi="宋体" w:eastAsia="宋体" w:cs="宋体"/>
                <w:bCs w:val="0"/>
                <w:color w:val="auto"/>
                <w:sz w:val="21"/>
                <w:szCs w:val="21"/>
                <w:highlight w:val="none"/>
                <w:u w:val="none"/>
                <w:lang w:eastAsia="zh-CN"/>
              </w:rPr>
              <w:t>绿色施工安全防护措施费为</w:t>
            </w:r>
            <w:r>
              <w:rPr>
                <w:rFonts w:hint="eastAsia" w:ascii="宋体" w:hAnsi="宋体" w:eastAsia="宋体" w:cs="宋体"/>
                <w:color w:val="auto"/>
                <w:sz w:val="21"/>
                <w:szCs w:val="21"/>
                <w:highlight w:val="none"/>
                <w:u w:val="none"/>
                <w:lang w:val="en-US" w:eastAsia="zh-CN"/>
              </w:rPr>
              <w:t>¥</w:t>
            </w:r>
            <w:r>
              <w:rPr>
                <w:rFonts w:hint="eastAsia" w:ascii="宋体" w:hAnsi="宋体" w:eastAsia="宋体" w:cs="宋体"/>
                <w:bCs w:val="0"/>
                <w:color w:val="auto"/>
                <w:sz w:val="21"/>
                <w:szCs w:val="21"/>
                <w:highlight w:val="none"/>
                <w:u w:val="none"/>
                <w:lang w:val="en-US" w:eastAsia="zh-CN"/>
              </w:rPr>
              <w:t>35821.27元（固定值）</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kern w:val="2"/>
                <w:sz w:val="21"/>
                <w:szCs w:val="21"/>
                <w:highlight w:val="none"/>
                <w:u w:val="none"/>
                <w:lang w:val="en-US" w:eastAsia="zh-CN" w:bidi="ar-SA"/>
              </w:rPr>
              <w:t>投标单位自行报价，投标报价不能超过招标控制价，否则按废标处理）。（小数点后保留二位小数，第三位小数四舍五入）</w:t>
            </w:r>
          </w:p>
        </w:tc>
      </w:tr>
      <w:tr>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90日历天（从投标截止之日算起）。</w:t>
            </w:r>
          </w:p>
        </w:tc>
      </w:tr>
      <w:tr>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spacing w:val="-4"/>
                <w:highlight w:val="none"/>
              </w:rPr>
            </w:pPr>
            <w:r>
              <w:rPr>
                <w:rFonts w:hint="eastAsia" w:ascii="宋体" w:hAnsi="宋体" w:eastAsia="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1"/>
                <w:numId w:val="0"/>
              </w:numPr>
              <w:adjustRightInd w:val="0"/>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1、金额：人民币</w:t>
            </w:r>
            <w:r>
              <w:rPr>
                <w:rFonts w:hint="eastAsia" w:ascii="宋体" w:hAnsi="宋体" w:eastAsia="宋体" w:cs="宋体"/>
                <w:color w:val="auto"/>
                <w:sz w:val="21"/>
                <w:szCs w:val="21"/>
                <w:highlight w:val="none"/>
                <w:lang w:val="en-US" w:eastAsia="zh-CN"/>
              </w:rPr>
              <w:t>壹万</w:t>
            </w:r>
            <w:r>
              <w:rPr>
                <w:rFonts w:hint="eastAsia" w:ascii="宋体" w:hAnsi="宋体" w:eastAsia="宋体" w:cs="宋体"/>
                <w:color w:val="auto"/>
                <w:sz w:val="21"/>
                <w:szCs w:val="21"/>
                <w:highlight w:val="none"/>
              </w:rPr>
              <w:t>元。</w:t>
            </w:r>
          </w:p>
          <w:p>
            <w:pPr>
              <w:numPr>
                <w:ilvl w:val="-1"/>
                <w:numId w:val="0"/>
              </w:numPr>
              <w:adjustRightInd w:val="0"/>
              <w:snapToGri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2、缴纳方式：</w:t>
            </w:r>
            <w:r>
              <w:rPr>
                <w:rFonts w:hint="eastAsia" w:ascii="宋体" w:hAnsi="宋体" w:eastAsia="宋体" w:cs="宋体"/>
                <w:color w:val="auto"/>
                <w:sz w:val="21"/>
                <w:szCs w:val="21"/>
                <w:highlight w:val="none"/>
                <w:lang w:eastAsia="zh-CN"/>
              </w:rPr>
              <w:t>银行转账。</w:t>
            </w:r>
          </w:p>
          <w:p>
            <w:pPr>
              <w:numPr>
                <w:ilvl w:val="-1"/>
                <w:numId w:val="0"/>
              </w:numPr>
              <w:adjustRightIn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账户名称：广州南沙建设维护管理有限公司</w:t>
            </w:r>
          </w:p>
          <w:p>
            <w:pPr>
              <w:numPr>
                <w:ilvl w:val="-1"/>
                <w:numId w:val="0"/>
              </w:numPr>
              <w:adjustRightIn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开户银行：中国工商银行广东自由贸易试验区南沙分行</w:t>
            </w:r>
            <w:r>
              <w:rPr>
                <w:rFonts w:hint="eastAsia" w:ascii="宋体" w:hAnsi="宋体" w:eastAsia="宋体" w:cs="宋体"/>
                <w:color w:val="auto"/>
                <w:sz w:val="21"/>
                <w:szCs w:val="21"/>
                <w:highlight w:val="none"/>
                <w:lang w:val="en-US" w:eastAsia="zh-CN"/>
              </w:rPr>
              <w:t xml:space="preserve"> </w:t>
            </w:r>
          </w:p>
          <w:p>
            <w:pPr>
              <w:numPr>
                <w:ilvl w:val="-1"/>
                <w:numId w:val="0"/>
              </w:numPr>
              <w:adjustRightInd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账号：3602056909200030855</w:t>
            </w:r>
          </w:p>
          <w:p>
            <w:pPr>
              <w:numPr>
                <w:ilvl w:val="0"/>
                <w:numId w:val="1"/>
              </w:numPr>
              <w:adjustRightInd w:val="0"/>
              <w:snapToGrid w:val="0"/>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rPr>
              <w:t>缴纳时间：投标单位须在</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4月28</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五</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17</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前</w:t>
            </w:r>
            <w:r>
              <w:rPr>
                <w:rFonts w:hint="eastAsia" w:ascii="宋体" w:hAnsi="宋体" w:eastAsia="宋体" w:cs="宋体"/>
                <w:color w:val="auto"/>
                <w:sz w:val="21"/>
                <w:szCs w:val="21"/>
                <w:highlight w:val="none"/>
              </w:rPr>
              <w:t>以投标人转出【以招标单位查询的信息为准，汇款时备注：</w:t>
            </w:r>
            <w:r>
              <w:rPr>
                <w:rFonts w:hint="eastAsia" w:ascii="宋体" w:hAnsi="宋体" w:eastAsia="宋体" w:cs="宋体"/>
                <w:color w:val="auto"/>
                <w:szCs w:val="21"/>
                <w:highlight w:val="none"/>
                <w:u w:val="none"/>
                <w:lang w:eastAsia="zh-CN"/>
              </w:rPr>
              <w:t>湿地景区二期停车场道路升级改造项目施工总承包</w:t>
            </w:r>
            <w:r>
              <w:rPr>
                <w:rFonts w:hint="eastAsia" w:ascii="宋体" w:hAnsi="宋体" w:eastAsia="宋体" w:cs="宋体"/>
                <w:color w:val="auto"/>
                <w:sz w:val="21"/>
                <w:szCs w:val="21"/>
                <w:highlight w:val="none"/>
              </w:rPr>
              <w:t>投标保证金】</w:t>
            </w:r>
          </w:p>
          <w:p>
            <w:pPr>
              <w:numPr>
                <w:ilvl w:val="-1"/>
                <w:numId w:val="0"/>
              </w:numPr>
              <w:adjustRightInd w:val="0"/>
              <w:snapToGrid w:val="0"/>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未按规定缴纳投标保证金的正式投标人将被视为自动放弃本工程的投标资格。</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before="100" w:beforeAutospacing="0" w:after="0" w:line="440" w:lineRule="exact"/>
              <w:ind w:left="-46" w:leftChars="-22"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投标文件：1份正本（含电子文件一套），4份副本。</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w:t>
            </w:r>
          </w:p>
          <w:p>
            <w:pPr>
              <w:pStyle w:val="14"/>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提交地点及</w:t>
            </w:r>
          </w:p>
          <w:p>
            <w:pPr>
              <w:pStyle w:val="14"/>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收件人：李工，66806279</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提交地点：广州市南沙区金融大厦1807会议室</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5月4</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四</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至</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5月4</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四</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r>
              <w:rPr>
                <w:rFonts w:hint="eastAsia" w:ascii="宋体" w:hAnsi="宋体" w:eastAsia="宋体" w:cs="宋体"/>
                <w:color w:val="auto"/>
                <w:kern w:val="2"/>
                <w:sz w:val="21"/>
                <w:szCs w:val="21"/>
                <w:highlight w:val="none"/>
                <w:u w:val="none"/>
                <w:lang w:val="en-US" w:eastAsia="zh-CN" w:bidi="ar-SA"/>
              </w:rPr>
              <w:t>前。</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20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开标时间：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5月4</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四</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地点：广州市南沙区金融大厦1807会议室</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21</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20" w:lineRule="exact"/>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rPr>
              <w:t>综合评分法</w:t>
            </w:r>
          </w:p>
        </w:tc>
      </w:tr>
    </w:tbl>
    <w:p>
      <w:pPr>
        <w:spacing w:line="240" w:lineRule="auto"/>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pPr>
        <w:spacing w:line="240" w:lineRule="auto"/>
        <w:jc w:val="left"/>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br w:type="page"/>
      </w:r>
    </w:p>
    <w:p>
      <w:pPr>
        <w:spacing w:line="240" w:lineRule="auto"/>
        <w:jc w:val="center"/>
        <w:outlineLvl w:val="9"/>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u w:val="single"/>
          <w:lang w:eastAsia="zh-CN"/>
        </w:rPr>
        <w:t>广州南沙湿地旅游发展有限公司</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u w:val="single"/>
          <w:lang w:val="en-US" w:eastAsia="zh-CN"/>
        </w:rPr>
        <w:t>广州</w:t>
      </w:r>
      <w:r>
        <w:rPr>
          <w:rFonts w:hint="eastAsia" w:ascii="宋体" w:hAnsi="宋体" w:eastAsia="宋体" w:cs="宋体"/>
          <w:color w:val="auto"/>
          <w:sz w:val="24"/>
          <w:highlight w:val="none"/>
          <w:u w:val="single"/>
        </w:rPr>
        <w:t>南沙建设维护管理有限公司。</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“建设管理单位”指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广州</w:t>
      </w:r>
      <w:r>
        <w:rPr>
          <w:rFonts w:hint="eastAsia" w:ascii="宋体" w:hAnsi="宋体" w:eastAsia="宋体" w:cs="宋体"/>
          <w:color w:val="auto"/>
          <w:sz w:val="24"/>
          <w:highlight w:val="none"/>
          <w:u w:val="single"/>
        </w:rPr>
        <w:t xml:space="preserve">南沙建设维护管理有限公司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shd w:val="clear" w:color="auto" w:fill="FFFF00"/>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1.7 “招标文件”指由招标代理发出的本文件（包括全部章节、附件）及澄清补充文件。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“投标文件”指投标人根据本招标文件向招标人提交的全部文件。</w:t>
      </w:r>
    </w:p>
    <w:p>
      <w:pPr>
        <w:pStyle w:val="14"/>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1.9 “书面函件”指打字或印刷的函件，包括电传、电报和传真。</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val="en-US" w:eastAsia="zh-CN"/>
        </w:rPr>
        <w:t xml:space="preserve">. </w:t>
      </w:r>
      <w:r>
        <w:rPr>
          <w:rFonts w:hint="eastAsia" w:ascii="宋体" w:hAnsi="宋体" w:eastAsia="宋体" w:cs="宋体"/>
          <w:b/>
          <w:color w:val="auto"/>
          <w:sz w:val="24"/>
          <w:highlight w:val="none"/>
        </w:rPr>
        <w:t>招标说明</w:t>
      </w:r>
    </w:p>
    <w:p>
      <w:pPr>
        <w:spacing w:line="500" w:lineRule="exact"/>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2.1本招标项目按照《中华人民共和国招标投标法》等有关法律、行政法规和部门规章，采取邀请招标的办法，选择有经验、有实力、社会信誉好的单位承担，确保本项目能按期、优质、经济地完成。</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cs="宋体"/>
          <w:color w:val="auto"/>
          <w:sz w:val="24"/>
          <w:highlight w:val="none"/>
        </w:rPr>
        <w:t>项目</w:t>
      </w:r>
      <w:r>
        <w:rPr>
          <w:rFonts w:hint="eastAsia" w:ascii="宋体" w:hAnsi="宋体" w:eastAsia="宋体" w:cs="宋体"/>
          <w:color w:val="auto"/>
          <w:sz w:val="24"/>
          <w:highlight w:val="none"/>
        </w:rPr>
        <w:t>概况：</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sz w:val="24"/>
          <w:highlight w:val="none"/>
        </w:rPr>
        <w:t>项目</w:t>
      </w:r>
      <w:r>
        <w:rPr>
          <w:rFonts w:hint="eastAsia" w:ascii="宋体" w:hAnsi="宋体" w:eastAsia="宋体" w:cs="宋体"/>
          <w:color w:val="auto"/>
          <w:sz w:val="24"/>
          <w:highlight w:val="none"/>
        </w:rPr>
        <w:t>名称：见投标须知前附表第1项。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2.2.3建设规模：见投标须知前附表第3项。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w:t>
      </w:r>
      <w:r>
        <w:rPr>
          <w:rFonts w:hint="eastAsia" w:ascii="宋体" w:hAnsi="宋体" w:eastAsia="宋体" w:cs="宋体"/>
          <w:color w:val="auto"/>
          <w:sz w:val="24"/>
          <w:highlight w:val="none"/>
          <w:lang w:eastAsia="zh-CN"/>
        </w:rPr>
        <w:t>项目总投资</w:t>
      </w:r>
      <w:r>
        <w:rPr>
          <w:rFonts w:hint="eastAsia" w:ascii="宋体" w:hAnsi="宋体" w:eastAsia="宋体" w:cs="宋体"/>
          <w:color w:val="auto"/>
          <w:sz w:val="24"/>
          <w:highlight w:val="none"/>
        </w:rPr>
        <w:t>：见投标须知前附表第4项。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2.2.5</w:t>
      </w:r>
      <w:r>
        <w:rPr>
          <w:rFonts w:hint="eastAsia" w:ascii="宋体" w:hAnsi="宋体" w:eastAsia="宋体" w:cs="宋体"/>
          <w:color w:val="auto"/>
          <w:sz w:val="24"/>
          <w:highlight w:val="none"/>
          <w:lang w:val="en-US" w:eastAsia="zh-CN"/>
        </w:rPr>
        <w:t>质量</w:t>
      </w:r>
      <w:r>
        <w:rPr>
          <w:rFonts w:hint="eastAsia" w:ascii="宋体" w:hAnsi="宋体" w:eastAsia="宋体" w:cs="宋体"/>
          <w:color w:val="auto"/>
          <w:sz w:val="24"/>
          <w:highlight w:val="none"/>
        </w:rPr>
        <w:t>目标：见投标须知前附表第5项。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本招标项目的服务期要求：见投标须知前附表第7项。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2.3.3</w:t>
      </w:r>
      <w:r>
        <w:rPr>
          <w:rFonts w:hint="eastAsia" w:ascii="宋体" w:hAnsi="宋体" w:eastAsia="宋体" w:cs="宋体"/>
          <w:color w:val="auto"/>
          <w:sz w:val="24"/>
          <w:highlight w:val="none"/>
          <w:lang w:eastAsia="zh-CN"/>
        </w:rPr>
        <w:t>投标</w:t>
      </w:r>
      <w:r>
        <w:rPr>
          <w:rFonts w:hint="eastAsia" w:ascii="宋体" w:hAnsi="宋体" w:eastAsia="宋体" w:cs="宋体"/>
          <w:color w:val="auto"/>
          <w:sz w:val="24"/>
          <w:highlight w:val="none"/>
        </w:rPr>
        <w:t>要求：见投标须知前附表第10项。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14"/>
        <w:widowControl/>
        <w:spacing w:beforeAutospacing="0"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w:t>
      </w:r>
      <w:r>
        <w:rPr>
          <w:rFonts w:hint="eastAsia" w:ascii="黑体" w:hAnsi="宋体" w:eastAsia="黑体" w:cs="黑体"/>
          <w:color w:val="auto"/>
          <w:sz w:val="24"/>
          <w:highlight w:val="none"/>
        </w:rPr>
        <w:t>项目需求书</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3）投标文件格式</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4）服务合同</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5）评标办法</w:t>
      </w:r>
    </w:p>
    <w:p>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6）附件</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rPr>
        <w:t>3</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rPr>
        <w:t>3</w:t>
      </w:r>
      <w:r>
        <w:rPr>
          <w:rFonts w:hint="eastAsia" w:ascii="宋体" w:hAnsi="宋体" w:cs="宋体"/>
          <w:color w:val="auto"/>
          <w:sz w:val="24"/>
          <w:szCs w:val="24"/>
          <w:highlight w:val="none"/>
        </w:rPr>
        <w:t>日前，招标人可对招标文件进行必要的澄清或修改。</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14"/>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w:t>
      </w:r>
      <w:r>
        <w:rPr>
          <w:rFonts w:hint="eastAsia" w:ascii="宋体" w:hAnsi="宋体" w:cs="宋体"/>
          <w:b/>
          <w:color w:val="auto"/>
          <w:sz w:val="24"/>
          <w:szCs w:val="24"/>
          <w:highlight w:val="none"/>
          <w:lang w:eastAsia="zh-CN"/>
        </w:rPr>
        <w:t>、</w:t>
      </w:r>
      <w:r>
        <w:rPr>
          <w:rFonts w:hint="eastAsia" w:ascii="宋体" w:hAnsi="宋体" w:cs="宋体"/>
          <w:b/>
          <w:color w:val="auto"/>
          <w:sz w:val="24"/>
          <w:szCs w:val="24"/>
          <w:highlight w:val="none"/>
        </w:rPr>
        <w:t>投标文件的编制</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11.4企业法定代表人证明书及法定代表人授权委托证明书（按招标文件第3章格式填写，或使用从工商管理部门购买的版本填写）。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11.5公司法人营业执照及资质证书复印件。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11.6项目负责人</w:t>
      </w:r>
      <w:r>
        <w:rPr>
          <w:rFonts w:hint="eastAsia" w:ascii="宋体" w:hAnsi="宋体" w:eastAsia="宋体" w:cs="宋体"/>
          <w:color w:val="auto"/>
          <w:sz w:val="24"/>
          <w:highlight w:val="none"/>
          <w:lang w:eastAsia="zh-CN"/>
        </w:rPr>
        <w:t>证书</w:t>
      </w:r>
      <w:r>
        <w:rPr>
          <w:rFonts w:hint="eastAsia" w:ascii="宋体" w:hAnsi="宋体" w:eastAsia="宋体" w:cs="宋体"/>
          <w:color w:val="auto"/>
          <w:sz w:val="24"/>
          <w:highlight w:val="none"/>
        </w:rPr>
        <w:t>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11.7人员到位承诺书（按招标文件第3章格式填写）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11.8投标人综合概况（按招标文件第3章格式填写）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参与本项目的人员一览表及证明文件（按招标文件第3章格式填写）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0</w:t>
      </w:r>
      <w:r>
        <w:rPr>
          <w:rFonts w:hint="eastAsia" w:ascii="宋体" w:hAnsi="宋体" w:eastAsia="宋体" w:cs="宋体"/>
          <w:color w:val="auto"/>
          <w:sz w:val="24"/>
          <w:highlight w:val="none"/>
        </w:rPr>
        <w:t>项目负责人相关经验及业绩（按招标文件第3章格式填写）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报价表</w:t>
      </w:r>
      <w:r>
        <w:rPr>
          <w:rFonts w:hint="eastAsia" w:ascii="宋体" w:hAnsi="宋体" w:eastAsia="宋体" w:cs="宋体"/>
          <w:color w:val="auto"/>
          <w:sz w:val="24"/>
          <w:highlight w:val="none"/>
          <w:lang w:eastAsia="zh-CN"/>
        </w:rPr>
        <w:t>（含报价清单）</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技术标文件（独立成册）。</w:t>
      </w:r>
    </w:p>
    <w:p>
      <w:pPr>
        <w:pStyle w:val="9"/>
        <w:ind w:firstLine="480" w:firstLineChars="200"/>
        <w:rPr>
          <w:rFonts w:hint="eastAsia" w:hAnsi="宋体" w:eastAsia="宋体" w:cs="宋体"/>
          <w:color w:val="auto"/>
          <w:sz w:val="24"/>
          <w:highlight w:val="none"/>
          <w:lang w:eastAsia="zh-CN"/>
        </w:rPr>
      </w:pPr>
      <w:r>
        <w:rPr>
          <w:rFonts w:hAnsi="宋体" w:cs="宋体"/>
          <w:color w:val="auto"/>
          <w:sz w:val="24"/>
          <w:highlight w:val="none"/>
        </w:rPr>
        <w:t>11.1</w:t>
      </w:r>
      <w:r>
        <w:rPr>
          <w:rFonts w:hint="eastAsia" w:hAnsi="宋体" w:cs="宋体"/>
          <w:color w:val="auto"/>
          <w:sz w:val="24"/>
          <w:highlight w:val="none"/>
          <w:lang w:val="en-US" w:eastAsia="zh-CN"/>
        </w:rPr>
        <w:t>3</w:t>
      </w:r>
      <w:r>
        <w:rPr>
          <w:rFonts w:hAnsi="宋体" w:cs="宋体"/>
          <w:color w:val="auto"/>
          <w:sz w:val="24"/>
          <w:highlight w:val="none"/>
        </w:rPr>
        <w:t xml:space="preserve"> 投标文件电子版（刻录光盘</w:t>
      </w:r>
      <w:r>
        <w:rPr>
          <w:rFonts w:hint="eastAsia" w:hAnsi="宋体" w:cs="宋体"/>
          <w:color w:val="auto"/>
          <w:sz w:val="24"/>
          <w:highlight w:val="none"/>
          <w:lang w:eastAsia="zh-CN"/>
        </w:rPr>
        <w:t>或提供</w:t>
      </w:r>
      <w:r>
        <w:rPr>
          <w:rFonts w:hint="eastAsia" w:hAnsi="宋体" w:cs="宋体"/>
          <w:color w:val="auto"/>
          <w:sz w:val="24"/>
          <w:highlight w:val="none"/>
          <w:lang w:val="en-US" w:eastAsia="zh-CN"/>
        </w:rPr>
        <w:t>U盘，需为公司盖章版本</w:t>
      </w:r>
      <w:r>
        <w:rPr>
          <w:rFonts w:hAnsi="宋体" w:cs="宋体"/>
          <w:color w:val="auto"/>
          <w:sz w:val="24"/>
          <w:highlight w:val="none"/>
        </w:rPr>
        <w:t>）</w:t>
      </w:r>
      <w:r>
        <w:rPr>
          <w:rFonts w:hint="eastAsia" w:hAnsi="宋体" w:cs="宋体"/>
          <w:color w:val="auto"/>
          <w:sz w:val="24"/>
          <w:highlight w:val="none"/>
          <w:lang w:eastAsia="zh-CN"/>
        </w:rPr>
        <w:t>。</w:t>
      </w:r>
    </w:p>
    <w:p>
      <w:pPr>
        <w:pStyle w:val="9"/>
        <w:ind w:firstLine="480" w:firstLineChars="200"/>
        <w:rPr>
          <w:rFonts w:hint="eastAsia" w:hAnsi="宋体" w:cs="宋体"/>
          <w:color w:val="auto"/>
          <w:sz w:val="24"/>
          <w:highlight w:val="none"/>
          <w:lang w:val="en-US" w:eastAsia="zh-CN"/>
        </w:rPr>
      </w:pPr>
      <w:r>
        <w:rPr>
          <w:rFonts w:hint="eastAsia" w:hAnsi="宋体" w:cs="宋体"/>
          <w:color w:val="auto"/>
          <w:sz w:val="24"/>
          <w:highlight w:val="none"/>
          <w:lang w:val="en-US" w:eastAsia="zh-CN"/>
        </w:rPr>
        <w:t>11.14投标申请人声明。</w:t>
      </w:r>
    </w:p>
    <w:p>
      <w:pPr>
        <w:pStyle w:val="9"/>
        <w:ind w:firstLine="480" w:firstLineChars="200"/>
        <w:rPr>
          <w:rFonts w:hint="eastAsia" w:ascii="宋体" w:hAnsi="宋体" w:cs="宋体"/>
          <w:color w:val="auto"/>
          <w:sz w:val="24"/>
          <w:highlight w:val="none"/>
          <w:lang w:eastAsia="zh-CN"/>
        </w:rPr>
      </w:pPr>
      <w:r>
        <w:rPr>
          <w:rFonts w:hint="eastAsia" w:hAnsi="宋体" w:cs="宋体"/>
          <w:color w:val="auto"/>
          <w:sz w:val="24"/>
          <w:highlight w:val="none"/>
          <w:lang w:val="en-US" w:eastAsia="zh-CN"/>
        </w:rPr>
        <w:t>11.15</w:t>
      </w:r>
      <w:r>
        <w:rPr>
          <w:rFonts w:hint="eastAsia" w:ascii="宋体" w:hAnsi="宋体" w:cs="宋体"/>
          <w:color w:val="auto"/>
          <w:sz w:val="24"/>
          <w:highlight w:val="none"/>
          <w:lang w:eastAsia="zh-CN"/>
        </w:rPr>
        <w:t>施工组织方案（含安全措施</w:t>
      </w:r>
      <w:r>
        <w:rPr>
          <w:rFonts w:hint="eastAsia" w:ascii="宋体" w:hAnsi="宋体" w:eastAsia="宋体" w:cs="宋体"/>
          <w:color w:val="auto"/>
          <w:sz w:val="24"/>
          <w:highlight w:val="none"/>
          <w:lang w:eastAsia="zh-CN"/>
        </w:rPr>
        <w:t>）</w:t>
      </w:r>
    </w:p>
    <w:p>
      <w:pPr>
        <w:pStyle w:val="9"/>
        <w:ind w:firstLine="480" w:firstLineChars="200"/>
        <w:rPr>
          <w:rFonts w:hint="default" w:hAnsi="宋体" w:eastAsia="宋体" w:cs="宋体"/>
          <w:color w:val="auto"/>
          <w:sz w:val="24"/>
          <w:highlight w:val="none"/>
          <w:lang w:val="en-US" w:eastAsia="zh-CN"/>
        </w:rPr>
      </w:pPr>
      <w:r>
        <w:rPr>
          <w:rFonts w:hint="eastAsia" w:hAnsi="宋体" w:cs="宋体"/>
          <w:color w:val="auto"/>
          <w:sz w:val="24"/>
          <w:highlight w:val="none"/>
          <w:lang w:val="en-US" w:eastAsia="zh-CN"/>
        </w:rPr>
        <w:t>11.16投标人认为需要提供的其他文件。</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投标报价不</w:t>
      </w:r>
      <w:r>
        <w:rPr>
          <w:rFonts w:hint="eastAsia" w:ascii="宋体" w:hAnsi="宋体" w:cs="宋体"/>
          <w:color w:val="auto"/>
          <w:sz w:val="24"/>
          <w:szCs w:val="24"/>
          <w:highlight w:val="none"/>
          <w:lang w:eastAsia="zh-CN"/>
        </w:rPr>
        <w:t>能</w:t>
      </w:r>
      <w:r>
        <w:rPr>
          <w:rFonts w:hint="eastAsia" w:ascii="宋体" w:hAnsi="宋体" w:cs="宋体"/>
          <w:color w:val="auto"/>
          <w:sz w:val="24"/>
          <w:szCs w:val="24"/>
          <w:highlight w:val="none"/>
        </w:rPr>
        <w:t>超过</w:t>
      </w:r>
      <w:r>
        <w:rPr>
          <w:rFonts w:hint="eastAsia" w:ascii="宋体" w:hAnsi="宋体" w:cs="宋体"/>
          <w:color w:val="auto"/>
          <w:sz w:val="24"/>
          <w:szCs w:val="24"/>
          <w:highlight w:val="none"/>
          <w:lang w:eastAsia="zh-CN"/>
        </w:rPr>
        <w:t>招标控制价，否则按废标处理</w:t>
      </w:r>
      <w:r>
        <w:rPr>
          <w:rFonts w:hint="eastAsia" w:ascii="宋体" w:hAnsi="宋体" w:cs="宋体"/>
          <w:color w:val="auto"/>
          <w:sz w:val="24"/>
          <w:szCs w:val="24"/>
          <w:highlight w:val="none"/>
        </w:rPr>
        <w:t>。（小数点后保留二位小数，第三位小数四舍五入）</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r>
        <w:rPr>
          <w:rFonts w:hint="eastAsia" w:ascii="宋体" w:hAnsi="宋体" w:cs="宋体"/>
          <w:color w:val="auto"/>
          <w:sz w:val="24"/>
          <w:szCs w:val="24"/>
          <w:highlight w:val="none"/>
          <w:lang w:eastAsia="zh-CN"/>
        </w:rPr>
        <w:t>，详见</w:t>
      </w:r>
      <w:r>
        <w:rPr>
          <w:rFonts w:hint="eastAsia" w:ascii="宋体" w:hAnsi="宋体" w:cs="宋体"/>
          <w:color w:val="auto"/>
          <w:sz w:val="24"/>
          <w:szCs w:val="24"/>
          <w:highlight w:val="none"/>
        </w:rPr>
        <w:t>投标须知前附表</w:t>
      </w:r>
      <w:r>
        <w:rPr>
          <w:rFonts w:hint="eastAsia" w:ascii="宋体" w:hAnsi="宋体" w:cs="宋体"/>
          <w:color w:val="auto"/>
          <w:sz w:val="24"/>
          <w:szCs w:val="24"/>
          <w:highlight w:val="none"/>
          <w:lang w:eastAsia="zh-CN"/>
        </w:rPr>
        <w:t>要求</w:t>
      </w:r>
      <w:r>
        <w:rPr>
          <w:rFonts w:hint="eastAsia" w:ascii="宋体" w:hAnsi="宋体" w:cs="宋体"/>
          <w:color w:val="auto"/>
          <w:sz w:val="24"/>
          <w:szCs w:val="24"/>
          <w:highlight w:val="none"/>
        </w:rPr>
        <w:t>。</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编号、投标人、投标时间，右上角打上正本（或副本）。使用书式装订，装订时书订不外露；不能使用塑料面或塑料胶条装订。</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w:t>
      </w:r>
      <w:r>
        <w:rPr>
          <w:rFonts w:hint="eastAsia" w:ascii="宋体" w:hAnsi="宋体" w:cs="宋体"/>
          <w:b/>
          <w:color w:val="auto"/>
          <w:sz w:val="24"/>
          <w:highlight w:val="none"/>
          <w:lang w:eastAsia="zh-CN"/>
        </w:rPr>
        <w:t>、</w:t>
      </w:r>
      <w:r>
        <w:rPr>
          <w:rFonts w:hint="eastAsia" w:ascii="宋体" w:hAnsi="宋体" w:cs="宋体"/>
          <w:b/>
          <w:color w:val="auto"/>
          <w:sz w:val="24"/>
          <w:highlight w:val="none"/>
        </w:rPr>
        <w:t>投标文件的提交</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投标文件的包封要求：商务标正本（1本）、副本（4本）一起包封；技术标正本（1本）、副本（4本）一起包封。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前不得开封（填入前附表第19项所述日期及时间）</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投标人应按投标须知前附表第19项所规定的地点，于截止时间前提交投标文件，并办理好送达签认手续。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pPr>
        <w:pStyle w:val="14"/>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开标</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标书密封情况；c.投标报价；d.服务期；e. 质量目标；f.项目负责人等主要内容。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评标</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组成人员或其他有关人员索问评标过程的情况和材料。</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将予以拒绝，并且不允许投标人通过修改或撤销其不符合要求的差异或保留，使之成为具有响应性的投标。</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27.1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27.3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依据投标须知前附表第20项规定的评标标准和方法，详见本招标文件《评标办法》，对投标文件进行评审和比较，向招标人提出书面评标报告，并推荐经评审</w:t>
      </w:r>
      <w:r>
        <w:rPr>
          <w:rFonts w:hint="eastAsia" w:ascii="宋体" w:hAnsi="宋体" w:eastAsia="宋体" w:cs="宋体"/>
          <w:color w:val="auto"/>
          <w:sz w:val="24"/>
          <w:highlight w:val="none"/>
          <w:lang w:eastAsia="zh-CN"/>
        </w:rPr>
        <w:t>综合得分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排序的前一～三名为第一、第二和第三中标候选人。招标人根据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合同的授予</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pPr>
        <w:pStyle w:val="14"/>
        <w:widowControl/>
        <w:numPr>
          <w:ilvl w:val="0"/>
          <w:numId w:val="2"/>
        </w:numPr>
        <w:spacing w:beforeAutospacing="0" w:after="0" w:line="360" w:lineRule="auto"/>
        <w:ind w:firstLine="482" w:firstLineChars="200"/>
        <w:outlineLvl w:val="3"/>
        <w:rPr>
          <w:rFonts w:hint="eastAsia" w:ascii="宋体" w:hAnsi="宋体" w:cs="宋体"/>
          <w:b/>
          <w:color w:val="auto"/>
          <w:sz w:val="24"/>
          <w:highlight w:val="none"/>
        </w:rPr>
      </w:pPr>
      <w:r>
        <w:rPr>
          <w:rFonts w:hint="eastAsia" w:ascii="宋体" w:hAnsi="宋体" w:cs="宋体"/>
          <w:b/>
          <w:color w:val="auto"/>
          <w:sz w:val="24"/>
          <w:highlight w:val="none"/>
        </w:rPr>
        <w:t>合同生效</w:t>
      </w:r>
    </w:p>
    <w:p>
      <w:pPr>
        <w:pStyle w:val="14"/>
        <w:widowControl/>
        <w:numPr>
          <w:ilvl w:val="0"/>
          <w:numId w:val="0"/>
        </w:numPr>
        <w:spacing w:beforeAutospacing="0" w:after="0" w:line="360" w:lineRule="auto"/>
        <w:ind w:firstLine="480" w:firstLineChars="200"/>
        <w:outlineLvl w:val="3"/>
        <w:rPr>
          <w:rFonts w:ascii="黑体" w:hAnsi="宋体" w:cs="黑体"/>
          <w:b/>
          <w:color w:val="auto"/>
          <w:kern w:val="44"/>
          <w:sz w:val="44"/>
          <w:szCs w:val="44"/>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bookmarkStart w:id="4" w:name="_Toc1632"/>
      <w:bookmarkStart w:id="5" w:name="_Toc27492"/>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ascii="黑体" w:hAnsi="宋体" w:cs="黑体"/>
          <w:b/>
          <w:color w:val="auto"/>
          <w:kern w:val="44"/>
          <w:sz w:val="44"/>
          <w:szCs w:val="44"/>
          <w:highlight w:val="none"/>
        </w:rPr>
        <w:br w:type="page"/>
      </w:r>
    </w:p>
    <w:p>
      <w:pPr>
        <w:rPr>
          <w:color w:val="auto"/>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第2章 项目需求书</w:t>
      </w:r>
      <w:bookmarkEnd w:id="4"/>
    </w:p>
    <w:p>
      <w:pPr>
        <w:rPr>
          <w:rFonts w:ascii="宋体" w:hAnsi="宋体" w:eastAsia="宋体" w:cs="宋体"/>
          <w:b/>
          <w:color w:val="auto"/>
          <w:sz w:val="30"/>
          <w:szCs w:val="30"/>
          <w:highlight w:val="none"/>
        </w:rPr>
      </w:pPr>
    </w:p>
    <w:p>
      <w:pPr>
        <w:numPr>
          <w:ilvl w:val="0"/>
          <w:numId w:val="3"/>
        </w:numPr>
        <w:jc w:val="left"/>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项目概况</w:t>
      </w:r>
    </w:p>
    <w:p>
      <w:pPr>
        <w:numPr>
          <w:ilvl w:val="0"/>
          <w:numId w:val="0"/>
        </w:numPr>
        <w:ind w:firstLine="640" w:firstLineChars="200"/>
        <w:rPr>
          <w:rFonts w:hint="eastAsia" w:ascii="仿宋_GB2312" w:hAnsi="仿宋_GB2312" w:eastAsia="仿宋_GB2312" w:cs="仿宋_GB2312"/>
          <w:b/>
          <w:color w:val="auto"/>
          <w:kern w:val="0"/>
          <w:sz w:val="32"/>
          <w:szCs w:val="32"/>
          <w:highlight w:val="none"/>
          <w:lang w:eastAsia="zh-CN"/>
        </w:rPr>
      </w:pPr>
      <w:r>
        <w:rPr>
          <w:rFonts w:hint="eastAsia" w:ascii="仿宋_GB2312" w:hAnsi="仿宋_GB2312" w:eastAsia="仿宋_GB2312" w:cs="仿宋_GB2312"/>
          <w:color w:val="auto"/>
          <w:spacing w:val="0"/>
          <w:sz w:val="32"/>
          <w:szCs w:val="32"/>
          <w:highlight w:val="none"/>
        </w:rPr>
        <w:t>湿地景区二期停车场于2012年建设，场内道路面层为6%水泥石粉</w:t>
      </w:r>
      <w:r>
        <w:rPr>
          <w:rFonts w:hint="eastAsia" w:ascii="仿宋_GB2312" w:hAnsi="仿宋_GB2312" w:eastAsia="仿宋_GB2312" w:cs="仿宋_GB2312"/>
          <w:color w:val="auto"/>
          <w:spacing w:val="0"/>
          <w:sz w:val="32"/>
          <w:szCs w:val="32"/>
          <w:highlight w:val="none"/>
          <w:lang w:eastAsia="zh-CN"/>
        </w:rPr>
        <w:t>面</w:t>
      </w:r>
      <w:r>
        <w:rPr>
          <w:rFonts w:hint="eastAsia" w:ascii="仿宋_GB2312" w:hAnsi="仿宋_GB2312" w:eastAsia="仿宋_GB2312" w:cs="仿宋_GB2312"/>
          <w:color w:val="auto"/>
          <w:spacing w:val="0"/>
          <w:sz w:val="32"/>
          <w:szCs w:val="32"/>
          <w:highlight w:val="none"/>
        </w:rPr>
        <w:t>层，坑洼积水较多，对场内主</w:t>
      </w:r>
      <w:r>
        <w:rPr>
          <w:rFonts w:hint="eastAsia" w:ascii="仿宋_GB2312" w:hAnsi="仿宋_GB2312" w:eastAsia="仿宋_GB2312" w:cs="仿宋_GB2312"/>
          <w:color w:val="auto"/>
          <w:spacing w:val="0"/>
          <w:sz w:val="32"/>
          <w:szCs w:val="32"/>
          <w:highlight w:val="none"/>
          <w:lang w:eastAsia="zh-CN"/>
        </w:rPr>
        <w:t>干</w:t>
      </w:r>
      <w:r>
        <w:rPr>
          <w:rFonts w:hint="eastAsia" w:ascii="仿宋_GB2312" w:hAnsi="仿宋_GB2312" w:eastAsia="仿宋_GB2312" w:cs="仿宋_GB2312"/>
          <w:color w:val="auto"/>
          <w:spacing w:val="0"/>
          <w:sz w:val="32"/>
          <w:szCs w:val="32"/>
          <w:highlight w:val="none"/>
        </w:rPr>
        <w:t>道进行升级改造</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shd w:val="clear" w:color="auto" w:fill="auto"/>
          <w:lang w:val="en-US" w:eastAsia="zh-CN"/>
        </w:rPr>
        <w:t>项目</w:t>
      </w:r>
      <w:r>
        <w:rPr>
          <w:rFonts w:hint="eastAsia" w:ascii="仿宋_GB2312" w:hAnsi="仿宋_GB2312" w:eastAsia="仿宋_GB2312" w:cs="仿宋_GB2312"/>
          <w:color w:val="auto"/>
          <w:sz w:val="32"/>
          <w:szCs w:val="32"/>
          <w:highlight w:val="none"/>
          <w:shd w:val="clear" w:color="auto" w:fill="auto"/>
          <w:lang w:eastAsia="zh-CN"/>
        </w:rPr>
        <w:t>投资约</w:t>
      </w:r>
      <w:r>
        <w:rPr>
          <w:rFonts w:hint="eastAsia" w:ascii="仿宋_GB2312" w:hAnsi="仿宋_GB2312" w:eastAsia="仿宋_GB2312" w:cs="仿宋_GB2312"/>
          <w:color w:val="auto"/>
          <w:sz w:val="32"/>
          <w:szCs w:val="32"/>
          <w:highlight w:val="none"/>
          <w:lang w:val="en-US" w:eastAsia="zh-CN"/>
        </w:rPr>
        <w:t>120</w:t>
      </w:r>
      <w:r>
        <w:rPr>
          <w:rFonts w:hint="eastAsia" w:ascii="仿宋_GB2312" w:hAnsi="仿宋_GB2312" w:eastAsia="仿宋_GB2312" w:cs="仿宋_GB2312"/>
          <w:color w:val="auto"/>
          <w:sz w:val="32"/>
          <w:szCs w:val="32"/>
          <w:highlight w:val="none"/>
        </w:rPr>
        <w:t>万元</w:t>
      </w:r>
      <w:r>
        <w:rPr>
          <w:rFonts w:hint="eastAsia" w:ascii="仿宋_GB2312" w:hAnsi="仿宋_GB2312" w:eastAsia="仿宋_GB2312" w:cs="仿宋_GB2312"/>
          <w:color w:val="auto"/>
          <w:sz w:val="32"/>
          <w:szCs w:val="32"/>
          <w:highlight w:val="none"/>
          <w:lang w:eastAsia="zh-CN"/>
        </w:rPr>
        <w:t>。</w:t>
      </w:r>
    </w:p>
    <w:p>
      <w:pPr>
        <w:numPr>
          <w:ilvl w:val="0"/>
          <w:numId w:val="0"/>
        </w:numP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二、招标范围</w:t>
      </w:r>
    </w:p>
    <w:p>
      <w:pPr>
        <w:pStyle w:val="2"/>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eastAsia="zh-CN"/>
        </w:rPr>
        <w:t>拆除二期停车场排水沟86.87米；新增排水沟313米</w:t>
      </w:r>
      <w:r>
        <w:rPr>
          <w:rFonts w:hint="eastAsia" w:ascii="仿宋_GB2312" w:hAnsi="仿宋_GB2312" w:eastAsia="仿宋_GB2312" w:cs="仿宋_GB2312"/>
          <w:color w:val="auto"/>
          <w:spacing w:val="0"/>
          <w:sz w:val="32"/>
          <w:szCs w:val="32"/>
          <w:highlight w:val="none"/>
          <w:lang w:val="en-US" w:eastAsia="zh-CN"/>
        </w:rPr>
        <w:t>；混凝土道路铺设约375米，宽7米，面积约2750平方米，厚15厘米；开通岔路约192平方米，厚15厘米；停车场出入口闸门改造和增设人行上下楼梯建设等。具体以实际施工图纸、工程量清单为准。</w:t>
      </w:r>
    </w:p>
    <w:p>
      <w:pPr>
        <w:pStyle w:val="9"/>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val="en-US" w:eastAsia="zh-CN"/>
        </w:rPr>
        <w:t>投标</w:t>
      </w:r>
      <w:r>
        <w:rPr>
          <w:rFonts w:hint="eastAsia" w:ascii="仿宋_GB2312" w:hAnsi="仿宋_GB2312" w:eastAsia="仿宋_GB2312" w:cs="仿宋_GB2312"/>
          <w:color w:val="auto"/>
          <w:kern w:val="0"/>
          <w:sz w:val="32"/>
          <w:szCs w:val="32"/>
          <w:highlight w:val="none"/>
        </w:rPr>
        <w:t>人需按</w:t>
      </w:r>
      <w:r>
        <w:rPr>
          <w:rFonts w:hint="eastAsia" w:ascii="仿宋_GB2312" w:hAnsi="仿宋_GB2312" w:eastAsia="仿宋_GB2312" w:cs="仿宋_GB2312"/>
          <w:color w:val="auto"/>
          <w:kern w:val="0"/>
          <w:sz w:val="32"/>
          <w:szCs w:val="32"/>
          <w:highlight w:val="none"/>
          <w:lang w:val="en-US" w:eastAsia="zh-CN"/>
        </w:rPr>
        <w:t>招标文件、图纸规范等</w:t>
      </w:r>
      <w:r>
        <w:rPr>
          <w:rFonts w:hint="eastAsia" w:ascii="仿宋_GB2312" w:hAnsi="仿宋_GB2312" w:eastAsia="仿宋_GB2312" w:cs="仿宋_GB2312"/>
          <w:color w:val="auto"/>
          <w:kern w:val="0"/>
          <w:sz w:val="32"/>
          <w:szCs w:val="32"/>
          <w:highlight w:val="none"/>
        </w:rPr>
        <w:t>要求</w:t>
      </w:r>
      <w:r>
        <w:rPr>
          <w:rFonts w:hint="eastAsia" w:ascii="仿宋_GB2312" w:hAnsi="仿宋_GB2312" w:eastAsia="仿宋_GB2312" w:cs="仿宋_GB2312"/>
          <w:color w:val="auto"/>
          <w:kern w:val="0"/>
          <w:sz w:val="32"/>
          <w:szCs w:val="32"/>
          <w:highlight w:val="none"/>
          <w:lang w:val="en-US" w:eastAsia="zh-CN"/>
        </w:rPr>
        <w:t>进行</w:t>
      </w:r>
      <w:r>
        <w:rPr>
          <w:rFonts w:hint="eastAsia" w:ascii="仿宋_GB2312" w:hAnsi="仿宋_GB2312" w:eastAsia="仿宋_GB2312" w:cs="仿宋_GB2312"/>
          <w:color w:val="auto"/>
          <w:kern w:val="0"/>
          <w:sz w:val="32"/>
          <w:szCs w:val="32"/>
          <w:highlight w:val="none"/>
        </w:rPr>
        <w:t>施工，</w:t>
      </w:r>
      <w:r>
        <w:rPr>
          <w:rFonts w:hint="eastAsia" w:ascii="仿宋_GB2312" w:hAnsi="仿宋_GB2312" w:eastAsia="仿宋_GB2312" w:cs="仿宋_GB2312"/>
          <w:color w:val="auto"/>
          <w:kern w:val="0"/>
          <w:sz w:val="32"/>
          <w:szCs w:val="32"/>
          <w:highlight w:val="none"/>
          <w:lang w:val="en-US" w:eastAsia="zh-CN"/>
        </w:rPr>
        <w:t>如</w:t>
      </w:r>
      <w:r>
        <w:rPr>
          <w:rFonts w:hint="eastAsia" w:ascii="仿宋_GB2312" w:hAnsi="仿宋_GB2312" w:eastAsia="仿宋_GB2312" w:cs="仿宋_GB2312"/>
          <w:color w:val="auto"/>
          <w:kern w:val="0"/>
          <w:sz w:val="32"/>
          <w:szCs w:val="32"/>
          <w:highlight w:val="none"/>
        </w:rPr>
        <w:t>设计图纸有调整时，必须服从要求调整</w:t>
      </w:r>
      <w:r>
        <w:rPr>
          <w:rFonts w:hint="eastAsia" w:ascii="仿宋_GB2312" w:hAnsi="仿宋_GB2312" w:eastAsia="仿宋_GB2312" w:cs="仿宋_GB2312"/>
          <w:bCs w:val="0"/>
          <w:color w:val="auto"/>
          <w:sz w:val="32"/>
          <w:szCs w:val="32"/>
          <w:highlight w:val="none"/>
          <w:lang w:eastAsia="zh-CN"/>
        </w:rPr>
        <w:t>。</w:t>
      </w:r>
    </w:p>
    <w:p>
      <w:pPr>
        <w:ind w:firstLine="480" w:firstLineChars="200"/>
        <w:rPr>
          <w:rFonts w:asciiTheme="minorEastAsia" w:hAnsiTheme="minorEastAsia" w:cstheme="minorEastAsia"/>
          <w:color w:val="auto"/>
          <w:kern w:val="0"/>
          <w:sz w:val="24"/>
          <w:highlight w:val="none"/>
        </w:rPr>
      </w:pPr>
    </w:p>
    <w:p>
      <w:pP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第3章  投标格式文件</w:t>
      </w:r>
      <w:bookmarkEnd w:id="5"/>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rPr>
          <w:rFonts w:ascii="宋体" w:hAnsi="宋体" w:eastAsia="宋体" w:cs="宋体"/>
          <w:color w:val="auto"/>
          <w:sz w:val="24"/>
          <w:highlight w:val="none"/>
        </w:rPr>
      </w:pP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广州南沙湿地旅游发展有限公司</w:t>
      </w:r>
      <w:r>
        <w:rPr>
          <w:rFonts w:hint="eastAsia" w:ascii="宋体" w:hAnsi="宋体" w:eastAsia="宋体" w:cs="Times New Roman"/>
          <w:color w:val="auto"/>
          <w:spacing w:val="20"/>
          <w:sz w:val="24"/>
          <w:highlight w:val="none"/>
          <w:u w:val="single"/>
        </w:rPr>
        <w:t>、广州南沙建设维护管理有限公司：</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我方决定参加贵方的</w:t>
      </w:r>
      <w:r>
        <w:rPr>
          <w:rFonts w:hint="eastAsia" w:ascii="宋体" w:hAnsi="宋体" w:eastAsia="宋体" w:cs="Times New Roman"/>
          <w:color w:val="auto"/>
          <w:spacing w:val="20"/>
          <w:sz w:val="24"/>
          <w:highlight w:val="none"/>
          <w:u w:val="single"/>
          <w:lang w:eastAsia="zh-CN"/>
        </w:rPr>
        <w:t>湿地景区二期停车场道路升级改造项目施工总承包</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Times New Roman"/>
          <w:color w:val="auto"/>
          <w:spacing w:val="20"/>
          <w:sz w:val="24"/>
          <w:highlight w:val="none"/>
          <w:u w:val="single"/>
          <w:lang w:eastAsia="zh-CN"/>
        </w:rPr>
        <w:t>湿地景区二期停车场道路升级改造项目施工总承包</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4、在正式签订服务协议书之前，本投标书连同贵方的中标通知书应成为约束贵、我双方的合同文件。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广州南沙湿地旅游发展有限公司</w:t>
      </w:r>
      <w:r>
        <w:rPr>
          <w:rFonts w:hint="eastAsia" w:ascii="宋体" w:hAnsi="宋体" w:eastAsia="宋体" w:cs="Times New Roman"/>
          <w:color w:val="auto"/>
          <w:spacing w:val="20"/>
          <w:sz w:val="24"/>
          <w:highlight w:val="none"/>
          <w:u w:val="single"/>
        </w:rPr>
        <w:t>、广州南沙建设维护管理有限公司</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授权代表： (签  字)</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3240" w:firstLineChars="135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23"/>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6" w:name="_Toc216145749"/>
      <w:bookmarkEnd w:id="6"/>
      <w:bookmarkStart w:id="7" w:name="_Toc223342668"/>
      <w:bookmarkEnd w:id="7"/>
      <w:r>
        <w:rPr>
          <w:rFonts w:hint="eastAsia" w:ascii="宋体" w:hAnsi="宋体" w:eastAsia="宋体" w:cs="黑体"/>
          <w:color w:val="auto"/>
          <w:sz w:val="28"/>
          <w:szCs w:val="28"/>
          <w:highlight w:val="none"/>
        </w:rPr>
        <w:t>格式三：</w:t>
      </w:r>
    </w:p>
    <w:p>
      <w:pPr>
        <w:pStyle w:val="25"/>
        <w:widowControl/>
        <w:ind w:firstLine="0" w:firstLineChars="0"/>
        <w:jc w:val="center"/>
        <w:outlineLvl w:val="2"/>
        <w:rPr>
          <w:color w:val="auto"/>
          <w:kern w:val="44"/>
          <w:highlight w:val="none"/>
        </w:rPr>
      </w:pPr>
      <w:bookmarkStart w:id="8" w:name="_Toc172416501"/>
      <w:bookmarkEnd w:id="8"/>
      <w:r>
        <w:rPr>
          <w:rFonts w:hint="eastAsia" w:ascii="宋体" w:hAnsi="宋体" w:cs="宋体"/>
          <w:b/>
          <w:color w:val="auto"/>
          <w:sz w:val="30"/>
          <w:szCs w:val="30"/>
          <w:highlight w:val="none"/>
        </w:rPr>
        <w:t>法定代表人证明书</w:t>
      </w:r>
    </w:p>
    <w:p>
      <w:pPr>
        <w:pStyle w:val="25"/>
        <w:widowControl/>
        <w:ind w:firstLine="496"/>
        <w:jc w:val="right"/>
        <w:rPr>
          <w:b/>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5"/>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pPr>
        <w:pStyle w:val="25"/>
        <w:widowControl/>
        <w:ind w:firstLine="618"/>
        <w:rPr>
          <w:b/>
          <w:color w:val="auto"/>
          <w:sz w:val="30"/>
          <w:szCs w:val="30"/>
          <w:highlight w:val="none"/>
        </w:rPr>
      </w:pPr>
      <w:r>
        <w:rPr>
          <w:b/>
          <w:color w:val="auto"/>
          <w:sz w:val="30"/>
          <w:szCs w:val="30"/>
          <w:highlight w:val="none"/>
        </w:rPr>
        <w:t xml:space="preserve"> </w:t>
      </w:r>
    </w:p>
    <w:p>
      <w:pPr>
        <w:pStyle w:val="25"/>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5"/>
        <w:widowControl/>
        <w:ind w:firstLine="496"/>
        <w:jc w:val="right"/>
        <w:rPr>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5"/>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pPr>
        <w:pStyle w:val="23"/>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9" w:name="_Toc216145759"/>
      <w:bookmarkEnd w:id="9"/>
      <w:bookmarkStart w:id="10"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23"/>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10"/>
      <w:r>
        <w:rPr>
          <w:rFonts w:hint="eastAsia" w:ascii="宋体" w:hAnsi="宋体" w:eastAsia="宋体" w:cs="宋体"/>
          <w:color w:val="auto"/>
          <w:sz w:val="28"/>
          <w:szCs w:val="28"/>
          <w:highlight w:val="none"/>
        </w:rPr>
        <w:t xml:space="preserve"> </w:t>
      </w:r>
    </w:p>
    <w:p>
      <w:pPr>
        <w:pStyle w:val="25"/>
        <w:widowControl/>
        <w:ind w:firstLine="0" w:firstLineChars="0"/>
        <w:jc w:val="center"/>
        <w:rPr>
          <w:b/>
          <w:color w:val="auto"/>
          <w:sz w:val="28"/>
          <w:szCs w:val="28"/>
          <w:highlight w:val="none"/>
        </w:rPr>
      </w:pPr>
      <w:r>
        <w:rPr>
          <w:b/>
          <w:color w:val="auto"/>
          <w:sz w:val="28"/>
          <w:szCs w:val="28"/>
          <w:highlight w:val="none"/>
        </w:rPr>
        <w:t xml:space="preserve"> </w:t>
      </w:r>
    </w:p>
    <w:p>
      <w:pPr>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广州南沙湿地旅游发展有限公司</w:t>
      </w:r>
      <w:r>
        <w:rPr>
          <w:rFonts w:hint="eastAsia" w:ascii="宋体" w:hAnsi="宋体" w:eastAsia="宋体" w:cs="宋体"/>
          <w:color w:val="auto"/>
          <w:sz w:val="24"/>
          <w:highlight w:val="none"/>
          <w:u w:val="single"/>
        </w:rPr>
        <w:t>、广州南沙建设维护管理有限公司</w:t>
      </w:r>
    </w:p>
    <w:p>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投标项目名称：</w:t>
      </w:r>
      <w:r>
        <w:rPr>
          <w:rFonts w:hint="eastAsia" w:ascii="宋体" w:hAnsi="宋体" w:eastAsia="宋体" w:cs="Times New Roman"/>
          <w:color w:val="auto"/>
          <w:spacing w:val="20"/>
          <w:sz w:val="24"/>
          <w:highlight w:val="none"/>
          <w:u w:val="single"/>
          <w:lang w:eastAsia="zh-CN"/>
        </w:rPr>
        <w:t>湿地景区二期停车场道路升级改造项目施工总承包</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w:t>
      </w:r>
      <w:r>
        <w:rPr>
          <w:rFonts w:hint="eastAsia" w:ascii="宋体" w:hAnsi="宋体" w:eastAsia="宋体" w:cs="宋体"/>
          <w:color w:val="auto"/>
          <w:sz w:val="24"/>
          <w:highlight w:val="none"/>
          <w:lang w:eastAsia="zh-CN"/>
        </w:rPr>
        <w:t>实际</w:t>
      </w:r>
      <w:r>
        <w:rPr>
          <w:rFonts w:hint="eastAsia" w:ascii="宋体" w:hAnsi="宋体" w:eastAsia="宋体" w:cs="宋体"/>
          <w:color w:val="auto"/>
          <w:sz w:val="24"/>
          <w:highlight w:val="none"/>
        </w:rPr>
        <w:t>人员</w:t>
      </w:r>
      <w:r>
        <w:rPr>
          <w:rFonts w:hint="eastAsia" w:ascii="宋体" w:hAnsi="宋体" w:eastAsia="宋体" w:cs="宋体"/>
          <w:color w:val="auto"/>
          <w:sz w:val="24"/>
          <w:highlight w:val="none"/>
          <w:lang w:val="en-US" w:eastAsia="zh-CN"/>
        </w:rPr>
        <w:t>均按投标文件人员名单配备</w:t>
      </w:r>
      <w:r>
        <w:rPr>
          <w:rFonts w:hint="eastAsia" w:ascii="宋体" w:hAnsi="宋体" w:eastAsia="宋体" w:cs="宋体"/>
          <w:color w:val="auto"/>
          <w:sz w:val="24"/>
          <w:highlight w:val="none"/>
        </w:rPr>
        <w:t>。</w:t>
      </w:r>
    </w:p>
    <w:p>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投标单位名称（盖法人公章）：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snapToGrid w:val="0"/>
        <w:spacing w:after="120"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outlineLvl w:val="1"/>
        <w:rPr>
          <w:rFonts w:ascii="宋体" w:hAnsi="宋体" w:eastAsia="宋体" w:cs="宋体"/>
          <w:b/>
          <w:color w:val="auto"/>
          <w:sz w:val="28"/>
          <w:szCs w:val="28"/>
          <w:highlight w:val="none"/>
        </w:rPr>
      </w:pPr>
      <w:r>
        <w:rPr>
          <w:rFonts w:ascii="Times New Roman" w:hAnsi="Times New Roman" w:eastAsia="宋体" w:cs="Times New Roman"/>
          <w:color w:val="auto"/>
          <w:spacing w:val="18"/>
          <w:szCs w:val="21"/>
          <w:highlight w:val="none"/>
        </w:rPr>
        <w:br w:type="page"/>
      </w:r>
      <w:bookmarkStart w:id="11" w:name="_Toc197235848"/>
      <w:bookmarkEnd w:id="11"/>
      <w:bookmarkStart w:id="12" w:name="_Toc459403394"/>
      <w:bookmarkEnd w:id="12"/>
      <w:bookmarkStart w:id="13" w:name="_Toc199647675"/>
      <w:bookmarkEnd w:id="13"/>
      <w:bookmarkStart w:id="14" w:name="_Toc41822703"/>
      <w:bookmarkEnd w:id="14"/>
      <w:bookmarkStart w:id="15" w:name="_Toc196130013"/>
      <w:bookmarkEnd w:id="15"/>
      <w:bookmarkStart w:id="16" w:name="_Toc326909213"/>
      <w:bookmarkEnd w:id="16"/>
      <w:bookmarkStart w:id="17" w:name="_Toc196036941"/>
      <w:bookmarkEnd w:id="17"/>
      <w:bookmarkStart w:id="18" w:name="_Toc196037097"/>
      <w:bookmarkEnd w:id="18"/>
      <w:bookmarkStart w:id="19" w:name="_Toc415728297"/>
      <w:bookmarkEnd w:id="19"/>
      <w:bookmarkStart w:id="20" w:name="_Toc415833503"/>
      <w:bookmarkEnd w:id="20"/>
      <w:bookmarkStart w:id="21" w:name="_Toc196130110"/>
      <w:bookmarkEnd w:id="21"/>
      <w:bookmarkStart w:id="22" w:name="_Toc462911098"/>
      <w:r>
        <w:rPr>
          <w:rFonts w:hint="eastAsia" w:ascii="宋体" w:hAnsi="宋体" w:eastAsia="宋体" w:cs="黑体"/>
          <w:b/>
          <w:color w:val="auto"/>
          <w:spacing w:val="4"/>
          <w:kern w:val="0"/>
          <w:sz w:val="28"/>
          <w:szCs w:val="28"/>
          <w:highlight w:val="none"/>
        </w:rPr>
        <w:t>格式五</w:t>
      </w:r>
      <w:bookmarkEnd w:id="22"/>
      <w:r>
        <w:rPr>
          <w:rFonts w:hint="eastAsia" w:ascii="宋体" w:hAnsi="宋体" w:eastAsia="宋体" w:cs="宋体"/>
          <w:color w:val="auto"/>
          <w:sz w:val="28"/>
          <w:szCs w:val="28"/>
          <w:highlight w:val="none"/>
        </w:rPr>
        <w:t>：</w:t>
      </w:r>
    </w:p>
    <w:p>
      <w:pPr>
        <w:spacing w:line="360" w:lineRule="auto"/>
        <w:jc w:val="center"/>
        <w:outlineLvl w:val="2"/>
        <w:rPr>
          <w:rFonts w:ascii="仿宋" w:hAnsi="仿宋" w:eastAsia="仿宋" w:cs="仿宋"/>
          <w:b/>
          <w:bCs/>
          <w:color w:val="auto"/>
          <w:sz w:val="36"/>
          <w:szCs w:val="36"/>
          <w:highlight w:val="none"/>
        </w:rPr>
      </w:pPr>
      <w:bookmarkStart w:id="23" w:name="_Toc41822704"/>
      <w:bookmarkEnd w:id="23"/>
      <w:r>
        <w:rPr>
          <w:rFonts w:hint="eastAsia" w:ascii="仿宋" w:hAnsi="仿宋" w:eastAsia="仿宋" w:cs="仿宋"/>
          <w:b/>
          <w:bCs/>
          <w:color w:val="auto"/>
          <w:sz w:val="36"/>
          <w:szCs w:val="36"/>
          <w:highlight w:val="none"/>
        </w:rPr>
        <w:t>投标人综合概况</w:t>
      </w:r>
    </w:p>
    <w:tbl>
      <w:tblPr>
        <w:tblStyle w:val="15"/>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组织机构代码</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注册登记号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pacing w:val="30"/>
                <w:sz w:val="24"/>
                <w:highlight w:val="none"/>
              </w:rPr>
            </w:pPr>
            <w:r>
              <w:rPr>
                <w:rFonts w:hint="eastAsia" w:ascii="仿宋" w:hAnsi="仿宋" w:eastAsia="仿宋" w:cs="仿宋"/>
                <w:color w:val="auto"/>
                <w:sz w:val="24"/>
                <w:highlight w:val="none"/>
              </w:rPr>
              <w:t>税务登记证号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 月-  年 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ISO9000认证号、范围</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5"/>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90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878"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投标单位简介（请简要说明单位情况，包括成立时间、业务范围、专业构成、规模）：</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5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投标单位完成本项目所独有的有利条件及相关的专业特长：</w:t>
            </w:r>
          </w:p>
        </w:tc>
      </w:tr>
    </w:tbl>
    <w:p>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24" w:name="_Toc326909214"/>
      <w:bookmarkEnd w:id="24"/>
      <w:bookmarkStart w:id="25" w:name="_Toc196037098"/>
      <w:bookmarkEnd w:id="25"/>
      <w:bookmarkStart w:id="26" w:name="_Toc196130111"/>
      <w:bookmarkEnd w:id="26"/>
      <w:bookmarkStart w:id="27" w:name="_Toc196130014"/>
      <w:bookmarkEnd w:id="27"/>
      <w:bookmarkStart w:id="28" w:name="_Toc199647676"/>
      <w:bookmarkEnd w:id="28"/>
      <w:bookmarkStart w:id="29" w:name="_Toc197235849"/>
      <w:bookmarkEnd w:id="29"/>
      <w:bookmarkStart w:id="30" w:name="_Toc459403395"/>
      <w:bookmarkEnd w:id="30"/>
      <w:bookmarkStart w:id="31" w:name="_Toc196036942"/>
      <w:bookmarkEnd w:id="31"/>
      <w:bookmarkStart w:id="32" w:name="_Toc415728298"/>
      <w:bookmarkEnd w:id="32"/>
      <w:bookmarkStart w:id="33" w:name="_Toc415833504"/>
      <w:bookmarkEnd w:id="33"/>
      <w:bookmarkStart w:id="34" w:name="_Toc462911099"/>
    </w:p>
    <w:bookmarkEnd w:id="34"/>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六</w:t>
      </w:r>
      <w:r>
        <w:rPr>
          <w:rFonts w:hint="eastAsia" w:ascii="仿宋" w:hAnsi="仿宋" w:eastAsia="仿宋" w:cs="宋体"/>
          <w:color w:val="auto"/>
          <w:sz w:val="28"/>
          <w:szCs w:val="28"/>
          <w:highlight w:val="none"/>
        </w:rPr>
        <w:t>：</w:t>
      </w:r>
    </w:p>
    <w:p>
      <w:pPr>
        <w:adjustRightInd w:val="0"/>
        <w:snapToGrid w:val="0"/>
        <w:spacing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5"/>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bl>
    <w:p>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注：1、“拟承担工作”栏，应注明主要人员（须注明项目负责人、各专业负责人）等。</w:t>
      </w:r>
    </w:p>
    <w:p>
      <w:pPr>
        <w:adjustRightInd w:val="0"/>
        <w:snapToGrid w:val="0"/>
        <w:spacing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、人员应附上个人注册执业资格证、职称证等文件（复印件，加盖单位公章）。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七</w:t>
      </w:r>
      <w:r>
        <w:rPr>
          <w:rFonts w:hint="eastAsia" w:ascii="仿宋" w:hAnsi="仿宋" w:eastAsia="仿宋" w:cs="宋体"/>
          <w:color w:val="auto"/>
          <w:sz w:val="28"/>
          <w:szCs w:val="28"/>
          <w:highlight w:val="none"/>
        </w:rPr>
        <w:t>：</w:t>
      </w:r>
    </w:p>
    <w:p>
      <w:pPr>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项目负责人相关经验及业绩</w:t>
      </w:r>
    </w:p>
    <w:p>
      <w:pPr>
        <w:adjustRightInd w:val="0"/>
        <w:snapToGrid w:val="0"/>
        <w:spacing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拟在本合同任职</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p>
        </w:tc>
        <w:tc>
          <w:tcPr>
            <w:tcW w:w="3420" w:type="dxa"/>
            <w:gridSpan w:val="4"/>
            <w:vAlign w:val="center"/>
          </w:tcPr>
          <w:p>
            <w:pPr>
              <w:spacing w:line="460" w:lineRule="exact"/>
              <w:jc w:val="left"/>
              <w:rPr>
                <w:rFonts w:ascii="宋体" w:hAnsi="宋体" w:eastAsia="宋体" w:cs="宋体"/>
                <w:color w:val="auto"/>
                <w:szCs w:val="21"/>
                <w:highlight w:val="none"/>
              </w:rPr>
            </w:pPr>
          </w:p>
        </w:tc>
        <w:tc>
          <w:tcPr>
            <w:tcW w:w="1261" w:type="dxa"/>
            <w:vAlign w:val="center"/>
          </w:tcPr>
          <w:p>
            <w:pPr>
              <w:spacing w:line="460" w:lineRule="exact"/>
              <w:jc w:val="left"/>
              <w:rPr>
                <w:rFonts w:ascii="宋体" w:hAnsi="宋体" w:eastAsia="宋体" w:cs="宋体"/>
                <w:color w:val="auto"/>
                <w:szCs w:val="21"/>
                <w:highlight w:val="none"/>
              </w:rPr>
            </w:pPr>
          </w:p>
        </w:tc>
        <w:tc>
          <w:tcPr>
            <w:tcW w:w="2296" w:type="dxa"/>
            <w:gridSpan w:val="2"/>
            <w:vAlign w:val="center"/>
          </w:tcPr>
          <w:p>
            <w:pPr>
              <w:spacing w:line="460" w:lineRule="exact"/>
              <w:jc w:val="left"/>
              <w:rPr>
                <w:rFonts w:ascii="宋体" w:hAnsi="宋体" w:eastAsia="宋体" w:cs="宋体"/>
                <w:color w:val="auto"/>
                <w:szCs w:val="21"/>
                <w:highlight w:val="none"/>
              </w:rPr>
            </w:pPr>
          </w:p>
        </w:tc>
      </w:tr>
    </w:tbl>
    <w:p>
      <w:pPr>
        <w:rPr>
          <w:rFonts w:ascii="仿宋" w:hAnsi="仿宋" w:eastAsia="仿宋" w:cs="仿宋"/>
          <w:color w:val="auto"/>
          <w:szCs w:val="21"/>
          <w:highlight w:val="none"/>
        </w:rPr>
      </w:pPr>
    </w:p>
    <w:p>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2、项目负责人必须附执业证书及资格证书（项目负责人提供）、身份证、职称证书及业绩等证明材料（复印件，加盖单位公章）。</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3、业绩证明资料须提供：合同；相关证明资料中必须能反映出评标所需指标、人员姓名和岗位等，否则相应子项不予计分。</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25"/>
        <w:widowControl/>
        <w:ind w:firstLine="0" w:firstLineChars="0"/>
        <w:rPr>
          <w:color w:val="auto"/>
          <w:spacing w:val="18"/>
          <w:highlight w:val="none"/>
        </w:rPr>
      </w:pPr>
      <w:r>
        <w:rPr>
          <w:color w:val="auto"/>
          <w:spacing w:val="18"/>
          <w:highlight w:val="none"/>
        </w:rPr>
        <w:t xml:space="preserve"> </w:t>
      </w:r>
    </w:p>
    <w:p>
      <w:pPr>
        <w:widowControl/>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NumType w:start="1"/>
          <w:cols w:space="425" w:num="1"/>
          <w:docGrid w:type="lines" w:linePitch="285" w:charSpace="0"/>
        </w:sectPr>
      </w:pPr>
    </w:p>
    <w:p>
      <w:pPr>
        <w:spacing w:line="360" w:lineRule="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八</w:t>
      </w:r>
      <w:r>
        <w:rPr>
          <w:rFonts w:hint="eastAsia" w:ascii="宋体" w:hAnsi="宋体" w:eastAsia="宋体" w:cs="黑体"/>
          <w:b/>
          <w:color w:val="auto"/>
          <w:spacing w:val="4"/>
          <w:kern w:val="0"/>
          <w:sz w:val="28"/>
          <w:szCs w:val="28"/>
          <w:highlight w:val="none"/>
        </w:rPr>
        <w:t>：</w:t>
      </w:r>
    </w:p>
    <w:p>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en-US" w:eastAsia="zh-CN"/>
        </w:rPr>
        <w:t>投标</w:t>
      </w:r>
      <w:r>
        <w:rPr>
          <w:rFonts w:hint="eastAsia" w:ascii="黑体" w:hAnsi="黑体" w:eastAsia="黑体" w:cs="黑体"/>
          <w:b/>
          <w:bCs/>
          <w:color w:val="auto"/>
          <w:sz w:val="32"/>
          <w:szCs w:val="32"/>
          <w:highlight w:val="none"/>
          <w:lang w:val="zh-CN"/>
        </w:rPr>
        <w:t>报价表</w:t>
      </w:r>
    </w:p>
    <w:p>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5"/>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eastAsia="zh-CN"/>
              </w:rPr>
              <w:t>湿地景区二期停车场道路升级改造项目施工总承包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restart"/>
            <w:vAlign w:val="center"/>
          </w:tcPr>
          <w:p>
            <w:pPr>
              <w:autoSpaceDE w:val="0"/>
              <w:autoSpaceDN w:val="0"/>
              <w:adjustRightInd w:val="0"/>
              <w:snapToGrid w:val="0"/>
              <w:spacing w:line="360" w:lineRule="auto"/>
              <w:jc w:val="center"/>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投标总报价</w:t>
            </w:r>
          </w:p>
          <w:p>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r>
              <w:rPr>
                <w:rFonts w:hint="eastAsia" w:ascii="宋体" w:hAnsi="宋体" w:cs="宋体" w:eastAsiaTheme="minorEastAsia"/>
                <w:bCs/>
                <w:color w:val="auto"/>
                <w:sz w:val="21"/>
                <w:szCs w:val="21"/>
                <w:highlight w:val="none"/>
                <w:u w:val="none"/>
                <w:lang w:val="zh-CN" w:eastAsia="zh-CN"/>
              </w:rPr>
              <w:t>（人民币）</w:t>
            </w:r>
          </w:p>
        </w:tc>
        <w:tc>
          <w:tcPr>
            <w:tcW w:w="6699" w:type="dxa"/>
            <w:vAlign w:val="center"/>
          </w:tcPr>
          <w:p>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rPr>
              <w:t>小写：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rPr>
              <w:t>大写：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hint="default"/>
                <w:color w:val="auto"/>
                <w:highlight w:val="none"/>
                <w:lang w:val="en-US" w:eastAsia="zh-CN"/>
              </w:rPr>
            </w:pPr>
            <w:r>
              <w:rPr>
                <w:rFonts w:hint="eastAsia"/>
                <w:color w:val="auto"/>
                <w:highlight w:val="none"/>
                <w:lang w:eastAsia="zh-CN"/>
              </w:rPr>
              <w:t>下浮率：</w:t>
            </w:r>
            <w:r>
              <w:rPr>
                <w:rFonts w:hint="eastAsia"/>
                <w:color w:val="auto"/>
                <w:highlight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2711" w:type="dxa"/>
            <w:vMerge w:val="continue"/>
            <w:vAlign w:val="center"/>
          </w:tcPr>
          <w:p>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p>
        </w:tc>
        <w:tc>
          <w:tcPr>
            <w:tcW w:w="6699" w:type="dxa"/>
            <w:vAlign w:val="center"/>
          </w:tcPr>
          <w:p>
            <w:pPr>
              <w:autoSpaceDE w:val="0"/>
              <w:autoSpaceDN w:val="0"/>
              <w:adjustRightInd w:val="0"/>
              <w:snapToGrid w:val="0"/>
              <w:spacing w:line="360" w:lineRule="auto"/>
              <w:jc w:val="left"/>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其中：</w:t>
            </w:r>
            <w:r>
              <w:rPr>
                <w:rFonts w:hint="eastAsia" w:ascii="宋体" w:hAnsi="宋体" w:cs="宋体"/>
                <w:bCs/>
                <w:color w:val="auto"/>
                <w:sz w:val="21"/>
                <w:szCs w:val="21"/>
                <w:highlight w:val="none"/>
                <w:u w:val="none"/>
                <w:lang w:val="en-US" w:eastAsia="zh-CN"/>
              </w:rPr>
              <w:t>绿色施工安全防护措施费</w:t>
            </w:r>
            <w:r>
              <w:rPr>
                <w:rFonts w:hint="eastAsia" w:ascii="宋体" w:hAnsi="宋体" w:cs="宋体" w:eastAsiaTheme="minorEastAsia"/>
                <w:bCs/>
                <w:color w:val="auto"/>
                <w:sz w:val="21"/>
                <w:szCs w:val="21"/>
                <w:highlight w:val="none"/>
                <w:u w:val="none"/>
                <w:lang w:val="en-US" w:eastAsia="zh-CN"/>
              </w:rPr>
              <w:t>为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2711" w:type="dxa"/>
            <w:vAlign w:val="center"/>
          </w:tcPr>
          <w:p>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r>
              <w:rPr>
                <w:rFonts w:hint="eastAsia" w:ascii="宋体" w:hAnsi="宋体" w:cs="宋体"/>
                <w:bCs/>
                <w:color w:val="auto"/>
                <w:szCs w:val="21"/>
                <w:highlight w:val="none"/>
                <w:lang w:val="en-US" w:eastAsia="zh-CN"/>
              </w:rPr>
              <w:t>工期</w:t>
            </w:r>
          </w:p>
        </w:tc>
        <w:tc>
          <w:tcPr>
            <w:tcW w:w="6699" w:type="dxa"/>
            <w:vAlign w:val="center"/>
          </w:tcPr>
          <w:p>
            <w:pPr>
              <w:autoSpaceDE w:val="0"/>
              <w:autoSpaceDN w:val="0"/>
              <w:adjustRightInd w:val="0"/>
              <w:snapToGrid w:val="0"/>
              <w:spacing w:line="360" w:lineRule="auto"/>
              <w:jc w:val="left"/>
              <w:rPr>
                <w:rFonts w:hint="eastAsia" w:ascii="宋体" w:hAnsi="宋体" w:cs="宋体"/>
                <w:bCs/>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bl>
    <w:p>
      <w:pPr>
        <w:pStyle w:val="9"/>
        <w:spacing w:line="360" w:lineRule="auto"/>
        <w:ind w:firstLine="210" w:firstLineChars="100"/>
        <w:rPr>
          <w:rFonts w:hAnsi="宋体" w:cs="宋体"/>
          <w:bCs/>
          <w:color w:val="auto"/>
          <w:highlight w:val="none"/>
        </w:rPr>
      </w:pPr>
      <w:r>
        <w:rPr>
          <w:rFonts w:hAnsi="宋体" w:cs="宋体"/>
          <w:bCs/>
          <w:color w:val="auto"/>
          <w:highlight w:val="none"/>
        </w:rPr>
        <w:t>注：（1）投标总报价的大写金额和小写金额不一致的，以大写金额为准，投标报价精确到小数点后两位。</w:t>
      </w:r>
    </w:p>
    <w:p>
      <w:pPr>
        <w:pStyle w:val="9"/>
        <w:spacing w:line="360" w:lineRule="auto"/>
        <w:ind w:firstLine="210" w:firstLineChars="100"/>
        <w:rPr>
          <w:rFonts w:hint="eastAsia" w:ascii="宋体" w:hAnsi="宋体" w:eastAsia="宋体" w:cs="宋体"/>
          <w:color w:val="auto"/>
          <w:sz w:val="21"/>
          <w:szCs w:val="21"/>
          <w:highlight w:val="none"/>
        </w:rPr>
      </w:pPr>
      <w:r>
        <w:rPr>
          <w:rFonts w:hint="eastAsia" w:hAnsi="宋体" w:cs="宋体"/>
          <w:bCs/>
          <w:color w:val="auto"/>
          <w:highlight w:val="none"/>
          <w:lang w:eastAsia="zh-CN"/>
        </w:rPr>
        <w:t>（</w:t>
      </w:r>
      <w:r>
        <w:rPr>
          <w:rFonts w:hint="eastAsia" w:hAnsi="宋体" w:cs="宋体"/>
          <w:bCs/>
          <w:color w:val="auto"/>
          <w:highlight w:val="none"/>
          <w:lang w:val="en-US" w:eastAsia="zh-CN"/>
        </w:rPr>
        <w:t>2</w:t>
      </w:r>
      <w:r>
        <w:rPr>
          <w:rFonts w:hint="eastAsia" w:hAnsi="宋体" w:cs="宋体"/>
          <w:bCs/>
          <w:color w:val="auto"/>
          <w:highlight w:val="none"/>
          <w:lang w:eastAsia="zh-CN"/>
        </w:rPr>
        <w:t>）</w:t>
      </w:r>
      <w:r>
        <w:rPr>
          <w:rFonts w:hint="eastAsia" w:ascii="宋体" w:hAnsi="宋体" w:eastAsia="宋体" w:cs="宋体"/>
          <w:color w:val="auto"/>
          <w:sz w:val="21"/>
          <w:szCs w:val="21"/>
          <w:highlight w:val="none"/>
        </w:rPr>
        <w:t>本项目</w:t>
      </w:r>
      <w:r>
        <w:rPr>
          <w:rFonts w:hint="eastAsia" w:hAnsi="宋体" w:cs="宋体"/>
          <w:color w:val="auto"/>
          <w:sz w:val="21"/>
          <w:szCs w:val="21"/>
          <w:highlight w:val="none"/>
          <w:lang w:eastAsia="zh-CN"/>
        </w:rPr>
        <w:t>招标控制价详见投标须知前附表约定。</w:t>
      </w:r>
    </w:p>
    <w:p>
      <w:pPr>
        <w:spacing w:line="360" w:lineRule="auto"/>
        <w:rPr>
          <w:rFonts w:hAnsi="宋体"/>
          <w:b/>
          <w:color w:val="auto"/>
          <w:highlight w:val="none"/>
        </w:rPr>
      </w:pPr>
      <w:r>
        <w:rPr>
          <w:rFonts w:hAnsi="宋体"/>
          <w:b/>
          <w:color w:val="auto"/>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rPr>
        <w:t>商务文件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52"/>
          <w:szCs w:val="52"/>
          <w:highlight w:val="none"/>
        </w:rPr>
      </w:pPr>
      <w:r>
        <w:rPr>
          <w:rFonts w:hint="eastAsia" w:eastAsia="黑体"/>
          <w:color w:val="auto"/>
          <w:sz w:val="52"/>
          <w:szCs w:val="52"/>
          <w:highlight w:val="none"/>
        </w:rPr>
        <w:t>技术文件</w:t>
      </w:r>
    </w:p>
    <w:p>
      <w:pPr>
        <w:autoSpaceDE w:val="0"/>
        <w:autoSpaceDN w:val="0"/>
        <w:adjustRightInd w:val="0"/>
        <w:spacing w:line="480" w:lineRule="auto"/>
        <w:rPr>
          <w:rFonts w:eastAsia="黑体"/>
          <w:color w:val="auto"/>
          <w:sz w:val="28"/>
          <w:szCs w:val="28"/>
          <w:highlight w:val="none"/>
        </w:rPr>
      </w:pPr>
    </w:p>
    <w:p>
      <w:pPr>
        <w:spacing w:line="480" w:lineRule="auto"/>
        <w:rPr>
          <w:color w:val="auto"/>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pStyle w:val="9"/>
        <w:rPr>
          <w:rFonts w:hint="default"/>
          <w:color w:val="auto"/>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35" w:name="_Toc374128477"/>
      <w:bookmarkEnd w:id="35"/>
      <w:bookmarkStart w:id="36" w:name="_Toc30913"/>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第4章 评标办法</w:t>
      </w:r>
      <w:bookmarkEnd w:id="36"/>
    </w:p>
    <w:p>
      <w:pPr>
        <w:spacing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cols w:space="425" w:num="1"/>
          <w:docGrid w:linePitch="285" w:charSpace="0"/>
        </w:sectPr>
      </w:pPr>
      <w:r>
        <w:rPr>
          <w:rFonts w:ascii="Times New Roman" w:hAnsi="Times New Roman" w:eastAsia="宋体" w:cs="Times New Roman"/>
          <w:color w:val="auto"/>
          <w:szCs w:val="21"/>
          <w:highlight w:val="none"/>
        </w:rPr>
        <w:br w:type="page"/>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1.1本项目采取邀请招标选择</w:t>
      </w:r>
      <w:r>
        <w:rPr>
          <w:rFonts w:hint="eastAsia" w:ascii="仿宋" w:hAnsi="仿宋" w:eastAsia="仿宋" w:cs="仿宋"/>
          <w:color w:val="auto"/>
          <w:sz w:val="28"/>
          <w:szCs w:val="28"/>
          <w:highlight w:val="none"/>
          <w:lang w:eastAsia="zh-CN"/>
        </w:rPr>
        <w:t>施工总承包</w:t>
      </w:r>
      <w:r>
        <w:rPr>
          <w:rFonts w:hint="eastAsia" w:ascii="仿宋" w:hAnsi="仿宋" w:eastAsia="仿宋" w:cs="仿宋"/>
          <w:color w:val="auto"/>
          <w:sz w:val="28"/>
          <w:szCs w:val="28"/>
          <w:highlight w:val="none"/>
        </w:rPr>
        <w:t>单位，为保证招标“公开、公平、公正”，根据国家有关工程建设招标投标的法律、法规和方针、政策，制定本评标细则，实行评标的规范化、标准化、科学化。</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w:t>
      </w:r>
      <w:r>
        <w:rPr>
          <w:rFonts w:hint="eastAsia" w:ascii="仿宋" w:hAnsi="仿宋" w:eastAsia="仿宋" w:cs="仿宋"/>
          <w:color w:val="auto"/>
          <w:sz w:val="28"/>
          <w:szCs w:val="28"/>
          <w:highlight w:val="none"/>
          <w:lang w:eastAsia="zh-CN"/>
        </w:rPr>
        <w:t>施工总承包</w:t>
      </w:r>
      <w:r>
        <w:rPr>
          <w:rFonts w:hint="eastAsia" w:ascii="仿宋" w:hAnsi="仿宋" w:eastAsia="仿宋" w:cs="仿宋"/>
          <w:color w:val="auto"/>
          <w:sz w:val="28"/>
          <w:szCs w:val="28"/>
          <w:highlight w:val="none"/>
        </w:rPr>
        <w:t>招标。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本评标办法的解释和修订权属招标人。</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w:t>
      </w:r>
      <w:r>
        <w:rPr>
          <w:rFonts w:hint="eastAsia" w:ascii="仿宋" w:hAnsi="仿宋" w:eastAsia="仿宋" w:cs="仿宋"/>
          <w:color w:val="auto"/>
          <w:sz w:val="28"/>
          <w:szCs w:val="28"/>
          <w:highlight w:val="none"/>
          <w:lang w:eastAsia="zh-CN"/>
        </w:rPr>
        <w:t>民法典</w:t>
      </w:r>
      <w:r>
        <w:rPr>
          <w:rFonts w:hint="eastAsia" w:ascii="仿宋" w:hAnsi="仿宋" w:eastAsia="仿宋" w:cs="仿宋"/>
          <w:color w:val="auto"/>
          <w:sz w:val="28"/>
          <w:szCs w:val="28"/>
          <w:highlight w:val="none"/>
        </w:rPr>
        <w:t>》；</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360" w:lineRule="auto"/>
        <w:ind w:firstLine="560" w:firstLineChars="200"/>
        <w:jc w:val="lef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2.3《中华人民共和国招标投标法实施条例》</w:t>
      </w:r>
      <w:r>
        <w:rPr>
          <w:rFonts w:hint="eastAsia" w:ascii="仿宋" w:hAnsi="仿宋" w:eastAsia="仿宋" w:cs="仿宋"/>
          <w:color w:val="auto"/>
          <w:sz w:val="28"/>
          <w:szCs w:val="28"/>
          <w:highlight w:val="none"/>
          <w:lang w:eastAsia="zh-CN"/>
        </w:rPr>
        <w:t>；</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和评标方法暂行规定》；</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w:t>
      </w:r>
      <w:r>
        <w:rPr>
          <w:rFonts w:hint="eastAsia" w:ascii="仿宋" w:hAnsi="仿宋" w:eastAsia="仿宋" w:cs="仿宋"/>
          <w:color w:val="auto"/>
          <w:sz w:val="28"/>
          <w:szCs w:val="28"/>
          <w:highlight w:val="none"/>
          <w:lang w:eastAsia="zh-CN"/>
        </w:rPr>
        <w:t>广州</w:t>
      </w:r>
      <w:r>
        <w:rPr>
          <w:rFonts w:hint="eastAsia" w:ascii="仿宋" w:hAnsi="仿宋" w:eastAsia="仿宋" w:cs="仿宋"/>
          <w:color w:val="auto"/>
          <w:sz w:val="28"/>
          <w:szCs w:val="28"/>
          <w:highlight w:val="none"/>
        </w:rPr>
        <w:t>市公共资源交易中心备案；情节严重，构成犯罪的，由司法机关依法追究其刑事责任。</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9"/>
        <w:widowControl/>
        <w:spacing w:line="360" w:lineRule="auto"/>
        <w:ind w:firstLine="562" w:firstLineChars="200"/>
        <w:rPr>
          <w:rFonts w:hint="eastAsia" w:ascii="仿宋" w:hAnsi="仿宋" w:eastAsia="仿宋" w:cs="仿宋"/>
          <w:b/>
          <w:color w:val="auto"/>
          <w:sz w:val="28"/>
          <w:szCs w:val="28"/>
          <w:highlight w:val="none"/>
          <w:lang w:eastAsia="zh-CN"/>
        </w:rPr>
      </w:pPr>
      <w:r>
        <w:rPr>
          <w:rFonts w:ascii="仿宋" w:hAnsi="仿宋" w:eastAsia="仿宋" w:cs="仿宋"/>
          <w:b/>
          <w:color w:val="auto"/>
          <w:sz w:val="28"/>
          <w:szCs w:val="28"/>
          <w:highlight w:val="none"/>
        </w:rPr>
        <w:t>5.1</w:t>
      </w:r>
      <w:r>
        <w:rPr>
          <w:rFonts w:hint="eastAsia" w:ascii="仿宋" w:hAnsi="仿宋" w:eastAsia="仿宋" w:cs="仿宋"/>
          <w:b/>
          <w:color w:val="auto"/>
          <w:sz w:val="28"/>
          <w:szCs w:val="28"/>
          <w:highlight w:val="none"/>
          <w:lang w:val="en-US" w:eastAsia="zh-CN"/>
        </w:rPr>
        <w:t xml:space="preserve">  </w:t>
      </w:r>
      <w:r>
        <w:rPr>
          <w:rFonts w:hint="eastAsia" w:ascii="仿宋" w:hAnsi="仿宋" w:eastAsia="仿宋" w:cs="仿宋"/>
          <w:b/>
          <w:color w:val="auto"/>
          <w:sz w:val="28"/>
          <w:szCs w:val="28"/>
          <w:highlight w:val="none"/>
          <w:lang w:eastAsia="zh-CN"/>
        </w:rPr>
        <w:t>评标小组</w:t>
      </w:r>
    </w:p>
    <w:p>
      <w:pPr>
        <w:pStyle w:val="9"/>
        <w:widowControl/>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5.1.1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由招标人依法组建的5名专家组成。</w:t>
      </w:r>
    </w:p>
    <w:p>
      <w:pPr>
        <w:pStyle w:val="9"/>
        <w:widowControl/>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5.1.2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推举产生1名评标组长，主持评审工作，评标组长与其他成员有同等表决权。</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5.2.1  </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根据招标文件规定的评标标准和方法，对投标文件进行评审和比较，招标文件中没有规定的标准和方法不得作为评标的依据。</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主要对投标文件进行评议。</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负责裁决。裁决前，</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应认真阅读招标文件的规定。投标文件中全部符合附件1《符合性审查表》中任一种情形的，为有效标书，否则其投标文件将被否决。若本项目通过符合性审查的投标人不足3名时，应重新招标。</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成员应当对投标文件发表专业、客观、公正的意见，意见不一致的应作进一步核实和讨论。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成员对任何一个投标文件的质疑，应当在讨论或现场讲解时提出，表决结果公布后才提出的质疑，不可作为改变表决结果的依据。</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对超越招标文件要求的内容不进行评审，只评审该投标文件符合要求的内容。</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评标办法采用</w:t>
      </w:r>
      <w:r>
        <w:rPr>
          <w:rFonts w:hint="eastAsia" w:ascii="仿宋" w:hAnsi="仿宋" w:eastAsia="仿宋" w:cs="仿宋"/>
          <w:b/>
          <w:color w:val="auto"/>
          <w:sz w:val="28"/>
          <w:szCs w:val="28"/>
          <w:highlight w:val="none"/>
          <w:u w:val="single"/>
        </w:rPr>
        <w:t>综合评分法评标</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spacing w:line="360" w:lineRule="auto"/>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360" w:lineRule="auto"/>
        <w:ind w:left="0" w:leftChars="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专家首先按附件1《符合性审查表》对各投标文件进行评审，只有通过符合性审查的投标文件方可进入下一阶段的评审。如果有符合性审查不通过提议，则</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成员共同表决，按照少数服从多数的原则决定是否通过符合性审查。</w:t>
      </w:r>
    </w:p>
    <w:p>
      <w:pPr>
        <w:spacing w:line="360" w:lineRule="auto"/>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专家计算各投标人的综合得分</w:t>
      </w:r>
      <w:r>
        <w:rPr>
          <w:rFonts w:hint="eastAsia" w:ascii="仿宋" w:hAnsi="仿宋" w:eastAsia="仿宋" w:cs="仿宋"/>
          <w:color w:val="auto"/>
          <w:sz w:val="28"/>
          <w:szCs w:val="28"/>
          <w:highlight w:val="none"/>
          <w:lang w:eastAsia="zh-CN"/>
        </w:rPr>
        <w:t>。</w:t>
      </w:r>
    </w:p>
    <w:p>
      <w:pPr>
        <w:spacing w:line="360" w:lineRule="auto"/>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编写、签署评标报告，向招标人推荐综合得分最高的前三名中标候选方案（中标候选人）并标明排列顺序，评标报告由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全体成员签名，对评标结论持有异议的</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成员可以书面方式阐述其不同意见和理由。</w:t>
      </w:r>
    </w:p>
    <w:p>
      <w:pPr>
        <w:spacing w:line="360" w:lineRule="auto"/>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推荐的候选方案中确定中标方案。但是，招标人认为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推荐的候选方案不能最大限度满足招标文件规定的要求的，依法重新招标。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360" w:lineRule="auto"/>
        <w:ind w:left="956" w:leftChars="266" w:hanging="397" w:hangingChars="142"/>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招标人委托</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直接确定中标人；</w:t>
      </w:r>
    </w:p>
    <w:p>
      <w:pPr>
        <w:spacing w:line="360" w:lineRule="auto"/>
        <w:ind w:left="0" w:leftChars="0" w:firstLine="562" w:firstLineChars="200"/>
        <w:jc w:val="left"/>
        <w:rPr>
          <w:rFonts w:hint="eastAsia" w:ascii="仿宋" w:hAnsi="仿宋" w:eastAsia="仿宋" w:cs="仿宋"/>
          <w:color w:val="auto"/>
          <w:sz w:val="28"/>
          <w:szCs w:val="28"/>
          <w:highlight w:val="none"/>
          <w:lang w:val="en-US" w:eastAsia="zh-CN"/>
        </w:rPr>
      </w:pPr>
      <w:r>
        <w:rPr>
          <w:rFonts w:hint="eastAsia" w:ascii="仿宋" w:hAnsi="仿宋" w:eastAsia="仿宋" w:cs="仿宋"/>
          <w:b/>
          <w:color w:val="auto"/>
          <w:kern w:val="0"/>
          <w:sz w:val="28"/>
          <w:szCs w:val="28"/>
          <w:highlight w:val="none"/>
        </w:rPr>
        <w:t>√</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b w:val="0"/>
          <w:bCs/>
          <w:color w:val="auto"/>
          <w:kern w:val="0"/>
          <w:sz w:val="28"/>
          <w:szCs w:val="28"/>
          <w:highlight w:val="none"/>
          <w:lang w:val="en-US" w:eastAsia="zh-CN"/>
        </w:rPr>
        <w:t>2</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color w:val="auto"/>
          <w:sz w:val="28"/>
          <w:szCs w:val="28"/>
          <w:highlight w:val="none"/>
        </w:rPr>
        <w:t>确定</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w:t>
      </w:r>
      <w:r>
        <w:rPr>
          <w:rFonts w:hint="eastAsia" w:ascii="仿宋" w:hAnsi="仿宋" w:eastAsia="仿宋" w:cs="仿宋"/>
          <w:color w:val="auto"/>
          <w:sz w:val="28"/>
          <w:szCs w:val="28"/>
          <w:highlight w:val="none"/>
          <w:u w:val="none"/>
        </w:rPr>
        <w:t>，也可以重新招标</w:t>
      </w:r>
      <w:r>
        <w:rPr>
          <w:rFonts w:hint="eastAsia" w:ascii="仿宋" w:hAnsi="仿宋" w:eastAsia="仿宋" w:cs="仿宋"/>
          <w:color w:val="auto"/>
          <w:sz w:val="28"/>
          <w:szCs w:val="28"/>
          <w:highlight w:val="none"/>
        </w:rPr>
        <w:t>。以此类推，如所有中标候选人均出现前款所列的情形，为招标失败，招标人依法重新招标。</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9"/>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9"/>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9"/>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由投标人或其推选的代表检查投标文件的密封情况，也可以由招标人委托的公证机构检查并公证；</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a、投标人名称；b、标书密封情况；c、法定代表人证明及授权委托；d、项目负责人名称；e、投标报价等主要内容以及开标记录表中的其他必要内容，并予以记录，记录提交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评审。</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进行评审。</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7.1.1 </w:t>
      </w:r>
      <w:r>
        <w:rPr>
          <w:rFonts w:hint="eastAsia" w:ascii="仿宋" w:hAnsi="仿宋" w:eastAsia="仿宋" w:cs="仿宋"/>
          <w:color w:val="auto"/>
          <w:sz w:val="28"/>
          <w:szCs w:val="28"/>
          <w:highlight w:val="none"/>
        </w:rPr>
        <w:t>第一步：进行投标文件符合性审查；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依据有关法律、法规和招标文件的规定对投标文件进行评审，若本项目经评审有效的投标人不足3名时，本次招标失败，招标人应当依法重新组织招标。</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第二步：专家对综合评分表进行打分；</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第三步：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完成评标报告，向招标人推荐中标候选人。</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根据附件1“符合性审查表”进行评审。投标文件全部列于附件1《符合性审查表》中情形的，为通过符合性审查。否则其投标文件将被否决。如</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成员的评审意见不一致时，以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过半数成员的意见作为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对该情形的认定结论。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对所有投标作否决处理的，招标人应当重新招标。</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7.4  计算投标人总得分（满分为100分） </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7.5  推荐中标候选人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7.5.1按投标人总得分高低进行先后排序，取评分最高者为第一中标候选人，次高者为第二中标候选人，依次类推。</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7.5.2</w:t>
      </w:r>
      <w:r>
        <w:rPr>
          <w:rFonts w:hint="eastAsia" w:ascii="仿宋" w:hAnsi="仿宋" w:eastAsia="仿宋" w:cs="仿宋"/>
          <w:color w:val="auto"/>
          <w:sz w:val="28"/>
          <w:szCs w:val="28"/>
          <w:highlight w:val="none"/>
          <w:u w:val="none"/>
        </w:rPr>
        <w:t>若出现得分相同的单位，按报价低者排前的原则，若报价亦一致的，由评标</w:t>
      </w:r>
      <w:r>
        <w:rPr>
          <w:rFonts w:hint="eastAsia" w:ascii="仿宋" w:hAnsi="仿宋" w:eastAsia="仿宋" w:cs="仿宋"/>
          <w:color w:val="auto"/>
          <w:sz w:val="28"/>
          <w:szCs w:val="28"/>
          <w:highlight w:val="none"/>
          <w:u w:val="none"/>
          <w:lang w:eastAsia="zh-CN"/>
        </w:rPr>
        <w:t>小组</w:t>
      </w:r>
      <w:r>
        <w:rPr>
          <w:rFonts w:hint="eastAsia" w:ascii="仿宋" w:hAnsi="仿宋" w:eastAsia="仿宋" w:cs="仿宋"/>
          <w:color w:val="auto"/>
          <w:sz w:val="28"/>
          <w:szCs w:val="28"/>
          <w:highlight w:val="none"/>
          <w:u w:val="none"/>
        </w:rPr>
        <w:t>采用记名投票方式，确定其排序</w:t>
      </w:r>
      <w:r>
        <w:rPr>
          <w:rFonts w:hint="eastAsia" w:ascii="仿宋" w:hAnsi="仿宋" w:eastAsia="仿宋" w:cs="仿宋"/>
          <w:color w:val="auto"/>
          <w:sz w:val="28"/>
          <w:szCs w:val="28"/>
          <w:highlight w:val="none"/>
        </w:rPr>
        <w:t>。</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招标人依据评标报告审定本项目的中标人。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7.7招标人将参照以下原则进行本项目中标人的替换：</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7.7.1 </w:t>
      </w:r>
      <w:r>
        <w:rPr>
          <w:rFonts w:hint="eastAsia" w:ascii="仿宋" w:hAnsi="仿宋" w:eastAsia="仿宋" w:cs="仿宋"/>
          <w:color w:val="auto"/>
          <w:sz w:val="28"/>
          <w:szCs w:val="28"/>
          <w:highlight w:val="none"/>
        </w:rPr>
        <w:t>若中标人在实际工作中服务质量存在问题，未能表现出符合要求的水平，经招标人研究确定，可解除与中标人的合同关系，并按照中标候选人顺序依次选取新的中标人。</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7.7.2</w:t>
      </w: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p>
    <w:p>
      <w:pPr>
        <w:snapToGrid/>
        <w:spacing w:line="240" w:lineRule="auto"/>
        <w:ind w:firstLine="0" w:firstLineChars="0"/>
        <w:jc w:val="left"/>
        <w:rPr>
          <w:rFonts w:hint="eastAsia" w:ascii="黑体" w:hAnsi="宋体" w:cs="黑体"/>
          <w:b/>
          <w:color w:val="auto"/>
          <w:kern w:val="44"/>
          <w:sz w:val="44"/>
          <w:szCs w:val="44"/>
          <w:highlight w:val="none"/>
        </w:rPr>
      </w:pPr>
      <w:bookmarkStart w:id="37" w:name="_Toc26593"/>
      <w:r>
        <w:rPr>
          <w:rFonts w:hint="eastAsia" w:ascii="黑体" w:hAnsi="宋体" w:cs="黑体"/>
          <w:b/>
          <w:color w:val="auto"/>
          <w:kern w:val="44"/>
          <w:sz w:val="44"/>
          <w:szCs w:val="44"/>
          <w:highlight w:val="none"/>
        </w:rPr>
        <w:br w:type="page"/>
      </w:r>
    </w:p>
    <w:p>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第5章 附件</w:t>
      </w:r>
      <w:bookmarkEnd w:id="37"/>
    </w:p>
    <w:p>
      <w:pPr>
        <w:pStyle w:val="22"/>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pPr>
        <w:pStyle w:val="22"/>
        <w:widowControl/>
        <w:ind w:firstLine="562"/>
        <w:rPr>
          <w:rFonts w:ascii="仿宋" w:hAnsi="仿宋" w:eastAsia="仿宋" w:cs="仿宋"/>
          <w:b/>
          <w:color w:val="auto"/>
          <w:sz w:val="28"/>
          <w:szCs w:val="28"/>
          <w:highlight w:val="none"/>
          <w:u w:val="single"/>
        </w:rPr>
      </w:pPr>
      <w:bookmarkStart w:id="38" w:name="OLE_LINK3"/>
      <w:bookmarkEnd w:id="38"/>
      <w:r>
        <w:rPr>
          <w:rFonts w:ascii="仿宋" w:hAnsi="仿宋" w:eastAsia="仿宋" w:cs="仿宋"/>
          <w:b/>
          <w:color w:val="auto"/>
          <w:sz w:val="28"/>
          <w:szCs w:val="28"/>
          <w:highlight w:val="none"/>
          <w:u w:val="single"/>
        </w:rPr>
        <w:t>附件2 综合评分表</w:t>
      </w:r>
    </w:p>
    <w:p>
      <w:pPr>
        <w:pStyle w:val="22"/>
        <w:widowControl/>
        <w:ind w:firstLine="562"/>
        <w:rPr>
          <w:rFonts w:hint="eastAsia"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eastAsia="zh-CN"/>
        </w:rPr>
        <w:t>附件</w:t>
      </w:r>
      <w:r>
        <w:rPr>
          <w:rFonts w:hint="eastAsia" w:ascii="仿宋" w:hAnsi="仿宋" w:eastAsia="仿宋" w:cs="仿宋"/>
          <w:b/>
          <w:color w:val="auto"/>
          <w:sz w:val="28"/>
          <w:szCs w:val="28"/>
          <w:highlight w:val="none"/>
          <w:u w:val="single"/>
          <w:lang w:val="en-US" w:eastAsia="zh-CN"/>
        </w:rPr>
        <w:t>3 投标申请人声明</w:t>
      </w:r>
    </w:p>
    <w:p>
      <w:pPr>
        <w:pStyle w:val="22"/>
        <w:widowControl/>
        <w:ind w:firstLine="562"/>
        <w:rPr>
          <w:rFonts w:hint="eastAsia"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val="en-US" w:eastAsia="zh-CN"/>
        </w:rPr>
        <w:t>附件4 图纸（另附）</w:t>
      </w:r>
    </w:p>
    <w:p>
      <w:pPr>
        <w:pStyle w:val="22"/>
        <w:widowControl/>
        <w:ind w:firstLine="562"/>
        <w:rPr>
          <w:rFonts w:hint="default"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val="en-US" w:eastAsia="zh-CN"/>
        </w:rPr>
        <w:t>附件5 工程量清单（另附）</w:t>
      </w:r>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39" w:name="_Toc12170"/>
      <w:r>
        <w:rPr>
          <w:rFonts w:hint="eastAsia" w:ascii="仿宋" w:hAnsi="仿宋" w:eastAsia="仿宋" w:cs="仿宋"/>
          <w:color w:val="auto"/>
          <w:sz w:val="28"/>
          <w:szCs w:val="28"/>
          <w:highlight w:val="none"/>
        </w:rPr>
        <w:t>附件1：符合性审查表</w:t>
      </w:r>
      <w:bookmarkEnd w:id="39"/>
      <w:r>
        <w:rPr>
          <w:rFonts w:hint="eastAsia" w:ascii="仿宋" w:hAnsi="仿宋" w:eastAsia="仿宋" w:cs="仿宋"/>
          <w:color w:val="auto"/>
          <w:sz w:val="28"/>
          <w:szCs w:val="28"/>
          <w:highlight w:val="none"/>
        </w:rPr>
        <w:t xml:space="preserve">  </w:t>
      </w:r>
    </w:p>
    <w:p>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5"/>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Lines="50" w:afterLines="50" w:line="240" w:lineRule="exact"/>
              <w:ind w:left="105" w:leftChars="50" w:right="105" w:rightChars="50"/>
              <w:jc w:val="center"/>
              <w:rPr>
                <w:rFonts w:ascii="仿宋" w:hAnsi="仿宋" w:eastAsia="仿宋" w:cs="仿宋"/>
                <w:b/>
                <w:color w:val="auto"/>
                <w:highlight w:val="none"/>
              </w:rPr>
            </w:pPr>
          </w:p>
          <w:p>
            <w:pPr>
              <w:spacing w:beforeLines="5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项目负责人</w:t>
            </w:r>
            <w:r>
              <w:rPr>
                <w:rFonts w:hint="eastAsia" w:ascii="仿宋" w:hAnsi="仿宋" w:eastAsia="仿宋" w:cs="仿宋"/>
                <w:color w:val="auto"/>
                <w:szCs w:val="21"/>
                <w:highlight w:val="none"/>
                <w:lang w:eastAsia="zh-CN"/>
              </w:rPr>
              <w:t>、技术</w:t>
            </w:r>
            <w:r>
              <w:rPr>
                <w:rFonts w:hint="eastAsia" w:ascii="仿宋" w:hAnsi="仿宋" w:eastAsia="仿宋" w:cs="仿宋"/>
                <w:color w:val="auto"/>
                <w:szCs w:val="21"/>
                <w:highlight w:val="none"/>
                <w:lang w:val="en-US" w:eastAsia="zh-CN"/>
              </w:rPr>
              <w:t>负责人</w:t>
            </w:r>
            <w:r>
              <w:rPr>
                <w:rFonts w:hint="eastAsia" w:ascii="仿宋" w:hAnsi="仿宋" w:eastAsia="仿宋" w:cs="仿宋"/>
                <w:color w:val="auto"/>
                <w:szCs w:val="21"/>
                <w:highlight w:val="none"/>
              </w:rPr>
              <w:t>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 w:val="21"/>
                <w:szCs w:val="21"/>
                <w:highlight w:val="none"/>
              </w:rPr>
              <w:t>投标报价不超过</w:t>
            </w:r>
            <w:r>
              <w:rPr>
                <w:rFonts w:hint="eastAsia" w:ascii="仿宋" w:hAnsi="仿宋" w:eastAsia="仿宋" w:cs="仿宋"/>
                <w:color w:val="auto"/>
                <w:sz w:val="21"/>
                <w:szCs w:val="21"/>
                <w:highlight w:val="none"/>
                <w:lang w:eastAsia="zh-CN"/>
              </w:rPr>
              <w:t>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ascii="仿宋" w:hAnsi="仿宋" w:eastAsia="仿宋" w:cs="仿宋"/>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pPr>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pPr>
        <w:snapToGrid w:val="0"/>
        <w:ind w:left="74"/>
        <w:rPr>
          <w:rFonts w:ascii="仿宋" w:hAnsi="仿宋" w:eastAsia="仿宋" w:cs="Courier New"/>
          <w:color w:val="auto"/>
          <w:sz w:val="28"/>
          <w:szCs w:val="28"/>
          <w:highlight w:val="none"/>
        </w:rPr>
      </w:pPr>
    </w:p>
    <w:p>
      <w:pPr>
        <w:snapToGrid w:val="0"/>
        <w:ind w:left="74"/>
        <w:outlineLvl w:val="0"/>
        <w:rPr>
          <w:rFonts w:ascii="仿宋" w:hAnsi="仿宋" w:eastAsia="仿宋" w:cs="仿宋"/>
          <w:b/>
          <w:color w:val="auto"/>
          <w:sz w:val="24"/>
          <w:highlight w:val="none"/>
        </w:rPr>
        <w:sectPr>
          <w:footerReference r:id="rId4" w:type="default"/>
          <w:pgSz w:w="12240" w:h="15840"/>
          <w:pgMar w:top="1440" w:right="1797" w:bottom="1440" w:left="1797" w:header="720" w:footer="720" w:gutter="0"/>
          <w:cols w:space="425" w:num="1"/>
          <w:docGrid w:linePitch="312" w:charSpace="0"/>
        </w:sectPr>
      </w:pPr>
      <w:bookmarkStart w:id="40" w:name="_Toc18783"/>
    </w:p>
    <w:bookmarkEnd w:id="40"/>
    <w:p>
      <w:pPr>
        <w:snapToGrid w:val="0"/>
        <w:ind w:left="74"/>
        <w:outlineLvl w:val="0"/>
        <w:rPr>
          <w:rFonts w:ascii="仿宋" w:hAnsi="仿宋" w:eastAsia="仿宋" w:cs="仿宋"/>
          <w:color w:val="auto"/>
          <w:sz w:val="24"/>
          <w:highlight w:val="none"/>
        </w:rPr>
      </w:pPr>
      <w:r>
        <w:rPr>
          <w:rFonts w:hint="eastAsia" w:ascii="仿宋" w:hAnsi="仿宋" w:eastAsia="仿宋" w:cs="仿宋"/>
          <w:b/>
          <w:color w:val="auto"/>
          <w:sz w:val="24"/>
          <w:highlight w:val="none"/>
        </w:rPr>
        <w:t>附件2综合评分表</w:t>
      </w:r>
      <w:r>
        <w:rPr>
          <w:rFonts w:hint="eastAsia" w:ascii="仿宋" w:hAnsi="仿宋" w:eastAsia="仿宋" w:cs="仿宋"/>
          <w:color w:val="auto"/>
          <w:sz w:val="24"/>
          <w:highlight w:val="none"/>
        </w:rPr>
        <w:t>（100分）</w:t>
      </w:r>
    </w:p>
    <w:tbl>
      <w:tblPr>
        <w:tblStyle w:val="15"/>
        <w:tblW w:w="12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406"/>
        <w:gridCol w:w="709"/>
        <w:gridCol w:w="9797"/>
        <w:gridCol w:w="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643"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406"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类别</w:t>
            </w:r>
          </w:p>
        </w:tc>
        <w:tc>
          <w:tcPr>
            <w:tcW w:w="709"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分项</w:t>
            </w:r>
          </w:p>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分值</w:t>
            </w:r>
          </w:p>
        </w:tc>
        <w:tc>
          <w:tcPr>
            <w:tcW w:w="9797" w:type="dxa"/>
            <w:shd w:val="clear" w:color="auto" w:fill="auto"/>
            <w:vAlign w:val="center"/>
          </w:tcPr>
          <w:p>
            <w:pPr>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 分 说 明</w:t>
            </w:r>
          </w:p>
        </w:tc>
        <w:tc>
          <w:tcPr>
            <w:tcW w:w="240"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8" w:hRule="atLeast"/>
          <w:jc w:val="center"/>
        </w:trPr>
        <w:tc>
          <w:tcPr>
            <w:tcW w:w="643" w:type="dxa"/>
            <w:vMerge w:val="restart"/>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商务部分</w:t>
            </w:r>
          </w:p>
          <w:p>
            <w:pPr>
              <w:pStyle w:val="5"/>
              <w:ind w:left="0" w:leftChars="0" w:firstLine="0" w:firstLineChars="0"/>
              <w:jc w:val="center"/>
              <w:rPr>
                <w:rFonts w:hint="eastAsia" w:ascii="宋体" w:hAnsi="宋体" w:eastAsia="宋体" w:cs="宋体"/>
                <w:b w:val="0"/>
                <w:bCs/>
                <w:color w:val="auto"/>
                <w:szCs w:val="21"/>
                <w:highlight w:val="none"/>
                <w:lang w:eastAsia="zh-CN"/>
              </w:rPr>
            </w:pPr>
            <w:r>
              <w:rPr>
                <w:rFonts w:hint="eastAsia" w:ascii="宋体" w:hAnsi="宋体" w:eastAsia="宋体" w:cs="宋体"/>
                <w:b w:val="0"/>
                <w:bCs/>
                <w:color w:val="auto"/>
                <w:szCs w:val="21"/>
                <w:highlight w:val="none"/>
                <w:lang w:eastAsia="zh-CN"/>
              </w:rPr>
              <w:t>（</w:t>
            </w:r>
            <w:r>
              <w:rPr>
                <w:rFonts w:hint="eastAsia" w:eastAsia="宋体" w:cs="宋体"/>
                <w:b w:val="0"/>
                <w:bCs/>
                <w:color w:val="auto"/>
                <w:szCs w:val="21"/>
                <w:highlight w:val="none"/>
                <w:lang w:val="en-US" w:eastAsia="zh-CN"/>
              </w:rPr>
              <w:t>20</w:t>
            </w:r>
            <w:r>
              <w:rPr>
                <w:rFonts w:hint="eastAsia" w:ascii="宋体" w:hAnsi="宋体" w:eastAsia="宋体" w:cs="宋体"/>
                <w:b w:val="0"/>
                <w:bCs/>
                <w:color w:val="auto"/>
                <w:szCs w:val="21"/>
                <w:highlight w:val="none"/>
                <w:lang w:val="en-US" w:eastAsia="zh-CN"/>
              </w:rPr>
              <w:t>分</w:t>
            </w:r>
            <w:r>
              <w:rPr>
                <w:rFonts w:hint="eastAsia" w:ascii="宋体" w:hAnsi="宋体" w:eastAsia="宋体" w:cs="宋体"/>
                <w:b w:val="0"/>
                <w:bCs/>
                <w:color w:val="auto"/>
                <w:szCs w:val="21"/>
                <w:highlight w:val="none"/>
                <w:lang w:eastAsia="zh-CN"/>
              </w:rPr>
              <w:t>）</w:t>
            </w:r>
          </w:p>
          <w:p>
            <w:pPr>
              <w:snapToGrid w:val="0"/>
              <w:ind w:left="-2" w:leftChars="-1"/>
              <w:jc w:val="center"/>
              <w:rPr>
                <w:rFonts w:hint="eastAsia" w:ascii="宋体" w:hAnsi="宋体" w:eastAsia="宋体" w:cs="宋体"/>
                <w:color w:val="auto"/>
                <w:szCs w:val="21"/>
                <w:highlight w:val="none"/>
                <w:lang w:eastAsia="zh-CN"/>
              </w:rPr>
            </w:pPr>
          </w:p>
        </w:tc>
        <w:tc>
          <w:tcPr>
            <w:tcW w:w="1406" w:type="dxa"/>
            <w:shd w:val="clear" w:color="auto" w:fill="auto"/>
            <w:vAlign w:val="center"/>
          </w:tcPr>
          <w:p>
            <w:pPr>
              <w:widowControl/>
              <w:ind w:left="-42" w:leftChars="0" w:right="-61" w:rightChars="0"/>
              <w:jc w:val="center"/>
              <w:rPr>
                <w:rFonts w:hint="eastAsia" w:ascii="宋体" w:hAnsi="宋体" w:eastAsia="宋体" w:cs="宋体"/>
                <w:color w:val="auto"/>
                <w:szCs w:val="21"/>
                <w:highlight w:val="none"/>
              </w:rPr>
            </w:pPr>
            <w:r>
              <w:rPr>
                <w:rFonts w:hint="eastAsia" w:ascii="宋体" w:hAnsi="宋体" w:cs="宋体"/>
                <w:color w:val="auto"/>
                <w:szCs w:val="21"/>
                <w:highlight w:val="none"/>
              </w:rPr>
              <w:t>同类业绩</w:t>
            </w:r>
          </w:p>
        </w:tc>
        <w:tc>
          <w:tcPr>
            <w:tcW w:w="709" w:type="dxa"/>
            <w:shd w:val="clear" w:color="auto" w:fill="auto"/>
            <w:vAlign w:val="center"/>
          </w:tcPr>
          <w:p>
            <w:pPr>
              <w:jc w:val="center"/>
              <w:rPr>
                <w:rFonts w:hint="eastAsia" w:ascii="宋体" w:hAnsi="宋体" w:eastAsia="宋体" w:cs="宋体"/>
                <w:color w:val="auto"/>
                <w:szCs w:val="21"/>
                <w:highlight w:val="none"/>
                <w:lang w:eastAsia="zh-CN"/>
              </w:rPr>
            </w:pPr>
            <w:r>
              <w:rPr>
                <w:rFonts w:hint="eastAsia" w:ascii="宋体" w:hAnsi="宋体"/>
                <w:color w:val="auto"/>
                <w:kern w:val="0"/>
                <w:szCs w:val="21"/>
                <w:highlight w:val="none"/>
                <w:lang w:val="en-US" w:eastAsia="zh-CN"/>
              </w:rPr>
              <w:t>5</w:t>
            </w:r>
            <w:r>
              <w:rPr>
                <w:rFonts w:hint="eastAsia" w:ascii="宋体" w:hAnsi="宋体"/>
                <w:color w:val="auto"/>
                <w:kern w:val="0"/>
                <w:szCs w:val="21"/>
                <w:highlight w:val="none"/>
              </w:rPr>
              <w:t>分</w:t>
            </w:r>
          </w:p>
        </w:tc>
        <w:tc>
          <w:tcPr>
            <w:tcW w:w="9797" w:type="dxa"/>
            <w:shd w:val="clear" w:color="auto" w:fill="auto"/>
            <w:vAlign w:val="center"/>
          </w:tcPr>
          <w:p>
            <w:pPr>
              <w:snapToGrid w:val="0"/>
              <w:rPr>
                <w:rFonts w:hint="eastAsia" w:ascii="宋体" w:hAnsi="宋体" w:cs="宋体"/>
                <w:color w:val="auto"/>
                <w:szCs w:val="21"/>
                <w:highlight w:val="none"/>
              </w:rPr>
            </w:pPr>
            <w:r>
              <w:rPr>
                <w:rFonts w:hint="eastAsia" w:ascii="宋体" w:hAnsi="宋体" w:cs="宋体"/>
                <w:color w:val="auto"/>
                <w:szCs w:val="21"/>
                <w:highlight w:val="none"/>
                <w:lang w:val="en-US" w:eastAsia="zh-CN"/>
              </w:rPr>
              <w:t xml:space="preserve">投标人2020年1月1日至今具有同类市政公用工程项目业绩的，每有一个项目业绩得1分，本项最高得5分。 </w:t>
            </w:r>
          </w:p>
          <w:p>
            <w:pPr>
              <w:jc w:val="left"/>
              <w:rPr>
                <w:rFonts w:hint="default" w:ascii="宋体" w:hAnsi="宋体" w:eastAsia="宋体" w:cs="宋体"/>
                <w:color w:val="auto"/>
                <w:highlight w:val="none"/>
                <w:lang w:val="en-US" w:eastAsia="zh-CN"/>
              </w:rPr>
            </w:pPr>
            <w:r>
              <w:rPr>
                <w:rFonts w:hint="eastAsia" w:ascii="宋体" w:hAnsi="宋体" w:cs="宋体"/>
                <w:color w:val="auto"/>
                <w:szCs w:val="21"/>
                <w:highlight w:val="none"/>
                <w:lang w:val="en-US" w:eastAsia="zh-CN"/>
              </w:rPr>
              <w:t>注：</w:t>
            </w:r>
            <w:r>
              <w:rPr>
                <w:rFonts w:hint="eastAsia" w:ascii="宋体" w:hAnsi="宋体"/>
                <w:color w:val="auto"/>
                <w:szCs w:val="21"/>
                <w:highlight w:val="none"/>
              </w:rPr>
              <w:t>需同时提供招标公告截图、中标公</w:t>
            </w:r>
            <w:r>
              <w:rPr>
                <w:rFonts w:hint="eastAsia" w:ascii="宋体" w:hAnsi="宋体"/>
                <w:color w:val="auto"/>
                <w:szCs w:val="21"/>
                <w:highlight w:val="none"/>
                <w:lang w:eastAsia="zh-CN"/>
              </w:rPr>
              <w:t>示</w:t>
            </w:r>
            <w:r>
              <w:rPr>
                <w:rFonts w:hint="eastAsia" w:ascii="宋体" w:hAnsi="宋体"/>
                <w:color w:val="auto"/>
                <w:szCs w:val="21"/>
                <w:highlight w:val="none"/>
              </w:rPr>
              <w:t>链接截图和合同</w:t>
            </w:r>
            <w:r>
              <w:rPr>
                <w:rFonts w:hint="eastAsia" w:ascii="宋体" w:hAnsi="宋体"/>
                <w:color w:val="auto"/>
                <w:szCs w:val="21"/>
                <w:highlight w:val="none"/>
                <w:lang w:eastAsia="zh-CN"/>
              </w:rPr>
              <w:t>关键页</w:t>
            </w:r>
            <w:r>
              <w:rPr>
                <w:rFonts w:hint="eastAsia" w:ascii="宋体" w:hAnsi="宋体"/>
                <w:color w:val="auto"/>
                <w:szCs w:val="21"/>
                <w:highlight w:val="none"/>
              </w:rPr>
              <w:t>复印件</w:t>
            </w:r>
            <w:r>
              <w:rPr>
                <w:rFonts w:hint="eastAsia" w:ascii="宋体" w:hAnsi="宋体"/>
                <w:color w:val="auto"/>
                <w:szCs w:val="21"/>
                <w:highlight w:val="none"/>
                <w:lang w:eastAsia="zh-CN"/>
              </w:rPr>
              <w:t>（封面、盖章页等）</w:t>
            </w:r>
            <w:r>
              <w:rPr>
                <w:rFonts w:hint="eastAsia" w:ascii="宋体" w:hAnsi="宋体"/>
                <w:color w:val="auto"/>
                <w:szCs w:val="21"/>
                <w:highlight w:val="none"/>
              </w:rPr>
              <w:t>，不提供、提供不全或专家无法认定的不得分</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同类业绩时间以签订时间为准。</w:t>
            </w:r>
          </w:p>
        </w:tc>
        <w:tc>
          <w:tcPr>
            <w:tcW w:w="240" w:type="dxa"/>
            <w:shd w:val="clear" w:color="auto" w:fill="auto"/>
            <w:vAlign w:val="center"/>
          </w:tcPr>
          <w:p>
            <w:pPr>
              <w:spacing w:line="220" w:lineRule="exact"/>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6"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widowControl/>
              <w:ind w:left="-42" w:right="-61"/>
              <w:jc w:val="center"/>
              <w:rPr>
                <w:rFonts w:hint="eastAsia" w:ascii="宋体" w:hAnsi="宋体"/>
                <w:color w:val="auto"/>
                <w:kern w:val="0"/>
                <w:szCs w:val="21"/>
                <w:highlight w:val="none"/>
              </w:rPr>
            </w:pPr>
          </w:p>
          <w:p>
            <w:pPr>
              <w:widowControl/>
              <w:ind w:left="-42" w:right="-61"/>
              <w:jc w:val="center"/>
              <w:rPr>
                <w:rFonts w:ascii="宋体" w:hAnsi="宋体"/>
                <w:color w:val="auto"/>
                <w:kern w:val="0"/>
                <w:szCs w:val="21"/>
                <w:highlight w:val="none"/>
              </w:rPr>
            </w:pPr>
            <w:r>
              <w:rPr>
                <w:rFonts w:hint="eastAsia" w:ascii="宋体" w:hAnsi="宋体"/>
                <w:color w:val="auto"/>
                <w:kern w:val="0"/>
                <w:szCs w:val="21"/>
                <w:highlight w:val="none"/>
              </w:rPr>
              <w:t>认证情况</w:t>
            </w:r>
          </w:p>
          <w:p>
            <w:pPr>
              <w:widowControl/>
              <w:ind w:left="-42" w:leftChars="0" w:right="-61" w:rightChars="0"/>
              <w:rPr>
                <w:rFonts w:hint="eastAsia" w:ascii="宋体" w:hAnsi="宋体" w:eastAsia="宋体" w:cs="宋体"/>
                <w:color w:val="auto"/>
                <w:kern w:val="2"/>
                <w:sz w:val="21"/>
                <w:szCs w:val="21"/>
                <w:highlight w:val="none"/>
                <w:lang w:val="en-US" w:eastAsia="zh-CN" w:bidi="ar-SA"/>
              </w:rPr>
            </w:pPr>
          </w:p>
        </w:tc>
        <w:tc>
          <w:tcPr>
            <w:tcW w:w="709" w:type="dxa"/>
            <w:shd w:val="clear" w:color="auto" w:fill="auto"/>
            <w:vAlign w:val="center"/>
          </w:tcPr>
          <w:p>
            <w:pPr>
              <w:jc w:val="center"/>
              <w:rPr>
                <w:rFonts w:hint="eastAsia" w:ascii="宋体" w:hAnsi="宋体" w:eastAsia="宋体" w:cs="宋体"/>
                <w:color w:val="auto"/>
                <w:kern w:val="2"/>
                <w:position w:val="8"/>
                <w:sz w:val="21"/>
                <w:szCs w:val="21"/>
                <w:highlight w:val="none"/>
                <w:lang w:val="en-US" w:eastAsia="zh-CN" w:bidi="ar-SA"/>
              </w:rPr>
            </w:pPr>
            <w:r>
              <w:rPr>
                <w:rFonts w:hint="eastAsia" w:ascii="宋体" w:hAnsi="宋体"/>
                <w:color w:val="auto"/>
                <w:kern w:val="0"/>
                <w:szCs w:val="21"/>
                <w:highlight w:val="none"/>
                <w:lang w:val="en-US" w:eastAsia="zh-CN"/>
              </w:rPr>
              <w:t>3</w:t>
            </w:r>
            <w:r>
              <w:rPr>
                <w:rFonts w:hint="eastAsia" w:ascii="宋体" w:hAnsi="宋体"/>
                <w:color w:val="auto"/>
                <w:kern w:val="0"/>
                <w:szCs w:val="21"/>
                <w:highlight w:val="none"/>
              </w:rPr>
              <w:t>分</w:t>
            </w:r>
          </w:p>
        </w:tc>
        <w:tc>
          <w:tcPr>
            <w:tcW w:w="9797" w:type="dxa"/>
            <w:shd w:val="clear" w:color="auto" w:fill="auto"/>
            <w:vAlign w:val="center"/>
          </w:tcPr>
          <w:p>
            <w:pPr>
              <w:autoSpaceDE w:val="0"/>
              <w:autoSpaceDN w:val="0"/>
              <w:jc w:val="left"/>
              <w:rPr>
                <w:rFonts w:ascii="宋体" w:hAnsi="宋体" w:cs="宋体"/>
                <w:b w:val="0"/>
                <w:bCs w:val="0"/>
                <w:color w:val="auto"/>
                <w:szCs w:val="21"/>
                <w:highlight w:val="none"/>
              </w:rPr>
            </w:pPr>
            <w:r>
              <w:rPr>
                <w:rFonts w:hint="eastAsia" w:ascii="宋体" w:hAnsi="宋体" w:cs="宋体"/>
                <w:color w:val="auto"/>
                <w:szCs w:val="21"/>
                <w:highlight w:val="none"/>
              </w:rPr>
              <w:t>投标人具有有效的</w:t>
            </w:r>
            <w:r>
              <w:rPr>
                <w:rFonts w:hint="eastAsia" w:ascii="宋体" w:hAnsi="宋体"/>
                <w:color w:val="auto"/>
                <w:highlight w:val="none"/>
              </w:rPr>
              <w:t>质量管理体系认证证书、环境管理体系认证证书、职业健康安全管理体系认证证书</w:t>
            </w:r>
            <w:r>
              <w:rPr>
                <w:rFonts w:hint="eastAsia" w:ascii="宋体" w:hAnsi="宋体"/>
                <w:color w:val="auto"/>
                <w:highlight w:val="none"/>
                <w:lang w:eastAsia="zh-CN"/>
              </w:rPr>
              <w:t>、建筑工程绿色施工服务认证</w:t>
            </w:r>
            <w:r>
              <w:rPr>
                <w:rFonts w:hint="eastAsia" w:ascii="宋体" w:hAnsi="宋体"/>
                <w:color w:val="auto"/>
                <w:highlight w:val="none"/>
              </w:rPr>
              <w:t>证书</w:t>
            </w:r>
            <w:r>
              <w:rPr>
                <w:rFonts w:hint="eastAsia" w:ascii="宋体" w:hAnsi="宋体"/>
                <w:color w:val="auto"/>
                <w:highlight w:val="none"/>
                <w:lang w:eastAsia="zh-CN"/>
              </w:rPr>
              <w:t>、履约能力评价体系认证</w:t>
            </w:r>
            <w:r>
              <w:rPr>
                <w:rFonts w:hint="eastAsia" w:ascii="宋体" w:hAnsi="宋体"/>
                <w:color w:val="auto"/>
                <w:highlight w:val="none"/>
              </w:rPr>
              <w:t>证书</w:t>
            </w:r>
            <w:r>
              <w:rPr>
                <w:rFonts w:hint="eastAsia" w:ascii="宋体" w:hAnsi="宋体"/>
                <w:color w:val="auto"/>
                <w:highlight w:val="none"/>
                <w:lang w:eastAsia="zh-CN"/>
              </w:rPr>
              <w:t>、工程施工安全标准化体系认证</w:t>
            </w:r>
            <w:r>
              <w:rPr>
                <w:rFonts w:hint="eastAsia" w:ascii="宋体" w:hAnsi="宋体"/>
                <w:color w:val="auto"/>
                <w:highlight w:val="none"/>
              </w:rPr>
              <w:t>证书</w:t>
            </w:r>
            <w:r>
              <w:rPr>
                <w:rFonts w:hint="eastAsia" w:ascii="宋体" w:hAnsi="宋体" w:cs="宋体"/>
                <w:color w:val="auto"/>
                <w:szCs w:val="21"/>
                <w:highlight w:val="none"/>
              </w:rPr>
              <w:t>，每有一</w:t>
            </w:r>
            <w:r>
              <w:rPr>
                <w:rFonts w:hint="eastAsia" w:ascii="宋体" w:hAnsi="宋体" w:cs="宋体"/>
                <w:b w:val="0"/>
                <w:bCs w:val="0"/>
                <w:color w:val="auto"/>
                <w:szCs w:val="21"/>
                <w:highlight w:val="none"/>
              </w:rPr>
              <w:t>个证书</w:t>
            </w:r>
            <w:r>
              <w:rPr>
                <w:rFonts w:hint="eastAsia" w:ascii="宋体" w:hAnsi="宋体" w:cstheme="minorBidi"/>
                <w:b w:val="0"/>
                <w:bCs w:val="0"/>
                <w:color w:val="auto"/>
                <w:szCs w:val="24"/>
                <w:highlight w:val="none"/>
                <w:shd w:val="clear" w:fill="auto"/>
                <w:lang w:val="en-US" w:eastAsia="zh-CN"/>
              </w:rPr>
              <w:t>得0.5</w:t>
            </w:r>
            <w:r>
              <w:rPr>
                <w:rFonts w:hint="eastAsia" w:ascii="宋体" w:hAnsi="宋体" w:cstheme="minorBidi"/>
                <w:b w:val="0"/>
                <w:bCs w:val="0"/>
                <w:color w:val="auto"/>
                <w:szCs w:val="24"/>
                <w:highlight w:val="none"/>
                <w:shd w:val="clear" w:fill="auto"/>
              </w:rPr>
              <w:t>分</w:t>
            </w:r>
            <w:r>
              <w:rPr>
                <w:rFonts w:hint="eastAsia" w:ascii="宋体" w:hAnsi="宋体" w:cstheme="minorBidi"/>
                <w:b w:val="0"/>
                <w:bCs w:val="0"/>
                <w:color w:val="auto"/>
                <w:szCs w:val="24"/>
                <w:highlight w:val="none"/>
              </w:rPr>
              <w:t>。本项最高</w:t>
            </w:r>
            <w:r>
              <w:rPr>
                <w:rFonts w:hint="eastAsia" w:ascii="宋体" w:hAnsi="宋体" w:cstheme="minorBidi"/>
                <w:b w:val="0"/>
                <w:bCs w:val="0"/>
                <w:color w:val="auto"/>
                <w:szCs w:val="24"/>
                <w:highlight w:val="none"/>
                <w:shd w:val="clear" w:fill="auto"/>
              </w:rPr>
              <w:t>得</w:t>
            </w:r>
            <w:r>
              <w:rPr>
                <w:rFonts w:hint="eastAsia" w:ascii="宋体" w:hAnsi="宋体" w:cstheme="minorBidi"/>
                <w:b w:val="0"/>
                <w:bCs w:val="0"/>
                <w:color w:val="auto"/>
                <w:szCs w:val="24"/>
                <w:highlight w:val="none"/>
                <w:shd w:val="clear" w:fill="auto"/>
                <w:lang w:val="en-US" w:eastAsia="zh-CN"/>
              </w:rPr>
              <w:t>3</w:t>
            </w:r>
            <w:r>
              <w:rPr>
                <w:rFonts w:hint="eastAsia" w:ascii="宋体" w:hAnsi="宋体" w:cstheme="minorBidi"/>
                <w:b w:val="0"/>
                <w:bCs w:val="0"/>
                <w:color w:val="auto"/>
                <w:szCs w:val="24"/>
                <w:highlight w:val="none"/>
                <w:shd w:val="clear" w:fill="auto"/>
              </w:rPr>
              <w:t>分</w:t>
            </w:r>
            <w:r>
              <w:rPr>
                <w:rFonts w:hint="eastAsia" w:ascii="宋体" w:hAnsi="宋体" w:cstheme="minorBidi"/>
                <w:b w:val="0"/>
                <w:bCs w:val="0"/>
                <w:color w:val="auto"/>
                <w:szCs w:val="24"/>
                <w:highlight w:val="none"/>
              </w:rPr>
              <w:t>。</w:t>
            </w:r>
          </w:p>
          <w:p>
            <w:pPr>
              <w:autoSpaceDE w:val="0"/>
              <w:autoSpaceDN w:val="0"/>
              <w:jc w:val="left"/>
              <w:rPr>
                <w:rFonts w:hint="default" w:ascii="宋体" w:hAnsi="宋体" w:eastAsia="宋体" w:cs="宋体"/>
                <w:color w:val="auto"/>
                <w:szCs w:val="21"/>
                <w:highlight w:val="none"/>
                <w:lang w:val="en-US" w:eastAsia="zh-CN"/>
              </w:rPr>
            </w:pPr>
            <w:r>
              <w:rPr>
                <w:rFonts w:hint="eastAsia" w:ascii="宋体" w:hAnsi="宋体" w:cs="宋体"/>
                <w:b w:val="0"/>
                <w:bCs w:val="0"/>
                <w:color w:val="auto"/>
                <w:szCs w:val="21"/>
                <w:highlight w:val="none"/>
              </w:rPr>
              <w:t>注：</w:t>
            </w:r>
            <w:r>
              <w:rPr>
                <w:rFonts w:hint="eastAsia" w:ascii="宋体" w:hAnsi="宋体" w:eastAsia="宋体" w:cs="宋体"/>
                <w:b w:val="0"/>
                <w:bCs w:val="0"/>
                <w:color w:val="auto"/>
                <w:sz w:val="21"/>
                <w:szCs w:val="21"/>
                <w:highlight w:val="none"/>
              </w:rPr>
              <w:t>（须提供</w:t>
            </w:r>
            <w:r>
              <w:rPr>
                <w:rFonts w:hint="eastAsia" w:ascii="宋体" w:hAnsi="宋体" w:eastAsia="宋体" w:cs="宋体"/>
                <w:b w:val="0"/>
                <w:bCs w:val="0"/>
                <w:color w:val="auto"/>
                <w:sz w:val="21"/>
                <w:szCs w:val="21"/>
                <w:highlight w:val="none"/>
                <w:lang w:val="en-US" w:eastAsia="zh-CN"/>
              </w:rPr>
              <w:t>以上有效期内的</w:t>
            </w:r>
            <w:r>
              <w:rPr>
                <w:rFonts w:hint="eastAsia" w:ascii="宋体" w:hAnsi="宋体" w:eastAsia="宋体" w:cs="宋体"/>
                <w:b w:val="0"/>
                <w:bCs w:val="0"/>
                <w:color w:val="auto"/>
                <w:sz w:val="21"/>
                <w:szCs w:val="21"/>
                <w:highlight w:val="none"/>
              </w:rPr>
              <w:t>证书复印件以及在全国认证认可信息公共服务平台上http://cx.cnca.cn查询结果的截图，证书状态必须为“有效”</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否则不得分。</w:t>
            </w:r>
            <w:r>
              <w:rPr>
                <w:rFonts w:hint="eastAsia" w:ascii="宋体" w:hAnsi="宋体" w:eastAsia="宋体" w:cs="宋体"/>
                <w:b w:val="0"/>
                <w:bCs w:val="0"/>
                <w:color w:val="auto"/>
                <w:sz w:val="21"/>
                <w:szCs w:val="21"/>
                <w:highlight w:val="none"/>
              </w:rPr>
              <w:t>）</w:t>
            </w:r>
          </w:p>
        </w:tc>
        <w:tc>
          <w:tcPr>
            <w:tcW w:w="240" w:type="dxa"/>
            <w:shd w:val="clear" w:color="auto" w:fill="auto"/>
            <w:vAlign w:val="center"/>
          </w:tcPr>
          <w:p>
            <w:pPr>
              <w:spacing w:line="220" w:lineRule="exact"/>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lang w:eastAsia="zh-CN"/>
              </w:rPr>
            </w:pPr>
          </w:p>
        </w:tc>
        <w:tc>
          <w:tcPr>
            <w:tcW w:w="1406" w:type="dxa"/>
            <w:shd w:val="clear" w:color="auto" w:fill="auto"/>
            <w:vAlign w:val="center"/>
          </w:tcPr>
          <w:p>
            <w:pPr>
              <w:snapToGrid w:val="0"/>
              <w:spacing w:line="28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strike w:val="0"/>
                <w:dstrike w:val="0"/>
                <w:color w:val="auto"/>
                <w:highlight w:val="none"/>
                <w:lang w:val="en-US" w:eastAsia="zh-CN"/>
              </w:rPr>
              <w:t>第三方评价</w:t>
            </w:r>
          </w:p>
        </w:tc>
        <w:tc>
          <w:tcPr>
            <w:tcW w:w="709" w:type="dxa"/>
            <w:shd w:val="clear" w:color="auto" w:fill="auto"/>
            <w:vAlign w:val="center"/>
          </w:tcPr>
          <w:p>
            <w:pPr>
              <w:jc w:val="center"/>
              <w:rPr>
                <w:rFonts w:hint="eastAsia" w:ascii="宋体" w:hAnsi="宋体" w:eastAsia="宋体" w:cs="宋体"/>
                <w:color w:val="auto"/>
                <w:kern w:val="2"/>
                <w:position w:val="8"/>
                <w:sz w:val="21"/>
                <w:szCs w:val="21"/>
                <w:highlight w:val="none"/>
                <w:lang w:val="en-US" w:eastAsia="zh-CN" w:bidi="ar-SA"/>
              </w:rPr>
            </w:pPr>
            <w:r>
              <w:rPr>
                <w:rFonts w:hint="eastAsia" w:ascii="宋体" w:hAnsi="宋体"/>
                <w:bCs/>
                <w:strike w:val="0"/>
                <w:dstrike w:val="0"/>
                <w:color w:val="auto"/>
                <w:szCs w:val="21"/>
                <w:highlight w:val="none"/>
                <w:lang w:val="en-US" w:eastAsia="zh-CN"/>
              </w:rPr>
              <w:t>1</w:t>
            </w:r>
            <w:r>
              <w:rPr>
                <w:rFonts w:hint="eastAsia" w:ascii="宋体" w:hAnsi="宋体"/>
                <w:bCs/>
                <w:strike w:val="0"/>
                <w:dstrike w:val="0"/>
                <w:color w:val="auto"/>
                <w:szCs w:val="21"/>
                <w:highlight w:val="none"/>
                <w:lang w:eastAsia="zh-CN"/>
              </w:rPr>
              <w:t>分</w:t>
            </w:r>
          </w:p>
        </w:tc>
        <w:tc>
          <w:tcPr>
            <w:tcW w:w="9797" w:type="dxa"/>
            <w:shd w:val="clear" w:color="auto" w:fill="auto"/>
            <w:vAlign w:val="center"/>
          </w:tcPr>
          <w:p>
            <w:pPr>
              <w:spacing w:line="276" w:lineRule="auto"/>
              <w:rPr>
                <w:rFonts w:hint="eastAsia" w:ascii="宋体" w:hAnsi="宋体" w:cs="宋体"/>
                <w:color w:val="auto"/>
                <w:kern w:val="0"/>
                <w:szCs w:val="21"/>
                <w:highlight w:val="none"/>
              </w:rPr>
            </w:pPr>
            <w:r>
              <w:rPr>
                <w:rFonts w:hint="eastAsia" w:ascii="宋体" w:hAnsi="宋体" w:cs="宋体"/>
                <w:color w:val="auto"/>
                <w:szCs w:val="21"/>
                <w:highlight w:val="none"/>
              </w:rPr>
              <w:t>投标人</w:t>
            </w:r>
            <w:r>
              <w:rPr>
                <w:rFonts w:hint="eastAsia" w:ascii="宋体" w:hAnsi="宋体" w:cs="宋体"/>
                <w:color w:val="auto"/>
                <w:kern w:val="0"/>
                <w:szCs w:val="21"/>
                <w:highlight w:val="none"/>
                <w:lang w:val="en-US" w:eastAsia="zh-CN"/>
              </w:rPr>
              <w:t>2020</w:t>
            </w:r>
            <w:r>
              <w:rPr>
                <w:rFonts w:hint="eastAsia" w:ascii="宋体" w:hAnsi="宋体" w:cs="宋体"/>
                <w:color w:val="auto"/>
                <w:kern w:val="0"/>
                <w:szCs w:val="21"/>
                <w:highlight w:val="none"/>
              </w:rPr>
              <w:t>年</w:t>
            </w:r>
            <w:r>
              <w:rPr>
                <w:rFonts w:hint="eastAsia" w:ascii="宋体" w:hAnsi="宋体" w:cs="宋体"/>
                <w:color w:val="auto"/>
                <w:kern w:val="0"/>
                <w:szCs w:val="21"/>
                <w:highlight w:val="none"/>
                <w:lang w:val="en-US" w:eastAsia="zh-CN"/>
              </w:rPr>
              <w:t>至今获得过相关行政主管部门颁发的</w:t>
            </w:r>
            <w:r>
              <w:rPr>
                <w:rFonts w:hint="eastAsia" w:ascii="宋体" w:hAnsi="宋体" w:cs="宋体"/>
                <w:color w:val="auto"/>
                <w:kern w:val="0"/>
                <w:szCs w:val="21"/>
                <w:highlight w:val="none"/>
              </w:rPr>
              <w:t>建筑施工企业安全生产标准化达标企业</w:t>
            </w:r>
            <w:r>
              <w:rPr>
                <w:rFonts w:hint="eastAsia" w:ascii="宋体" w:hAnsi="宋体" w:cs="宋体"/>
                <w:color w:val="auto"/>
                <w:kern w:val="0"/>
                <w:szCs w:val="21"/>
                <w:highlight w:val="none"/>
                <w:lang w:val="en-US" w:eastAsia="zh-CN"/>
              </w:rPr>
              <w:t>证书的</w:t>
            </w:r>
            <w:r>
              <w:rPr>
                <w:rFonts w:hint="eastAsia" w:ascii="宋体" w:hAnsi="宋体" w:cs="宋体"/>
                <w:color w:val="auto"/>
                <w:kern w:val="0"/>
                <w:szCs w:val="21"/>
                <w:highlight w:val="none"/>
              </w:rPr>
              <w:t>，得</w:t>
            </w:r>
            <w:r>
              <w:rPr>
                <w:rFonts w:hint="eastAsia" w:ascii="宋体" w:hAnsi="宋体" w:cs="宋体"/>
                <w:color w:val="auto"/>
                <w:kern w:val="0"/>
                <w:szCs w:val="21"/>
                <w:highlight w:val="none"/>
                <w:lang w:val="en-US" w:eastAsia="zh-CN"/>
              </w:rPr>
              <w:t>1</w:t>
            </w:r>
            <w:r>
              <w:rPr>
                <w:rFonts w:hint="eastAsia" w:ascii="宋体" w:hAnsi="宋体" w:cs="宋体"/>
                <w:color w:val="auto"/>
                <w:kern w:val="0"/>
                <w:szCs w:val="21"/>
                <w:highlight w:val="none"/>
              </w:rPr>
              <w:t xml:space="preserve">分。 </w:t>
            </w:r>
          </w:p>
          <w:p>
            <w:pPr>
              <w:jc w:val="left"/>
              <w:rPr>
                <w:rFonts w:hint="eastAsia"/>
                <w:color w:val="auto"/>
                <w:highlight w:val="none"/>
                <w:lang w:val="en-US" w:eastAsia="zh-CN"/>
              </w:rPr>
            </w:pPr>
            <w:r>
              <w:rPr>
                <w:rFonts w:hint="eastAsia" w:ascii="宋体" w:hAnsi="宋体" w:cs="宋体"/>
                <w:color w:val="auto"/>
                <w:kern w:val="0"/>
                <w:szCs w:val="21"/>
                <w:highlight w:val="none"/>
              </w:rPr>
              <w:t>（注：须提供有效的证书复印件及网上查询截图，不提供或提供的证明材料不清晰明确评委无法认定的不得分。）</w:t>
            </w:r>
          </w:p>
        </w:tc>
        <w:tc>
          <w:tcPr>
            <w:tcW w:w="240" w:type="dxa"/>
            <w:shd w:val="clear" w:color="auto" w:fill="auto"/>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spacing w:line="320" w:lineRule="exact"/>
              <w:ind w:right="134" w:rightChars="64"/>
              <w:jc w:val="center"/>
              <w:rPr>
                <w:rFonts w:hint="eastAsia" w:ascii="宋体" w:hAnsi="宋体" w:eastAsiaTheme="minorEastAsia" w:cstheme="minorBidi"/>
                <w:color w:val="auto"/>
                <w:kern w:val="2"/>
                <w:sz w:val="21"/>
                <w:szCs w:val="24"/>
                <w:highlight w:val="none"/>
                <w:lang w:val="en-US" w:eastAsia="zh-CN" w:bidi="ar-SA"/>
              </w:rPr>
            </w:pPr>
            <w:r>
              <w:rPr>
                <w:rFonts w:hint="eastAsia" w:ascii="宋体" w:hAnsi="宋体" w:eastAsia="宋体" w:cs="宋体"/>
                <w:color w:val="auto"/>
                <w:szCs w:val="21"/>
                <w:highlight w:val="none"/>
              </w:rPr>
              <w:t>投入项目保险重视度</w:t>
            </w:r>
          </w:p>
        </w:tc>
        <w:tc>
          <w:tcPr>
            <w:tcW w:w="709" w:type="dxa"/>
            <w:shd w:val="clear" w:color="auto" w:fill="auto"/>
            <w:vAlign w:val="center"/>
          </w:tcPr>
          <w:p>
            <w:pPr>
              <w:widowControl/>
              <w:jc w:val="center"/>
              <w:rPr>
                <w:rFonts w:hint="eastAsia" w:ascii="宋体" w:hAnsi="宋体" w:cs="宋体" w:eastAsiaTheme="minorEastAsia"/>
                <w:color w:val="auto"/>
                <w:kern w:val="2"/>
                <w:position w:val="8"/>
                <w:sz w:val="21"/>
                <w:szCs w:val="24"/>
                <w:highlight w:val="none"/>
                <w:lang w:val="en-US" w:eastAsia="zh-CN" w:bidi="ar-SA"/>
              </w:rPr>
            </w:pPr>
            <w:r>
              <w:rPr>
                <w:rFonts w:hint="eastAsia" w:ascii="宋体" w:hAnsi="宋体" w:eastAsia="宋体" w:cs="宋体"/>
                <w:color w:val="auto"/>
                <w:szCs w:val="21"/>
                <w:highlight w:val="none"/>
                <w:lang w:val="en-US" w:eastAsia="zh-CN"/>
              </w:rPr>
              <w:t>2</w:t>
            </w:r>
          </w:p>
        </w:tc>
        <w:tc>
          <w:tcPr>
            <w:tcW w:w="9797" w:type="dxa"/>
            <w:shd w:val="clear" w:color="auto" w:fill="auto"/>
            <w:vAlign w:val="center"/>
          </w:tcPr>
          <w:p>
            <w:pPr>
              <w:spacing w:line="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投标人</w:t>
            </w:r>
            <w:r>
              <w:rPr>
                <w:rFonts w:hint="eastAsia" w:ascii="宋体" w:hAnsi="宋体" w:eastAsia="宋体" w:cs="宋体"/>
                <w:color w:val="auto"/>
                <w:szCs w:val="21"/>
                <w:highlight w:val="none"/>
              </w:rPr>
              <w:t>20</w:t>
            </w:r>
            <w:r>
              <w:rPr>
                <w:rFonts w:hint="eastAsia" w:ascii="宋体" w:hAnsi="宋体" w:eastAsia="宋体" w:cs="宋体"/>
                <w:color w:val="auto"/>
                <w:szCs w:val="21"/>
                <w:highlight w:val="none"/>
                <w:lang w:val="en-US" w:eastAsia="zh-CN"/>
              </w:rPr>
              <w:t>20</w:t>
            </w:r>
            <w:r>
              <w:rPr>
                <w:rFonts w:hint="eastAsia" w:ascii="宋体" w:hAnsi="宋体" w:eastAsia="宋体" w:cs="宋体"/>
                <w:color w:val="auto"/>
                <w:szCs w:val="21"/>
                <w:highlight w:val="none"/>
              </w:rPr>
              <w:t>年至今投入工程项目保险费用累计（指工伤险、安全责任险、意外险</w:t>
            </w:r>
            <w:r>
              <w:rPr>
                <w:rFonts w:hint="eastAsia" w:ascii="宋体" w:hAnsi="宋体" w:eastAsia="宋体" w:cs="宋体"/>
                <w:color w:val="auto"/>
                <w:szCs w:val="21"/>
                <w:highlight w:val="none"/>
                <w:lang w:eastAsia="zh-CN"/>
              </w:rPr>
              <w:t>、人身保险</w:t>
            </w:r>
            <w:r>
              <w:rPr>
                <w:rFonts w:hint="eastAsia" w:ascii="宋体" w:hAnsi="宋体" w:eastAsia="宋体" w:cs="宋体"/>
                <w:color w:val="auto"/>
                <w:szCs w:val="21"/>
                <w:highlight w:val="none"/>
              </w:rPr>
              <w:t>）</w:t>
            </w:r>
          </w:p>
          <w:p>
            <w:pPr>
              <w:numPr>
                <w:ilvl w:val="0"/>
                <w:numId w:val="5"/>
              </w:numPr>
              <w:spacing w:line="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累计</w:t>
            </w:r>
            <w:r>
              <w:rPr>
                <w:rFonts w:hint="eastAsia" w:ascii="宋体" w:hAnsi="宋体" w:eastAsia="宋体" w:cs="宋体"/>
                <w:color w:val="auto"/>
                <w:szCs w:val="21"/>
                <w:highlight w:val="none"/>
              </w:rPr>
              <w:t>大于</w:t>
            </w:r>
            <w:r>
              <w:rPr>
                <w:rFonts w:hint="eastAsia" w:ascii="宋体" w:hAnsi="宋体" w:eastAsia="宋体" w:cs="宋体"/>
                <w:color w:val="auto"/>
                <w:szCs w:val="21"/>
                <w:highlight w:val="none"/>
                <w:lang w:val="en-US" w:eastAsia="zh-CN"/>
              </w:rPr>
              <w:t>150</w:t>
            </w:r>
            <w:r>
              <w:rPr>
                <w:rFonts w:hint="eastAsia" w:ascii="宋体" w:hAnsi="宋体" w:eastAsia="宋体" w:cs="宋体"/>
                <w:color w:val="auto"/>
                <w:szCs w:val="21"/>
                <w:highlight w:val="none"/>
              </w:rPr>
              <w:t>万</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不含本数）</w:t>
            </w:r>
            <w:r>
              <w:rPr>
                <w:rFonts w:hint="eastAsia" w:ascii="宋体" w:hAnsi="宋体" w:eastAsia="宋体" w:cs="宋体"/>
                <w:color w:val="auto"/>
                <w:szCs w:val="21"/>
                <w:highlight w:val="none"/>
              </w:rPr>
              <w:t>的得</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分，</w:t>
            </w:r>
          </w:p>
          <w:p>
            <w:pPr>
              <w:numPr>
                <w:ilvl w:val="0"/>
                <w:numId w:val="5"/>
              </w:numPr>
              <w:spacing w:line="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累计100</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不含本数）</w:t>
            </w:r>
            <w:r>
              <w:rPr>
                <w:rFonts w:hint="eastAsia" w:ascii="宋体" w:hAnsi="宋体" w:eastAsia="宋体" w:cs="宋体"/>
                <w:color w:val="auto"/>
                <w:szCs w:val="21"/>
                <w:highlight w:val="none"/>
              </w:rPr>
              <w:t>万以上至</w:t>
            </w:r>
            <w:r>
              <w:rPr>
                <w:rFonts w:hint="eastAsia" w:ascii="宋体" w:hAnsi="宋体" w:eastAsia="宋体" w:cs="宋体"/>
                <w:color w:val="auto"/>
                <w:szCs w:val="21"/>
                <w:highlight w:val="none"/>
                <w:lang w:val="en-US" w:eastAsia="zh-CN"/>
              </w:rPr>
              <w:t>150</w:t>
            </w:r>
            <w:r>
              <w:rPr>
                <w:rFonts w:hint="eastAsia" w:ascii="宋体" w:hAnsi="宋体" w:eastAsia="宋体" w:cs="宋体"/>
                <w:color w:val="auto"/>
                <w:szCs w:val="21"/>
                <w:highlight w:val="none"/>
              </w:rPr>
              <w:t>万</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含本数）</w:t>
            </w:r>
            <w:r>
              <w:rPr>
                <w:rFonts w:hint="eastAsia" w:ascii="宋体" w:hAnsi="宋体" w:eastAsia="宋体" w:cs="宋体"/>
                <w:color w:val="auto"/>
                <w:szCs w:val="21"/>
                <w:highlight w:val="none"/>
              </w:rPr>
              <w:t>的得</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分，</w:t>
            </w:r>
          </w:p>
          <w:p>
            <w:pPr>
              <w:numPr>
                <w:ilvl w:val="0"/>
                <w:numId w:val="5"/>
              </w:numPr>
              <w:spacing w:line="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累计50</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不含本数）</w:t>
            </w:r>
            <w:r>
              <w:rPr>
                <w:rFonts w:hint="eastAsia" w:ascii="宋体" w:hAnsi="宋体" w:eastAsia="宋体" w:cs="宋体"/>
                <w:color w:val="auto"/>
                <w:szCs w:val="21"/>
                <w:highlight w:val="none"/>
              </w:rPr>
              <w:t>万以上至</w:t>
            </w:r>
            <w:r>
              <w:rPr>
                <w:rFonts w:hint="eastAsia" w:ascii="宋体" w:hAnsi="宋体" w:eastAsia="宋体" w:cs="宋体"/>
                <w:color w:val="auto"/>
                <w:szCs w:val="21"/>
                <w:highlight w:val="none"/>
                <w:lang w:val="en-US" w:eastAsia="zh-CN"/>
              </w:rPr>
              <w:t>100</w:t>
            </w:r>
            <w:r>
              <w:rPr>
                <w:rFonts w:hint="eastAsia" w:ascii="宋体" w:hAnsi="宋体" w:eastAsia="宋体" w:cs="宋体"/>
                <w:color w:val="auto"/>
                <w:szCs w:val="21"/>
                <w:highlight w:val="none"/>
              </w:rPr>
              <w:t>万</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含本数）</w:t>
            </w:r>
            <w:r>
              <w:rPr>
                <w:rFonts w:hint="eastAsia" w:ascii="宋体" w:hAnsi="宋体" w:eastAsia="宋体" w:cs="宋体"/>
                <w:color w:val="auto"/>
                <w:szCs w:val="21"/>
                <w:highlight w:val="none"/>
              </w:rPr>
              <w:t>的得</w:t>
            </w:r>
            <w:r>
              <w:rPr>
                <w:rFonts w:hint="eastAsia" w:ascii="宋体" w:hAnsi="宋体" w:eastAsia="宋体" w:cs="宋体"/>
                <w:color w:val="auto"/>
                <w:szCs w:val="21"/>
                <w:highlight w:val="none"/>
                <w:lang w:val="en-US" w:eastAsia="zh-CN"/>
              </w:rPr>
              <w:t>0.5</w:t>
            </w:r>
            <w:r>
              <w:rPr>
                <w:rFonts w:hint="eastAsia" w:ascii="宋体" w:hAnsi="宋体" w:eastAsia="宋体" w:cs="宋体"/>
                <w:color w:val="auto"/>
                <w:szCs w:val="21"/>
                <w:highlight w:val="none"/>
              </w:rPr>
              <w:t>分，</w:t>
            </w:r>
          </w:p>
          <w:p>
            <w:pPr>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Cs w:val="21"/>
                <w:highlight w:val="none"/>
              </w:rPr>
              <w:t>【</w:t>
            </w:r>
            <w:r>
              <w:rPr>
                <w:rFonts w:hint="eastAsia" w:ascii="宋体" w:hAnsi="宋体" w:eastAsia="宋体" w:cs="宋体"/>
                <w:color w:val="auto"/>
                <w:kern w:val="0"/>
                <w:szCs w:val="21"/>
                <w:highlight w:val="none"/>
                <w:lang w:val="en-US" w:eastAsia="zh-CN"/>
              </w:rPr>
              <w:t>提供保险费用清单及发票</w:t>
            </w:r>
            <w:r>
              <w:rPr>
                <w:rFonts w:hint="eastAsia" w:ascii="宋体" w:hAnsi="宋体" w:eastAsia="宋体" w:cs="宋体"/>
                <w:color w:val="auto"/>
                <w:kern w:val="0"/>
                <w:szCs w:val="21"/>
                <w:highlight w:val="none"/>
              </w:rPr>
              <w:t>复印件</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加盖投标人公章</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，不提供不得分。】</w:t>
            </w:r>
          </w:p>
        </w:tc>
        <w:tc>
          <w:tcPr>
            <w:tcW w:w="240" w:type="dxa"/>
            <w:shd w:val="clear" w:color="auto" w:fill="auto"/>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vMerge w:val="restart"/>
            <w:shd w:val="clear" w:color="auto" w:fill="auto"/>
            <w:vAlign w:val="center"/>
          </w:tcPr>
          <w:p>
            <w:pPr>
              <w:jc w:val="center"/>
              <w:rPr>
                <w:rFonts w:hint="eastAsia" w:ascii="宋体" w:hAnsi="宋体" w:eastAsia="宋体" w:cs="宋体"/>
                <w:color w:val="auto"/>
                <w:sz w:val="21"/>
                <w:szCs w:val="21"/>
                <w:highlight w:val="none"/>
              </w:rPr>
            </w:pPr>
            <w:r>
              <w:rPr>
                <w:rFonts w:hint="eastAsia" w:ascii="宋体" w:hAnsi="宋体"/>
                <w:color w:val="auto"/>
                <w:spacing w:val="-5"/>
                <w:szCs w:val="21"/>
                <w:highlight w:val="none"/>
              </w:rPr>
              <w:t>拟派本项目</w:t>
            </w:r>
            <w:r>
              <w:rPr>
                <w:rFonts w:hint="eastAsia" w:ascii="宋体" w:hAnsi="宋体"/>
                <w:color w:val="auto"/>
                <w:spacing w:val="-5"/>
                <w:szCs w:val="21"/>
                <w:highlight w:val="none"/>
                <w:lang w:val="en-US" w:eastAsia="zh-CN"/>
              </w:rPr>
              <w:t>团队</w:t>
            </w:r>
            <w:r>
              <w:rPr>
                <w:rFonts w:hint="eastAsia" w:ascii="宋体" w:hAnsi="宋体"/>
                <w:color w:val="auto"/>
                <w:spacing w:val="-5"/>
                <w:szCs w:val="21"/>
                <w:highlight w:val="none"/>
              </w:rPr>
              <w:t>情况</w:t>
            </w:r>
          </w:p>
        </w:tc>
        <w:tc>
          <w:tcPr>
            <w:tcW w:w="709" w:type="dxa"/>
            <w:shd w:val="clear" w:color="auto" w:fill="auto"/>
            <w:vAlign w:val="center"/>
          </w:tcPr>
          <w:p>
            <w:pPr>
              <w:jc w:val="center"/>
              <w:rPr>
                <w:rFonts w:hint="eastAsia" w:ascii="宋体" w:hAnsi="宋体" w:eastAsia="宋体" w:cs="宋体"/>
                <w:color w:val="auto"/>
                <w:szCs w:val="21"/>
                <w:highlight w:val="none"/>
                <w:lang w:val="en-US" w:eastAsia="zh-CN"/>
              </w:rPr>
            </w:pPr>
            <w:r>
              <w:rPr>
                <w:rFonts w:hint="eastAsia"/>
                <w:color w:val="auto"/>
                <w:highlight w:val="none"/>
                <w:lang w:val="en-US" w:eastAsia="zh-CN"/>
              </w:rPr>
              <w:t>3分</w:t>
            </w:r>
          </w:p>
        </w:tc>
        <w:tc>
          <w:tcPr>
            <w:tcW w:w="9797" w:type="dxa"/>
            <w:shd w:val="clear" w:color="auto" w:fill="auto"/>
            <w:vAlign w:val="center"/>
          </w:tcPr>
          <w:p>
            <w:pPr>
              <w:autoSpaceDE w:val="0"/>
              <w:autoSpaceDN w:val="0"/>
              <w:adjustRightInd w:val="0"/>
              <w:snapToGrid w:val="0"/>
              <w:spacing w:line="240" w:lineRule="auto"/>
              <w:rPr>
                <w:rFonts w:hint="eastAsia" w:ascii="宋体" w:hAnsi="宋体"/>
                <w:color w:val="auto"/>
                <w:spacing w:val="-5"/>
                <w:szCs w:val="21"/>
                <w:highlight w:val="none"/>
              </w:rPr>
            </w:pPr>
            <w:r>
              <w:rPr>
                <w:rFonts w:hint="eastAsia" w:ascii="宋体" w:hAnsi="宋体"/>
                <w:color w:val="auto"/>
                <w:spacing w:val="-5"/>
                <w:szCs w:val="21"/>
                <w:highlight w:val="none"/>
                <w:lang w:val="en-US" w:eastAsia="zh-CN"/>
              </w:rPr>
              <w:t>项目</w:t>
            </w:r>
            <w:r>
              <w:rPr>
                <w:rFonts w:hint="eastAsia" w:ascii="宋体" w:hAnsi="宋体"/>
                <w:color w:val="auto"/>
                <w:spacing w:val="-5"/>
                <w:szCs w:val="21"/>
                <w:highlight w:val="none"/>
              </w:rPr>
              <w:t>负责人：</w:t>
            </w:r>
          </w:p>
          <w:p>
            <w:pPr>
              <w:autoSpaceDE w:val="0"/>
              <w:autoSpaceDN w:val="0"/>
              <w:adjustRightInd w:val="0"/>
              <w:snapToGrid w:val="0"/>
              <w:spacing w:line="240" w:lineRule="auto"/>
              <w:rPr>
                <w:rFonts w:hint="default" w:ascii="宋体" w:hAnsi="宋体"/>
                <w:color w:val="auto"/>
                <w:spacing w:val="-5"/>
                <w:szCs w:val="21"/>
                <w:highlight w:val="none"/>
                <w:lang w:val="en-US" w:eastAsia="zh-CN"/>
              </w:rPr>
            </w:pPr>
            <w:r>
              <w:rPr>
                <w:rFonts w:hint="eastAsia" w:ascii="宋体" w:hAnsi="宋体"/>
                <w:color w:val="auto"/>
                <w:spacing w:val="-5"/>
                <w:szCs w:val="21"/>
                <w:highlight w:val="none"/>
                <w:lang w:val="en-US" w:eastAsia="zh-CN"/>
              </w:rPr>
              <w:t>1、具有注册一级市政公用工程专业建造师，</w:t>
            </w:r>
            <w:r>
              <w:rPr>
                <w:rFonts w:hint="eastAsia" w:ascii="宋体" w:hAnsi="宋体"/>
                <w:color w:val="auto"/>
                <w:spacing w:val="-5"/>
                <w:szCs w:val="21"/>
                <w:highlight w:val="none"/>
                <w:shd w:val="clear" w:fill="auto"/>
                <w:lang w:val="en-US" w:eastAsia="zh-CN"/>
              </w:rPr>
              <w:t>得1分</w:t>
            </w:r>
            <w:r>
              <w:rPr>
                <w:rFonts w:hint="eastAsia" w:ascii="宋体" w:hAnsi="宋体"/>
                <w:color w:val="auto"/>
                <w:spacing w:val="-5"/>
                <w:szCs w:val="21"/>
                <w:highlight w:val="none"/>
                <w:lang w:val="en-US" w:eastAsia="zh-CN"/>
              </w:rPr>
              <w:t>；具有注册二级市政公用工程专业建造师，得0.5分；最多得1分；</w:t>
            </w:r>
          </w:p>
          <w:p>
            <w:pPr>
              <w:numPr>
                <w:ilvl w:val="0"/>
                <w:numId w:val="0"/>
              </w:numPr>
              <w:autoSpaceDE w:val="0"/>
              <w:autoSpaceDN w:val="0"/>
              <w:adjustRightInd w:val="0"/>
              <w:snapToGrid w:val="0"/>
              <w:spacing w:line="240" w:lineRule="auto"/>
              <w:rPr>
                <w:rFonts w:hint="eastAsia" w:ascii="宋体" w:hAnsi="宋体"/>
                <w:color w:val="auto"/>
                <w:spacing w:val="-5"/>
                <w:szCs w:val="21"/>
                <w:highlight w:val="none"/>
                <w:lang w:val="en-US" w:eastAsia="zh-CN"/>
              </w:rPr>
            </w:pPr>
            <w:r>
              <w:rPr>
                <w:rFonts w:hint="eastAsia" w:ascii="宋体" w:hAnsi="宋体"/>
                <w:color w:val="auto"/>
                <w:spacing w:val="-5"/>
                <w:szCs w:val="21"/>
                <w:highlight w:val="none"/>
                <w:lang w:val="en-US" w:eastAsia="zh-CN"/>
              </w:rPr>
              <w:t>2、具有</w:t>
            </w:r>
            <w:r>
              <w:rPr>
                <w:rFonts w:hint="eastAsia" w:ascii="宋体" w:hAnsi="宋体"/>
                <w:color w:val="auto"/>
                <w:spacing w:val="-5"/>
                <w:szCs w:val="21"/>
                <w:highlight w:val="none"/>
              </w:rPr>
              <w:t>工作经验15年或以上，</w:t>
            </w:r>
            <w:r>
              <w:rPr>
                <w:rFonts w:hint="eastAsia" w:ascii="宋体" w:hAnsi="宋体"/>
                <w:color w:val="auto"/>
                <w:spacing w:val="-5"/>
                <w:szCs w:val="21"/>
                <w:highlight w:val="none"/>
                <w:shd w:val="clear" w:fill="auto"/>
              </w:rPr>
              <w:t>得</w:t>
            </w:r>
            <w:r>
              <w:rPr>
                <w:rFonts w:hint="eastAsia" w:ascii="宋体" w:hAnsi="宋体"/>
                <w:color w:val="auto"/>
                <w:spacing w:val="-5"/>
                <w:szCs w:val="21"/>
                <w:highlight w:val="none"/>
                <w:shd w:val="clear" w:fill="auto"/>
                <w:lang w:val="en-US" w:eastAsia="zh-CN"/>
              </w:rPr>
              <w:t>1</w:t>
            </w:r>
            <w:r>
              <w:rPr>
                <w:rFonts w:hint="eastAsia" w:ascii="宋体" w:hAnsi="宋体"/>
                <w:color w:val="auto"/>
                <w:spacing w:val="-5"/>
                <w:szCs w:val="21"/>
                <w:highlight w:val="none"/>
                <w:shd w:val="clear" w:fill="auto"/>
              </w:rPr>
              <w:t>分</w:t>
            </w:r>
            <w:r>
              <w:rPr>
                <w:rFonts w:hint="eastAsia" w:ascii="宋体" w:hAnsi="宋体"/>
                <w:color w:val="auto"/>
                <w:spacing w:val="-5"/>
                <w:szCs w:val="21"/>
                <w:highlight w:val="none"/>
              </w:rPr>
              <w:t>；</w:t>
            </w:r>
          </w:p>
          <w:p>
            <w:pPr>
              <w:autoSpaceDE w:val="0"/>
              <w:autoSpaceDN w:val="0"/>
              <w:adjustRightInd w:val="0"/>
              <w:snapToGrid w:val="0"/>
              <w:spacing w:line="240" w:lineRule="auto"/>
              <w:rPr>
                <w:rFonts w:hint="eastAsia" w:ascii="宋体" w:hAnsi="宋体"/>
                <w:color w:val="auto"/>
                <w:spacing w:val="-5"/>
                <w:szCs w:val="21"/>
                <w:highlight w:val="none"/>
              </w:rPr>
            </w:pPr>
            <w:r>
              <w:rPr>
                <w:rFonts w:hint="eastAsia" w:ascii="宋体" w:hAnsi="宋体"/>
                <w:color w:val="auto"/>
                <w:spacing w:val="-5"/>
                <w:szCs w:val="21"/>
                <w:highlight w:val="none"/>
                <w:lang w:val="en-US" w:eastAsia="zh-CN"/>
              </w:rPr>
              <w:t>3、</w:t>
            </w:r>
            <w:r>
              <w:rPr>
                <w:rFonts w:hint="eastAsia" w:ascii="宋体" w:hAnsi="宋体"/>
                <w:color w:val="auto"/>
                <w:spacing w:val="-5"/>
                <w:szCs w:val="21"/>
                <w:highlight w:val="none"/>
              </w:rPr>
              <w:t>具有工程类</w:t>
            </w:r>
            <w:r>
              <w:rPr>
                <w:rFonts w:hint="eastAsia" w:ascii="宋体" w:hAnsi="宋体"/>
                <w:color w:val="auto"/>
                <w:spacing w:val="-5"/>
                <w:szCs w:val="21"/>
                <w:highlight w:val="none"/>
                <w:lang w:val="en-US" w:eastAsia="zh-CN"/>
              </w:rPr>
              <w:t>高</w:t>
            </w:r>
            <w:r>
              <w:rPr>
                <w:rFonts w:hint="eastAsia" w:ascii="宋体" w:hAnsi="宋体"/>
                <w:color w:val="auto"/>
                <w:spacing w:val="-5"/>
                <w:szCs w:val="21"/>
                <w:highlight w:val="none"/>
              </w:rPr>
              <w:t>级或以上职称，</w:t>
            </w:r>
            <w:r>
              <w:rPr>
                <w:rFonts w:hint="eastAsia" w:ascii="宋体" w:hAnsi="宋体"/>
                <w:color w:val="auto"/>
                <w:spacing w:val="-5"/>
                <w:szCs w:val="21"/>
                <w:highlight w:val="none"/>
                <w:shd w:val="clear" w:fill="auto"/>
              </w:rPr>
              <w:t>得</w:t>
            </w:r>
            <w:r>
              <w:rPr>
                <w:rFonts w:hint="eastAsia" w:ascii="宋体" w:hAnsi="宋体"/>
                <w:color w:val="auto"/>
                <w:spacing w:val="-5"/>
                <w:szCs w:val="21"/>
                <w:highlight w:val="none"/>
                <w:shd w:val="clear"/>
                <w:lang w:val="en-US" w:eastAsia="zh-CN"/>
              </w:rPr>
              <w:t>1</w:t>
            </w:r>
            <w:r>
              <w:rPr>
                <w:rFonts w:hint="eastAsia" w:ascii="宋体" w:hAnsi="宋体"/>
                <w:color w:val="auto"/>
                <w:spacing w:val="-5"/>
                <w:szCs w:val="21"/>
                <w:highlight w:val="none"/>
                <w:shd w:val="clear" w:fill="auto"/>
              </w:rPr>
              <w:t>分</w:t>
            </w:r>
            <w:r>
              <w:rPr>
                <w:rFonts w:hint="eastAsia" w:ascii="宋体" w:hAnsi="宋体"/>
                <w:color w:val="auto"/>
                <w:spacing w:val="-5"/>
                <w:szCs w:val="21"/>
                <w:highlight w:val="none"/>
              </w:rPr>
              <w:t>。</w:t>
            </w:r>
          </w:p>
          <w:p>
            <w:pPr>
              <w:autoSpaceDE w:val="0"/>
              <w:autoSpaceDN w:val="0"/>
              <w:adjustRightInd w:val="0"/>
              <w:snapToGrid w:val="0"/>
              <w:spacing w:line="240" w:lineRule="auto"/>
              <w:rPr>
                <w:rFonts w:hint="eastAsia" w:ascii="宋体" w:hAnsi="宋体"/>
                <w:color w:val="auto"/>
                <w:spacing w:val="-5"/>
                <w:szCs w:val="21"/>
                <w:highlight w:val="none"/>
              </w:rPr>
            </w:pPr>
            <w:r>
              <w:rPr>
                <w:rFonts w:hint="eastAsia" w:ascii="宋体" w:hAnsi="宋体"/>
                <w:color w:val="auto"/>
                <w:spacing w:val="-5"/>
                <w:szCs w:val="21"/>
                <w:highlight w:val="none"/>
              </w:rPr>
              <w:t>本项最</w:t>
            </w:r>
            <w:r>
              <w:rPr>
                <w:rFonts w:hint="eastAsia" w:ascii="宋体" w:hAnsi="宋体"/>
                <w:color w:val="auto"/>
                <w:spacing w:val="-5"/>
                <w:szCs w:val="21"/>
                <w:highlight w:val="none"/>
                <w:shd w:val="clear" w:fill="auto"/>
              </w:rPr>
              <w:t>高</w:t>
            </w:r>
            <w:r>
              <w:rPr>
                <w:rFonts w:hint="eastAsia" w:ascii="宋体" w:hAnsi="宋体"/>
                <w:color w:val="auto"/>
                <w:spacing w:val="-5"/>
                <w:szCs w:val="21"/>
                <w:highlight w:val="none"/>
                <w:shd w:val="clear"/>
                <w:lang w:eastAsia="zh-CN"/>
              </w:rPr>
              <w:t>得</w:t>
            </w:r>
            <w:r>
              <w:rPr>
                <w:rFonts w:hint="eastAsia" w:ascii="宋体" w:hAnsi="宋体"/>
                <w:color w:val="auto"/>
                <w:spacing w:val="-5"/>
                <w:szCs w:val="21"/>
                <w:highlight w:val="none"/>
                <w:shd w:val="clear"/>
                <w:lang w:val="en-US" w:eastAsia="zh-CN"/>
              </w:rPr>
              <w:t>3</w:t>
            </w:r>
            <w:r>
              <w:rPr>
                <w:rFonts w:hint="eastAsia" w:ascii="宋体" w:hAnsi="宋体"/>
                <w:color w:val="auto"/>
                <w:spacing w:val="-5"/>
                <w:szCs w:val="21"/>
                <w:highlight w:val="none"/>
                <w:shd w:val="clear" w:fill="auto"/>
              </w:rPr>
              <w:t>分</w:t>
            </w:r>
            <w:r>
              <w:rPr>
                <w:rFonts w:hint="eastAsia" w:ascii="宋体" w:hAnsi="宋体"/>
                <w:color w:val="auto"/>
                <w:spacing w:val="-5"/>
                <w:szCs w:val="21"/>
                <w:highlight w:val="none"/>
              </w:rPr>
              <w:t>。</w:t>
            </w:r>
          </w:p>
          <w:p>
            <w:pPr>
              <w:autoSpaceDE w:val="0"/>
              <w:autoSpaceDN w:val="0"/>
              <w:adjustRightInd w:val="0"/>
              <w:snapToGrid w:val="0"/>
              <w:spacing w:line="240" w:lineRule="auto"/>
              <w:rPr>
                <w:rFonts w:hint="eastAsia" w:ascii="宋体" w:hAnsi="宋体" w:cs="宋体"/>
                <w:color w:val="auto"/>
                <w:sz w:val="21"/>
                <w:szCs w:val="21"/>
                <w:highlight w:val="none"/>
                <w:lang w:val="en-US" w:eastAsia="zh-CN"/>
              </w:rPr>
            </w:pPr>
            <w:r>
              <w:rPr>
                <w:rFonts w:hint="eastAsia" w:ascii="宋体" w:hAnsi="宋体"/>
                <w:color w:val="auto"/>
                <w:spacing w:val="-5"/>
                <w:szCs w:val="21"/>
                <w:highlight w:val="none"/>
                <w:lang w:eastAsia="zh-CN"/>
              </w:rPr>
              <w:t>（</w:t>
            </w:r>
            <w:r>
              <w:rPr>
                <w:rFonts w:hint="eastAsia" w:ascii="宋体" w:hAnsi="宋体"/>
                <w:color w:val="auto"/>
                <w:spacing w:val="-5"/>
                <w:szCs w:val="21"/>
                <w:highlight w:val="none"/>
              </w:rPr>
              <w:t>注：需提供人员相关证书和毕业证书和投标人近</w:t>
            </w:r>
            <w:r>
              <w:rPr>
                <w:rFonts w:hint="eastAsia" w:ascii="宋体" w:hAnsi="宋体"/>
                <w:color w:val="auto"/>
                <w:spacing w:val="-5"/>
                <w:szCs w:val="21"/>
                <w:highlight w:val="none"/>
                <w:lang w:val="en-US" w:eastAsia="zh-CN"/>
              </w:rPr>
              <w:t>3</w:t>
            </w:r>
            <w:r>
              <w:rPr>
                <w:rFonts w:hint="eastAsia" w:ascii="宋体" w:hAnsi="宋体"/>
                <w:color w:val="auto"/>
                <w:spacing w:val="-5"/>
                <w:szCs w:val="21"/>
                <w:highlight w:val="none"/>
              </w:rPr>
              <w:t>个月（或以上）连续为其购买社保的加盖社会保险基金管理中心印章的《投保单》或《社会保险参保人员证明》复印件，工作经验以毕业证发证时间开始计算，不符合或不提供不得分</w:t>
            </w:r>
            <w:r>
              <w:rPr>
                <w:rFonts w:hint="eastAsia" w:ascii="宋体" w:hAnsi="宋体"/>
                <w:color w:val="auto"/>
                <w:spacing w:val="-5"/>
                <w:szCs w:val="21"/>
                <w:highlight w:val="none"/>
                <w:lang w:eastAsia="zh-CN"/>
              </w:rPr>
              <w:t>。）</w:t>
            </w:r>
          </w:p>
        </w:tc>
        <w:tc>
          <w:tcPr>
            <w:tcW w:w="240" w:type="dxa"/>
            <w:shd w:val="clear" w:color="auto" w:fill="auto"/>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vMerge w:val="continue"/>
            <w:shd w:val="clear" w:color="auto" w:fill="auto"/>
            <w:vAlign w:val="center"/>
          </w:tcPr>
          <w:p>
            <w:pPr>
              <w:jc w:val="center"/>
              <w:rPr>
                <w:rFonts w:hint="eastAsia" w:ascii="宋体" w:hAnsi="宋体"/>
                <w:color w:val="auto"/>
                <w:spacing w:val="-5"/>
                <w:szCs w:val="21"/>
                <w:highlight w:val="none"/>
              </w:rPr>
            </w:pPr>
          </w:p>
        </w:tc>
        <w:tc>
          <w:tcPr>
            <w:tcW w:w="709" w:type="dxa"/>
            <w:shd w:val="clear" w:color="auto" w:fill="auto"/>
            <w:vAlign w:val="center"/>
          </w:tcPr>
          <w:p>
            <w:pPr>
              <w:jc w:val="center"/>
              <w:rPr>
                <w:rFonts w:hint="eastAsia"/>
                <w:color w:val="auto"/>
                <w:highlight w:val="none"/>
                <w:lang w:val="en-US" w:eastAsia="zh-CN"/>
              </w:rPr>
            </w:pPr>
            <w:r>
              <w:rPr>
                <w:rFonts w:hint="eastAsia"/>
                <w:color w:val="auto"/>
                <w:highlight w:val="none"/>
                <w:lang w:val="en-US" w:eastAsia="zh-CN"/>
              </w:rPr>
              <w:t>2分</w:t>
            </w:r>
          </w:p>
        </w:tc>
        <w:tc>
          <w:tcPr>
            <w:tcW w:w="9797" w:type="dxa"/>
            <w:shd w:val="clear" w:color="auto" w:fill="auto"/>
            <w:vAlign w:val="center"/>
          </w:tcPr>
          <w:p>
            <w:pPr>
              <w:autoSpaceDE w:val="0"/>
              <w:autoSpaceDN w:val="0"/>
              <w:adjustRightInd w:val="0"/>
              <w:snapToGrid w:val="0"/>
              <w:spacing w:line="240" w:lineRule="auto"/>
              <w:rPr>
                <w:rFonts w:hint="eastAsia" w:ascii="宋体" w:hAnsi="宋体"/>
                <w:color w:val="auto"/>
                <w:spacing w:val="-5"/>
                <w:szCs w:val="21"/>
                <w:highlight w:val="none"/>
              </w:rPr>
            </w:pPr>
            <w:r>
              <w:rPr>
                <w:rFonts w:hint="eastAsia" w:ascii="宋体" w:hAnsi="宋体"/>
                <w:color w:val="auto"/>
                <w:spacing w:val="-5"/>
                <w:szCs w:val="21"/>
                <w:highlight w:val="none"/>
                <w:lang w:val="en-US" w:eastAsia="zh-CN"/>
              </w:rPr>
              <w:t>技术</w:t>
            </w:r>
            <w:r>
              <w:rPr>
                <w:rFonts w:hint="eastAsia" w:ascii="宋体" w:hAnsi="宋体"/>
                <w:color w:val="auto"/>
                <w:spacing w:val="-5"/>
                <w:szCs w:val="21"/>
                <w:highlight w:val="none"/>
              </w:rPr>
              <w:t>负责人：</w:t>
            </w:r>
          </w:p>
          <w:p>
            <w:pPr>
              <w:autoSpaceDE w:val="0"/>
              <w:autoSpaceDN w:val="0"/>
              <w:adjustRightInd w:val="0"/>
              <w:snapToGrid w:val="0"/>
              <w:spacing w:line="240" w:lineRule="auto"/>
              <w:rPr>
                <w:rFonts w:hint="default" w:ascii="宋体" w:hAnsi="宋体"/>
                <w:color w:val="auto"/>
                <w:spacing w:val="-5"/>
                <w:szCs w:val="21"/>
                <w:highlight w:val="none"/>
                <w:lang w:val="en-US" w:eastAsia="zh-CN"/>
              </w:rPr>
            </w:pPr>
            <w:r>
              <w:rPr>
                <w:rFonts w:hint="eastAsia" w:ascii="宋体" w:hAnsi="宋体"/>
                <w:color w:val="auto"/>
                <w:spacing w:val="-5"/>
                <w:szCs w:val="21"/>
                <w:highlight w:val="none"/>
                <w:lang w:val="en-US" w:eastAsia="zh-CN"/>
              </w:rPr>
              <w:t>1、具有注册一级市政公用工程专业建造师，</w:t>
            </w:r>
            <w:r>
              <w:rPr>
                <w:rFonts w:hint="eastAsia" w:ascii="宋体" w:hAnsi="宋体"/>
                <w:color w:val="auto"/>
                <w:spacing w:val="-5"/>
                <w:szCs w:val="21"/>
                <w:highlight w:val="none"/>
                <w:shd w:val="clear"/>
                <w:lang w:val="en-US" w:eastAsia="zh-CN"/>
              </w:rPr>
              <w:t>得1分</w:t>
            </w:r>
            <w:r>
              <w:rPr>
                <w:rFonts w:hint="eastAsia" w:ascii="宋体" w:hAnsi="宋体"/>
                <w:color w:val="auto"/>
                <w:spacing w:val="-5"/>
                <w:szCs w:val="21"/>
                <w:highlight w:val="none"/>
                <w:lang w:val="en-US" w:eastAsia="zh-CN"/>
              </w:rPr>
              <w:t>；具有注册二级市政公用工程专业建造师，得0.5分；最多得1分；</w:t>
            </w:r>
          </w:p>
          <w:p>
            <w:pPr>
              <w:autoSpaceDE w:val="0"/>
              <w:autoSpaceDN w:val="0"/>
              <w:adjustRightInd w:val="0"/>
              <w:snapToGrid w:val="0"/>
              <w:spacing w:line="240" w:lineRule="auto"/>
              <w:rPr>
                <w:rFonts w:hint="eastAsia" w:ascii="宋体" w:hAnsi="宋体"/>
                <w:color w:val="auto"/>
                <w:spacing w:val="-5"/>
                <w:szCs w:val="21"/>
                <w:highlight w:val="none"/>
              </w:rPr>
            </w:pPr>
            <w:r>
              <w:rPr>
                <w:rFonts w:hint="eastAsia" w:ascii="宋体" w:hAnsi="宋体"/>
                <w:color w:val="auto"/>
                <w:spacing w:val="-5"/>
                <w:szCs w:val="21"/>
                <w:highlight w:val="none"/>
                <w:lang w:val="en-US" w:eastAsia="zh-CN"/>
              </w:rPr>
              <w:t>2、</w:t>
            </w:r>
            <w:r>
              <w:rPr>
                <w:rFonts w:hint="eastAsia" w:ascii="宋体" w:hAnsi="宋体"/>
                <w:color w:val="auto"/>
                <w:spacing w:val="-5"/>
                <w:szCs w:val="21"/>
                <w:highlight w:val="none"/>
              </w:rPr>
              <w:t>具有工程类</w:t>
            </w:r>
            <w:r>
              <w:rPr>
                <w:rFonts w:hint="eastAsia" w:ascii="宋体" w:hAnsi="宋体"/>
                <w:color w:val="auto"/>
                <w:spacing w:val="-5"/>
                <w:szCs w:val="21"/>
                <w:highlight w:val="none"/>
                <w:lang w:val="en-US" w:eastAsia="zh-CN"/>
              </w:rPr>
              <w:t>高</w:t>
            </w:r>
            <w:r>
              <w:rPr>
                <w:rFonts w:hint="eastAsia" w:ascii="宋体" w:hAnsi="宋体"/>
                <w:color w:val="auto"/>
                <w:spacing w:val="-5"/>
                <w:szCs w:val="21"/>
                <w:highlight w:val="none"/>
              </w:rPr>
              <w:t>级或以上职称，</w:t>
            </w:r>
            <w:r>
              <w:rPr>
                <w:rFonts w:hint="eastAsia" w:ascii="宋体" w:hAnsi="宋体"/>
                <w:color w:val="auto"/>
                <w:spacing w:val="-5"/>
                <w:szCs w:val="21"/>
                <w:highlight w:val="none"/>
                <w:shd w:val="clear"/>
              </w:rPr>
              <w:t>得</w:t>
            </w:r>
            <w:r>
              <w:rPr>
                <w:rFonts w:hint="eastAsia" w:ascii="宋体" w:hAnsi="宋体"/>
                <w:color w:val="auto"/>
                <w:spacing w:val="-5"/>
                <w:szCs w:val="21"/>
                <w:highlight w:val="none"/>
                <w:shd w:val="clear"/>
                <w:lang w:val="en-US" w:eastAsia="zh-CN"/>
              </w:rPr>
              <w:t>1</w:t>
            </w:r>
            <w:r>
              <w:rPr>
                <w:rFonts w:hint="eastAsia" w:ascii="宋体" w:hAnsi="宋体"/>
                <w:color w:val="auto"/>
                <w:spacing w:val="-5"/>
                <w:szCs w:val="21"/>
                <w:highlight w:val="none"/>
                <w:shd w:val="clear"/>
              </w:rPr>
              <w:t>分</w:t>
            </w:r>
            <w:r>
              <w:rPr>
                <w:rFonts w:hint="eastAsia" w:ascii="宋体" w:hAnsi="宋体"/>
                <w:color w:val="auto"/>
                <w:spacing w:val="-5"/>
                <w:szCs w:val="21"/>
                <w:highlight w:val="none"/>
              </w:rPr>
              <w:t>。</w:t>
            </w:r>
          </w:p>
          <w:p>
            <w:pPr>
              <w:autoSpaceDE w:val="0"/>
              <w:autoSpaceDN w:val="0"/>
              <w:adjustRightInd w:val="0"/>
              <w:snapToGrid w:val="0"/>
              <w:spacing w:line="240" w:lineRule="auto"/>
              <w:rPr>
                <w:rFonts w:hint="eastAsia" w:ascii="宋体" w:hAnsi="宋体"/>
                <w:color w:val="auto"/>
                <w:spacing w:val="-5"/>
                <w:szCs w:val="21"/>
                <w:highlight w:val="none"/>
              </w:rPr>
            </w:pPr>
            <w:r>
              <w:rPr>
                <w:rFonts w:hint="eastAsia" w:ascii="宋体" w:hAnsi="宋体"/>
                <w:color w:val="auto"/>
                <w:spacing w:val="-5"/>
                <w:szCs w:val="21"/>
                <w:highlight w:val="none"/>
              </w:rPr>
              <w:t>本项最</w:t>
            </w:r>
            <w:r>
              <w:rPr>
                <w:rFonts w:hint="eastAsia" w:ascii="宋体" w:hAnsi="宋体"/>
                <w:color w:val="auto"/>
                <w:spacing w:val="-5"/>
                <w:szCs w:val="21"/>
                <w:highlight w:val="none"/>
                <w:shd w:val="clear"/>
              </w:rPr>
              <w:t>高</w:t>
            </w:r>
            <w:r>
              <w:rPr>
                <w:rFonts w:hint="eastAsia" w:ascii="宋体" w:hAnsi="宋体"/>
                <w:color w:val="auto"/>
                <w:spacing w:val="-5"/>
                <w:szCs w:val="21"/>
                <w:highlight w:val="none"/>
                <w:shd w:val="clear"/>
                <w:lang w:eastAsia="zh-CN"/>
              </w:rPr>
              <w:t>得</w:t>
            </w:r>
            <w:r>
              <w:rPr>
                <w:rFonts w:hint="eastAsia" w:ascii="宋体" w:hAnsi="宋体"/>
                <w:color w:val="auto"/>
                <w:spacing w:val="-5"/>
                <w:szCs w:val="21"/>
                <w:highlight w:val="none"/>
                <w:shd w:val="clear"/>
                <w:lang w:val="en-US" w:eastAsia="zh-CN"/>
              </w:rPr>
              <w:t>2</w:t>
            </w:r>
            <w:r>
              <w:rPr>
                <w:rFonts w:hint="eastAsia" w:ascii="宋体" w:hAnsi="宋体"/>
                <w:color w:val="auto"/>
                <w:spacing w:val="-5"/>
                <w:szCs w:val="21"/>
                <w:highlight w:val="none"/>
                <w:shd w:val="clear"/>
              </w:rPr>
              <w:t>分</w:t>
            </w:r>
            <w:r>
              <w:rPr>
                <w:rFonts w:hint="eastAsia" w:ascii="宋体" w:hAnsi="宋体"/>
                <w:color w:val="auto"/>
                <w:spacing w:val="-5"/>
                <w:szCs w:val="21"/>
                <w:highlight w:val="none"/>
              </w:rPr>
              <w:t>。</w:t>
            </w:r>
          </w:p>
          <w:p>
            <w:pPr>
              <w:autoSpaceDE w:val="0"/>
              <w:autoSpaceDN w:val="0"/>
              <w:adjustRightInd w:val="0"/>
              <w:snapToGrid w:val="0"/>
              <w:spacing w:line="240" w:lineRule="auto"/>
              <w:rPr>
                <w:rFonts w:hint="eastAsia" w:ascii="宋体" w:hAnsi="宋体"/>
                <w:color w:val="auto"/>
                <w:spacing w:val="-5"/>
                <w:szCs w:val="21"/>
                <w:highlight w:val="none"/>
                <w:lang w:eastAsia="zh-CN"/>
              </w:rPr>
            </w:pPr>
            <w:r>
              <w:rPr>
                <w:rFonts w:hint="eastAsia" w:ascii="宋体" w:hAnsi="宋体"/>
                <w:color w:val="auto"/>
                <w:spacing w:val="-5"/>
                <w:szCs w:val="21"/>
                <w:highlight w:val="none"/>
                <w:lang w:eastAsia="zh-CN"/>
              </w:rPr>
              <w:t>（</w:t>
            </w:r>
            <w:r>
              <w:rPr>
                <w:rFonts w:hint="eastAsia" w:ascii="宋体" w:hAnsi="宋体"/>
                <w:color w:val="auto"/>
                <w:spacing w:val="-5"/>
                <w:szCs w:val="21"/>
                <w:highlight w:val="none"/>
              </w:rPr>
              <w:t>注：需提供人员相关证书和毕业证书和投标人近</w:t>
            </w:r>
            <w:r>
              <w:rPr>
                <w:rFonts w:hint="eastAsia" w:ascii="宋体" w:hAnsi="宋体"/>
                <w:color w:val="auto"/>
                <w:spacing w:val="-5"/>
                <w:szCs w:val="21"/>
                <w:highlight w:val="none"/>
                <w:lang w:val="en-US" w:eastAsia="zh-CN"/>
              </w:rPr>
              <w:t>3</w:t>
            </w:r>
            <w:r>
              <w:rPr>
                <w:rFonts w:hint="eastAsia" w:ascii="宋体" w:hAnsi="宋体"/>
                <w:color w:val="auto"/>
                <w:spacing w:val="-5"/>
                <w:szCs w:val="21"/>
                <w:highlight w:val="none"/>
              </w:rPr>
              <w:t>个月（或以上）连续为其购买社保的加盖社会保险基金管理中心印章的《投保单》或《社会保险参保人员证明》复印件，不符合或不提供不得分</w:t>
            </w:r>
            <w:r>
              <w:rPr>
                <w:rFonts w:hint="eastAsia" w:ascii="宋体" w:hAnsi="宋体"/>
                <w:color w:val="auto"/>
                <w:spacing w:val="-5"/>
                <w:szCs w:val="21"/>
                <w:highlight w:val="none"/>
                <w:lang w:eastAsia="zh-CN"/>
              </w:rPr>
              <w:t>。）</w:t>
            </w:r>
          </w:p>
        </w:tc>
        <w:tc>
          <w:tcPr>
            <w:tcW w:w="240" w:type="dxa"/>
            <w:shd w:val="clear" w:color="auto" w:fill="auto"/>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vMerge w:val="continue"/>
            <w:shd w:val="clear" w:color="auto" w:fill="auto"/>
            <w:vAlign w:val="center"/>
          </w:tcPr>
          <w:p>
            <w:pPr>
              <w:jc w:val="center"/>
              <w:rPr>
                <w:rFonts w:hint="eastAsia" w:ascii="宋体" w:hAnsi="宋体" w:eastAsia="宋体" w:cs="宋体"/>
                <w:color w:val="auto"/>
                <w:sz w:val="21"/>
                <w:szCs w:val="21"/>
                <w:highlight w:val="none"/>
              </w:rPr>
            </w:pPr>
          </w:p>
        </w:tc>
        <w:tc>
          <w:tcPr>
            <w:tcW w:w="709" w:type="dxa"/>
            <w:shd w:val="clear" w:color="auto" w:fill="auto"/>
            <w:vAlign w:val="center"/>
          </w:tcPr>
          <w:p>
            <w:pPr>
              <w:jc w:val="center"/>
              <w:rPr>
                <w:rFonts w:hint="eastAsia" w:ascii="宋体" w:hAnsi="宋体" w:eastAsia="宋体" w:cs="宋体"/>
                <w:color w:val="auto"/>
                <w:szCs w:val="21"/>
                <w:highlight w:val="none"/>
                <w:lang w:val="en-US" w:eastAsia="zh-CN"/>
              </w:rPr>
            </w:pPr>
            <w:r>
              <w:rPr>
                <w:rFonts w:hint="eastAsia"/>
                <w:color w:val="auto"/>
                <w:highlight w:val="none"/>
                <w:lang w:val="en-US" w:eastAsia="zh-CN"/>
              </w:rPr>
              <w:t>2分</w:t>
            </w:r>
          </w:p>
        </w:tc>
        <w:tc>
          <w:tcPr>
            <w:tcW w:w="9797" w:type="dxa"/>
            <w:shd w:val="clear" w:color="auto" w:fill="auto"/>
            <w:vAlign w:val="center"/>
          </w:tcPr>
          <w:p>
            <w:pPr>
              <w:autoSpaceDE w:val="0"/>
              <w:autoSpaceDN w:val="0"/>
              <w:adjustRightInd w:val="0"/>
              <w:snapToGrid w:val="0"/>
              <w:spacing w:line="220" w:lineRule="exact"/>
              <w:rPr>
                <w:rFonts w:hint="eastAsia" w:ascii="宋体" w:hAnsi="宋体"/>
                <w:color w:val="auto"/>
                <w:spacing w:val="-5"/>
                <w:szCs w:val="21"/>
                <w:highlight w:val="none"/>
              </w:rPr>
            </w:pPr>
            <w:r>
              <w:rPr>
                <w:rFonts w:hint="eastAsia" w:ascii="宋体" w:hAnsi="宋体"/>
                <w:color w:val="auto"/>
                <w:spacing w:val="-5"/>
                <w:szCs w:val="21"/>
                <w:highlight w:val="none"/>
              </w:rPr>
              <w:t>安全负责人：</w:t>
            </w:r>
          </w:p>
          <w:p>
            <w:pPr>
              <w:numPr>
                <w:ilvl w:val="0"/>
                <w:numId w:val="0"/>
              </w:numPr>
              <w:autoSpaceDE w:val="0"/>
              <w:autoSpaceDN w:val="0"/>
              <w:adjustRightInd w:val="0"/>
              <w:snapToGrid w:val="0"/>
              <w:spacing w:line="220" w:lineRule="exact"/>
              <w:rPr>
                <w:rFonts w:hint="eastAsia" w:ascii="宋体" w:hAnsi="宋体"/>
                <w:color w:val="auto"/>
                <w:spacing w:val="-5"/>
                <w:szCs w:val="21"/>
                <w:highlight w:val="none"/>
                <w:lang w:eastAsia="zh-CN"/>
              </w:rPr>
            </w:pPr>
            <w:r>
              <w:rPr>
                <w:rFonts w:hint="eastAsia" w:ascii="宋体" w:hAnsi="宋体"/>
                <w:color w:val="auto"/>
                <w:spacing w:val="-5"/>
                <w:szCs w:val="21"/>
                <w:highlight w:val="none"/>
                <w:lang w:val="en-US" w:eastAsia="zh-CN"/>
              </w:rPr>
              <w:t>1、具有注册一级市政工程专业建造师，</w:t>
            </w:r>
            <w:r>
              <w:rPr>
                <w:rFonts w:hint="eastAsia" w:ascii="宋体" w:hAnsi="宋体"/>
                <w:color w:val="auto"/>
                <w:spacing w:val="-5"/>
                <w:szCs w:val="21"/>
                <w:highlight w:val="none"/>
                <w:shd w:val="clear"/>
                <w:lang w:val="en-US" w:eastAsia="zh-CN"/>
              </w:rPr>
              <w:t>得1分</w:t>
            </w:r>
            <w:r>
              <w:rPr>
                <w:rFonts w:hint="eastAsia" w:ascii="宋体" w:hAnsi="宋体"/>
                <w:color w:val="auto"/>
                <w:spacing w:val="-5"/>
                <w:szCs w:val="21"/>
                <w:highlight w:val="none"/>
                <w:lang w:val="en-US" w:eastAsia="zh-CN"/>
              </w:rPr>
              <w:t>；具有注册二级市政工程专业建造师，得0.5分；最多得1分；</w:t>
            </w:r>
          </w:p>
          <w:p>
            <w:pPr>
              <w:autoSpaceDE w:val="0"/>
              <w:autoSpaceDN w:val="0"/>
              <w:adjustRightInd w:val="0"/>
              <w:snapToGrid w:val="0"/>
              <w:spacing w:line="220" w:lineRule="exact"/>
              <w:rPr>
                <w:rFonts w:hint="eastAsia" w:ascii="宋体" w:hAnsi="宋体"/>
                <w:color w:val="auto"/>
                <w:spacing w:val="-5"/>
                <w:szCs w:val="21"/>
                <w:highlight w:val="none"/>
              </w:rPr>
            </w:pPr>
            <w:r>
              <w:rPr>
                <w:rFonts w:hint="eastAsia" w:ascii="宋体" w:hAnsi="宋体"/>
                <w:color w:val="auto"/>
                <w:spacing w:val="-5"/>
                <w:szCs w:val="21"/>
                <w:highlight w:val="none"/>
                <w:lang w:val="en-US" w:eastAsia="zh-CN"/>
              </w:rPr>
              <w:t>2、具有</w:t>
            </w:r>
            <w:r>
              <w:rPr>
                <w:rFonts w:hint="eastAsia" w:ascii="宋体" w:hAnsi="宋体"/>
                <w:color w:val="auto"/>
                <w:spacing w:val="-5"/>
                <w:szCs w:val="21"/>
                <w:highlight w:val="none"/>
              </w:rPr>
              <w:t>工程类</w:t>
            </w:r>
            <w:r>
              <w:rPr>
                <w:rFonts w:hint="eastAsia" w:ascii="宋体" w:hAnsi="宋体"/>
                <w:color w:val="auto"/>
                <w:spacing w:val="-5"/>
                <w:szCs w:val="21"/>
                <w:highlight w:val="none"/>
                <w:lang w:val="en-US" w:eastAsia="zh-CN"/>
              </w:rPr>
              <w:t>中</w:t>
            </w:r>
            <w:r>
              <w:rPr>
                <w:rFonts w:hint="eastAsia" w:ascii="宋体" w:hAnsi="宋体"/>
                <w:color w:val="auto"/>
                <w:spacing w:val="-5"/>
                <w:szCs w:val="21"/>
                <w:highlight w:val="none"/>
              </w:rPr>
              <w:t>级或以上职称，</w:t>
            </w:r>
            <w:r>
              <w:rPr>
                <w:rFonts w:hint="eastAsia" w:ascii="宋体" w:hAnsi="宋体"/>
                <w:color w:val="auto"/>
                <w:spacing w:val="-5"/>
                <w:szCs w:val="21"/>
                <w:highlight w:val="none"/>
                <w:shd w:val="clear" w:fill="auto"/>
              </w:rPr>
              <w:t>得</w:t>
            </w:r>
            <w:r>
              <w:rPr>
                <w:rFonts w:hint="eastAsia" w:ascii="宋体" w:hAnsi="宋体"/>
                <w:color w:val="auto"/>
                <w:spacing w:val="-5"/>
                <w:szCs w:val="21"/>
                <w:highlight w:val="none"/>
                <w:shd w:val="clear" w:fill="auto"/>
                <w:lang w:val="en-US" w:eastAsia="zh-CN"/>
              </w:rPr>
              <w:t>1</w:t>
            </w:r>
            <w:r>
              <w:rPr>
                <w:rFonts w:hint="eastAsia" w:ascii="宋体" w:hAnsi="宋体"/>
                <w:color w:val="auto"/>
                <w:spacing w:val="-5"/>
                <w:szCs w:val="21"/>
                <w:highlight w:val="none"/>
                <w:shd w:val="clear" w:fill="auto"/>
              </w:rPr>
              <w:t>分</w:t>
            </w:r>
            <w:r>
              <w:rPr>
                <w:rFonts w:hint="eastAsia" w:ascii="宋体" w:hAnsi="宋体"/>
                <w:color w:val="auto"/>
                <w:spacing w:val="-5"/>
                <w:szCs w:val="21"/>
                <w:highlight w:val="none"/>
              </w:rPr>
              <w:t>。</w:t>
            </w:r>
          </w:p>
          <w:p>
            <w:pPr>
              <w:autoSpaceDE w:val="0"/>
              <w:autoSpaceDN w:val="0"/>
              <w:adjustRightInd w:val="0"/>
              <w:snapToGrid w:val="0"/>
              <w:spacing w:line="220" w:lineRule="exact"/>
              <w:rPr>
                <w:rFonts w:hint="eastAsia" w:ascii="宋体" w:hAnsi="宋体"/>
                <w:color w:val="auto"/>
                <w:spacing w:val="-5"/>
                <w:szCs w:val="21"/>
                <w:highlight w:val="none"/>
              </w:rPr>
            </w:pPr>
            <w:r>
              <w:rPr>
                <w:rFonts w:hint="eastAsia" w:ascii="宋体" w:hAnsi="宋体"/>
                <w:color w:val="auto"/>
                <w:spacing w:val="-5"/>
                <w:szCs w:val="21"/>
                <w:highlight w:val="none"/>
              </w:rPr>
              <w:t>本项最高</w:t>
            </w:r>
            <w:r>
              <w:rPr>
                <w:rFonts w:hint="eastAsia" w:ascii="宋体" w:hAnsi="宋体"/>
                <w:color w:val="auto"/>
                <w:spacing w:val="-5"/>
                <w:szCs w:val="21"/>
                <w:highlight w:val="none"/>
                <w:lang w:eastAsia="zh-CN"/>
              </w:rPr>
              <w:t>得</w:t>
            </w:r>
            <w:r>
              <w:rPr>
                <w:rFonts w:hint="eastAsia" w:ascii="宋体" w:hAnsi="宋体"/>
                <w:color w:val="auto"/>
                <w:spacing w:val="-5"/>
                <w:szCs w:val="21"/>
                <w:highlight w:val="none"/>
                <w:shd w:val="clear"/>
                <w:lang w:val="en-US" w:eastAsia="zh-CN"/>
              </w:rPr>
              <w:t>2</w:t>
            </w:r>
            <w:r>
              <w:rPr>
                <w:rFonts w:hint="eastAsia" w:ascii="宋体" w:hAnsi="宋体"/>
                <w:color w:val="auto"/>
                <w:spacing w:val="-5"/>
                <w:szCs w:val="21"/>
                <w:highlight w:val="none"/>
                <w:shd w:val="clear" w:fill="auto"/>
              </w:rPr>
              <w:t>分</w:t>
            </w:r>
            <w:r>
              <w:rPr>
                <w:rFonts w:hint="eastAsia" w:ascii="宋体" w:hAnsi="宋体"/>
                <w:color w:val="auto"/>
                <w:spacing w:val="-5"/>
                <w:szCs w:val="21"/>
                <w:highlight w:val="none"/>
              </w:rPr>
              <w:t>。</w:t>
            </w:r>
          </w:p>
          <w:p>
            <w:pPr>
              <w:autoSpaceDE w:val="0"/>
              <w:autoSpaceDN w:val="0"/>
              <w:adjustRightInd w:val="0"/>
              <w:snapToGrid w:val="0"/>
              <w:spacing w:line="220" w:lineRule="exact"/>
              <w:rPr>
                <w:rFonts w:hint="eastAsia" w:ascii="宋体" w:hAnsi="宋体" w:cstheme="minorBidi"/>
                <w:color w:val="auto"/>
                <w:spacing w:val="-5"/>
                <w:sz w:val="21"/>
                <w:szCs w:val="21"/>
                <w:highlight w:val="none"/>
                <w:lang w:val="en-US" w:eastAsia="zh-CN"/>
              </w:rPr>
            </w:pPr>
            <w:r>
              <w:rPr>
                <w:rFonts w:hint="eastAsia" w:ascii="宋体" w:hAnsi="宋体"/>
                <w:color w:val="auto"/>
                <w:spacing w:val="-5"/>
                <w:szCs w:val="21"/>
                <w:highlight w:val="none"/>
                <w:lang w:eastAsia="zh-CN"/>
              </w:rPr>
              <w:t>（</w:t>
            </w:r>
            <w:r>
              <w:rPr>
                <w:rFonts w:hint="eastAsia" w:ascii="宋体" w:hAnsi="宋体"/>
                <w:color w:val="auto"/>
                <w:spacing w:val="-5"/>
                <w:szCs w:val="21"/>
                <w:highlight w:val="none"/>
              </w:rPr>
              <w:t>注：需提供人员相关证书和毕业证书和投标人近</w:t>
            </w:r>
            <w:r>
              <w:rPr>
                <w:rFonts w:hint="eastAsia" w:ascii="宋体" w:hAnsi="宋体"/>
                <w:color w:val="auto"/>
                <w:spacing w:val="-5"/>
                <w:szCs w:val="21"/>
                <w:highlight w:val="none"/>
                <w:lang w:val="en-US" w:eastAsia="zh-CN"/>
              </w:rPr>
              <w:t>3</w:t>
            </w:r>
            <w:r>
              <w:rPr>
                <w:rFonts w:hint="eastAsia" w:ascii="宋体" w:hAnsi="宋体"/>
                <w:color w:val="auto"/>
                <w:spacing w:val="-5"/>
                <w:szCs w:val="21"/>
                <w:highlight w:val="none"/>
              </w:rPr>
              <w:t>个月（或以上）连续为其购买社保的加盖社会保险基金管理中心印章的《投保单》或《社会保险参保人员证明》复印件，不符合或不提供不得分</w:t>
            </w:r>
            <w:r>
              <w:rPr>
                <w:rFonts w:hint="eastAsia" w:ascii="宋体" w:hAnsi="宋体"/>
                <w:color w:val="auto"/>
                <w:spacing w:val="-5"/>
                <w:szCs w:val="21"/>
                <w:highlight w:val="none"/>
                <w:lang w:eastAsia="zh-CN"/>
              </w:rPr>
              <w:t>。）</w:t>
            </w:r>
          </w:p>
        </w:tc>
        <w:tc>
          <w:tcPr>
            <w:tcW w:w="240" w:type="dxa"/>
            <w:shd w:val="clear" w:color="auto" w:fill="auto"/>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vMerge w:val="continue"/>
            <w:shd w:val="clear" w:color="auto" w:fill="auto"/>
            <w:vAlign w:val="center"/>
          </w:tcPr>
          <w:p>
            <w:pPr>
              <w:jc w:val="center"/>
              <w:rPr>
                <w:rFonts w:hint="eastAsia" w:ascii="宋体" w:hAnsi="宋体" w:eastAsia="宋体" w:cs="宋体"/>
                <w:color w:val="auto"/>
                <w:sz w:val="21"/>
                <w:szCs w:val="21"/>
                <w:highlight w:val="none"/>
              </w:rPr>
            </w:pPr>
          </w:p>
        </w:tc>
        <w:tc>
          <w:tcPr>
            <w:tcW w:w="709" w:type="dxa"/>
            <w:shd w:val="clear" w:color="auto" w:fill="auto"/>
            <w:vAlign w:val="center"/>
          </w:tcPr>
          <w:p>
            <w:pPr>
              <w:jc w:val="center"/>
              <w:rPr>
                <w:rFonts w:hint="eastAsia" w:ascii="宋体" w:hAnsi="宋体" w:eastAsia="宋体" w:cs="宋体"/>
                <w:color w:val="auto"/>
                <w:szCs w:val="21"/>
                <w:highlight w:val="none"/>
                <w:lang w:val="en-US" w:eastAsia="zh-CN"/>
              </w:rPr>
            </w:pPr>
            <w:r>
              <w:rPr>
                <w:rFonts w:hint="eastAsia"/>
                <w:color w:val="auto"/>
                <w:highlight w:val="none"/>
                <w:lang w:val="en-US" w:eastAsia="zh-CN"/>
              </w:rPr>
              <w:t>2分</w:t>
            </w:r>
          </w:p>
        </w:tc>
        <w:tc>
          <w:tcPr>
            <w:tcW w:w="9797" w:type="dxa"/>
            <w:shd w:val="clear" w:color="auto" w:fill="auto"/>
            <w:vAlign w:val="center"/>
          </w:tcPr>
          <w:p>
            <w:pPr>
              <w:autoSpaceDE w:val="0"/>
              <w:autoSpaceDN w:val="0"/>
              <w:adjustRightInd w:val="0"/>
              <w:snapToGrid w:val="0"/>
              <w:spacing w:line="220" w:lineRule="exact"/>
              <w:rPr>
                <w:rFonts w:hint="eastAsia" w:ascii="宋体" w:hAnsi="宋体"/>
                <w:color w:val="auto"/>
                <w:spacing w:val="-5"/>
                <w:szCs w:val="21"/>
                <w:highlight w:val="none"/>
              </w:rPr>
            </w:pPr>
            <w:r>
              <w:rPr>
                <w:rFonts w:hint="eastAsia" w:ascii="宋体" w:hAnsi="宋体"/>
                <w:color w:val="auto"/>
                <w:spacing w:val="-5"/>
                <w:szCs w:val="21"/>
                <w:highlight w:val="none"/>
                <w:lang w:eastAsia="zh-CN"/>
              </w:rPr>
              <w:t>造价负</w:t>
            </w:r>
            <w:r>
              <w:rPr>
                <w:rFonts w:hint="eastAsia" w:ascii="宋体" w:hAnsi="宋体"/>
                <w:color w:val="auto"/>
                <w:spacing w:val="-5"/>
                <w:szCs w:val="21"/>
                <w:highlight w:val="none"/>
              </w:rPr>
              <w:t>责人：</w:t>
            </w:r>
          </w:p>
          <w:p>
            <w:pPr>
              <w:numPr>
                <w:ilvl w:val="-1"/>
                <w:numId w:val="0"/>
              </w:numPr>
              <w:autoSpaceDE w:val="0"/>
              <w:autoSpaceDN w:val="0"/>
              <w:adjustRightInd w:val="0"/>
              <w:snapToGrid w:val="0"/>
              <w:spacing w:line="220" w:lineRule="exact"/>
              <w:rPr>
                <w:rFonts w:hint="eastAsia" w:ascii="宋体" w:hAnsi="宋体"/>
                <w:color w:val="auto"/>
                <w:spacing w:val="-5"/>
                <w:szCs w:val="21"/>
                <w:highlight w:val="none"/>
              </w:rPr>
            </w:pPr>
            <w:r>
              <w:rPr>
                <w:rFonts w:hint="eastAsia" w:ascii="宋体" w:hAnsi="宋体"/>
                <w:color w:val="auto"/>
                <w:spacing w:val="-5"/>
                <w:szCs w:val="21"/>
                <w:highlight w:val="none"/>
                <w:lang w:val="en-US" w:eastAsia="zh-CN"/>
              </w:rPr>
              <w:t>1、</w:t>
            </w:r>
            <w:r>
              <w:rPr>
                <w:rFonts w:hint="eastAsia" w:ascii="宋体" w:hAnsi="宋体"/>
                <w:color w:val="auto"/>
                <w:spacing w:val="-5"/>
                <w:szCs w:val="21"/>
                <w:highlight w:val="none"/>
              </w:rPr>
              <w:t>具有</w:t>
            </w:r>
            <w:r>
              <w:rPr>
                <w:rFonts w:hint="eastAsia" w:ascii="宋体" w:hAnsi="宋体"/>
                <w:color w:val="auto"/>
                <w:spacing w:val="-5"/>
                <w:szCs w:val="21"/>
                <w:highlight w:val="none"/>
                <w:lang w:val="en-US" w:eastAsia="zh-CN"/>
              </w:rPr>
              <w:t>一级</w:t>
            </w:r>
            <w:r>
              <w:rPr>
                <w:rFonts w:hint="eastAsia" w:ascii="宋体" w:hAnsi="宋体"/>
                <w:color w:val="auto"/>
                <w:spacing w:val="-5"/>
                <w:szCs w:val="21"/>
                <w:highlight w:val="none"/>
                <w:lang w:eastAsia="zh-CN"/>
              </w:rPr>
              <w:t>注册造价师（</w:t>
            </w:r>
            <w:r>
              <w:rPr>
                <w:rFonts w:hint="eastAsia" w:ascii="宋体" w:hAnsi="宋体"/>
                <w:color w:val="auto"/>
                <w:spacing w:val="-5"/>
                <w:szCs w:val="21"/>
                <w:highlight w:val="none"/>
                <w:lang w:val="en-US" w:eastAsia="zh-CN"/>
              </w:rPr>
              <w:t>原注册造价师）</w:t>
            </w:r>
            <w:r>
              <w:rPr>
                <w:rFonts w:hint="eastAsia" w:ascii="宋体" w:hAnsi="宋体"/>
                <w:color w:val="auto"/>
                <w:spacing w:val="-5"/>
                <w:szCs w:val="21"/>
                <w:highlight w:val="none"/>
              </w:rPr>
              <w:t>，</w:t>
            </w:r>
            <w:r>
              <w:rPr>
                <w:rFonts w:hint="eastAsia" w:ascii="宋体" w:hAnsi="宋体"/>
                <w:color w:val="auto"/>
                <w:spacing w:val="-5"/>
                <w:szCs w:val="21"/>
                <w:highlight w:val="none"/>
                <w:shd w:val="clear" w:fill="auto"/>
              </w:rPr>
              <w:t>得</w:t>
            </w:r>
            <w:r>
              <w:rPr>
                <w:rFonts w:hint="eastAsia" w:ascii="宋体" w:hAnsi="宋体"/>
                <w:color w:val="auto"/>
                <w:spacing w:val="-5"/>
                <w:szCs w:val="21"/>
                <w:highlight w:val="none"/>
                <w:shd w:val="clear" w:fill="auto"/>
                <w:lang w:val="en-US" w:eastAsia="zh-CN"/>
              </w:rPr>
              <w:t>1</w:t>
            </w:r>
            <w:r>
              <w:rPr>
                <w:rFonts w:hint="eastAsia" w:ascii="宋体" w:hAnsi="宋体"/>
                <w:color w:val="auto"/>
                <w:spacing w:val="-5"/>
                <w:szCs w:val="21"/>
                <w:highlight w:val="none"/>
                <w:shd w:val="clear" w:fill="auto"/>
              </w:rPr>
              <w:t>分</w:t>
            </w:r>
            <w:r>
              <w:rPr>
                <w:rFonts w:hint="eastAsia" w:ascii="宋体" w:hAnsi="宋体"/>
                <w:color w:val="auto"/>
                <w:spacing w:val="-5"/>
                <w:szCs w:val="21"/>
                <w:highlight w:val="none"/>
              </w:rPr>
              <w:t>；具有</w:t>
            </w:r>
            <w:r>
              <w:rPr>
                <w:rFonts w:hint="eastAsia" w:ascii="宋体" w:hAnsi="宋体"/>
                <w:color w:val="auto"/>
                <w:spacing w:val="-5"/>
                <w:szCs w:val="21"/>
                <w:highlight w:val="none"/>
                <w:lang w:val="en-US" w:eastAsia="zh-CN"/>
              </w:rPr>
              <w:t>二级</w:t>
            </w:r>
            <w:r>
              <w:rPr>
                <w:rFonts w:hint="eastAsia" w:ascii="宋体" w:hAnsi="宋体"/>
                <w:color w:val="auto"/>
                <w:spacing w:val="-5"/>
                <w:szCs w:val="21"/>
                <w:highlight w:val="none"/>
                <w:lang w:eastAsia="zh-CN"/>
              </w:rPr>
              <w:t>注册造价师</w:t>
            </w:r>
            <w:r>
              <w:rPr>
                <w:rFonts w:hint="eastAsia" w:ascii="宋体" w:hAnsi="宋体"/>
                <w:color w:val="auto"/>
                <w:spacing w:val="-5"/>
                <w:szCs w:val="21"/>
                <w:highlight w:val="none"/>
              </w:rPr>
              <w:t>，得</w:t>
            </w:r>
            <w:r>
              <w:rPr>
                <w:rFonts w:hint="eastAsia" w:ascii="宋体" w:hAnsi="宋体"/>
                <w:color w:val="auto"/>
                <w:spacing w:val="-5"/>
                <w:szCs w:val="21"/>
                <w:highlight w:val="none"/>
                <w:lang w:val="en-US" w:eastAsia="zh-CN"/>
              </w:rPr>
              <w:t>0.5</w:t>
            </w:r>
            <w:r>
              <w:rPr>
                <w:rFonts w:hint="eastAsia" w:ascii="宋体" w:hAnsi="宋体"/>
                <w:color w:val="auto"/>
                <w:spacing w:val="-5"/>
                <w:szCs w:val="21"/>
                <w:highlight w:val="none"/>
              </w:rPr>
              <w:t>分；</w:t>
            </w:r>
            <w:r>
              <w:rPr>
                <w:rFonts w:hint="eastAsia" w:ascii="宋体" w:hAnsi="宋体"/>
                <w:color w:val="auto"/>
                <w:spacing w:val="-5"/>
                <w:szCs w:val="21"/>
                <w:highlight w:val="none"/>
                <w:lang w:val="en-US" w:eastAsia="zh-CN"/>
              </w:rPr>
              <w:t>最多得1分；</w:t>
            </w:r>
          </w:p>
          <w:p>
            <w:pPr>
              <w:autoSpaceDE w:val="0"/>
              <w:autoSpaceDN w:val="0"/>
              <w:adjustRightInd w:val="0"/>
              <w:snapToGrid w:val="0"/>
              <w:spacing w:line="220" w:lineRule="exact"/>
              <w:rPr>
                <w:rFonts w:hint="eastAsia" w:ascii="宋体" w:hAnsi="宋体"/>
                <w:color w:val="auto"/>
                <w:spacing w:val="-5"/>
                <w:szCs w:val="21"/>
                <w:highlight w:val="none"/>
              </w:rPr>
            </w:pPr>
            <w:r>
              <w:rPr>
                <w:rFonts w:hint="eastAsia" w:ascii="宋体" w:hAnsi="宋体"/>
                <w:color w:val="auto"/>
                <w:spacing w:val="-5"/>
                <w:szCs w:val="21"/>
                <w:highlight w:val="none"/>
                <w:lang w:val="en-US" w:eastAsia="zh-CN"/>
              </w:rPr>
              <w:t>2、</w:t>
            </w:r>
            <w:r>
              <w:rPr>
                <w:rFonts w:hint="eastAsia" w:ascii="宋体" w:hAnsi="宋体"/>
                <w:color w:val="auto"/>
                <w:spacing w:val="-5"/>
                <w:szCs w:val="21"/>
                <w:highlight w:val="none"/>
              </w:rPr>
              <w:t>具有</w:t>
            </w:r>
            <w:r>
              <w:rPr>
                <w:rFonts w:hint="eastAsia" w:ascii="宋体" w:hAnsi="宋体"/>
                <w:color w:val="auto"/>
                <w:spacing w:val="-5"/>
                <w:szCs w:val="21"/>
                <w:highlight w:val="none"/>
                <w:lang w:val="en-US" w:eastAsia="zh-CN"/>
              </w:rPr>
              <w:t>建筑工程造价中</w:t>
            </w:r>
            <w:r>
              <w:rPr>
                <w:rFonts w:hint="eastAsia" w:ascii="宋体" w:hAnsi="宋体"/>
                <w:color w:val="auto"/>
                <w:spacing w:val="-5"/>
                <w:szCs w:val="21"/>
                <w:highlight w:val="none"/>
                <w:lang w:eastAsia="zh-CN"/>
              </w:rPr>
              <w:t>级</w:t>
            </w:r>
            <w:r>
              <w:rPr>
                <w:rFonts w:hint="eastAsia" w:ascii="宋体" w:hAnsi="宋体"/>
                <w:color w:val="auto"/>
                <w:spacing w:val="-5"/>
                <w:szCs w:val="21"/>
                <w:highlight w:val="none"/>
                <w:lang w:val="en-US" w:eastAsia="zh-CN"/>
              </w:rPr>
              <w:t>或以上职称</w:t>
            </w:r>
            <w:r>
              <w:rPr>
                <w:rFonts w:hint="eastAsia" w:ascii="宋体" w:hAnsi="宋体"/>
                <w:color w:val="auto"/>
                <w:spacing w:val="-5"/>
                <w:szCs w:val="21"/>
                <w:highlight w:val="none"/>
              </w:rPr>
              <w:t>，</w:t>
            </w:r>
            <w:r>
              <w:rPr>
                <w:rFonts w:hint="eastAsia" w:ascii="宋体" w:hAnsi="宋体"/>
                <w:color w:val="auto"/>
                <w:spacing w:val="-5"/>
                <w:szCs w:val="21"/>
                <w:highlight w:val="none"/>
                <w:shd w:val="clear" w:fill="auto"/>
              </w:rPr>
              <w:t>得</w:t>
            </w:r>
            <w:r>
              <w:rPr>
                <w:rFonts w:hint="eastAsia" w:ascii="宋体" w:hAnsi="宋体"/>
                <w:color w:val="auto"/>
                <w:spacing w:val="-5"/>
                <w:szCs w:val="21"/>
                <w:highlight w:val="none"/>
                <w:shd w:val="clear"/>
                <w:lang w:val="en-US" w:eastAsia="zh-CN"/>
              </w:rPr>
              <w:t>1</w:t>
            </w:r>
            <w:r>
              <w:rPr>
                <w:rFonts w:hint="eastAsia" w:ascii="宋体" w:hAnsi="宋体"/>
                <w:color w:val="auto"/>
                <w:spacing w:val="-5"/>
                <w:szCs w:val="21"/>
                <w:highlight w:val="none"/>
                <w:shd w:val="clear" w:fill="auto"/>
              </w:rPr>
              <w:t>分</w:t>
            </w:r>
            <w:r>
              <w:rPr>
                <w:rFonts w:hint="eastAsia" w:ascii="宋体" w:hAnsi="宋体"/>
                <w:color w:val="auto"/>
                <w:spacing w:val="-5"/>
                <w:szCs w:val="21"/>
                <w:highlight w:val="none"/>
              </w:rPr>
              <w:t>。</w:t>
            </w:r>
          </w:p>
          <w:p>
            <w:pPr>
              <w:autoSpaceDE w:val="0"/>
              <w:autoSpaceDN w:val="0"/>
              <w:adjustRightInd w:val="0"/>
              <w:snapToGrid w:val="0"/>
              <w:spacing w:line="220" w:lineRule="exact"/>
              <w:rPr>
                <w:rFonts w:hint="eastAsia" w:ascii="宋体" w:hAnsi="宋体"/>
                <w:color w:val="auto"/>
                <w:spacing w:val="-5"/>
                <w:szCs w:val="21"/>
                <w:highlight w:val="none"/>
              </w:rPr>
            </w:pPr>
            <w:r>
              <w:rPr>
                <w:rFonts w:hint="eastAsia" w:ascii="宋体" w:hAnsi="宋体"/>
                <w:color w:val="auto"/>
                <w:spacing w:val="-5"/>
                <w:szCs w:val="21"/>
                <w:highlight w:val="none"/>
              </w:rPr>
              <w:t>本项最</w:t>
            </w:r>
            <w:r>
              <w:rPr>
                <w:rFonts w:hint="eastAsia" w:ascii="宋体" w:hAnsi="宋体"/>
                <w:color w:val="auto"/>
                <w:spacing w:val="-5"/>
                <w:szCs w:val="21"/>
                <w:highlight w:val="none"/>
                <w:shd w:val="clear" w:fill="auto"/>
              </w:rPr>
              <w:t>高</w:t>
            </w:r>
            <w:r>
              <w:rPr>
                <w:rFonts w:hint="eastAsia" w:ascii="宋体" w:hAnsi="宋体"/>
                <w:color w:val="auto"/>
                <w:spacing w:val="-5"/>
                <w:szCs w:val="21"/>
                <w:highlight w:val="none"/>
                <w:shd w:val="clear" w:fill="auto"/>
                <w:lang w:val="en-US" w:eastAsia="zh-CN"/>
              </w:rPr>
              <w:t>2</w:t>
            </w:r>
            <w:r>
              <w:rPr>
                <w:rFonts w:hint="eastAsia" w:ascii="宋体" w:hAnsi="宋体"/>
                <w:color w:val="auto"/>
                <w:spacing w:val="-5"/>
                <w:szCs w:val="21"/>
                <w:highlight w:val="none"/>
                <w:shd w:val="clear" w:fill="auto"/>
              </w:rPr>
              <w:t>分</w:t>
            </w:r>
            <w:r>
              <w:rPr>
                <w:rFonts w:hint="eastAsia" w:ascii="宋体" w:hAnsi="宋体"/>
                <w:color w:val="auto"/>
                <w:spacing w:val="-5"/>
                <w:szCs w:val="21"/>
                <w:highlight w:val="none"/>
              </w:rPr>
              <w:t>。</w:t>
            </w:r>
          </w:p>
          <w:p>
            <w:pPr>
              <w:autoSpaceDE w:val="0"/>
              <w:autoSpaceDN w:val="0"/>
              <w:adjustRightInd w:val="0"/>
              <w:snapToGrid w:val="0"/>
              <w:spacing w:line="220" w:lineRule="exact"/>
              <w:rPr>
                <w:rFonts w:hint="eastAsia" w:ascii="宋体" w:hAnsi="宋体" w:cstheme="minorBidi"/>
                <w:color w:val="auto"/>
                <w:spacing w:val="-5"/>
                <w:sz w:val="21"/>
                <w:szCs w:val="21"/>
                <w:highlight w:val="none"/>
                <w:lang w:val="en-US" w:eastAsia="zh-CN"/>
              </w:rPr>
            </w:pPr>
            <w:r>
              <w:rPr>
                <w:rFonts w:hint="eastAsia" w:ascii="宋体" w:hAnsi="宋体"/>
                <w:color w:val="auto"/>
                <w:spacing w:val="-5"/>
                <w:szCs w:val="21"/>
                <w:highlight w:val="none"/>
                <w:lang w:eastAsia="zh-CN"/>
              </w:rPr>
              <w:t>（</w:t>
            </w:r>
            <w:r>
              <w:rPr>
                <w:rFonts w:hint="eastAsia" w:ascii="宋体" w:hAnsi="宋体"/>
                <w:color w:val="auto"/>
                <w:spacing w:val="-5"/>
                <w:szCs w:val="21"/>
                <w:highlight w:val="none"/>
              </w:rPr>
              <w:t>注：需提供人员相关证书和毕业证书和投标人近</w:t>
            </w:r>
            <w:r>
              <w:rPr>
                <w:rFonts w:hint="eastAsia" w:ascii="宋体" w:hAnsi="宋体"/>
                <w:color w:val="auto"/>
                <w:spacing w:val="-5"/>
                <w:szCs w:val="21"/>
                <w:highlight w:val="none"/>
                <w:lang w:val="en-US" w:eastAsia="zh-CN"/>
              </w:rPr>
              <w:t>3</w:t>
            </w:r>
            <w:r>
              <w:rPr>
                <w:rFonts w:hint="eastAsia" w:ascii="宋体" w:hAnsi="宋体"/>
                <w:color w:val="auto"/>
                <w:spacing w:val="-5"/>
                <w:szCs w:val="21"/>
                <w:highlight w:val="none"/>
              </w:rPr>
              <w:t>个月（或以上）连续为其购买社保的加盖社会保险基金管理中心印章的《投保单》或《社会保险参保人员证明》复印件，工作经验以毕业证发证时间开始计算，不符合或不提供不得分</w:t>
            </w:r>
            <w:r>
              <w:rPr>
                <w:rFonts w:hint="eastAsia" w:ascii="宋体" w:hAnsi="宋体"/>
                <w:color w:val="auto"/>
                <w:spacing w:val="-5"/>
                <w:szCs w:val="21"/>
                <w:highlight w:val="none"/>
                <w:lang w:eastAsia="zh-CN"/>
              </w:rPr>
              <w:t>。）</w:t>
            </w:r>
          </w:p>
        </w:tc>
        <w:tc>
          <w:tcPr>
            <w:tcW w:w="240" w:type="dxa"/>
            <w:shd w:val="clear" w:color="auto" w:fill="auto"/>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94" w:hRule="atLeast"/>
          <w:jc w:val="center"/>
        </w:trPr>
        <w:tc>
          <w:tcPr>
            <w:tcW w:w="643" w:type="dxa"/>
            <w:vMerge w:val="restart"/>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技术</w:t>
            </w:r>
            <w:r>
              <w:rPr>
                <w:rFonts w:hint="eastAsia" w:ascii="宋体" w:hAnsi="宋体" w:eastAsia="宋体" w:cs="宋体"/>
                <w:color w:val="auto"/>
                <w:szCs w:val="21"/>
                <w:highlight w:val="none"/>
              </w:rPr>
              <w:t>部分</w:t>
            </w:r>
          </w:p>
          <w:p>
            <w:pPr>
              <w:pStyle w:val="5"/>
              <w:ind w:left="0" w:leftChars="0" w:firstLine="0" w:firstLineChars="0"/>
              <w:jc w:val="center"/>
              <w:rPr>
                <w:rFonts w:hint="eastAsia" w:ascii="宋体" w:hAnsi="宋体" w:eastAsia="宋体" w:cs="宋体"/>
                <w:b w:val="0"/>
                <w:bCs/>
                <w:color w:val="auto"/>
                <w:szCs w:val="21"/>
                <w:highlight w:val="none"/>
                <w:lang w:eastAsia="zh-CN"/>
              </w:rPr>
            </w:pPr>
            <w:r>
              <w:rPr>
                <w:rFonts w:hint="eastAsia" w:ascii="宋体" w:hAnsi="宋体" w:eastAsia="宋体" w:cs="宋体"/>
                <w:b w:val="0"/>
                <w:bCs/>
                <w:color w:val="auto"/>
                <w:szCs w:val="21"/>
                <w:highlight w:val="none"/>
                <w:lang w:eastAsia="zh-CN"/>
              </w:rPr>
              <w:t>（</w:t>
            </w:r>
            <w:r>
              <w:rPr>
                <w:rFonts w:hint="eastAsia" w:eastAsia="宋体" w:cs="宋体"/>
                <w:b w:val="0"/>
                <w:bCs/>
                <w:color w:val="auto"/>
                <w:szCs w:val="21"/>
                <w:highlight w:val="none"/>
                <w:lang w:val="en-US" w:eastAsia="zh-CN"/>
              </w:rPr>
              <w:t>20</w:t>
            </w:r>
            <w:r>
              <w:rPr>
                <w:rFonts w:hint="eastAsia" w:ascii="宋体" w:hAnsi="宋体" w:eastAsia="宋体" w:cs="宋体"/>
                <w:b w:val="0"/>
                <w:bCs/>
                <w:color w:val="auto"/>
                <w:szCs w:val="21"/>
                <w:highlight w:val="none"/>
                <w:lang w:val="en-US" w:eastAsia="zh-CN"/>
              </w:rPr>
              <w:t>分</w:t>
            </w:r>
            <w:r>
              <w:rPr>
                <w:rFonts w:hint="eastAsia" w:ascii="宋体" w:hAnsi="宋体" w:eastAsia="宋体" w:cs="宋体"/>
                <w:b w:val="0"/>
                <w:bCs/>
                <w:color w:val="auto"/>
                <w:szCs w:val="21"/>
                <w:highlight w:val="none"/>
                <w:lang w:eastAsia="zh-CN"/>
              </w:rPr>
              <w:t>）</w:t>
            </w:r>
          </w:p>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numPr>
                <w:ilvl w:val="0"/>
                <w:numId w:val="0"/>
              </w:numPr>
              <w:autoSpaceDE w:val="0"/>
              <w:autoSpaceDN w:val="0"/>
              <w:adjustRightInd w:val="0"/>
              <w:snapToGrid w:val="0"/>
              <w:spacing w:line="240" w:lineRule="auto"/>
              <w:ind w:left="0" w:leftChars="0" w:firstLine="0" w:firstLineChars="0"/>
              <w:rPr>
                <w:rFonts w:hint="eastAsia" w:ascii="宋体" w:hAnsi="宋体" w:eastAsiaTheme="minorEastAsia" w:cstheme="minorBidi"/>
                <w:color w:val="auto"/>
                <w:kern w:val="2"/>
                <w:sz w:val="21"/>
                <w:szCs w:val="24"/>
                <w:highlight w:val="none"/>
                <w:lang w:val="en-US" w:eastAsia="zh-CN" w:bidi="ar-SA"/>
              </w:rPr>
            </w:pPr>
            <w:r>
              <w:rPr>
                <w:rFonts w:hint="eastAsia" w:ascii="宋体" w:hAnsi="宋体"/>
                <w:color w:val="auto"/>
                <w:spacing w:val="-5"/>
                <w:szCs w:val="21"/>
                <w:highlight w:val="none"/>
                <w:lang w:val="en-US" w:eastAsia="zh-CN"/>
              </w:rPr>
              <w:t>服务方案</w:t>
            </w:r>
          </w:p>
        </w:tc>
        <w:tc>
          <w:tcPr>
            <w:tcW w:w="709" w:type="dxa"/>
            <w:shd w:val="clear" w:color="auto" w:fill="auto"/>
            <w:vAlign w:val="center"/>
          </w:tcPr>
          <w:p>
            <w:pPr>
              <w:numPr>
                <w:ilvl w:val="0"/>
                <w:numId w:val="0"/>
              </w:numPr>
              <w:autoSpaceDE w:val="0"/>
              <w:autoSpaceDN w:val="0"/>
              <w:adjustRightInd w:val="0"/>
              <w:snapToGrid w:val="0"/>
              <w:spacing w:line="240" w:lineRule="auto"/>
              <w:ind w:left="0" w:leftChars="0" w:firstLine="0" w:firstLineChars="0"/>
              <w:rPr>
                <w:rFonts w:hint="default" w:ascii="宋体" w:hAnsi="宋体" w:cs="宋体" w:eastAsiaTheme="minorEastAsia"/>
                <w:color w:val="auto"/>
                <w:kern w:val="2"/>
                <w:position w:val="8"/>
                <w:sz w:val="21"/>
                <w:szCs w:val="24"/>
                <w:highlight w:val="none"/>
                <w:lang w:val="en-US" w:eastAsia="zh-CN" w:bidi="ar-SA"/>
              </w:rPr>
            </w:pPr>
            <w:r>
              <w:rPr>
                <w:rFonts w:hint="eastAsia" w:ascii="宋体" w:hAnsi="宋体"/>
                <w:color w:val="auto"/>
                <w:spacing w:val="-5"/>
                <w:szCs w:val="21"/>
                <w:highlight w:val="none"/>
                <w:lang w:val="en-US" w:eastAsia="zh-CN"/>
              </w:rPr>
              <w:t>4</w:t>
            </w:r>
            <w:r>
              <w:rPr>
                <w:rFonts w:hint="eastAsia" w:ascii="宋体" w:hAnsi="宋体"/>
                <w:color w:val="auto"/>
                <w:spacing w:val="-5"/>
                <w:szCs w:val="21"/>
                <w:highlight w:val="none"/>
              </w:rPr>
              <w:t>分</w:t>
            </w:r>
          </w:p>
        </w:tc>
        <w:tc>
          <w:tcPr>
            <w:tcW w:w="9797" w:type="dxa"/>
            <w:shd w:val="clear" w:color="auto" w:fill="auto"/>
            <w:vAlign w:val="center"/>
          </w:tcPr>
          <w:p>
            <w:pPr>
              <w:numPr>
                <w:ilvl w:val="0"/>
                <w:numId w:val="0"/>
              </w:numPr>
              <w:autoSpaceDE w:val="0"/>
              <w:autoSpaceDN w:val="0"/>
              <w:adjustRightInd w:val="0"/>
              <w:snapToGrid w:val="0"/>
              <w:spacing w:line="240" w:lineRule="auto"/>
              <w:rPr>
                <w:rFonts w:hint="eastAsia" w:ascii="宋体" w:hAnsi="宋体"/>
                <w:color w:val="auto"/>
                <w:spacing w:val="-5"/>
                <w:szCs w:val="21"/>
                <w:highlight w:val="none"/>
                <w:lang w:val="en-US" w:eastAsia="zh-CN"/>
              </w:rPr>
            </w:pPr>
            <w:r>
              <w:rPr>
                <w:rFonts w:hint="eastAsia" w:ascii="宋体" w:hAnsi="宋体"/>
                <w:color w:val="auto"/>
                <w:spacing w:val="-5"/>
                <w:szCs w:val="21"/>
                <w:highlight w:val="none"/>
                <w:lang w:val="en-US" w:eastAsia="zh-CN"/>
              </w:rPr>
              <w:t xml:space="preserve">1、优：服务方案各项内容详细完善、科学合理，可行性强，得4分； </w:t>
            </w:r>
          </w:p>
          <w:p>
            <w:pPr>
              <w:numPr>
                <w:ilvl w:val="0"/>
                <w:numId w:val="0"/>
              </w:numPr>
              <w:autoSpaceDE w:val="0"/>
              <w:autoSpaceDN w:val="0"/>
              <w:adjustRightInd w:val="0"/>
              <w:snapToGrid w:val="0"/>
              <w:spacing w:line="240" w:lineRule="auto"/>
              <w:rPr>
                <w:rFonts w:hint="eastAsia" w:ascii="宋体" w:hAnsi="宋体"/>
                <w:color w:val="auto"/>
                <w:spacing w:val="-5"/>
                <w:szCs w:val="21"/>
                <w:highlight w:val="none"/>
                <w:lang w:val="en-US" w:eastAsia="zh-CN"/>
              </w:rPr>
            </w:pPr>
            <w:r>
              <w:rPr>
                <w:rFonts w:hint="eastAsia" w:ascii="宋体" w:hAnsi="宋体"/>
                <w:color w:val="auto"/>
                <w:spacing w:val="-5"/>
                <w:szCs w:val="21"/>
                <w:highlight w:val="none"/>
                <w:lang w:val="en-US" w:eastAsia="zh-CN"/>
              </w:rPr>
              <w:t xml:space="preserve">2、中：服务方案各项 内容较为详细、较为合理，较可行，得2分； </w:t>
            </w:r>
          </w:p>
          <w:p>
            <w:pPr>
              <w:numPr>
                <w:ilvl w:val="0"/>
                <w:numId w:val="0"/>
              </w:numPr>
              <w:autoSpaceDE w:val="0"/>
              <w:autoSpaceDN w:val="0"/>
              <w:adjustRightInd w:val="0"/>
              <w:snapToGrid w:val="0"/>
              <w:spacing w:line="240" w:lineRule="auto"/>
              <w:rPr>
                <w:rFonts w:hint="eastAsia" w:ascii="宋体" w:hAnsi="宋体"/>
                <w:color w:val="auto"/>
                <w:spacing w:val="-5"/>
                <w:szCs w:val="21"/>
                <w:highlight w:val="none"/>
                <w:lang w:val="en-US" w:eastAsia="zh-CN"/>
              </w:rPr>
            </w:pPr>
            <w:r>
              <w:rPr>
                <w:rFonts w:hint="eastAsia" w:ascii="宋体" w:hAnsi="宋体"/>
                <w:color w:val="auto"/>
                <w:spacing w:val="-5"/>
                <w:szCs w:val="21"/>
                <w:highlight w:val="none"/>
                <w:lang w:val="en-US" w:eastAsia="zh-CN"/>
              </w:rPr>
              <w:t xml:space="preserve">3、差：服务方案各项内容一般，方案较简单，可行性较低，得1分。 </w:t>
            </w:r>
          </w:p>
          <w:p>
            <w:pPr>
              <w:numPr>
                <w:ilvl w:val="0"/>
                <w:numId w:val="0"/>
              </w:numPr>
              <w:autoSpaceDE w:val="0"/>
              <w:autoSpaceDN w:val="0"/>
              <w:adjustRightInd w:val="0"/>
              <w:snapToGrid w:val="0"/>
              <w:spacing w:line="240" w:lineRule="auto"/>
              <w:ind w:left="0" w:leftChars="0" w:firstLine="0" w:firstLineChars="0"/>
              <w:rPr>
                <w:rFonts w:hint="eastAsia" w:ascii="宋体" w:hAnsi="宋体" w:eastAsiaTheme="minorEastAsia" w:cstheme="minorBidi"/>
                <w:color w:val="auto"/>
                <w:kern w:val="2"/>
                <w:sz w:val="21"/>
                <w:szCs w:val="24"/>
                <w:highlight w:val="none"/>
                <w:lang w:val="en-US" w:eastAsia="zh-CN" w:bidi="ar-SA"/>
              </w:rPr>
            </w:pPr>
            <w:r>
              <w:rPr>
                <w:rFonts w:hint="eastAsia" w:ascii="宋体" w:hAnsi="宋体"/>
                <w:color w:val="auto"/>
                <w:spacing w:val="-5"/>
                <w:szCs w:val="21"/>
                <w:highlight w:val="none"/>
                <w:lang w:val="en-US" w:eastAsia="zh-CN"/>
              </w:rPr>
              <w:t>无提供方案则不得分。</w:t>
            </w:r>
          </w:p>
        </w:tc>
        <w:tc>
          <w:tcPr>
            <w:tcW w:w="240" w:type="dxa"/>
            <w:shd w:val="clear" w:color="auto" w:fill="auto"/>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1"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 w:val="21"/>
                <w:szCs w:val="21"/>
                <w:highlight w:val="none"/>
              </w:rPr>
            </w:pPr>
            <w:r>
              <w:rPr>
                <w:rFonts w:hint="eastAsia" w:ascii="宋体" w:hAnsi="宋体"/>
                <w:color w:val="auto"/>
                <w:spacing w:val="-5"/>
                <w:szCs w:val="21"/>
                <w:highlight w:val="none"/>
                <w:lang w:val="en-US" w:eastAsia="zh-CN"/>
              </w:rPr>
              <w:t>对项目的理解程度、重点难点分 析情况</w:t>
            </w:r>
          </w:p>
        </w:tc>
        <w:tc>
          <w:tcPr>
            <w:tcW w:w="709" w:type="dxa"/>
            <w:shd w:val="clear" w:color="auto" w:fill="auto"/>
            <w:vAlign w:val="center"/>
          </w:tcPr>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val="en-US" w:eastAsia="zh-CN"/>
              </w:rPr>
            </w:pPr>
            <w:r>
              <w:rPr>
                <w:rFonts w:hint="eastAsia" w:ascii="宋体" w:hAnsi="宋体"/>
                <w:color w:val="auto"/>
                <w:spacing w:val="-5"/>
                <w:szCs w:val="21"/>
                <w:highlight w:val="none"/>
                <w:lang w:val="en-US" w:eastAsia="zh-CN"/>
              </w:rPr>
              <w:t>4</w:t>
            </w:r>
            <w:r>
              <w:rPr>
                <w:rFonts w:hint="eastAsia" w:ascii="宋体" w:hAnsi="宋体"/>
                <w:color w:val="auto"/>
                <w:spacing w:val="-5"/>
                <w:szCs w:val="21"/>
                <w:highlight w:val="none"/>
              </w:rPr>
              <w:t>分</w:t>
            </w:r>
          </w:p>
        </w:tc>
        <w:tc>
          <w:tcPr>
            <w:tcW w:w="9797" w:type="dxa"/>
            <w:shd w:val="clear" w:color="auto" w:fill="auto"/>
            <w:vAlign w:val="center"/>
          </w:tcPr>
          <w:p>
            <w:pPr>
              <w:numPr>
                <w:ilvl w:val="0"/>
                <w:numId w:val="0"/>
              </w:numPr>
              <w:autoSpaceDE w:val="0"/>
              <w:autoSpaceDN w:val="0"/>
              <w:adjustRightInd w:val="0"/>
              <w:snapToGrid w:val="0"/>
              <w:spacing w:line="240" w:lineRule="auto"/>
              <w:rPr>
                <w:rFonts w:hint="eastAsia" w:ascii="宋体" w:hAnsi="宋体"/>
                <w:color w:val="auto"/>
                <w:spacing w:val="-5"/>
                <w:szCs w:val="21"/>
                <w:highlight w:val="none"/>
                <w:lang w:val="en-US" w:eastAsia="zh-CN"/>
              </w:rPr>
            </w:pPr>
            <w:r>
              <w:rPr>
                <w:rFonts w:hint="eastAsia" w:ascii="宋体" w:hAnsi="宋体"/>
                <w:color w:val="auto"/>
                <w:spacing w:val="-5"/>
                <w:szCs w:val="21"/>
                <w:highlight w:val="none"/>
                <w:lang w:val="en-US" w:eastAsia="zh-CN"/>
              </w:rPr>
              <w:t xml:space="preserve">1、优：对具体项目的理解程度、特点、实施难点、易损多发维修点清楚，有针对性，得4分； </w:t>
            </w:r>
          </w:p>
          <w:p>
            <w:pPr>
              <w:numPr>
                <w:ilvl w:val="0"/>
                <w:numId w:val="0"/>
              </w:numPr>
              <w:autoSpaceDE w:val="0"/>
              <w:autoSpaceDN w:val="0"/>
              <w:adjustRightInd w:val="0"/>
              <w:snapToGrid w:val="0"/>
              <w:spacing w:line="240" w:lineRule="auto"/>
              <w:rPr>
                <w:rFonts w:hint="eastAsia" w:ascii="宋体" w:hAnsi="宋体"/>
                <w:color w:val="auto"/>
                <w:spacing w:val="-5"/>
                <w:szCs w:val="21"/>
                <w:highlight w:val="none"/>
                <w:lang w:val="en-US" w:eastAsia="zh-CN"/>
              </w:rPr>
            </w:pPr>
            <w:r>
              <w:rPr>
                <w:rFonts w:hint="eastAsia" w:ascii="宋体" w:hAnsi="宋体"/>
                <w:color w:val="auto"/>
                <w:spacing w:val="-5"/>
                <w:szCs w:val="21"/>
                <w:highlight w:val="none"/>
                <w:lang w:val="en-US" w:eastAsia="zh-CN"/>
              </w:rPr>
              <w:t xml:space="preserve">2、中：对具体项目的理解程度、特点、实施难点、易损多发维修点较清楚，较有针对性，得2分； </w:t>
            </w:r>
          </w:p>
          <w:p>
            <w:pPr>
              <w:numPr>
                <w:ilvl w:val="0"/>
                <w:numId w:val="0"/>
              </w:numPr>
              <w:autoSpaceDE w:val="0"/>
              <w:autoSpaceDN w:val="0"/>
              <w:adjustRightInd w:val="0"/>
              <w:snapToGrid w:val="0"/>
              <w:spacing w:line="240" w:lineRule="auto"/>
              <w:rPr>
                <w:rFonts w:hint="eastAsia" w:ascii="宋体" w:hAnsi="宋体"/>
                <w:color w:val="auto"/>
                <w:spacing w:val="-5"/>
                <w:szCs w:val="21"/>
                <w:highlight w:val="none"/>
                <w:lang w:val="en-US" w:eastAsia="zh-CN"/>
              </w:rPr>
            </w:pPr>
            <w:r>
              <w:rPr>
                <w:rFonts w:hint="eastAsia" w:ascii="宋体" w:hAnsi="宋体"/>
                <w:color w:val="auto"/>
                <w:spacing w:val="-5"/>
                <w:szCs w:val="21"/>
                <w:highlight w:val="none"/>
                <w:lang w:val="en-US" w:eastAsia="zh-CN"/>
              </w:rPr>
              <w:t xml:space="preserve">3、差：对具体项目的理解程度、特点、实施难点、易损多发维修点了解一般，针对性一般，得1分。 </w:t>
            </w:r>
          </w:p>
          <w:p>
            <w:pPr>
              <w:numPr>
                <w:ilvl w:val="0"/>
                <w:numId w:val="0"/>
              </w:numPr>
              <w:autoSpaceDE w:val="0"/>
              <w:autoSpaceDN w:val="0"/>
              <w:adjustRightInd w:val="0"/>
              <w:snapToGrid w:val="0"/>
              <w:spacing w:line="240" w:lineRule="auto"/>
              <w:ind w:left="0" w:leftChars="0" w:firstLine="0" w:firstLineChars="0"/>
              <w:rPr>
                <w:rFonts w:hint="default"/>
                <w:color w:val="auto"/>
                <w:highlight w:val="none"/>
                <w:lang w:val="en-US" w:eastAsia="zh-CN"/>
              </w:rPr>
            </w:pPr>
            <w:r>
              <w:rPr>
                <w:rFonts w:hint="eastAsia" w:ascii="宋体" w:hAnsi="宋体"/>
                <w:color w:val="auto"/>
                <w:spacing w:val="-5"/>
                <w:szCs w:val="21"/>
                <w:highlight w:val="none"/>
                <w:lang w:val="en-US" w:eastAsia="zh-CN"/>
              </w:rPr>
              <w:t>无提供方案则不得分。</w:t>
            </w:r>
          </w:p>
        </w:tc>
        <w:tc>
          <w:tcPr>
            <w:tcW w:w="240" w:type="dxa"/>
            <w:shd w:val="clear" w:color="auto" w:fill="auto"/>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1"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numPr>
                <w:ilvl w:val="0"/>
                <w:numId w:val="0"/>
              </w:numPr>
              <w:autoSpaceDE w:val="0"/>
              <w:autoSpaceDN w:val="0"/>
              <w:adjustRightInd w:val="0"/>
              <w:snapToGrid w:val="0"/>
              <w:spacing w:line="240" w:lineRule="auto"/>
              <w:rPr>
                <w:rFonts w:hint="eastAsia" w:ascii="宋体" w:hAnsi="宋体"/>
                <w:color w:val="auto"/>
                <w:spacing w:val="-5"/>
                <w:szCs w:val="21"/>
                <w:highlight w:val="none"/>
              </w:rPr>
            </w:pPr>
            <w:r>
              <w:rPr>
                <w:rFonts w:hint="eastAsia" w:ascii="宋体" w:hAnsi="宋体"/>
                <w:color w:val="auto"/>
                <w:spacing w:val="-5"/>
                <w:szCs w:val="21"/>
                <w:highlight w:val="none"/>
                <w:lang w:val="en-US" w:eastAsia="zh-CN"/>
              </w:rPr>
              <w:t>安全生产制度</w:t>
            </w:r>
          </w:p>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eastAsia="zh-CN"/>
              </w:rPr>
            </w:pPr>
          </w:p>
        </w:tc>
        <w:tc>
          <w:tcPr>
            <w:tcW w:w="709" w:type="dxa"/>
            <w:shd w:val="clear" w:color="auto" w:fill="auto"/>
            <w:vAlign w:val="center"/>
          </w:tcPr>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val="en-US" w:eastAsia="zh-CN"/>
              </w:rPr>
            </w:pPr>
            <w:r>
              <w:rPr>
                <w:rFonts w:hint="eastAsia" w:ascii="宋体" w:hAnsi="宋体"/>
                <w:color w:val="auto"/>
                <w:spacing w:val="-5"/>
                <w:szCs w:val="21"/>
                <w:highlight w:val="none"/>
                <w:lang w:val="en-US" w:eastAsia="zh-CN"/>
              </w:rPr>
              <w:t>4</w:t>
            </w:r>
            <w:r>
              <w:rPr>
                <w:rFonts w:hint="eastAsia" w:ascii="宋体" w:hAnsi="宋体"/>
                <w:color w:val="auto"/>
                <w:spacing w:val="-5"/>
                <w:szCs w:val="21"/>
                <w:highlight w:val="none"/>
              </w:rPr>
              <w:t>分</w:t>
            </w:r>
          </w:p>
        </w:tc>
        <w:tc>
          <w:tcPr>
            <w:tcW w:w="9797" w:type="dxa"/>
            <w:shd w:val="clear" w:color="auto" w:fill="auto"/>
            <w:vAlign w:val="center"/>
          </w:tcPr>
          <w:p>
            <w:pPr>
              <w:numPr>
                <w:ilvl w:val="0"/>
                <w:numId w:val="0"/>
              </w:numPr>
              <w:autoSpaceDE w:val="0"/>
              <w:autoSpaceDN w:val="0"/>
              <w:adjustRightInd w:val="0"/>
              <w:snapToGrid w:val="0"/>
              <w:spacing w:line="240" w:lineRule="auto"/>
              <w:rPr>
                <w:rFonts w:hint="eastAsia" w:ascii="宋体" w:hAnsi="宋体"/>
                <w:color w:val="auto"/>
                <w:spacing w:val="-5"/>
                <w:szCs w:val="21"/>
                <w:highlight w:val="none"/>
                <w:lang w:val="en-US" w:eastAsia="zh-CN"/>
              </w:rPr>
            </w:pPr>
            <w:r>
              <w:rPr>
                <w:rFonts w:hint="eastAsia" w:ascii="宋体" w:hAnsi="宋体"/>
                <w:color w:val="auto"/>
                <w:spacing w:val="-5"/>
                <w:szCs w:val="21"/>
                <w:highlight w:val="none"/>
                <w:lang w:val="en-US" w:eastAsia="zh-CN"/>
              </w:rPr>
              <w:t>1、优：对本服务项目安全生产工作提出具体管理方案，安全防护制度健全，可行性高，能有效保障本服务项目的安全实施，得4分。</w:t>
            </w:r>
          </w:p>
          <w:p>
            <w:pPr>
              <w:numPr>
                <w:ilvl w:val="0"/>
                <w:numId w:val="0"/>
              </w:numPr>
              <w:autoSpaceDE w:val="0"/>
              <w:autoSpaceDN w:val="0"/>
              <w:adjustRightInd w:val="0"/>
              <w:snapToGrid w:val="0"/>
              <w:spacing w:line="240" w:lineRule="auto"/>
              <w:rPr>
                <w:rFonts w:hint="eastAsia" w:ascii="宋体" w:hAnsi="宋体"/>
                <w:color w:val="auto"/>
                <w:spacing w:val="-5"/>
                <w:szCs w:val="21"/>
                <w:highlight w:val="none"/>
                <w:lang w:val="en-US" w:eastAsia="zh-CN"/>
              </w:rPr>
            </w:pPr>
            <w:r>
              <w:rPr>
                <w:rFonts w:hint="eastAsia" w:ascii="宋体" w:hAnsi="宋体"/>
                <w:color w:val="auto"/>
                <w:spacing w:val="-5"/>
                <w:szCs w:val="21"/>
                <w:highlight w:val="none"/>
                <w:lang w:val="en-US" w:eastAsia="zh-CN"/>
              </w:rPr>
              <w:t xml:space="preserve">2、中：对本服务项目安全生产工作提出具体管理方案，安全防护制度可行性较高，基本保障本服务项目的安全实施，2分。 </w:t>
            </w:r>
          </w:p>
          <w:p>
            <w:pPr>
              <w:numPr>
                <w:ilvl w:val="0"/>
                <w:numId w:val="0"/>
              </w:numPr>
              <w:autoSpaceDE w:val="0"/>
              <w:autoSpaceDN w:val="0"/>
              <w:adjustRightInd w:val="0"/>
              <w:snapToGrid w:val="0"/>
              <w:spacing w:line="240" w:lineRule="auto"/>
              <w:rPr>
                <w:rFonts w:hint="eastAsia" w:ascii="宋体" w:hAnsi="宋体"/>
                <w:color w:val="auto"/>
                <w:spacing w:val="-5"/>
                <w:szCs w:val="21"/>
                <w:highlight w:val="none"/>
                <w:lang w:val="en-US" w:eastAsia="zh-CN"/>
              </w:rPr>
            </w:pPr>
            <w:r>
              <w:rPr>
                <w:rFonts w:hint="eastAsia" w:ascii="宋体" w:hAnsi="宋体"/>
                <w:color w:val="auto"/>
                <w:spacing w:val="-5"/>
                <w:szCs w:val="21"/>
                <w:highlight w:val="none"/>
                <w:lang w:val="en-US" w:eastAsia="zh-CN"/>
              </w:rPr>
              <w:t xml:space="preserve">3、差：对本服务项目安全生产工作提出具体管理方案， 安全防护制度可行性较低，得1分。 </w:t>
            </w:r>
          </w:p>
          <w:p>
            <w:pPr>
              <w:numPr>
                <w:ilvl w:val="0"/>
                <w:numId w:val="0"/>
              </w:numPr>
              <w:autoSpaceDE w:val="0"/>
              <w:autoSpaceDN w:val="0"/>
              <w:adjustRightInd w:val="0"/>
              <w:snapToGrid w:val="0"/>
              <w:spacing w:line="240" w:lineRule="auto"/>
              <w:ind w:left="0" w:leftChars="0" w:firstLine="0" w:firstLineChars="0"/>
              <w:rPr>
                <w:rFonts w:hint="eastAsia"/>
                <w:color w:val="auto"/>
                <w:highlight w:val="none"/>
                <w:lang w:val="en-US" w:eastAsia="zh-CN"/>
              </w:rPr>
            </w:pPr>
            <w:r>
              <w:rPr>
                <w:rFonts w:hint="eastAsia" w:ascii="宋体" w:hAnsi="宋体"/>
                <w:color w:val="auto"/>
                <w:spacing w:val="-5"/>
                <w:szCs w:val="21"/>
                <w:highlight w:val="none"/>
                <w:lang w:val="en-US" w:eastAsia="zh-CN"/>
              </w:rPr>
              <w:t xml:space="preserve">无提供方案则不得分。 </w:t>
            </w:r>
          </w:p>
        </w:tc>
        <w:tc>
          <w:tcPr>
            <w:tcW w:w="240" w:type="dxa"/>
            <w:shd w:val="clear" w:color="auto" w:fill="auto"/>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1"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numPr>
                <w:ilvl w:val="0"/>
                <w:numId w:val="0"/>
              </w:numPr>
              <w:autoSpaceDE w:val="0"/>
              <w:autoSpaceDN w:val="0"/>
              <w:adjustRightInd w:val="0"/>
              <w:snapToGrid w:val="0"/>
              <w:spacing w:line="240" w:lineRule="auto"/>
              <w:rPr>
                <w:rFonts w:hint="eastAsia" w:ascii="宋体" w:hAnsi="宋体"/>
                <w:color w:val="auto"/>
                <w:spacing w:val="-5"/>
                <w:szCs w:val="21"/>
                <w:highlight w:val="none"/>
              </w:rPr>
            </w:pPr>
            <w:r>
              <w:rPr>
                <w:rFonts w:hint="eastAsia" w:ascii="宋体" w:hAnsi="宋体"/>
                <w:color w:val="auto"/>
                <w:spacing w:val="-5"/>
                <w:szCs w:val="21"/>
                <w:highlight w:val="none"/>
                <w:lang w:val="en-US" w:eastAsia="zh-CN"/>
              </w:rPr>
              <w:t>应急突发维修方案</w:t>
            </w:r>
          </w:p>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eastAsia="zh-CN"/>
              </w:rPr>
            </w:pPr>
          </w:p>
        </w:tc>
        <w:tc>
          <w:tcPr>
            <w:tcW w:w="709" w:type="dxa"/>
            <w:shd w:val="clear" w:color="auto" w:fill="auto"/>
            <w:vAlign w:val="center"/>
          </w:tcPr>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val="en-US" w:eastAsia="zh-CN"/>
              </w:rPr>
            </w:pPr>
            <w:r>
              <w:rPr>
                <w:rFonts w:hint="eastAsia" w:ascii="宋体" w:hAnsi="宋体"/>
                <w:color w:val="auto"/>
                <w:spacing w:val="-5"/>
                <w:szCs w:val="21"/>
                <w:highlight w:val="none"/>
                <w:lang w:val="en-US" w:eastAsia="zh-CN"/>
              </w:rPr>
              <w:t>4</w:t>
            </w:r>
            <w:r>
              <w:rPr>
                <w:rFonts w:hint="eastAsia" w:ascii="宋体" w:hAnsi="宋体"/>
                <w:color w:val="auto"/>
                <w:spacing w:val="-5"/>
                <w:szCs w:val="21"/>
                <w:highlight w:val="none"/>
              </w:rPr>
              <w:t>分</w:t>
            </w:r>
          </w:p>
        </w:tc>
        <w:tc>
          <w:tcPr>
            <w:tcW w:w="9797" w:type="dxa"/>
            <w:shd w:val="clear" w:color="auto" w:fill="auto"/>
            <w:vAlign w:val="center"/>
          </w:tcPr>
          <w:p>
            <w:pPr>
              <w:numPr>
                <w:ilvl w:val="0"/>
                <w:numId w:val="0"/>
              </w:numPr>
              <w:autoSpaceDE w:val="0"/>
              <w:autoSpaceDN w:val="0"/>
              <w:adjustRightInd w:val="0"/>
              <w:snapToGrid w:val="0"/>
              <w:spacing w:line="240" w:lineRule="auto"/>
              <w:rPr>
                <w:rFonts w:hint="eastAsia" w:ascii="宋体" w:hAnsi="宋体"/>
                <w:color w:val="auto"/>
                <w:spacing w:val="-5"/>
                <w:szCs w:val="21"/>
                <w:highlight w:val="none"/>
                <w:lang w:val="en-US" w:eastAsia="zh-CN"/>
              </w:rPr>
            </w:pPr>
            <w:r>
              <w:rPr>
                <w:rFonts w:hint="eastAsia" w:ascii="宋体" w:hAnsi="宋体"/>
                <w:color w:val="auto"/>
                <w:spacing w:val="-5"/>
                <w:szCs w:val="21"/>
                <w:highlight w:val="none"/>
                <w:lang w:val="en-US" w:eastAsia="zh-CN"/>
              </w:rPr>
              <w:t xml:space="preserve">1、优：对应急突发维修任务的处理措施完善，科学完合，详细可行，得4分； </w:t>
            </w:r>
          </w:p>
          <w:p>
            <w:pPr>
              <w:numPr>
                <w:ilvl w:val="0"/>
                <w:numId w:val="0"/>
              </w:numPr>
              <w:autoSpaceDE w:val="0"/>
              <w:autoSpaceDN w:val="0"/>
              <w:adjustRightInd w:val="0"/>
              <w:snapToGrid w:val="0"/>
              <w:spacing w:line="240" w:lineRule="auto"/>
              <w:rPr>
                <w:rFonts w:hint="eastAsia" w:ascii="宋体" w:hAnsi="宋体"/>
                <w:color w:val="auto"/>
                <w:spacing w:val="-5"/>
                <w:szCs w:val="21"/>
                <w:highlight w:val="none"/>
                <w:lang w:val="en-US" w:eastAsia="zh-CN"/>
              </w:rPr>
            </w:pPr>
            <w:r>
              <w:rPr>
                <w:rFonts w:hint="eastAsia" w:ascii="宋体" w:hAnsi="宋体"/>
                <w:color w:val="auto"/>
                <w:spacing w:val="-5"/>
                <w:szCs w:val="21"/>
                <w:highlight w:val="none"/>
                <w:lang w:val="en-US" w:eastAsia="zh-CN"/>
              </w:rPr>
              <w:t xml:space="preserve">2、中：对应急突发维修任务的处理措施较完善，较可行，得2分； </w:t>
            </w:r>
          </w:p>
          <w:p>
            <w:pPr>
              <w:numPr>
                <w:ilvl w:val="0"/>
                <w:numId w:val="0"/>
              </w:numPr>
              <w:autoSpaceDE w:val="0"/>
              <w:autoSpaceDN w:val="0"/>
              <w:adjustRightInd w:val="0"/>
              <w:snapToGrid w:val="0"/>
              <w:spacing w:line="240" w:lineRule="auto"/>
              <w:rPr>
                <w:rFonts w:hint="eastAsia" w:ascii="宋体" w:hAnsi="宋体"/>
                <w:color w:val="auto"/>
                <w:spacing w:val="-5"/>
                <w:szCs w:val="21"/>
                <w:highlight w:val="none"/>
                <w:lang w:val="en-US" w:eastAsia="zh-CN"/>
              </w:rPr>
            </w:pPr>
            <w:r>
              <w:rPr>
                <w:rFonts w:hint="eastAsia" w:ascii="宋体" w:hAnsi="宋体"/>
                <w:color w:val="auto"/>
                <w:spacing w:val="-5"/>
                <w:szCs w:val="21"/>
                <w:highlight w:val="none"/>
                <w:lang w:val="en-US" w:eastAsia="zh-CN"/>
              </w:rPr>
              <w:t xml:space="preserve">3、差：对应急突发维修 任务的处理措施描述一般，可行性一般，得1分。 </w:t>
            </w:r>
          </w:p>
          <w:p>
            <w:pPr>
              <w:numPr>
                <w:ilvl w:val="0"/>
                <w:numId w:val="0"/>
              </w:numPr>
              <w:autoSpaceDE w:val="0"/>
              <w:autoSpaceDN w:val="0"/>
              <w:adjustRightInd w:val="0"/>
              <w:snapToGrid w:val="0"/>
              <w:spacing w:line="240" w:lineRule="auto"/>
              <w:ind w:left="0" w:leftChars="0" w:firstLine="0" w:firstLineChars="0"/>
              <w:rPr>
                <w:rFonts w:hint="eastAsia"/>
                <w:color w:val="auto"/>
                <w:highlight w:val="none"/>
                <w:lang w:val="en-US" w:eastAsia="zh-CN"/>
              </w:rPr>
            </w:pPr>
            <w:r>
              <w:rPr>
                <w:rFonts w:hint="eastAsia" w:ascii="宋体" w:hAnsi="宋体"/>
                <w:color w:val="auto"/>
                <w:spacing w:val="-5"/>
                <w:szCs w:val="21"/>
                <w:highlight w:val="none"/>
                <w:lang w:val="en-US" w:eastAsia="zh-CN"/>
              </w:rPr>
              <w:t>无提供方案则不得分。</w:t>
            </w:r>
          </w:p>
        </w:tc>
        <w:tc>
          <w:tcPr>
            <w:tcW w:w="240" w:type="dxa"/>
            <w:shd w:val="clear" w:color="auto" w:fill="auto"/>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1"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numPr>
                <w:ilvl w:val="0"/>
                <w:numId w:val="0"/>
              </w:numPr>
              <w:autoSpaceDE w:val="0"/>
              <w:autoSpaceDN w:val="0"/>
              <w:adjustRightInd w:val="0"/>
              <w:snapToGrid w:val="0"/>
              <w:spacing w:line="240" w:lineRule="auto"/>
              <w:rPr>
                <w:rFonts w:hint="eastAsia" w:ascii="宋体" w:hAnsi="宋体"/>
                <w:color w:val="auto"/>
                <w:spacing w:val="-5"/>
                <w:szCs w:val="21"/>
                <w:highlight w:val="none"/>
              </w:rPr>
            </w:pPr>
            <w:r>
              <w:rPr>
                <w:rFonts w:hint="eastAsia" w:ascii="宋体" w:hAnsi="宋体"/>
                <w:color w:val="auto"/>
                <w:spacing w:val="-5"/>
                <w:szCs w:val="21"/>
                <w:highlight w:val="none"/>
                <w:lang w:val="en-US" w:eastAsia="zh-CN"/>
              </w:rPr>
              <w:t>质量保障措施及服务承诺</w:t>
            </w:r>
          </w:p>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eastAsia="zh-CN"/>
              </w:rPr>
            </w:pPr>
          </w:p>
        </w:tc>
        <w:tc>
          <w:tcPr>
            <w:tcW w:w="709" w:type="dxa"/>
            <w:shd w:val="clear" w:color="auto" w:fill="auto"/>
            <w:vAlign w:val="center"/>
          </w:tcPr>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val="en-US" w:eastAsia="zh-CN"/>
              </w:rPr>
            </w:pPr>
            <w:r>
              <w:rPr>
                <w:rFonts w:hint="eastAsia" w:ascii="宋体" w:hAnsi="宋体"/>
                <w:color w:val="auto"/>
                <w:spacing w:val="-5"/>
                <w:szCs w:val="21"/>
                <w:highlight w:val="none"/>
                <w:lang w:val="en-US" w:eastAsia="zh-CN"/>
              </w:rPr>
              <w:t>4</w:t>
            </w:r>
            <w:r>
              <w:rPr>
                <w:rFonts w:hint="eastAsia" w:ascii="宋体" w:hAnsi="宋体"/>
                <w:color w:val="auto"/>
                <w:spacing w:val="-5"/>
                <w:szCs w:val="21"/>
                <w:highlight w:val="none"/>
              </w:rPr>
              <w:t>分</w:t>
            </w:r>
          </w:p>
        </w:tc>
        <w:tc>
          <w:tcPr>
            <w:tcW w:w="9797" w:type="dxa"/>
            <w:shd w:val="clear" w:color="auto" w:fill="auto"/>
            <w:vAlign w:val="center"/>
          </w:tcPr>
          <w:p>
            <w:pPr>
              <w:numPr>
                <w:ilvl w:val="0"/>
                <w:numId w:val="0"/>
              </w:numPr>
              <w:autoSpaceDE w:val="0"/>
              <w:autoSpaceDN w:val="0"/>
              <w:adjustRightInd w:val="0"/>
              <w:snapToGrid w:val="0"/>
              <w:spacing w:line="240" w:lineRule="auto"/>
              <w:rPr>
                <w:rFonts w:hint="eastAsia" w:ascii="宋体" w:hAnsi="宋体"/>
                <w:color w:val="auto"/>
                <w:spacing w:val="-5"/>
                <w:szCs w:val="21"/>
                <w:highlight w:val="none"/>
                <w:lang w:val="en-US" w:eastAsia="zh-CN"/>
              </w:rPr>
            </w:pPr>
            <w:r>
              <w:rPr>
                <w:rFonts w:hint="eastAsia" w:ascii="宋体" w:hAnsi="宋体"/>
                <w:color w:val="auto"/>
                <w:spacing w:val="-5"/>
                <w:szCs w:val="21"/>
                <w:highlight w:val="none"/>
                <w:lang w:val="en-US" w:eastAsia="zh-CN"/>
              </w:rPr>
              <w:t xml:space="preserve">1、优：项目质量措施保证目标明确、方案详细，可行性强，有明确的质量承诺， 表述清晰、完整、合理，得4分； </w:t>
            </w:r>
          </w:p>
          <w:p>
            <w:pPr>
              <w:numPr>
                <w:ilvl w:val="0"/>
                <w:numId w:val="0"/>
              </w:numPr>
              <w:autoSpaceDE w:val="0"/>
              <w:autoSpaceDN w:val="0"/>
              <w:adjustRightInd w:val="0"/>
              <w:snapToGrid w:val="0"/>
              <w:spacing w:line="240" w:lineRule="auto"/>
              <w:rPr>
                <w:rFonts w:hint="eastAsia" w:ascii="宋体" w:hAnsi="宋体"/>
                <w:color w:val="auto"/>
                <w:spacing w:val="-5"/>
                <w:szCs w:val="21"/>
                <w:highlight w:val="none"/>
                <w:lang w:val="en-US" w:eastAsia="zh-CN"/>
              </w:rPr>
            </w:pPr>
            <w:r>
              <w:rPr>
                <w:rFonts w:hint="eastAsia" w:ascii="宋体" w:hAnsi="宋体"/>
                <w:color w:val="auto"/>
                <w:spacing w:val="-5"/>
                <w:szCs w:val="21"/>
                <w:highlight w:val="none"/>
                <w:lang w:val="en-US" w:eastAsia="zh-CN"/>
              </w:rPr>
              <w:t xml:space="preserve">2、中：项目质量措施保证目标较明确、方案较 详细、可行较强，有较明确的质量承诺，表述较清晰、较完整、较合理， 得2分； </w:t>
            </w:r>
          </w:p>
          <w:p>
            <w:pPr>
              <w:numPr>
                <w:ilvl w:val="0"/>
                <w:numId w:val="0"/>
              </w:numPr>
              <w:autoSpaceDE w:val="0"/>
              <w:autoSpaceDN w:val="0"/>
              <w:adjustRightInd w:val="0"/>
              <w:snapToGrid w:val="0"/>
              <w:spacing w:line="240" w:lineRule="auto"/>
              <w:rPr>
                <w:rFonts w:hint="eastAsia" w:ascii="宋体" w:hAnsi="宋体"/>
                <w:color w:val="auto"/>
                <w:spacing w:val="-5"/>
                <w:szCs w:val="21"/>
                <w:highlight w:val="none"/>
                <w:lang w:val="en-US" w:eastAsia="zh-CN"/>
              </w:rPr>
            </w:pPr>
            <w:r>
              <w:rPr>
                <w:rFonts w:hint="eastAsia" w:ascii="宋体" w:hAnsi="宋体"/>
                <w:color w:val="auto"/>
                <w:spacing w:val="-5"/>
                <w:szCs w:val="21"/>
                <w:highlight w:val="none"/>
                <w:lang w:val="en-US" w:eastAsia="zh-CN"/>
              </w:rPr>
              <w:t xml:space="preserve">3、差：项目质量措施保证目标不明确、方案简单、可行性较低，质量承诺表述不够清晰、不够合理，得1分。 </w:t>
            </w:r>
          </w:p>
          <w:p>
            <w:pPr>
              <w:numPr>
                <w:ilvl w:val="0"/>
                <w:numId w:val="0"/>
              </w:numPr>
              <w:autoSpaceDE w:val="0"/>
              <w:autoSpaceDN w:val="0"/>
              <w:adjustRightInd w:val="0"/>
              <w:snapToGrid w:val="0"/>
              <w:spacing w:line="240" w:lineRule="auto"/>
              <w:ind w:left="0" w:leftChars="0" w:firstLine="0" w:firstLineChars="0"/>
              <w:rPr>
                <w:rFonts w:hint="eastAsia"/>
                <w:color w:val="auto"/>
                <w:highlight w:val="none"/>
                <w:lang w:val="en-US" w:eastAsia="zh-CN"/>
              </w:rPr>
            </w:pPr>
            <w:r>
              <w:rPr>
                <w:rFonts w:hint="eastAsia" w:ascii="宋体" w:hAnsi="宋体"/>
                <w:color w:val="auto"/>
                <w:spacing w:val="-5"/>
                <w:szCs w:val="21"/>
                <w:highlight w:val="none"/>
                <w:lang w:val="en-US" w:eastAsia="zh-CN"/>
              </w:rPr>
              <w:t>无提供方案则不得分。</w:t>
            </w:r>
          </w:p>
        </w:tc>
        <w:tc>
          <w:tcPr>
            <w:tcW w:w="240" w:type="dxa"/>
            <w:shd w:val="clear" w:color="auto" w:fill="auto"/>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4" w:hRule="atLeast"/>
          <w:jc w:val="center"/>
        </w:trPr>
        <w:tc>
          <w:tcPr>
            <w:tcW w:w="643"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经济部分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60分</w:t>
            </w:r>
            <w:r>
              <w:rPr>
                <w:rFonts w:hint="eastAsia" w:ascii="宋体" w:hAnsi="宋体" w:eastAsia="宋体" w:cs="宋体"/>
                <w:color w:val="auto"/>
                <w:szCs w:val="21"/>
                <w:highlight w:val="none"/>
                <w:lang w:eastAsia="zh-CN"/>
              </w:rPr>
              <w:t>）</w:t>
            </w:r>
          </w:p>
        </w:tc>
        <w:tc>
          <w:tcPr>
            <w:tcW w:w="1406" w:type="dxa"/>
            <w:shd w:val="clear" w:color="auto" w:fill="auto"/>
            <w:vAlign w:val="center"/>
          </w:tcPr>
          <w:p>
            <w:pPr>
              <w:snapToGrid w:val="0"/>
              <w:ind w:left="-2" w:leftChars="-1"/>
              <w:jc w:val="center"/>
              <w:rPr>
                <w:rFonts w:hint="eastAsia" w:ascii="宋体" w:hAnsi="宋体" w:eastAsia="宋体" w:cs="宋体"/>
                <w:color w:val="auto"/>
                <w:szCs w:val="21"/>
                <w:highlight w:val="none"/>
              </w:rPr>
            </w:pPr>
          </w:p>
          <w:p>
            <w:pPr>
              <w:snapToGrid w:val="0"/>
              <w:ind w:left="-2" w:leftChars="-1"/>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报价</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60分</w:t>
            </w:r>
            <w:r>
              <w:rPr>
                <w:rFonts w:hint="eastAsia" w:ascii="宋体" w:hAnsi="宋体" w:eastAsia="宋体" w:cs="宋体"/>
                <w:color w:val="auto"/>
                <w:szCs w:val="21"/>
                <w:highlight w:val="none"/>
                <w:lang w:eastAsia="zh-CN"/>
              </w:rPr>
              <w:t>）</w:t>
            </w:r>
          </w:p>
        </w:tc>
        <w:tc>
          <w:tcPr>
            <w:tcW w:w="709" w:type="dxa"/>
            <w:shd w:val="clear" w:color="auto" w:fill="auto"/>
            <w:vAlign w:val="center"/>
          </w:tcPr>
          <w:p>
            <w:pPr>
              <w:spacing w:line="220" w:lineRule="exact"/>
              <w:ind w:left="-2" w:leftChars="-1"/>
              <w:jc w:val="center"/>
              <w:rPr>
                <w:rFonts w:hint="default" w:ascii="宋体" w:hAnsi="宋体" w:eastAsia="宋体" w:cs="宋体"/>
                <w:color w:val="auto"/>
                <w:szCs w:val="21"/>
                <w:highlight w:val="none"/>
                <w:lang w:val="en-US"/>
              </w:rPr>
            </w:pPr>
            <w:r>
              <w:rPr>
                <w:rFonts w:hint="eastAsia" w:ascii="宋体" w:hAnsi="宋体" w:eastAsia="宋体" w:cs="宋体"/>
                <w:color w:val="auto"/>
                <w:szCs w:val="21"/>
                <w:highlight w:val="none"/>
                <w:lang w:val="en-US" w:eastAsia="zh-CN"/>
              </w:rPr>
              <w:t>60</w:t>
            </w:r>
          </w:p>
        </w:tc>
        <w:tc>
          <w:tcPr>
            <w:tcW w:w="9797" w:type="dxa"/>
            <w:shd w:val="clear" w:color="auto" w:fill="auto"/>
          </w:tcPr>
          <w:p>
            <w:pPr>
              <w:jc w:val="left"/>
              <w:rPr>
                <w:rFonts w:hint="eastAsia" w:ascii="宋体" w:hAnsi="宋体" w:eastAsia="宋体" w:cs="宋体"/>
                <w:color w:val="auto"/>
                <w:szCs w:val="21"/>
                <w:highlight w:val="none"/>
              </w:rPr>
            </w:pPr>
          </w:p>
          <w:p>
            <w:pPr>
              <w:ind w:firstLine="315" w:firstLineChars="15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若经过符合性审查，（</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）入围投标单位为</w:t>
            </w:r>
            <w:r>
              <w:rPr>
                <w:rFonts w:hint="eastAsia" w:ascii="宋体" w:hAnsi="宋体" w:eastAsia="宋体" w:cs="宋体"/>
                <w:color w:val="auto"/>
                <w:szCs w:val="21"/>
                <w:highlight w:val="none"/>
                <w:lang w:val="en-US" w:eastAsia="zh-CN"/>
              </w:rPr>
              <w:t>3至5家的，则</w:t>
            </w:r>
            <w:r>
              <w:rPr>
                <w:rFonts w:hint="eastAsia" w:ascii="宋体" w:hAnsi="宋体" w:eastAsia="宋体" w:cs="宋体"/>
                <w:color w:val="auto"/>
                <w:szCs w:val="21"/>
                <w:highlight w:val="none"/>
              </w:rPr>
              <w:t>经济标报价部分以</w:t>
            </w:r>
            <w:r>
              <w:rPr>
                <w:rFonts w:hint="eastAsia" w:ascii="宋体" w:hAnsi="宋体" w:eastAsia="宋体" w:cs="宋体"/>
                <w:color w:val="auto"/>
                <w:szCs w:val="21"/>
                <w:highlight w:val="none"/>
                <w:lang w:eastAsia="zh-CN"/>
              </w:rPr>
              <w:t>入围投标</w:t>
            </w:r>
            <w:r>
              <w:rPr>
                <w:rFonts w:hint="eastAsia" w:ascii="宋体" w:hAnsi="宋体" w:eastAsia="宋体" w:cs="宋体"/>
                <w:color w:val="auto"/>
                <w:szCs w:val="21"/>
                <w:highlight w:val="none"/>
              </w:rPr>
              <w:t>单位的有效</w:t>
            </w:r>
            <w:r>
              <w:rPr>
                <w:rFonts w:hint="eastAsia" w:ascii="宋体" w:hAnsi="宋体" w:eastAsia="宋体" w:cs="宋体"/>
                <w:color w:val="auto"/>
                <w:szCs w:val="21"/>
                <w:highlight w:val="none"/>
                <w:lang w:eastAsia="zh-CN"/>
              </w:rPr>
              <w:t>总</w:t>
            </w:r>
            <w:r>
              <w:rPr>
                <w:rFonts w:hint="eastAsia" w:ascii="宋体" w:hAnsi="宋体" w:eastAsia="宋体" w:cs="宋体"/>
                <w:color w:val="auto"/>
                <w:szCs w:val="21"/>
                <w:highlight w:val="none"/>
              </w:rPr>
              <w:t>报价的</w:t>
            </w:r>
            <w:r>
              <w:rPr>
                <w:rFonts w:hint="eastAsia" w:ascii="宋体" w:hAnsi="宋体" w:eastAsia="宋体" w:cs="宋体"/>
                <w:color w:val="auto"/>
                <w:szCs w:val="21"/>
                <w:highlight w:val="none"/>
                <w:lang w:eastAsia="zh-CN"/>
              </w:rPr>
              <w:t>算术</w:t>
            </w:r>
            <w:r>
              <w:rPr>
                <w:rFonts w:hint="eastAsia" w:ascii="宋体" w:hAnsi="宋体" w:eastAsia="宋体" w:cs="宋体"/>
                <w:color w:val="auto"/>
                <w:szCs w:val="21"/>
                <w:highlight w:val="none"/>
              </w:rPr>
              <w:t>平均</w:t>
            </w:r>
            <w:r>
              <w:rPr>
                <w:rFonts w:hint="eastAsia" w:ascii="宋体" w:hAnsi="宋体" w:eastAsia="宋体" w:cs="宋体"/>
                <w:color w:val="auto"/>
                <w:szCs w:val="21"/>
                <w:highlight w:val="none"/>
                <w:lang w:eastAsia="zh-CN"/>
              </w:rPr>
              <w:t>值</w:t>
            </w:r>
            <w:r>
              <w:rPr>
                <w:rFonts w:hint="eastAsia" w:ascii="宋体" w:hAnsi="宋体" w:eastAsia="宋体" w:cs="宋体"/>
                <w:color w:val="auto"/>
                <w:szCs w:val="21"/>
                <w:highlight w:val="none"/>
              </w:rPr>
              <w:t>作为基准价</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eastAsia="zh-CN"/>
              </w:rPr>
              <w:t>）入围投标单位为</w:t>
            </w:r>
            <w:r>
              <w:rPr>
                <w:rFonts w:hint="eastAsia" w:ascii="宋体" w:hAnsi="宋体" w:eastAsia="宋体" w:cs="宋体"/>
                <w:color w:val="auto"/>
                <w:szCs w:val="21"/>
                <w:highlight w:val="none"/>
                <w:lang w:val="en-US" w:eastAsia="zh-CN"/>
              </w:rPr>
              <w:t>6家或以上的，则</w:t>
            </w:r>
            <w:r>
              <w:rPr>
                <w:rFonts w:hint="eastAsia" w:ascii="宋体" w:hAnsi="宋体" w:eastAsia="宋体" w:cs="宋体"/>
                <w:color w:val="auto"/>
                <w:szCs w:val="21"/>
                <w:highlight w:val="none"/>
              </w:rPr>
              <w:t>经济标报价部分以</w:t>
            </w:r>
            <w:r>
              <w:rPr>
                <w:rFonts w:hint="eastAsia" w:ascii="宋体" w:hAnsi="宋体" w:eastAsia="宋体" w:cs="宋体"/>
                <w:color w:val="auto"/>
                <w:szCs w:val="21"/>
                <w:highlight w:val="none"/>
                <w:lang w:eastAsia="zh-CN"/>
              </w:rPr>
              <w:t>报价最低的</w:t>
            </w:r>
            <w:r>
              <w:rPr>
                <w:rFonts w:hint="eastAsia" w:ascii="宋体" w:hAnsi="宋体" w:eastAsia="宋体" w:cs="宋体"/>
                <w:color w:val="auto"/>
                <w:szCs w:val="21"/>
                <w:highlight w:val="none"/>
                <w:lang w:val="en-US" w:eastAsia="zh-CN"/>
              </w:rPr>
              <w:t>5家</w:t>
            </w:r>
            <w:r>
              <w:rPr>
                <w:rFonts w:hint="eastAsia" w:ascii="宋体" w:hAnsi="宋体" w:eastAsia="宋体" w:cs="宋体"/>
                <w:color w:val="auto"/>
                <w:szCs w:val="21"/>
                <w:highlight w:val="none"/>
                <w:lang w:eastAsia="zh-CN"/>
              </w:rPr>
              <w:t>入围投标</w:t>
            </w:r>
            <w:r>
              <w:rPr>
                <w:rFonts w:hint="eastAsia" w:ascii="宋体" w:hAnsi="宋体" w:eastAsia="宋体" w:cs="宋体"/>
                <w:color w:val="auto"/>
                <w:szCs w:val="21"/>
                <w:highlight w:val="none"/>
              </w:rPr>
              <w:t>单位</w:t>
            </w:r>
            <w:r>
              <w:rPr>
                <w:rFonts w:hint="eastAsia" w:ascii="宋体" w:hAnsi="宋体" w:eastAsia="宋体" w:cs="宋体"/>
                <w:color w:val="auto"/>
                <w:szCs w:val="21"/>
                <w:highlight w:val="none"/>
                <w:lang w:eastAsia="zh-CN"/>
              </w:rPr>
              <w:t>有效报价的算术</w:t>
            </w:r>
            <w:r>
              <w:rPr>
                <w:rFonts w:hint="eastAsia" w:ascii="宋体" w:hAnsi="宋体" w:eastAsia="宋体" w:cs="宋体"/>
                <w:color w:val="auto"/>
                <w:szCs w:val="21"/>
                <w:highlight w:val="none"/>
              </w:rPr>
              <w:t>平均</w:t>
            </w:r>
            <w:r>
              <w:rPr>
                <w:rFonts w:hint="eastAsia" w:ascii="宋体" w:hAnsi="宋体" w:eastAsia="宋体" w:cs="宋体"/>
                <w:color w:val="auto"/>
                <w:szCs w:val="21"/>
                <w:highlight w:val="none"/>
                <w:lang w:eastAsia="zh-CN"/>
              </w:rPr>
              <w:t>值</w:t>
            </w:r>
            <w:r>
              <w:rPr>
                <w:rFonts w:hint="eastAsia" w:ascii="宋体" w:hAnsi="宋体" w:eastAsia="宋体" w:cs="宋体"/>
                <w:color w:val="auto"/>
                <w:szCs w:val="21"/>
                <w:highlight w:val="none"/>
              </w:rPr>
              <w:t>作为基准价</w:t>
            </w:r>
            <w:r>
              <w:rPr>
                <w:rFonts w:hint="eastAsia" w:ascii="宋体" w:hAnsi="宋体" w:eastAsia="宋体" w:cs="宋体"/>
                <w:color w:val="auto"/>
                <w:szCs w:val="21"/>
                <w:highlight w:val="none"/>
                <w:lang w:eastAsia="zh-CN"/>
              </w:rPr>
              <w:t>。</w:t>
            </w:r>
          </w:p>
          <w:p>
            <w:pPr>
              <w:ind w:firstLine="315" w:firstLineChars="15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投标报价</w:t>
            </w:r>
            <w:r>
              <w:rPr>
                <w:rFonts w:hint="eastAsia" w:ascii="宋体" w:hAnsi="宋体" w:eastAsia="宋体" w:cs="宋体"/>
                <w:color w:val="auto"/>
                <w:szCs w:val="21"/>
                <w:highlight w:val="none"/>
              </w:rPr>
              <w:t>等于基准价为满分</w:t>
            </w:r>
            <w:r>
              <w:rPr>
                <w:rFonts w:hint="eastAsia" w:ascii="宋体" w:hAnsi="宋体" w:eastAsia="宋体" w:cs="宋体"/>
                <w:color w:val="auto"/>
                <w:szCs w:val="21"/>
                <w:highlight w:val="none"/>
                <w:lang w:val="en-US" w:eastAsia="zh-CN"/>
              </w:rPr>
              <w:t>60</w:t>
            </w:r>
            <w:r>
              <w:rPr>
                <w:rFonts w:hint="eastAsia" w:ascii="宋体" w:hAnsi="宋体" w:eastAsia="宋体" w:cs="宋体"/>
                <w:color w:val="auto"/>
                <w:szCs w:val="21"/>
                <w:highlight w:val="none"/>
              </w:rPr>
              <w:t>分，高于基准价的1%扣</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分，低于基准价的1%扣</w:t>
            </w:r>
            <w:r>
              <w:rPr>
                <w:rFonts w:hint="eastAsia" w:ascii="宋体" w:hAnsi="宋体" w:eastAsia="宋体" w:cs="宋体"/>
                <w:color w:val="auto"/>
                <w:szCs w:val="21"/>
                <w:highlight w:val="none"/>
                <w:lang w:val="en-US" w:eastAsia="zh-CN"/>
              </w:rPr>
              <w:t>0.5</w:t>
            </w:r>
            <w:r>
              <w:rPr>
                <w:rFonts w:hint="eastAsia" w:ascii="宋体" w:hAnsi="宋体" w:eastAsia="宋体" w:cs="宋体"/>
                <w:color w:val="auto"/>
                <w:szCs w:val="21"/>
                <w:highlight w:val="none"/>
              </w:rPr>
              <w:t>分，以此类推。最低得分0分。得分保留两位小数。</w:t>
            </w:r>
            <w:r>
              <w:rPr>
                <w:rFonts w:hint="eastAsia" w:ascii="宋体" w:hAnsi="宋体" w:eastAsia="宋体" w:cs="宋体"/>
                <w:color w:val="auto"/>
                <w:szCs w:val="21"/>
                <w:highlight w:val="none"/>
                <w:lang w:eastAsia="zh-CN"/>
              </w:rPr>
              <w:t>计算公式如下：</w:t>
            </w:r>
          </w:p>
          <w:p>
            <w:pPr>
              <w:pStyle w:val="9"/>
              <w:numPr>
                <w:ilvl w:val="0"/>
                <w:numId w:val="6"/>
              </w:num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报价等于基准价的，得分=</w:t>
            </w:r>
            <w:r>
              <w:rPr>
                <w:rFonts w:hint="eastAsia" w:hAnsi="宋体" w:cs="宋体"/>
                <w:color w:val="auto"/>
                <w:highlight w:val="none"/>
                <w:lang w:val="en-US" w:eastAsia="zh-CN"/>
              </w:rPr>
              <w:t>60。</w:t>
            </w:r>
          </w:p>
          <w:p>
            <w:pPr>
              <w:pStyle w:val="9"/>
              <w:numPr>
                <w:ilvl w:val="0"/>
                <w:numId w:val="6"/>
              </w:num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报价高于基准价的，得分=</w:t>
            </w:r>
            <w:r>
              <w:rPr>
                <w:rFonts w:hint="eastAsia" w:hAnsi="宋体" w:cs="宋体"/>
                <w:color w:val="auto"/>
                <w:highlight w:val="none"/>
                <w:lang w:val="en-US" w:eastAsia="zh-CN"/>
              </w:rPr>
              <w:t>60</w:t>
            </w:r>
            <w:r>
              <w:rPr>
                <w:rFonts w:hint="eastAsia" w:ascii="宋体" w:hAnsi="宋体" w:eastAsia="宋体" w:cs="宋体"/>
                <w:color w:val="auto"/>
                <w:highlight w:val="none"/>
                <w:lang w:val="en-US" w:eastAsia="zh-CN"/>
              </w:rPr>
              <w:t>-[（报价-基准价）/基准价]×100×1</w:t>
            </w:r>
          </w:p>
          <w:p>
            <w:pPr>
              <w:pStyle w:val="9"/>
              <w:numPr>
                <w:ilvl w:val="0"/>
                <w:numId w:val="6"/>
              </w:num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报价低于基准价的，得分=</w:t>
            </w:r>
            <w:r>
              <w:rPr>
                <w:rFonts w:hint="eastAsia" w:hAnsi="宋体" w:cs="宋体"/>
                <w:color w:val="auto"/>
                <w:highlight w:val="none"/>
                <w:lang w:val="en-US" w:eastAsia="zh-CN"/>
              </w:rPr>
              <w:t>60</w:t>
            </w:r>
            <w:r>
              <w:rPr>
                <w:rFonts w:hint="eastAsia" w:ascii="宋体" w:hAnsi="宋体" w:eastAsia="宋体" w:cs="宋体"/>
                <w:color w:val="auto"/>
                <w:highlight w:val="none"/>
                <w:lang w:val="en-US" w:eastAsia="zh-CN"/>
              </w:rPr>
              <w:t>-[（基准价-报价）/基准价]×100×0.5</w:t>
            </w:r>
          </w:p>
        </w:tc>
        <w:tc>
          <w:tcPr>
            <w:tcW w:w="240" w:type="dxa"/>
            <w:shd w:val="clear" w:color="auto" w:fill="auto"/>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049" w:type="dxa"/>
            <w:gridSpan w:val="2"/>
            <w:shd w:val="clear" w:color="auto" w:fill="auto"/>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w:t>
            </w:r>
          </w:p>
        </w:tc>
        <w:tc>
          <w:tcPr>
            <w:tcW w:w="709" w:type="dxa"/>
            <w:shd w:val="clear" w:color="auto" w:fill="auto"/>
            <w:vAlign w:val="center"/>
          </w:tcPr>
          <w:p>
            <w:pPr>
              <w:spacing w:line="220" w:lineRule="exact"/>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w:t>
            </w:r>
          </w:p>
        </w:tc>
        <w:tc>
          <w:tcPr>
            <w:tcW w:w="9797" w:type="dxa"/>
            <w:shd w:val="clear" w:color="auto" w:fill="auto"/>
            <w:vAlign w:val="center"/>
          </w:tcPr>
          <w:p>
            <w:pPr>
              <w:spacing w:line="220" w:lineRule="exact"/>
              <w:ind w:left="-2" w:leftChars="-1"/>
              <w:rPr>
                <w:rFonts w:hint="eastAsia" w:ascii="宋体" w:hAnsi="宋体" w:eastAsia="宋体" w:cs="宋体"/>
                <w:color w:val="auto"/>
                <w:sz w:val="21"/>
                <w:szCs w:val="21"/>
                <w:highlight w:val="none"/>
              </w:rPr>
            </w:pPr>
          </w:p>
        </w:tc>
        <w:tc>
          <w:tcPr>
            <w:tcW w:w="240" w:type="dxa"/>
            <w:shd w:val="clear" w:color="auto" w:fill="auto"/>
            <w:vAlign w:val="center"/>
          </w:tcPr>
          <w:p>
            <w:pPr>
              <w:spacing w:line="360" w:lineRule="exact"/>
              <w:ind w:left="-2" w:leftChars="-1"/>
              <w:rPr>
                <w:rFonts w:hint="eastAsia" w:ascii="宋体" w:hAnsi="宋体" w:eastAsia="宋体" w:cs="宋体"/>
                <w:color w:val="auto"/>
                <w:sz w:val="21"/>
                <w:szCs w:val="21"/>
                <w:highlight w:val="none"/>
              </w:rPr>
            </w:pPr>
          </w:p>
        </w:tc>
      </w:tr>
    </w:tbl>
    <w:p>
      <w:pPr>
        <w:snapToGrid w:val="0"/>
        <w:ind w:left="74"/>
        <w:rPr>
          <w:rFonts w:ascii="仿宋" w:hAnsi="仿宋" w:eastAsia="仿宋" w:cs="宋体"/>
          <w:color w:val="auto"/>
          <w:sz w:val="24"/>
          <w:highlight w:val="none"/>
        </w:rPr>
      </w:pPr>
      <w:r>
        <w:rPr>
          <w:rFonts w:hint="eastAsia" w:ascii="仿宋" w:hAnsi="仿宋" w:eastAsia="仿宋" w:cs="宋体"/>
          <w:color w:val="auto"/>
          <w:sz w:val="24"/>
          <w:highlight w:val="none"/>
        </w:rPr>
        <w:t xml:space="preserve"> </w:t>
      </w:r>
    </w:p>
    <w:p>
      <w:pPr>
        <w:spacing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说明：</w:t>
      </w:r>
    </w:p>
    <w:p>
      <w:pPr>
        <w:snapToGrid w:val="0"/>
        <w:ind w:firstLine="0" w:firstLineChars="0"/>
        <w:rPr>
          <w:rFonts w:hint="eastAsia" w:ascii="宋体" w:hAnsi="宋体" w:cs="宋体"/>
          <w:color w:val="auto"/>
          <w:szCs w:val="18"/>
          <w:highlight w:val="none"/>
          <w:lang w:eastAsia="zh-CN"/>
        </w:rPr>
      </w:pPr>
      <w:r>
        <w:rPr>
          <w:rFonts w:hint="eastAsia" w:ascii="宋体" w:hAnsi="宋体" w:cs="宋体"/>
          <w:color w:val="auto"/>
          <w:szCs w:val="18"/>
          <w:highlight w:val="none"/>
          <w:lang w:val="en-US" w:eastAsia="zh-CN"/>
        </w:rPr>
        <w:t xml:space="preserve">    </w:t>
      </w:r>
      <w:r>
        <w:rPr>
          <w:rFonts w:hint="eastAsia" w:ascii="宋体" w:hAnsi="宋体" w:cs="宋体"/>
          <w:color w:val="auto"/>
          <w:szCs w:val="18"/>
          <w:highlight w:val="none"/>
        </w:rPr>
        <w:t>本表中所有要求提供的证明资料复印件均需加盖投标人公章。未提供证明资料或提供的证明材料不齐全、不符合要求的，不得分</w:t>
      </w:r>
      <w:r>
        <w:rPr>
          <w:rFonts w:hint="eastAsia" w:ascii="宋体" w:hAnsi="宋体" w:cs="宋体"/>
          <w:color w:val="auto"/>
          <w:szCs w:val="18"/>
          <w:highlight w:val="none"/>
          <w:lang w:eastAsia="zh-CN"/>
        </w:rPr>
        <w:t>。</w:t>
      </w:r>
    </w:p>
    <w:p>
      <w:pPr>
        <w:pStyle w:val="21"/>
        <w:ind w:firstLine="0" w:firstLineChars="0"/>
        <w:rPr>
          <w:rFonts w:hint="eastAsia" w:ascii="宋体" w:hAnsi="宋体" w:eastAsia="宋体" w:cs="宋体"/>
          <w:color w:val="auto"/>
          <w:szCs w:val="21"/>
          <w:highlight w:val="none"/>
          <w:lang w:val="en-US" w:eastAsia="zh-CN"/>
        </w:rPr>
        <w:sectPr>
          <w:pgSz w:w="15840" w:h="12240" w:orient="landscape"/>
          <w:pgMar w:top="1797" w:right="1440" w:bottom="1797" w:left="1440" w:header="720" w:footer="720" w:gutter="0"/>
          <w:cols w:space="425" w:num="1"/>
          <w:docGrid w:linePitch="312" w:charSpace="0"/>
        </w:sectPr>
      </w:pPr>
      <w:r>
        <w:rPr>
          <w:rFonts w:hint="eastAsia" w:ascii="宋体" w:hAnsi="宋体" w:cs="宋体"/>
          <w:color w:val="auto"/>
          <w:szCs w:val="21"/>
          <w:highlight w:val="none"/>
          <w:lang w:val="en-US" w:eastAsia="zh-CN"/>
        </w:rPr>
        <w:t xml:space="preserve">   </w:t>
      </w: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w:t>
      </w:r>
      <w:r>
        <w:rPr>
          <w:rFonts w:hint="eastAsia" w:ascii="宋体" w:hAnsi="宋体"/>
          <w:color w:val="auto"/>
          <w:sz w:val="24"/>
          <w:highlight w:val="none"/>
          <w:lang w:val="en-US" w:eastAsia="zh-CN"/>
        </w:rPr>
        <w:t>3</w:t>
      </w:r>
      <w:r>
        <w:rPr>
          <w:rFonts w:hint="eastAsia" w:ascii="宋体" w:hAnsi="宋体"/>
          <w:color w:val="auto"/>
          <w:sz w:val="24"/>
          <w:highlight w:val="none"/>
        </w:rPr>
        <w:t>：</w:t>
      </w:r>
    </w:p>
    <w:p>
      <w:pPr>
        <w:adjustRightInd w:val="0"/>
        <w:snapToGrid w:val="0"/>
        <w:spacing w:line="360" w:lineRule="auto"/>
        <w:jc w:val="center"/>
        <w:outlineLvl w:val="0"/>
        <w:rPr>
          <w:rFonts w:ascii="宋体" w:hAnsi="宋体" w:cs="宋体"/>
          <w:b/>
          <w:color w:val="auto"/>
          <w:sz w:val="28"/>
          <w:szCs w:val="28"/>
          <w:highlight w:val="none"/>
        </w:rPr>
      </w:pPr>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p>
    <w:p>
      <w:pPr>
        <w:pStyle w:val="36"/>
        <w:snapToGrid w:val="0"/>
        <w:spacing w:line="336" w:lineRule="auto"/>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lang w:eastAsia="zh-CN"/>
        </w:rPr>
        <w:t>广州南沙湿地旅游发展有限公司</w:t>
      </w:r>
      <w:r>
        <w:rPr>
          <w:rFonts w:hint="eastAsia" w:ascii="宋体" w:hAnsi="宋体" w:eastAsia="宋体"/>
          <w:color w:val="auto"/>
          <w:sz w:val="24"/>
          <w:szCs w:val="24"/>
          <w:highlight w:val="none"/>
          <w:u w:val="single"/>
        </w:rPr>
        <w:t xml:space="preserve">、广州南沙建设维护管理有限公司 </w:t>
      </w:r>
    </w:p>
    <w:p>
      <w:pPr>
        <w:pStyle w:val="36"/>
        <w:snapToGrid w:val="0"/>
        <w:spacing w:line="336"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pacing w:val="20"/>
          <w:sz w:val="24"/>
          <w:szCs w:val="24"/>
          <w:highlight w:val="none"/>
          <w:u w:val="single"/>
          <w:lang w:eastAsia="zh-CN"/>
        </w:rPr>
        <w:t>湿地景区二期停车场道路升级改造项目施工总承包</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投标工作，做出郑重声明：</w:t>
      </w:r>
    </w:p>
    <w:p>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四、本公司及其有隶属关系的机构没有参加本项目的设计、前期工作、招标文件编写、监理工作；本公司与承担本招标项目监理业务的单位没有隶属关系或其他利害关系。</w:t>
      </w:r>
    </w:p>
    <w:p>
      <w:pPr>
        <w:pStyle w:val="36"/>
        <w:adjustRightInd w:val="0"/>
        <w:snapToGrid w:val="0"/>
        <w:spacing w:line="336"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pPr>
        <w:pStyle w:val="37"/>
        <w:snapToGrid w:val="0"/>
        <w:spacing w:line="336" w:lineRule="auto"/>
        <w:ind w:left="0" w:right="1449"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pPr>
        <w:pStyle w:val="36"/>
        <w:snapToGrid w:val="0"/>
        <w:spacing w:line="336" w:lineRule="auto"/>
        <w:ind w:right="1449"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pPr>
        <w:pStyle w:val="36"/>
        <w:snapToGrid w:val="0"/>
        <w:spacing w:line="336" w:lineRule="auto"/>
        <w:ind w:right="172"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pPr>
        <w:pStyle w:val="9"/>
        <w:rPr>
          <w:rFonts w:hint="default"/>
          <w:color w:val="auto"/>
          <w:highlight w:val="none"/>
        </w:rPr>
      </w:pPr>
    </w:p>
    <w:bookmarkEnd w:id="41"/>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altName w:val="Segoe Print"/>
    <w:panose1 w:val="02040603050505030304"/>
    <w:charset w:val="00"/>
    <w:family w:val="roman"/>
    <w:pitch w:val="default"/>
    <w:sig w:usb0="00000000" w:usb1="00000000" w:usb2="00000000" w:usb3="00000000" w:csb0="20000001"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MuXNVEPAgAABwQAAA4AAAAAAAAAAQAgAAAA&#10;HwEAAGRycy9lMm9Eb2MueG1sUEsFBgAAAAAGAAYAWQEAAKAFAAAAAA==&#10;">
          <v:path/>
          <v:fill on="f" focussize="0,0"/>
          <v:stroke on="f" weight="0.5pt" joinstyle="miter"/>
          <v:imagedata o:title=""/>
          <o:lock v:ext="edit"/>
          <v:textbox inset="0mm,0mm,0mm,0mm" style="mso-fit-shape-to-text:t;">
            <w:txbxContent>
              <w:p>
                <w:pPr>
                  <w:pStyle w:val="11"/>
                </w:pPr>
                <w:r>
                  <w:fldChar w:fldCharType="begin"/>
                </w:r>
                <w:r>
                  <w:instrText xml:space="preserve"> PAGE  \* MERGEFORMAT </w:instrText>
                </w:r>
                <w:r>
                  <w:fldChar w:fldCharType="separate"/>
                </w:r>
                <w:r>
                  <w:t>15</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_x0000_s1027" o:spid="_x0000_s1027"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hlWFeEAIAAAcEAAAOAAAAAAAAAAEAIAAA&#10;AB8BAABkcnMvZTJvRG9jLnhtbFBLBQYAAAAABgAGAFkBAAChBQAAAAA=&#10;">
          <v:path/>
          <v:fill on="f" focussize="0,0"/>
          <v:stroke on="f" weight="0.5pt" joinstyle="miter"/>
          <v:imagedata o:title=""/>
          <o:lock v:ext="edit"/>
          <v:textbox inset="0mm,0mm,0mm,0mm" style="mso-fit-shape-to-text:t;">
            <w:txbxContent>
              <w:p>
                <w:pPr>
                  <w:pStyle w:val="11"/>
                </w:pPr>
                <w:r>
                  <w:fldChar w:fldCharType="begin"/>
                </w:r>
                <w:r>
                  <w:instrText xml:space="preserve"> PAGE  \* MERGEFORMAT </w:instrText>
                </w:r>
                <w:r>
                  <w:fldChar w:fldCharType="separate"/>
                </w:r>
                <w:r>
                  <w:t>32</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CB8718C6"/>
    <w:multiLevelType w:val="singleLevel"/>
    <w:tmpl w:val="CB8718C6"/>
    <w:lvl w:ilvl="0" w:tentative="0">
      <w:start w:val="3"/>
      <w:numFmt w:val="decimal"/>
      <w:suff w:val="nothing"/>
      <w:lvlText w:val="%1、"/>
      <w:lvlJc w:val="left"/>
    </w:lvl>
  </w:abstractNum>
  <w:abstractNum w:abstractNumId="2">
    <w:nsid w:val="D1711B27"/>
    <w:multiLevelType w:val="singleLevel"/>
    <w:tmpl w:val="D1711B27"/>
    <w:lvl w:ilvl="0" w:tentative="0">
      <w:start w:val="1"/>
      <w:numFmt w:val="decimal"/>
      <w:suff w:val="nothing"/>
      <w:lvlText w:val="（%1）"/>
      <w:lvlJc w:val="left"/>
    </w:lvl>
  </w:abstractNum>
  <w:abstractNum w:abstractNumId="3">
    <w:nsid w:val="F9153F42"/>
    <w:multiLevelType w:val="singleLevel"/>
    <w:tmpl w:val="F9153F42"/>
    <w:lvl w:ilvl="0" w:tentative="0">
      <w:start w:val="1"/>
      <w:numFmt w:val="decimal"/>
      <w:suff w:val="nothing"/>
      <w:lvlText w:val="%1、"/>
      <w:lvlJc w:val="left"/>
    </w:lvl>
  </w:abstractNum>
  <w:abstractNum w:abstractNumId="4">
    <w:nsid w:val="71BD1A65"/>
    <w:multiLevelType w:val="singleLevel"/>
    <w:tmpl w:val="71BD1A65"/>
    <w:lvl w:ilvl="0" w:tentative="0">
      <w:start w:val="1"/>
      <w:numFmt w:val="chineseCounting"/>
      <w:suff w:val="nothing"/>
      <w:lvlText w:val="%1、"/>
      <w:lvlJc w:val="left"/>
      <w:rPr>
        <w:rFonts w:hint="eastAsia"/>
      </w:rPr>
    </w:lvl>
  </w:abstractNum>
  <w:abstractNum w:abstractNumId="5">
    <w:nsid w:val="7A7B36A8"/>
    <w:multiLevelType w:val="singleLevel"/>
    <w:tmpl w:val="7A7B36A8"/>
    <w:lvl w:ilvl="0" w:tentative="0">
      <w:start w:val="33"/>
      <w:numFmt w:val="decimal"/>
      <w:suff w:val="nothing"/>
      <w:lvlText w:val="%1．"/>
      <w:lvlJc w:val="left"/>
    </w:lvl>
  </w:abstractNum>
  <w:num w:numId="1">
    <w:abstractNumId w:val="1"/>
  </w:num>
  <w:num w:numId="2">
    <w:abstractNumId w:val="5"/>
  </w:num>
  <w:num w:numId="3">
    <w:abstractNumId w:val="4"/>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zY1ZWQwMTZjMTA5MmIyZTc1OTU4ZWEwNWRmOGFiMzMifQ=="/>
  </w:docVars>
  <w:rsids>
    <w:rsidRoot w:val="3B6D4312"/>
    <w:rsid w:val="0002289A"/>
    <w:rsid w:val="0002557B"/>
    <w:rsid w:val="0005254F"/>
    <w:rsid w:val="000744F3"/>
    <w:rsid w:val="00085D0C"/>
    <w:rsid w:val="000B7B0A"/>
    <w:rsid w:val="000E0EC3"/>
    <w:rsid w:val="000F63F4"/>
    <w:rsid w:val="001062CA"/>
    <w:rsid w:val="0012610A"/>
    <w:rsid w:val="00134FF9"/>
    <w:rsid w:val="00135D99"/>
    <w:rsid w:val="001543AA"/>
    <w:rsid w:val="001544AB"/>
    <w:rsid w:val="00164413"/>
    <w:rsid w:val="001921E8"/>
    <w:rsid w:val="001B03C8"/>
    <w:rsid w:val="001C26B1"/>
    <w:rsid w:val="001C4DFB"/>
    <w:rsid w:val="001D1F1F"/>
    <w:rsid w:val="001E1021"/>
    <w:rsid w:val="001F504D"/>
    <w:rsid w:val="001F66EC"/>
    <w:rsid w:val="002124C7"/>
    <w:rsid w:val="00247343"/>
    <w:rsid w:val="002B1295"/>
    <w:rsid w:val="002B764E"/>
    <w:rsid w:val="002D7B13"/>
    <w:rsid w:val="00313CD1"/>
    <w:rsid w:val="003B47E8"/>
    <w:rsid w:val="003D0F57"/>
    <w:rsid w:val="0040578E"/>
    <w:rsid w:val="00407F49"/>
    <w:rsid w:val="00456C93"/>
    <w:rsid w:val="00464100"/>
    <w:rsid w:val="0048290C"/>
    <w:rsid w:val="004B2C05"/>
    <w:rsid w:val="004D6177"/>
    <w:rsid w:val="00524AD0"/>
    <w:rsid w:val="00553FDF"/>
    <w:rsid w:val="00571117"/>
    <w:rsid w:val="005A19E6"/>
    <w:rsid w:val="005C4427"/>
    <w:rsid w:val="00641255"/>
    <w:rsid w:val="00646FE0"/>
    <w:rsid w:val="0065458C"/>
    <w:rsid w:val="0065720F"/>
    <w:rsid w:val="00697CBD"/>
    <w:rsid w:val="006A18B1"/>
    <w:rsid w:val="006D7EB2"/>
    <w:rsid w:val="007055DD"/>
    <w:rsid w:val="00722415"/>
    <w:rsid w:val="007309C3"/>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822E1"/>
    <w:rsid w:val="00896001"/>
    <w:rsid w:val="008C667C"/>
    <w:rsid w:val="008F47DB"/>
    <w:rsid w:val="008F491E"/>
    <w:rsid w:val="00945378"/>
    <w:rsid w:val="009538E5"/>
    <w:rsid w:val="009A31D3"/>
    <w:rsid w:val="009B4E73"/>
    <w:rsid w:val="009C14AA"/>
    <w:rsid w:val="009C50DE"/>
    <w:rsid w:val="009D0B60"/>
    <w:rsid w:val="009E4EFF"/>
    <w:rsid w:val="00A05D0A"/>
    <w:rsid w:val="00A14DC5"/>
    <w:rsid w:val="00A367D2"/>
    <w:rsid w:val="00A81829"/>
    <w:rsid w:val="00A920B1"/>
    <w:rsid w:val="00AC62A3"/>
    <w:rsid w:val="00AF1D2C"/>
    <w:rsid w:val="00AF57CF"/>
    <w:rsid w:val="00B00879"/>
    <w:rsid w:val="00B11F8D"/>
    <w:rsid w:val="00B60E3F"/>
    <w:rsid w:val="00B71F35"/>
    <w:rsid w:val="00B96CE0"/>
    <w:rsid w:val="00BB3D24"/>
    <w:rsid w:val="00BD0854"/>
    <w:rsid w:val="00C532AA"/>
    <w:rsid w:val="00CA24DF"/>
    <w:rsid w:val="00CA49A2"/>
    <w:rsid w:val="00CC34A7"/>
    <w:rsid w:val="00D06D88"/>
    <w:rsid w:val="00D0796B"/>
    <w:rsid w:val="00D50CF1"/>
    <w:rsid w:val="00D603A5"/>
    <w:rsid w:val="00D650B3"/>
    <w:rsid w:val="00D85D6D"/>
    <w:rsid w:val="00D95E37"/>
    <w:rsid w:val="00DD64C1"/>
    <w:rsid w:val="00DD686E"/>
    <w:rsid w:val="00DF620B"/>
    <w:rsid w:val="00E14E87"/>
    <w:rsid w:val="00E222D9"/>
    <w:rsid w:val="00E32FBB"/>
    <w:rsid w:val="00E85F0E"/>
    <w:rsid w:val="00EC3FB8"/>
    <w:rsid w:val="00EC75BF"/>
    <w:rsid w:val="00EE23EE"/>
    <w:rsid w:val="00EF5506"/>
    <w:rsid w:val="00F15754"/>
    <w:rsid w:val="00F358B9"/>
    <w:rsid w:val="00F52D3A"/>
    <w:rsid w:val="00F5751A"/>
    <w:rsid w:val="00F72550"/>
    <w:rsid w:val="00F90CF2"/>
    <w:rsid w:val="00FC3484"/>
    <w:rsid w:val="00FF33A0"/>
    <w:rsid w:val="00FF76D9"/>
    <w:rsid w:val="01E200EE"/>
    <w:rsid w:val="025A13E2"/>
    <w:rsid w:val="02E9680F"/>
    <w:rsid w:val="02F7533D"/>
    <w:rsid w:val="030457ED"/>
    <w:rsid w:val="03562994"/>
    <w:rsid w:val="03CB6D70"/>
    <w:rsid w:val="04364A4F"/>
    <w:rsid w:val="04376975"/>
    <w:rsid w:val="044C08C6"/>
    <w:rsid w:val="04E40895"/>
    <w:rsid w:val="051B7598"/>
    <w:rsid w:val="052E78DA"/>
    <w:rsid w:val="059A4101"/>
    <w:rsid w:val="07F66A4C"/>
    <w:rsid w:val="083B43B1"/>
    <w:rsid w:val="08757A2C"/>
    <w:rsid w:val="08A9464F"/>
    <w:rsid w:val="08D505E6"/>
    <w:rsid w:val="09062DA7"/>
    <w:rsid w:val="09577D3C"/>
    <w:rsid w:val="0967478B"/>
    <w:rsid w:val="09A667E8"/>
    <w:rsid w:val="0A31358E"/>
    <w:rsid w:val="0A621C44"/>
    <w:rsid w:val="0B372B92"/>
    <w:rsid w:val="0BFF40FB"/>
    <w:rsid w:val="0C855B7E"/>
    <w:rsid w:val="0C87037B"/>
    <w:rsid w:val="0CF74903"/>
    <w:rsid w:val="0E1B10A8"/>
    <w:rsid w:val="0E80564C"/>
    <w:rsid w:val="0EA03B8A"/>
    <w:rsid w:val="0EAC0C18"/>
    <w:rsid w:val="0EB25F9A"/>
    <w:rsid w:val="0F263AB3"/>
    <w:rsid w:val="0F8D0176"/>
    <w:rsid w:val="0FD73768"/>
    <w:rsid w:val="10A4638E"/>
    <w:rsid w:val="10D83B3D"/>
    <w:rsid w:val="11135DC8"/>
    <w:rsid w:val="11D31BC3"/>
    <w:rsid w:val="11F528ED"/>
    <w:rsid w:val="1265210E"/>
    <w:rsid w:val="12D70506"/>
    <w:rsid w:val="12E86716"/>
    <w:rsid w:val="13082AF4"/>
    <w:rsid w:val="130F5872"/>
    <w:rsid w:val="134A310C"/>
    <w:rsid w:val="13E640E2"/>
    <w:rsid w:val="13E744B7"/>
    <w:rsid w:val="14082F52"/>
    <w:rsid w:val="14085DAD"/>
    <w:rsid w:val="14233C6D"/>
    <w:rsid w:val="14452035"/>
    <w:rsid w:val="1448567A"/>
    <w:rsid w:val="145B3800"/>
    <w:rsid w:val="15B036FB"/>
    <w:rsid w:val="16007AF5"/>
    <w:rsid w:val="17463991"/>
    <w:rsid w:val="179E3273"/>
    <w:rsid w:val="17E977C8"/>
    <w:rsid w:val="182C4B8E"/>
    <w:rsid w:val="1873680D"/>
    <w:rsid w:val="18E67433"/>
    <w:rsid w:val="18F12637"/>
    <w:rsid w:val="19095239"/>
    <w:rsid w:val="19A846E9"/>
    <w:rsid w:val="19BE3F0C"/>
    <w:rsid w:val="1A6525DA"/>
    <w:rsid w:val="1AB46DAB"/>
    <w:rsid w:val="1B6C2995"/>
    <w:rsid w:val="1BB630ED"/>
    <w:rsid w:val="1BC44893"/>
    <w:rsid w:val="1BE136FF"/>
    <w:rsid w:val="1C05708F"/>
    <w:rsid w:val="1C307374"/>
    <w:rsid w:val="1C9203A6"/>
    <w:rsid w:val="1E032835"/>
    <w:rsid w:val="1E562810"/>
    <w:rsid w:val="1EB63404"/>
    <w:rsid w:val="1EBD45C4"/>
    <w:rsid w:val="1F1C5732"/>
    <w:rsid w:val="1F584BD1"/>
    <w:rsid w:val="1F7A6193"/>
    <w:rsid w:val="205D447F"/>
    <w:rsid w:val="206E043A"/>
    <w:rsid w:val="20AD4C4C"/>
    <w:rsid w:val="21424D60"/>
    <w:rsid w:val="215321ED"/>
    <w:rsid w:val="224A02E7"/>
    <w:rsid w:val="227411DF"/>
    <w:rsid w:val="22934188"/>
    <w:rsid w:val="23EE6B47"/>
    <w:rsid w:val="24856237"/>
    <w:rsid w:val="25053D8A"/>
    <w:rsid w:val="25687B33"/>
    <w:rsid w:val="25791876"/>
    <w:rsid w:val="26236584"/>
    <w:rsid w:val="26826F29"/>
    <w:rsid w:val="26B94C66"/>
    <w:rsid w:val="26EC20B9"/>
    <w:rsid w:val="26FF6942"/>
    <w:rsid w:val="272101A5"/>
    <w:rsid w:val="272B74FA"/>
    <w:rsid w:val="2751149E"/>
    <w:rsid w:val="2837076A"/>
    <w:rsid w:val="2865301D"/>
    <w:rsid w:val="28C86C87"/>
    <w:rsid w:val="29051210"/>
    <w:rsid w:val="296119D7"/>
    <w:rsid w:val="2A97100B"/>
    <w:rsid w:val="2B401296"/>
    <w:rsid w:val="2BAE6875"/>
    <w:rsid w:val="2BEC17AE"/>
    <w:rsid w:val="2C0B6D4E"/>
    <w:rsid w:val="2C1B0D4A"/>
    <w:rsid w:val="2C5357E2"/>
    <w:rsid w:val="2D0635AD"/>
    <w:rsid w:val="2D691CC1"/>
    <w:rsid w:val="2D907150"/>
    <w:rsid w:val="2DDB1EBF"/>
    <w:rsid w:val="2DE71DA9"/>
    <w:rsid w:val="2DF963B5"/>
    <w:rsid w:val="2E6C5CB5"/>
    <w:rsid w:val="2EC40C57"/>
    <w:rsid w:val="2EE433BF"/>
    <w:rsid w:val="2F740E9D"/>
    <w:rsid w:val="2F777046"/>
    <w:rsid w:val="2F9B6BBA"/>
    <w:rsid w:val="2FE96F27"/>
    <w:rsid w:val="2FEA73B1"/>
    <w:rsid w:val="30136E93"/>
    <w:rsid w:val="30334755"/>
    <w:rsid w:val="30EC6390"/>
    <w:rsid w:val="311233CC"/>
    <w:rsid w:val="31B57180"/>
    <w:rsid w:val="33113670"/>
    <w:rsid w:val="34935BA4"/>
    <w:rsid w:val="34A264CA"/>
    <w:rsid w:val="35830B03"/>
    <w:rsid w:val="3700775A"/>
    <w:rsid w:val="37A26BD4"/>
    <w:rsid w:val="37A33759"/>
    <w:rsid w:val="37AE7FE3"/>
    <w:rsid w:val="38417D8A"/>
    <w:rsid w:val="390B4D39"/>
    <w:rsid w:val="39131727"/>
    <w:rsid w:val="392A6A70"/>
    <w:rsid w:val="39731517"/>
    <w:rsid w:val="39F52602"/>
    <w:rsid w:val="39FC703A"/>
    <w:rsid w:val="3AC802EF"/>
    <w:rsid w:val="3B183024"/>
    <w:rsid w:val="3B6D4312"/>
    <w:rsid w:val="3BB718A6"/>
    <w:rsid w:val="3BC04127"/>
    <w:rsid w:val="3C88543E"/>
    <w:rsid w:val="3CB7521C"/>
    <w:rsid w:val="3CE76215"/>
    <w:rsid w:val="3CFF0303"/>
    <w:rsid w:val="3D7619F9"/>
    <w:rsid w:val="3D957982"/>
    <w:rsid w:val="3D96007A"/>
    <w:rsid w:val="3E817133"/>
    <w:rsid w:val="3EDC25BB"/>
    <w:rsid w:val="3F4915A0"/>
    <w:rsid w:val="3F5F332B"/>
    <w:rsid w:val="3F641BC2"/>
    <w:rsid w:val="3F8502F8"/>
    <w:rsid w:val="3FBE56FE"/>
    <w:rsid w:val="3FD704B2"/>
    <w:rsid w:val="403B7AF1"/>
    <w:rsid w:val="405854B3"/>
    <w:rsid w:val="408D1DBF"/>
    <w:rsid w:val="409313F9"/>
    <w:rsid w:val="40B7508E"/>
    <w:rsid w:val="40CA2819"/>
    <w:rsid w:val="41EC3A6C"/>
    <w:rsid w:val="42A2655E"/>
    <w:rsid w:val="43420D2F"/>
    <w:rsid w:val="436C5E0D"/>
    <w:rsid w:val="43952229"/>
    <w:rsid w:val="43F36E83"/>
    <w:rsid w:val="44631084"/>
    <w:rsid w:val="446A549B"/>
    <w:rsid w:val="44800368"/>
    <w:rsid w:val="44E811C0"/>
    <w:rsid w:val="45E74C1B"/>
    <w:rsid w:val="46871AD6"/>
    <w:rsid w:val="47025D0E"/>
    <w:rsid w:val="4735560E"/>
    <w:rsid w:val="47413F22"/>
    <w:rsid w:val="4792678F"/>
    <w:rsid w:val="47E03B89"/>
    <w:rsid w:val="481D5A38"/>
    <w:rsid w:val="487975A7"/>
    <w:rsid w:val="48E17BF2"/>
    <w:rsid w:val="48E72086"/>
    <w:rsid w:val="49732ED5"/>
    <w:rsid w:val="499C01CA"/>
    <w:rsid w:val="49EF5898"/>
    <w:rsid w:val="4A1079FD"/>
    <w:rsid w:val="4A1D620C"/>
    <w:rsid w:val="4A2D4613"/>
    <w:rsid w:val="4AED722D"/>
    <w:rsid w:val="4B3D40BA"/>
    <w:rsid w:val="4BC136D0"/>
    <w:rsid w:val="4BF328A0"/>
    <w:rsid w:val="4C2E17B4"/>
    <w:rsid w:val="4C372CAF"/>
    <w:rsid w:val="4C81677F"/>
    <w:rsid w:val="4D195C1E"/>
    <w:rsid w:val="4D904DD7"/>
    <w:rsid w:val="4D9C287D"/>
    <w:rsid w:val="4DC04FA6"/>
    <w:rsid w:val="4DC53F66"/>
    <w:rsid w:val="4E2A0E48"/>
    <w:rsid w:val="4FC91A1A"/>
    <w:rsid w:val="5049448C"/>
    <w:rsid w:val="50DB6247"/>
    <w:rsid w:val="51531E87"/>
    <w:rsid w:val="51552F81"/>
    <w:rsid w:val="51AB2104"/>
    <w:rsid w:val="525A7F6F"/>
    <w:rsid w:val="52760C06"/>
    <w:rsid w:val="52A35200"/>
    <w:rsid w:val="530E35F9"/>
    <w:rsid w:val="53427976"/>
    <w:rsid w:val="53A07C03"/>
    <w:rsid w:val="53A63423"/>
    <w:rsid w:val="53B638D1"/>
    <w:rsid w:val="54386D63"/>
    <w:rsid w:val="54A36172"/>
    <w:rsid w:val="54BC0EE8"/>
    <w:rsid w:val="55D41C4B"/>
    <w:rsid w:val="5702252D"/>
    <w:rsid w:val="572444C0"/>
    <w:rsid w:val="576D49E8"/>
    <w:rsid w:val="57B957CF"/>
    <w:rsid w:val="57DA583E"/>
    <w:rsid w:val="594F1692"/>
    <w:rsid w:val="59566C52"/>
    <w:rsid w:val="597674DD"/>
    <w:rsid w:val="5A416E84"/>
    <w:rsid w:val="5AAF5CCA"/>
    <w:rsid w:val="5B6E68B8"/>
    <w:rsid w:val="5B6F6839"/>
    <w:rsid w:val="5B8D6C19"/>
    <w:rsid w:val="5BAA698D"/>
    <w:rsid w:val="5BC65072"/>
    <w:rsid w:val="5BCE61FA"/>
    <w:rsid w:val="5C9B134E"/>
    <w:rsid w:val="5D5E6B65"/>
    <w:rsid w:val="5DAA1580"/>
    <w:rsid w:val="5DF14932"/>
    <w:rsid w:val="5DFF04E8"/>
    <w:rsid w:val="5E1A6FB5"/>
    <w:rsid w:val="5E7A3CE2"/>
    <w:rsid w:val="5E960581"/>
    <w:rsid w:val="5F355496"/>
    <w:rsid w:val="5F8349F8"/>
    <w:rsid w:val="5F865CD7"/>
    <w:rsid w:val="5F925D77"/>
    <w:rsid w:val="5FDC4484"/>
    <w:rsid w:val="60BA0556"/>
    <w:rsid w:val="60F61E20"/>
    <w:rsid w:val="618B1EF3"/>
    <w:rsid w:val="61A7533B"/>
    <w:rsid w:val="621244D5"/>
    <w:rsid w:val="62B2296D"/>
    <w:rsid w:val="62B247EF"/>
    <w:rsid w:val="636147EE"/>
    <w:rsid w:val="63DB6B9E"/>
    <w:rsid w:val="65B441A4"/>
    <w:rsid w:val="65D8147F"/>
    <w:rsid w:val="66373494"/>
    <w:rsid w:val="66591B82"/>
    <w:rsid w:val="66593A91"/>
    <w:rsid w:val="67D46774"/>
    <w:rsid w:val="68550B65"/>
    <w:rsid w:val="6898637C"/>
    <w:rsid w:val="68B16D7B"/>
    <w:rsid w:val="68BA7003"/>
    <w:rsid w:val="691C25EA"/>
    <w:rsid w:val="698555C7"/>
    <w:rsid w:val="6C281E78"/>
    <w:rsid w:val="6C307E68"/>
    <w:rsid w:val="6C920572"/>
    <w:rsid w:val="6DB227E4"/>
    <w:rsid w:val="6DBE1759"/>
    <w:rsid w:val="6DC31ECB"/>
    <w:rsid w:val="6E307289"/>
    <w:rsid w:val="6E656845"/>
    <w:rsid w:val="6F471F5D"/>
    <w:rsid w:val="6F891280"/>
    <w:rsid w:val="6F8E74DB"/>
    <w:rsid w:val="70727FF1"/>
    <w:rsid w:val="70836CF8"/>
    <w:rsid w:val="70CF07C8"/>
    <w:rsid w:val="710F157A"/>
    <w:rsid w:val="71840FD7"/>
    <w:rsid w:val="718C3480"/>
    <w:rsid w:val="721D56A4"/>
    <w:rsid w:val="72BF7C4E"/>
    <w:rsid w:val="72F3401B"/>
    <w:rsid w:val="731416B4"/>
    <w:rsid w:val="736C262E"/>
    <w:rsid w:val="73712518"/>
    <w:rsid w:val="738A0204"/>
    <w:rsid w:val="738E7AB2"/>
    <w:rsid w:val="73EF0074"/>
    <w:rsid w:val="74624F7D"/>
    <w:rsid w:val="74B72A06"/>
    <w:rsid w:val="7546516B"/>
    <w:rsid w:val="75AF555B"/>
    <w:rsid w:val="763204BA"/>
    <w:rsid w:val="767D2F83"/>
    <w:rsid w:val="76F3488A"/>
    <w:rsid w:val="77281C38"/>
    <w:rsid w:val="7741229E"/>
    <w:rsid w:val="781828A1"/>
    <w:rsid w:val="781C3DC0"/>
    <w:rsid w:val="78780B98"/>
    <w:rsid w:val="788E06C1"/>
    <w:rsid w:val="78D76423"/>
    <w:rsid w:val="78D86E43"/>
    <w:rsid w:val="79566D81"/>
    <w:rsid w:val="79B10E72"/>
    <w:rsid w:val="79E02BD8"/>
    <w:rsid w:val="7A2B55F9"/>
    <w:rsid w:val="7A3458D0"/>
    <w:rsid w:val="7A4B048B"/>
    <w:rsid w:val="7A7C35B8"/>
    <w:rsid w:val="7A96669D"/>
    <w:rsid w:val="7AC70013"/>
    <w:rsid w:val="7B672810"/>
    <w:rsid w:val="7B681B66"/>
    <w:rsid w:val="7C561F60"/>
    <w:rsid w:val="7C6B2EC5"/>
    <w:rsid w:val="7C831CEC"/>
    <w:rsid w:val="7DDF7DDD"/>
    <w:rsid w:val="7E300909"/>
    <w:rsid w:val="7EC84C80"/>
    <w:rsid w:val="7EF55FF4"/>
    <w:rsid w:val="7F0627ED"/>
    <w:rsid w:val="7FE40AB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4">
    <w:name w:val="heading 2"/>
    <w:basedOn w:val="1"/>
    <w:next w:val="1"/>
    <w:semiHidden/>
    <w:unhideWhenUsed/>
    <w:qFormat/>
    <w:uiPriority w:val="0"/>
    <w:pPr>
      <w:keepNext/>
      <w:keepLines/>
      <w:spacing w:line="413" w:lineRule="auto"/>
      <w:outlineLvl w:val="1"/>
    </w:pPr>
    <w:rPr>
      <w:rFonts w:ascii="Arial" w:hAnsi="Arial" w:eastAsia="黑体"/>
      <w:b/>
      <w:sz w:val="32"/>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customStyle="1" w:styleId="2">
    <w:name w:val="样式 小四 行距: 1.5 倍行距"/>
    <w:basedOn w:val="1"/>
    <w:qFormat/>
    <w:uiPriority w:val="0"/>
    <w:pPr>
      <w:ind w:firstLine="480"/>
    </w:pPr>
    <w:rPr>
      <w:rFonts w:cs="宋体"/>
    </w:rPr>
  </w:style>
  <w:style w:type="paragraph" w:styleId="5">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6">
    <w:name w:val="Normal Indent"/>
    <w:basedOn w:val="1"/>
    <w:qFormat/>
    <w:uiPriority w:val="0"/>
    <w:pPr>
      <w:ind w:firstLine="420"/>
    </w:pPr>
    <w:rPr>
      <w:rFonts w:ascii="Times New Roman" w:hAnsi="Times New Roman" w:eastAsia="宋体" w:cs="Times New Roman"/>
      <w:szCs w:val="20"/>
    </w:rPr>
  </w:style>
  <w:style w:type="paragraph" w:styleId="7">
    <w:name w:val="annotation text"/>
    <w:basedOn w:val="1"/>
    <w:semiHidden/>
    <w:unhideWhenUsed/>
    <w:qFormat/>
    <w:uiPriority w:val="0"/>
    <w:pPr>
      <w:jc w:val="left"/>
    </w:pPr>
  </w:style>
  <w:style w:type="paragraph" w:styleId="8">
    <w:name w:val="Body Text"/>
    <w:basedOn w:val="1"/>
    <w:qFormat/>
    <w:uiPriority w:val="0"/>
  </w:style>
  <w:style w:type="paragraph" w:styleId="9">
    <w:name w:val="Plain Text"/>
    <w:basedOn w:val="1"/>
    <w:next w:val="1"/>
    <w:link w:val="33"/>
    <w:qFormat/>
    <w:uiPriority w:val="0"/>
    <w:rPr>
      <w:rFonts w:hint="eastAsia" w:ascii="宋体" w:hAnsi="Courier New" w:eastAsia="宋体" w:cs="Times New Roman"/>
      <w:szCs w:val="21"/>
    </w:rPr>
  </w:style>
  <w:style w:type="paragraph" w:styleId="10">
    <w:name w:val="Balloon Text"/>
    <w:basedOn w:val="1"/>
    <w:link w:val="31"/>
    <w:qFormat/>
    <w:uiPriority w:val="0"/>
    <w:rPr>
      <w:sz w:val="18"/>
      <w:szCs w:val="18"/>
    </w:rPr>
  </w:style>
  <w:style w:type="paragraph" w:styleId="11">
    <w:name w:val="footer"/>
    <w:basedOn w:val="1"/>
    <w:link w:val="30"/>
    <w:qFormat/>
    <w:uiPriority w:val="0"/>
    <w:pPr>
      <w:tabs>
        <w:tab w:val="center" w:pos="4153"/>
        <w:tab w:val="right" w:pos="8306"/>
      </w:tabs>
      <w:snapToGrid w:val="0"/>
      <w:jc w:val="left"/>
    </w:pPr>
    <w:rPr>
      <w:sz w:val="18"/>
      <w:szCs w:val="18"/>
    </w:rPr>
  </w:style>
  <w:style w:type="paragraph" w:styleId="12">
    <w:name w:val="header"/>
    <w:basedOn w:val="1"/>
    <w:link w:val="29"/>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rPr>
      <w:rFonts w:ascii="Times New Roman" w:hAnsi="Times New Roman" w:eastAsia="宋体" w:cs="Times New Roman"/>
      <w:szCs w:val="21"/>
    </w:rPr>
  </w:style>
  <w:style w:type="paragraph" w:styleId="14">
    <w:name w:val="Body Text First Indent"/>
    <w:basedOn w:val="8"/>
    <w:link w:val="34"/>
    <w:qFormat/>
    <w:uiPriority w:val="0"/>
    <w:pPr>
      <w:spacing w:beforeAutospacing="1" w:after="120"/>
      <w:ind w:firstLine="420"/>
    </w:pPr>
    <w:rPr>
      <w:rFonts w:ascii="Times New Roman" w:hAnsi="Times New Roman" w:eastAsia="宋体" w:cs="Times New Roman"/>
      <w:szCs w:val="21"/>
    </w:rPr>
  </w:style>
  <w:style w:type="character" w:styleId="17">
    <w:name w:val="page number"/>
    <w:basedOn w:val="16"/>
    <w:qFormat/>
    <w:uiPriority w:val="0"/>
  </w:style>
  <w:style w:type="character" w:styleId="18">
    <w:name w:val="FollowedHyperlink"/>
    <w:basedOn w:val="16"/>
    <w:qFormat/>
    <w:uiPriority w:val="0"/>
    <w:rPr>
      <w:color w:val="0000FF"/>
      <w:u w:val="single"/>
    </w:rPr>
  </w:style>
  <w:style w:type="character" w:styleId="19">
    <w:name w:val="Hyperlink"/>
    <w:basedOn w:val="16"/>
    <w:qFormat/>
    <w:uiPriority w:val="0"/>
    <w:rPr>
      <w:color w:val="0000FF"/>
      <w:u w:val="single"/>
    </w:rPr>
  </w:style>
  <w:style w:type="paragraph" w:customStyle="1" w:styleId="20">
    <w:name w:val="表格文字"/>
    <w:basedOn w:val="1"/>
    <w:qFormat/>
    <w:uiPriority w:val="0"/>
    <w:pPr>
      <w:spacing w:before="25" w:after="25"/>
      <w:jc w:val="left"/>
    </w:pPr>
    <w:rPr>
      <w:bCs/>
      <w:spacing w:val="10"/>
      <w:kern w:val="0"/>
      <w:sz w:val="24"/>
    </w:rPr>
  </w:style>
  <w:style w:type="paragraph" w:customStyle="1" w:styleId="21">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22">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3">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4">
    <w:name w:val="列出段落1"/>
    <w:basedOn w:val="1"/>
    <w:qFormat/>
    <w:uiPriority w:val="0"/>
    <w:pPr>
      <w:ind w:firstLine="420" w:firstLineChars="200"/>
    </w:pPr>
    <w:rPr>
      <w:rFonts w:ascii="Calibri" w:hAnsi="Calibri" w:eastAsia="宋体" w:cs="Times New Roman"/>
      <w:szCs w:val="21"/>
    </w:rPr>
  </w:style>
  <w:style w:type="paragraph" w:customStyle="1" w:styleId="25">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6">
    <w:name w:val="10"/>
    <w:basedOn w:val="16"/>
    <w:qFormat/>
    <w:uiPriority w:val="0"/>
    <w:rPr>
      <w:rFonts w:hint="default" w:ascii="Times New Roman" w:hAnsi="Times New Roman" w:cs="Times New Roman"/>
    </w:rPr>
  </w:style>
  <w:style w:type="character" w:customStyle="1" w:styleId="27">
    <w:name w:val="15"/>
    <w:basedOn w:val="16"/>
    <w:qFormat/>
    <w:uiPriority w:val="0"/>
    <w:rPr>
      <w:rFonts w:hint="default" w:ascii="Times New Roman" w:hAnsi="Times New Roman" w:cs="Times New Roman"/>
    </w:rPr>
  </w:style>
  <w:style w:type="character" w:customStyle="1" w:styleId="28">
    <w:name w:val="16"/>
    <w:basedOn w:val="16"/>
    <w:qFormat/>
    <w:uiPriority w:val="0"/>
    <w:rPr>
      <w:rFonts w:hint="default" w:ascii="Times New Roman" w:hAnsi="Times New Roman" w:cs="Times New Roman"/>
      <w:color w:val="0000FF"/>
      <w:u w:val="single"/>
    </w:rPr>
  </w:style>
  <w:style w:type="character" w:customStyle="1" w:styleId="29">
    <w:name w:val="页眉 Char"/>
    <w:basedOn w:val="16"/>
    <w:link w:val="12"/>
    <w:qFormat/>
    <w:uiPriority w:val="0"/>
    <w:rPr>
      <w:rFonts w:asciiTheme="minorHAnsi" w:hAnsiTheme="minorHAnsi" w:eastAsiaTheme="minorEastAsia" w:cstheme="minorBidi"/>
      <w:kern w:val="2"/>
      <w:sz w:val="18"/>
      <w:szCs w:val="18"/>
    </w:rPr>
  </w:style>
  <w:style w:type="character" w:customStyle="1" w:styleId="30">
    <w:name w:val="页脚 Char"/>
    <w:basedOn w:val="16"/>
    <w:link w:val="11"/>
    <w:qFormat/>
    <w:uiPriority w:val="0"/>
    <w:rPr>
      <w:rFonts w:asciiTheme="minorHAnsi" w:hAnsiTheme="minorHAnsi" w:eastAsiaTheme="minorEastAsia" w:cstheme="minorBidi"/>
      <w:kern w:val="2"/>
      <w:sz w:val="18"/>
      <w:szCs w:val="18"/>
    </w:rPr>
  </w:style>
  <w:style w:type="character" w:customStyle="1" w:styleId="31">
    <w:name w:val="批注框文本 Char"/>
    <w:basedOn w:val="16"/>
    <w:link w:val="10"/>
    <w:qFormat/>
    <w:uiPriority w:val="0"/>
    <w:rPr>
      <w:rFonts w:asciiTheme="minorHAnsi" w:hAnsiTheme="minorHAnsi" w:eastAsiaTheme="minorEastAsia" w:cstheme="minorBidi"/>
      <w:kern w:val="2"/>
      <w:sz w:val="18"/>
      <w:szCs w:val="18"/>
    </w:rPr>
  </w:style>
  <w:style w:type="paragraph" w:customStyle="1" w:styleId="32">
    <w:name w:val="WPSOffice手动目录 1"/>
    <w:qFormat/>
    <w:uiPriority w:val="0"/>
    <w:rPr>
      <w:rFonts w:ascii="Times New Roman" w:hAnsi="Times New Roman" w:eastAsia="宋体" w:cs="Times New Roman"/>
      <w:lang w:val="en-US" w:eastAsia="zh-CN" w:bidi="ar-SA"/>
    </w:rPr>
  </w:style>
  <w:style w:type="character" w:customStyle="1" w:styleId="33">
    <w:name w:val="纯文本 Char"/>
    <w:link w:val="9"/>
    <w:qFormat/>
    <w:uiPriority w:val="0"/>
    <w:rPr>
      <w:rFonts w:ascii="宋体" w:hAnsi="Courier New"/>
      <w:kern w:val="2"/>
      <w:sz w:val="21"/>
      <w:szCs w:val="21"/>
    </w:rPr>
  </w:style>
  <w:style w:type="character" w:customStyle="1" w:styleId="34">
    <w:name w:val="正文首行缩进 Char"/>
    <w:basedOn w:val="16"/>
    <w:link w:val="14"/>
    <w:qFormat/>
    <w:uiPriority w:val="0"/>
    <w:rPr>
      <w:kern w:val="2"/>
      <w:sz w:val="21"/>
      <w:szCs w:val="21"/>
    </w:rPr>
  </w:style>
  <w:style w:type="paragraph" w:styleId="35">
    <w:name w:val="List Paragraph"/>
    <w:basedOn w:val="1"/>
    <w:unhideWhenUsed/>
    <w:qFormat/>
    <w:uiPriority w:val="99"/>
    <w:pPr>
      <w:ind w:firstLine="420" w:firstLineChars="200"/>
    </w:pPr>
  </w:style>
  <w:style w:type="paragraph" w:customStyle="1" w:styleId="36">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7">
    <w:name w:val="发文落款"/>
    <w:basedOn w:val="36"/>
    <w:qFormat/>
    <w:uiPriority w:val="0"/>
    <w:pPr>
      <w:ind w:left="4094" w:right="607" w:firstLine="0"/>
      <w:jc w:val="center"/>
    </w:pPr>
  </w:style>
  <w:style w:type="character" w:customStyle="1" w:styleId="38">
    <w:name w:val="c Char1"/>
    <w:link w:val="39"/>
    <w:qFormat/>
    <w:uiPriority w:val="0"/>
    <w:rPr>
      <w:rFonts w:eastAsia="仿宋_GB2312" w:cs="宋体"/>
      <w:sz w:val="28"/>
    </w:rPr>
  </w:style>
  <w:style w:type="paragraph" w:customStyle="1" w:styleId="39">
    <w:name w:val="c"/>
    <w:basedOn w:val="1"/>
    <w:link w:val="38"/>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99186B-7ED3-4BF5-B6DA-FDA88F5F4AF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40</Pages>
  <Words>16121</Words>
  <Characters>16959</Characters>
  <Lines>131</Lines>
  <Paragraphs>37</Paragraphs>
  <TotalTime>15</TotalTime>
  <ScaleCrop>false</ScaleCrop>
  <LinksUpToDate>false</LinksUpToDate>
  <CharactersWithSpaces>18111</CharactersWithSpaces>
  <Application>WPS Office_11.1.0.14305_F1E327BC-269C-435d-A152-05C5408002CA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2022-02-28T02:04:00Z</dcterms:created>
  <dc:creator>李晓晨</dc:creator>
  <cp:lastModifiedBy>Lenovo</cp:lastModifiedBy>
  <cp:lastPrinted>2020-07-23T07:52:00Z</cp:lastPrinted>
  <dcterms:modified xsi:type="dcterms:W3CDTF">2023-04-25T08:07:44Z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2052-11.1.0.14305</vt:lpwstr>
  </property>
  <property fmtid="{D5CDD505-2E9C-101B-9397-08002B2CF9AE}" pid="3" name="ICV">
    <vt:lpwstr>6F8842E353744852BDC4E3C1A0BD38D3</vt:lpwstr>
  </property>
</Properties>
</file>