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pStyle w:val="2"/>
        <w:rPr>
          <w:rFonts w:ascii="宋体" w:hAnsi="宋体" w:eastAsia="宋体" w:cs="宋体"/>
          <w:color w:val="auto"/>
          <w:szCs w:val="21"/>
          <w:highlight w:val="none"/>
        </w:rPr>
      </w:pPr>
    </w:p>
    <w:p>
      <w:pPr>
        <w:pStyle w:val="2"/>
        <w:rPr>
          <w:rFonts w:ascii="宋体" w:hAnsi="宋体" w:eastAsia="宋体" w:cs="宋体"/>
          <w:color w:val="auto"/>
          <w:szCs w:val="21"/>
          <w:highlight w:val="none"/>
        </w:rPr>
      </w:pPr>
    </w:p>
    <w:p>
      <w:pPr>
        <w:pStyle w:val="2"/>
        <w:rPr>
          <w:rFonts w:ascii="宋体" w:hAnsi="宋体" w:eastAsia="宋体" w:cs="宋体"/>
          <w:color w:val="auto"/>
          <w:szCs w:val="21"/>
          <w:highlight w:val="none"/>
        </w:rPr>
      </w:pPr>
    </w:p>
    <w:p>
      <w:pPr>
        <w:pStyle w:val="2"/>
        <w:rPr>
          <w:rFonts w:ascii="宋体" w:hAnsi="宋体" w:eastAsia="宋体" w:cs="宋体"/>
          <w:color w:val="auto"/>
          <w:szCs w:val="21"/>
          <w:highlight w:val="none"/>
        </w:rPr>
      </w:pPr>
    </w:p>
    <w:p>
      <w:pPr>
        <w:jc w:val="center"/>
        <w:rPr>
          <w:rFonts w:ascii="宋体" w:hAnsi="宋体" w:eastAsia="宋体" w:cs="宋体"/>
          <w:color w:val="auto"/>
          <w:sz w:val="72"/>
          <w:szCs w:val="72"/>
          <w:highlight w:val="none"/>
        </w:rPr>
      </w:pPr>
      <w:r>
        <w:rPr>
          <w:rFonts w:hint="eastAsia" w:ascii="宋体" w:hAnsi="宋体" w:eastAsia="宋体" w:cs="宋体"/>
          <w:b/>
          <w:color w:val="auto"/>
          <w:sz w:val="72"/>
          <w:szCs w:val="72"/>
          <w:highlight w:val="none"/>
          <w:lang w:eastAsia="zh-CN"/>
        </w:rPr>
        <w:t>南沙金岭北路项目招标代理</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广州南沙经发建筑有限公司</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bookmarkStart w:id="1" w:name="OLE_LINK4"/>
      <w:bookmarkEnd w:id="1"/>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w:t>
      </w:r>
      <w:r>
        <w:rPr>
          <w:rFonts w:hint="eastAsia" w:ascii="宋体" w:hAnsi="宋体" w:eastAsia="宋体" w:cs="宋体"/>
          <w:b/>
          <w:color w:val="auto"/>
          <w:sz w:val="32"/>
          <w:szCs w:val="32"/>
          <w:highlight w:val="none"/>
          <w:lang w:eastAsia="zh-CN"/>
        </w:rPr>
        <w:t>2023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5月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hint="eastAsia" w:asciiTheme="minorEastAsia" w:hAnsiTheme="minorEastAsia" w:eastAsiaTheme="minorEastAsia" w:cstheme="minorEastAsia"/>
              <w:color w:val="auto"/>
              <w:sz w:val="24"/>
              <w:szCs w:val="24"/>
              <w:highlight w:val="none"/>
              <w:lang w:val="en-US" w:eastAsia="zh-CN"/>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lang w:val="en-US" w:eastAsia="zh-CN"/>
            </w:rPr>
            <w:t>5</w:t>
          </w:r>
        </w:p>
        <w:p>
          <w:pPr>
            <w:pStyle w:val="13"/>
            <w:tabs>
              <w:tab w:val="right" w:leader="dot" w:pos="9419"/>
            </w:tabs>
            <w:rPr>
              <w:rFonts w:hint="eastAsia" w:asciiTheme="minorEastAsia" w:hAnsiTheme="minorEastAsia" w:eastAsiaTheme="minorEastAsia" w:cstheme="minorEastAsia"/>
              <w:color w:val="auto"/>
              <w:sz w:val="24"/>
              <w:szCs w:val="24"/>
              <w:highlight w:val="none"/>
              <w:lang w:val="en-US" w:eastAsia="zh-CN"/>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lang w:val="en-US" w:eastAsia="zh-CN"/>
            </w:rPr>
            <w:t>6</w:t>
          </w:r>
        </w:p>
        <w:p>
          <w:pPr>
            <w:pStyle w:val="13"/>
            <w:tabs>
              <w:tab w:val="right" w:leader="dot" w:pos="9419"/>
            </w:tabs>
            <w:rPr>
              <w:rFonts w:hint="default" w:asciiTheme="minorEastAsia" w:hAnsiTheme="minorEastAsia" w:eastAsiaTheme="minorEastAsia" w:cstheme="minorEastAsia"/>
              <w:color w:val="auto"/>
              <w:sz w:val="24"/>
              <w:szCs w:val="24"/>
              <w:highlight w:val="none"/>
              <w:lang w:val="en-US" w:eastAsia="zh-CN"/>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lang w:val="en-US" w:eastAsia="zh-CN"/>
            </w:rPr>
            <w:t>27</w:t>
          </w:r>
        </w:p>
        <w:p>
          <w:pPr>
            <w:pStyle w:val="13"/>
            <w:tabs>
              <w:tab w:val="right" w:leader="dot" w:pos="9419"/>
            </w:tabs>
            <w:rPr>
              <w:rFonts w:hint="eastAsia" w:asciiTheme="minorEastAsia" w:hAnsiTheme="minorEastAsia" w:eastAsiaTheme="minorEastAsia" w:cstheme="minorEastAsia"/>
              <w:color w:val="auto"/>
              <w:sz w:val="24"/>
              <w:szCs w:val="24"/>
              <w:highlight w:val="none"/>
              <w:lang w:val="en-US" w:eastAsia="zh-CN"/>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lang w:val="en-US" w:eastAsia="zh-CN"/>
            </w:rPr>
            <w:t>4</w:t>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2"/>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3302"/>
      <w:r>
        <w:rPr>
          <w:rFonts w:hint="eastAsia" w:ascii="黑体" w:hAnsi="宋体" w:cs="黑体"/>
          <w:b/>
          <w:color w:val="auto"/>
          <w:kern w:val="44"/>
          <w:sz w:val="44"/>
          <w:szCs w:val="44"/>
          <w:highlight w:val="none"/>
        </w:rPr>
        <w:t>第1章 投标须知及前附表</w:t>
      </w:r>
      <w:bookmarkEnd w:id="2"/>
      <w:bookmarkEnd w:id="3"/>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南沙金岭北路项目招标代理</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pPr>
              <w:pStyle w:val="2"/>
              <w:widowControl/>
              <w:spacing w:after="0" w:line="440" w:lineRule="exact"/>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jc w:val="left"/>
              <w:rPr>
                <w:rFonts w:hint="eastAsia" w:ascii="宋体" w:hAnsi="宋体" w:eastAsia="宋体" w:cs="宋体"/>
                <w:color w:val="auto"/>
                <w:szCs w:val="21"/>
                <w:highlight w:val="none"/>
                <w:u w:val="none"/>
                <w:lang w:eastAsia="zh-CN"/>
              </w:rPr>
            </w:pPr>
            <w:r>
              <w:rPr>
                <w:rFonts w:hint="eastAsia" w:ascii="宋体" w:hAnsi="宋体" w:eastAsia="宋体" w:cs="宋体"/>
                <w:color w:val="auto"/>
                <w:sz w:val="21"/>
                <w:szCs w:val="21"/>
                <w:highlight w:val="none"/>
              </w:rPr>
              <w:t>广州市南沙区</w:t>
            </w:r>
            <w:r>
              <w:rPr>
                <w:rFonts w:hint="eastAsia" w:ascii="宋体" w:hAnsi="宋体" w:eastAsia="宋体" w:cs="宋体"/>
                <w:color w:val="auto"/>
                <w:kern w:val="2"/>
                <w:sz w:val="21"/>
                <w:szCs w:val="21"/>
                <w:highlight w:val="none"/>
                <w:lang w:val="en-US" w:eastAsia="zh-CN" w:bidi="ar"/>
              </w:rPr>
              <w:t>南沙街道金岭北路西侧</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kern w:val="2"/>
                <w:sz w:val="21"/>
                <w:szCs w:val="21"/>
                <w:highlight w:val="none"/>
                <w:lang w:val="en-US" w:eastAsia="zh-CN" w:bidi="ar"/>
              </w:rPr>
              <w:t>项目位于广州南拓南端、南沙中心区域，东侧毗邻金岭北路主干道，北侧的金洲涌道直通蕉门河，南侧为通往金苑小区的城市支路，项目用地性质商业用地（B），地块总用地面积15242.4平方米，可建设用地面积8645平方米，容积率1.2-1.8，计容面积1.8万-2.7万㎡，北侧临河涌一侧建筑控高为15米，其余建筑控高为30米</w:t>
            </w:r>
            <w:r>
              <w:rPr>
                <w:rFonts w:hint="eastAsia" w:ascii="宋体" w:hAnsi="宋体" w:eastAsia="宋体" w:cs="宋体"/>
                <w:color w:val="auto"/>
                <w:sz w:val="21"/>
                <w:szCs w:val="21"/>
                <w:highlight w:val="none"/>
                <w:shd w:val="clear"/>
                <w:lang w:bidi="ar"/>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rPr>
              <w:t>招标代理服务费</w:t>
            </w:r>
            <w:r>
              <w:rPr>
                <w:rFonts w:hint="eastAsia" w:ascii="宋体" w:hAnsi="宋体" w:eastAsia="宋体" w:cs="宋体"/>
                <w:color w:val="auto"/>
                <w:sz w:val="21"/>
                <w:szCs w:val="21"/>
                <w:highlight w:val="none"/>
                <w:lang w:eastAsia="zh-CN"/>
              </w:rPr>
              <w:t>结算价</w:t>
            </w:r>
            <w:r>
              <w:rPr>
                <w:rFonts w:hint="eastAsia" w:ascii="宋体" w:hAnsi="宋体" w:eastAsia="宋体" w:cs="宋体"/>
                <w:color w:val="auto"/>
                <w:sz w:val="21"/>
                <w:szCs w:val="21"/>
                <w:highlight w:val="none"/>
                <w:lang w:val="en-US" w:eastAsia="zh-CN"/>
              </w:rPr>
              <w:t>参照</w:t>
            </w:r>
            <w:r>
              <w:rPr>
                <w:rFonts w:hint="eastAsia" w:ascii="宋体" w:hAnsi="宋体" w:eastAsia="宋体" w:cs="宋体"/>
                <w:b w:val="0"/>
                <w:bCs w:val="0"/>
                <w:color w:val="auto"/>
                <w:sz w:val="21"/>
                <w:szCs w:val="21"/>
                <w:highlight w:val="none"/>
                <w:lang w:val="en-US" w:eastAsia="zh-CN"/>
              </w:rPr>
              <w:t>《招标代理服务收费管理暂行办法》（计价格[2002]1980号）和《国家发展改革委关于降低部分建设项目收费标准规范收费行为等有关问题的通知》（发改价格[2011]534号）</w:t>
            </w:r>
            <w:r>
              <w:rPr>
                <w:rFonts w:hint="eastAsia" w:ascii="宋体" w:hAnsi="宋体" w:eastAsia="宋体" w:cs="宋体"/>
                <w:color w:val="auto"/>
                <w:sz w:val="21"/>
                <w:szCs w:val="21"/>
                <w:highlight w:val="none"/>
                <w:lang w:eastAsia="zh-CN"/>
              </w:rPr>
              <w:t>为</w:t>
            </w:r>
            <w:r>
              <w:rPr>
                <w:rFonts w:hint="eastAsia" w:ascii="宋体" w:hAnsi="宋体" w:eastAsia="宋体" w:cs="宋体"/>
                <w:color w:val="auto"/>
                <w:sz w:val="21"/>
                <w:szCs w:val="21"/>
                <w:highlight w:val="none"/>
              </w:rPr>
              <w:t>收费标准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以代理招标项目的</w:t>
            </w:r>
            <w:r>
              <w:rPr>
                <w:rFonts w:hint="eastAsia" w:ascii="宋体" w:hAnsi="宋体" w:eastAsia="宋体" w:cs="宋体"/>
                <w:color w:val="auto"/>
                <w:sz w:val="21"/>
                <w:szCs w:val="21"/>
                <w:highlight w:val="none"/>
              </w:rPr>
              <w:t>中标金额</w:t>
            </w:r>
            <w:r>
              <w:rPr>
                <w:rFonts w:hint="eastAsia" w:ascii="宋体" w:hAnsi="宋体" w:eastAsia="宋体" w:cs="宋体"/>
                <w:color w:val="auto"/>
                <w:sz w:val="21"/>
                <w:szCs w:val="21"/>
                <w:highlight w:val="none"/>
                <w:lang w:eastAsia="zh-CN"/>
              </w:rPr>
              <w:t>为计费</w:t>
            </w:r>
            <w:r>
              <w:rPr>
                <w:rFonts w:hint="eastAsia" w:ascii="宋体" w:hAnsi="宋体" w:eastAsia="宋体" w:cs="宋体"/>
                <w:color w:val="auto"/>
                <w:sz w:val="21"/>
                <w:szCs w:val="21"/>
                <w:highlight w:val="none"/>
                <w:lang w:val="en-US" w:eastAsia="zh-CN"/>
              </w:rPr>
              <w:t>基数，</w:t>
            </w:r>
            <w:r>
              <w:rPr>
                <w:rFonts w:hint="eastAsia" w:ascii="宋体" w:hAnsi="宋体" w:eastAsia="宋体" w:cs="宋体"/>
                <w:color w:val="auto"/>
                <w:sz w:val="21"/>
                <w:szCs w:val="21"/>
                <w:highlight w:val="none"/>
              </w:rPr>
              <w:t>按差额定率累进法计算</w:t>
            </w:r>
            <w:r>
              <w:rPr>
                <w:rFonts w:hint="eastAsia" w:ascii="宋体" w:hAnsi="宋体" w:eastAsia="宋体" w:cs="宋体"/>
                <w:color w:val="auto"/>
                <w:sz w:val="21"/>
                <w:szCs w:val="21"/>
                <w:highlight w:val="none"/>
                <w:lang w:eastAsia="zh-CN"/>
              </w:rPr>
              <w:t>得出招标代理收费基准价格，</w:t>
            </w:r>
            <w:r>
              <w:rPr>
                <w:rFonts w:hint="eastAsia" w:ascii="宋体" w:hAnsi="宋体" w:eastAsia="宋体" w:cs="宋体"/>
                <w:color w:val="auto"/>
                <w:sz w:val="21"/>
                <w:szCs w:val="21"/>
                <w:highlight w:val="none"/>
                <w:lang w:val="en-US" w:eastAsia="zh-CN"/>
              </w:rPr>
              <w:t>然后结合中标下浮率计算得出最终结算费用，最终结算费用不超过招标代理费用中标价。</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eastAsia="宋体" w:cs="宋体"/>
                <w:color w:val="auto"/>
                <w:sz w:val="21"/>
                <w:szCs w:val="21"/>
                <w:highlight w:val="none"/>
                <w:u w:val="none"/>
                <w:lang w:val="en-US" w:eastAsia="zh-CN"/>
              </w:rPr>
              <w:t>2亿</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eastAsia="zh-CN" w:bidi="ar-SA"/>
              </w:rPr>
              <w:t>符合国家及省市区相关招标采购法律法规</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2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2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jc w:val="lef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2"/>
                <w:sz w:val="21"/>
                <w:szCs w:val="21"/>
                <w:highlight w:val="none"/>
                <w:u w:val="none"/>
                <w:lang w:bidi="ar"/>
              </w:rPr>
              <w:t>南沙金岭北路项目施工总承包、监理、勘察</w:t>
            </w:r>
            <w:r>
              <w:rPr>
                <w:rFonts w:hint="eastAsia" w:ascii="宋体" w:hAnsi="宋体" w:eastAsia="宋体" w:cs="宋体"/>
                <w:b w:val="0"/>
                <w:bCs w:val="0"/>
                <w:i w:val="0"/>
                <w:iCs w:val="0"/>
                <w:color w:val="auto"/>
                <w:kern w:val="2"/>
                <w:sz w:val="21"/>
                <w:szCs w:val="21"/>
                <w:highlight w:val="none"/>
                <w:u w:val="none"/>
                <w:lang w:eastAsia="zh-CN" w:bidi="ar"/>
              </w:rPr>
              <w:t>、施工图</w:t>
            </w:r>
            <w:r>
              <w:rPr>
                <w:rFonts w:hint="eastAsia" w:ascii="宋体" w:hAnsi="宋体" w:eastAsia="宋体" w:cs="宋体"/>
                <w:b w:val="0"/>
                <w:bCs w:val="0"/>
                <w:i w:val="0"/>
                <w:iCs w:val="0"/>
                <w:color w:val="auto"/>
                <w:kern w:val="2"/>
                <w:sz w:val="21"/>
                <w:szCs w:val="21"/>
                <w:highlight w:val="none"/>
                <w:u w:val="none"/>
                <w:lang w:bidi="ar"/>
              </w:rPr>
              <w:t>设计的招标代理</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根据招标采购法律法规并结合招标人时间安排，完成招标采购工作</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w:t>
            </w:r>
            <w:r>
              <w:rPr>
                <w:rFonts w:hint="eastAsia" w:ascii="宋体" w:hAnsi="宋体" w:cs="宋体"/>
                <w:color w:val="auto"/>
                <w:highlight w:val="none"/>
                <w:lang w:val="en-US" w:eastAsia="zh-CN"/>
              </w:rPr>
              <w:t>格</w:t>
            </w:r>
            <w:r>
              <w:rPr>
                <w:rFonts w:hint="eastAsia" w:ascii="宋体" w:hAnsi="宋体" w:eastAsia="宋体" w:cs="宋体"/>
                <w:color w:val="auto"/>
                <w:highlight w:val="none"/>
              </w:rPr>
              <w:t>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投标人参加投标的意思表达清楚，投标人代表被授权有效</w:t>
            </w:r>
            <w:r>
              <w:rPr>
                <w:rFonts w:hint="eastAsia" w:ascii="宋体" w:hAnsi="宋体" w:eastAsia="宋体" w:cs="宋体"/>
                <w:color w:val="auto"/>
                <w:sz w:val="21"/>
                <w:szCs w:val="21"/>
                <w:highlight w:val="none"/>
                <w:lang w:eastAsia="zh-CN"/>
              </w:rPr>
              <w:t>。</w:t>
            </w:r>
          </w:p>
          <w:p>
            <w:pPr>
              <w:widowControl/>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2.投标人具有独立法人资格，持有事业单位登记管理部门核发的事业单位法人证书或工商行政管理部门核发的企业法人营业执照，且在营业期限内。</w:t>
            </w:r>
          </w:p>
          <w:p>
            <w:pPr>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投标人须在广州公共资源交易中心办理企业信息登记</w:t>
            </w:r>
            <w:r>
              <w:rPr>
                <w:rFonts w:hint="eastAsia" w:ascii="宋体" w:hAnsi="宋体" w:eastAsia="宋体" w:cs="宋体"/>
                <w:color w:val="auto"/>
                <w:sz w:val="21"/>
                <w:szCs w:val="21"/>
                <w:highlight w:val="none"/>
                <w:lang w:val="en-US" w:eastAsia="zh-CN"/>
              </w:rPr>
              <w:t>及</w:t>
            </w:r>
            <w:r>
              <w:rPr>
                <w:rFonts w:hint="eastAsia" w:ascii="宋体" w:hAnsi="宋体" w:eastAsia="宋体" w:cs="宋体"/>
                <w:color w:val="auto"/>
                <w:sz w:val="21"/>
                <w:szCs w:val="21"/>
                <w:highlight w:val="none"/>
              </w:rPr>
              <w:t>在广州市住房和城乡建设局建立企业诚信档案</w:t>
            </w:r>
            <w:r>
              <w:rPr>
                <w:rFonts w:hint="eastAsia" w:ascii="宋体" w:hAnsi="宋体" w:eastAsia="宋体" w:cs="宋体"/>
                <w:color w:val="auto"/>
                <w:sz w:val="21"/>
                <w:szCs w:val="21"/>
                <w:highlight w:val="none"/>
                <w:lang w:eastAsia="zh-CN"/>
              </w:rPr>
              <w:t>。提供相关证明材料。</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 w:val="21"/>
                <w:szCs w:val="21"/>
                <w:highlight w:val="none"/>
              </w:rPr>
              <w:t>投标人拟委派的项目负责人须具有中级或以上技术职称资格</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beforeLines="0" w:afterLines="0" w:line="360" w:lineRule="auto"/>
              <w:ind w:right="0" w:firstLine="480" w:firstLineChars="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招标代理总费用的</w:t>
            </w:r>
            <w:r>
              <w:rPr>
                <w:rFonts w:hint="eastAsia" w:ascii="宋体" w:hAnsi="宋体" w:eastAsia="宋体" w:cs="宋体"/>
                <w:color w:val="auto"/>
                <w:sz w:val="21"/>
                <w:szCs w:val="21"/>
                <w:highlight w:val="none"/>
              </w:rPr>
              <w:t>招标控制价为</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323413.63</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（大写：人民币</w:t>
            </w:r>
            <w:r>
              <w:rPr>
                <w:rFonts w:hint="eastAsia" w:ascii="宋体" w:hAnsi="宋体" w:eastAsia="宋体" w:cs="宋体"/>
                <w:color w:val="auto"/>
                <w:sz w:val="21"/>
                <w:szCs w:val="21"/>
                <w:highlight w:val="none"/>
                <w:lang w:val="en-US" w:eastAsia="zh-CN"/>
              </w:rPr>
              <w:t>叁拾贰万叁仟肆佰壹拾叁元陆角叁分</w:t>
            </w:r>
            <w:r>
              <w:rPr>
                <w:rFonts w:hint="eastAsia" w:ascii="宋体" w:hAnsi="宋体" w:eastAsia="宋体" w:cs="宋体"/>
                <w:color w:val="auto"/>
                <w:sz w:val="21"/>
                <w:szCs w:val="21"/>
                <w:highlight w:val="none"/>
                <w:lang w:eastAsia="zh-CN"/>
              </w:rPr>
              <w:t>），其中：</w:t>
            </w:r>
          </w:p>
          <w:p>
            <w:pPr>
              <w:spacing w:beforeLines="0" w:afterLines="0" w:line="360" w:lineRule="auto"/>
              <w:ind w:right="0" w:firstLine="480" w:firstLine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1、施工总承包：</w:t>
            </w:r>
            <w:r>
              <w:rPr>
                <w:rFonts w:hint="eastAsia" w:ascii="宋体" w:hAnsi="宋体" w:eastAsia="宋体" w:cs="宋体"/>
                <w:b w:val="0"/>
                <w:bCs w:val="0"/>
                <w:color w:val="auto"/>
                <w:sz w:val="21"/>
                <w:szCs w:val="21"/>
                <w:highlight w:val="none"/>
              </w:rPr>
              <w:t>暂按</w:t>
            </w:r>
            <w:r>
              <w:rPr>
                <w:rFonts w:hint="eastAsia" w:ascii="宋体" w:hAnsi="宋体" w:eastAsia="宋体" w:cs="宋体"/>
                <w:b w:val="0"/>
                <w:bCs w:val="0"/>
                <w:color w:val="auto"/>
                <w:sz w:val="21"/>
                <w:szCs w:val="21"/>
                <w:highlight w:val="none"/>
                <w:lang w:eastAsia="zh-CN"/>
              </w:rPr>
              <w:t>建安工程费¥</w:t>
            </w:r>
            <w:r>
              <w:rPr>
                <w:rFonts w:hint="eastAsia" w:ascii="宋体" w:hAnsi="宋体" w:eastAsia="宋体" w:cs="宋体"/>
                <w:b w:val="0"/>
                <w:bCs w:val="0"/>
                <w:color w:val="auto"/>
                <w:sz w:val="21"/>
                <w:szCs w:val="21"/>
                <w:highlight w:val="none"/>
                <w:u w:val="none"/>
                <w:lang w:val="en-US" w:eastAsia="zh-CN"/>
              </w:rPr>
              <w:t>18000.00</w:t>
            </w:r>
            <w:r>
              <w:rPr>
                <w:rFonts w:hint="eastAsia" w:ascii="宋体" w:hAnsi="宋体" w:eastAsia="宋体" w:cs="宋体"/>
                <w:b w:val="0"/>
                <w:bCs w:val="0"/>
                <w:color w:val="auto"/>
                <w:sz w:val="21"/>
                <w:szCs w:val="21"/>
                <w:highlight w:val="none"/>
              </w:rPr>
              <w:t>万元</w:t>
            </w:r>
            <w:r>
              <w:rPr>
                <w:rFonts w:hint="eastAsia" w:ascii="宋体" w:hAnsi="宋体" w:eastAsia="宋体" w:cs="宋体"/>
                <w:b w:val="0"/>
                <w:bCs w:val="0"/>
                <w:color w:val="auto"/>
                <w:sz w:val="21"/>
                <w:szCs w:val="21"/>
                <w:highlight w:val="none"/>
                <w:lang w:eastAsia="zh-CN"/>
              </w:rPr>
              <w:t>为</w:t>
            </w:r>
            <w:r>
              <w:rPr>
                <w:rFonts w:hint="eastAsia" w:ascii="宋体" w:hAnsi="宋体" w:eastAsia="宋体" w:cs="宋体"/>
                <w:b w:val="0"/>
                <w:bCs w:val="0"/>
                <w:color w:val="auto"/>
                <w:sz w:val="21"/>
                <w:szCs w:val="21"/>
                <w:highlight w:val="none"/>
              </w:rPr>
              <w:t>计算</w:t>
            </w:r>
            <w:r>
              <w:rPr>
                <w:rFonts w:hint="eastAsia" w:ascii="宋体" w:hAnsi="宋体" w:eastAsia="宋体" w:cs="宋体"/>
                <w:b w:val="0"/>
                <w:bCs w:val="0"/>
                <w:color w:val="auto"/>
                <w:sz w:val="21"/>
                <w:szCs w:val="21"/>
                <w:highlight w:val="none"/>
                <w:lang w:eastAsia="zh-CN"/>
              </w:rPr>
              <w:t>基数</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eastAsia="zh-CN"/>
              </w:rPr>
              <w:t>下浮率为</w:t>
            </w:r>
            <w:r>
              <w:rPr>
                <w:rFonts w:hint="eastAsia" w:ascii="宋体" w:hAnsi="宋体" w:eastAsia="宋体" w:cs="宋体"/>
                <w:b w:val="0"/>
                <w:bCs w:val="0"/>
                <w:color w:val="auto"/>
                <w:sz w:val="21"/>
                <w:szCs w:val="21"/>
                <w:highlight w:val="none"/>
                <w:lang w:val="en-US" w:eastAsia="zh-CN"/>
              </w:rPr>
              <w:t>20%，</w:t>
            </w:r>
            <w:r>
              <w:rPr>
                <w:rFonts w:hint="eastAsia" w:ascii="宋体" w:hAnsi="宋体" w:eastAsia="宋体" w:cs="宋体"/>
                <w:b w:val="0"/>
                <w:bCs w:val="0"/>
                <w:color w:val="auto"/>
                <w:sz w:val="21"/>
                <w:szCs w:val="21"/>
                <w:highlight w:val="none"/>
                <w:lang w:eastAsia="zh-CN"/>
              </w:rPr>
              <w:t>施工总承包</w:t>
            </w:r>
            <w:r>
              <w:rPr>
                <w:rFonts w:hint="eastAsia" w:ascii="宋体" w:hAnsi="宋体" w:eastAsia="宋体" w:cs="宋体"/>
                <w:b w:val="0"/>
                <w:bCs w:val="0"/>
                <w:color w:val="auto"/>
                <w:kern w:val="2"/>
                <w:sz w:val="21"/>
                <w:szCs w:val="21"/>
                <w:highlight w:val="none"/>
                <w:lang w:val="en-US" w:eastAsia="zh-CN"/>
              </w:rPr>
              <w:t>招标代理服务费限价为</w:t>
            </w: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kern w:val="2"/>
                <w:sz w:val="21"/>
                <w:szCs w:val="21"/>
                <w:highlight w:val="none"/>
                <w:lang w:val="en-US" w:eastAsia="zh-CN"/>
              </w:rPr>
              <w:t>276400.00元</w:t>
            </w:r>
            <w:r>
              <w:rPr>
                <w:rFonts w:hint="eastAsia" w:ascii="宋体" w:hAnsi="宋体" w:eastAsia="宋体" w:cs="宋体"/>
                <w:b w:val="0"/>
                <w:bCs w:val="0"/>
                <w:color w:val="auto"/>
                <w:sz w:val="21"/>
                <w:szCs w:val="21"/>
                <w:highlight w:val="none"/>
              </w:rPr>
              <w:t>。</w:t>
            </w:r>
          </w:p>
          <w:p>
            <w:pPr>
              <w:spacing w:beforeLines="0" w:afterLines="0" w:line="360" w:lineRule="auto"/>
              <w:ind w:right="0" w:firstLine="480" w:firstLine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2、监理：</w:t>
            </w:r>
            <w:r>
              <w:rPr>
                <w:rFonts w:hint="eastAsia" w:ascii="宋体" w:hAnsi="宋体" w:eastAsia="宋体" w:cs="宋体"/>
                <w:b w:val="0"/>
                <w:bCs w:val="0"/>
                <w:color w:val="auto"/>
                <w:sz w:val="21"/>
                <w:szCs w:val="21"/>
                <w:highlight w:val="none"/>
              </w:rPr>
              <w:t>暂按</w:t>
            </w:r>
            <w:r>
              <w:rPr>
                <w:rFonts w:hint="eastAsia" w:ascii="宋体" w:hAnsi="宋体" w:eastAsia="宋体" w:cs="宋体"/>
                <w:b w:val="0"/>
                <w:bCs w:val="0"/>
                <w:color w:val="auto"/>
                <w:sz w:val="21"/>
                <w:szCs w:val="21"/>
                <w:highlight w:val="none"/>
                <w:lang w:eastAsia="zh-CN"/>
              </w:rPr>
              <w:t>监理费¥</w:t>
            </w:r>
            <w:r>
              <w:rPr>
                <w:rFonts w:hint="eastAsia" w:ascii="宋体" w:hAnsi="宋体" w:eastAsia="宋体" w:cs="宋体"/>
                <w:b w:val="0"/>
                <w:bCs w:val="0"/>
                <w:color w:val="auto"/>
                <w:sz w:val="21"/>
                <w:szCs w:val="21"/>
                <w:highlight w:val="none"/>
                <w:u w:val="none"/>
              </w:rPr>
              <w:t>286.752</w:t>
            </w:r>
            <w:r>
              <w:rPr>
                <w:rFonts w:hint="eastAsia" w:ascii="宋体" w:hAnsi="宋体" w:eastAsia="宋体" w:cs="宋体"/>
                <w:b w:val="0"/>
                <w:bCs w:val="0"/>
                <w:color w:val="auto"/>
                <w:sz w:val="21"/>
                <w:szCs w:val="21"/>
                <w:highlight w:val="none"/>
              </w:rPr>
              <w:t>万元</w:t>
            </w:r>
            <w:r>
              <w:rPr>
                <w:rFonts w:hint="eastAsia" w:ascii="宋体" w:hAnsi="宋体" w:eastAsia="宋体" w:cs="宋体"/>
                <w:b w:val="0"/>
                <w:bCs w:val="0"/>
                <w:color w:val="auto"/>
                <w:sz w:val="21"/>
                <w:szCs w:val="21"/>
                <w:highlight w:val="none"/>
                <w:lang w:eastAsia="zh-CN"/>
              </w:rPr>
              <w:t>为</w:t>
            </w:r>
            <w:r>
              <w:rPr>
                <w:rFonts w:hint="eastAsia" w:ascii="宋体" w:hAnsi="宋体" w:eastAsia="宋体" w:cs="宋体"/>
                <w:b w:val="0"/>
                <w:bCs w:val="0"/>
                <w:color w:val="auto"/>
                <w:sz w:val="21"/>
                <w:szCs w:val="21"/>
                <w:highlight w:val="none"/>
              </w:rPr>
              <w:t>计算</w:t>
            </w:r>
            <w:r>
              <w:rPr>
                <w:rFonts w:hint="eastAsia" w:ascii="宋体" w:hAnsi="宋体" w:eastAsia="宋体" w:cs="宋体"/>
                <w:b w:val="0"/>
                <w:bCs w:val="0"/>
                <w:color w:val="auto"/>
                <w:sz w:val="21"/>
                <w:szCs w:val="21"/>
                <w:highlight w:val="none"/>
                <w:lang w:eastAsia="zh-CN"/>
              </w:rPr>
              <w:t>基数</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eastAsia="zh-CN"/>
              </w:rPr>
              <w:t>下浮率为</w:t>
            </w:r>
            <w:r>
              <w:rPr>
                <w:rFonts w:hint="eastAsia" w:ascii="宋体" w:hAnsi="宋体" w:eastAsia="宋体" w:cs="宋体"/>
                <w:b w:val="0"/>
                <w:bCs w:val="0"/>
                <w:color w:val="auto"/>
                <w:sz w:val="21"/>
                <w:szCs w:val="21"/>
                <w:highlight w:val="none"/>
                <w:lang w:val="en-US" w:eastAsia="zh-CN"/>
              </w:rPr>
              <w:t>20%，</w:t>
            </w:r>
            <w:r>
              <w:rPr>
                <w:rFonts w:hint="eastAsia" w:ascii="宋体" w:hAnsi="宋体" w:eastAsia="宋体" w:cs="宋体"/>
                <w:b w:val="0"/>
                <w:bCs w:val="0"/>
                <w:color w:val="auto"/>
                <w:sz w:val="21"/>
                <w:szCs w:val="21"/>
                <w:highlight w:val="none"/>
                <w:lang w:eastAsia="zh-CN"/>
              </w:rPr>
              <w:t>监理</w:t>
            </w:r>
            <w:r>
              <w:rPr>
                <w:rFonts w:hint="eastAsia" w:ascii="宋体" w:hAnsi="宋体" w:eastAsia="宋体" w:cs="宋体"/>
                <w:b w:val="0"/>
                <w:bCs w:val="0"/>
                <w:color w:val="auto"/>
                <w:kern w:val="2"/>
                <w:sz w:val="21"/>
                <w:szCs w:val="21"/>
                <w:highlight w:val="none"/>
                <w:lang w:val="en-US" w:eastAsia="zh-CN"/>
              </w:rPr>
              <w:t>招标代理服务费限价为</w:t>
            </w: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kern w:val="2"/>
                <w:sz w:val="21"/>
                <w:szCs w:val="21"/>
                <w:highlight w:val="none"/>
                <w:lang w:val="en-US" w:eastAsia="zh-CN"/>
              </w:rPr>
              <w:t>23952.13元</w:t>
            </w:r>
            <w:r>
              <w:rPr>
                <w:rFonts w:hint="eastAsia" w:ascii="宋体" w:hAnsi="宋体" w:eastAsia="宋体" w:cs="宋体"/>
                <w:b w:val="0"/>
                <w:bCs w:val="0"/>
                <w:color w:val="auto"/>
                <w:sz w:val="21"/>
                <w:szCs w:val="21"/>
                <w:highlight w:val="none"/>
              </w:rPr>
              <w:t>。</w:t>
            </w:r>
          </w:p>
          <w:p>
            <w:pPr>
              <w:spacing w:beforeLines="0" w:afterLines="0" w:line="360" w:lineRule="auto"/>
              <w:ind w:firstLine="480" w:firstLine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3、勘察、施工图设计：</w:t>
            </w:r>
            <w:r>
              <w:rPr>
                <w:rFonts w:hint="eastAsia" w:ascii="宋体" w:hAnsi="宋体" w:eastAsia="宋体" w:cs="宋体"/>
                <w:b w:val="0"/>
                <w:bCs w:val="0"/>
                <w:color w:val="auto"/>
                <w:sz w:val="21"/>
                <w:szCs w:val="21"/>
                <w:highlight w:val="none"/>
              </w:rPr>
              <w:t>暂按</w:t>
            </w:r>
            <w:r>
              <w:rPr>
                <w:rFonts w:hint="eastAsia" w:ascii="宋体" w:hAnsi="宋体" w:eastAsia="宋体" w:cs="宋体"/>
                <w:b w:val="0"/>
                <w:bCs w:val="0"/>
                <w:color w:val="auto"/>
                <w:sz w:val="21"/>
                <w:szCs w:val="21"/>
                <w:highlight w:val="none"/>
                <w:lang w:val="en-US" w:eastAsia="zh-CN"/>
              </w:rPr>
              <w:t>勘察、施工图设计费</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u w:val="none"/>
                <w:lang w:val="en-US" w:eastAsia="zh-CN"/>
              </w:rPr>
              <w:t>272.836</w:t>
            </w:r>
            <w:r>
              <w:rPr>
                <w:rFonts w:hint="eastAsia" w:ascii="宋体" w:hAnsi="宋体" w:eastAsia="宋体" w:cs="宋体"/>
                <w:b w:val="0"/>
                <w:bCs w:val="0"/>
                <w:color w:val="auto"/>
                <w:sz w:val="21"/>
                <w:szCs w:val="21"/>
                <w:highlight w:val="none"/>
              </w:rPr>
              <w:t>万元</w:t>
            </w:r>
            <w:r>
              <w:rPr>
                <w:rFonts w:hint="eastAsia" w:ascii="宋体" w:hAnsi="宋体" w:eastAsia="宋体" w:cs="宋体"/>
                <w:b w:val="0"/>
                <w:bCs w:val="0"/>
                <w:color w:val="auto"/>
                <w:sz w:val="21"/>
                <w:szCs w:val="21"/>
                <w:highlight w:val="none"/>
                <w:lang w:eastAsia="zh-CN"/>
              </w:rPr>
              <w:t>为</w:t>
            </w:r>
            <w:r>
              <w:rPr>
                <w:rFonts w:hint="eastAsia" w:ascii="宋体" w:hAnsi="宋体" w:eastAsia="宋体" w:cs="宋体"/>
                <w:b w:val="0"/>
                <w:bCs w:val="0"/>
                <w:color w:val="auto"/>
                <w:sz w:val="21"/>
                <w:szCs w:val="21"/>
                <w:highlight w:val="none"/>
              </w:rPr>
              <w:t>计算</w:t>
            </w:r>
            <w:r>
              <w:rPr>
                <w:rFonts w:hint="eastAsia" w:ascii="宋体" w:hAnsi="宋体" w:eastAsia="宋体" w:cs="宋体"/>
                <w:b w:val="0"/>
                <w:bCs w:val="0"/>
                <w:color w:val="auto"/>
                <w:sz w:val="21"/>
                <w:szCs w:val="21"/>
                <w:highlight w:val="none"/>
                <w:lang w:eastAsia="zh-CN"/>
              </w:rPr>
              <w:t>基数</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eastAsia="zh-CN"/>
              </w:rPr>
              <w:t>下浮率为</w:t>
            </w:r>
            <w:r>
              <w:rPr>
                <w:rFonts w:hint="eastAsia" w:ascii="宋体" w:hAnsi="宋体" w:eastAsia="宋体" w:cs="宋体"/>
                <w:b w:val="0"/>
                <w:bCs w:val="0"/>
                <w:color w:val="auto"/>
                <w:sz w:val="21"/>
                <w:szCs w:val="21"/>
                <w:highlight w:val="none"/>
                <w:lang w:val="en-US" w:eastAsia="zh-CN"/>
              </w:rPr>
              <w:t>20%，勘察、施工图设计</w:t>
            </w:r>
            <w:r>
              <w:rPr>
                <w:rFonts w:hint="eastAsia" w:ascii="宋体" w:hAnsi="宋体" w:eastAsia="宋体" w:cs="宋体"/>
                <w:b w:val="0"/>
                <w:bCs w:val="0"/>
                <w:color w:val="auto"/>
                <w:kern w:val="2"/>
                <w:sz w:val="21"/>
                <w:szCs w:val="21"/>
                <w:highlight w:val="none"/>
                <w:lang w:val="en-US" w:eastAsia="zh-CN"/>
              </w:rPr>
              <w:t>招标代理服务费限价为</w:t>
            </w: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kern w:val="2"/>
                <w:sz w:val="21"/>
                <w:szCs w:val="21"/>
                <w:highlight w:val="none"/>
                <w:lang w:val="en-US" w:eastAsia="zh-CN"/>
              </w:rPr>
              <w:t>23061.50元</w:t>
            </w:r>
            <w:r>
              <w:rPr>
                <w:rFonts w:hint="eastAsia" w:ascii="宋体" w:hAnsi="宋体" w:eastAsia="宋体" w:cs="宋体"/>
                <w:b w:val="0"/>
                <w:bCs w:val="0"/>
                <w:strike w:val="0"/>
                <w:color w:val="auto"/>
                <w:sz w:val="21"/>
                <w:szCs w:val="21"/>
                <w:highlight w:val="none"/>
                <w:lang w:val="en-US" w:eastAsia="zh-CN"/>
              </w:rPr>
              <w:t>。</w:t>
            </w:r>
          </w:p>
          <w:p>
            <w:pPr>
              <w:spacing w:beforeLines="0" w:afterLines="0" w:line="360" w:lineRule="auto"/>
              <w:ind w:firstLine="48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lang w:val="en-US" w:eastAsia="zh-CN" w:bidi="ar-SA"/>
              </w:rPr>
              <w:t>投标单位自行报价，投标总报价及分项报价不能超过对应的招标控制价及限价，否则按废标处理。投标下浮率=1-（投标报价/招标代理收费基准价格）×100%，</w:t>
            </w:r>
            <w:r>
              <w:rPr>
                <w:rFonts w:hint="eastAsia" w:ascii="宋体" w:hAnsi="宋体" w:eastAsia="宋体" w:cs="宋体"/>
                <w:bCs/>
                <w:color w:val="auto"/>
                <w:kern w:val="2"/>
                <w:sz w:val="21"/>
                <w:szCs w:val="21"/>
                <w:highlight w:val="none"/>
                <w:lang w:val="en-US" w:eastAsia="zh-CN" w:bidi="ar-SA"/>
              </w:rPr>
              <w:t>投标下浮率数值应一致且</w:t>
            </w:r>
            <w:r>
              <w:rPr>
                <w:rFonts w:hint="eastAsia" w:hAnsi="宋体" w:cs="宋体"/>
                <w:bCs/>
                <w:color w:val="auto"/>
                <w:kern w:val="2"/>
                <w:sz w:val="21"/>
                <w:szCs w:val="21"/>
                <w:highlight w:val="none"/>
                <w:lang w:val="en-US" w:eastAsia="zh-CN" w:bidi="ar-SA"/>
              </w:rPr>
              <w:t>大于或等于</w:t>
            </w:r>
            <w:r>
              <w:rPr>
                <w:rFonts w:hint="eastAsia" w:ascii="宋体" w:hAnsi="宋体" w:eastAsia="宋体" w:cs="宋体"/>
                <w:bCs/>
                <w:color w:val="auto"/>
                <w:kern w:val="2"/>
                <w:sz w:val="21"/>
                <w:szCs w:val="21"/>
                <w:highlight w:val="none"/>
                <w:lang w:val="en-US" w:eastAsia="zh-CN" w:bidi="ar-SA"/>
              </w:rPr>
              <w:t>20%</w:t>
            </w:r>
            <w:r>
              <w:rPr>
                <w:rFonts w:hint="eastAsia" w:hAnsi="宋体" w:cs="宋体"/>
                <w:bCs/>
                <w:color w:val="auto"/>
                <w:kern w:val="2"/>
                <w:sz w:val="21"/>
                <w:szCs w:val="21"/>
                <w:highlight w:val="none"/>
                <w:lang w:val="en-US" w:eastAsia="zh-CN" w:bidi="ar-SA"/>
              </w:rPr>
              <w:t>（若出现投标下浮率数值不一致的情况，则以投标下浮率最大的数值对投标报价进行修正）</w:t>
            </w:r>
            <w:r>
              <w:rPr>
                <w:rFonts w:hint="eastAsia" w:ascii="宋体" w:hAnsi="宋体" w:eastAsia="宋体" w:cs="宋体"/>
                <w:color w:val="auto"/>
                <w:kern w:val="2"/>
                <w:sz w:val="21"/>
                <w:szCs w:val="21"/>
                <w:highlight w:val="none"/>
                <w:lang w:val="en-US" w:eastAsia="zh-CN" w:bidi="ar-SA"/>
              </w:rPr>
              <w:t>，小数点后保留二位小数，第三位小数四舍五入。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1、金额：人民币</w:t>
            </w:r>
            <w:r>
              <w:rPr>
                <w:rFonts w:hint="eastAsia" w:ascii="宋体" w:hAnsi="宋体" w:eastAsia="宋体" w:cs="宋体"/>
                <w:color w:val="auto"/>
                <w:sz w:val="21"/>
                <w:szCs w:val="21"/>
                <w:highlight w:val="none"/>
                <w:lang w:val="en-US" w:eastAsia="zh-CN"/>
              </w:rPr>
              <w:t>伍仟</w:t>
            </w:r>
            <w:r>
              <w:rPr>
                <w:rFonts w:hint="eastAsia" w:ascii="宋体" w:hAnsi="宋体" w:eastAsia="宋体" w:cs="宋体"/>
                <w:color w:val="auto"/>
                <w:sz w:val="21"/>
                <w:szCs w:val="21"/>
                <w:highlight w:val="none"/>
              </w:rPr>
              <w:t>元。</w:t>
            </w:r>
          </w:p>
          <w:p>
            <w:pPr>
              <w:numPr>
                <w:ilvl w:val="-1"/>
                <w:numId w:val="0"/>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2、缴纳方式：</w:t>
            </w:r>
            <w:r>
              <w:rPr>
                <w:rFonts w:hint="eastAsia" w:ascii="宋体" w:hAnsi="宋体" w:eastAsia="宋体" w:cs="宋体"/>
                <w:color w:val="auto"/>
                <w:sz w:val="21"/>
                <w:szCs w:val="21"/>
                <w:highlight w:val="none"/>
                <w:lang w:eastAsia="zh-CN"/>
              </w:rPr>
              <w:t>银行转账。</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w:t>
            </w:r>
            <w:r>
              <w:rPr>
                <w:rFonts w:hint="eastAsia" w:ascii="宋体" w:hAnsi="宋体" w:eastAsia="宋体" w:cs="宋体"/>
                <w:color w:val="auto"/>
                <w:sz w:val="21"/>
                <w:szCs w:val="21"/>
                <w:highlight w:val="none"/>
                <w:u w:val="none"/>
                <w:lang w:eastAsia="zh-CN"/>
              </w:rPr>
              <w:t>广州南沙经发建筑有限公司</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开户银行：中国建设银行广州南沙开发区支行</w:t>
            </w:r>
            <w:r>
              <w:rPr>
                <w:rFonts w:hint="eastAsia" w:ascii="宋体" w:hAnsi="宋体" w:eastAsia="宋体" w:cs="宋体"/>
                <w:color w:val="auto"/>
                <w:sz w:val="21"/>
                <w:szCs w:val="21"/>
                <w:highlight w:val="none"/>
                <w:lang w:val="en-US" w:eastAsia="zh-CN"/>
              </w:rPr>
              <w:t xml:space="preserve"> </w:t>
            </w:r>
          </w:p>
          <w:p>
            <w:pPr>
              <w:numPr>
                <w:ilvl w:val="-1"/>
                <w:numId w:val="0"/>
              </w:numPr>
              <w:adjustRightIn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账号：44001531405050036559</w:t>
            </w:r>
          </w:p>
          <w:p>
            <w:pPr>
              <w:numPr>
                <w:ilvl w:val="0"/>
                <w:numId w:val="1"/>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缴纳时间：投标单位须在</w:t>
            </w:r>
            <w:r>
              <w:rPr>
                <w:rFonts w:hint="eastAsia" w:ascii="宋体" w:hAnsi="宋体" w:eastAsia="宋体" w:cs="宋体"/>
                <w:color w:val="auto"/>
                <w:sz w:val="21"/>
                <w:szCs w:val="21"/>
                <w:highlight w:val="none"/>
                <w:u w:val="none"/>
                <w:lang w:eastAsia="zh-CN"/>
              </w:rPr>
              <w:t>2023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5月19</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17</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前</w:t>
            </w:r>
            <w:r>
              <w:rPr>
                <w:rFonts w:hint="eastAsia" w:ascii="宋体" w:hAnsi="宋体" w:eastAsia="宋体" w:cs="宋体"/>
                <w:color w:val="auto"/>
                <w:sz w:val="21"/>
                <w:szCs w:val="21"/>
                <w:highlight w:val="none"/>
              </w:rPr>
              <w:t>以投标人转出【以招标单位查询的信息为准，汇款时备注：</w:t>
            </w:r>
            <w:r>
              <w:rPr>
                <w:rFonts w:hint="eastAsia" w:ascii="宋体" w:hAnsi="宋体" w:eastAsia="宋体" w:cs="宋体"/>
                <w:color w:val="auto"/>
                <w:szCs w:val="21"/>
                <w:highlight w:val="none"/>
                <w:u w:val="none"/>
                <w:lang w:eastAsia="zh-CN"/>
              </w:rPr>
              <w:t>南沙金岭北路项目招标代理</w:t>
            </w:r>
            <w:r>
              <w:rPr>
                <w:rFonts w:hint="eastAsia" w:ascii="宋体" w:hAnsi="宋体" w:eastAsia="宋体" w:cs="宋体"/>
                <w:color w:val="auto"/>
                <w:sz w:val="21"/>
                <w:szCs w:val="21"/>
                <w:highlight w:val="none"/>
              </w:rPr>
              <w:t>投标保证金】</w:t>
            </w:r>
          </w:p>
          <w:p>
            <w:pPr>
              <w:numPr>
                <w:ilvl w:val="-1"/>
                <w:numId w:val="0"/>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收件人：李工，66806279</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提交地点：广州市南沙区金融大厦1807会议室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lang w:eastAsia="zh-CN"/>
              </w:rPr>
              <w:t>2023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5月22</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一</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至2023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5月22</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一</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kern w:val="2"/>
                <w:sz w:val="21"/>
                <w:szCs w:val="21"/>
                <w:highlight w:val="none"/>
                <w:u w:val="none"/>
                <w:lang w:val="en-US" w:eastAsia="zh-CN" w:bidi="ar-SA"/>
              </w:rPr>
              <w:t>前。</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lang w:eastAsia="zh-CN"/>
              </w:rPr>
              <w:t>2023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5月22</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一</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地点：广州市南沙区金融大厦1807会议室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综合评分法</w:t>
            </w:r>
          </w:p>
        </w:tc>
      </w:tr>
    </w:tbl>
    <w:p>
      <w:pPr>
        <w:spacing w:line="24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pacing w:line="240" w:lineRule="auto"/>
        <w:jc w:val="lef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广州南沙经发建筑有限公司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val="en-US"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2"/>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（1）投标须知及前附表</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（2）项目需求书</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（3）投标文件格式</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（4）服务合同</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（5）评标办法</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（6）附件</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2"/>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11.5公司法人营业执照复印件</w:t>
      </w:r>
      <w:r>
        <w:rPr>
          <w:rFonts w:hint="eastAsia" w:ascii="宋体" w:hAnsi="宋体" w:eastAsia="宋体" w:cs="宋体"/>
          <w:color w:val="auto"/>
          <w:sz w:val="24"/>
          <w:highlight w:val="none"/>
          <w:lang w:eastAsia="zh-CN"/>
        </w:rPr>
        <w:t>，</w:t>
      </w:r>
      <w:r>
        <w:rPr>
          <w:rFonts w:hint="eastAsia" w:ascii="宋体" w:hAnsi="宋体" w:eastAsia="宋体" w:cs="宋体"/>
          <w:color w:val="auto"/>
          <w:sz w:val="24"/>
          <w:szCs w:val="24"/>
          <w:highlight w:val="none"/>
        </w:rPr>
        <w:t>广州公共资源交易中心办理企业信息登记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广州市住房和城乡建设局建立企业诚信档案</w:t>
      </w:r>
      <w:r>
        <w:rPr>
          <w:rFonts w:hint="eastAsia" w:ascii="宋体" w:hAnsi="宋体" w:eastAsia="宋体" w:cs="宋体"/>
          <w:color w:val="auto"/>
          <w:sz w:val="24"/>
          <w:szCs w:val="24"/>
          <w:highlight w:val="none"/>
          <w:lang w:eastAsia="zh-CN"/>
        </w:rPr>
        <w:t>相关证明材料</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报价表。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技术标文件（独立成册）。</w:t>
      </w:r>
    </w:p>
    <w:p>
      <w:pPr>
        <w:pStyle w:val="9"/>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3</w:t>
      </w:r>
      <w:r>
        <w:rPr>
          <w:rFonts w:hAnsi="宋体" w:cs="宋体"/>
          <w:color w:val="auto"/>
          <w:sz w:val="24"/>
          <w:highlight w:val="none"/>
        </w:rPr>
        <w:t xml:space="preserve"> 投标文件电子版（</w:t>
      </w:r>
      <w:r>
        <w:rPr>
          <w:rFonts w:hint="eastAsia" w:hAnsi="宋体" w:cs="宋体"/>
          <w:color w:val="auto"/>
          <w:sz w:val="24"/>
          <w:highlight w:val="none"/>
          <w:lang w:eastAsia="zh-CN"/>
        </w:rPr>
        <w:t>带公司印章，</w:t>
      </w:r>
      <w:r>
        <w:rPr>
          <w:rFonts w:hAnsi="宋体" w:cs="宋体"/>
          <w:color w:val="auto"/>
          <w:sz w:val="24"/>
          <w:highlight w:val="none"/>
        </w:rPr>
        <w:t>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w:t>
      </w:r>
      <w:r>
        <w:rPr>
          <w:rFonts w:hAnsi="宋体" w:cs="宋体"/>
          <w:color w:val="auto"/>
          <w:sz w:val="24"/>
          <w:highlight w:val="none"/>
        </w:rPr>
        <w:t>）</w:t>
      </w:r>
      <w:r>
        <w:rPr>
          <w:rFonts w:hint="eastAsia" w:hAnsi="宋体" w:cs="宋体"/>
          <w:color w:val="auto"/>
          <w:sz w:val="24"/>
          <w:highlight w:val="none"/>
          <w:lang w:eastAsia="zh-CN"/>
        </w:rPr>
        <w:t>。</w:t>
      </w:r>
    </w:p>
    <w:p>
      <w:pPr>
        <w:pStyle w:val="9"/>
        <w:ind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11.14投标申请人声明。</w:t>
      </w:r>
    </w:p>
    <w:p>
      <w:pPr>
        <w:pStyle w:val="9"/>
        <w:ind w:firstLine="480" w:firstLineChars="200"/>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11.15投标人认为需要提供的其他文件。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r>
        <w:rPr>
          <w:rFonts w:hint="eastAsia" w:ascii="宋体" w:hAnsi="宋体" w:eastAsia="宋体" w:cs="宋体"/>
          <w:color w:val="auto"/>
          <w:sz w:val="24"/>
          <w:highlight w:val="none"/>
          <w:lang w:eastAsia="zh-CN"/>
        </w:rPr>
        <w:t>；</w:t>
      </w:r>
      <w:r>
        <w:rPr>
          <w:rFonts w:hAnsi="宋体" w:cs="宋体"/>
          <w:color w:val="auto"/>
          <w:sz w:val="24"/>
          <w:highlight w:val="none"/>
        </w:rPr>
        <w:t>投标文件电子版</w:t>
      </w:r>
      <w:r>
        <w:rPr>
          <w:rFonts w:hint="eastAsia" w:hAnsi="宋体" w:cs="宋体"/>
          <w:color w:val="auto"/>
          <w:sz w:val="24"/>
          <w:highlight w:val="none"/>
          <w:lang w:eastAsia="zh-CN"/>
        </w:rPr>
        <w:t>与</w:t>
      </w:r>
      <w:r>
        <w:rPr>
          <w:rFonts w:hint="eastAsia" w:hAnsi="宋体" w:cs="宋体"/>
          <w:color w:val="auto"/>
          <w:sz w:val="24"/>
          <w:highlight w:val="none"/>
          <w:lang w:val="en-US" w:eastAsia="zh-CN"/>
        </w:rPr>
        <w:t>商务标一起包封</w:t>
      </w:r>
      <w:r>
        <w:rPr>
          <w:rFonts w:hint="eastAsia" w:ascii="宋体" w:hAnsi="宋体" w:eastAsia="宋体" w:cs="宋体"/>
          <w:color w:val="auto"/>
          <w:sz w:val="24"/>
          <w:highlight w:val="none"/>
        </w:rPr>
        <w:t>。</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2"/>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r>
        <w:rPr>
          <w:rFonts w:hint="eastAsia" w:ascii="宋体" w:hAnsi="宋体" w:eastAsia="宋体" w:cs="宋体"/>
          <w:color w:val="auto"/>
          <w:sz w:val="24"/>
          <w:highlight w:val="none"/>
          <w:lang w:eastAsia="zh-CN"/>
        </w:rPr>
        <w:t>（如有）</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2"/>
        <w:widowControl/>
        <w:numPr>
          <w:ilvl w:val="0"/>
          <w:numId w:val="2"/>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2"/>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rPr>
          <w:rFonts w:ascii="宋体" w:hAnsi="宋体" w:eastAsia="宋体" w:cs="宋体"/>
          <w:b/>
          <w:color w:val="auto"/>
          <w:sz w:val="30"/>
          <w:szCs w:val="30"/>
          <w:highlight w:val="none"/>
        </w:rPr>
      </w:pPr>
    </w:p>
    <w:p>
      <w:pPr>
        <w:numPr>
          <w:ilvl w:val="0"/>
          <w:numId w:val="3"/>
        </w:numPr>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项目概况</w:t>
      </w:r>
    </w:p>
    <w:p>
      <w:pPr>
        <w:numPr>
          <w:ilvl w:val="0"/>
          <w:numId w:val="0"/>
        </w:numPr>
        <w:ind w:firstLine="640" w:firstLineChars="200"/>
        <w:rPr>
          <w:rFonts w:hint="eastAsia" w:ascii="仿宋_GB2312" w:hAnsi="仿宋_GB2312" w:eastAsia="仿宋_GB2312" w:cs="仿宋_GB2312"/>
          <w:b/>
          <w:color w:val="auto"/>
          <w:kern w:val="0"/>
          <w:sz w:val="32"/>
          <w:szCs w:val="32"/>
          <w:highlight w:val="none"/>
          <w:lang w:eastAsia="zh-CN"/>
        </w:rPr>
      </w:pPr>
      <w:r>
        <w:rPr>
          <w:rFonts w:hint="eastAsia" w:ascii="仿宋_GB2312" w:hAnsi="仿宋_GB2312" w:eastAsia="仿宋_GB2312" w:cs="仿宋_GB2312"/>
          <w:color w:val="auto"/>
          <w:kern w:val="2"/>
          <w:sz w:val="32"/>
          <w:szCs w:val="32"/>
          <w:highlight w:val="none"/>
          <w:lang w:val="en-US" w:eastAsia="zh-CN" w:bidi="ar"/>
        </w:rPr>
        <w:t>项目位于广州南拓南端、南沙中心区域，东侧毗邻金岭北路主干道，北侧的金洲涌道直通蕉门河，南侧为通往金苑小区的城市支路，项目用地性质商业用地（B），地块总用地面积15242.4平方米，可建设用地面积8645平方米，容积率1.2-1.8，计容面积1.8万-2.7万㎡，北侧临河涌一侧建筑控高为15米，其余建筑控高为30米</w:t>
      </w:r>
      <w:r>
        <w:rPr>
          <w:rFonts w:hint="eastAsia" w:ascii="仿宋_GB2312" w:hAnsi="仿宋_GB2312" w:eastAsia="仿宋_GB2312" w:cs="仿宋_GB2312"/>
          <w:color w:val="auto"/>
          <w:sz w:val="32"/>
          <w:szCs w:val="32"/>
          <w:highlight w:val="none"/>
          <w:shd w:val="clear"/>
          <w:lang w:bidi="ar"/>
        </w:rPr>
        <w:t>。</w:t>
      </w:r>
      <w:r>
        <w:rPr>
          <w:rFonts w:hint="eastAsia" w:ascii="仿宋_GB2312" w:hAnsi="仿宋_GB2312" w:eastAsia="仿宋_GB2312" w:cs="仿宋_GB2312"/>
          <w:color w:val="auto"/>
          <w:sz w:val="32"/>
          <w:szCs w:val="32"/>
          <w:highlight w:val="none"/>
          <w:shd w:val="clear"/>
          <w:lang w:eastAsia="zh-CN" w:bidi="ar"/>
        </w:rPr>
        <w:t>项目总投资约</w:t>
      </w:r>
      <w:r>
        <w:rPr>
          <w:rFonts w:hint="eastAsia" w:ascii="仿宋_GB2312" w:hAnsi="仿宋_GB2312" w:eastAsia="仿宋_GB2312" w:cs="仿宋_GB2312"/>
          <w:color w:val="auto"/>
          <w:sz w:val="32"/>
          <w:szCs w:val="32"/>
          <w:highlight w:val="none"/>
          <w:lang w:val="en-US" w:eastAsia="zh-CN" w:bidi="ar"/>
        </w:rPr>
        <w:t>2亿</w:t>
      </w:r>
      <w:r>
        <w:rPr>
          <w:rFonts w:hint="eastAsia" w:ascii="仿宋_GB2312" w:hAnsi="仿宋_GB2312" w:eastAsia="仿宋_GB2312" w:cs="仿宋_GB2312"/>
          <w:color w:val="auto"/>
          <w:sz w:val="32"/>
          <w:szCs w:val="32"/>
          <w:highlight w:val="none"/>
          <w:lang w:bidi="ar"/>
        </w:rPr>
        <w:t>元</w:t>
      </w:r>
      <w:r>
        <w:rPr>
          <w:rFonts w:hint="eastAsia" w:ascii="仿宋_GB2312" w:hAnsi="仿宋_GB2312" w:eastAsia="仿宋_GB2312" w:cs="仿宋_GB2312"/>
          <w:color w:val="auto"/>
          <w:sz w:val="32"/>
          <w:szCs w:val="32"/>
          <w:highlight w:val="none"/>
          <w:lang w:eastAsia="zh-CN" w:bidi="ar"/>
        </w:rPr>
        <w:t>。</w:t>
      </w:r>
    </w:p>
    <w:p>
      <w:pPr>
        <w:numPr>
          <w:ilvl w:val="0"/>
          <w:numId w:val="0"/>
        </w:numP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二、招标范围</w:t>
      </w:r>
    </w:p>
    <w:p>
      <w:pPr>
        <w:pStyle w:val="9"/>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i w:val="0"/>
          <w:iCs w:val="0"/>
          <w:color w:val="auto"/>
          <w:kern w:val="2"/>
          <w:sz w:val="32"/>
          <w:szCs w:val="32"/>
          <w:highlight w:val="none"/>
          <w:u w:val="none"/>
          <w:lang w:bidi="ar"/>
        </w:rPr>
        <w:t>南沙金岭北路项目施工总承包、监理、勘察</w:t>
      </w:r>
      <w:r>
        <w:rPr>
          <w:rFonts w:hint="eastAsia" w:ascii="仿宋_GB2312" w:hAnsi="仿宋_GB2312" w:eastAsia="仿宋_GB2312" w:cs="仿宋_GB2312"/>
          <w:b w:val="0"/>
          <w:bCs w:val="0"/>
          <w:i w:val="0"/>
          <w:iCs w:val="0"/>
          <w:color w:val="auto"/>
          <w:kern w:val="2"/>
          <w:sz w:val="32"/>
          <w:szCs w:val="32"/>
          <w:highlight w:val="none"/>
          <w:u w:val="none"/>
          <w:lang w:eastAsia="zh-CN" w:bidi="ar"/>
        </w:rPr>
        <w:t>、施工图</w:t>
      </w:r>
      <w:r>
        <w:rPr>
          <w:rFonts w:hint="eastAsia" w:ascii="仿宋_GB2312" w:hAnsi="仿宋_GB2312" w:eastAsia="仿宋_GB2312" w:cs="仿宋_GB2312"/>
          <w:b w:val="0"/>
          <w:bCs w:val="0"/>
          <w:i w:val="0"/>
          <w:iCs w:val="0"/>
          <w:color w:val="auto"/>
          <w:kern w:val="2"/>
          <w:sz w:val="32"/>
          <w:szCs w:val="32"/>
          <w:highlight w:val="none"/>
          <w:u w:val="none"/>
          <w:lang w:bidi="ar"/>
        </w:rPr>
        <w:t>设计的招标代理</w:t>
      </w:r>
      <w:r>
        <w:rPr>
          <w:rFonts w:hint="eastAsia" w:ascii="仿宋_GB2312" w:hAnsi="仿宋_GB2312" w:eastAsia="仿宋_GB2312" w:cs="仿宋_GB2312"/>
          <w:color w:val="auto"/>
          <w:kern w:val="0"/>
          <w:sz w:val="32"/>
          <w:szCs w:val="32"/>
          <w:highlight w:val="none"/>
        </w:rPr>
        <w:t>。</w:t>
      </w:r>
    </w:p>
    <w:p>
      <w:pPr>
        <w:pStyle w:val="9"/>
        <w:rPr>
          <w:rFonts w:hint="eastAsia" w:ascii="仿宋_GB2312" w:hAnsi="仿宋_GB2312" w:eastAsia="仿宋_GB2312" w:cs="仿宋_GB2312"/>
          <w:color w:val="auto"/>
          <w:sz w:val="32"/>
          <w:szCs w:val="32"/>
          <w:highlight w:val="none"/>
        </w:rPr>
      </w:pPr>
    </w:p>
    <w:p>
      <w:pPr>
        <w:ind w:firstLine="480" w:firstLineChars="200"/>
        <w:rPr>
          <w:rFonts w:asciiTheme="minorEastAsia" w:hAnsiTheme="minorEastAsia" w:cstheme="minorEastAsia"/>
          <w:color w:val="auto"/>
          <w:kern w:val="0"/>
          <w:sz w:val="24"/>
          <w:highlight w:val="none"/>
        </w:rPr>
      </w:pPr>
    </w:p>
    <w:p>
      <w:pP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广州南沙经发建筑有限公司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南沙金岭北路项目招标代理</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南沙金岭北路项目招标代理</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3"/>
          <w:sz w:val="24"/>
          <w:highlight w:val="none"/>
          <w:u w:val="single"/>
          <w:lang w:val="en-US" w:eastAsia="zh-CN"/>
        </w:rPr>
        <w:t>90</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广州南沙经发建筑有限公司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2"/>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pPr>
        <w:pStyle w:val="24"/>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4"/>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4"/>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4"/>
        <w:widowControl/>
        <w:ind w:firstLine="618"/>
        <w:rPr>
          <w:b/>
          <w:color w:val="auto"/>
          <w:sz w:val="30"/>
          <w:szCs w:val="30"/>
          <w:highlight w:val="none"/>
        </w:rPr>
      </w:pPr>
      <w:r>
        <w:rPr>
          <w:b/>
          <w:color w:val="auto"/>
          <w:sz w:val="30"/>
          <w:szCs w:val="30"/>
          <w:highlight w:val="none"/>
        </w:rPr>
        <w:t xml:space="preserve"> </w:t>
      </w:r>
    </w:p>
    <w:p>
      <w:pPr>
        <w:pStyle w:val="24"/>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4"/>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4"/>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2"/>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2"/>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4"/>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广州南沙经发建筑有限公司</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南沙金岭北路项目招标代理</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6037097"/>
      <w:bookmarkEnd w:id="11"/>
      <w:bookmarkStart w:id="12" w:name="_Toc197235848"/>
      <w:bookmarkEnd w:id="12"/>
      <w:bookmarkStart w:id="13" w:name="_Toc326909213"/>
      <w:bookmarkEnd w:id="13"/>
      <w:bookmarkStart w:id="14" w:name="_Toc415728297"/>
      <w:bookmarkEnd w:id="14"/>
      <w:bookmarkStart w:id="15" w:name="_Toc459403394"/>
      <w:bookmarkEnd w:id="15"/>
      <w:bookmarkStart w:id="16" w:name="_Toc41822703"/>
      <w:bookmarkEnd w:id="16"/>
      <w:bookmarkStart w:id="17" w:name="_Toc415833503"/>
      <w:bookmarkEnd w:id="17"/>
      <w:bookmarkStart w:id="18" w:name="_Toc196036941"/>
      <w:bookmarkEnd w:id="18"/>
      <w:bookmarkStart w:id="19" w:name="_Toc196130013"/>
      <w:bookmarkEnd w:id="19"/>
      <w:bookmarkStart w:id="20" w:name="_Toc199647675"/>
      <w:bookmarkEnd w:id="20"/>
      <w:bookmarkStart w:id="21" w:name="_Toc196130110"/>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196036942"/>
      <w:bookmarkEnd w:id="24"/>
      <w:bookmarkStart w:id="25" w:name="_Toc197235849"/>
      <w:bookmarkEnd w:id="25"/>
      <w:bookmarkStart w:id="26" w:name="_Toc415833504"/>
      <w:bookmarkEnd w:id="26"/>
      <w:bookmarkStart w:id="27" w:name="_Toc196037098"/>
      <w:bookmarkEnd w:id="27"/>
      <w:bookmarkStart w:id="28" w:name="_Toc199647676"/>
      <w:bookmarkEnd w:id="28"/>
      <w:bookmarkStart w:id="29" w:name="_Toc459403395"/>
      <w:bookmarkEnd w:id="29"/>
      <w:bookmarkStart w:id="30" w:name="_Toc415728298"/>
      <w:bookmarkEnd w:id="30"/>
      <w:bookmarkStart w:id="31" w:name="_Toc326909214"/>
      <w:bookmarkEnd w:id="31"/>
      <w:bookmarkStart w:id="32" w:name="_Toc196130014"/>
      <w:bookmarkEnd w:id="32"/>
      <w:bookmarkStart w:id="33" w:name="_Toc196130111"/>
      <w:bookmarkEnd w:id="33"/>
      <w:bookmarkStart w:id="34" w:name="_Toc462911099"/>
    </w:p>
    <w:bookmarkEnd w:id="3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六</w:t>
      </w:r>
      <w:r>
        <w:rPr>
          <w:rFonts w:hint="eastAsia" w:ascii="仿宋" w:hAnsi="仿宋" w:eastAsia="仿宋" w:cs="宋体"/>
          <w:color w:val="auto"/>
          <w:sz w:val="28"/>
          <w:szCs w:val="28"/>
          <w:highlight w:val="none"/>
        </w:rPr>
        <w:t>：</w:t>
      </w: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2、项目负责人必须附执业证书及资格证书（项目负责人提供）、身份证、职称证书及业绩等证明材料（复印件，加盖单位公章）。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4"/>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八</w:t>
      </w:r>
      <w:r>
        <w:rPr>
          <w:rFonts w:hint="eastAsia" w:ascii="宋体" w:hAnsi="宋体" w:eastAsia="宋体" w:cs="黑体"/>
          <w:b/>
          <w:color w:val="auto"/>
          <w:spacing w:val="4"/>
          <w:kern w:val="0"/>
          <w:sz w:val="28"/>
          <w:szCs w:val="28"/>
          <w:highlight w:val="none"/>
        </w:rPr>
        <w:t>：</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en-US" w:eastAsia="zh-CN"/>
        </w:rPr>
        <w:t>投标</w:t>
      </w: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eastAsia="zh-CN"/>
              </w:rPr>
              <w:t>南沙金岭北路项目招标代理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center"/>
              <w:rPr>
                <w:rFonts w:hint="default"/>
                <w:color w:val="auto"/>
                <w:highlight w:val="none"/>
                <w:lang w:val="en-US" w:eastAsia="zh-CN"/>
              </w:rPr>
            </w:pPr>
            <w:r>
              <w:rPr>
                <w:rFonts w:hint="eastAsia"/>
                <w:color w:val="auto"/>
                <w:highlight w:val="none"/>
                <w:lang w:eastAsia="zh-CN"/>
              </w:rPr>
              <w:t>投标下浮率：</w:t>
            </w:r>
            <w:r>
              <w:rPr>
                <w:rFonts w:hint="eastAsia"/>
                <w:color w:val="auto"/>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711" w:type="dxa"/>
            <w:vAlign w:val="center"/>
          </w:tcPr>
          <w:p>
            <w:pPr>
              <w:autoSpaceDE w:val="0"/>
              <w:autoSpaceDN w:val="0"/>
              <w:adjustRightInd w:val="0"/>
              <w:snapToGrid w:val="0"/>
              <w:spacing w:line="360" w:lineRule="auto"/>
              <w:jc w:val="center"/>
              <w:rPr>
                <w:rFonts w:hint="eastAsia" w:ascii="宋体" w:hAnsi="宋体" w:cs="宋体" w:eastAsiaTheme="minorEastAsia"/>
                <w:bCs/>
                <w:color w:val="auto"/>
                <w:szCs w:val="21"/>
                <w:highlight w:val="none"/>
                <w:lang w:val="zh-CN" w:eastAsia="zh-CN"/>
              </w:rPr>
            </w:pPr>
            <w:r>
              <w:rPr>
                <w:rFonts w:hint="eastAsia" w:ascii="宋体" w:hAnsi="宋体" w:cs="宋体"/>
                <w:bCs/>
                <w:color w:val="auto"/>
                <w:szCs w:val="21"/>
                <w:highlight w:val="none"/>
                <w:lang w:val="zh-CN" w:eastAsia="zh-CN"/>
              </w:rPr>
              <w:t>其中：</w:t>
            </w:r>
            <w:r>
              <w:rPr>
                <w:rFonts w:hint="eastAsia" w:ascii="宋体" w:hAnsi="宋体" w:cs="宋体" w:eastAsiaTheme="minorEastAsia"/>
                <w:b w:val="0"/>
                <w:bCs/>
                <w:color w:val="auto"/>
                <w:sz w:val="21"/>
                <w:szCs w:val="21"/>
                <w:highlight w:val="none"/>
                <w:lang w:val="zh-CN" w:eastAsia="zh-CN"/>
              </w:rPr>
              <w:t>施工总承包</w:t>
            </w:r>
            <w:r>
              <w:rPr>
                <w:rFonts w:hint="eastAsia" w:ascii="宋体" w:hAnsi="宋体" w:cs="宋体" w:eastAsiaTheme="minorEastAsia"/>
                <w:b w:val="0"/>
                <w:bCs/>
                <w:color w:val="auto"/>
                <w:kern w:val="2"/>
                <w:sz w:val="21"/>
                <w:szCs w:val="21"/>
                <w:highlight w:val="none"/>
                <w:lang w:val="zh-CN" w:eastAsia="zh-CN"/>
              </w:rPr>
              <w:t>招标代理服务费</w:t>
            </w:r>
          </w:p>
        </w:tc>
        <w:tc>
          <w:tcPr>
            <w:tcW w:w="6699" w:type="dxa"/>
            <w:vAlign w:val="center"/>
          </w:tcPr>
          <w:p>
            <w:pPr>
              <w:autoSpaceDE w:val="0"/>
              <w:autoSpaceDN w:val="0"/>
              <w:adjustRightInd w:val="0"/>
              <w:snapToGrid w:val="0"/>
              <w:spacing w:line="360" w:lineRule="auto"/>
              <w:ind w:firstLine="0" w:firstLineChars="0"/>
              <w:jc w:val="center"/>
              <w:rPr>
                <w:rFonts w:hint="eastAsia"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p>
            <w:pPr>
              <w:autoSpaceDE w:val="0"/>
              <w:autoSpaceDN w:val="0"/>
              <w:adjustRightInd w:val="0"/>
              <w:snapToGrid w:val="0"/>
              <w:spacing w:line="360" w:lineRule="auto"/>
              <w:ind w:firstLine="0" w:firstLineChars="0"/>
              <w:jc w:val="center"/>
              <w:rPr>
                <w:rFonts w:hint="eastAsia"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p>
            <w:pPr>
              <w:autoSpaceDE w:val="0"/>
              <w:autoSpaceDN w:val="0"/>
              <w:adjustRightInd w:val="0"/>
              <w:snapToGrid w:val="0"/>
              <w:spacing w:line="360" w:lineRule="auto"/>
              <w:jc w:val="center"/>
              <w:rPr>
                <w:rFonts w:hint="eastAsia" w:ascii="宋体" w:hAnsi="宋体" w:cs="宋体"/>
                <w:bCs/>
                <w:color w:val="auto"/>
                <w:szCs w:val="21"/>
                <w:highlight w:val="none"/>
                <w:lang w:val="zh-CN" w:eastAsia="zh-CN"/>
              </w:rPr>
            </w:pPr>
            <w:r>
              <w:rPr>
                <w:rFonts w:hint="eastAsia"/>
                <w:color w:val="auto"/>
                <w:highlight w:val="none"/>
                <w:lang w:eastAsia="zh-CN"/>
              </w:rPr>
              <w:t>投标下浮率：</w:t>
            </w:r>
            <w:r>
              <w:rPr>
                <w:rFonts w:hint="eastAsia"/>
                <w:color w:val="auto"/>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711" w:type="dxa"/>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eastAsia="zh-CN"/>
              </w:rPr>
            </w:pPr>
            <w:r>
              <w:rPr>
                <w:rFonts w:hint="eastAsia" w:ascii="宋体" w:hAnsi="宋体" w:cs="宋体"/>
                <w:bCs/>
                <w:color w:val="auto"/>
                <w:szCs w:val="21"/>
                <w:highlight w:val="none"/>
                <w:lang w:val="zh-CN" w:eastAsia="zh-CN"/>
              </w:rPr>
              <w:t>其中：</w:t>
            </w:r>
            <w:r>
              <w:rPr>
                <w:rFonts w:hint="eastAsia" w:ascii="宋体" w:hAnsi="宋体" w:cs="宋体" w:eastAsiaTheme="minorEastAsia"/>
                <w:b w:val="0"/>
                <w:bCs/>
                <w:color w:val="auto"/>
                <w:sz w:val="21"/>
                <w:szCs w:val="21"/>
                <w:highlight w:val="none"/>
                <w:lang w:val="zh-CN" w:eastAsia="zh-CN"/>
              </w:rPr>
              <w:t>监理</w:t>
            </w:r>
            <w:r>
              <w:rPr>
                <w:rFonts w:hint="eastAsia" w:ascii="宋体" w:hAnsi="宋体" w:cs="宋体" w:eastAsiaTheme="minorEastAsia"/>
                <w:b w:val="0"/>
                <w:bCs/>
                <w:color w:val="auto"/>
                <w:kern w:val="2"/>
                <w:sz w:val="21"/>
                <w:szCs w:val="21"/>
                <w:highlight w:val="none"/>
                <w:lang w:val="zh-CN" w:eastAsia="zh-CN"/>
              </w:rPr>
              <w:t>招标代理服务费</w:t>
            </w:r>
          </w:p>
        </w:tc>
        <w:tc>
          <w:tcPr>
            <w:tcW w:w="6699" w:type="dxa"/>
            <w:vAlign w:val="center"/>
          </w:tcPr>
          <w:p>
            <w:pPr>
              <w:autoSpaceDE w:val="0"/>
              <w:autoSpaceDN w:val="0"/>
              <w:adjustRightInd w:val="0"/>
              <w:snapToGrid w:val="0"/>
              <w:spacing w:line="360" w:lineRule="auto"/>
              <w:ind w:firstLine="0" w:firstLineChars="0"/>
              <w:jc w:val="center"/>
              <w:rPr>
                <w:rFonts w:hint="eastAsia"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p>
            <w:pPr>
              <w:autoSpaceDE w:val="0"/>
              <w:autoSpaceDN w:val="0"/>
              <w:adjustRightInd w:val="0"/>
              <w:snapToGrid w:val="0"/>
              <w:spacing w:line="360" w:lineRule="auto"/>
              <w:ind w:firstLine="0" w:firstLineChars="0"/>
              <w:jc w:val="center"/>
              <w:rPr>
                <w:rFonts w:hint="eastAsia"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p>
            <w:pPr>
              <w:rPr>
                <w:color w:val="auto"/>
              </w:rPr>
            </w:pPr>
          </w:p>
          <w:p>
            <w:pPr>
              <w:autoSpaceDE w:val="0"/>
              <w:autoSpaceDN w:val="0"/>
              <w:adjustRightInd w:val="0"/>
              <w:snapToGrid w:val="0"/>
              <w:spacing w:line="360" w:lineRule="auto"/>
              <w:jc w:val="center"/>
              <w:rPr>
                <w:rFonts w:hint="eastAsia" w:ascii="宋体" w:hAnsi="宋体" w:cs="宋体"/>
                <w:bCs/>
                <w:color w:val="auto"/>
                <w:szCs w:val="21"/>
                <w:highlight w:val="none"/>
                <w:lang w:val="zh-CN" w:eastAsia="zh-CN"/>
              </w:rPr>
            </w:pPr>
            <w:r>
              <w:rPr>
                <w:rFonts w:hint="eastAsia"/>
                <w:color w:val="auto"/>
                <w:highlight w:val="none"/>
                <w:lang w:eastAsia="zh-CN"/>
              </w:rPr>
              <w:t>投标下浮率：</w:t>
            </w:r>
            <w:r>
              <w:rPr>
                <w:rFonts w:hint="eastAsia"/>
                <w:color w:val="auto"/>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711" w:type="dxa"/>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eastAsia="zh-CN"/>
              </w:rPr>
            </w:pPr>
            <w:r>
              <w:rPr>
                <w:rFonts w:hint="eastAsia" w:ascii="宋体" w:hAnsi="宋体" w:cs="宋体"/>
                <w:bCs/>
                <w:color w:val="auto"/>
                <w:szCs w:val="21"/>
                <w:highlight w:val="none"/>
                <w:lang w:val="zh-CN" w:eastAsia="zh-CN"/>
              </w:rPr>
              <w:t>其中：</w:t>
            </w:r>
            <w:r>
              <w:rPr>
                <w:rFonts w:hint="eastAsia" w:ascii="宋体" w:hAnsi="宋体" w:cs="宋体" w:eastAsiaTheme="minorEastAsia"/>
                <w:b w:val="0"/>
                <w:bCs/>
                <w:color w:val="auto"/>
                <w:sz w:val="21"/>
                <w:szCs w:val="21"/>
                <w:highlight w:val="none"/>
                <w:lang w:val="zh-CN" w:eastAsia="zh-CN"/>
              </w:rPr>
              <w:t>勘察、施工图设计</w:t>
            </w:r>
            <w:r>
              <w:rPr>
                <w:rFonts w:hint="eastAsia" w:ascii="宋体" w:hAnsi="宋体" w:cs="宋体" w:eastAsiaTheme="minorEastAsia"/>
                <w:b w:val="0"/>
                <w:bCs/>
                <w:color w:val="auto"/>
                <w:kern w:val="2"/>
                <w:sz w:val="21"/>
                <w:szCs w:val="21"/>
                <w:highlight w:val="none"/>
                <w:lang w:val="zh-CN" w:eastAsia="zh-CN"/>
              </w:rPr>
              <w:t>招标代理服务费</w:t>
            </w:r>
          </w:p>
        </w:tc>
        <w:tc>
          <w:tcPr>
            <w:tcW w:w="6699" w:type="dxa"/>
            <w:vAlign w:val="center"/>
          </w:tcPr>
          <w:p>
            <w:pPr>
              <w:autoSpaceDE w:val="0"/>
              <w:autoSpaceDN w:val="0"/>
              <w:adjustRightInd w:val="0"/>
              <w:snapToGrid w:val="0"/>
              <w:spacing w:line="360" w:lineRule="auto"/>
              <w:ind w:firstLine="0" w:firstLineChars="0"/>
              <w:jc w:val="center"/>
              <w:rPr>
                <w:rFonts w:hint="eastAsia"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p>
            <w:pPr>
              <w:autoSpaceDE w:val="0"/>
              <w:autoSpaceDN w:val="0"/>
              <w:adjustRightInd w:val="0"/>
              <w:snapToGrid w:val="0"/>
              <w:spacing w:line="360" w:lineRule="auto"/>
              <w:ind w:firstLine="0" w:firstLineChars="0"/>
              <w:jc w:val="center"/>
              <w:rPr>
                <w:rFonts w:hint="eastAsia"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p>
            <w:pPr>
              <w:rPr>
                <w:color w:val="auto"/>
              </w:rPr>
            </w:pPr>
          </w:p>
          <w:p>
            <w:pPr>
              <w:autoSpaceDE w:val="0"/>
              <w:autoSpaceDN w:val="0"/>
              <w:adjustRightInd w:val="0"/>
              <w:snapToGrid w:val="0"/>
              <w:spacing w:line="360" w:lineRule="auto"/>
              <w:jc w:val="center"/>
              <w:rPr>
                <w:rFonts w:hint="eastAsia" w:ascii="宋体" w:hAnsi="宋体" w:cs="宋体"/>
                <w:bCs/>
                <w:color w:val="auto"/>
                <w:szCs w:val="21"/>
                <w:highlight w:val="none"/>
                <w:lang w:val="zh-CN" w:eastAsia="zh-CN"/>
              </w:rPr>
            </w:pPr>
            <w:r>
              <w:rPr>
                <w:rFonts w:hint="eastAsia"/>
                <w:color w:val="auto"/>
                <w:highlight w:val="none"/>
                <w:lang w:eastAsia="zh-CN"/>
              </w:rPr>
              <w:t>投标下浮率：</w:t>
            </w:r>
            <w:r>
              <w:rPr>
                <w:rFonts w:hint="eastAsia"/>
                <w:color w:val="auto"/>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9"/>
        <w:spacing w:line="360" w:lineRule="auto"/>
        <w:ind w:firstLine="210" w:firstLineChars="100"/>
        <w:rPr>
          <w:rFonts w:hint="eastAsia" w:ascii="宋体" w:hAnsi="宋体" w:eastAsia="宋体" w:cs="宋体"/>
          <w:bCs/>
          <w:color w:val="auto"/>
          <w:kern w:val="2"/>
          <w:sz w:val="21"/>
          <w:szCs w:val="21"/>
          <w:highlight w:val="none"/>
          <w:lang w:val="en-US" w:eastAsia="zh-CN" w:bidi="ar-SA"/>
        </w:rPr>
      </w:pPr>
      <w:r>
        <w:rPr>
          <w:rFonts w:hAnsi="宋体" w:cs="宋体"/>
          <w:bCs/>
          <w:color w:val="auto"/>
          <w:highlight w:val="none"/>
        </w:rPr>
        <w:t>注：</w:t>
      </w:r>
      <w:r>
        <w:rPr>
          <w:rFonts w:hint="eastAsia" w:hAnsi="宋体" w:cs="宋体"/>
          <w:bCs/>
          <w:color w:val="auto"/>
          <w:highlight w:val="none"/>
          <w:lang w:eastAsia="zh-CN"/>
        </w:rPr>
        <w:t>（</w:t>
      </w:r>
      <w:r>
        <w:rPr>
          <w:rFonts w:hint="eastAsia" w:ascii="宋体" w:hAnsi="宋体" w:eastAsia="宋体" w:cs="宋体"/>
          <w:bCs/>
          <w:color w:val="auto"/>
          <w:highlight w:val="none"/>
          <w:lang w:val="en-US" w:eastAsia="zh-CN"/>
        </w:rPr>
        <w:t>1</w:t>
      </w:r>
      <w:r>
        <w:rPr>
          <w:rFonts w:hint="eastAsia" w:hAnsi="宋体" w:cs="宋体"/>
          <w:bCs/>
          <w:color w:val="auto"/>
          <w:highlight w:val="none"/>
          <w:lang w:eastAsia="zh-CN"/>
        </w:rPr>
        <w:t>）</w:t>
      </w:r>
      <w:r>
        <w:rPr>
          <w:rFonts w:hint="eastAsia" w:ascii="宋体" w:hAnsi="宋体" w:eastAsia="宋体" w:cs="宋体"/>
          <w:bCs/>
          <w:color w:val="auto"/>
          <w:kern w:val="2"/>
          <w:sz w:val="21"/>
          <w:szCs w:val="21"/>
          <w:highlight w:val="none"/>
          <w:lang w:val="en-US" w:eastAsia="zh-CN" w:bidi="ar-SA"/>
        </w:rPr>
        <w:t>投标单位自行报价，投标总报价及分项报价不能超过对应的招标控制价及限价，否则按废标处理。投标下浮率=1-（投标报价/招标代理收费基准价格）×100%，投标下浮率数值应一致且</w:t>
      </w:r>
      <w:r>
        <w:rPr>
          <w:rFonts w:hint="eastAsia" w:hAnsi="宋体" w:cs="宋体"/>
          <w:bCs/>
          <w:color w:val="auto"/>
          <w:kern w:val="2"/>
          <w:sz w:val="21"/>
          <w:szCs w:val="21"/>
          <w:highlight w:val="none"/>
          <w:lang w:val="en-US" w:eastAsia="zh-CN" w:bidi="ar-SA"/>
        </w:rPr>
        <w:t>大于或等于</w:t>
      </w:r>
      <w:r>
        <w:rPr>
          <w:rFonts w:hint="eastAsia" w:ascii="宋体" w:hAnsi="宋体" w:eastAsia="宋体" w:cs="宋体"/>
          <w:bCs/>
          <w:color w:val="auto"/>
          <w:kern w:val="2"/>
          <w:sz w:val="21"/>
          <w:szCs w:val="21"/>
          <w:highlight w:val="none"/>
          <w:lang w:val="en-US" w:eastAsia="zh-CN" w:bidi="ar-SA"/>
        </w:rPr>
        <w:t>20%</w:t>
      </w:r>
      <w:r>
        <w:rPr>
          <w:rFonts w:hint="eastAsia" w:hAnsi="宋体" w:cs="宋体"/>
          <w:bCs/>
          <w:color w:val="auto"/>
          <w:kern w:val="2"/>
          <w:sz w:val="21"/>
          <w:szCs w:val="21"/>
          <w:highlight w:val="none"/>
          <w:lang w:val="en-US" w:eastAsia="zh-CN" w:bidi="ar-SA"/>
        </w:rPr>
        <w:t>（若出现投标下浮率数值不一致的情况，则以投标下浮率最大的数值对投标报价进行修正）</w:t>
      </w:r>
      <w:r>
        <w:rPr>
          <w:rFonts w:hint="eastAsia" w:ascii="宋体" w:hAnsi="宋体" w:eastAsia="宋体" w:cs="宋体"/>
          <w:bCs/>
          <w:color w:val="auto"/>
          <w:kern w:val="2"/>
          <w:sz w:val="21"/>
          <w:szCs w:val="21"/>
          <w:highlight w:val="none"/>
          <w:lang w:val="en-US" w:eastAsia="zh-CN" w:bidi="ar-SA"/>
        </w:rPr>
        <w:t>，小数点后保留二位小数，第三位小数四舍五入。</w:t>
      </w:r>
    </w:p>
    <w:p>
      <w:pPr>
        <w:pStyle w:val="9"/>
        <w:spacing w:line="360" w:lineRule="auto"/>
        <w:ind w:firstLine="210" w:firstLineChars="100"/>
        <w:rPr>
          <w:rFonts w:hAnsi="宋体" w:cs="宋体"/>
          <w:bCs/>
          <w:color w:val="auto"/>
          <w:highlight w:val="none"/>
        </w:rPr>
      </w:pPr>
      <w:r>
        <w:rPr>
          <w:rFonts w:hAnsi="宋体" w:cs="宋体"/>
          <w:bCs/>
          <w:color w:val="auto"/>
          <w:highlight w:val="none"/>
        </w:rPr>
        <w:t>（</w:t>
      </w:r>
      <w:r>
        <w:rPr>
          <w:rFonts w:hint="eastAsia" w:hAnsi="宋体" w:cs="宋体"/>
          <w:bCs/>
          <w:color w:val="auto"/>
          <w:highlight w:val="none"/>
          <w:lang w:val="en-US" w:eastAsia="zh-CN"/>
        </w:rPr>
        <w:t>2</w:t>
      </w:r>
      <w:r>
        <w:rPr>
          <w:rFonts w:hAnsi="宋体" w:cs="宋体"/>
          <w:bCs/>
          <w:color w:val="auto"/>
          <w:highlight w:val="none"/>
        </w:rPr>
        <w:t>）投标报价的大写金额和小写金额不一致的，以大写金额为准，投标报价精确到小数点后两位。</w:t>
      </w:r>
    </w:p>
    <w:p>
      <w:pPr>
        <w:pStyle w:val="9"/>
        <w:spacing w:beforeLines="0" w:afterLines="0" w:line="360" w:lineRule="auto"/>
        <w:ind w:firstLine="210" w:firstLineChars="100"/>
        <w:rPr>
          <w:rFonts w:hint="eastAsia" w:ascii="宋体" w:hAnsi="宋体" w:eastAsia="宋体" w:cs="宋体"/>
          <w:bCs/>
          <w:color w:val="auto"/>
          <w:kern w:val="2"/>
          <w:sz w:val="21"/>
          <w:szCs w:val="21"/>
          <w:highlight w:val="none"/>
          <w:lang w:val="en-US" w:eastAsia="zh-CN" w:bidi="ar-SA"/>
        </w:rPr>
      </w:pPr>
    </w:p>
    <w:p>
      <w:pPr>
        <w:jc w:val="left"/>
        <w:rPr>
          <w:rFonts w:hint="eastAsia"/>
          <w:b/>
          <w:color w:val="auto"/>
          <w:sz w:val="24"/>
          <w:highlight w:val="none"/>
        </w:rPr>
      </w:pPr>
      <w:r>
        <w:rPr>
          <w:rFonts w:hint="eastAsia"/>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9"/>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w:t>
      </w:r>
      <w:r>
        <w:rPr>
          <w:rFonts w:hint="eastAsia" w:ascii="仿宋" w:hAnsi="仿宋" w:eastAsia="仿宋" w:cs="仿宋"/>
          <w:color w:val="auto"/>
          <w:sz w:val="28"/>
          <w:szCs w:val="28"/>
          <w:highlight w:val="none"/>
          <w:lang w:eastAsia="zh-CN"/>
        </w:rPr>
        <w:t>服务</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360" w:lineRule="auto"/>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9"/>
        <w:widowControl/>
        <w:spacing w:line="360" w:lineRule="auto"/>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9"/>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9"/>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360" w:lineRule="auto"/>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360" w:lineRule="auto"/>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360" w:lineRule="auto"/>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w:t>
      </w:r>
      <w:r>
        <w:rPr>
          <w:rFonts w:hint="eastAsia" w:ascii="仿宋" w:hAnsi="仿宋" w:eastAsia="仿宋" w:cs="仿宋"/>
          <w:color w:val="auto"/>
          <w:sz w:val="28"/>
          <w:szCs w:val="28"/>
          <w:highlight w:val="none"/>
          <w:u w:val="none"/>
        </w:rPr>
        <w:t>若出现得分相同的单位，按报价低者排前的原则，若报价亦一致的，由评标</w:t>
      </w:r>
      <w:r>
        <w:rPr>
          <w:rFonts w:hint="eastAsia" w:ascii="仿宋" w:hAnsi="仿宋" w:eastAsia="仿宋" w:cs="仿宋"/>
          <w:color w:val="auto"/>
          <w:sz w:val="28"/>
          <w:szCs w:val="28"/>
          <w:highlight w:val="none"/>
          <w:u w:val="none"/>
          <w:lang w:eastAsia="zh-CN"/>
        </w:rPr>
        <w:t>小组</w:t>
      </w:r>
      <w:r>
        <w:rPr>
          <w:rFonts w:hint="eastAsia" w:ascii="仿宋" w:hAnsi="仿宋" w:eastAsia="仿宋" w:cs="仿宋"/>
          <w:color w:val="auto"/>
          <w:sz w:val="28"/>
          <w:szCs w:val="28"/>
          <w:highlight w:val="none"/>
          <w:u w:val="none"/>
        </w:rPr>
        <w:t>采用记名投票方式，确定其排序</w:t>
      </w:r>
      <w:r>
        <w:rPr>
          <w:rFonts w:hint="eastAsia" w:ascii="仿宋" w:hAnsi="仿宋" w:eastAsia="仿宋" w:cs="仿宋"/>
          <w:color w:val="auto"/>
          <w:sz w:val="28"/>
          <w:szCs w:val="28"/>
          <w:highlight w:val="none"/>
        </w:rPr>
        <w:t>。</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snapToGrid/>
        <w:spacing w:line="240" w:lineRule="auto"/>
        <w:ind w:firstLine="0" w:firstLineChars="0"/>
        <w:jc w:val="left"/>
        <w:rPr>
          <w:rFonts w:hint="eastAsia"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1"/>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1"/>
        <w:widowControl/>
        <w:ind w:firstLine="562"/>
        <w:rPr>
          <w:rFonts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1"/>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w:t>
            </w:r>
            <w:r>
              <w:rPr>
                <w:rFonts w:hint="eastAsia" w:ascii="仿宋" w:hAnsi="仿宋" w:eastAsia="仿宋" w:cs="仿宋"/>
                <w:color w:val="auto"/>
                <w:szCs w:val="21"/>
                <w:highlight w:val="none"/>
                <w:lang w:val="en-US" w:eastAsia="zh-CN"/>
              </w:rPr>
              <w:t>格</w:t>
            </w:r>
            <w:r>
              <w:rPr>
                <w:rFonts w:hint="eastAsia" w:ascii="仿宋" w:hAnsi="仿宋" w:eastAsia="仿宋" w:cs="仿宋"/>
                <w:color w:val="auto"/>
                <w:szCs w:val="21"/>
                <w:highlight w:val="none"/>
              </w:rPr>
              <w:t>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项目负责人资</w:t>
            </w:r>
            <w:r>
              <w:rPr>
                <w:rFonts w:hint="eastAsia" w:ascii="仿宋" w:hAnsi="仿宋" w:eastAsia="仿宋" w:cs="仿宋"/>
                <w:color w:val="auto"/>
                <w:szCs w:val="21"/>
                <w:highlight w:val="none"/>
                <w:lang w:val="en-US" w:eastAsia="zh-CN"/>
              </w:rPr>
              <w:t>格</w:t>
            </w:r>
            <w:r>
              <w:rPr>
                <w:rFonts w:hint="eastAsia" w:ascii="仿宋" w:hAnsi="仿宋" w:eastAsia="仿宋" w:cs="仿宋"/>
                <w:color w:val="auto"/>
                <w:szCs w:val="21"/>
                <w:highlight w:val="none"/>
              </w:rPr>
              <w:t>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2147483648" w:afterLines="-2147483648" w:line="240" w:lineRule="auto"/>
              <w:ind w:left="0" w:right="105" w:rightChars="50"/>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szCs w:val="21"/>
                <w:highlight w:val="none"/>
              </w:rPr>
            </w:pPr>
            <w:r>
              <w:rPr>
                <w:rFonts w:hint="eastAsia" w:ascii="仿宋" w:hAnsi="仿宋" w:eastAsia="仿宋" w:cs="仿宋"/>
                <w:color w:val="auto"/>
                <w:kern w:val="2"/>
                <w:sz w:val="21"/>
                <w:szCs w:val="21"/>
                <w:highlight w:val="none"/>
                <w:lang w:val="en-US" w:eastAsia="zh-CN" w:bidi="ar-SA"/>
              </w:rPr>
              <w:t>投标总报价及分项报价不超过对应的招标控制价及限价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2147483648" w:afterLines="-2147483648" w:line="240" w:lineRule="auto"/>
              <w:ind w:left="0" w:right="105" w:rightChars="50"/>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投标保证金提交符合要求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4"/>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797" w:type="dxa"/>
            <w:shd w:val="clear" w:color="auto" w:fill="auto"/>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240"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pStyle w:val="6"/>
              <w:spacing w:line="240" w:lineRule="auto"/>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4</w:t>
            </w:r>
            <w:r>
              <w:rPr>
                <w:rFonts w:hint="eastAsia" w:ascii="宋体" w:hAnsi="宋体" w:eastAsia="宋体" w:cs="宋体"/>
                <w:b w:val="0"/>
                <w:bCs/>
                <w:color w:val="auto"/>
                <w:szCs w:val="21"/>
                <w:highlight w:val="none"/>
                <w:lang w:val="en-US" w:eastAsia="zh-CN"/>
              </w:rPr>
              <w:t>0分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p>
            <w:pPr>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i w:val="0"/>
                <w:iCs w:val="0"/>
                <w:color w:val="auto"/>
                <w:kern w:val="0"/>
                <w:sz w:val="21"/>
                <w:szCs w:val="21"/>
                <w:highlight w:val="none"/>
                <w:u w:val="none"/>
                <w:lang w:val="en-US" w:eastAsia="zh-CN" w:bidi="ar"/>
              </w:rPr>
              <w:t>招标代理业绩</w:t>
            </w:r>
          </w:p>
        </w:tc>
        <w:tc>
          <w:tcPr>
            <w:tcW w:w="709" w:type="dxa"/>
            <w:shd w:val="clear" w:color="auto" w:fill="auto"/>
            <w:vAlign w:val="center"/>
          </w:tcPr>
          <w:p>
            <w:pPr>
              <w:spacing w:line="240" w:lineRule="auto"/>
              <w:ind w:left="-2" w:leftChars="-1"/>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w:t>
            </w:r>
          </w:p>
        </w:tc>
        <w:tc>
          <w:tcPr>
            <w:tcW w:w="9797" w:type="dxa"/>
            <w:shd w:val="clear" w:color="auto" w:fill="auto"/>
            <w:vAlign w:val="center"/>
          </w:tcPr>
          <w:p>
            <w:pPr>
              <w:pStyle w:val="9"/>
              <w:rPr>
                <w:rFonts w:hint="eastAsia" w:ascii="宋体" w:hAnsi="宋体" w:eastAsia="宋体" w:cs="宋体"/>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投标人自2018年1月1日至今独立完成过总投资额12000万元或以上的房建项目招标代理业绩，每提供1个得2分，最多得</w:t>
            </w:r>
            <w:r>
              <w:rPr>
                <w:rFonts w:hint="eastAsia" w:hAnsi="宋体" w:cs="宋体"/>
                <w:i w:val="0"/>
                <w:iCs w:val="0"/>
                <w:color w:val="auto"/>
                <w:kern w:val="0"/>
                <w:sz w:val="21"/>
                <w:szCs w:val="21"/>
                <w:highlight w:val="none"/>
                <w:u w:val="none"/>
                <w:lang w:val="en-US" w:eastAsia="zh-CN" w:bidi="ar"/>
              </w:rPr>
              <w:t>8</w:t>
            </w:r>
            <w:r>
              <w:rPr>
                <w:rFonts w:hint="eastAsia" w:ascii="宋体" w:hAnsi="宋体" w:eastAsia="宋体" w:cs="宋体"/>
                <w:i w:val="0"/>
                <w:iCs w:val="0"/>
                <w:color w:val="auto"/>
                <w:kern w:val="0"/>
                <w:sz w:val="21"/>
                <w:szCs w:val="21"/>
                <w:highlight w:val="none"/>
                <w:u w:val="none"/>
                <w:lang w:val="en-US" w:eastAsia="zh-CN" w:bidi="ar"/>
              </w:rPr>
              <w:t>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注：招标代理业绩须是独立完成的公开招标代理业绩，需提供所完成招标代理项目的中标通知书、招标代理合同，否则不予计算。招标代理项目的中标通知书以各地有形建筑市场（包括公共资源交易中心或公共资源交易中心各分部）确认的中标通知书为准，完成时间以中标通知书为准。</w:t>
            </w:r>
          </w:p>
        </w:tc>
        <w:tc>
          <w:tcPr>
            <w:tcW w:w="240" w:type="dxa"/>
            <w:shd w:val="clear" w:color="auto" w:fill="auto"/>
            <w:vAlign w:val="center"/>
          </w:tcPr>
          <w:p>
            <w:pPr>
              <w:spacing w:line="240" w:lineRule="auto"/>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纳税信用</w:t>
            </w:r>
          </w:p>
        </w:tc>
        <w:tc>
          <w:tcPr>
            <w:tcW w:w="70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w:t>
            </w:r>
          </w:p>
        </w:tc>
        <w:tc>
          <w:tcPr>
            <w:tcW w:w="9797" w:type="dxa"/>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color w:val="auto"/>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投标人被评为“纳税信用A级纳税人”称号的次数：每获得1次得2分，最多得6分，没有的不得分。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注：A级纳税人以国家税务总局或下属各省（市）级税务部门颁发的“纳税信用A级”证书，或以国家税务总局或下属各省（市）级税务部门网站的查询结果为准，纳税人登记只计算投标人自身（不计算投标人的分公司和子公司）。投标人须提供证书扫描件或在上述网站的查询结果网页打印页（截图）（不符合条件或无提交上述证明文件的不计分）。时间以税务部门网站公布的获奖年度（评价年度）或证书评价年度为准。</w:t>
            </w:r>
          </w:p>
        </w:tc>
        <w:tc>
          <w:tcPr>
            <w:tcW w:w="240" w:type="dxa"/>
            <w:shd w:val="clear" w:color="auto" w:fill="auto"/>
            <w:vAlign w:val="center"/>
          </w:tcPr>
          <w:p>
            <w:pPr>
              <w:spacing w:line="240" w:lineRule="auto"/>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体系认证</w:t>
            </w:r>
          </w:p>
        </w:tc>
        <w:tc>
          <w:tcPr>
            <w:tcW w:w="70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9797" w:type="dxa"/>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color w:val="auto"/>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投标人具备有效期内的质量管理体系认证、环境管理体系认证、职业健康安全管理体系认证，每有1项得1分，最多得3分，没有的不得分。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注：须同时提供①有效的认证证书扫描件，②网站公布的链接信息资料截图或打印页（以国家市场监督管理总局网站http://cx.cnca.cn/CertECloud/result/skipResultList公布为准），如公开信息中无法查询或与公开信息不一致的，投标人必须提供发证机构出具的证明函，否则不得分。</w:t>
            </w:r>
          </w:p>
        </w:tc>
        <w:tc>
          <w:tcPr>
            <w:tcW w:w="240" w:type="dxa"/>
            <w:shd w:val="clear" w:color="auto" w:fill="auto"/>
            <w:vAlign w:val="center"/>
          </w:tcPr>
          <w:p>
            <w:pPr>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企业诚信排名</w:t>
            </w:r>
          </w:p>
        </w:tc>
        <w:tc>
          <w:tcPr>
            <w:tcW w:w="70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9797" w:type="dxa"/>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投标人在广州市工程招标行业协会网站公布的招标代理企业60日诚信分从高到低进行排名。招标代理排名第1-5名得8分；第6-10名得5分；第11-15名得3分；第16-20名得1分；第21名及以后的不得分。</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备注：以投标文件递交截止日期当日的60日诚信排名为准。</w:t>
            </w:r>
          </w:p>
        </w:tc>
        <w:tc>
          <w:tcPr>
            <w:tcW w:w="240" w:type="dxa"/>
            <w:shd w:val="clear" w:color="auto" w:fill="auto"/>
            <w:vAlign w:val="center"/>
          </w:tcPr>
          <w:p>
            <w:pPr>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服务便利性</w:t>
            </w:r>
          </w:p>
        </w:tc>
        <w:tc>
          <w:tcPr>
            <w:tcW w:w="70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9797" w:type="dxa"/>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投标人承诺15分钟内（含15分钟）能提供服务响应，得3分；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投标人承诺30分钟内（含30分钟）能提供服务响应，得2分；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投标人承诺30分钟以上能提供服务响应，得1分；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注：需提供承诺函及相关能证明响应能力的佐证材料，格式自拟。</w:t>
            </w:r>
          </w:p>
        </w:tc>
        <w:tc>
          <w:tcPr>
            <w:tcW w:w="240" w:type="dxa"/>
            <w:shd w:val="clear" w:color="auto" w:fill="auto"/>
            <w:vAlign w:val="center"/>
          </w:tcPr>
          <w:p>
            <w:pPr>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项目负责人</w:t>
            </w:r>
          </w:p>
        </w:tc>
        <w:tc>
          <w:tcPr>
            <w:tcW w:w="70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6</w:t>
            </w:r>
          </w:p>
        </w:tc>
        <w:tc>
          <w:tcPr>
            <w:tcW w:w="9797" w:type="dxa"/>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1、具备高级工程师或以上职称的，得2分；</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szCs w:val="21"/>
                <w:highlight w:val="none"/>
              </w:rPr>
              <w:t>具有</w:t>
            </w:r>
            <w:r>
              <w:rPr>
                <w:rFonts w:hint="eastAsia" w:ascii="宋体" w:hAnsi="宋体"/>
                <w:szCs w:val="21"/>
                <w:highlight w:val="none"/>
                <w:lang w:eastAsia="zh-CN"/>
              </w:rPr>
              <w:t>高</w:t>
            </w:r>
            <w:r>
              <w:rPr>
                <w:rFonts w:hint="eastAsia" w:ascii="宋体" w:hAnsi="宋体"/>
                <w:szCs w:val="21"/>
                <w:highlight w:val="none"/>
              </w:rPr>
              <w:t>级招采人员专业技术能力评价证书</w:t>
            </w:r>
            <w:r>
              <w:rPr>
                <w:rFonts w:hint="eastAsia" w:ascii="宋体" w:hAnsi="宋体"/>
                <w:szCs w:val="21"/>
                <w:highlight w:val="none"/>
                <w:lang w:eastAsia="zh-CN"/>
              </w:rPr>
              <w:t>的，</w:t>
            </w:r>
            <w:r>
              <w:rPr>
                <w:rFonts w:hint="eastAsia" w:ascii="宋体" w:hAnsi="宋体"/>
                <w:szCs w:val="21"/>
                <w:highlight w:val="none"/>
              </w:rPr>
              <w:t>得</w:t>
            </w:r>
            <w:r>
              <w:rPr>
                <w:rFonts w:hint="eastAsia" w:ascii="宋体" w:hAnsi="宋体"/>
                <w:szCs w:val="21"/>
                <w:highlight w:val="none"/>
                <w:lang w:val="en-US" w:eastAsia="zh-CN"/>
              </w:rPr>
              <w:t>4</w:t>
            </w:r>
            <w:r>
              <w:rPr>
                <w:rFonts w:hint="eastAsia" w:ascii="宋体" w:hAnsi="宋体"/>
                <w:szCs w:val="21"/>
                <w:highlight w:val="none"/>
              </w:rPr>
              <w:t>分</w:t>
            </w:r>
            <w:r>
              <w:rPr>
                <w:rFonts w:hint="eastAsia" w:ascii="宋体" w:hAnsi="宋体"/>
                <w:szCs w:val="21"/>
                <w:highlight w:val="none"/>
                <w:lang w:eastAsia="zh-CN"/>
              </w:rPr>
              <w:t>；</w:t>
            </w:r>
            <w:r>
              <w:rPr>
                <w:rFonts w:hint="eastAsia" w:ascii="宋体" w:hAnsi="宋体"/>
                <w:szCs w:val="21"/>
                <w:highlight w:val="none"/>
              </w:rPr>
              <w:t>具有</w:t>
            </w:r>
            <w:r>
              <w:rPr>
                <w:rFonts w:hint="eastAsia" w:ascii="宋体" w:hAnsi="宋体"/>
                <w:szCs w:val="21"/>
                <w:highlight w:val="none"/>
                <w:lang w:eastAsia="zh-CN"/>
              </w:rPr>
              <w:t>中</w:t>
            </w:r>
            <w:r>
              <w:rPr>
                <w:rFonts w:hint="eastAsia" w:ascii="宋体" w:hAnsi="宋体"/>
                <w:szCs w:val="21"/>
                <w:highlight w:val="none"/>
              </w:rPr>
              <w:t>级招采人员专业技术能力评价证书</w:t>
            </w:r>
            <w:r>
              <w:rPr>
                <w:rFonts w:hint="eastAsia" w:ascii="宋体" w:hAnsi="宋体"/>
                <w:szCs w:val="21"/>
                <w:highlight w:val="none"/>
                <w:lang w:eastAsia="zh-CN"/>
              </w:rPr>
              <w:t>的，</w:t>
            </w:r>
            <w:r>
              <w:rPr>
                <w:rFonts w:hint="eastAsia" w:ascii="宋体" w:hAnsi="宋体"/>
                <w:szCs w:val="21"/>
                <w:highlight w:val="none"/>
              </w:rPr>
              <w:t>得</w:t>
            </w:r>
            <w:r>
              <w:rPr>
                <w:rFonts w:hint="eastAsia" w:ascii="宋体" w:hAnsi="宋体"/>
                <w:szCs w:val="21"/>
                <w:highlight w:val="none"/>
                <w:lang w:val="en-US" w:eastAsia="zh-CN"/>
              </w:rPr>
              <w:t>2</w:t>
            </w:r>
            <w:r>
              <w:rPr>
                <w:rFonts w:hint="eastAsia" w:ascii="宋体" w:hAnsi="宋体"/>
                <w:szCs w:val="21"/>
                <w:highlight w:val="none"/>
              </w:rPr>
              <w:t>分</w:t>
            </w:r>
            <w:r>
              <w:rPr>
                <w:rFonts w:hint="eastAsia" w:ascii="宋体" w:hAnsi="宋体"/>
                <w:szCs w:val="21"/>
                <w:highlight w:val="none"/>
                <w:lang w:eastAsia="zh-CN"/>
              </w:rPr>
              <w:t>（</w:t>
            </w:r>
            <w:r>
              <w:rPr>
                <w:rFonts w:hint="eastAsia" w:ascii="宋体" w:hAnsi="宋体"/>
                <w:szCs w:val="21"/>
                <w:highlight w:val="none"/>
              </w:rPr>
              <w:t>须提供国家级协会颁发的证书，否则不予计分</w:t>
            </w:r>
            <w:r>
              <w:rPr>
                <w:rFonts w:hint="eastAsia" w:ascii="宋体" w:hAnsi="宋体"/>
                <w:szCs w:val="21"/>
                <w:highlight w:val="none"/>
                <w:lang w:eastAsia="zh-CN"/>
              </w:rPr>
              <w:t>，本小项最多得</w:t>
            </w:r>
            <w:r>
              <w:rPr>
                <w:rFonts w:hint="eastAsia" w:ascii="宋体" w:hAnsi="宋体"/>
                <w:szCs w:val="21"/>
                <w:highlight w:val="none"/>
                <w:lang w:val="en-US" w:eastAsia="zh-CN"/>
              </w:rPr>
              <w:t>4分</w:t>
            </w:r>
            <w:r>
              <w:rPr>
                <w:rFonts w:hint="eastAsia" w:ascii="宋体" w:hAnsi="宋体"/>
                <w:szCs w:val="21"/>
                <w:highlight w:val="none"/>
                <w:lang w:eastAsia="zh-CN"/>
              </w:rPr>
              <w:t>）</w:t>
            </w:r>
          </w:p>
          <w:p>
            <w:pPr>
              <w:keepNext w:val="0"/>
              <w:keepLines w:val="0"/>
              <w:widowControl/>
              <w:suppressLineNumbers w:val="0"/>
              <w:spacing w:line="240" w:lineRule="auto"/>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其他不得分。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注：需提供证书扫描件、身份证、投标截止时间近3个月中的任意1个月在本单位交纳的社保证明文件。</w:t>
            </w:r>
          </w:p>
        </w:tc>
        <w:tc>
          <w:tcPr>
            <w:tcW w:w="240" w:type="dxa"/>
            <w:shd w:val="clear" w:color="auto" w:fill="auto"/>
            <w:vAlign w:val="center"/>
          </w:tcPr>
          <w:p>
            <w:pPr>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项目人员</w:t>
            </w:r>
          </w:p>
        </w:tc>
        <w:tc>
          <w:tcPr>
            <w:tcW w:w="70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6</w:t>
            </w:r>
          </w:p>
        </w:tc>
        <w:tc>
          <w:tcPr>
            <w:tcW w:w="9797" w:type="dxa"/>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拟投入的项目人员中具有工程类中级或以上职称的，每配备1名得1分，最多得6分；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注：需提供证书扫描件、身份证、投标截止时间近3个月中的任意1个月在本单位交纳的社保证明文件。</w:t>
            </w:r>
          </w:p>
        </w:tc>
        <w:tc>
          <w:tcPr>
            <w:tcW w:w="240" w:type="dxa"/>
            <w:shd w:val="clear" w:color="auto" w:fill="auto"/>
            <w:vAlign w:val="center"/>
          </w:tcPr>
          <w:p>
            <w:pPr>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pStyle w:val="6"/>
              <w:spacing w:line="240" w:lineRule="auto"/>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0分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招标代理实施方案</w:t>
            </w:r>
          </w:p>
        </w:tc>
        <w:tc>
          <w:tcPr>
            <w:tcW w:w="70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30</w:t>
            </w:r>
          </w:p>
        </w:tc>
        <w:tc>
          <w:tcPr>
            <w:tcW w:w="9797" w:type="dxa"/>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1、优：招标代理实施方案能根据建设项目的服务需求做出深入分析，思路清晰，实施步骤明晰，措施完善、可行，人员和设备配置齐全，对实施过程有规范的管理，得（20-30】分；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2、良：实施方案基本可行，完善性、针对性等相对较好得（10-20】分；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3、中：有实施方案，但方案欠完善性、针对性不强，得（1-10】分；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4、差：未提供方案，得0分。</w:t>
            </w:r>
          </w:p>
        </w:tc>
        <w:tc>
          <w:tcPr>
            <w:tcW w:w="240" w:type="dxa"/>
            <w:shd w:val="clear" w:color="auto" w:fill="auto"/>
            <w:vAlign w:val="center"/>
          </w:tcPr>
          <w:p>
            <w:pPr>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lang w:eastAsia="zh-CN"/>
              </w:rPr>
              <w:t>）</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p>
          <w:p>
            <w:pPr>
              <w:snapToGrid w:val="0"/>
              <w:ind w:left="-2" w:leftChars="-1"/>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lang w:eastAsia="zh-CN"/>
              </w:rPr>
              <w:t>）</w:t>
            </w:r>
          </w:p>
        </w:tc>
        <w:tc>
          <w:tcPr>
            <w:tcW w:w="709" w:type="dxa"/>
            <w:shd w:val="clear" w:color="auto" w:fill="auto"/>
            <w:vAlign w:val="center"/>
          </w:tcPr>
          <w:p>
            <w:pPr>
              <w:spacing w:line="240" w:lineRule="auto"/>
              <w:ind w:left="-2" w:leftChars="-1"/>
              <w:jc w:val="center"/>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30</w:t>
            </w:r>
          </w:p>
        </w:tc>
        <w:tc>
          <w:tcPr>
            <w:tcW w:w="9797" w:type="dxa"/>
            <w:shd w:val="clear" w:color="auto" w:fill="auto"/>
          </w:tcPr>
          <w:p>
            <w:pPr>
              <w:jc w:val="left"/>
              <w:rPr>
                <w:rFonts w:hint="eastAsia" w:ascii="宋体" w:hAnsi="宋体" w:eastAsia="宋体" w:cs="宋体"/>
                <w:color w:val="auto"/>
                <w:szCs w:val="21"/>
                <w:highlight w:val="none"/>
              </w:rPr>
            </w:pPr>
          </w:p>
          <w:p>
            <w:pPr>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若经过符合性审查，（</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3至5家的，则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单位的有效</w:t>
            </w:r>
            <w:r>
              <w:rPr>
                <w:rFonts w:hint="eastAsia" w:ascii="宋体" w:hAnsi="宋体" w:eastAsia="宋体" w:cs="宋体"/>
                <w:color w:val="auto"/>
                <w:szCs w:val="21"/>
                <w:highlight w:val="none"/>
                <w:lang w:eastAsia="zh-CN"/>
              </w:rPr>
              <w:t>总</w:t>
            </w:r>
            <w:r>
              <w:rPr>
                <w:rFonts w:hint="eastAsia" w:ascii="宋体" w:hAnsi="宋体" w:eastAsia="宋体" w:cs="宋体"/>
                <w:color w:val="auto"/>
                <w:szCs w:val="21"/>
                <w:highlight w:val="none"/>
              </w:rPr>
              <w:t>报价的</w:t>
            </w:r>
            <w:r>
              <w:rPr>
                <w:rFonts w:hint="eastAsia" w:ascii="宋体" w:hAnsi="宋体" w:eastAsia="宋体" w:cs="宋体"/>
                <w:color w:val="auto"/>
                <w:szCs w:val="21"/>
                <w:highlight w:val="none"/>
                <w:lang w:eastAsia="zh-CN"/>
              </w:rPr>
              <w:t>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6家或以上的，则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报价最低的</w:t>
            </w:r>
            <w:r>
              <w:rPr>
                <w:rFonts w:hint="eastAsia" w:ascii="宋体" w:hAnsi="宋体" w:eastAsia="宋体" w:cs="宋体"/>
                <w:color w:val="auto"/>
                <w:szCs w:val="21"/>
                <w:highlight w:val="none"/>
                <w:lang w:val="en-US" w:eastAsia="zh-CN"/>
              </w:rPr>
              <w:t>5家</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w:t>
            </w:r>
            <w:r>
              <w:rPr>
                <w:rFonts w:hint="eastAsia" w:ascii="宋体" w:hAnsi="宋体" w:eastAsia="宋体" w:cs="宋体"/>
                <w:color w:val="auto"/>
                <w:szCs w:val="21"/>
                <w:highlight w:val="none"/>
                <w:lang w:eastAsia="zh-CN"/>
              </w:rPr>
              <w:t>有效报价的算术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p>
          <w:p>
            <w:pPr>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pStyle w:val="9"/>
              <w:numPr>
                <w:ilvl w:val="0"/>
                <w:numId w:val="5"/>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报价等于基准价的，得分=</w:t>
            </w:r>
            <w:r>
              <w:rPr>
                <w:rFonts w:hint="eastAsia" w:hAnsi="宋体" w:cs="宋体"/>
                <w:color w:val="auto"/>
                <w:highlight w:val="none"/>
                <w:lang w:val="en-US" w:eastAsia="zh-CN"/>
              </w:rPr>
              <w:t>3</w:t>
            </w:r>
            <w:r>
              <w:rPr>
                <w:rFonts w:hint="eastAsia" w:ascii="宋体" w:hAnsi="宋体" w:eastAsia="宋体" w:cs="宋体"/>
                <w:color w:val="auto"/>
                <w:highlight w:val="none"/>
                <w:lang w:val="en-US" w:eastAsia="zh-CN"/>
              </w:rPr>
              <w:t>0。</w:t>
            </w:r>
          </w:p>
          <w:p>
            <w:pPr>
              <w:pStyle w:val="9"/>
              <w:numPr>
                <w:ilvl w:val="0"/>
                <w:numId w:val="5"/>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报价高于基准价的，得分=</w:t>
            </w:r>
            <w:r>
              <w:rPr>
                <w:rFonts w:hint="eastAsia" w:hAnsi="宋体" w:cs="宋体"/>
                <w:color w:val="auto"/>
                <w:highlight w:val="none"/>
                <w:lang w:val="en-US" w:eastAsia="zh-CN"/>
              </w:rPr>
              <w:t>3</w:t>
            </w:r>
            <w:r>
              <w:rPr>
                <w:rFonts w:hint="eastAsia" w:ascii="宋体" w:hAnsi="宋体" w:eastAsia="宋体" w:cs="宋体"/>
                <w:color w:val="auto"/>
                <w:highlight w:val="none"/>
                <w:lang w:val="en-US" w:eastAsia="zh-CN"/>
              </w:rPr>
              <w:t>0-[（报价-基准价）/基准价]×100×1</w:t>
            </w:r>
          </w:p>
          <w:p>
            <w:pPr>
              <w:pStyle w:val="9"/>
              <w:numPr>
                <w:ilvl w:val="0"/>
                <w:numId w:val="5"/>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报价低于基准价的，得分=</w:t>
            </w:r>
            <w:r>
              <w:rPr>
                <w:rFonts w:hint="eastAsia" w:hAnsi="宋体" w:cs="宋体"/>
                <w:color w:val="auto"/>
                <w:highlight w:val="none"/>
                <w:lang w:val="en-US" w:eastAsia="zh-CN"/>
              </w:rPr>
              <w:t>3</w:t>
            </w:r>
            <w:r>
              <w:rPr>
                <w:rFonts w:hint="eastAsia" w:ascii="宋体" w:hAnsi="宋体" w:eastAsia="宋体" w:cs="宋体"/>
                <w:color w:val="auto"/>
                <w:highlight w:val="none"/>
                <w:lang w:val="en-US" w:eastAsia="zh-CN"/>
              </w:rPr>
              <w:t>0-[（基准价-报价）/基准价]×100×0.5</w:t>
            </w:r>
          </w:p>
        </w:tc>
        <w:tc>
          <w:tcPr>
            <w:tcW w:w="240" w:type="dxa"/>
            <w:shd w:val="clear" w:color="auto" w:fill="auto"/>
            <w:vAlign w:val="center"/>
          </w:tcPr>
          <w:p>
            <w:pPr>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shd w:val="clear" w:color="auto" w:fill="auto"/>
            <w:vAlign w:val="center"/>
          </w:tcPr>
          <w:p>
            <w:pPr>
              <w:spacing w:line="240" w:lineRule="auto"/>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797" w:type="dxa"/>
            <w:shd w:val="clear" w:color="auto" w:fill="auto"/>
            <w:vAlign w:val="center"/>
          </w:tcPr>
          <w:p>
            <w:pPr>
              <w:spacing w:line="240" w:lineRule="auto"/>
              <w:ind w:left="-2" w:leftChars="-1"/>
              <w:rPr>
                <w:rFonts w:hint="eastAsia" w:ascii="宋体" w:hAnsi="宋体" w:eastAsia="宋体" w:cs="宋体"/>
                <w:color w:val="auto"/>
                <w:sz w:val="21"/>
                <w:szCs w:val="21"/>
                <w:highlight w:val="none"/>
              </w:rPr>
            </w:pPr>
          </w:p>
        </w:tc>
        <w:tc>
          <w:tcPr>
            <w:tcW w:w="240" w:type="dxa"/>
            <w:shd w:val="clear" w:color="auto" w:fill="auto"/>
            <w:vAlign w:val="center"/>
          </w:tcPr>
          <w:p>
            <w:pPr>
              <w:spacing w:line="240" w:lineRule="auto"/>
              <w:ind w:left="-2" w:leftChars="-1"/>
              <w:rPr>
                <w:rFonts w:hint="eastAsia" w:ascii="宋体" w:hAnsi="宋体" w:eastAsia="宋体" w:cs="宋体"/>
                <w:color w:val="auto"/>
                <w:sz w:val="21"/>
                <w:szCs w:val="21"/>
                <w:highlight w:val="none"/>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napToGrid w:val="0"/>
        <w:ind w:firstLine="420" w:firstLineChars="200"/>
        <w:rPr>
          <w:rFonts w:hint="eastAsia" w:ascii="宋体" w:hAnsi="宋体" w:cs="宋体"/>
          <w:color w:val="auto"/>
          <w:szCs w:val="18"/>
          <w:highlight w:val="none"/>
          <w:lang w:eastAsia="zh-CN"/>
        </w:rPr>
      </w:pP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p>
      <w:pPr>
        <w:pStyle w:val="20"/>
        <w:ind w:firstLine="0" w:firstLineChars="0"/>
        <w:rPr>
          <w:rFonts w:hint="eastAsia" w:ascii="宋体" w:hAnsi="宋体" w:eastAsia="宋体" w:cs="宋体"/>
          <w:color w:val="auto"/>
          <w:szCs w:val="21"/>
          <w:highlight w:val="none"/>
          <w:lang w:val="en-US" w:eastAsia="zh-CN"/>
        </w:rPr>
        <w:sectPr>
          <w:pgSz w:w="15840" w:h="12240" w:orient="landscape"/>
          <w:pgMar w:top="1797" w:right="1440" w:bottom="1797" w:left="1440" w:header="720" w:footer="720" w:gutter="0"/>
          <w:cols w:space="425" w:num="1"/>
          <w:docGrid w:linePitch="312" w:charSpace="0"/>
        </w:sectPr>
      </w:pPr>
      <w:r>
        <w:rPr>
          <w:rFonts w:hint="eastAsia" w:ascii="宋体" w:hAnsi="宋体" w:cs="宋体"/>
          <w:color w:val="auto"/>
          <w:szCs w:val="21"/>
          <w:highlight w:val="none"/>
          <w:lang w:val="en-US" w:eastAsia="zh-CN"/>
        </w:rPr>
        <w:t xml:space="preserve">    </w:t>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5"/>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广州南沙经发建筑有限公司</w:t>
      </w:r>
      <w:r>
        <w:rPr>
          <w:rFonts w:hint="eastAsia" w:ascii="宋体" w:hAnsi="宋体" w:eastAsia="宋体"/>
          <w:color w:val="auto"/>
          <w:sz w:val="24"/>
          <w:szCs w:val="24"/>
          <w:highlight w:val="none"/>
          <w:u w:val="single"/>
        </w:rPr>
        <w:t xml:space="preserve"> </w:t>
      </w:r>
    </w:p>
    <w:p>
      <w:pPr>
        <w:pStyle w:val="35"/>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pacing w:val="20"/>
          <w:sz w:val="24"/>
          <w:szCs w:val="24"/>
          <w:highlight w:val="none"/>
          <w:u w:val="single"/>
          <w:lang w:eastAsia="zh-CN"/>
        </w:rPr>
        <w:t>南沙金岭北路项目招标代理</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5"/>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6"/>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5"/>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5"/>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9"/>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15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32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F9153F42"/>
    <w:multiLevelType w:val="singleLevel"/>
    <w:tmpl w:val="F9153F42"/>
    <w:lvl w:ilvl="0" w:tentative="0">
      <w:start w:val="1"/>
      <w:numFmt w:val="decimal"/>
      <w:suff w:val="nothing"/>
      <w:lvlText w:val="%1、"/>
      <w:lvlJc w:val="left"/>
    </w:lvl>
  </w:abstractNum>
  <w:abstractNum w:abstractNumId="3">
    <w:nsid w:val="71BD1A65"/>
    <w:multiLevelType w:val="singleLevel"/>
    <w:tmpl w:val="71BD1A65"/>
    <w:lvl w:ilvl="0" w:tentative="0">
      <w:start w:val="1"/>
      <w:numFmt w:val="chineseCounting"/>
      <w:suff w:val="nothing"/>
      <w:lvlText w:val="%1、"/>
      <w:lvlJc w:val="left"/>
      <w:rPr>
        <w:rFonts w:hint="eastAsia"/>
      </w:rPr>
    </w:lvl>
  </w:abstractNum>
  <w:abstractNum w:abstractNumId="4">
    <w:nsid w:val="7A7B36A8"/>
    <w:multiLevelType w:val="singleLevel"/>
    <w:tmpl w:val="7A7B36A8"/>
    <w:lvl w:ilvl="0" w:tentative="0">
      <w:start w:val="33"/>
      <w:numFmt w:val="decimal"/>
      <w:suff w:val="nothing"/>
      <w:lvlText w:val="%1．"/>
      <w:lvlJc w:val="left"/>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2JjMjg4NjNjMGQ5OWQxMjU2NzFkNWEwMzQxMDU5MzI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3E14A1"/>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48052C"/>
    <w:rsid w:val="025A13E2"/>
    <w:rsid w:val="0284231A"/>
    <w:rsid w:val="02E9680F"/>
    <w:rsid w:val="02F7533D"/>
    <w:rsid w:val="030457ED"/>
    <w:rsid w:val="03562994"/>
    <w:rsid w:val="03CB6D70"/>
    <w:rsid w:val="04364A4F"/>
    <w:rsid w:val="04376975"/>
    <w:rsid w:val="044C08C6"/>
    <w:rsid w:val="04E40895"/>
    <w:rsid w:val="051B7598"/>
    <w:rsid w:val="052E78DA"/>
    <w:rsid w:val="059A4101"/>
    <w:rsid w:val="0769363A"/>
    <w:rsid w:val="07F66A4C"/>
    <w:rsid w:val="083B43B1"/>
    <w:rsid w:val="08757A2C"/>
    <w:rsid w:val="08A64347"/>
    <w:rsid w:val="08A9464F"/>
    <w:rsid w:val="08D505E6"/>
    <w:rsid w:val="09062DA7"/>
    <w:rsid w:val="09577D3C"/>
    <w:rsid w:val="09A667E8"/>
    <w:rsid w:val="0A31358E"/>
    <w:rsid w:val="0A621C44"/>
    <w:rsid w:val="0AD6020A"/>
    <w:rsid w:val="0B372B92"/>
    <w:rsid w:val="0BFF40FB"/>
    <w:rsid w:val="0C3C0E50"/>
    <w:rsid w:val="0C855B7E"/>
    <w:rsid w:val="0C87037B"/>
    <w:rsid w:val="0CF74903"/>
    <w:rsid w:val="0E1B10A8"/>
    <w:rsid w:val="0E80564C"/>
    <w:rsid w:val="0EA03B8A"/>
    <w:rsid w:val="0EAC0C18"/>
    <w:rsid w:val="0EB25F9A"/>
    <w:rsid w:val="0F263AB3"/>
    <w:rsid w:val="0F8D0176"/>
    <w:rsid w:val="0FD73768"/>
    <w:rsid w:val="10A4638E"/>
    <w:rsid w:val="10D83B3D"/>
    <w:rsid w:val="11135DC8"/>
    <w:rsid w:val="11A808AB"/>
    <w:rsid w:val="11D31BC3"/>
    <w:rsid w:val="11F528ED"/>
    <w:rsid w:val="12E86716"/>
    <w:rsid w:val="130F5872"/>
    <w:rsid w:val="134A310C"/>
    <w:rsid w:val="13E640E2"/>
    <w:rsid w:val="13E744B7"/>
    <w:rsid w:val="14082F52"/>
    <w:rsid w:val="14085DAD"/>
    <w:rsid w:val="14233C6D"/>
    <w:rsid w:val="14452035"/>
    <w:rsid w:val="1448567A"/>
    <w:rsid w:val="14582F59"/>
    <w:rsid w:val="145B3800"/>
    <w:rsid w:val="15B036FB"/>
    <w:rsid w:val="16007AF5"/>
    <w:rsid w:val="16F94C2D"/>
    <w:rsid w:val="17463991"/>
    <w:rsid w:val="179E3273"/>
    <w:rsid w:val="17E977C8"/>
    <w:rsid w:val="1873680D"/>
    <w:rsid w:val="18E67433"/>
    <w:rsid w:val="18F12637"/>
    <w:rsid w:val="19095239"/>
    <w:rsid w:val="19A846E9"/>
    <w:rsid w:val="19BE3F0C"/>
    <w:rsid w:val="1A6525DA"/>
    <w:rsid w:val="1A6E6489"/>
    <w:rsid w:val="1AB46DAB"/>
    <w:rsid w:val="1B6C2995"/>
    <w:rsid w:val="1BB630ED"/>
    <w:rsid w:val="1BC44893"/>
    <w:rsid w:val="1BE136FF"/>
    <w:rsid w:val="1C05708F"/>
    <w:rsid w:val="1C307374"/>
    <w:rsid w:val="1C9203A6"/>
    <w:rsid w:val="1E032835"/>
    <w:rsid w:val="1E562810"/>
    <w:rsid w:val="1EBD45C4"/>
    <w:rsid w:val="1F1C5732"/>
    <w:rsid w:val="1F584BD1"/>
    <w:rsid w:val="1FB54E4F"/>
    <w:rsid w:val="205D447F"/>
    <w:rsid w:val="206E043A"/>
    <w:rsid w:val="20AD4C4C"/>
    <w:rsid w:val="20D8387F"/>
    <w:rsid w:val="21424D60"/>
    <w:rsid w:val="215321ED"/>
    <w:rsid w:val="224A02E7"/>
    <w:rsid w:val="227411DF"/>
    <w:rsid w:val="234B0F30"/>
    <w:rsid w:val="23EE6B47"/>
    <w:rsid w:val="24856237"/>
    <w:rsid w:val="25053D8A"/>
    <w:rsid w:val="25687B33"/>
    <w:rsid w:val="25791876"/>
    <w:rsid w:val="26236584"/>
    <w:rsid w:val="26826F29"/>
    <w:rsid w:val="26B94C66"/>
    <w:rsid w:val="26FF6942"/>
    <w:rsid w:val="272101A5"/>
    <w:rsid w:val="272B74FA"/>
    <w:rsid w:val="2751149E"/>
    <w:rsid w:val="2837076A"/>
    <w:rsid w:val="285C501C"/>
    <w:rsid w:val="2865301D"/>
    <w:rsid w:val="288F0378"/>
    <w:rsid w:val="28C86C87"/>
    <w:rsid w:val="29051210"/>
    <w:rsid w:val="296119D7"/>
    <w:rsid w:val="2A97100B"/>
    <w:rsid w:val="2B130F12"/>
    <w:rsid w:val="2B401296"/>
    <w:rsid w:val="2BAE6875"/>
    <w:rsid w:val="2BEC17AE"/>
    <w:rsid w:val="2C0B6D4E"/>
    <w:rsid w:val="2C1B0D4A"/>
    <w:rsid w:val="2C5357E2"/>
    <w:rsid w:val="2D0635AD"/>
    <w:rsid w:val="2D691CC1"/>
    <w:rsid w:val="2D907150"/>
    <w:rsid w:val="2DDB1EBF"/>
    <w:rsid w:val="2DE71DA9"/>
    <w:rsid w:val="2DF963B5"/>
    <w:rsid w:val="2E6C5CB5"/>
    <w:rsid w:val="2EC40C57"/>
    <w:rsid w:val="2EE433BF"/>
    <w:rsid w:val="2F184319"/>
    <w:rsid w:val="2F9B6BBA"/>
    <w:rsid w:val="2FB32CDC"/>
    <w:rsid w:val="2FEA73B1"/>
    <w:rsid w:val="30136E93"/>
    <w:rsid w:val="30334755"/>
    <w:rsid w:val="30EC6390"/>
    <w:rsid w:val="310E58AF"/>
    <w:rsid w:val="311233CC"/>
    <w:rsid w:val="31B57180"/>
    <w:rsid w:val="33113670"/>
    <w:rsid w:val="34935BA4"/>
    <w:rsid w:val="34A264CA"/>
    <w:rsid w:val="35830B03"/>
    <w:rsid w:val="3700775A"/>
    <w:rsid w:val="37A26BD4"/>
    <w:rsid w:val="37AE7FE3"/>
    <w:rsid w:val="38417D8A"/>
    <w:rsid w:val="390B4D39"/>
    <w:rsid w:val="39690996"/>
    <w:rsid w:val="39731517"/>
    <w:rsid w:val="39F52602"/>
    <w:rsid w:val="39FC703A"/>
    <w:rsid w:val="3A9A304E"/>
    <w:rsid w:val="3AC802EF"/>
    <w:rsid w:val="3B183024"/>
    <w:rsid w:val="3B6D4312"/>
    <w:rsid w:val="3BB718A6"/>
    <w:rsid w:val="3BC04127"/>
    <w:rsid w:val="3C88543E"/>
    <w:rsid w:val="3CB7521C"/>
    <w:rsid w:val="3CE76215"/>
    <w:rsid w:val="3CFF0303"/>
    <w:rsid w:val="3D7619F9"/>
    <w:rsid w:val="3D957982"/>
    <w:rsid w:val="3D96007A"/>
    <w:rsid w:val="3F4915A0"/>
    <w:rsid w:val="3F5F332B"/>
    <w:rsid w:val="3F641BC2"/>
    <w:rsid w:val="3F8502F8"/>
    <w:rsid w:val="3FBE56FE"/>
    <w:rsid w:val="3FD704B2"/>
    <w:rsid w:val="401634DE"/>
    <w:rsid w:val="403B7AF1"/>
    <w:rsid w:val="405854B3"/>
    <w:rsid w:val="408D1DBF"/>
    <w:rsid w:val="409313F9"/>
    <w:rsid w:val="40B7508E"/>
    <w:rsid w:val="40CA2819"/>
    <w:rsid w:val="41EC3A6C"/>
    <w:rsid w:val="42A2655E"/>
    <w:rsid w:val="42D16917"/>
    <w:rsid w:val="43420D2F"/>
    <w:rsid w:val="436C5E0D"/>
    <w:rsid w:val="43F36E83"/>
    <w:rsid w:val="44631084"/>
    <w:rsid w:val="446A549B"/>
    <w:rsid w:val="44800368"/>
    <w:rsid w:val="44D85C7F"/>
    <w:rsid w:val="44E811C0"/>
    <w:rsid w:val="45E74C1B"/>
    <w:rsid w:val="46871AD6"/>
    <w:rsid w:val="47025D0E"/>
    <w:rsid w:val="4735560E"/>
    <w:rsid w:val="47413F22"/>
    <w:rsid w:val="474F5344"/>
    <w:rsid w:val="4792678F"/>
    <w:rsid w:val="47E03B89"/>
    <w:rsid w:val="481D5A38"/>
    <w:rsid w:val="487975A7"/>
    <w:rsid w:val="48E17BF2"/>
    <w:rsid w:val="48E72086"/>
    <w:rsid w:val="49732ED5"/>
    <w:rsid w:val="499C01CA"/>
    <w:rsid w:val="49EF5898"/>
    <w:rsid w:val="4A1079FD"/>
    <w:rsid w:val="4A1D620C"/>
    <w:rsid w:val="4A572534"/>
    <w:rsid w:val="4AED722D"/>
    <w:rsid w:val="4B3D40BA"/>
    <w:rsid w:val="4BC136D0"/>
    <w:rsid w:val="4BF328A0"/>
    <w:rsid w:val="4C2E17B4"/>
    <w:rsid w:val="4C81677F"/>
    <w:rsid w:val="4D195C1E"/>
    <w:rsid w:val="4D904DD7"/>
    <w:rsid w:val="4D9C287D"/>
    <w:rsid w:val="4DC04FA6"/>
    <w:rsid w:val="4DC53F66"/>
    <w:rsid w:val="4E2A0E48"/>
    <w:rsid w:val="4FC91A1A"/>
    <w:rsid w:val="5049448C"/>
    <w:rsid w:val="50DB6247"/>
    <w:rsid w:val="51531E87"/>
    <w:rsid w:val="51552F81"/>
    <w:rsid w:val="51AB2104"/>
    <w:rsid w:val="522E4DA3"/>
    <w:rsid w:val="525A7F6F"/>
    <w:rsid w:val="52760C06"/>
    <w:rsid w:val="530E35F9"/>
    <w:rsid w:val="53226B3F"/>
    <w:rsid w:val="53427976"/>
    <w:rsid w:val="535B036B"/>
    <w:rsid w:val="537E1A3B"/>
    <w:rsid w:val="53A07C03"/>
    <w:rsid w:val="53A63423"/>
    <w:rsid w:val="53B638D1"/>
    <w:rsid w:val="54386D63"/>
    <w:rsid w:val="54A36172"/>
    <w:rsid w:val="54BC0EE8"/>
    <w:rsid w:val="55D41C4B"/>
    <w:rsid w:val="5702252D"/>
    <w:rsid w:val="572444C0"/>
    <w:rsid w:val="576D49E8"/>
    <w:rsid w:val="57B957CF"/>
    <w:rsid w:val="594E2C0E"/>
    <w:rsid w:val="594F1692"/>
    <w:rsid w:val="59566C52"/>
    <w:rsid w:val="597674DD"/>
    <w:rsid w:val="5A416E84"/>
    <w:rsid w:val="5AAF5CCA"/>
    <w:rsid w:val="5B6E68B8"/>
    <w:rsid w:val="5B6F6839"/>
    <w:rsid w:val="5B8D6C19"/>
    <w:rsid w:val="5BAA698D"/>
    <w:rsid w:val="5BC57A14"/>
    <w:rsid w:val="5BCE61FA"/>
    <w:rsid w:val="5C9B134E"/>
    <w:rsid w:val="5D5E6B65"/>
    <w:rsid w:val="5DAA1580"/>
    <w:rsid w:val="5DF14932"/>
    <w:rsid w:val="5DFF04E8"/>
    <w:rsid w:val="5E1A6FB5"/>
    <w:rsid w:val="5E7A3CE2"/>
    <w:rsid w:val="5E88357B"/>
    <w:rsid w:val="5E960581"/>
    <w:rsid w:val="5EF7330D"/>
    <w:rsid w:val="5F355496"/>
    <w:rsid w:val="5F8349F8"/>
    <w:rsid w:val="5F865CD7"/>
    <w:rsid w:val="5F925D77"/>
    <w:rsid w:val="5FDC4484"/>
    <w:rsid w:val="60BA0556"/>
    <w:rsid w:val="60F61E20"/>
    <w:rsid w:val="61A7533B"/>
    <w:rsid w:val="61EC57BA"/>
    <w:rsid w:val="621244D5"/>
    <w:rsid w:val="62B2296D"/>
    <w:rsid w:val="62B247EF"/>
    <w:rsid w:val="636147EE"/>
    <w:rsid w:val="63DB6B9E"/>
    <w:rsid w:val="644A7E43"/>
    <w:rsid w:val="65B441A4"/>
    <w:rsid w:val="65D8147F"/>
    <w:rsid w:val="66373494"/>
    <w:rsid w:val="66591B82"/>
    <w:rsid w:val="68550B65"/>
    <w:rsid w:val="6898637C"/>
    <w:rsid w:val="68B16D7B"/>
    <w:rsid w:val="68BA7003"/>
    <w:rsid w:val="691C25EA"/>
    <w:rsid w:val="698555C7"/>
    <w:rsid w:val="6C281E78"/>
    <w:rsid w:val="6C307E68"/>
    <w:rsid w:val="6C920572"/>
    <w:rsid w:val="6DB227E4"/>
    <w:rsid w:val="6DBE1759"/>
    <w:rsid w:val="6DC31ECB"/>
    <w:rsid w:val="6E307289"/>
    <w:rsid w:val="6E656845"/>
    <w:rsid w:val="6F471F5D"/>
    <w:rsid w:val="6F891280"/>
    <w:rsid w:val="6F8E74DB"/>
    <w:rsid w:val="6FE80510"/>
    <w:rsid w:val="70727FF1"/>
    <w:rsid w:val="70836CF8"/>
    <w:rsid w:val="70CF07C8"/>
    <w:rsid w:val="710F157A"/>
    <w:rsid w:val="71840FD7"/>
    <w:rsid w:val="718C3480"/>
    <w:rsid w:val="721D56A4"/>
    <w:rsid w:val="72BF7C4E"/>
    <w:rsid w:val="72F3401B"/>
    <w:rsid w:val="731416B4"/>
    <w:rsid w:val="73712518"/>
    <w:rsid w:val="738A0204"/>
    <w:rsid w:val="738E7AB2"/>
    <w:rsid w:val="73EF0074"/>
    <w:rsid w:val="74393A30"/>
    <w:rsid w:val="74624F7D"/>
    <w:rsid w:val="74B72A06"/>
    <w:rsid w:val="7546516B"/>
    <w:rsid w:val="75AF555B"/>
    <w:rsid w:val="7623487F"/>
    <w:rsid w:val="763204BA"/>
    <w:rsid w:val="767D2F83"/>
    <w:rsid w:val="76F3488A"/>
    <w:rsid w:val="77281C38"/>
    <w:rsid w:val="7741229E"/>
    <w:rsid w:val="781828A1"/>
    <w:rsid w:val="781C3DC0"/>
    <w:rsid w:val="78780B98"/>
    <w:rsid w:val="788E06C1"/>
    <w:rsid w:val="78D76423"/>
    <w:rsid w:val="78D86E43"/>
    <w:rsid w:val="79566D81"/>
    <w:rsid w:val="79B10E72"/>
    <w:rsid w:val="79E02BD8"/>
    <w:rsid w:val="7A2B55F9"/>
    <w:rsid w:val="7A3458D0"/>
    <w:rsid w:val="7A4B048B"/>
    <w:rsid w:val="7A596E9F"/>
    <w:rsid w:val="7A7C35B8"/>
    <w:rsid w:val="7A96669D"/>
    <w:rsid w:val="7AC70013"/>
    <w:rsid w:val="7B672810"/>
    <w:rsid w:val="7B681B66"/>
    <w:rsid w:val="7C1032C9"/>
    <w:rsid w:val="7C561F60"/>
    <w:rsid w:val="7C6B2EC5"/>
    <w:rsid w:val="7C831CEC"/>
    <w:rsid w:val="7DAD523A"/>
    <w:rsid w:val="7DDF7DDD"/>
    <w:rsid w:val="7E300909"/>
    <w:rsid w:val="7EC62C4C"/>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5">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33"/>
    <w:qFormat/>
    <w:uiPriority w:val="0"/>
    <w:pPr>
      <w:spacing w:beforeAutospacing="1" w:after="120"/>
      <w:ind w:firstLine="420"/>
    </w:pPr>
    <w:rPr>
      <w:rFonts w:ascii="Times New Roman" w:hAnsi="Times New Roman" w:eastAsia="宋体" w:cs="Times New Roman"/>
      <w:szCs w:val="21"/>
    </w:rPr>
  </w:style>
  <w:style w:type="paragraph" w:styleId="3">
    <w:name w:val="Body Text"/>
    <w:basedOn w:val="1"/>
    <w:next w:val="1"/>
    <w:qFormat/>
    <w:uiPriority w:val="0"/>
  </w:style>
  <w:style w:type="paragraph" w:styleId="6">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7">
    <w:name w:val="Normal Indent"/>
    <w:basedOn w:val="1"/>
    <w:qFormat/>
    <w:uiPriority w:val="0"/>
    <w:pPr>
      <w:ind w:firstLine="420"/>
    </w:pPr>
    <w:rPr>
      <w:rFonts w:ascii="Times New Roman" w:hAnsi="Times New Roman" w:eastAsia="宋体" w:cs="Times New Roman"/>
      <w:szCs w:val="20"/>
    </w:rPr>
  </w:style>
  <w:style w:type="paragraph" w:styleId="8">
    <w:name w:val="annotation text"/>
    <w:basedOn w:val="1"/>
    <w:semiHidden/>
    <w:unhideWhenUsed/>
    <w:qFormat/>
    <w:uiPriority w:val="0"/>
    <w:pPr>
      <w:jc w:val="left"/>
    </w:pPr>
  </w:style>
  <w:style w:type="paragraph" w:styleId="9">
    <w:name w:val="Plain Text"/>
    <w:basedOn w:val="1"/>
    <w:next w:val="1"/>
    <w:link w:val="32"/>
    <w:qFormat/>
    <w:uiPriority w:val="0"/>
    <w:rPr>
      <w:rFonts w:hint="eastAsia" w:ascii="宋体" w:hAnsi="Courier New" w:eastAsia="宋体" w:cs="Times New Roman"/>
      <w:szCs w:val="21"/>
    </w:rPr>
  </w:style>
  <w:style w:type="paragraph" w:styleId="10">
    <w:name w:val="Balloon Text"/>
    <w:basedOn w:val="1"/>
    <w:link w:val="30"/>
    <w:qFormat/>
    <w:uiPriority w:val="0"/>
    <w:rPr>
      <w:sz w:val="18"/>
      <w:szCs w:val="18"/>
    </w:rPr>
  </w:style>
  <w:style w:type="paragraph" w:styleId="11">
    <w:name w:val="footer"/>
    <w:basedOn w:val="1"/>
    <w:link w:val="29"/>
    <w:qFormat/>
    <w:uiPriority w:val="0"/>
    <w:pPr>
      <w:tabs>
        <w:tab w:val="center" w:pos="4153"/>
        <w:tab w:val="right" w:pos="8306"/>
      </w:tabs>
      <w:snapToGrid w:val="0"/>
      <w:jc w:val="left"/>
    </w:pPr>
    <w:rPr>
      <w:sz w:val="18"/>
      <w:szCs w:val="18"/>
    </w:rPr>
  </w:style>
  <w:style w:type="paragraph" w:styleId="12">
    <w:name w:val="header"/>
    <w:basedOn w:val="1"/>
    <w:link w:val="28"/>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paragraph" w:customStyle="1" w:styleId="19">
    <w:name w:val="样式 小四 行距: 1.5 倍行距"/>
    <w:basedOn w:val="1"/>
    <w:qFormat/>
    <w:uiPriority w:val="0"/>
    <w:pPr>
      <w:ind w:firstLine="480"/>
    </w:pPr>
    <w:rPr>
      <w:rFonts w:cs="宋体"/>
    </w:rPr>
  </w:style>
  <w:style w:type="paragraph" w:customStyle="1" w:styleId="20">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1">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2">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3">
    <w:name w:val="列出段落1"/>
    <w:basedOn w:val="1"/>
    <w:qFormat/>
    <w:uiPriority w:val="0"/>
    <w:pPr>
      <w:ind w:firstLine="420" w:firstLineChars="200"/>
    </w:pPr>
    <w:rPr>
      <w:rFonts w:ascii="Calibri" w:hAnsi="Calibri" w:eastAsia="宋体" w:cs="Times New Roman"/>
      <w:szCs w:val="21"/>
    </w:rPr>
  </w:style>
  <w:style w:type="paragraph" w:customStyle="1" w:styleId="24">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5">
    <w:name w:val="10"/>
    <w:basedOn w:val="15"/>
    <w:qFormat/>
    <w:uiPriority w:val="0"/>
    <w:rPr>
      <w:rFonts w:hint="default" w:ascii="Times New Roman" w:hAnsi="Times New Roman" w:cs="Times New Roman"/>
    </w:rPr>
  </w:style>
  <w:style w:type="character" w:customStyle="1" w:styleId="26">
    <w:name w:val="15"/>
    <w:basedOn w:val="15"/>
    <w:qFormat/>
    <w:uiPriority w:val="0"/>
    <w:rPr>
      <w:rFonts w:hint="default" w:ascii="Times New Roman" w:hAnsi="Times New Roman" w:cs="Times New Roman"/>
    </w:rPr>
  </w:style>
  <w:style w:type="character" w:customStyle="1" w:styleId="27">
    <w:name w:val="16"/>
    <w:basedOn w:val="15"/>
    <w:qFormat/>
    <w:uiPriority w:val="0"/>
    <w:rPr>
      <w:rFonts w:hint="default" w:ascii="Times New Roman" w:hAnsi="Times New Roman" w:cs="Times New Roman"/>
      <w:color w:val="0000FF"/>
      <w:u w:val="single"/>
    </w:rPr>
  </w:style>
  <w:style w:type="character" w:customStyle="1" w:styleId="28">
    <w:name w:val="页眉 Char"/>
    <w:basedOn w:val="15"/>
    <w:link w:val="12"/>
    <w:qFormat/>
    <w:uiPriority w:val="0"/>
    <w:rPr>
      <w:rFonts w:asciiTheme="minorHAnsi" w:hAnsiTheme="minorHAnsi" w:eastAsiaTheme="minorEastAsia" w:cstheme="minorBidi"/>
      <w:kern w:val="2"/>
      <w:sz w:val="18"/>
      <w:szCs w:val="18"/>
    </w:rPr>
  </w:style>
  <w:style w:type="character" w:customStyle="1" w:styleId="29">
    <w:name w:val="页脚 Char"/>
    <w:basedOn w:val="15"/>
    <w:link w:val="11"/>
    <w:qFormat/>
    <w:uiPriority w:val="0"/>
    <w:rPr>
      <w:rFonts w:asciiTheme="minorHAnsi" w:hAnsiTheme="minorHAnsi" w:eastAsiaTheme="minorEastAsia" w:cstheme="minorBidi"/>
      <w:kern w:val="2"/>
      <w:sz w:val="18"/>
      <w:szCs w:val="18"/>
    </w:rPr>
  </w:style>
  <w:style w:type="character" w:customStyle="1" w:styleId="30">
    <w:name w:val="批注框文本 Char"/>
    <w:basedOn w:val="15"/>
    <w:link w:val="10"/>
    <w:qFormat/>
    <w:uiPriority w:val="0"/>
    <w:rPr>
      <w:rFonts w:asciiTheme="minorHAnsi" w:hAnsiTheme="minorHAnsi" w:eastAsiaTheme="minorEastAsia" w:cstheme="minorBidi"/>
      <w:kern w:val="2"/>
      <w:sz w:val="18"/>
      <w:szCs w:val="18"/>
    </w:rPr>
  </w:style>
  <w:style w:type="paragraph" w:customStyle="1" w:styleId="31">
    <w:name w:val="WPSOffice手动目录 1"/>
    <w:qFormat/>
    <w:uiPriority w:val="0"/>
    <w:rPr>
      <w:rFonts w:ascii="Times New Roman" w:hAnsi="Times New Roman" w:eastAsia="宋体" w:cs="Times New Roman"/>
      <w:lang w:val="en-US" w:eastAsia="zh-CN" w:bidi="ar-SA"/>
    </w:rPr>
  </w:style>
  <w:style w:type="character" w:customStyle="1" w:styleId="32">
    <w:name w:val="纯文本 Char"/>
    <w:link w:val="9"/>
    <w:qFormat/>
    <w:uiPriority w:val="0"/>
    <w:rPr>
      <w:rFonts w:ascii="宋体" w:hAnsi="Courier New"/>
      <w:kern w:val="2"/>
      <w:sz w:val="21"/>
      <w:szCs w:val="21"/>
    </w:rPr>
  </w:style>
  <w:style w:type="character" w:customStyle="1" w:styleId="33">
    <w:name w:val="正文首行缩进 Char"/>
    <w:basedOn w:val="15"/>
    <w:link w:val="2"/>
    <w:qFormat/>
    <w:uiPriority w:val="0"/>
    <w:rPr>
      <w:kern w:val="2"/>
      <w:sz w:val="21"/>
      <w:szCs w:val="21"/>
    </w:rPr>
  </w:style>
  <w:style w:type="paragraph" w:styleId="34">
    <w:name w:val="List Paragraph"/>
    <w:basedOn w:val="1"/>
    <w:unhideWhenUsed/>
    <w:qFormat/>
    <w:uiPriority w:val="99"/>
    <w:pPr>
      <w:ind w:firstLine="420" w:firstLineChars="200"/>
    </w:pPr>
  </w:style>
  <w:style w:type="paragraph" w:customStyle="1" w:styleId="35">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6">
    <w:name w:val="发文落款"/>
    <w:basedOn w:val="35"/>
    <w:qFormat/>
    <w:uiPriority w:val="0"/>
    <w:pPr>
      <w:ind w:left="4094" w:right="607" w:firstLine="0"/>
      <w:jc w:val="center"/>
    </w:pPr>
  </w:style>
  <w:style w:type="character" w:customStyle="1" w:styleId="37">
    <w:name w:val="c Char1"/>
    <w:link w:val="38"/>
    <w:qFormat/>
    <w:uiPriority w:val="0"/>
    <w:rPr>
      <w:rFonts w:eastAsia="仿宋_GB2312" w:cs="宋体"/>
      <w:sz w:val="28"/>
    </w:rPr>
  </w:style>
  <w:style w:type="paragraph" w:customStyle="1" w:styleId="38">
    <w:name w:val="c"/>
    <w:basedOn w:val="1"/>
    <w:link w:val="37"/>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15626</Words>
  <Characters>16584</Characters>
  <Lines>131</Lines>
  <Paragraphs>37</Paragraphs>
  <TotalTime>4</TotalTime>
  <ScaleCrop>false</ScaleCrop>
  <LinksUpToDate>false</LinksUpToDate>
  <CharactersWithSpaces>17764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2023-05-16T06:52:03Z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6F8842E353744852BDC4E3C1A0BD38D3</vt:lpwstr>
  </property>
</Properties>
</file>