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仿宋" w:hAnsi="仿宋" w:eastAsia="仿宋"/>
          <w:highlight w:val="none"/>
        </w:rPr>
      </w:pPr>
    </w:p>
    <w:p>
      <w:pPr>
        <w:jc w:val="center"/>
        <w:rPr>
          <w:rFonts w:hint="eastAsia" w:ascii="方正小标宋简体" w:eastAsia="方正小标宋简体"/>
          <w:b w:val="0"/>
          <w:bCs w:val="0"/>
          <w:sz w:val="44"/>
          <w:szCs w:val="44"/>
          <w:highlight w:val="none"/>
          <w:lang w:eastAsia="zh-CN"/>
        </w:rPr>
      </w:pPr>
      <w:r>
        <w:rPr>
          <w:rFonts w:hint="eastAsia" w:ascii="方正小标宋简体" w:eastAsia="方正小标宋简体"/>
          <w:b w:val="0"/>
          <w:bCs w:val="0"/>
          <w:sz w:val="44"/>
          <w:szCs w:val="44"/>
          <w:highlight w:val="none"/>
          <w:lang w:eastAsia="zh-CN"/>
        </w:rPr>
        <w:t>广州</w:t>
      </w:r>
      <w:r>
        <w:rPr>
          <w:rFonts w:hint="eastAsia" w:ascii="方正小标宋简体" w:eastAsia="方正小标宋简体"/>
          <w:b w:val="0"/>
          <w:bCs w:val="0"/>
          <w:sz w:val="44"/>
          <w:szCs w:val="44"/>
          <w:highlight w:val="none"/>
          <w:lang w:val="en-US" w:eastAsia="zh-CN"/>
        </w:rPr>
        <w:t>南沙旅游</w:t>
      </w:r>
      <w:r>
        <w:rPr>
          <w:rFonts w:hint="eastAsia" w:ascii="方正小标宋简体" w:eastAsia="方正小标宋简体"/>
          <w:b w:val="0"/>
          <w:bCs w:val="0"/>
          <w:sz w:val="44"/>
          <w:szCs w:val="44"/>
          <w:highlight w:val="none"/>
          <w:lang w:eastAsia="zh-CN"/>
        </w:rPr>
        <w:t>发展有限公司</w:t>
      </w:r>
    </w:p>
    <w:p>
      <w:pPr>
        <w:jc w:val="center"/>
        <w:rPr>
          <w:rFonts w:hint="eastAsia" w:ascii="方正小标宋简体" w:eastAsia="方正小标宋简体"/>
          <w:b/>
          <w:bCs/>
          <w:sz w:val="44"/>
          <w:szCs w:val="44"/>
          <w:highlight w:val="none"/>
          <w:lang w:eastAsia="zh-CN"/>
        </w:rPr>
      </w:pPr>
    </w:p>
    <w:p>
      <w:pPr>
        <w:jc w:val="center"/>
        <w:rPr>
          <w:rFonts w:hint="eastAsia" w:ascii="方正小标宋简体" w:eastAsia="方正小标宋简体"/>
          <w:b/>
          <w:bCs/>
          <w:sz w:val="44"/>
          <w:szCs w:val="44"/>
          <w:highlight w:val="none"/>
          <w:lang w:eastAsia="zh-CN"/>
        </w:rPr>
      </w:pPr>
    </w:p>
    <w:p>
      <w:pPr>
        <w:jc w:val="center"/>
        <w:rPr>
          <w:rFonts w:hint="eastAsia" w:ascii="方正小标宋简体" w:eastAsia="方正小标宋简体"/>
          <w:b/>
          <w:bCs/>
          <w:sz w:val="36"/>
          <w:szCs w:val="36"/>
          <w:highlight w:val="none"/>
          <w:lang w:eastAsia="zh-CN"/>
        </w:rPr>
      </w:pPr>
    </w:p>
    <w:p>
      <w:pPr>
        <w:jc w:val="center"/>
        <w:rPr>
          <w:rFonts w:hint="eastAsia" w:ascii="方正小标宋简体" w:hAnsi="Times New Roman" w:eastAsia="方正小标宋简体" w:cs="Times New Roman"/>
          <w:b w:val="0"/>
          <w:bCs w:val="0"/>
          <w:kern w:val="0"/>
          <w:sz w:val="36"/>
          <w:szCs w:val="36"/>
          <w:highlight w:val="none"/>
          <w:lang w:val="en-US" w:eastAsia="zh-CN"/>
        </w:rPr>
      </w:pPr>
      <w:r>
        <w:rPr>
          <w:rFonts w:hint="eastAsia" w:ascii="方正小标宋简体" w:eastAsia="方正小标宋简体"/>
          <w:b w:val="0"/>
          <w:bCs w:val="0"/>
          <w:sz w:val="36"/>
          <w:szCs w:val="36"/>
          <w:highlight w:val="none"/>
          <w:lang w:val="en-US" w:eastAsia="zh-CN"/>
        </w:rPr>
        <w:t>旅游公司</w:t>
      </w:r>
      <w:r>
        <w:rPr>
          <w:rFonts w:hint="eastAsia" w:ascii="方正小标宋简体" w:eastAsia="方正小标宋简体"/>
          <w:b w:val="0"/>
          <w:bCs w:val="0"/>
          <w:sz w:val="36"/>
          <w:szCs w:val="36"/>
          <w:highlight w:val="none"/>
        </w:rPr>
        <w:t>食材配送服务</w:t>
      </w:r>
      <w:r>
        <w:rPr>
          <w:rFonts w:hint="eastAsia" w:ascii="方正小标宋简体" w:hAnsi="Times New Roman" w:eastAsia="方正小标宋简体" w:cs="Times New Roman"/>
          <w:b w:val="0"/>
          <w:bCs w:val="0"/>
          <w:kern w:val="0"/>
          <w:sz w:val="36"/>
          <w:szCs w:val="36"/>
          <w:highlight w:val="none"/>
          <w:lang w:eastAsia="zh-CN"/>
        </w:rPr>
        <w:t>（粮油面类/米面豆制品类/酱料干货类）</w:t>
      </w:r>
      <w:r>
        <w:rPr>
          <w:rFonts w:hint="eastAsia" w:ascii="方正小标宋简体" w:hAnsi="Times New Roman" w:eastAsia="方正小标宋简体" w:cs="Times New Roman"/>
          <w:b w:val="0"/>
          <w:bCs w:val="0"/>
          <w:kern w:val="0"/>
          <w:sz w:val="36"/>
          <w:szCs w:val="36"/>
          <w:highlight w:val="none"/>
          <w:lang w:val="en-US" w:eastAsia="zh-CN"/>
        </w:rPr>
        <w:t>（第二次）</w:t>
      </w:r>
    </w:p>
    <w:p>
      <w:pPr>
        <w:tabs>
          <w:tab w:val="left" w:pos="2160"/>
        </w:tabs>
        <w:spacing w:line="300" w:lineRule="auto"/>
        <w:jc w:val="center"/>
        <w:rPr>
          <w:rFonts w:hint="eastAsia" w:ascii="宋体" w:hAnsi="宋体" w:cs="宋体"/>
          <w:bCs/>
          <w:color w:val="000000"/>
          <w:spacing w:val="120"/>
          <w:position w:val="-2"/>
          <w:sz w:val="84"/>
          <w:szCs w:val="84"/>
          <w:highlight w:val="none"/>
        </w:rPr>
      </w:pPr>
    </w:p>
    <w:p>
      <w:pPr>
        <w:spacing w:line="240" w:lineRule="auto"/>
        <w:jc w:val="center"/>
        <w:rPr>
          <w:rFonts w:hint="eastAsia" w:ascii="方正小标宋简体" w:hAnsi="Times New Roman" w:eastAsia="方正小标宋简体" w:cs="Times New Roman"/>
          <w:b w:val="0"/>
          <w:bCs w:val="0"/>
          <w:color w:val="auto"/>
          <w:spacing w:val="0"/>
          <w:sz w:val="52"/>
          <w:szCs w:val="52"/>
          <w:highlight w:val="none"/>
        </w:rPr>
      </w:pPr>
      <w:r>
        <w:rPr>
          <w:rFonts w:hint="eastAsia" w:ascii="方正小标宋简体" w:hAnsi="Times New Roman" w:eastAsia="方正小标宋简体" w:cs="Times New Roman"/>
          <w:b w:val="0"/>
          <w:bCs w:val="0"/>
          <w:color w:val="auto"/>
          <w:spacing w:val="0"/>
          <w:position w:val="0"/>
          <w:sz w:val="52"/>
          <w:szCs w:val="52"/>
          <w:highlight w:val="none"/>
        </w:rPr>
        <w:t>招标文件</w:t>
      </w:r>
    </w:p>
    <w:p>
      <w:pPr>
        <w:jc w:val="center"/>
        <w:rPr>
          <w:rFonts w:hint="eastAsia" w:ascii="方正小标宋简体" w:eastAsia="方正小标宋简体"/>
          <w:b/>
          <w:bCs/>
          <w:sz w:val="36"/>
          <w:szCs w:val="36"/>
          <w:highlight w:val="none"/>
        </w:rPr>
      </w:pPr>
    </w:p>
    <w:p>
      <w:pPr>
        <w:widowControl/>
        <w:spacing w:line="360" w:lineRule="auto"/>
        <w:jc w:val="center"/>
        <w:rPr>
          <w:rFonts w:hint="eastAsia"/>
          <w:b/>
          <w:bCs/>
          <w:sz w:val="44"/>
          <w:szCs w:val="44"/>
          <w:highlight w:val="none"/>
          <w:lang w:val="en-US"/>
        </w:rPr>
      </w:pPr>
    </w:p>
    <w:p>
      <w:pPr>
        <w:rPr>
          <w:b/>
          <w:bCs/>
          <w:sz w:val="44"/>
          <w:highlight w:val="none"/>
        </w:rPr>
      </w:pPr>
      <w:r>
        <w:rPr>
          <w:rFonts w:hint="eastAsia"/>
          <w:b/>
          <w:bCs/>
          <w:sz w:val="36"/>
          <w:highlight w:val="none"/>
        </w:rPr>
        <w:t xml:space="preserve">        </w:t>
      </w:r>
    </w:p>
    <w:p>
      <w:pPr>
        <w:rPr>
          <w:b/>
          <w:bCs/>
          <w:sz w:val="44"/>
          <w:highlight w:val="none"/>
        </w:rPr>
      </w:pPr>
    </w:p>
    <w:p>
      <w:pPr>
        <w:rPr>
          <w:b/>
          <w:bCs/>
          <w:sz w:val="44"/>
          <w:highlight w:val="none"/>
        </w:rPr>
      </w:pPr>
    </w:p>
    <w:p>
      <w:pPr>
        <w:pStyle w:val="23"/>
        <w:ind w:left="113" w:leftChars="47" w:firstLine="1455" w:firstLineChars="693"/>
        <w:rPr>
          <w:highlight w:val="none"/>
        </w:rPr>
      </w:pPr>
    </w:p>
    <w:p>
      <w:pPr>
        <w:rPr>
          <w:highlight w:val="none"/>
        </w:rPr>
      </w:pPr>
    </w:p>
    <w:p>
      <w:pPr>
        <w:ind w:firstLine="840" w:firstLineChars="300"/>
        <w:rPr>
          <w:rFonts w:ascii="宋体"/>
          <w:sz w:val="28"/>
          <w:highlight w:val="none"/>
        </w:rPr>
      </w:pPr>
      <w:r>
        <w:rPr>
          <w:rFonts w:hint="eastAsia" w:ascii="宋体"/>
          <w:sz w:val="28"/>
          <w:highlight w:val="none"/>
        </w:rPr>
        <w:t xml:space="preserve">       </w:t>
      </w:r>
    </w:p>
    <w:p>
      <w:pPr>
        <w:jc w:val="center"/>
        <w:rPr>
          <w:rFonts w:hint="eastAsia" w:ascii="宋体"/>
          <w:sz w:val="28"/>
          <w:highlight w:val="none"/>
          <w:lang w:eastAsia="zh-CN"/>
        </w:rPr>
      </w:pPr>
    </w:p>
    <w:p>
      <w:pPr>
        <w:jc w:val="center"/>
        <w:rPr>
          <w:rFonts w:hint="eastAsia" w:ascii="宋体"/>
          <w:sz w:val="28"/>
          <w:highlight w:val="none"/>
          <w:lang w:eastAsia="zh-CN"/>
        </w:rPr>
      </w:pPr>
    </w:p>
    <w:p>
      <w:pPr>
        <w:jc w:val="center"/>
        <w:rPr>
          <w:rFonts w:hint="eastAsia" w:ascii="宋体" w:eastAsia="宋体"/>
          <w:sz w:val="28"/>
          <w:highlight w:val="none"/>
          <w:lang w:eastAsia="zh-CN"/>
        </w:rPr>
      </w:pPr>
      <w:r>
        <w:rPr>
          <w:rFonts w:hint="eastAsia" w:ascii="宋体"/>
          <w:sz w:val="28"/>
          <w:highlight w:val="none"/>
          <w:lang w:eastAsia="zh-CN"/>
        </w:rPr>
        <w:t>招标</w:t>
      </w:r>
      <w:r>
        <w:rPr>
          <w:rFonts w:hint="eastAsia" w:ascii="宋体"/>
          <w:sz w:val="28"/>
          <w:highlight w:val="none"/>
        </w:rPr>
        <w:t xml:space="preserve">人： </w:t>
      </w:r>
      <w:r>
        <w:rPr>
          <w:rFonts w:hint="eastAsia" w:ascii="宋体"/>
          <w:sz w:val="28"/>
          <w:highlight w:val="none"/>
          <w:lang w:eastAsia="zh-CN"/>
        </w:rPr>
        <w:t>广州</w:t>
      </w:r>
      <w:r>
        <w:rPr>
          <w:rFonts w:hint="eastAsia" w:ascii="宋体"/>
          <w:sz w:val="28"/>
          <w:highlight w:val="none"/>
          <w:lang w:val="en-US" w:eastAsia="zh-CN"/>
        </w:rPr>
        <w:t>南沙旅游</w:t>
      </w:r>
      <w:r>
        <w:rPr>
          <w:rFonts w:hint="eastAsia" w:ascii="宋体"/>
          <w:sz w:val="28"/>
          <w:highlight w:val="none"/>
          <w:lang w:eastAsia="zh-CN"/>
        </w:rPr>
        <w:t>发展有限公司</w:t>
      </w:r>
    </w:p>
    <w:p>
      <w:pPr>
        <w:jc w:val="center"/>
        <w:rPr>
          <w:b/>
          <w:bCs/>
          <w:sz w:val="44"/>
          <w:highlight w:val="none"/>
        </w:rPr>
      </w:pPr>
      <w:r>
        <w:rPr>
          <w:rFonts w:hint="eastAsia" w:ascii="宋体"/>
          <w:sz w:val="28"/>
          <w:szCs w:val="28"/>
          <w:highlight w:val="none"/>
        </w:rPr>
        <w:t>编制时间：二○</w:t>
      </w:r>
      <w:r>
        <w:rPr>
          <w:rFonts w:hint="eastAsia" w:ascii="宋体"/>
          <w:sz w:val="28"/>
          <w:szCs w:val="28"/>
          <w:highlight w:val="none"/>
          <w:lang w:eastAsia="zh-CN"/>
        </w:rPr>
        <w:t>二</w:t>
      </w:r>
      <w:r>
        <w:rPr>
          <w:rFonts w:hint="eastAsia" w:ascii="宋体"/>
          <w:sz w:val="28"/>
          <w:szCs w:val="28"/>
          <w:highlight w:val="none"/>
          <w:lang w:val="en-US" w:eastAsia="zh-CN"/>
        </w:rPr>
        <w:t>三</w:t>
      </w:r>
      <w:r>
        <w:rPr>
          <w:rFonts w:hint="eastAsia" w:ascii="宋体"/>
          <w:sz w:val="28"/>
          <w:szCs w:val="28"/>
          <w:highlight w:val="none"/>
        </w:rPr>
        <w:t>年</w:t>
      </w:r>
      <w:r>
        <w:rPr>
          <w:rFonts w:hint="eastAsia" w:ascii="宋体"/>
          <w:sz w:val="28"/>
          <w:szCs w:val="28"/>
          <w:highlight w:val="none"/>
          <w:lang w:val="en-US" w:eastAsia="zh-CN"/>
        </w:rPr>
        <w:t>六</w:t>
      </w:r>
      <w:r>
        <w:rPr>
          <w:rFonts w:hint="eastAsia" w:ascii="宋体"/>
          <w:sz w:val="28"/>
          <w:szCs w:val="28"/>
          <w:highlight w:val="none"/>
        </w:rPr>
        <w:t>月</w:t>
      </w:r>
    </w:p>
    <w:p>
      <w:pPr>
        <w:snapToGrid w:val="0"/>
        <w:spacing w:line="360" w:lineRule="auto"/>
        <w:jc w:val="center"/>
        <w:rPr>
          <w:rFonts w:ascii="仿宋" w:hAnsi="仿宋" w:eastAsia="仿宋"/>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28"/>
        <w:spacing w:line="480" w:lineRule="auto"/>
        <w:jc w:val="center"/>
        <w:rPr>
          <w:rFonts w:hint="eastAsia" w:ascii="仿宋" w:hAnsi="仿宋" w:eastAsia="仿宋"/>
          <w:b/>
          <w:sz w:val="44"/>
          <w:szCs w:val="44"/>
          <w:highlight w:val="none"/>
          <w:lang w:val="en-US" w:eastAsia="zh-CN"/>
        </w:rPr>
      </w:pPr>
      <w:r>
        <w:rPr>
          <w:rFonts w:hint="eastAsia" w:ascii="仿宋" w:hAnsi="仿宋" w:eastAsia="仿宋"/>
          <w:b/>
          <w:sz w:val="44"/>
          <w:szCs w:val="44"/>
          <w:highlight w:val="none"/>
          <w:lang w:eastAsia="zh-CN"/>
        </w:rPr>
        <w:t>目录</w:t>
      </w:r>
    </w:p>
    <w:p>
      <w:pPr>
        <w:pStyle w:val="28"/>
        <w:spacing w:line="480" w:lineRule="auto"/>
        <w:rPr>
          <w:rFonts w:ascii="仿宋_GB2312" w:eastAsia="仿宋_GB2312"/>
          <w:sz w:val="32"/>
          <w:szCs w:val="32"/>
          <w:highlight w:val="none"/>
        </w:rPr>
      </w:pP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TOC \o "1-3" \h \z \u </w:instrText>
      </w:r>
      <w:r>
        <w:rPr>
          <w:rFonts w:hint="eastAsia" w:ascii="仿宋_GB2312" w:eastAsia="仿宋_GB2312"/>
          <w:sz w:val="32"/>
          <w:szCs w:val="32"/>
          <w:highlight w:val="none"/>
        </w:rPr>
        <w:fldChar w:fldCharType="separate"/>
      </w:r>
      <w:r>
        <w:rPr>
          <w:highlight w:val="none"/>
        </w:rPr>
        <w:fldChar w:fldCharType="begin"/>
      </w:r>
      <w:r>
        <w:rPr>
          <w:highlight w:val="none"/>
        </w:rPr>
        <w:instrText xml:space="preserve"> HYPERLINK \l "_Toc306263634" </w:instrText>
      </w:r>
      <w:r>
        <w:rPr>
          <w:highlight w:val="none"/>
        </w:rPr>
        <w:fldChar w:fldCharType="separate"/>
      </w:r>
      <w:r>
        <w:rPr>
          <w:rStyle w:val="45"/>
          <w:rFonts w:hint="eastAsia" w:ascii="仿宋_GB2312" w:eastAsia="仿宋_GB2312"/>
          <w:color w:val="auto"/>
          <w:sz w:val="32"/>
          <w:szCs w:val="32"/>
          <w:highlight w:val="none"/>
        </w:rPr>
        <w:t>第一部分  投标邀请函</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 xml:space="preserve"> </w:t>
      </w:r>
      <w:r>
        <w:rPr>
          <w:rFonts w:hint="eastAsia" w:ascii="仿宋_GB2312" w:eastAsia="仿宋_GB2312"/>
          <w:sz w:val="32"/>
          <w:szCs w:val="32"/>
          <w:highlight w:val="none"/>
        </w:rPr>
        <w:fldChar w:fldCharType="end"/>
      </w:r>
    </w:p>
    <w:p>
      <w:pPr>
        <w:pStyle w:val="28"/>
        <w:spacing w:line="480" w:lineRule="auto"/>
        <w:rPr>
          <w:rFonts w:hint="eastAsia" w:ascii="仿宋_GB2312" w:eastAsia="仿宋_GB2312"/>
          <w:sz w:val="32"/>
          <w:szCs w:val="32"/>
          <w:highlight w:val="none"/>
          <w:lang w:eastAsia="zh-CN"/>
        </w:rPr>
      </w:pPr>
      <w:r>
        <w:rPr>
          <w:highlight w:val="none"/>
        </w:rPr>
        <w:fldChar w:fldCharType="begin"/>
      </w:r>
      <w:r>
        <w:rPr>
          <w:highlight w:val="none"/>
        </w:rPr>
        <w:instrText xml:space="preserve"> HYPERLINK \l "_Toc306263636" </w:instrText>
      </w:r>
      <w:r>
        <w:rPr>
          <w:highlight w:val="none"/>
        </w:rPr>
        <w:fldChar w:fldCharType="separate"/>
      </w:r>
      <w:r>
        <w:rPr>
          <w:rStyle w:val="45"/>
          <w:rFonts w:hint="eastAsia" w:ascii="仿宋_GB2312" w:eastAsia="仿宋_GB2312"/>
          <w:color w:val="auto"/>
          <w:sz w:val="32"/>
          <w:szCs w:val="32"/>
          <w:highlight w:val="none"/>
        </w:rPr>
        <w:t>第二部分  投标人须知</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6</w:t>
      </w:r>
    </w:p>
    <w:p>
      <w:pPr>
        <w:pStyle w:val="28"/>
        <w:spacing w:line="480" w:lineRule="auto"/>
        <w:rPr>
          <w:rFonts w:hint="default" w:ascii="仿宋_GB2312" w:eastAsia="仿宋_GB2312"/>
          <w:sz w:val="32"/>
          <w:szCs w:val="32"/>
          <w:highlight w:val="none"/>
          <w:lang w:val="en-US" w:eastAsia="zh-CN"/>
        </w:rPr>
      </w:pPr>
      <w:r>
        <w:rPr>
          <w:highlight w:val="none"/>
        </w:rPr>
        <w:fldChar w:fldCharType="begin"/>
      </w:r>
      <w:r>
        <w:rPr>
          <w:highlight w:val="none"/>
        </w:rPr>
        <w:instrText xml:space="preserve"> HYPERLINK \l "_Toc306263636" </w:instrText>
      </w:r>
      <w:r>
        <w:rPr>
          <w:highlight w:val="none"/>
        </w:rPr>
        <w:fldChar w:fldCharType="separate"/>
      </w:r>
      <w:r>
        <w:rPr>
          <w:rStyle w:val="45"/>
          <w:rFonts w:hint="eastAsia" w:ascii="仿宋_GB2312" w:eastAsia="仿宋_GB2312"/>
          <w:color w:val="auto"/>
          <w:sz w:val="32"/>
          <w:szCs w:val="32"/>
          <w:highlight w:val="none"/>
        </w:rPr>
        <w:t>第三部分  投标文件格式</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 xml:space="preserve"> </w:t>
      </w:r>
      <w:r>
        <w:rPr>
          <w:rFonts w:hint="eastAsia" w:ascii="仿宋_GB2312" w:eastAsia="仿宋_GB2312"/>
          <w:sz w:val="32"/>
          <w:szCs w:val="32"/>
          <w:highlight w:val="none"/>
        </w:rPr>
        <w:fldChar w:fldCharType="end"/>
      </w:r>
    </w:p>
    <w:p>
      <w:pPr>
        <w:pStyle w:val="32"/>
        <w:tabs>
          <w:tab w:val="right" w:leader="dot" w:pos="9060"/>
        </w:tabs>
        <w:spacing w:line="480" w:lineRule="auto"/>
        <w:ind w:left="595" w:leftChars="248" w:firstLine="105" w:firstLineChars="50"/>
        <w:rPr>
          <w:rFonts w:hint="default" w:ascii="仿宋_GB2312" w:eastAsia="仿宋_GB2312"/>
          <w:smallCaps w:val="0"/>
          <w:sz w:val="32"/>
          <w:szCs w:val="32"/>
          <w:highlight w:val="none"/>
          <w:lang w:val="en-US" w:eastAsia="zh-CN"/>
        </w:rPr>
      </w:pPr>
      <w:r>
        <w:rPr>
          <w:highlight w:val="none"/>
        </w:rPr>
        <w:fldChar w:fldCharType="begin"/>
      </w:r>
      <w:r>
        <w:rPr>
          <w:highlight w:val="none"/>
        </w:rPr>
        <w:instrText xml:space="preserve"> HYPERLINK \l "_Toc306263638" </w:instrText>
      </w:r>
      <w:r>
        <w:rPr>
          <w:highlight w:val="none"/>
        </w:rPr>
        <w:fldChar w:fldCharType="separate"/>
      </w:r>
      <w:r>
        <w:rPr>
          <w:rStyle w:val="45"/>
          <w:rFonts w:hint="eastAsia" w:ascii="仿宋_GB2312" w:eastAsia="仿宋_GB2312"/>
          <w:color w:val="auto"/>
          <w:sz w:val="32"/>
          <w:szCs w:val="32"/>
          <w:highlight w:val="none"/>
        </w:rPr>
        <w:t xml:space="preserve">附件一  </w:t>
      </w:r>
      <w:r>
        <w:rPr>
          <w:rStyle w:val="45"/>
          <w:rFonts w:hint="eastAsia" w:ascii="仿宋_GB2312" w:eastAsia="仿宋_GB2312"/>
          <w:color w:val="auto"/>
          <w:sz w:val="32"/>
          <w:szCs w:val="32"/>
          <w:highlight w:val="none"/>
          <w:lang w:eastAsia="zh-CN"/>
        </w:rPr>
        <w:t>投标书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14</w:t>
      </w:r>
    </w:p>
    <w:p>
      <w:pPr>
        <w:pStyle w:val="32"/>
        <w:tabs>
          <w:tab w:val="right" w:leader="dot" w:pos="9060"/>
        </w:tabs>
        <w:spacing w:line="480" w:lineRule="auto"/>
        <w:ind w:left="595" w:leftChars="248" w:firstLine="105" w:firstLineChars="50"/>
        <w:rPr>
          <w:rFonts w:hint="default" w:ascii="仿宋_GB2312" w:eastAsia="仿宋_GB2312"/>
          <w:sz w:val="32"/>
          <w:szCs w:val="32"/>
          <w:highlight w:val="none"/>
          <w:lang w:val="en-US" w:eastAsia="zh-CN"/>
        </w:rPr>
      </w:pPr>
      <w:r>
        <w:rPr>
          <w:highlight w:val="none"/>
        </w:rPr>
        <w:fldChar w:fldCharType="begin"/>
      </w:r>
      <w:r>
        <w:rPr>
          <w:highlight w:val="none"/>
        </w:rPr>
        <w:instrText xml:space="preserve"> HYPERLINK \l "_Toc306263638"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二</w:t>
      </w:r>
      <w:r>
        <w:rPr>
          <w:rStyle w:val="45"/>
          <w:rFonts w:hint="eastAsia" w:ascii="仿宋_GB2312" w:eastAsia="仿宋_GB2312"/>
          <w:color w:val="auto"/>
          <w:sz w:val="32"/>
          <w:szCs w:val="32"/>
          <w:highlight w:val="none"/>
        </w:rPr>
        <w:t xml:space="preserve"> </w:t>
      </w:r>
      <w:r>
        <w:rPr>
          <w:rStyle w:val="45"/>
          <w:rFonts w:hint="eastAsia" w:ascii="仿宋_GB2312" w:eastAsia="仿宋_GB2312"/>
          <w:color w:val="auto"/>
          <w:sz w:val="32"/>
          <w:szCs w:val="32"/>
          <w:highlight w:val="none"/>
          <w:lang w:val="en-US" w:eastAsia="zh-CN"/>
        </w:rPr>
        <w:t xml:space="preserve"> </w:t>
      </w:r>
      <w:r>
        <w:rPr>
          <w:rStyle w:val="45"/>
          <w:rFonts w:hint="eastAsia" w:ascii="仿宋_GB2312" w:eastAsia="仿宋_GB2312"/>
          <w:color w:val="auto"/>
          <w:sz w:val="32"/>
          <w:szCs w:val="32"/>
          <w:highlight w:val="none"/>
          <w:lang w:eastAsia="zh-CN"/>
        </w:rPr>
        <w:t>法定代表人证明书、</w:t>
      </w:r>
      <w:r>
        <w:rPr>
          <w:rStyle w:val="45"/>
          <w:rFonts w:hint="eastAsia" w:ascii="仿宋_GB2312" w:eastAsia="仿宋_GB2312"/>
          <w:color w:val="auto"/>
          <w:sz w:val="32"/>
          <w:szCs w:val="32"/>
          <w:highlight w:val="none"/>
        </w:rPr>
        <w:t>法定代表人授权委托书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15</w:t>
      </w:r>
    </w:p>
    <w:p>
      <w:pPr>
        <w:pStyle w:val="32"/>
        <w:tabs>
          <w:tab w:val="right" w:leader="dot" w:pos="9060"/>
        </w:tabs>
        <w:spacing w:line="480" w:lineRule="auto"/>
        <w:ind w:left="595" w:leftChars="248" w:firstLine="105" w:firstLineChars="50"/>
        <w:rPr>
          <w:rFonts w:hint="eastAsia" w:ascii="仿宋_GB2312" w:eastAsia="仿宋_GB2312"/>
          <w:sz w:val="32"/>
          <w:szCs w:val="3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三</w:t>
      </w:r>
      <w:r>
        <w:rPr>
          <w:rStyle w:val="45"/>
          <w:rFonts w:hint="eastAsia" w:ascii="仿宋_GB2312" w:eastAsia="仿宋_GB2312"/>
          <w:color w:val="auto"/>
          <w:sz w:val="32"/>
          <w:szCs w:val="32"/>
          <w:highlight w:val="none"/>
        </w:rPr>
        <w:t xml:space="preserve">  </w:t>
      </w:r>
      <w:r>
        <w:rPr>
          <w:rFonts w:hint="eastAsia" w:ascii="仿宋_GB2312" w:eastAsia="仿宋_GB2312"/>
          <w:sz w:val="32"/>
          <w:szCs w:val="32"/>
          <w:highlight w:val="none"/>
          <w:lang w:eastAsia="zh-CN"/>
        </w:rPr>
        <w:t>用户需求书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17</w:t>
      </w:r>
    </w:p>
    <w:p>
      <w:pPr>
        <w:pStyle w:val="32"/>
        <w:tabs>
          <w:tab w:val="right" w:leader="dot" w:pos="9060"/>
        </w:tabs>
        <w:spacing w:line="480" w:lineRule="auto"/>
        <w:ind w:left="595" w:leftChars="248" w:firstLine="105" w:firstLineChars="50"/>
        <w:rPr>
          <w:rFonts w:hint="eastAsia" w:ascii="仿宋_GB2312" w:eastAsia="仿宋_GB2312"/>
          <w:sz w:val="32"/>
          <w:szCs w:val="3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四</w:t>
      </w:r>
      <w:r>
        <w:rPr>
          <w:rStyle w:val="45"/>
          <w:rFonts w:hint="eastAsia" w:ascii="仿宋_GB2312" w:eastAsia="仿宋_GB2312"/>
          <w:color w:val="auto"/>
          <w:sz w:val="32"/>
          <w:szCs w:val="32"/>
          <w:highlight w:val="none"/>
        </w:rPr>
        <w:t xml:space="preserve">  </w:t>
      </w:r>
      <w:r>
        <w:rPr>
          <w:rStyle w:val="45"/>
          <w:rFonts w:hint="eastAsia" w:ascii="仿宋_GB2312" w:eastAsia="仿宋_GB2312"/>
          <w:color w:val="auto"/>
          <w:sz w:val="32"/>
          <w:szCs w:val="32"/>
          <w:highlight w:val="none"/>
          <w:lang w:eastAsia="zh-CN"/>
        </w:rPr>
        <w:t>报价表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25</w:t>
      </w:r>
    </w:p>
    <w:p>
      <w:pPr>
        <w:pStyle w:val="32"/>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五</w:t>
      </w:r>
      <w:r>
        <w:rPr>
          <w:rStyle w:val="45"/>
          <w:rFonts w:hint="eastAsia" w:ascii="仿宋_GB2312" w:eastAsia="仿宋_GB2312"/>
          <w:color w:val="auto"/>
          <w:sz w:val="32"/>
          <w:szCs w:val="32"/>
          <w:highlight w:val="none"/>
        </w:rPr>
        <w:t xml:space="preserve">  </w:t>
      </w:r>
      <w:r>
        <w:rPr>
          <w:rFonts w:hint="eastAsia" w:ascii="仿宋_GB2312" w:hAnsi="仿宋_GB2312" w:eastAsia="仿宋_GB2312" w:cs="仿宋_GB2312"/>
          <w:i w:val="0"/>
          <w:iCs w:val="0"/>
          <w:color w:val="000000"/>
          <w:kern w:val="0"/>
          <w:sz w:val="32"/>
          <w:szCs w:val="32"/>
          <w:highlight w:val="none"/>
          <w:u w:val="none"/>
          <w:lang w:val="en-US" w:eastAsia="zh-CN" w:bidi="ar"/>
        </w:rPr>
        <w:t>综合评审表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26</w:t>
      </w:r>
    </w:p>
    <w:p>
      <w:pPr>
        <w:pStyle w:val="32"/>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六</w:t>
      </w:r>
      <w:r>
        <w:rPr>
          <w:rStyle w:val="45"/>
          <w:rFonts w:hint="eastAsia" w:ascii="仿宋_GB2312" w:eastAsia="仿宋_GB2312"/>
          <w:color w:val="auto"/>
          <w:sz w:val="32"/>
          <w:szCs w:val="32"/>
          <w:highlight w:val="none"/>
        </w:rPr>
        <w:t xml:space="preserve">  投标文件符合性审查表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30</w:t>
      </w:r>
      <w:bookmarkStart w:id="35" w:name="_GoBack"/>
      <w:bookmarkEnd w:id="35"/>
    </w:p>
    <w:p>
      <w:pPr>
        <w:pStyle w:val="32"/>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5"/>
          <w:rFonts w:hint="eastAsia" w:ascii="仿宋_GB2312" w:eastAsia="仿宋_GB2312"/>
          <w:color w:val="auto"/>
          <w:sz w:val="32"/>
          <w:szCs w:val="32"/>
          <w:highlight w:val="none"/>
        </w:rPr>
        <w:t>附件</w:t>
      </w:r>
      <w:r>
        <w:rPr>
          <w:rStyle w:val="45"/>
          <w:rFonts w:hint="eastAsia" w:ascii="仿宋_GB2312" w:eastAsia="仿宋_GB2312"/>
          <w:color w:val="auto"/>
          <w:sz w:val="32"/>
          <w:szCs w:val="32"/>
          <w:highlight w:val="none"/>
          <w:lang w:eastAsia="zh-CN"/>
        </w:rPr>
        <w:t>七</w:t>
      </w:r>
      <w:r>
        <w:rPr>
          <w:rStyle w:val="45"/>
          <w:rFonts w:hint="eastAsia" w:ascii="仿宋_GB2312" w:eastAsia="仿宋_GB2312"/>
          <w:color w:val="auto"/>
          <w:sz w:val="32"/>
          <w:szCs w:val="32"/>
          <w:highlight w:val="none"/>
        </w:rPr>
        <w:t xml:space="preserve">  </w:t>
      </w:r>
      <w:r>
        <w:rPr>
          <w:rStyle w:val="45"/>
          <w:rFonts w:hint="eastAsia" w:ascii="仿宋_GB2312" w:eastAsia="仿宋_GB2312"/>
          <w:color w:val="auto"/>
          <w:sz w:val="32"/>
          <w:szCs w:val="32"/>
          <w:highlight w:val="none"/>
          <w:u w:val="none"/>
          <w:lang w:eastAsia="zh-CN"/>
        </w:rPr>
        <w:t>配送合同</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31</w:t>
      </w:r>
    </w:p>
    <w:p>
      <w:pPr>
        <w:snapToGrid w:val="0"/>
        <w:spacing w:line="360" w:lineRule="auto"/>
        <w:jc w:val="center"/>
        <w:outlineLvl w:val="0"/>
        <w:rPr>
          <w:rFonts w:hint="eastAsia" w:ascii="黑体" w:hAnsi="黑体" w:eastAsia="黑体" w:cs="Times New Roman"/>
          <w:b/>
          <w:kern w:val="2"/>
          <w:sz w:val="32"/>
          <w:szCs w:val="32"/>
          <w:highlight w:val="none"/>
          <w:lang w:eastAsia="zh-CN"/>
        </w:rPr>
      </w:pP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 xml:space="preserve">   </w:t>
      </w:r>
      <w:r>
        <w:rPr>
          <w:rFonts w:ascii="仿宋" w:hAnsi="仿宋" w:eastAsia="仿宋"/>
          <w:b/>
          <w:sz w:val="44"/>
          <w:szCs w:val="44"/>
          <w:highlight w:val="none"/>
        </w:rPr>
        <w:br w:type="page"/>
      </w:r>
      <w:bookmarkStart w:id="0" w:name="_Toc508724430"/>
      <w:r>
        <w:rPr>
          <w:rFonts w:hint="eastAsia" w:ascii="黑体" w:hAnsi="黑体" w:eastAsia="黑体" w:cs="Times New Roman"/>
          <w:b/>
          <w:kern w:val="2"/>
          <w:sz w:val="32"/>
          <w:szCs w:val="32"/>
          <w:highlight w:val="none"/>
        </w:rPr>
        <w:t>第一</w:t>
      </w:r>
      <w:r>
        <w:rPr>
          <w:rFonts w:hint="eastAsia" w:ascii="黑体" w:hAnsi="黑体" w:eastAsia="黑体" w:cs="Times New Roman"/>
          <w:b/>
          <w:kern w:val="2"/>
          <w:sz w:val="32"/>
          <w:szCs w:val="32"/>
          <w:highlight w:val="none"/>
          <w:lang w:eastAsia="zh-CN"/>
        </w:rPr>
        <w:t>部分</w:t>
      </w:r>
      <w:r>
        <w:rPr>
          <w:rFonts w:hint="eastAsia" w:ascii="黑体" w:hAnsi="黑体" w:eastAsia="黑体" w:cs="Times New Roman"/>
          <w:b/>
          <w:kern w:val="2"/>
          <w:sz w:val="32"/>
          <w:szCs w:val="32"/>
          <w:highlight w:val="none"/>
        </w:rPr>
        <w:t xml:space="preserve"> 投标邀请</w:t>
      </w:r>
      <w:bookmarkEnd w:id="0"/>
      <w:r>
        <w:rPr>
          <w:rFonts w:hint="eastAsia" w:ascii="黑体" w:hAnsi="黑体" w:eastAsia="黑体" w:cs="Times New Roman"/>
          <w:b/>
          <w:kern w:val="2"/>
          <w:sz w:val="32"/>
          <w:szCs w:val="32"/>
          <w:highlight w:val="none"/>
          <w:lang w:eastAsia="zh-CN"/>
        </w:rPr>
        <w:t>函</w:t>
      </w:r>
    </w:p>
    <w:p>
      <w:pPr>
        <w:widowControl w:val="0"/>
        <w:numPr>
          <w:ilvl w:val="0"/>
          <w:numId w:val="0"/>
        </w:numPr>
        <w:tabs>
          <w:tab w:val="left" w:pos="709"/>
        </w:tabs>
        <w:adjustRightInd w:val="0"/>
        <w:snapToGrid w:val="0"/>
        <w:spacing w:line="360" w:lineRule="auto"/>
        <w:ind w:left="142" w:firstLine="640" w:firstLineChars="200"/>
        <w:jc w:val="both"/>
        <w:outlineLvl w:val="9"/>
        <w:rPr>
          <w:rFonts w:hint="eastAsia" w:ascii="仿宋_GB2312" w:hAnsi="仿宋_GB2312" w:eastAsia="仿宋_GB2312" w:cs="仿宋_GB2312"/>
          <w:bCs w:val="0"/>
          <w:kern w:val="2"/>
          <w:sz w:val="32"/>
          <w:szCs w:val="32"/>
          <w:highlight w:val="none"/>
        </w:rPr>
      </w:pPr>
      <w:r>
        <w:rPr>
          <w:rFonts w:hint="eastAsia" w:ascii="仿宋_GB2312" w:hAnsi="Calibri" w:eastAsia="仿宋_GB2312" w:cs="Times New Roman"/>
          <w:kern w:val="2"/>
          <w:sz w:val="32"/>
          <w:szCs w:val="32"/>
          <w:highlight w:val="none"/>
          <w:lang w:eastAsia="zh-CN"/>
        </w:rPr>
        <w:t>广州</w:t>
      </w:r>
      <w:r>
        <w:rPr>
          <w:rFonts w:hint="eastAsia" w:ascii="仿宋_GB2312" w:hAnsi="Calibri" w:eastAsia="仿宋_GB2312" w:cs="Times New Roman"/>
          <w:kern w:val="2"/>
          <w:sz w:val="32"/>
          <w:szCs w:val="32"/>
          <w:highlight w:val="none"/>
          <w:lang w:val="en-US" w:eastAsia="zh-CN"/>
        </w:rPr>
        <w:t>南沙旅游</w:t>
      </w:r>
      <w:r>
        <w:rPr>
          <w:rFonts w:hint="eastAsia" w:ascii="仿宋_GB2312" w:hAnsi="Calibri" w:eastAsia="仿宋_GB2312" w:cs="Times New Roman"/>
          <w:kern w:val="2"/>
          <w:sz w:val="32"/>
          <w:szCs w:val="32"/>
          <w:highlight w:val="none"/>
          <w:lang w:eastAsia="zh-CN"/>
        </w:rPr>
        <w:t>发展有限公司现对</w:t>
      </w:r>
      <w:r>
        <w:rPr>
          <w:rFonts w:hint="eastAsia" w:ascii="仿宋_GB2312" w:hAnsi="Calibri" w:eastAsia="仿宋_GB2312" w:cs="Times New Roman"/>
          <w:kern w:val="2"/>
          <w:sz w:val="32"/>
          <w:szCs w:val="32"/>
          <w:highlight w:val="none"/>
          <w:lang w:val="en-US" w:eastAsia="zh-CN"/>
        </w:rPr>
        <w:t>南沙天后宫景区（饭堂、餐厅、默娘之家）</w:t>
      </w:r>
      <w:r>
        <w:rPr>
          <w:rFonts w:hint="eastAsia" w:ascii="仿宋_GB2312" w:hAnsi="Calibri" w:eastAsia="仿宋_GB2312" w:cs="Times New Roman"/>
          <w:kern w:val="2"/>
          <w:sz w:val="32"/>
          <w:szCs w:val="32"/>
          <w:highlight w:val="none"/>
        </w:rPr>
        <w:t>食材配送服务进行邀请招标，欢迎符合资</w:t>
      </w:r>
      <w:r>
        <w:rPr>
          <w:rFonts w:hint="eastAsia" w:ascii="仿宋_GB2312" w:hAnsi="仿宋_GB2312" w:eastAsia="仿宋_GB2312" w:cs="仿宋_GB2312"/>
          <w:kern w:val="2"/>
          <w:sz w:val="32"/>
          <w:szCs w:val="32"/>
          <w:highlight w:val="none"/>
        </w:rPr>
        <w:t>格条件的供应商投标。</w:t>
      </w:r>
    </w:p>
    <w:p>
      <w:pPr>
        <w:widowControl w:val="0"/>
        <w:numPr>
          <w:ilvl w:val="-1"/>
          <w:numId w:val="0"/>
        </w:numPr>
        <w:spacing w:line="360" w:lineRule="auto"/>
        <w:ind w:firstLine="640" w:firstLineChars="200"/>
        <w:jc w:val="left"/>
        <w:outlineLvl w:val="1"/>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val="en-US" w:eastAsia="zh-CN"/>
        </w:rPr>
        <w:t>一、</w:t>
      </w:r>
      <w:r>
        <w:rPr>
          <w:rFonts w:hint="eastAsia" w:ascii="黑体" w:hAnsi="黑体" w:eastAsia="黑体" w:cs="黑体"/>
          <w:kern w:val="2"/>
          <w:sz w:val="32"/>
          <w:szCs w:val="32"/>
          <w:highlight w:val="none"/>
        </w:rPr>
        <w:t>项目名称：</w:t>
      </w:r>
    </w:p>
    <w:p>
      <w:pPr>
        <w:ind w:firstLine="640" w:firstLineChars="200"/>
        <w:jc w:val="left"/>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旅游</w:t>
      </w:r>
      <w:r>
        <w:rPr>
          <w:rFonts w:hint="eastAsia" w:ascii="仿宋_GB2312" w:hAnsi="仿宋_GB2312" w:eastAsia="仿宋_GB2312" w:cs="仿宋_GB2312"/>
          <w:b w:val="0"/>
          <w:bCs w:val="0"/>
          <w:kern w:val="2"/>
          <w:sz w:val="32"/>
          <w:szCs w:val="32"/>
          <w:highlight w:val="none"/>
          <w:lang w:eastAsia="zh-CN"/>
        </w:rPr>
        <w:t>公司</w:t>
      </w:r>
      <w:r>
        <w:rPr>
          <w:rFonts w:hint="eastAsia" w:ascii="仿宋_GB2312" w:hAnsi="仿宋_GB2312" w:eastAsia="仿宋_GB2312" w:cs="仿宋_GB2312"/>
          <w:b w:val="0"/>
          <w:bCs w:val="0"/>
          <w:kern w:val="2"/>
          <w:sz w:val="32"/>
          <w:szCs w:val="32"/>
          <w:highlight w:val="none"/>
        </w:rPr>
        <w:t>食材配送服务</w:t>
      </w:r>
      <w:r>
        <w:rPr>
          <w:rFonts w:hint="eastAsia" w:ascii="仿宋_GB2312" w:hAnsi="仿宋_GB2312" w:eastAsia="仿宋_GB2312" w:cs="仿宋_GB2312"/>
          <w:kern w:val="2"/>
          <w:sz w:val="32"/>
          <w:szCs w:val="32"/>
          <w:highlight w:val="none"/>
          <w:lang w:eastAsia="zh-CN"/>
        </w:rPr>
        <w:t>（粮油面类/米面豆制品类/酱料干货类）</w:t>
      </w:r>
      <w:r>
        <w:rPr>
          <w:rFonts w:hint="eastAsia" w:ascii="仿宋_GB2312" w:hAnsi="仿宋_GB2312" w:eastAsia="仿宋_GB2312" w:cs="仿宋_GB2312"/>
          <w:b w:val="0"/>
          <w:bCs w:val="0"/>
          <w:kern w:val="2"/>
          <w:sz w:val="32"/>
          <w:szCs w:val="32"/>
          <w:highlight w:val="none"/>
          <w:lang w:val="en-US" w:eastAsia="zh-CN"/>
        </w:rPr>
        <w:t>（第二次）</w:t>
      </w:r>
    </w:p>
    <w:p>
      <w:pPr>
        <w:numPr>
          <w:ilvl w:val="-1"/>
          <w:numId w:val="0"/>
        </w:numPr>
        <w:spacing w:line="360" w:lineRule="auto"/>
        <w:ind w:firstLine="640" w:firstLineChars="200"/>
        <w:jc w:val="left"/>
        <w:rPr>
          <w:rFonts w:hint="eastAsia" w:ascii="仿宋_GB2312" w:hAnsi="仿宋_GB2312" w:eastAsia="仿宋_GB2312" w:cs="仿宋_GB2312"/>
          <w:spacing w:val="0"/>
          <w:kern w:val="2"/>
          <w:sz w:val="32"/>
          <w:szCs w:val="32"/>
          <w:highlight w:val="none"/>
          <w:lang w:eastAsia="zh-CN"/>
        </w:rPr>
      </w:pPr>
    </w:p>
    <w:p>
      <w:pPr>
        <w:numPr>
          <w:ilvl w:val="-1"/>
          <w:numId w:val="0"/>
        </w:numPr>
        <w:jc w:val="left"/>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eastAsia="zh-CN"/>
        </w:rPr>
        <w:t>二、</w:t>
      </w:r>
      <w:r>
        <w:rPr>
          <w:rFonts w:hint="eastAsia" w:ascii="黑体" w:hAnsi="黑体" w:eastAsia="黑体" w:cs="黑体"/>
          <w:kern w:val="2"/>
          <w:sz w:val="32"/>
          <w:szCs w:val="32"/>
          <w:highlight w:val="none"/>
        </w:rPr>
        <w:t>项目概况：</w:t>
      </w:r>
    </w:p>
    <w:p>
      <w:pPr>
        <w:widowControl w:val="0"/>
        <w:numPr>
          <w:ilvl w:val="0"/>
          <w:numId w:val="0"/>
        </w:numPr>
        <w:tabs>
          <w:tab w:val="left" w:pos="709"/>
        </w:tabs>
        <w:adjustRightInd w:val="0"/>
        <w:snapToGrid w:val="0"/>
        <w:spacing w:line="360" w:lineRule="auto"/>
        <w:ind w:left="142" w:firstLine="640" w:firstLineChars="200"/>
        <w:jc w:val="both"/>
        <w:rPr>
          <w:rFonts w:hint="eastAsia" w:ascii="仿宋_GB2312" w:hAnsi="Calibri" w:eastAsia="仿宋_GB2312" w:cs="Times New Roman"/>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本项目为广州</w:t>
      </w:r>
      <w:r>
        <w:rPr>
          <w:rFonts w:hint="eastAsia" w:ascii="仿宋_GB2312" w:hAnsi="仿宋_GB2312" w:eastAsia="仿宋_GB2312" w:cs="仿宋_GB2312"/>
          <w:kern w:val="2"/>
          <w:sz w:val="32"/>
          <w:szCs w:val="32"/>
          <w:highlight w:val="none"/>
          <w:lang w:val="en-US" w:eastAsia="zh-CN"/>
        </w:rPr>
        <w:t>南沙旅游发展</w:t>
      </w:r>
      <w:r>
        <w:rPr>
          <w:rFonts w:hint="eastAsia" w:ascii="仿宋_GB2312" w:hAnsi="仿宋_GB2312" w:eastAsia="仿宋_GB2312" w:cs="仿宋_GB2312"/>
          <w:kern w:val="2"/>
          <w:sz w:val="32"/>
          <w:szCs w:val="32"/>
          <w:highlight w:val="none"/>
          <w:lang w:eastAsia="zh-CN"/>
        </w:rPr>
        <w:t>有限公司对</w:t>
      </w:r>
      <w:r>
        <w:rPr>
          <w:rFonts w:hint="eastAsia" w:ascii="仿宋_GB2312" w:hAnsi="仿宋_GB2312" w:eastAsia="仿宋_GB2312" w:cs="仿宋_GB2312"/>
          <w:kern w:val="2"/>
          <w:sz w:val="32"/>
          <w:szCs w:val="32"/>
          <w:highlight w:val="none"/>
          <w:lang w:val="en-US" w:eastAsia="zh-CN"/>
        </w:rPr>
        <w:t>南沙天后宫景</w:t>
      </w:r>
      <w:r>
        <w:rPr>
          <w:rFonts w:hint="eastAsia" w:ascii="仿宋_GB2312" w:hAnsi="Calibri" w:eastAsia="仿宋_GB2312" w:cs="Times New Roman"/>
          <w:kern w:val="2"/>
          <w:sz w:val="32"/>
          <w:szCs w:val="32"/>
          <w:highlight w:val="none"/>
          <w:lang w:val="en-US" w:eastAsia="zh-CN"/>
        </w:rPr>
        <w:t>区（饭堂、餐厅、默娘之家）的</w:t>
      </w:r>
      <w:r>
        <w:rPr>
          <w:rFonts w:hint="eastAsia" w:ascii="仿宋_GB2312" w:hAnsi="Calibri" w:eastAsia="仿宋_GB2312" w:cs="Times New Roman"/>
          <w:kern w:val="2"/>
          <w:sz w:val="32"/>
          <w:szCs w:val="32"/>
          <w:highlight w:val="none"/>
          <w:lang w:eastAsia="zh-CN"/>
        </w:rPr>
        <w:t>食材采购配送，采购的具体数量和品种需根据当天或每月的实际需求量而定。本次通过邀请招标的方式确定供应商，货物的供应期为自合同签订之日起一年。具体采购需求详见招标文件附件</w:t>
      </w:r>
      <w:r>
        <w:rPr>
          <w:rFonts w:hint="eastAsia" w:ascii="仿宋_GB2312" w:hAnsi="Calibri" w:eastAsia="仿宋_GB2312" w:cs="Times New Roman"/>
          <w:kern w:val="2"/>
          <w:sz w:val="32"/>
          <w:szCs w:val="32"/>
          <w:highlight w:val="none"/>
          <w:lang w:val="en-US" w:eastAsia="zh-CN"/>
        </w:rPr>
        <w:t>三</w:t>
      </w:r>
      <w:r>
        <w:rPr>
          <w:rFonts w:hint="eastAsia" w:ascii="仿宋_GB2312" w:hAnsi="Calibri" w:eastAsia="仿宋_GB2312" w:cs="Times New Roman"/>
          <w:kern w:val="2"/>
          <w:sz w:val="32"/>
          <w:szCs w:val="32"/>
          <w:highlight w:val="none"/>
          <w:lang w:eastAsia="zh-CN"/>
        </w:rPr>
        <w:t>《用户需求书》。</w:t>
      </w:r>
    </w:p>
    <w:p>
      <w:pPr>
        <w:widowControl w:val="0"/>
        <w:spacing w:line="360" w:lineRule="auto"/>
        <w:ind w:firstLine="640" w:firstLineChars="200"/>
        <w:jc w:val="left"/>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w:t>
      </w:r>
      <w:r>
        <w:rPr>
          <w:rFonts w:hint="eastAsia" w:ascii="黑体" w:hAnsi="黑体" w:eastAsia="黑体" w:cs="黑体"/>
          <w:kern w:val="2"/>
          <w:sz w:val="32"/>
          <w:szCs w:val="32"/>
          <w:highlight w:val="none"/>
        </w:rPr>
        <w:t>招标内容</w:t>
      </w:r>
      <w:r>
        <w:rPr>
          <w:rFonts w:hint="eastAsia" w:ascii="黑体" w:hAnsi="黑体" w:eastAsia="黑体" w:cs="黑体"/>
          <w:kern w:val="2"/>
          <w:sz w:val="32"/>
          <w:szCs w:val="32"/>
          <w:highlight w:val="none"/>
          <w:lang w:eastAsia="zh-CN"/>
        </w:rPr>
        <w:t>：</w:t>
      </w:r>
    </w:p>
    <w:tbl>
      <w:tblPr>
        <w:tblStyle w:val="38"/>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采购内容</w:t>
            </w:r>
          </w:p>
        </w:tc>
        <w:tc>
          <w:tcPr>
            <w:tcW w:w="2399" w:type="dxa"/>
            <w:noWrap w:val="0"/>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现广州</w:t>
            </w:r>
            <w:r>
              <w:rPr>
                <w:rFonts w:hint="eastAsia" w:ascii="仿宋_GB2312" w:hAnsi="Calibri" w:eastAsia="仿宋_GB2312" w:cs="Times New Roman"/>
                <w:kern w:val="2"/>
                <w:sz w:val="32"/>
                <w:szCs w:val="32"/>
                <w:highlight w:val="none"/>
                <w:lang w:val="en-US" w:eastAsia="zh-CN"/>
              </w:rPr>
              <w:t>南沙旅游</w:t>
            </w:r>
            <w:r>
              <w:rPr>
                <w:rFonts w:hint="eastAsia" w:ascii="仿宋_GB2312" w:hAnsi="Calibri" w:eastAsia="仿宋_GB2312" w:cs="Times New Roman"/>
                <w:kern w:val="2"/>
                <w:sz w:val="32"/>
                <w:szCs w:val="32"/>
                <w:highlight w:val="none"/>
                <w:lang w:eastAsia="zh-CN"/>
              </w:rPr>
              <w:t>发展有限公司对</w:t>
            </w:r>
            <w:r>
              <w:rPr>
                <w:rFonts w:hint="eastAsia" w:ascii="仿宋_GB2312" w:hAnsi="Calibri" w:eastAsia="仿宋_GB2312" w:cs="Times New Roman"/>
                <w:kern w:val="2"/>
                <w:sz w:val="32"/>
                <w:szCs w:val="32"/>
                <w:highlight w:val="none"/>
                <w:lang w:val="en-US" w:eastAsia="zh-CN"/>
              </w:rPr>
              <w:t>南沙天后宫景区（饭堂、餐厅、默娘之家）</w:t>
            </w:r>
            <w:r>
              <w:rPr>
                <w:rFonts w:hint="eastAsia" w:ascii="仿宋_GB2312" w:hAnsi="Calibri" w:eastAsia="仿宋_GB2312" w:cs="Times New Roman"/>
                <w:kern w:val="2"/>
                <w:sz w:val="32"/>
                <w:szCs w:val="32"/>
                <w:highlight w:val="none"/>
                <w:lang w:eastAsia="zh-CN"/>
              </w:rPr>
              <w:t>惯用食材采购配送服务（粮油面类/米面豆制品类/酱料干货类）</w:t>
            </w:r>
          </w:p>
        </w:tc>
        <w:tc>
          <w:tcPr>
            <w:tcW w:w="2399" w:type="dxa"/>
            <w:noWrap w:val="0"/>
            <w:vAlign w:val="center"/>
          </w:tcPr>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一年</w:t>
            </w:r>
          </w:p>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highlight w:val="none"/>
                <w:lang w:val="en-US" w:eastAsia="zh-CN"/>
              </w:rPr>
            </w:pPr>
            <w:r>
              <w:rPr>
                <w:rFonts w:hint="eastAsia" w:ascii="仿宋_GB2312" w:hAnsi="Calibri" w:eastAsia="仿宋_GB2312" w:cs="Times New Roman"/>
                <w:kern w:val="2"/>
                <w:sz w:val="32"/>
                <w:szCs w:val="32"/>
                <w:highlight w:val="none"/>
                <w:lang w:val="en-US" w:eastAsia="zh-CN"/>
              </w:rPr>
              <w:t>（自双方签订服务合同之日起计算供货期）</w:t>
            </w:r>
          </w:p>
        </w:tc>
      </w:tr>
    </w:tbl>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四、报价要求</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投标人按采购内容分类（粮油面类/米面豆制品类/酱料干货类）报下浮率，下浮率必须为固定报价，不接受区间报价（如10％～1</w:t>
      </w:r>
      <w:r>
        <w:rPr>
          <w:rFonts w:hint="eastAsia" w:ascii="仿宋_GB2312" w:hAnsi="仿宋_GB2312" w:eastAsia="仿宋_GB2312" w:cs="仿宋_GB2312"/>
          <w:kern w:val="2"/>
          <w:sz w:val="32"/>
          <w:szCs w:val="32"/>
          <w:highlight w:val="none"/>
          <w:lang w:val="en-US" w:eastAsia="zh-CN"/>
        </w:rPr>
        <w:t>5</w:t>
      </w:r>
      <w:r>
        <w:rPr>
          <w:rFonts w:hint="eastAsia" w:ascii="仿宋_GB2312" w:hAnsi="仿宋_GB2312" w:eastAsia="仿宋_GB2312" w:cs="仿宋_GB2312"/>
          <w:kern w:val="2"/>
          <w:sz w:val="32"/>
          <w:szCs w:val="32"/>
          <w:highlight w:val="none"/>
          <w:lang w:eastAsia="zh-CN"/>
        </w:rPr>
        <w:t>％），下浮率报价范围：0%≤下浮率≤</w:t>
      </w:r>
      <w:r>
        <w:rPr>
          <w:rFonts w:hint="eastAsia" w:ascii="仿宋_GB2312" w:hAnsi="仿宋_GB2312" w:eastAsia="仿宋_GB2312" w:cs="仿宋_GB2312"/>
          <w:kern w:val="2"/>
          <w:sz w:val="32"/>
          <w:szCs w:val="32"/>
          <w:highlight w:val="none"/>
          <w:lang w:val="en-US" w:eastAsia="zh-CN"/>
        </w:rPr>
        <w:t>20</w:t>
      </w:r>
      <w:r>
        <w:rPr>
          <w:rFonts w:hint="eastAsia" w:ascii="仿宋_GB2312" w:hAnsi="仿宋_GB2312" w:eastAsia="仿宋_GB2312" w:cs="仿宋_GB2312"/>
          <w:kern w:val="2"/>
          <w:sz w:val="32"/>
          <w:szCs w:val="32"/>
          <w:highlight w:val="none"/>
          <w:lang w:eastAsia="zh-CN"/>
        </w:rPr>
        <w:t>%，否则均视为无效投标。</w:t>
      </w:r>
    </w:p>
    <w:p>
      <w:pPr>
        <w:numPr>
          <w:ilvl w:val="0"/>
          <w:numId w:val="0"/>
        </w:numPr>
        <w:tabs>
          <w:tab w:val="left" w:pos="709"/>
        </w:tabs>
        <w:snapToGrid w:val="0"/>
        <w:spacing w:line="360" w:lineRule="auto"/>
        <w:ind w:left="0" w:firstLine="640" w:firstLineChars="200"/>
        <w:jc w:val="both"/>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 xml:space="preserve"> 五、项目预算：</w:t>
      </w:r>
    </w:p>
    <w:p>
      <w:pPr>
        <w:widowControl w:val="0"/>
        <w:numPr>
          <w:ilvl w:val="0"/>
          <w:numId w:val="0"/>
        </w:numPr>
        <w:tabs>
          <w:tab w:val="left" w:pos="709"/>
        </w:tabs>
        <w:adjustRightInd w:val="0"/>
        <w:snapToGrid w:val="0"/>
        <w:spacing w:line="360" w:lineRule="auto"/>
        <w:ind w:left="0"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招标限额：50万元</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val="en-US" w:eastAsia="zh-CN"/>
        </w:rPr>
        <w:t>六</w:t>
      </w:r>
      <w:r>
        <w:rPr>
          <w:rFonts w:hint="eastAsia" w:ascii="黑体" w:hAnsi="黑体" w:eastAsia="黑体" w:cs="黑体"/>
          <w:kern w:val="2"/>
          <w:sz w:val="32"/>
          <w:szCs w:val="32"/>
          <w:highlight w:val="none"/>
          <w:lang w:eastAsia="zh-CN"/>
        </w:rPr>
        <w:t>、</w:t>
      </w:r>
      <w:r>
        <w:rPr>
          <w:rFonts w:hint="eastAsia" w:ascii="黑体" w:hAnsi="黑体" w:eastAsia="黑体" w:cs="黑体"/>
          <w:kern w:val="2"/>
          <w:sz w:val="32"/>
          <w:szCs w:val="32"/>
          <w:highlight w:val="none"/>
        </w:rPr>
        <w:t>项目地点：</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仿宋_GB2312" w:hAnsi="Calibri" w:eastAsia="仿宋_GB2312" w:cs="Times New Roman"/>
          <w:kern w:val="2"/>
          <w:sz w:val="32"/>
          <w:szCs w:val="32"/>
          <w:highlight w:val="none"/>
          <w:lang w:val="en-US" w:eastAsia="zh-CN"/>
        </w:rPr>
      </w:pPr>
      <w:r>
        <w:rPr>
          <w:rFonts w:hint="eastAsia" w:ascii="仿宋_GB2312" w:hAnsi="Calibri" w:eastAsia="仿宋_GB2312" w:cs="Times New Roman"/>
          <w:kern w:val="2"/>
          <w:sz w:val="32"/>
          <w:szCs w:val="32"/>
          <w:highlight w:val="none"/>
          <w:lang w:val="en-US" w:eastAsia="zh-CN"/>
        </w:rPr>
        <w:t>南沙天后宫景区（饭堂、餐厅、默娘之家）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七</w:t>
      </w:r>
      <w:r>
        <w:rPr>
          <w:rFonts w:hint="eastAsia" w:ascii="黑体" w:hAnsi="黑体" w:eastAsia="黑体" w:cs="黑体"/>
          <w:kern w:val="2"/>
          <w:sz w:val="32"/>
          <w:szCs w:val="32"/>
          <w:highlight w:val="none"/>
          <w:lang w:eastAsia="zh-CN"/>
        </w:rPr>
        <w:t>、投标人的资格要求：</w:t>
      </w:r>
    </w:p>
    <w:p>
      <w:pPr>
        <w:pStyle w:val="18"/>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w:t>
      </w:r>
      <w:r>
        <w:rPr>
          <w:rFonts w:hint="eastAsia" w:ascii="仿宋_GB2312" w:hAnsi="宋体" w:eastAsia="仿宋_GB2312"/>
          <w:bCs/>
          <w:sz w:val="32"/>
          <w:szCs w:val="32"/>
          <w:highlight w:val="none"/>
        </w:rPr>
        <w:t>投标人必须是</w:t>
      </w:r>
      <w:r>
        <w:rPr>
          <w:rFonts w:hint="eastAsia" w:ascii="仿宋_GB2312" w:hAnsi="宋体" w:eastAsia="仿宋_GB2312"/>
          <w:bCs/>
          <w:sz w:val="32"/>
          <w:szCs w:val="32"/>
          <w:highlight w:val="none"/>
          <w:lang w:eastAsia="zh-CN"/>
        </w:rPr>
        <w:t>广州市</w:t>
      </w:r>
      <w:r>
        <w:rPr>
          <w:rFonts w:hint="eastAsia" w:ascii="仿宋_GB2312" w:hAnsi="宋体" w:eastAsia="仿宋_GB2312"/>
          <w:bCs/>
          <w:sz w:val="32"/>
          <w:szCs w:val="32"/>
          <w:highlight w:val="none"/>
          <w:lang w:val="en-US" w:eastAsia="zh-CN"/>
        </w:rPr>
        <w:t>南沙区</w:t>
      </w:r>
      <w:r>
        <w:rPr>
          <w:rFonts w:hint="eastAsia" w:ascii="仿宋_GB2312" w:hAnsi="宋体" w:eastAsia="仿宋_GB2312"/>
          <w:bCs/>
          <w:sz w:val="32"/>
          <w:szCs w:val="32"/>
          <w:highlight w:val="none"/>
        </w:rPr>
        <w:t>合法注册的法人，具有独立承担民事责任的能力，具备有效的营业执照。</w:t>
      </w:r>
    </w:p>
    <w:p>
      <w:pPr>
        <w:pStyle w:val="18"/>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2、具备有效期内的《食品流通许可证》或《食品经营许可证》；</w:t>
      </w:r>
    </w:p>
    <w:p>
      <w:pPr>
        <w:pStyle w:val="18"/>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w:t>
      </w:r>
      <w:r>
        <w:rPr>
          <w:rFonts w:hint="eastAsia" w:ascii="仿宋_GB2312" w:eastAsia="仿宋_GB2312"/>
          <w:sz w:val="32"/>
          <w:szCs w:val="32"/>
          <w:highlight w:val="none"/>
          <w:lang w:val="en-US" w:eastAsia="zh-CN"/>
        </w:rPr>
        <w:t>投标人未被列入“信用中国”网站(www. creditchina. gov. cn)“</w:t>
      </w:r>
      <w:r>
        <w:rPr>
          <w:rFonts w:ascii="Times New Roman" w:hAnsi="Times New Roman" w:eastAsia="仿宋_GB2312"/>
          <w:color w:val="000000"/>
          <w:kern w:val="0"/>
          <w:sz w:val="32"/>
          <w:szCs w:val="32"/>
          <w:highlight w:val="none"/>
          <w:shd w:val="clear" w:color="auto" w:fill="FFFFFF"/>
          <w:lang w:bidi="ar"/>
        </w:rPr>
        <w:t>失信被执行人或</w:t>
      </w:r>
      <w:r>
        <w:rPr>
          <w:rFonts w:hint="eastAsia" w:ascii="Times New Roman" w:hAnsi="Times New Roman" w:eastAsia="仿宋_GB2312"/>
          <w:color w:val="000000"/>
          <w:kern w:val="0"/>
          <w:sz w:val="32"/>
          <w:szCs w:val="32"/>
          <w:highlight w:val="none"/>
          <w:shd w:val="clear" w:color="auto" w:fill="FFFFFF"/>
          <w:lang w:eastAsia="zh-CN" w:bidi="ar"/>
        </w:rPr>
        <w:t>企业经营异常名录或</w:t>
      </w:r>
      <w:r>
        <w:rPr>
          <w:rFonts w:ascii="Times New Roman" w:hAnsi="Times New Roman" w:eastAsia="仿宋_GB2312"/>
          <w:color w:val="000000"/>
          <w:kern w:val="0"/>
          <w:sz w:val="32"/>
          <w:szCs w:val="32"/>
          <w:highlight w:val="none"/>
          <w:shd w:val="clear" w:color="auto" w:fill="FFFFFF"/>
          <w:lang w:bidi="ar"/>
        </w:rPr>
        <w:t>重大税收违法案件当事人名单</w:t>
      </w:r>
      <w:r>
        <w:rPr>
          <w:rFonts w:hint="eastAsia" w:ascii="Times New Roman" w:hAnsi="Times New Roman" w:eastAsia="仿宋_GB2312"/>
          <w:color w:val="000000"/>
          <w:kern w:val="0"/>
          <w:sz w:val="32"/>
          <w:szCs w:val="32"/>
          <w:highlight w:val="none"/>
          <w:shd w:val="clear" w:color="auto" w:fill="FFFFFF"/>
          <w:lang w:eastAsia="zh-CN" w:bidi="ar"/>
        </w:rPr>
        <w:t>”</w:t>
      </w:r>
      <w:r>
        <w:rPr>
          <w:rFonts w:hint="eastAsia" w:ascii="仿宋_GB2312" w:hAnsi="仿宋_GB2312" w:eastAsia="仿宋_GB2312" w:cs="仿宋_GB2312"/>
          <w:sz w:val="32"/>
          <w:szCs w:val="32"/>
          <w:highlight w:val="none"/>
          <w:lang w:val="en-US" w:eastAsia="zh-CN"/>
        </w:rPr>
        <w:t>(提供以上信用信息查询记录其中一项截图，加盖本单位公章)</w:t>
      </w:r>
      <w:r>
        <w:rPr>
          <w:rFonts w:hint="eastAsia" w:ascii="仿宋_GB2312" w:eastAsia="仿宋_GB2312"/>
          <w:sz w:val="32"/>
          <w:szCs w:val="32"/>
          <w:highlight w:val="none"/>
          <w:lang w:val="en-US" w:eastAsia="zh-CN"/>
        </w:rPr>
        <w:t>。</w:t>
      </w:r>
    </w:p>
    <w:p>
      <w:pPr>
        <w:pStyle w:val="18"/>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4、本采购项目不接受联合体投标。</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八</w:t>
      </w:r>
      <w:r>
        <w:rPr>
          <w:rFonts w:hint="eastAsia" w:ascii="黑体" w:hAnsi="黑体" w:eastAsia="黑体" w:cs="黑体"/>
          <w:kern w:val="2"/>
          <w:sz w:val="32"/>
          <w:szCs w:val="32"/>
          <w:highlight w:val="none"/>
          <w:lang w:eastAsia="zh-CN"/>
        </w:rPr>
        <w:t>、招标文件获取方式：</w:t>
      </w:r>
    </w:p>
    <w:p>
      <w:pPr>
        <w:pStyle w:val="18"/>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符合资格的投标人可以在广州南沙资产经营集团有限公司网站（http://www.gnao.com.cn）下载招标文件。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九</w:t>
      </w:r>
      <w:r>
        <w:rPr>
          <w:rFonts w:hint="eastAsia" w:ascii="黑体" w:hAnsi="黑体" w:eastAsia="黑体" w:cs="黑体"/>
          <w:kern w:val="2"/>
          <w:sz w:val="32"/>
          <w:szCs w:val="32"/>
          <w:highlight w:val="none"/>
          <w:lang w:eastAsia="zh-CN"/>
        </w:rPr>
        <w:t>、评标定标原则：</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 w:hAnsi="仿宋" w:eastAsia="仿宋"/>
          <w:b w:val="0"/>
          <w:bCs w:val="0"/>
          <w:sz w:val="22"/>
          <w:highlight w:val="none"/>
        </w:rPr>
      </w:pPr>
      <w:r>
        <w:rPr>
          <w:rFonts w:hint="eastAsia" w:ascii="仿宋_GB2312" w:hAnsi="Calibri" w:eastAsia="仿宋_GB2312" w:cs="Times New Roman"/>
          <w:kern w:val="2"/>
          <w:sz w:val="32"/>
          <w:szCs w:val="32"/>
          <w:highlight w:val="none"/>
          <w:lang w:val="en-US" w:eastAsia="zh-CN" w:bidi="ar-SA"/>
        </w:rPr>
        <w:t>本项目评标办法采用综合评分法，评标委员会将按 “公正、公平、诚信、科学、择优”的原则，根据本招标文件的评标办法，对投标文件进行认真评审，完成评标报告；向招标人报告评审意见，推荐综合得分由高至低排序的前1～3名为第一中标候选人、第二中标候选人、第三中标候选人。</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十</w:t>
      </w:r>
      <w:r>
        <w:rPr>
          <w:rFonts w:hint="eastAsia" w:ascii="黑体" w:hAnsi="黑体" w:eastAsia="黑体" w:cs="黑体"/>
          <w:kern w:val="2"/>
          <w:sz w:val="32"/>
          <w:szCs w:val="32"/>
          <w:highlight w:val="none"/>
          <w:lang w:eastAsia="zh-CN"/>
        </w:rPr>
        <w:t>、开标安排：</w:t>
      </w:r>
    </w:p>
    <w:p>
      <w:pPr>
        <w:pStyle w:val="18"/>
        <w:numPr>
          <w:ilvl w:val="0"/>
          <w:numId w:val="0"/>
        </w:numPr>
        <w:spacing w:after="0"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1、开标时间</w:t>
      </w:r>
      <w:r>
        <w:rPr>
          <w:rFonts w:hint="eastAsia" w:ascii="仿宋_GB2312" w:hAnsi="Calibri" w:eastAsia="仿宋_GB2312" w:cs="Times New Roman"/>
          <w:kern w:val="2"/>
          <w:sz w:val="32"/>
          <w:szCs w:val="32"/>
          <w:highlight w:val="none"/>
          <w:lang w:val="en-US" w:eastAsia="zh-CN" w:bidi="ar-SA"/>
        </w:rPr>
        <w:t>：2023年6月9日下午14时30分（北京</w:t>
      </w:r>
      <w:r>
        <w:rPr>
          <w:rFonts w:hint="eastAsia" w:ascii="仿宋_GB2312" w:hAnsi="Calibri" w:eastAsia="仿宋_GB2312" w:cs="Times New Roman"/>
          <w:kern w:val="2"/>
          <w:sz w:val="32"/>
          <w:szCs w:val="32"/>
          <w:highlight w:val="none"/>
          <w:lang w:val="en-US" w:eastAsia="zh-CN" w:bidi="ar-SA"/>
        </w:rPr>
        <w:t>时间）</w:t>
      </w:r>
    </w:p>
    <w:p>
      <w:pPr>
        <w:pStyle w:val="18"/>
        <w:numPr>
          <w:ilvl w:val="0"/>
          <w:numId w:val="0"/>
        </w:numPr>
        <w:spacing w:after="0"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2、开标地址：广州市南沙区天后路88号之一旅游公司206评标室。投标人参加开标会的须凭身份证入场，受委托人须持授权委托书和本人身份证入场。</w:t>
      </w:r>
    </w:p>
    <w:p>
      <w:pPr>
        <w:widowControl w:val="0"/>
        <w:tabs>
          <w:tab w:val="left" w:pos="709"/>
          <w:tab w:val="left" w:pos="2694"/>
        </w:tabs>
        <w:adjustRightInd w:val="0"/>
        <w:snapToGrid w:val="0"/>
        <w:spacing w:line="360" w:lineRule="auto"/>
        <w:ind w:firstLine="640" w:firstLineChars="200"/>
        <w:jc w:val="both"/>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jc w:val="right"/>
        <w:rPr>
          <w:rFonts w:hint="eastAsia" w:ascii="仿宋" w:hAnsi="仿宋" w:eastAsia="仿宋"/>
          <w:szCs w:val="28"/>
          <w:highlight w:val="none"/>
        </w:rPr>
      </w:pPr>
    </w:p>
    <w:p>
      <w:pPr>
        <w:snapToGrid w:val="0"/>
        <w:spacing w:line="360" w:lineRule="auto"/>
        <w:jc w:val="center"/>
        <w:outlineLvl w:val="0"/>
        <w:rPr>
          <w:rFonts w:hint="eastAsia" w:ascii="黑体" w:hAnsi="黑体" w:eastAsia="黑体" w:cs="Times New Roman"/>
          <w:b/>
          <w:kern w:val="2"/>
          <w:sz w:val="32"/>
          <w:szCs w:val="32"/>
          <w:highlight w:val="none"/>
        </w:rPr>
      </w:pPr>
      <w:bookmarkStart w:id="1" w:name="_Toc477781624"/>
      <w:bookmarkStart w:id="2" w:name="_Toc508724432"/>
      <w:bookmarkStart w:id="3" w:name="_Toc508717605"/>
      <w:r>
        <w:rPr>
          <w:rFonts w:hint="eastAsia" w:ascii="黑体" w:hAnsi="黑体" w:eastAsia="黑体" w:cs="Times New Roman"/>
          <w:b/>
          <w:kern w:val="2"/>
          <w:sz w:val="32"/>
          <w:szCs w:val="32"/>
          <w:highlight w:val="none"/>
        </w:rPr>
        <w:br w:type="page"/>
      </w:r>
      <w:r>
        <w:rPr>
          <w:rFonts w:hint="eastAsia" w:ascii="黑体" w:hAnsi="黑体" w:eastAsia="黑体" w:cs="Times New Roman"/>
          <w:b/>
          <w:kern w:val="2"/>
          <w:sz w:val="32"/>
          <w:szCs w:val="32"/>
          <w:highlight w:val="none"/>
        </w:rPr>
        <w:t>第二</w:t>
      </w:r>
      <w:r>
        <w:rPr>
          <w:rFonts w:hint="eastAsia" w:ascii="黑体" w:hAnsi="黑体" w:eastAsia="黑体" w:cs="Times New Roman"/>
          <w:b/>
          <w:kern w:val="2"/>
          <w:sz w:val="32"/>
          <w:szCs w:val="32"/>
          <w:highlight w:val="none"/>
          <w:lang w:eastAsia="zh-CN"/>
        </w:rPr>
        <w:t>部分</w:t>
      </w:r>
      <w:r>
        <w:rPr>
          <w:rFonts w:hint="eastAsia" w:ascii="黑体" w:hAnsi="黑体" w:eastAsia="黑体" w:cs="Times New Roman"/>
          <w:b/>
          <w:kern w:val="2"/>
          <w:sz w:val="32"/>
          <w:szCs w:val="32"/>
          <w:highlight w:val="none"/>
        </w:rPr>
        <w:t xml:space="preserve"> 投标人须知</w:t>
      </w:r>
      <w:bookmarkEnd w:id="1"/>
    </w:p>
    <w:p>
      <w:pPr>
        <w:spacing w:line="360" w:lineRule="auto"/>
        <w:ind w:firstLine="157" w:firstLineChars="49"/>
        <w:rPr>
          <w:rFonts w:hint="eastAsia" w:ascii="黑体" w:hAnsi="黑体" w:eastAsia="黑体" w:cs="黑体"/>
          <w:kern w:val="2"/>
          <w:sz w:val="32"/>
          <w:szCs w:val="32"/>
          <w:highlight w:val="none"/>
          <w:lang w:eastAsia="zh-CN"/>
        </w:rPr>
      </w:pPr>
      <w:r>
        <w:rPr>
          <w:rFonts w:hint="eastAsia" w:ascii="黑体" w:hAnsi="黑体" w:eastAsia="黑体"/>
          <w:b/>
          <w:bCs/>
          <w:sz w:val="32"/>
          <w:highlight w:val="none"/>
        </w:rPr>
        <w:t xml:space="preserve"> </w:t>
      </w:r>
      <w:r>
        <w:rPr>
          <w:rFonts w:hint="eastAsia" w:ascii="黑体" w:hAnsi="黑体" w:eastAsia="黑体"/>
          <w:b/>
          <w:bCs/>
          <w:sz w:val="32"/>
          <w:highlight w:val="none"/>
          <w:lang w:val="en-US" w:eastAsia="zh-CN"/>
        </w:rPr>
        <w:t xml:space="preserve">    </w:t>
      </w:r>
      <w:r>
        <w:rPr>
          <w:rFonts w:hint="eastAsia" w:ascii="黑体" w:hAnsi="黑体" w:eastAsia="黑体" w:cs="黑体"/>
          <w:kern w:val="2"/>
          <w:sz w:val="32"/>
          <w:szCs w:val="32"/>
          <w:highlight w:val="none"/>
          <w:lang w:eastAsia="zh-CN"/>
        </w:rPr>
        <w:t>一、说明</w:t>
      </w:r>
    </w:p>
    <w:p>
      <w:pPr>
        <w:spacing w:line="360" w:lineRule="auto"/>
        <w:ind w:left="182" w:leftChars="76"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（一）投标前，投标人必须仔细阅读招标文件。若投标人认为招标文件有模糊或不清之处，</w:t>
      </w:r>
      <w:r>
        <w:rPr>
          <w:rFonts w:hint="eastAsia" w:ascii="仿宋_GB2312" w:hAnsi="宋体" w:eastAsia="仿宋_GB2312"/>
          <w:bCs/>
          <w:sz w:val="32"/>
          <w:szCs w:val="32"/>
          <w:highlight w:val="none"/>
          <w:lang w:eastAsia="zh-CN"/>
        </w:rPr>
        <w:t>请</w:t>
      </w:r>
      <w:r>
        <w:rPr>
          <w:rFonts w:hint="eastAsia" w:ascii="仿宋_GB2312" w:hAnsi="宋体" w:eastAsia="仿宋_GB2312"/>
          <w:bCs/>
          <w:sz w:val="32"/>
          <w:szCs w:val="32"/>
          <w:highlight w:val="none"/>
        </w:rPr>
        <w:t>与</w:t>
      </w:r>
      <w:r>
        <w:rPr>
          <w:rFonts w:hint="eastAsia" w:ascii="仿宋_GB2312" w:hAnsi="宋体" w:eastAsia="仿宋_GB2312"/>
          <w:bCs/>
          <w:sz w:val="32"/>
          <w:szCs w:val="32"/>
          <w:highlight w:val="none"/>
          <w:lang w:eastAsia="zh-CN"/>
        </w:rPr>
        <w:t>广州</w:t>
      </w:r>
      <w:r>
        <w:rPr>
          <w:rFonts w:hint="eastAsia" w:ascii="仿宋_GB2312" w:hAnsi="宋体" w:eastAsia="仿宋_GB2312"/>
          <w:bCs/>
          <w:sz w:val="32"/>
          <w:szCs w:val="32"/>
          <w:highlight w:val="none"/>
          <w:lang w:val="en-US" w:eastAsia="zh-CN"/>
        </w:rPr>
        <w:t>南沙旅游</w:t>
      </w:r>
      <w:r>
        <w:rPr>
          <w:rFonts w:hint="eastAsia" w:ascii="仿宋_GB2312" w:hAnsi="宋体" w:eastAsia="仿宋_GB2312"/>
          <w:bCs/>
          <w:sz w:val="32"/>
          <w:szCs w:val="32"/>
          <w:highlight w:val="none"/>
          <w:lang w:eastAsia="zh-CN"/>
        </w:rPr>
        <w:t>发展有限公司</w:t>
      </w:r>
      <w:r>
        <w:rPr>
          <w:rFonts w:hint="eastAsia" w:ascii="仿宋_GB2312" w:hAnsi="宋体" w:eastAsia="仿宋_GB2312"/>
          <w:bCs/>
          <w:sz w:val="32"/>
          <w:szCs w:val="32"/>
          <w:highlight w:val="none"/>
        </w:rPr>
        <w:t xml:space="preserve">进行联系。 </w:t>
      </w:r>
    </w:p>
    <w:p>
      <w:pPr>
        <w:spacing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ind w:left="1156" w:leftChars="-1" w:hanging="1158" w:hangingChars="362"/>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 xml:space="preserve">    联系地址：广州市南沙区</w:t>
      </w:r>
      <w:r>
        <w:rPr>
          <w:rFonts w:hint="eastAsia" w:ascii="仿宋_GB2312" w:hAnsi="宋体" w:eastAsia="仿宋_GB2312"/>
          <w:bCs/>
          <w:sz w:val="32"/>
          <w:szCs w:val="32"/>
          <w:highlight w:val="none"/>
          <w:lang w:val="en-US" w:eastAsia="zh-CN"/>
        </w:rPr>
        <w:t>天后路88号（天后宫办公室）</w:t>
      </w:r>
    </w:p>
    <w:p>
      <w:pPr>
        <w:spacing w:line="360" w:lineRule="auto"/>
        <w:ind w:left="182" w:leftChars="76"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lang w:eastAsia="zh-CN"/>
        </w:rPr>
        <w:t>（二）</w:t>
      </w:r>
      <w:r>
        <w:rPr>
          <w:rFonts w:hint="eastAsia" w:ascii="仿宋_GB2312" w:hAnsi="宋体" w:eastAsia="仿宋_GB2312"/>
          <w:bCs/>
          <w:sz w:val="32"/>
          <w:szCs w:val="32"/>
          <w:highlight w:val="none"/>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公司名称： 广州南沙旅游发展有限公司</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开户行名称：中国银行广州南沙科技园区支行 </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银行账号：644 457 756 045</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联系人：黄小姐 ，咨询电话：020-31151828  </w:t>
      </w:r>
    </w:p>
    <w:p>
      <w:pPr>
        <w:spacing w:line="360" w:lineRule="auto"/>
        <w:ind w:left="-2" w:leftChars="-1" w:firstLine="800" w:firstLineChars="250"/>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投标保证金：1万元</w:t>
      </w:r>
    </w:p>
    <w:p>
      <w:pPr>
        <w:spacing w:line="360" w:lineRule="auto"/>
        <w:ind w:left="-2" w:leftChars="-1" w:firstLine="800" w:firstLineChars="250"/>
        <w:jc w:val="both"/>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转账时投标人应注明投标人名称、拟投标的项目名称，投标保证金缴纳时间为</w:t>
      </w:r>
      <w:r>
        <w:rPr>
          <w:rFonts w:hint="eastAsia" w:ascii="仿宋_GB2312" w:hAnsi="宋体" w:eastAsia="仿宋_GB2312"/>
          <w:bCs/>
          <w:sz w:val="32"/>
          <w:szCs w:val="32"/>
          <w:highlight w:val="none"/>
          <w:lang w:val="en-US" w:eastAsia="zh-CN"/>
        </w:rPr>
        <w:t>：2023年6月8日17：00前，</w:t>
      </w:r>
      <w:r>
        <w:rPr>
          <w:rFonts w:hint="eastAsia" w:ascii="仿宋_GB2312" w:hAnsi="宋体" w:eastAsia="仿宋_GB2312"/>
          <w:bCs/>
          <w:sz w:val="32"/>
          <w:szCs w:val="32"/>
          <w:highlight w:val="none"/>
          <w:lang w:val="en-US" w:eastAsia="zh-CN"/>
        </w:rPr>
        <w:t>对投标保证金的确认以银行实际到账时间和到现场缴纳时间为准。投标人缴纳投标保证金后才有资格参加投标。</w:t>
      </w:r>
    </w:p>
    <w:p>
      <w:pPr>
        <w:spacing w:line="360" w:lineRule="auto"/>
        <w:ind w:left="182" w:leftChars="76" w:firstLine="640" w:firstLineChars="200"/>
        <w:jc w:val="both"/>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（三）投标时，需出示交纳投标保证金的银行转账单或收据复印件。</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val="en-US" w:eastAsia="zh-CN"/>
        </w:rPr>
        <w:t>（四）未中标供应商的投标保证金于开标后10个工作日内，原途无息退还；中标供应商的投标保证金于签订项目合同后10个工作日内，原途无息退还；</w:t>
      </w:r>
      <w:r>
        <w:rPr>
          <w:rFonts w:hint="eastAsia" w:ascii="仿宋_GB2312" w:hAnsi="宋体" w:eastAsia="仿宋_GB2312"/>
          <w:bCs/>
          <w:sz w:val="32"/>
          <w:szCs w:val="32"/>
          <w:highlight w:val="none"/>
          <w:lang w:val="en-US" w:eastAsia="zh-CN"/>
        </w:rPr>
        <w:t>已缴纳投标保证金的单位，无故不参加开标的，其投标保证金予以没收</w:t>
      </w:r>
      <w:r>
        <w:rPr>
          <w:rFonts w:hint="eastAsia" w:ascii="仿宋_GB2312" w:hAnsi="宋体" w:eastAsia="仿宋_GB2312"/>
          <w:bCs/>
          <w:sz w:val="32"/>
          <w:szCs w:val="32"/>
          <w:highlight w:val="none"/>
          <w:lang w:val="en-US" w:eastAsia="zh-CN"/>
        </w:rPr>
        <w:t>。</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（五）投标人应承担其编制与递交投标文件所涉及的一切费用，无论投标结果如何，招标人将不对上述费用负任何责任。</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（六）</w:t>
      </w:r>
      <w:r>
        <w:rPr>
          <w:rFonts w:hint="eastAsia" w:ascii="仿宋_GB2312" w:hAnsi="宋体" w:eastAsia="仿宋_GB2312"/>
          <w:bCs/>
          <w:sz w:val="32"/>
          <w:szCs w:val="32"/>
          <w:highlight w:val="none"/>
          <w:lang w:eastAsia="zh-CN"/>
        </w:rPr>
        <w:t>项目内容：</w:t>
      </w:r>
      <w:r>
        <w:rPr>
          <w:rFonts w:hint="eastAsia" w:ascii="仿宋_GB2312" w:hAnsi="仿宋_GB2312" w:eastAsia="仿宋_GB2312" w:cs="仿宋_GB2312"/>
          <w:b w:val="0"/>
          <w:bCs w:val="0"/>
          <w:kern w:val="2"/>
          <w:sz w:val="32"/>
          <w:szCs w:val="32"/>
          <w:highlight w:val="none"/>
          <w:lang w:val="en-US" w:eastAsia="zh-CN"/>
        </w:rPr>
        <w:t>旅游</w:t>
      </w:r>
      <w:r>
        <w:rPr>
          <w:rFonts w:hint="eastAsia" w:ascii="仿宋_GB2312" w:hAnsi="仿宋_GB2312" w:eastAsia="仿宋_GB2312" w:cs="仿宋_GB2312"/>
          <w:b w:val="0"/>
          <w:bCs w:val="0"/>
          <w:kern w:val="2"/>
          <w:sz w:val="32"/>
          <w:szCs w:val="32"/>
          <w:highlight w:val="none"/>
          <w:lang w:eastAsia="zh-CN"/>
        </w:rPr>
        <w:t>公司</w:t>
      </w:r>
      <w:r>
        <w:rPr>
          <w:rFonts w:hint="eastAsia" w:ascii="仿宋_GB2312" w:hAnsi="仿宋_GB2312" w:eastAsia="仿宋_GB2312" w:cs="仿宋_GB2312"/>
          <w:b w:val="0"/>
          <w:bCs w:val="0"/>
          <w:kern w:val="2"/>
          <w:sz w:val="32"/>
          <w:szCs w:val="32"/>
          <w:highlight w:val="none"/>
        </w:rPr>
        <w:t>食材配送服务</w:t>
      </w:r>
      <w:r>
        <w:rPr>
          <w:rFonts w:hint="eastAsia" w:ascii="仿宋_GB2312" w:hAnsi="仿宋_GB2312" w:eastAsia="仿宋_GB2312" w:cs="仿宋_GB2312"/>
          <w:kern w:val="2"/>
          <w:sz w:val="32"/>
          <w:szCs w:val="32"/>
          <w:highlight w:val="none"/>
          <w:lang w:eastAsia="zh-CN"/>
        </w:rPr>
        <w:t>（粮油面类/米面豆制品类/酱料干货类）（</w:t>
      </w:r>
      <w:r>
        <w:rPr>
          <w:rFonts w:hint="eastAsia" w:ascii="仿宋_GB2312" w:hAnsi="仿宋_GB2312" w:eastAsia="仿宋_GB2312" w:cs="仿宋_GB2312"/>
          <w:kern w:val="2"/>
          <w:sz w:val="32"/>
          <w:szCs w:val="32"/>
          <w:highlight w:val="none"/>
          <w:lang w:val="en-US" w:eastAsia="zh-CN"/>
        </w:rPr>
        <w:t>第二次）</w:t>
      </w:r>
      <w:r>
        <w:rPr>
          <w:rFonts w:hint="eastAsia" w:ascii="仿宋_GB2312" w:hAnsi="宋体" w:eastAsia="仿宋_GB2312"/>
          <w:bCs/>
          <w:sz w:val="32"/>
          <w:szCs w:val="32"/>
          <w:highlight w:val="none"/>
          <w:lang w:eastAsia="zh-CN"/>
        </w:rPr>
        <w:t>，见附件三</w:t>
      </w:r>
      <w:r>
        <w:rPr>
          <w:rFonts w:hint="eastAsia" w:ascii="仿宋_GB2312" w:hAnsi="Calibri" w:eastAsia="仿宋_GB2312" w:cs="Times New Roman"/>
          <w:kern w:val="2"/>
          <w:sz w:val="32"/>
          <w:szCs w:val="32"/>
          <w:highlight w:val="none"/>
          <w:lang w:eastAsia="zh-CN"/>
        </w:rPr>
        <w:t>《用户需求书》</w:t>
      </w:r>
      <w:r>
        <w:rPr>
          <w:rFonts w:hint="eastAsia" w:ascii="仿宋_GB2312" w:hAnsi="宋体" w:eastAsia="仿宋_GB2312"/>
          <w:bCs/>
          <w:sz w:val="32"/>
          <w:szCs w:val="32"/>
          <w:highlight w:val="none"/>
          <w:lang w:eastAsia="zh-CN"/>
        </w:rPr>
        <w:t>。</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二</w:t>
      </w:r>
      <w:r>
        <w:rPr>
          <w:rFonts w:hint="eastAsia" w:ascii="黑体" w:hAnsi="黑体" w:eastAsia="黑体" w:cs="黑体"/>
          <w:kern w:val="2"/>
          <w:sz w:val="32"/>
          <w:szCs w:val="32"/>
          <w:highlight w:val="none"/>
          <w:lang w:eastAsia="zh-CN"/>
        </w:rPr>
        <w:t>、投标文件的递交</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（一）在投标时，投标人应视为已检阅过招标文件，且同意招标文件中所要求的条款。</w:t>
      </w:r>
    </w:p>
    <w:p>
      <w:pPr>
        <w:spacing w:line="360" w:lineRule="auto"/>
        <w:ind w:left="22" w:leftChars="9"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（二）</w:t>
      </w:r>
      <w:r>
        <w:rPr>
          <w:rFonts w:hint="eastAsia" w:ascii="仿宋_GB2312" w:hAnsi="宋体" w:eastAsia="仿宋_GB2312"/>
          <w:bCs/>
          <w:sz w:val="32"/>
          <w:szCs w:val="32"/>
          <w:highlight w:val="none"/>
        </w:rPr>
        <w:t>投标文件一式</w:t>
      </w:r>
      <w:r>
        <w:rPr>
          <w:rFonts w:hint="eastAsia" w:ascii="仿宋_GB2312" w:hAnsi="宋体" w:eastAsia="仿宋_GB2312"/>
          <w:bCs/>
          <w:sz w:val="32"/>
          <w:szCs w:val="32"/>
          <w:highlight w:val="none"/>
          <w:lang w:eastAsia="zh-CN"/>
        </w:rPr>
        <w:t>伍</w:t>
      </w:r>
      <w:r>
        <w:rPr>
          <w:rFonts w:hint="eastAsia" w:ascii="仿宋_GB2312" w:hAnsi="宋体" w:eastAsia="仿宋_GB2312"/>
          <w:bCs/>
          <w:sz w:val="32"/>
          <w:szCs w:val="32"/>
          <w:highlight w:val="none"/>
        </w:rPr>
        <w:t>份：其中纸质正本1份，纸质副本</w:t>
      </w:r>
      <w:r>
        <w:rPr>
          <w:rFonts w:hint="eastAsia" w:ascii="仿宋_GB2312" w:hAnsi="宋体" w:eastAsia="仿宋_GB2312"/>
          <w:bCs/>
          <w:sz w:val="32"/>
          <w:szCs w:val="32"/>
          <w:highlight w:val="none"/>
          <w:lang w:val="en-US" w:eastAsia="zh-CN"/>
        </w:rPr>
        <w:t>4</w:t>
      </w:r>
      <w:r>
        <w:rPr>
          <w:rFonts w:hint="eastAsia" w:ascii="仿宋_GB2312" w:hAnsi="宋体" w:eastAsia="仿宋_GB2312"/>
          <w:bCs/>
          <w:sz w:val="32"/>
          <w:szCs w:val="32"/>
          <w:highlight w:val="none"/>
        </w:rPr>
        <w:t>份，注明“正本”和“副本”字样，正本和副本分别封装，</w:t>
      </w:r>
      <w:r>
        <w:rPr>
          <w:rFonts w:hint="eastAsia" w:ascii="仿宋_GB2312" w:hAnsi="宋体" w:eastAsia="仿宋_GB2312"/>
          <w:bCs/>
          <w:sz w:val="32"/>
          <w:szCs w:val="32"/>
          <w:highlight w:val="none"/>
        </w:rPr>
        <w:t>在封口上加盖投标单位的公章。在信封或包装的封面上写明：</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收件人名称及地址:</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项目名称:</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投标人名称、地址:</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本公司不接受未按规定密封的投标文件。</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highlight w:val="none"/>
        </w:rPr>
      </w:pPr>
      <w:r>
        <w:rPr>
          <w:rFonts w:hint="eastAsia" w:ascii="仿宋_GB2312" w:hAnsi="宋体" w:eastAsia="仿宋_GB2312"/>
          <w:bCs/>
          <w:sz w:val="32"/>
          <w:szCs w:val="32"/>
          <w:highlight w:val="none"/>
        </w:rPr>
        <w:t>（四）本公司不接受电报、电话、电传、传真投标。</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三、投标及开标时间、评标标准</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（一）投标人完成标书并按规定做了密封和标记后必须</w:t>
      </w:r>
      <w:r>
        <w:rPr>
          <w:rFonts w:hint="eastAsia" w:ascii="仿宋_GB2312" w:hAnsi="宋体" w:eastAsia="仿宋_GB2312"/>
          <w:bCs/>
          <w:sz w:val="32"/>
          <w:szCs w:val="32"/>
          <w:highlight w:val="none"/>
        </w:rPr>
        <w:t>在</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6</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9</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lang w:val="en-US" w:eastAsia="zh-CN"/>
        </w:rPr>
        <w:t>下</w:t>
      </w:r>
      <w:r>
        <w:rPr>
          <w:rFonts w:hint="eastAsia" w:ascii="仿宋_GB2312" w:hAnsi="宋体" w:eastAsia="仿宋_GB2312" w:cs="宋体"/>
          <w:sz w:val="32"/>
          <w:szCs w:val="32"/>
          <w:highlight w:val="none"/>
        </w:rPr>
        <w:t>午</w:t>
      </w:r>
      <w:r>
        <w:rPr>
          <w:rFonts w:hint="eastAsia" w:ascii="仿宋_GB2312" w:hAnsi="宋体" w:eastAsia="仿宋_GB2312" w:cs="宋体"/>
          <w:sz w:val="32"/>
          <w:szCs w:val="32"/>
          <w:highlight w:val="none"/>
          <w:lang w:val="en-US" w:eastAsia="zh-CN"/>
        </w:rPr>
        <w:t>14时30分</w:t>
      </w:r>
      <w:r>
        <w:rPr>
          <w:rFonts w:hint="eastAsia" w:ascii="仿宋_GB2312" w:hAnsi="宋体" w:eastAsia="仿宋_GB2312"/>
          <w:bCs/>
          <w:sz w:val="32"/>
          <w:szCs w:val="32"/>
          <w:highlight w:val="none"/>
        </w:rPr>
        <w:t>前携相应的法定代表人证书和委托授权书等原件将投标书（密封）递交到广州市南沙区</w:t>
      </w:r>
      <w:r>
        <w:rPr>
          <w:rFonts w:hint="eastAsia" w:ascii="仿宋_GB2312" w:hAnsi="宋体" w:eastAsia="仿宋_GB2312"/>
          <w:bCs/>
          <w:sz w:val="32"/>
          <w:szCs w:val="32"/>
          <w:highlight w:val="none"/>
          <w:lang w:val="en-US" w:eastAsia="zh-CN"/>
        </w:rPr>
        <w:t>天后路88号之一旅游公司206评标室</w:t>
      </w:r>
      <w:r>
        <w:rPr>
          <w:rFonts w:hint="eastAsia" w:ascii="仿宋_GB2312" w:hAnsi="宋体" w:eastAsia="仿宋_GB2312"/>
          <w:bCs/>
          <w:sz w:val="32"/>
          <w:szCs w:val="32"/>
          <w:highlight w:val="none"/>
          <w:lang w:eastAsia="zh-CN"/>
        </w:rPr>
        <w:t>（</w:t>
      </w:r>
      <w:r>
        <w:rPr>
          <w:rFonts w:hint="eastAsia" w:ascii="仿宋_GB2312" w:hAnsi="宋体" w:eastAsia="仿宋_GB2312"/>
          <w:bCs/>
          <w:sz w:val="32"/>
          <w:szCs w:val="32"/>
          <w:highlight w:val="none"/>
        </w:rPr>
        <w:t>联系人</w:t>
      </w:r>
      <w:r>
        <w:rPr>
          <w:rFonts w:hint="eastAsia" w:ascii="仿宋_GB2312" w:hAnsi="宋体" w:eastAsia="仿宋_GB2312"/>
          <w:bCs/>
          <w:sz w:val="32"/>
          <w:szCs w:val="32"/>
          <w:highlight w:val="none"/>
          <w:lang w:eastAsia="zh-CN"/>
        </w:rPr>
        <w:t>：</w:t>
      </w:r>
      <w:r>
        <w:rPr>
          <w:rFonts w:hint="eastAsia" w:ascii="仿宋_GB2312" w:hAnsi="宋体" w:eastAsia="仿宋_GB2312"/>
          <w:bCs/>
          <w:sz w:val="32"/>
          <w:szCs w:val="32"/>
          <w:highlight w:val="none"/>
          <w:lang w:val="en-US" w:eastAsia="zh-CN"/>
        </w:rPr>
        <w:t>黄小姐</w:t>
      </w:r>
      <w:r>
        <w:rPr>
          <w:rFonts w:hint="eastAsia" w:ascii="仿宋_GB2312" w:hAnsi="宋体" w:eastAsia="仿宋_GB2312"/>
          <w:bCs/>
          <w:sz w:val="32"/>
          <w:szCs w:val="32"/>
          <w:highlight w:val="none"/>
        </w:rPr>
        <w:t>；联系电话：020-</w:t>
      </w:r>
      <w:r>
        <w:rPr>
          <w:rFonts w:hint="eastAsia" w:ascii="仿宋_GB2312" w:hAnsi="Calibri" w:eastAsia="仿宋_GB2312" w:cs="Times New Roman"/>
          <w:kern w:val="2"/>
          <w:sz w:val="32"/>
          <w:szCs w:val="32"/>
          <w:highlight w:val="none"/>
          <w:lang w:val="en-US" w:eastAsia="zh-CN" w:bidi="ar-SA"/>
        </w:rPr>
        <w:t>31151828</w:t>
      </w:r>
      <w:r>
        <w:rPr>
          <w:rFonts w:hint="eastAsia" w:ascii="仿宋_GB2312" w:hAnsi="宋体" w:eastAsia="仿宋_GB2312"/>
          <w:bCs/>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（二）开标时间和地点</w:t>
      </w:r>
      <w:r>
        <w:rPr>
          <w:rFonts w:hint="eastAsia" w:ascii="仿宋_GB2312" w:hAnsi="宋体" w:eastAsia="仿宋_GB2312"/>
          <w:bCs/>
          <w:sz w:val="32"/>
          <w:szCs w:val="32"/>
          <w:highlight w:val="none"/>
        </w:rPr>
        <w:t>：</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 xml:space="preserve">6 </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9</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lang w:val="en-US" w:eastAsia="zh-CN"/>
        </w:rPr>
        <w:t>下</w:t>
      </w:r>
      <w:r>
        <w:rPr>
          <w:rFonts w:hint="eastAsia" w:ascii="仿宋_GB2312" w:hAnsi="宋体" w:eastAsia="仿宋_GB2312" w:cs="宋体"/>
          <w:sz w:val="32"/>
          <w:szCs w:val="32"/>
          <w:highlight w:val="none"/>
        </w:rPr>
        <w:t>午</w:t>
      </w:r>
      <w:r>
        <w:rPr>
          <w:rFonts w:hint="eastAsia" w:ascii="仿宋_GB2312" w:hAnsi="宋体" w:eastAsia="仿宋_GB2312" w:cs="宋体"/>
          <w:sz w:val="32"/>
          <w:szCs w:val="32"/>
          <w:highlight w:val="none"/>
          <w:lang w:val="en-US" w:eastAsia="zh-CN"/>
        </w:rPr>
        <w:t>14时30</w:t>
      </w:r>
      <w:r>
        <w:rPr>
          <w:rFonts w:hint="eastAsia" w:ascii="仿宋_GB2312" w:hAnsi="宋体" w:eastAsia="仿宋_GB2312" w:cs="宋体"/>
          <w:sz w:val="32"/>
          <w:szCs w:val="32"/>
          <w:highlight w:val="none"/>
          <w:lang w:val="en-US" w:eastAsia="zh-CN"/>
        </w:rPr>
        <w:t>分</w:t>
      </w:r>
      <w:r>
        <w:rPr>
          <w:rFonts w:hint="eastAsia" w:ascii="仿宋_GB2312" w:hAnsi="宋体" w:eastAsia="仿宋_GB2312"/>
          <w:bCs/>
          <w:sz w:val="32"/>
          <w:szCs w:val="32"/>
          <w:highlight w:val="none"/>
        </w:rPr>
        <w:t>；地点：广州市南沙区</w:t>
      </w:r>
      <w:r>
        <w:rPr>
          <w:rFonts w:hint="eastAsia" w:ascii="仿宋_GB2312" w:hAnsi="宋体" w:eastAsia="仿宋_GB2312"/>
          <w:bCs/>
          <w:sz w:val="32"/>
          <w:szCs w:val="32"/>
          <w:highlight w:val="none"/>
          <w:lang w:val="en-US" w:eastAsia="zh-CN"/>
        </w:rPr>
        <w:t>天后路88号之一旅游公司206评标室</w:t>
      </w:r>
      <w:r>
        <w:rPr>
          <w:rFonts w:hint="eastAsia" w:ascii="仿宋_GB2312" w:hAnsi="宋体" w:eastAsia="仿宋_GB2312"/>
          <w:bCs/>
          <w:sz w:val="32"/>
          <w:szCs w:val="32"/>
          <w:highlight w:val="none"/>
        </w:rPr>
        <w:t>。</w:t>
      </w:r>
    </w:p>
    <w:p>
      <w:pPr>
        <w:spacing w:line="360" w:lineRule="auto"/>
        <w:ind w:firstLine="640" w:firstLineChars="200"/>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rPr>
        <w:t>（三）评标</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由招标人成立专门评标小组负责本次</w:t>
      </w:r>
      <w:r>
        <w:rPr>
          <w:rFonts w:hint="eastAsia" w:ascii="仿宋_GB2312" w:hAnsi="宋体" w:eastAsia="仿宋_GB2312" w:cs="宋体"/>
          <w:b w:val="0"/>
          <w:bCs w:val="0"/>
          <w:color w:val="auto"/>
          <w:kern w:val="0"/>
          <w:sz w:val="32"/>
          <w:szCs w:val="32"/>
          <w:highlight w:val="none"/>
          <w:lang w:val="en-US" w:eastAsia="zh-CN"/>
        </w:rPr>
        <w:t>旅游</w:t>
      </w:r>
      <w:r>
        <w:rPr>
          <w:rFonts w:hint="eastAsia" w:ascii="仿宋_GB2312" w:hAnsi="宋体" w:eastAsia="仿宋_GB2312" w:cs="宋体"/>
          <w:b w:val="0"/>
          <w:bCs w:val="0"/>
          <w:color w:val="auto"/>
          <w:kern w:val="0"/>
          <w:sz w:val="32"/>
          <w:szCs w:val="32"/>
          <w:highlight w:val="none"/>
          <w:lang w:eastAsia="zh-CN"/>
        </w:rPr>
        <w:t>公司</w:t>
      </w:r>
      <w:r>
        <w:rPr>
          <w:rFonts w:hint="eastAsia" w:ascii="仿宋_GB2312" w:hAnsi="宋体" w:eastAsia="仿宋_GB2312" w:cs="宋体"/>
          <w:b w:val="0"/>
          <w:bCs w:val="0"/>
          <w:color w:val="auto"/>
          <w:kern w:val="0"/>
          <w:sz w:val="32"/>
          <w:szCs w:val="32"/>
          <w:highlight w:val="none"/>
        </w:rPr>
        <w:t>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hAnsi="宋体" w:eastAsia="仿宋_GB2312" w:cs="宋体"/>
          <w:color w:val="auto"/>
          <w:kern w:val="0"/>
          <w:sz w:val="32"/>
          <w:szCs w:val="32"/>
          <w:highlight w:val="none"/>
          <w:lang w:val="en-US" w:eastAsia="zh-CN"/>
        </w:rPr>
        <w:t>第二次）</w:t>
      </w:r>
      <w:r>
        <w:rPr>
          <w:rFonts w:hint="eastAsia" w:ascii="仿宋_GB2312" w:hAnsi="宋体" w:eastAsia="仿宋_GB2312" w:cs="宋体"/>
          <w:color w:val="auto"/>
          <w:sz w:val="32"/>
          <w:szCs w:val="32"/>
          <w:highlight w:val="none"/>
        </w:rPr>
        <w:t>的评定工作。</w:t>
      </w:r>
    </w:p>
    <w:p>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（四）本项目采用综合评</w:t>
      </w:r>
      <w:r>
        <w:rPr>
          <w:rFonts w:hint="eastAsia" w:ascii="仿宋_GB2312" w:hAnsi="宋体" w:eastAsia="仿宋_GB2312" w:cs="宋体"/>
          <w:sz w:val="32"/>
          <w:szCs w:val="32"/>
          <w:highlight w:val="none"/>
          <w:lang w:val="en-US" w:eastAsia="zh-CN"/>
        </w:rPr>
        <w:t>审法</w:t>
      </w:r>
      <w:r>
        <w:rPr>
          <w:rFonts w:hint="eastAsia" w:ascii="仿宋_GB2312" w:hAnsi="宋体" w:eastAsia="仿宋_GB2312" w:cs="宋体"/>
          <w:sz w:val="32"/>
          <w:szCs w:val="32"/>
          <w:highlight w:val="none"/>
        </w:rPr>
        <w:t>，综合考虑</w:t>
      </w:r>
      <w:r>
        <w:rPr>
          <w:rFonts w:hint="eastAsia" w:ascii="仿宋_GB2312" w:hAnsi="宋体" w:eastAsia="仿宋_GB2312" w:cs="宋体"/>
          <w:sz w:val="32"/>
          <w:szCs w:val="32"/>
          <w:highlight w:val="none"/>
          <w:lang w:eastAsia="zh-CN"/>
        </w:rPr>
        <w:t>配送服务方案、同类服务业绩</w:t>
      </w:r>
      <w:r>
        <w:rPr>
          <w:rFonts w:hint="eastAsia" w:ascii="仿宋_GB2312" w:hAnsi="宋体" w:eastAsia="仿宋_GB2312" w:cs="宋体"/>
          <w:sz w:val="32"/>
          <w:szCs w:val="32"/>
          <w:highlight w:val="none"/>
        </w:rPr>
        <w:t>，从通过符合性审查的投标人中按计分办法给出相应的综合评分。</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cs="宋体"/>
          <w:sz w:val="32"/>
          <w:szCs w:val="32"/>
          <w:highlight w:val="none"/>
        </w:rPr>
        <w:t>（五）根据掌握的情况和本次评分办法给出客观公正的评分，</w:t>
      </w:r>
      <w:r>
        <w:rPr>
          <w:rFonts w:hint="eastAsia" w:ascii="仿宋_GB2312" w:hAnsi="宋体" w:eastAsia="仿宋_GB2312" w:cs="宋体"/>
          <w:sz w:val="32"/>
          <w:szCs w:val="32"/>
          <w:highlight w:val="none"/>
          <w:lang w:val="en-US" w:eastAsia="zh-CN"/>
        </w:rPr>
        <w:t>综合</w:t>
      </w:r>
      <w:r>
        <w:rPr>
          <w:rFonts w:hint="eastAsia" w:ascii="仿宋_GB2312" w:hAnsi="宋体" w:eastAsia="仿宋_GB2312" w:cs="宋体"/>
          <w:sz w:val="32"/>
          <w:szCs w:val="32"/>
          <w:highlight w:val="none"/>
        </w:rPr>
        <w:t>得分最高者为</w:t>
      </w:r>
      <w:r>
        <w:rPr>
          <w:rFonts w:hint="eastAsia" w:ascii="仿宋_GB2312" w:hAnsi="宋体" w:eastAsia="仿宋_GB2312" w:cs="宋体"/>
          <w:sz w:val="32"/>
          <w:szCs w:val="32"/>
          <w:highlight w:val="none"/>
          <w:lang w:val="en-US" w:eastAsia="zh-CN"/>
        </w:rPr>
        <w:t>第一</w:t>
      </w:r>
      <w:r>
        <w:rPr>
          <w:rFonts w:hint="eastAsia" w:ascii="仿宋_GB2312" w:hAnsi="宋体" w:eastAsia="仿宋_GB2312" w:cs="宋体"/>
          <w:sz w:val="32"/>
          <w:szCs w:val="32"/>
          <w:highlight w:val="none"/>
          <w:lang w:eastAsia="zh-CN"/>
        </w:rPr>
        <w:t>中标</w:t>
      </w:r>
      <w:r>
        <w:rPr>
          <w:rFonts w:hint="eastAsia" w:ascii="仿宋_GB2312" w:hAnsi="宋体" w:eastAsia="仿宋_GB2312" w:cs="宋体"/>
          <w:sz w:val="32"/>
          <w:szCs w:val="32"/>
          <w:highlight w:val="none"/>
          <w:lang w:val="en-US" w:eastAsia="zh-CN"/>
        </w:rPr>
        <w:t>候选人</w:t>
      </w:r>
      <w:r>
        <w:rPr>
          <w:rFonts w:hint="eastAsia" w:ascii="仿宋_GB2312" w:hAnsi="宋体" w:eastAsia="仿宋_GB2312" w:cs="宋体"/>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cs="宋体"/>
          <w:sz w:val="32"/>
          <w:szCs w:val="32"/>
          <w:highlight w:val="none"/>
        </w:rPr>
        <w:t>（六）</w:t>
      </w:r>
      <w:r>
        <w:rPr>
          <w:rFonts w:hint="eastAsia" w:ascii="仿宋_GB2312" w:hAnsi="宋体" w:eastAsia="仿宋_GB2312"/>
          <w:bCs/>
          <w:sz w:val="32"/>
          <w:szCs w:val="32"/>
          <w:highlight w:val="none"/>
        </w:rPr>
        <w:t>招标人有权利拒绝并原封退回在其规定的截止日期后收到的任何投标书。</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四、投标的修改</w:t>
      </w:r>
    </w:p>
    <w:p>
      <w:pPr>
        <w:spacing w:line="360" w:lineRule="auto"/>
        <w:ind w:firstLine="627" w:firstLineChars="196"/>
        <w:rPr>
          <w:rFonts w:ascii="仿宋_GB2312" w:hAnsi="宋体" w:eastAsia="仿宋_GB2312"/>
          <w:b/>
          <w:bCs/>
          <w:sz w:val="32"/>
          <w:szCs w:val="32"/>
          <w:highlight w:val="none"/>
        </w:rPr>
      </w:pPr>
      <w:r>
        <w:rPr>
          <w:rFonts w:hint="eastAsia" w:ascii="仿宋_GB2312" w:hAnsi="宋体" w:eastAsia="仿宋_GB2312"/>
          <w:bCs/>
          <w:sz w:val="32"/>
          <w:szCs w:val="32"/>
          <w:highlight w:val="none"/>
        </w:rPr>
        <w:t>在投标截止时间前投标人可以修改其投标，但必须以书面形式通知本公司，投标截止后不得修改其投标。</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五、投标有效期</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（一）投标书应在截标</w:t>
      </w:r>
      <w:r>
        <w:rPr>
          <w:rFonts w:hint="eastAsia" w:ascii="仿宋_GB2312" w:hAnsi="宋体" w:eastAsia="仿宋_GB2312"/>
          <w:bCs/>
          <w:sz w:val="32"/>
          <w:szCs w:val="32"/>
          <w:highlight w:val="none"/>
          <w:lang w:val="en-US" w:eastAsia="zh-CN"/>
        </w:rPr>
        <w:t>9</w:t>
      </w:r>
      <w:r>
        <w:rPr>
          <w:rFonts w:hint="eastAsia" w:ascii="仿宋_GB2312" w:hAnsi="宋体" w:eastAsia="仿宋_GB2312"/>
          <w:bCs/>
          <w:sz w:val="32"/>
          <w:szCs w:val="32"/>
          <w:highlight w:val="none"/>
        </w:rPr>
        <w:t>0天内保持有效。投标有效期比规定时间短的，将被视为非响应而予以拒绝。</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（二）特殊情况下在原有投标有效期截止之前，招标人可征求投标人同意延长投标有效期。接受投标有效期延长的投标人将不会被要求和允许修正其投标书。</w:t>
      </w:r>
    </w:p>
    <w:p>
      <w:pPr>
        <w:ind w:firstLine="640" w:firstLineChars="200"/>
        <w:rPr>
          <w:rFonts w:ascii="黑体" w:hAnsi="黑体" w:eastAsia="黑体"/>
          <w:b/>
          <w:bCs/>
          <w:sz w:val="32"/>
          <w:highlight w:val="none"/>
        </w:rPr>
      </w:pPr>
      <w:r>
        <w:rPr>
          <w:rFonts w:hint="eastAsia" w:ascii="黑体" w:hAnsi="黑体" w:eastAsia="黑体" w:cs="黑体"/>
          <w:kern w:val="2"/>
          <w:sz w:val="32"/>
          <w:szCs w:val="32"/>
          <w:highlight w:val="none"/>
          <w:lang w:eastAsia="zh-CN"/>
        </w:rPr>
        <w:t>六、选取结果</w:t>
      </w:r>
    </w:p>
    <w:p>
      <w:pPr>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1.超出经营范围投标;</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2.投标人资格证明文件不全的;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3.投标文件无法人代表签字，或签字者无法人代表有效委托书的;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4.其他情况不满足招标文件要求;</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5.投标有效期不足的;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6.未按要求密封的投标文件。</w:t>
      </w:r>
    </w:p>
    <w:p>
      <w:pPr>
        <w:spacing w:line="360" w:lineRule="auto"/>
        <w:ind w:firstLine="640" w:firstLineChars="200"/>
        <w:rPr>
          <w:rFonts w:ascii="仿宋_GB2312" w:hAnsi="宋体" w:eastAsia="仿宋_GB2312"/>
          <w:bCs/>
          <w:sz w:val="32"/>
          <w:szCs w:val="32"/>
          <w:highlight w:val="none"/>
        </w:rPr>
      </w:pPr>
      <w:r>
        <w:rPr>
          <w:rFonts w:hint="eastAsia" w:ascii="黑体" w:hAnsi="黑体" w:eastAsia="黑体" w:cs="黑体"/>
          <w:kern w:val="2"/>
          <w:sz w:val="32"/>
          <w:szCs w:val="32"/>
          <w:highlight w:val="none"/>
          <w:lang w:eastAsia="zh-CN"/>
        </w:rPr>
        <w:t>七、计分方法（100分）：</w:t>
      </w:r>
      <w:r>
        <w:rPr>
          <w:rFonts w:hint="eastAsia" w:ascii="仿宋_GB2312" w:hAnsi="宋体" w:eastAsia="仿宋_GB2312"/>
          <w:bCs/>
          <w:sz w:val="32"/>
          <w:szCs w:val="32"/>
          <w:highlight w:val="none"/>
        </w:rPr>
        <w:t>计分办法细则详见附件</w:t>
      </w:r>
      <w:r>
        <w:rPr>
          <w:rFonts w:hint="eastAsia" w:ascii="仿宋_GB2312" w:hAnsi="宋体" w:eastAsia="仿宋_GB2312"/>
          <w:bCs/>
          <w:sz w:val="32"/>
          <w:szCs w:val="32"/>
          <w:highlight w:val="none"/>
          <w:lang w:eastAsia="zh-CN"/>
        </w:rPr>
        <w:t>五</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eastAsia="zh-CN"/>
        </w:rPr>
        <w:t>综合评审表</w:t>
      </w:r>
      <w:r>
        <w:rPr>
          <w:rFonts w:hint="eastAsia" w:ascii="仿宋_GB2312" w:hAnsi="宋体" w:eastAsia="仿宋_GB2312"/>
          <w:bCs/>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黑体" w:hAnsi="黑体" w:eastAsia="黑体" w:cs="黑体"/>
          <w:kern w:val="2"/>
          <w:sz w:val="32"/>
          <w:szCs w:val="32"/>
          <w:highlight w:val="none"/>
          <w:lang w:eastAsia="zh-CN"/>
        </w:rPr>
        <w:t>八、</w:t>
      </w:r>
      <w:r>
        <w:rPr>
          <w:rFonts w:hint="eastAsia" w:ascii="仿宋_GB2312" w:hAnsi="宋体" w:eastAsia="仿宋_GB2312"/>
          <w:bCs/>
          <w:sz w:val="32"/>
          <w:szCs w:val="32"/>
          <w:highlight w:val="none"/>
        </w:rPr>
        <w:t>对投标文件中的任何疑义或表达不清的内容，评标小组有权要求投标人予以澄清。</w:t>
      </w:r>
    </w:p>
    <w:p>
      <w:pPr>
        <w:spacing w:line="360" w:lineRule="auto"/>
        <w:ind w:firstLine="640" w:firstLineChars="200"/>
        <w:rPr>
          <w:rFonts w:hint="default" w:ascii="黑体" w:hAnsi="黑体" w:eastAsia="黑体"/>
          <w:b/>
          <w:bCs/>
          <w:sz w:val="32"/>
          <w:highlight w:val="none"/>
          <w:lang w:val="en-US"/>
        </w:rPr>
      </w:pPr>
      <w:r>
        <w:rPr>
          <w:rFonts w:hint="eastAsia" w:ascii="黑体" w:hAnsi="黑体" w:eastAsia="黑体" w:cs="黑体"/>
          <w:kern w:val="2"/>
          <w:sz w:val="32"/>
          <w:szCs w:val="32"/>
          <w:highlight w:val="none"/>
          <w:lang w:eastAsia="zh-CN"/>
        </w:rPr>
        <w:t>九、 授予合同</w:t>
      </w:r>
    </w:p>
    <w:p>
      <w:pPr>
        <w:spacing w:line="360" w:lineRule="auto"/>
        <w:ind w:firstLine="640" w:firstLineChars="200"/>
        <w:rPr>
          <w:rFonts w:ascii="楷体_GB2312" w:hAnsi="宋体" w:eastAsia="楷体_GB2312"/>
          <w:b/>
          <w:bCs/>
          <w:sz w:val="32"/>
          <w:szCs w:val="32"/>
          <w:highlight w:val="none"/>
        </w:rPr>
      </w:pPr>
      <w:r>
        <w:rPr>
          <w:rFonts w:hint="eastAsia" w:ascii="仿宋_GB2312" w:hAnsi="宋体" w:eastAsia="仿宋_GB2312"/>
          <w:bCs/>
          <w:sz w:val="32"/>
          <w:szCs w:val="32"/>
          <w:highlight w:val="none"/>
        </w:rPr>
        <w:t>（一）授标范围</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招标人保留在授标之前宣布招标无效的权利，并将不对受影响的投标人承担任何责任，也无义务向受影响的投标人解释。</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（二）中标通知书</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在投标有效期期满之前，招标人将用传真</w:t>
      </w:r>
      <w:r>
        <w:rPr>
          <w:rFonts w:hint="eastAsia" w:ascii="仿宋_GB2312" w:hAnsi="宋体" w:eastAsia="仿宋_GB2312"/>
          <w:bCs/>
          <w:sz w:val="32"/>
          <w:szCs w:val="32"/>
          <w:highlight w:val="none"/>
          <w:lang w:eastAsia="zh-CN"/>
        </w:rPr>
        <w:t>或电话</w:t>
      </w:r>
      <w:r>
        <w:rPr>
          <w:rFonts w:hint="eastAsia" w:ascii="仿宋_GB2312" w:hAnsi="宋体" w:eastAsia="仿宋_GB2312"/>
          <w:bCs/>
          <w:sz w:val="32"/>
          <w:szCs w:val="32"/>
          <w:highlight w:val="none"/>
        </w:rPr>
        <w:t>通知中标的投标人（简称</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）中标。无论双方有无签订正式的合同，中标通知书将是招标人和</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签订合同的一个组成部分。此中标通知书将视同招标人和</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签订的合同，并具有同等法律效力。</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（三）签订合同</w:t>
      </w:r>
    </w:p>
    <w:p>
      <w:pPr>
        <w:spacing w:line="360" w:lineRule="auto"/>
        <w:ind w:left="1280" w:hanging="1280" w:hangingChars="400"/>
        <w:rPr>
          <w:rFonts w:ascii="仿宋_GB2312" w:hAnsi="宋体" w:eastAsia="仿宋_GB2312"/>
          <w:bCs/>
          <w:sz w:val="32"/>
          <w:szCs w:val="32"/>
          <w:highlight w:val="none"/>
        </w:rPr>
      </w:pPr>
      <w:r>
        <w:rPr>
          <w:rFonts w:hint="eastAsia" w:ascii="仿宋_GB2312" w:hAnsi="宋体" w:eastAsia="仿宋_GB2312"/>
          <w:bCs/>
          <w:sz w:val="32"/>
          <w:szCs w:val="32"/>
          <w:highlight w:val="none"/>
        </w:rPr>
        <w:t xml:space="preserve">    </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必须与招标人签订由招标人所准备的合同。</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highlight w:val="none"/>
          <w:lang w:eastAsia="zh-CN"/>
        </w:rPr>
        <w:t>十、招标单位不接受非中标单位查询和解释。</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highlight w:val="none"/>
          <w:lang w:eastAsia="zh-CN"/>
        </w:rPr>
        <w:t>十一、</w:t>
      </w:r>
      <w:r>
        <w:rPr>
          <w:rFonts w:hint="eastAsia" w:ascii="仿宋_GB2312" w:hAnsi="宋体" w:eastAsia="仿宋_GB2312"/>
          <w:bCs/>
          <w:sz w:val="32"/>
          <w:szCs w:val="32"/>
          <w:highlight w:val="none"/>
        </w:rPr>
        <w:t>本次选取</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hAnsi="宋体" w:eastAsia="仿宋_GB2312" w:cs="宋体"/>
          <w:color w:val="auto"/>
          <w:kern w:val="0"/>
          <w:sz w:val="32"/>
          <w:szCs w:val="32"/>
          <w:highlight w:val="none"/>
          <w:lang w:val="en-US" w:eastAsia="zh-CN"/>
        </w:rPr>
        <w:t>第二次）</w:t>
      </w:r>
      <w:r>
        <w:rPr>
          <w:rFonts w:hint="eastAsia" w:ascii="仿宋_GB2312" w:eastAsia="仿宋_GB2312"/>
          <w:sz w:val="32"/>
          <w:szCs w:val="32"/>
          <w:highlight w:val="none"/>
          <w:lang w:eastAsia="zh-CN"/>
        </w:rPr>
        <w:t>实施</w:t>
      </w:r>
      <w:r>
        <w:rPr>
          <w:rFonts w:hint="eastAsia" w:ascii="仿宋_GB2312" w:hAnsi="宋体" w:eastAsia="仿宋_GB2312"/>
          <w:bCs/>
          <w:sz w:val="32"/>
          <w:szCs w:val="32"/>
          <w:highlight w:val="none"/>
        </w:rPr>
        <w:t>单位后将给予书面通知评定结果，确定后将作为</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w:t>
      </w:r>
      <w:r>
        <w:rPr>
          <w:rFonts w:hint="eastAsia" w:ascii="仿宋_GB2312" w:hAnsi="Calibri" w:eastAsia="仿宋_GB2312" w:cs="Times New Roman"/>
          <w:kern w:val="2"/>
          <w:sz w:val="32"/>
          <w:szCs w:val="32"/>
          <w:highlight w:val="none"/>
          <w:lang w:val="en-US" w:eastAsia="zh-CN"/>
        </w:rPr>
        <w:t>天后宫景区（饭堂、餐厅、默娘之家）食</w:t>
      </w:r>
      <w:r>
        <w:rPr>
          <w:rFonts w:hint="eastAsia" w:ascii="仿宋_GB2312" w:eastAsia="仿宋_GB2312"/>
          <w:sz w:val="32"/>
          <w:szCs w:val="32"/>
          <w:highlight w:val="none"/>
          <w:lang w:eastAsia="zh-CN"/>
        </w:rPr>
        <w:t>材配送服务的实施</w:t>
      </w:r>
      <w:r>
        <w:rPr>
          <w:rFonts w:hint="eastAsia" w:ascii="仿宋_GB2312" w:eastAsia="仿宋_GB2312"/>
          <w:sz w:val="32"/>
          <w:szCs w:val="32"/>
          <w:highlight w:val="none"/>
        </w:rPr>
        <w:t>单位</w:t>
      </w:r>
      <w:r>
        <w:rPr>
          <w:rFonts w:hint="eastAsia" w:ascii="仿宋_GB2312" w:hAnsi="宋体" w:eastAsia="仿宋_GB2312"/>
          <w:bCs/>
          <w:sz w:val="32"/>
          <w:szCs w:val="32"/>
          <w:highlight w:val="none"/>
        </w:rPr>
        <w:t>。</w:t>
      </w:r>
    </w:p>
    <w:p>
      <w:pPr>
        <w:spacing w:line="360" w:lineRule="auto"/>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十二、选取过程监督</w:t>
      </w:r>
    </w:p>
    <w:p>
      <w:pPr>
        <w:snapToGrid w:val="0"/>
        <w:spacing w:line="360" w:lineRule="auto"/>
        <w:ind w:left="0" w:leftChars="0" w:firstLine="640" w:firstLineChars="200"/>
        <w:jc w:val="both"/>
        <w:outlineLvl w:val="9"/>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为确保选取过程公开透明，本次</w:t>
      </w:r>
      <w:r>
        <w:rPr>
          <w:rFonts w:hint="eastAsia" w:ascii="仿宋_GB2312" w:hAnsi="宋体" w:eastAsia="仿宋_GB2312"/>
          <w:bCs/>
          <w:sz w:val="32"/>
          <w:szCs w:val="32"/>
          <w:highlight w:val="none"/>
          <w:lang w:val="en-US" w:eastAsia="zh-CN"/>
        </w:rPr>
        <w:t>旅游</w:t>
      </w:r>
      <w:r>
        <w:rPr>
          <w:rFonts w:hint="eastAsia" w:ascii="仿宋_GB2312" w:hAnsi="宋体" w:eastAsia="仿宋_GB2312"/>
          <w:bCs/>
          <w:sz w:val="32"/>
          <w:szCs w:val="32"/>
          <w:highlight w:val="none"/>
          <w:lang w:eastAsia="zh-CN"/>
        </w:rPr>
        <w:t>公司食材配送服务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hAnsi="宋体" w:eastAsia="仿宋_GB2312" w:cs="宋体"/>
          <w:color w:val="auto"/>
          <w:kern w:val="0"/>
          <w:sz w:val="32"/>
          <w:szCs w:val="32"/>
          <w:highlight w:val="none"/>
          <w:lang w:val="en-US" w:eastAsia="zh-CN"/>
        </w:rPr>
        <w:t>第二次）</w:t>
      </w:r>
      <w:r>
        <w:rPr>
          <w:rFonts w:hint="eastAsia" w:ascii="仿宋_GB2312" w:hAnsi="宋体" w:eastAsia="仿宋_GB2312"/>
          <w:bCs/>
          <w:sz w:val="32"/>
          <w:szCs w:val="32"/>
          <w:highlight w:val="none"/>
          <w:lang w:eastAsia="zh-CN"/>
        </w:rPr>
        <w:t>实施</w:t>
      </w:r>
      <w:r>
        <w:rPr>
          <w:rFonts w:hint="eastAsia" w:ascii="仿宋_GB2312" w:hAnsi="宋体" w:eastAsia="仿宋_GB2312"/>
          <w:bCs/>
          <w:sz w:val="32"/>
          <w:szCs w:val="32"/>
          <w:highlight w:val="none"/>
        </w:rPr>
        <w:t>单位的选取工作，全程接受招标人纪检人员的监督。</w:t>
      </w:r>
    </w:p>
    <w:p>
      <w:pPr>
        <w:spacing w:line="360" w:lineRule="auto"/>
        <w:ind w:firstLine="643" w:firstLineChars="200"/>
        <w:jc w:val="center"/>
        <w:outlineLvl w:val="0"/>
        <w:rPr>
          <w:rFonts w:hint="eastAsia" w:ascii="黑体" w:hAnsi="黑体" w:eastAsia="黑体"/>
          <w:b/>
          <w:bCs/>
          <w:sz w:val="32"/>
          <w:highlight w:val="none"/>
        </w:rPr>
      </w:pPr>
      <w:r>
        <w:rPr>
          <w:rFonts w:hint="eastAsia" w:ascii="黑体" w:hAnsi="黑体" w:eastAsia="黑体"/>
          <w:b/>
          <w:bCs/>
          <w:sz w:val="32"/>
          <w:highlight w:val="none"/>
        </w:rPr>
        <w:br w:type="page"/>
      </w:r>
      <w:r>
        <w:rPr>
          <w:rFonts w:hint="eastAsia" w:ascii="黑体" w:hAnsi="黑体" w:eastAsia="黑体"/>
          <w:b/>
          <w:bCs/>
          <w:sz w:val="32"/>
          <w:highlight w:val="none"/>
        </w:rPr>
        <w:t>第三部分 投标文件格式</w:t>
      </w:r>
    </w:p>
    <w:p>
      <w:pPr>
        <w:pStyle w:val="14"/>
        <w:bidi w:val="0"/>
        <w:spacing w:line="360" w:lineRule="auto"/>
        <w:ind w:firstLine="720" w:firstLineChars="225"/>
        <w:rPr>
          <w:rFonts w:ascii="宋体" w:hAnsi="宋体"/>
          <w:b/>
          <w:sz w:val="24"/>
          <w:szCs w:val="24"/>
          <w:highlight w:val="none"/>
        </w:rPr>
      </w:pPr>
      <w:bookmarkStart w:id="4" w:name="_Toc42394675"/>
      <w:bookmarkStart w:id="5" w:name="_Toc41884710"/>
      <w:bookmarkStart w:id="6" w:name="_Toc50276168"/>
      <w:bookmarkStart w:id="7" w:name="_Toc98579013"/>
      <w:bookmarkStart w:id="8" w:name="_Toc38947810"/>
      <w:bookmarkStart w:id="9" w:name="_Toc98579071"/>
      <w:bookmarkStart w:id="10" w:name="_Toc40762377"/>
      <w:bookmarkStart w:id="11" w:name="_Toc41723940"/>
      <w:bookmarkStart w:id="12" w:name="_Toc38947809"/>
      <w:bookmarkStart w:id="13" w:name="_Toc175644396"/>
      <w:bookmarkStart w:id="14" w:name="_Toc175106977"/>
      <w:bookmarkStart w:id="15" w:name="_Toc41723939"/>
      <w:bookmarkStart w:id="16" w:name="_Toc42394520"/>
      <w:bookmarkStart w:id="17" w:name="_Toc98580295"/>
      <w:bookmarkStart w:id="18" w:name="_Toc41884709"/>
      <w:bookmarkStart w:id="19" w:name="_Toc101843134"/>
      <w:bookmarkStart w:id="20" w:name="_Toc98579612"/>
      <w:bookmarkStart w:id="21" w:name="_Toc50276167"/>
      <w:bookmarkStart w:id="22" w:name="_Toc42313176"/>
      <w:bookmarkStart w:id="23" w:name="_Toc42313175"/>
      <w:bookmarkStart w:id="24" w:name="_Toc42394676"/>
      <w:bookmarkStart w:id="25" w:name="_Toc101775134"/>
      <w:bookmarkStart w:id="26" w:name="_Toc40762378"/>
      <w:bookmarkStart w:id="27" w:name="_Toc42394519"/>
      <w:bookmarkStart w:id="28" w:name="_Toc101951272"/>
      <w:bookmarkStart w:id="29" w:name="_Toc101771381"/>
      <w:r>
        <w:rPr>
          <w:rFonts w:hint="eastAsia" w:ascii="仿宋_GB2312" w:hAnsi="仿宋_GB2312" w:eastAsia="仿宋_GB2312" w:cs="仿宋_GB2312"/>
          <w:sz w:val="32"/>
          <w:szCs w:val="32"/>
          <w:highlight w:val="none"/>
        </w:rPr>
        <w:t>投标文件</w:t>
      </w:r>
      <w:r>
        <w:rPr>
          <w:rFonts w:hint="eastAsia" w:ascii="仿宋_GB2312" w:hAnsi="仿宋_GB2312" w:eastAsia="仿宋_GB2312" w:cs="仿宋_GB2312"/>
          <w:sz w:val="32"/>
          <w:szCs w:val="32"/>
          <w:highlight w:val="none"/>
          <w:lang w:val="zh-CN"/>
        </w:rPr>
        <w:t>包括但不限于以下组成内容，请按要求制作，有提供格式文件的请按格式要求提交。</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38"/>
        <w:tblW w:w="5023"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36"/>
        <w:gridCol w:w="6193"/>
        <w:gridCol w:w="13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序号</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内容</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法定代表人证明书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法定代表人授权委托书（法定代表人亲自办理投标事宜的，则无需提交本证明书）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企业法人营业执照</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食品流通许可证或食品经营许可证</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“信用中国”网站（www. creditchina. gov. cn）“失信被执行人或企业经营异常名录或重大税收违法案件当事人名单”（提供以上信用信息查询记录其中一项截图）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报价表</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8</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证书资料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9</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业绩证明</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10</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公司注册地址距离南沙天后宫景区在高德或百度地图中显示的公里数距离截图。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投标人认为有必要说明的其他商务文件资料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服务文件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质量保障方案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配送方案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应急方案及质量问题退换货方案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内控机制及廉政措施</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食品安全责任保险方案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投标人认为有必要说明的其他服务文件资料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bl>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1"/>
        <w:rPr>
          <w:rFonts w:ascii="黑体" w:hAnsi="黑体" w:eastAsia="黑体"/>
          <w:b/>
          <w:bCs/>
          <w:sz w:val="28"/>
          <w:szCs w:val="28"/>
          <w:highlight w:val="none"/>
        </w:rPr>
      </w:pPr>
      <w:r>
        <w:rPr>
          <w:rFonts w:hint="eastAsia"/>
          <w:b/>
          <w:sz w:val="28"/>
          <w:szCs w:val="28"/>
          <w:highlight w:val="none"/>
        </w:rPr>
        <w:t>附件一</w:t>
      </w:r>
    </w:p>
    <w:bookmarkEnd w:id="2"/>
    <w:bookmarkEnd w:id="3"/>
    <w:p>
      <w:pPr>
        <w:spacing w:line="500" w:lineRule="exact"/>
        <w:jc w:val="center"/>
        <w:outlineLvl w:val="9"/>
        <w:rPr>
          <w:rFonts w:ascii="宋体" w:hAnsi="宋体"/>
          <w:b/>
          <w:bCs/>
          <w:color w:val="000000"/>
          <w:sz w:val="36"/>
          <w:szCs w:val="36"/>
          <w:highlight w:val="none"/>
        </w:rPr>
      </w:pPr>
      <w:bookmarkStart w:id="30" w:name="_Toc79399453"/>
      <w:bookmarkStart w:id="31" w:name="_Toc79822206"/>
      <w:bookmarkStart w:id="32" w:name="_Toc79834503"/>
      <w:bookmarkStart w:id="33" w:name="_Toc508724461"/>
      <w:r>
        <w:rPr>
          <w:rFonts w:hint="eastAsia" w:ascii="宋体" w:hAnsi="宋体"/>
          <w:b/>
          <w:bCs/>
          <w:color w:val="000000"/>
          <w:sz w:val="36"/>
          <w:szCs w:val="36"/>
          <w:highlight w:val="none"/>
        </w:rPr>
        <w:t>投  标  书</w:t>
      </w:r>
      <w:bookmarkEnd w:id="30"/>
      <w:bookmarkEnd w:id="31"/>
      <w:bookmarkEnd w:id="32"/>
    </w:p>
    <w:p>
      <w:pPr>
        <w:outlineLvl w:val="9"/>
        <w:rPr>
          <w:rFonts w:ascii="宋体" w:hAnsi="宋体"/>
          <w:color w:val="000000"/>
          <w:highlight w:val="none"/>
        </w:rPr>
      </w:pPr>
    </w:p>
    <w:p>
      <w:pPr>
        <w:outlineLvl w:val="9"/>
        <w:rPr>
          <w:rFonts w:ascii="宋体" w:hAnsi="宋体"/>
          <w:color w:val="000000"/>
          <w:highlight w:val="none"/>
        </w:rPr>
      </w:pPr>
    </w:p>
    <w:p>
      <w:pPr>
        <w:spacing w:line="360" w:lineRule="auto"/>
        <w:outlineLvl w:val="9"/>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广州南沙旅游发展有限公司</w:t>
      </w:r>
      <w:r>
        <w:rPr>
          <w:rFonts w:hint="eastAsia" w:ascii="宋体" w:hAnsi="宋体"/>
          <w:color w:val="000000"/>
          <w:sz w:val="24"/>
          <w:highlight w:val="none"/>
          <w:u w:val="single"/>
        </w:rPr>
        <w:t xml:space="preserve">     </w:t>
      </w:r>
    </w:p>
    <w:p>
      <w:pPr>
        <w:spacing w:line="360" w:lineRule="auto"/>
        <w:ind w:firstLine="480"/>
        <w:outlineLvl w:val="9"/>
        <w:rPr>
          <w:rFonts w:ascii="宋体" w:hAnsi="宋体"/>
          <w:color w:val="000000"/>
          <w:sz w:val="24"/>
          <w:highlight w:val="none"/>
        </w:rPr>
      </w:pPr>
    </w:p>
    <w:p>
      <w:pPr>
        <w:widowControl/>
        <w:numPr>
          <w:ilvl w:val="0"/>
          <w:numId w:val="0"/>
        </w:numPr>
        <w:spacing w:beforeLines="0" w:afterLines="0" w:line="240" w:lineRule="auto"/>
        <w:ind w:firstLine="480" w:firstLineChars="200"/>
        <w:jc w:val="left"/>
        <w:outlineLvl w:val="9"/>
        <w:rPr>
          <w:rFonts w:ascii="宋体"/>
          <w:color w:val="000000"/>
          <w:sz w:val="24"/>
          <w:highlight w:val="none"/>
        </w:rPr>
      </w:pPr>
      <w:r>
        <w:rPr>
          <w:rFonts w:hint="eastAsia" w:ascii="宋体"/>
          <w:color w:val="000000"/>
          <w:sz w:val="24"/>
          <w:highlight w:val="none"/>
        </w:rPr>
        <w:t>1.我们收到贵方</w:t>
      </w:r>
      <w:r>
        <w:rPr>
          <w:rFonts w:hint="eastAsia" w:ascii="宋体"/>
          <w:color w:val="000000"/>
          <w:sz w:val="24"/>
          <w:highlight w:val="none"/>
          <w:u w:val="single"/>
        </w:rPr>
        <w:t xml:space="preserve">  </w:t>
      </w:r>
      <w:r>
        <w:rPr>
          <w:rFonts w:hint="eastAsia" w:ascii="宋体" w:hAnsi="宋体" w:eastAsia="宋体" w:cs="宋体"/>
          <w:b w:val="0"/>
          <w:bCs w:val="0"/>
          <w:color w:val="000000"/>
          <w:kern w:val="0"/>
          <w:sz w:val="24"/>
          <w:szCs w:val="24"/>
          <w:highlight w:val="none"/>
          <w:u w:val="single"/>
          <w:lang w:val="en-US" w:eastAsia="zh-CN"/>
        </w:rPr>
        <w:t>旅游公司食材配送服务（粮油面类/米面豆制品类/酱料干货类）</w:t>
      </w:r>
      <w:r>
        <w:rPr>
          <w:rFonts w:hint="eastAsia" w:ascii="宋体" w:hAnsi="宋体" w:cs="宋体"/>
          <w:b w:val="0"/>
          <w:bCs w:val="0"/>
          <w:color w:val="000000"/>
          <w:kern w:val="0"/>
          <w:sz w:val="24"/>
          <w:szCs w:val="24"/>
          <w:highlight w:val="none"/>
          <w:u w:val="single"/>
          <w:lang w:val="en-US" w:eastAsia="zh-CN"/>
        </w:rPr>
        <w:t>（第二次）</w:t>
      </w:r>
      <w:r>
        <w:rPr>
          <w:rFonts w:hint="eastAsia" w:ascii="宋体"/>
          <w:color w:val="000000"/>
          <w:sz w:val="24"/>
          <w:highlight w:val="none"/>
        </w:rPr>
        <w:t>的招标邀请。经研究，愿提供邀请招标文件要求的专项服务，并满足邀请招标文件提出的各项规定和要求。</w:t>
      </w:r>
    </w:p>
    <w:p>
      <w:pPr>
        <w:spacing w:line="360" w:lineRule="auto"/>
        <w:ind w:firstLine="480"/>
        <w:outlineLvl w:val="9"/>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如果贵方接受我方投标，我方保证按</w:t>
      </w:r>
      <w:r>
        <w:rPr>
          <w:rFonts w:hint="eastAsia" w:ascii="宋体"/>
          <w:color w:val="000000"/>
          <w:sz w:val="24"/>
          <w:highlight w:val="none"/>
        </w:rPr>
        <w:t>邀请招标文件</w:t>
      </w:r>
      <w:r>
        <w:rPr>
          <w:rFonts w:hint="eastAsia" w:ascii="宋体" w:hAnsi="宋体"/>
          <w:color w:val="000000"/>
          <w:sz w:val="24"/>
          <w:highlight w:val="none"/>
        </w:rPr>
        <w:t>的要求完成服务工作。</w:t>
      </w:r>
    </w:p>
    <w:p>
      <w:pPr>
        <w:spacing w:line="360" w:lineRule="auto"/>
        <w:ind w:firstLine="480" w:firstLineChars="200"/>
        <w:outlineLvl w:val="9"/>
        <w:rPr>
          <w:color w:val="000000"/>
          <w:sz w:val="24"/>
          <w:highlight w:val="none"/>
        </w:rPr>
      </w:pPr>
      <w:r>
        <w:rPr>
          <w:rFonts w:hint="eastAsia"/>
          <w:color w:val="000000"/>
          <w:sz w:val="24"/>
          <w:highlight w:val="none"/>
        </w:rPr>
        <w:t>3．如果我方在中标通知书写明的期限内未能或拒绝与你单位签订合同协议书，你单位有权另选中标单位。</w:t>
      </w:r>
    </w:p>
    <w:p>
      <w:pPr>
        <w:spacing w:line="360" w:lineRule="auto"/>
        <w:ind w:firstLine="510"/>
        <w:outlineLvl w:val="9"/>
        <w:rPr>
          <w:rFonts w:ascii="宋体"/>
          <w:color w:val="000000"/>
          <w:sz w:val="24"/>
          <w:highlight w:val="none"/>
        </w:rPr>
      </w:pPr>
      <w:r>
        <w:rPr>
          <w:rFonts w:hint="eastAsia" w:ascii="宋体"/>
          <w:color w:val="000000"/>
          <w:sz w:val="24"/>
          <w:highlight w:val="none"/>
        </w:rPr>
        <w:t>4</w:t>
      </w:r>
      <w:r>
        <w:rPr>
          <w:rFonts w:hint="eastAsia" w:ascii="宋体"/>
          <w:color w:val="000000"/>
          <w:sz w:val="24"/>
          <w:highlight w:val="none"/>
          <w:lang w:eastAsia="zh-CN"/>
        </w:rPr>
        <w:t>.</w:t>
      </w:r>
      <w:r>
        <w:rPr>
          <w:rFonts w:hint="eastAsia" w:ascii="宋体"/>
          <w:color w:val="000000"/>
          <w:sz w:val="24"/>
          <w:highlight w:val="none"/>
        </w:rPr>
        <w:t>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outlineLvl w:val="9"/>
        <w:rPr>
          <w:rFonts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我方理解，贵方可选择任何部分或全部项目与投标人签约，接受最低标价的投标。</w:t>
      </w:r>
      <w:r>
        <w:rPr>
          <w:rFonts w:hint="eastAsia"/>
          <w:color w:val="000000"/>
          <w:sz w:val="24"/>
          <w:highlight w:val="none"/>
        </w:rPr>
        <w:t>同时也理解，你单位不负担我们的任何投标费用。</w:t>
      </w:r>
    </w:p>
    <w:p>
      <w:pPr>
        <w:spacing w:line="360" w:lineRule="auto"/>
        <w:ind w:firstLine="480"/>
        <w:outlineLvl w:val="9"/>
        <w:rPr>
          <w:rFonts w:ascii="宋体" w:hAnsi="宋体"/>
          <w:color w:val="000000"/>
          <w:sz w:val="24"/>
          <w:highlight w:val="none"/>
        </w:rPr>
      </w:pPr>
    </w:p>
    <w:tbl>
      <w:tblPr>
        <w:tblStyle w:val="38"/>
        <w:tblpPr w:leftFromText="180" w:rightFromText="180" w:vertAnchor="text" w:horzAnchor="page" w:tblpX="1555" w:tblpY="431"/>
        <w:tblOverlap w:val="never"/>
        <w:tblW w:w="9199" w:type="dxa"/>
        <w:tblInd w:w="0" w:type="dxa"/>
        <w:tblLayout w:type="fixed"/>
        <w:tblCellMar>
          <w:top w:w="0" w:type="dxa"/>
          <w:left w:w="108" w:type="dxa"/>
          <w:bottom w:w="0" w:type="dxa"/>
          <w:right w:w="108" w:type="dxa"/>
        </w:tblCellMar>
      </w:tblPr>
      <w:tblGrid>
        <w:gridCol w:w="4549"/>
        <w:gridCol w:w="4650"/>
      </w:tblGrid>
      <w:tr>
        <w:trPr>
          <w:trHeight w:val="2166" w:hRule="atLeast"/>
        </w:trPr>
        <w:tc>
          <w:tcPr>
            <w:tcW w:w="4549" w:type="dxa"/>
            <w:noWrap w:val="0"/>
            <w:vAlign w:val="top"/>
          </w:tcPr>
          <w:p>
            <w:pPr>
              <w:spacing w:line="360" w:lineRule="auto"/>
              <w:outlineLvl w:val="9"/>
              <w:rPr>
                <w:rFonts w:ascii="宋体" w:hAnsi="宋体"/>
                <w:color w:val="000000"/>
                <w:sz w:val="24"/>
                <w:highlight w:val="none"/>
              </w:rPr>
            </w:pPr>
            <w:r>
              <w:rPr>
                <w:rFonts w:hint="eastAsia" w:ascii="宋体" w:hAnsi="宋体"/>
                <w:color w:val="000000"/>
                <w:sz w:val="24"/>
                <w:highlight w:val="none"/>
              </w:rPr>
              <w:t>投标人地址：</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rPr>
            </w:pPr>
            <w:r>
              <w:rPr>
                <w:rFonts w:hint="eastAsia" w:ascii="宋体" w:hAnsi="宋体"/>
                <w:color w:val="000000"/>
                <w:sz w:val="24"/>
                <w:highlight w:val="none"/>
              </w:rPr>
              <w:t>电      话：</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u w:val="single"/>
              </w:rPr>
            </w:pPr>
            <w:r>
              <w:rPr>
                <w:rFonts w:hint="eastAsia" w:ascii="宋体" w:hAnsi="宋体"/>
                <w:color w:val="000000"/>
                <w:sz w:val="24"/>
                <w:highlight w:val="none"/>
              </w:rPr>
              <w:t>传      真：</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rPr>
            </w:pPr>
            <w:r>
              <w:rPr>
                <w:rFonts w:hint="eastAsia" w:ascii="宋体" w:hAnsi="宋体"/>
                <w:color w:val="000000"/>
                <w:spacing w:val="40"/>
                <w:kern w:val="0"/>
                <w:sz w:val="24"/>
                <w:highlight w:val="none"/>
              </w:rPr>
              <w:t>邮政编</w:t>
            </w:r>
            <w:r>
              <w:rPr>
                <w:rFonts w:hint="eastAsia" w:ascii="宋体" w:hAnsi="宋体"/>
                <w:color w:val="000000"/>
                <w:kern w:val="0"/>
                <w:sz w:val="24"/>
                <w:highlight w:val="none"/>
              </w:rPr>
              <w:t>码</w:t>
            </w:r>
            <w:r>
              <w:rPr>
                <w:rFonts w:hint="eastAsia" w:ascii="宋体" w:hAnsi="宋体"/>
                <w:color w:val="000000"/>
                <w:sz w:val="24"/>
                <w:highlight w:val="none"/>
              </w:rPr>
              <w:t>：</w:t>
            </w:r>
            <w:r>
              <w:rPr>
                <w:rFonts w:hint="eastAsia" w:ascii="宋体" w:hAnsi="宋体"/>
                <w:color w:val="000000"/>
                <w:sz w:val="24"/>
                <w:highlight w:val="none"/>
                <w:u w:val="single"/>
              </w:rPr>
              <w:t xml:space="preserve">                      </w:t>
            </w:r>
          </w:p>
        </w:tc>
        <w:tc>
          <w:tcPr>
            <w:tcW w:w="4650" w:type="dxa"/>
            <w:noWrap w:val="0"/>
            <w:vAlign w:val="top"/>
          </w:tcPr>
          <w:p>
            <w:pPr>
              <w:spacing w:line="360" w:lineRule="auto"/>
              <w:outlineLvl w:val="9"/>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ascii="宋体" w:hAnsi="宋体"/>
                <w:color w:val="000000"/>
                <w:sz w:val="24"/>
                <w:highlight w:val="none"/>
                <w:u w:val="single"/>
              </w:rPr>
              <w:t>(</w:t>
            </w:r>
            <w:r>
              <w:rPr>
                <w:rFonts w:hint="eastAsia" w:ascii="宋体" w:hAnsi="宋体"/>
                <w:color w:val="000000"/>
                <w:sz w:val="24"/>
                <w:highlight w:val="none"/>
                <w:u w:val="single"/>
              </w:rPr>
              <w:t xml:space="preserve">盖章)               </w:t>
            </w:r>
          </w:p>
          <w:p>
            <w:pPr>
              <w:spacing w:line="360" w:lineRule="auto"/>
              <w:outlineLvl w:val="9"/>
              <w:rPr>
                <w:rFonts w:ascii="宋体" w:hAnsi="宋体"/>
                <w:color w:val="000000"/>
                <w:sz w:val="24"/>
                <w:highlight w:val="none"/>
              </w:rPr>
            </w:pPr>
            <w:r>
              <w:rPr>
                <w:rFonts w:hint="eastAsia" w:ascii="宋体" w:hAnsi="宋体"/>
                <w:color w:val="000000"/>
                <w:sz w:val="24"/>
                <w:highlight w:val="none"/>
              </w:rPr>
              <w:t>法人代表或授权代表</w:t>
            </w:r>
          </w:p>
          <w:p>
            <w:pPr>
              <w:spacing w:line="360" w:lineRule="auto"/>
              <w:outlineLvl w:val="9"/>
              <w:rPr>
                <w:rFonts w:ascii="宋体" w:hAnsi="宋体"/>
                <w:color w:val="000000"/>
                <w:sz w:val="24"/>
                <w:highlight w:val="none"/>
                <w:u w:val="single"/>
              </w:rPr>
            </w:pPr>
            <w:r>
              <w:rPr>
                <w:rFonts w:hint="eastAsia" w:ascii="宋体" w:hAnsi="宋体"/>
                <w:color w:val="000000"/>
                <w:sz w:val="24"/>
                <w:highlight w:val="none"/>
                <w:u w:val="single"/>
              </w:rPr>
              <w:t xml:space="preserve">职务、姓名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签字）  </w:t>
            </w:r>
          </w:p>
          <w:p>
            <w:pPr>
              <w:spacing w:line="360" w:lineRule="auto"/>
              <w:outlineLvl w:val="9"/>
              <w:rPr>
                <w:rFonts w:ascii="宋体" w:hAnsi="宋体"/>
                <w:color w:val="000000"/>
                <w:sz w:val="24"/>
                <w:highlight w:val="none"/>
              </w:rPr>
            </w:pPr>
            <w:r>
              <w:rPr>
                <w:rFonts w:hint="eastAsia" w:ascii="宋体" w:hAnsi="宋体"/>
                <w:color w:val="000000"/>
                <w:sz w:val="24"/>
                <w:highlight w:val="none"/>
              </w:rPr>
              <w:t>日      期：20</w:t>
            </w:r>
            <w:r>
              <w:rPr>
                <w:rFonts w:hint="eastAsia" w:ascii="宋体" w:hAnsi="宋体"/>
                <w:color w:val="000000"/>
                <w:sz w:val="24"/>
                <w:highlight w:val="none"/>
                <w:lang w:val="en-US" w:eastAsia="zh-CN"/>
              </w:rPr>
              <w:t>23</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tc>
      </w:tr>
    </w:tbl>
    <w:p>
      <w:pPr>
        <w:spacing w:line="360" w:lineRule="auto"/>
        <w:ind w:firstLine="480"/>
        <w:outlineLvl w:val="9"/>
        <w:rPr>
          <w:rFonts w:ascii="宋体" w:hAnsi="宋体"/>
          <w:color w:val="000000"/>
          <w:sz w:val="24"/>
          <w:highlight w:val="none"/>
        </w:rPr>
      </w:pPr>
    </w:p>
    <w:p>
      <w:pPr>
        <w:spacing w:line="360" w:lineRule="auto"/>
        <w:outlineLvl w:val="9"/>
        <w:rPr>
          <w:color w:val="000000"/>
          <w:sz w:val="24"/>
          <w:highlight w:val="none"/>
        </w:rPr>
      </w:pPr>
    </w:p>
    <w:p>
      <w:pPr>
        <w:spacing w:line="360" w:lineRule="auto"/>
        <w:jc w:val="left"/>
        <w:outlineLvl w:val="9"/>
        <w:rPr>
          <w:color w:val="000000"/>
          <w:sz w:val="24"/>
          <w:highlight w:val="none"/>
        </w:rPr>
      </w:pPr>
      <w:r>
        <w:rPr>
          <w:rFonts w:hint="eastAsia"/>
          <w:color w:val="000000"/>
          <w:sz w:val="24"/>
          <w:highlight w:val="none"/>
        </w:rPr>
        <w:t>备注：投标报价时提交</w:t>
      </w:r>
      <w:r>
        <w:rPr>
          <w:color w:val="000000"/>
          <w:sz w:val="24"/>
          <w:highlight w:val="none"/>
        </w:rPr>
        <w:br w:type="page"/>
      </w:r>
    </w:p>
    <w:p>
      <w:pPr>
        <w:spacing w:line="360" w:lineRule="auto"/>
        <w:jc w:val="left"/>
        <w:outlineLvl w:val="1"/>
        <w:rPr>
          <w:rFonts w:hint="eastAsia"/>
          <w:b/>
          <w:sz w:val="28"/>
          <w:szCs w:val="28"/>
          <w:highlight w:val="none"/>
          <w:lang w:eastAsia="zh-CN"/>
        </w:rPr>
      </w:pPr>
      <w:r>
        <w:rPr>
          <w:rFonts w:hint="eastAsia"/>
          <w:b/>
          <w:sz w:val="28"/>
          <w:szCs w:val="28"/>
          <w:highlight w:val="none"/>
        </w:rPr>
        <w:t>附件</w:t>
      </w:r>
      <w:r>
        <w:rPr>
          <w:rFonts w:hint="eastAsia"/>
          <w:b/>
          <w:sz w:val="28"/>
          <w:szCs w:val="28"/>
          <w:highlight w:val="none"/>
          <w:lang w:eastAsia="zh-CN"/>
        </w:rPr>
        <w:t>二</w:t>
      </w:r>
    </w:p>
    <w:p>
      <w:pPr>
        <w:spacing w:line="360" w:lineRule="auto"/>
        <w:jc w:val="center"/>
        <w:outlineLvl w:val="9"/>
        <w:rPr>
          <w:b/>
          <w:sz w:val="24"/>
          <w:highlight w:val="none"/>
        </w:rPr>
      </w:pPr>
      <w:r>
        <w:rPr>
          <w:rFonts w:hint="eastAsia"/>
          <w:b/>
          <w:sz w:val="28"/>
          <w:szCs w:val="28"/>
          <w:highlight w:val="none"/>
        </w:rPr>
        <w:t>法定代表人证明书、法定代表人授权委托书（格式）</w:t>
      </w:r>
    </w:p>
    <w:p>
      <w:pPr>
        <w:numPr>
          <w:ilvl w:val="0"/>
          <w:numId w:val="0"/>
        </w:numPr>
        <w:spacing w:line="440" w:lineRule="exact"/>
        <w:ind w:left="0" w:firstLine="0"/>
        <w:outlineLvl w:val="9"/>
        <w:rPr>
          <w:rFonts w:ascii="黑体" w:hAnsi="黑体" w:eastAsia="黑体"/>
          <w:color w:val="auto"/>
          <w:sz w:val="28"/>
          <w:szCs w:val="28"/>
          <w:highlight w:val="none"/>
        </w:rPr>
      </w:pPr>
    </w:p>
    <w:p>
      <w:pPr>
        <w:spacing w:line="360" w:lineRule="auto"/>
        <w:jc w:val="center"/>
        <w:outlineLvl w:val="9"/>
        <w:rPr>
          <w:rFonts w:ascii="宋体" w:hAnsi="宋体" w:cs="宋体"/>
          <w:b/>
          <w:sz w:val="32"/>
          <w:szCs w:val="32"/>
          <w:highlight w:val="none"/>
        </w:rPr>
      </w:pPr>
      <w:r>
        <w:rPr>
          <w:rFonts w:hint="eastAsia" w:ascii="宋体" w:hAnsi="宋体" w:cs="宋体"/>
          <w:b/>
          <w:sz w:val="32"/>
          <w:szCs w:val="32"/>
          <w:highlight w:val="none"/>
        </w:rPr>
        <w:t>法定代表人证明书</w:t>
      </w:r>
    </w:p>
    <w:p>
      <w:pPr>
        <w:tabs>
          <w:tab w:val="left" w:pos="900"/>
        </w:tabs>
        <w:spacing w:line="360" w:lineRule="auto"/>
        <w:ind w:firstLine="1080" w:firstLineChars="450"/>
        <w:outlineLvl w:val="9"/>
        <w:rPr>
          <w:rFonts w:ascii="宋体" w:hAnsi="宋体" w:cs="宋体"/>
          <w:szCs w:val="21"/>
          <w:highlight w:val="none"/>
        </w:rPr>
      </w:pPr>
      <w:r>
        <w:rPr>
          <w:rFonts w:hint="eastAsia" w:ascii="宋体" w:hAnsi="宋体" w:cs="宋体"/>
          <w:szCs w:val="21"/>
          <w:highlight w:val="none"/>
        </w:rPr>
        <w:t>______________同志，现任我单位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本证明书自签发之日起生效，</w:t>
      </w:r>
      <w:r>
        <w:rPr>
          <w:rFonts w:hint="eastAsia" w:ascii="宋体" w:hAnsi="宋体" w:cs="宋体"/>
          <w:szCs w:val="21"/>
          <w:highlight w:val="none"/>
          <w:u w:val="none"/>
        </w:rPr>
        <w:t>有</w:t>
      </w:r>
      <w:r>
        <w:rPr>
          <w:rFonts w:hint="eastAsia" w:ascii="宋体" w:hAnsi="宋体" w:cs="宋体"/>
          <w:szCs w:val="21"/>
          <w:highlight w:val="none"/>
          <w:u w:val="none"/>
          <w:lang w:val="en-US" w:eastAsia="zh-CN"/>
        </w:rPr>
        <w:t>效期</w:t>
      </w:r>
      <w:r>
        <w:rPr>
          <w:rFonts w:hint="eastAsia" w:ascii="宋体" w:hAnsi="宋体" w:cs="宋体"/>
          <w:szCs w:val="21"/>
          <w:highlight w:val="none"/>
          <w:u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附：</w:t>
      </w:r>
    </w:p>
    <w:p>
      <w:pPr>
        <w:spacing w:line="360" w:lineRule="auto"/>
        <w:ind w:firstLine="960" w:firstLineChars="400"/>
        <w:outlineLvl w:val="9"/>
        <w:rPr>
          <w:rFonts w:ascii="宋体" w:hAnsi="宋体" w:cs="宋体"/>
          <w:szCs w:val="21"/>
          <w:highlight w:val="none"/>
        </w:rPr>
      </w:pPr>
      <w:r>
        <w:rPr>
          <w:rFonts w:hint="eastAsia" w:ascii="宋体" w:hAnsi="宋体" w:cs="宋体"/>
          <w:szCs w:val="21"/>
          <w:highlight w:val="none"/>
        </w:rPr>
        <w:t xml:space="preserve">营业执照（注册号或统一社会信用代码）：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960" w:firstLineChars="400"/>
        <w:outlineLvl w:val="9"/>
        <w:rPr>
          <w:rFonts w:ascii="宋体" w:hAnsi="宋体" w:cs="宋体"/>
          <w:szCs w:val="21"/>
          <w:highlight w:val="none"/>
          <w:u w:val="single"/>
        </w:rPr>
      </w:pPr>
      <w:r>
        <w:rPr>
          <w:rFonts w:hint="eastAsia" w:ascii="宋体" w:hAnsi="宋体" w:cs="宋体"/>
          <w:szCs w:val="21"/>
          <w:highlight w:val="none"/>
        </w:rPr>
        <w:t>经济性质：</w:t>
      </w:r>
      <w:r>
        <w:rPr>
          <w:rFonts w:hint="eastAsia" w:ascii="宋体" w:hAnsi="宋体" w:cs="宋体"/>
          <w:szCs w:val="21"/>
          <w:highlight w:val="none"/>
          <w:u w:val="single"/>
        </w:rPr>
        <w:t xml:space="preserve">                 </w:t>
      </w:r>
    </w:p>
    <w:p>
      <w:pPr>
        <w:spacing w:line="360" w:lineRule="auto"/>
        <w:ind w:firstLine="960" w:firstLineChars="400"/>
        <w:outlineLvl w:val="9"/>
        <w:rPr>
          <w:rFonts w:ascii="宋体" w:hAnsi="宋体" w:cs="宋体"/>
          <w:szCs w:val="21"/>
          <w:highlight w:val="none"/>
          <w:u w:val="single"/>
        </w:rPr>
      </w:pPr>
      <w:r>
        <w:rPr>
          <w:rFonts w:hint="eastAsia" w:ascii="宋体" w:hAnsi="宋体" w:cs="宋体"/>
          <w:szCs w:val="21"/>
          <w:highlight w:val="none"/>
        </w:rPr>
        <w:t xml:space="preserve">经营范围： </w:t>
      </w:r>
      <w:r>
        <w:rPr>
          <w:rFonts w:hint="eastAsia" w:ascii="宋体" w:hAnsi="宋体" w:cs="宋体"/>
          <w:szCs w:val="21"/>
          <w:highlight w:val="none"/>
          <w:u w:val="single"/>
        </w:rPr>
        <w:t xml:space="preserve">                                                      </w:t>
      </w:r>
    </w:p>
    <w:p>
      <w:pPr>
        <w:spacing w:line="360" w:lineRule="auto"/>
        <w:ind w:firstLine="960" w:firstLineChars="400"/>
        <w:outlineLvl w:val="9"/>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v:textbox>
                </v:rect>
              </v:group>
            </w:pict>
          </mc:Fallback>
        </mc:AlternateContent>
      </w: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r>
        <w:rPr>
          <w:rFonts w:hint="eastAsia" w:ascii="宋体" w:hAnsi="宋体" w:cs="宋体"/>
          <w:b/>
          <w:bCs/>
          <w:szCs w:val="21"/>
          <w:highlight w:val="none"/>
        </w:rPr>
        <w:t xml:space="preserve">                         </w:t>
      </w:r>
    </w:p>
    <w:p>
      <w:pPr>
        <w:spacing w:line="360" w:lineRule="auto"/>
        <w:jc w:val="center"/>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outlineLvl w:val="9"/>
        <w:rPr>
          <w:rFonts w:ascii="宋体" w:hAnsi="宋体" w:cs="宋体"/>
          <w:szCs w:val="21"/>
          <w:highlight w:val="none"/>
        </w:rPr>
      </w:pPr>
      <w:r>
        <w:rPr>
          <w:rFonts w:hint="eastAsia" w:ascii="宋体" w:hAnsi="宋体" w:cs="宋体"/>
          <w:szCs w:val="21"/>
          <w:highlight w:val="none"/>
        </w:rPr>
        <w:t xml:space="preserve">                     单位名称（盖公章）：</w:t>
      </w:r>
    </w:p>
    <w:p>
      <w:pPr>
        <w:spacing w:line="360" w:lineRule="auto"/>
        <w:jc w:val="right"/>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jc w:val="right"/>
        <w:outlineLvl w:val="9"/>
        <w:rPr>
          <w:rFonts w:ascii="宋体" w:hAnsi="宋体" w:cs="宋体"/>
          <w:b/>
          <w:sz w:val="48"/>
          <w:szCs w:val="48"/>
          <w:highlight w:val="none"/>
        </w:rPr>
      </w:pPr>
      <w:r>
        <w:rPr>
          <w:rFonts w:hint="eastAsia" w:ascii="宋体" w:hAnsi="宋体" w:cs="宋体"/>
          <w:szCs w:val="21"/>
          <w:highlight w:val="none"/>
        </w:rPr>
        <w:t xml:space="preserve">                                       日期：     年     月   日</w:t>
      </w:r>
    </w:p>
    <w:p>
      <w:pPr>
        <w:jc w:val="center"/>
        <w:outlineLvl w:val="9"/>
        <w:rPr>
          <w:rFonts w:hint="eastAsia"/>
          <w:b/>
          <w:color w:val="auto"/>
          <w:sz w:val="28"/>
          <w:szCs w:val="28"/>
          <w:highlight w:val="none"/>
        </w:rPr>
      </w:pPr>
    </w:p>
    <w:p>
      <w:pPr>
        <w:jc w:val="center"/>
        <w:outlineLvl w:val="9"/>
        <w:rPr>
          <w:rFonts w:hint="eastAsia"/>
          <w:b/>
          <w:color w:val="auto"/>
          <w:sz w:val="28"/>
          <w:szCs w:val="28"/>
          <w:highlight w:val="none"/>
        </w:rPr>
      </w:pPr>
    </w:p>
    <w:p>
      <w:pPr>
        <w:jc w:val="center"/>
        <w:outlineLvl w:val="9"/>
        <w:rPr>
          <w:rFonts w:hint="eastAsia"/>
          <w:b/>
          <w:color w:val="auto"/>
          <w:sz w:val="28"/>
          <w:szCs w:val="28"/>
          <w:highlight w:val="none"/>
        </w:rPr>
      </w:pPr>
    </w:p>
    <w:p>
      <w:pPr>
        <w:spacing w:line="360" w:lineRule="auto"/>
        <w:jc w:val="center"/>
        <w:outlineLvl w:val="9"/>
        <w:rPr>
          <w:rFonts w:hint="eastAsia" w:ascii="宋体" w:hAnsi="宋体" w:cs="宋体"/>
          <w:b/>
          <w:sz w:val="32"/>
          <w:szCs w:val="32"/>
          <w:highlight w:val="none"/>
        </w:rPr>
      </w:pPr>
    </w:p>
    <w:p>
      <w:pPr>
        <w:spacing w:line="360" w:lineRule="auto"/>
        <w:jc w:val="center"/>
        <w:outlineLvl w:val="9"/>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line="360" w:lineRule="auto"/>
        <w:ind w:left="398" w:leftChars="166" w:firstLine="480" w:firstLineChars="200"/>
        <w:outlineLvl w:val="9"/>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（姓名）是</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lang w:val="en-US" w:eastAsia="zh-CN"/>
        </w:rPr>
        <w:t xml:space="preserve">  XXX</w:t>
      </w:r>
      <w:r>
        <w:rPr>
          <w:rFonts w:hint="eastAsia" w:ascii="宋体" w:hAnsi="宋体" w:cs="宋体"/>
          <w:szCs w:val="21"/>
          <w:highlight w:val="none"/>
          <w:u w:val="single"/>
        </w:rPr>
        <w:t xml:space="preserve">     </w:t>
      </w:r>
      <w:r>
        <w:rPr>
          <w:rFonts w:hint="eastAsia" w:ascii="宋体" w:hAnsi="宋体" w:cs="宋体"/>
          <w:szCs w:val="21"/>
          <w:highlight w:val="none"/>
        </w:rPr>
        <w:t xml:space="preserve"> (姓名)为我方代理人。代理人根据授权，以我方名义签署、澄清、说明、补正、递交、撤回、修改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b w:val="0"/>
          <w:bCs w:val="0"/>
          <w:color w:val="000000"/>
          <w:kern w:val="0"/>
          <w:sz w:val="24"/>
          <w:szCs w:val="24"/>
          <w:highlight w:val="none"/>
          <w:u w:val="single"/>
          <w:lang w:val="en-US" w:eastAsia="zh-CN"/>
        </w:rPr>
        <w:t>旅游公司食材配送服务（粮油面类/米面豆制品类/酱料干货类）</w:t>
      </w:r>
      <w:r>
        <w:rPr>
          <w:rFonts w:hint="eastAsia" w:ascii="宋体" w:hAnsi="宋体" w:cs="宋体"/>
          <w:b w:val="0"/>
          <w:bCs w:val="0"/>
          <w:color w:val="000000"/>
          <w:kern w:val="0"/>
          <w:sz w:val="24"/>
          <w:szCs w:val="24"/>
          <w:highlight w:val="none"/>
          <w:u w:val="single"/>
          <w:lang w:val="en-US" w:eastAsia="zh-CN"/>
        </w:rPr>
        <w:t>（第二次）</w:t>
      </w:r>
      <w:r>
        <w:rPr>
          <w:rFonts w:hint="eastAsia" w:ascii="宋体" w:hAnsi="宋体" w:cs="宋体"/>
          <w:szCs w:val="21"/>
          <w:highlight w:val="none"/>
          <w:u w:val="none"/>
        </w:rPr>
        <w:t xml:space="preserve"> </w:t>
      </w:r>
      <w:r>
        <w:rPr>
          <w:rFonts w:hint="eastAsia" w:ascii="宋体" w:hAnsi="宋体" w:cs="宋体"/>
          <w:szCs w:val="21"/>
          <w:highlight w:val="none"/>
        </w:rPr>
        <w:t>投标文件、签订合同和处理有关事宜，其法律后果由我方承担。</w:t>
      </w:r>
    </w:p>
    <w:p>
      <w:pPr>
        <w:spacing w:line="360" w:lineRule="auto"/>
        <w:outlineLvl w:val="9"/>
        <w:rPr>
          <w:rFonts w:ascii="宋体" w:hAnsi="宋体" w:cs="宋体"/>
          <w:szCs w:val="21"/>
          <w:highlight w:val="none"/>
          <w:u w:val="singl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tabs>
          <w:tab w:val="left" w:pos="3780"/>
        </w:tabs>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代理人无转委托权。</w:t>
      </w:r>
    </w:p>
    <w:p>
      <w:pPr>
        <w:tabs>
          <w:tab w:val="left" w:pos="3780"/>
        </w:tabs>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 xml:space="preserve">  </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投标人：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（盖单位章）</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法定代表人：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委托代理人：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附身份证复印件</w:t>
      </w:r>
    </w:p>
    <w:p>
      <w:pPr>
        <w:spacing w:line="360" w:lineRule="auto"/>
        <w:outlineLvl w:val="9"/>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jc w:val="center"/>
        <w:outlineLvl w:val="9"/>
        <w:rPr>
          <w:rFonts w:ascii="宋体" w:hAnsi="宋体" w:cs="宋体"/>
          <w:szCs w:val="21"/>
          <w:highlight w:val="none"/>
          <w:u w:val="single"/>
        </w:rPr>
      </w:pPr>
    </w:p>
    <w:p>
      <w:pPr>
        <w:spacing w:line="360" w:lineRule="auto"/>
        <w:jc w:val="center"/>
        <w:outlineLvl w:val="9"/>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both"/>
        <w:outlineLvl w:val="9"/>
        <w:rPr>
          <w:rFonts w:hint="eastAsia"/>
          <w:b/>
          <w:bCs/>
          <w:sz w:val="28"/>
          <w:szCs w:val="28"/>
          <w:highlight w:val="none"/>
        </w:rPr>
      </w:pPr>
    </w:p>
    <w:p>
      <w:pPr>
        <w:spacing w:line="360" w:lineRule="auto"/>
        <w:jc w:val="both"/>
        <w:outlineLvl w:val="9"/>
        <w:rPr>
          <w:rFonts w:hint="eastAsia"/>
          <w:b/>
          <w:bCs/>
          <w:sz w:val="28"/>
          <w:szCs w:val="28"/>
          <w:highlight w:val="none"/>
        </w:rPr>
      </w:pPr>
    </w:p>
    <w:p>
      <w:pPr>
        <w:spacing w:line="360" w:lineRule="auto"/>
        <w:jc w:val="both"/>
        <w:outlineLvl w:val="1"/>
        <w:rPr>
          <w:rFonts w:hint="eastAsia"/>
          <w:b/>
          <w:bCs/>
          <w:sz w:val="28"/>
          <w:szCs w:val="28"/>
          <w:highlight w:val="none"/>
        </w:rPr>
      </w:pPr>
      <w:r>
        <w:rPr>
          <w:rFonts w:hint="eastAsia"/>
          <w:b/>
          <w:bCs/>
          <w:sz w:val="28"/>
          <w:szCs w:val="28"/>
          <w:highlight w:val="none"/>
        </w:rPr>
        <w:t>附件</w:t>
      </w:r>
      <w:r>
        <w:rPr>
          <w:rFonts w:hint="eastAsia"/>
          <w:b/>
          <w:bCs/>
          <w:sz w:val="28"/>
          <w:szCs w:val="28"/>
          <w:highlight w:val="none"/>
          <w:lang w:eastAsia="zh-CN"/>
        </w:rPr>
        <w:t>三</w:t>
      </w:r>
    </w:p>
    <w:p>
      <w:pPr>
        <w:spacing w:before="260"/>
        <w:jc w:val="center"/>
        <w:outlineLvl w:val="9"/>
        <w:rPr>
          <w:rFonts w:hint="eastAsia"/>
          <w:b/>
          <w:sz w:val="28"/>
          <w:szCs w:val="28"/>
          <w:highlight w:val="none"/>
        </w:rPr>
      </w:pPr>
      <w:r>
        <w:rPr>
          <w:rFonts w:hint="eastAsia"/>
          <w:b/>
          <w:sz w:val="28"/>
          <w:szCs w:val="28"/>
          <w:highlight w:val="none"/>
        </w:rPr>
        <w:t>用户需求书</w:t>
      </w:r>
      <w:bookmarkEnd w:id="33"/>
    </w:p>
    <w:p>
      <w:pPr>
        <w:widowControl w:val="0"/>
        <w:numPr>
          <w:ilvl w:val="0"/>
          <w:numId w:val="1"/>
        </w:numPr>
        <w:tabs>
          <w:tab w:val="left" w:pos="426"/>
        </w:tabs>
        <w:autoSpaceDE w:val="0"/>
        <w:autoSpaceDN w:val="0"/>
        <w:spacing w:line="360" w:lineRule="auto"/>
        <w:jc w:val="both"/>
        <w:outlineLvl w:val="9"/>
        <w:rPr>
          <w:rFonts w:hint="eastAsia" w:ascii="仿宋" w:hAnsi="仿宋" w:eastAsia="仿宋"/>
          <w:b/>
          <w:sz w:val="21"/>
          <w:szCs w:val="21"/>
          <w:highlight w:val="none"/>
        </w:rPr>
      </w:pPr>
      <w:bookmarkStart w:id="34" w:name="_Toc508724462"/>
      <w:r>
        <w:rPr>
          <w:rFonts w:hint="eastAsia" w:ascii="仿宋" w:hAnsi="仿宋" w:eastAsia="仿宋"/>
          <w:b/>
          <w:sz w:val="21"/>
          <w:szCs w:val="21"/>
          <w:highlight w:val="none"/>
        </w:rPr>
        <w:t>总体要求</w:t>
      </w:r>
    </w:p>
    <w:p>
      <w:pPr>
        <w:pStyle w:val="85"/>
        <w:numPr>
          <w:ilvl w:val="0"/>
          <w:numId w:val="2"/>
        </w:numPr>
        <w:tabs>
          <w:tab w:val="left" w:pos="567"/>
        </w:tabs>
        <w:spacing w:line="360" w:lineRule="auto"/>
        <w:ind w:left="0" w:firstLine="142"/>
        <w:outlineLvl w:val="9"/>
        <w:rPr>
          <w:rFonts w:ascii="仿宋" w:hAnsi="仿宋" w:eastAsia="仿宋"/>
          <w:sz w:val="22"/>
          <w:highlight w:val="none"/>
        </w:rPr>
      </w:pPr>
      <w:r>
        <w:rPr>
          <w:rFonts w:hint="eastAsia" w:ascii="仿宋" w:hAnsi="仿宋" w:eastAsia="仿宋"/>
          <w:sz w:val="22"/>
          <w:highlight w:val="none"/>
        </w:rPr>
        <w:t>投标人所供的物品必须符合“中华人民共和国食品安全法”要求。</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投标人所供的物品必须符合国家有关标准，保证无异味、无霉烂变质，如不符合招标文件所描述的质量标准，必须无偿退货并承担相应的违约责任。</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所供商品必须符合国家行业生产及经营标准，货真价实，供货时必须提供相应批次的合格检验证明（如农药残留检测报告、动物检疫合格证明、分割肉销售凭据等相关证明材料）。</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所供产品各项技术指标必须完全符合国家有关质量检测、环保标准及产品出厂标准。</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必须负责中标产品的运输、质量检测工作(招标人每月对蔬菜瓜果、肉类产品抽样送检，如出现四次检测农药</w:t>
      </w:r>
      <w:r>
        <w:rPr>
          <w:rFonts w:hint="eastAsia" w:ascii="仿宋" w:hAnsi="仿宋" w:eastAsia="仿宋"/>
          <w:sz w:val="22"/>
          <w:highlight w:val="none"/>
          <w:lang w:eastAsia="zh-CN"/>
        </w:rPr>
        <w:t>或</w:t>
      </w:r>
      <w:r>
        <w:rPr>
          <w:rFonts w:hint="eastAsia" w:ascii="仿宋" w:hAnsi="仿宋" w:eastAsia="仿宋"/>
          <w:sz w:val="22"/>
          <w:highlight w:val="none"/>
        </w:rPr>
        <w:t>污染物超标的，招标人即有权终止合同)，所产生的费用由</w:t>
      </w:r>
      <w:r>
        <w:rPr>
          <w:rFonts w:hint="eastAsia" w:ascii="仿宋" w:hAnsi="仿宋" w:eastAsia="仿宋"/>
          <w:sz w:val="22"/>
          <w:highlight w:val="none"/>
          <w:lang w:eastAsia="zh-CN"/>
        </w:rPr>
        <w:t>中标供应商</w:t>
      </w:r>
      <w:r>
        <w:rPr>
          <w:rFonts w:hint="eastAsia" w:ascii="仿宋" w:hAnsi="仿宋" w:eastAsia="仿宋"/>
          <w:sz w:val="22"/>
          <w:highlight w:val="none"/>
        </w:rPr>
        <w:t>负责，造成招标人损失的，由</w:t>
      </w:r>
      <w:r>
        <w:rPr>
          <w:rFonts w:hint="eastAsia" w:ascii="仿宋" w:hAnsi="仿宋" w:eastAsia="仿宋"/>
          <w:sz w:val="22"/>
          <w:highlight w:val="none"/>
          <w:lang w:eastAsia="zh-CN"/>
        </w:rPr>
        <w:t>中标供应商</w:t>
      </w:r>
      <w:r>
        <w:rPr>
          <w:rFonts w:hint="eastAsia" w:ascii="仿宋" w:hAnsi="仿宋" w:eastAsia="仿宋"/>
          <w:sz w:val="22"/>
          <w:highlight w:val="none"/>
        </w:rPr>
        <w:t>负责赔偿。</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物品具体需求量以招标人前一天通知的品种数量为准。</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不得将中标项目转包、分包，否则招标人有权单方终止合同,由此产生的一切经济损失由</w:t>
      </w:r>
      <w:r>
        <w:rPr>
          <w:rFonts w:hint="eastAsia" w:ascii="仿宋" w:hAnsi="仿宋" w:eastAsia="仿宋"/>
          <w:sz w:val="22"/>
          <w:highlight w:val="none"/>
          <w:lang w:eastAsia="zh-CN"/>
        </w:rPr>
        <w:t>中标供应商</w:t>
      </w:r>
      <w:r>
        <w:rPr>
          <w:rFonts w:hint="eastAsia" w:ascii="仿宋" w:hAnsi="仿宋" w:eastAsia="仿宋"/>
          <w:sz w:val="22"/>
          <w:highlight w:val="none"/>
        </w:rPr>
        <w:t>自行承担。</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除不可抗力，不得因其他任何理由延迟送货。招标人如遇特殊情况需推迟送货，会提前通知</w:t>
      </w:r>
      <w:r>
        <w:rPr>
          <w:rFonts w:hint="eastAsia" w:ascii="仿宋" w:hAnsi="仿宋" w:eastAsia="仿宋"/>
          <w:sz w:val="22"/>
          <w:highlight w:val="none"/>
          <w:lang w:eastAsia="zh-CN"/>
        </w:rPr>
        <w:t>中标供应商</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原因延误交货日期的（招标人要求推迟的除外），招标人有权自行采购，并由</w:t>
      </w:r>
      <w:r>
        <w:rPr>
          <w:rFonts w:hint="eastAsia" w:ascii="仿宋" w:hAnsi="仿宋" w:eastAsia="仿宋"/>
          <w:sz w:val="22"/>
          <w:highlight w:val="none"/>
          <w:lang w:eastAsia="zh-CN"/>
        </w:rPr>
        <w:t>中标供应商</w:t>
      </w:r>
      <w:r>
        <w:rPr>
          <w:rFonts w:hint="eastAsia" w:ascii="仿宋" w:hAnsi="仿宋" w:eastAsia="仿宋"/>
          <w:sz w:val="22"/>
          <w:highlight w:val="none"/>
        </w:rPr>
        <w:t>承担由此产生的一切损失和费用（包括直接经济损失和间接经济损失）。</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不得变更供应商品，应严格按招标要求（含商标、名称、产地、规格和重量等）供应，否则，招标人有权拒收。如因市场流通问题确实需要变更的，应书面向招标人申请。</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招标人按合同对商品进行认真验收，对不符合规格要求的物品，</w:t>
      </w:r>
      <w:r>
        <w:rPr>
          <w:rFonts w:hint="eastAsia" w:ascii="仿宋" w:hAnsi="仿宋" w:eastAsia="仿宋"/>
          <w:sz w:val="22"/>
          <w:highlight w:val="none"/>
          <w:lang w:eastAsia="zh-CN"/>
        </w:rPr>
        <w:t>中标供应商</w:t>
      </w:r>
      <w:r>
        <w:rPr>
          <w:rFonts w:hint="eastAsia" w:ascii="仿宋" w:hAnsi="仿宋" w:eastAsia="仿宋"/>
          <w:sz w:val="22"/>
          <w:highlight w:val="none"/>
        </w:rPr>
        <w:t>必须无条件退货；</w:t>
      </w:r>
      <w:r>
        <w:rPr>
          <w:rFonts w:hint="eastAsia" w:ascii="仿宋" w:hAnsi="仿宋" w:eastAsia="仿宋"/>
          <w:sz w:val="22"/>
          <w:highlight w:val="none"/>
          <w:lang w:eastAsia="zh-CN"/>
        </w:rPr>
        <w:t>中标供应商</w:t>
      </w:r>
      <w:r>
        <w:rPr>
          <w:rFonts w:hint="eastAsia" w:ascii="仿宋" w:hAnsi="仿宋" w:eastAsia="仿宋"/>
          <w:sz w:val="22"/>
          <w:highlight w:val="none"/>
        </w:rPr>
        <w:t>未能履行招标文件和合同所定事项,或供应不合格的、假冒伪劣、以次充好的商品，招标人退货后将记录在案，并对</w:t>
      </w:r>
      <w:r>
        <w:rPr>
          <w:rFonts w:hint="eastAsia" w:ascii="仿宋" w:hAnsi="仿宋" w:eastAsia="仿宋"/>
          <w:sz w:val="22"/>
          <w:highlight w:val="none"/>
          <w:lang w:eastAsia="zh-CN"/>
        </w:rPr>
        <w:t>中标供应商</w:t>
      </w:r>
      <w:r>
        <w:rPr>
          <w:rFonts w:hint="eastAsia" w:ascii="仿宋" w:hAnsi="仿宋" w:eastAsia="仿宋"/>
          <w:sz w:val="22"/>
          <w:highlight w:val="none"/>
        </w:rPr>
        <w:t>予以处罚，除要承担因此产生的一切损失和费用外，情节严重的可取消其供应资格或有权单方面中止合同。</w:t>
      </w:r>
    </w:p>
    <w:p>
      <w:pPr>
        <w:pStyle w:val="85"/>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投标人须具备自有运输车辆或租赁车辆，具备足够运输能力。</w:t>
      </w:r>
    </w:p>
    <w:p>
      <w:pPr>
        <w:pStyle w:val="35"/>
        <w:spacing w:before="0" w:beforeAutospacing="0" w:after="0" w:afterAutospacing="0" w:line="360" w:lineRule="auto"/>
        <w:ind w:firstLine="110" w:firstLineChars="50"/>
        <w:contextualSpacing/>
        <w:outlineLvl w:val="9"/>
        <w:rPr>
          <w:rFonts w:ascii="仿宋" w:hAnsi="仿宋" w:eastAsia="仿宋" w:cs="仿宋"/>
          <w:sz w:val="22"/>
          <w:szCs w:val="22"/>
          <w:highlight w:val="none"/>
        </w:rPr>
      </w:pPr>
      <w:r>
        <w:rPr>
          <w:rFonts w:hint="eastAsia" w:ascii="仿宋" w:hAnsi="仿宋" w:eastAsia="仿宋"/>
          <w:sz w:val="22"/>
          <w:szCs w:val="22"/>
          <w:highlight w:val="none"/>
        </w:rPr>
        <w:t>12．</w:t>
      </w:r>
      <w:r>
        <w:rPr>
          <w:rFonts w:hint="eastAsia" w:ascii="仿宋" w:hAnsi="仿宋" w:eastAsia="仿宋" w:cs="仿宋"/>
          <w:sz w:val="22"/>
          <w:szCs w:val="22"/>
          <w:highlight w:val="none"/>
        </w:rPr>
        <w:t>投标人须明确说明是否具有独立开票能力，不得代开发票，每月结算时投标单位必须严格按照公司采购订单的采购数据供货、结算，若招标人有开具发票的要求，投标人须出具正规发票，严禁私开、虚开发票行为。</w:t>
      </w:r>
    </w:p>
    <w:p>
      <w:pPr>
        <w:pStyle w:val="85"/>
        <w:tabs>
          <w:tab w:val="left" w:pos="567"/>
        </w:tabs>
        <w:spacing w:line="360" w:lineRule="auto"/>
        <w:ind w:left="142"/>
        <w:outlineLvl w:val="9"/>
        <w:rPr>
          <w:rFonts w:hint="eastAsia" w:ascii="仿宋" w:hAnsi="仿宋" w:eastAsia="仿宋"/>
          <w:sz w:val="22"/>
          <w:highlight w:val="none"/>
        </w:rPr>
      </w:pPr>
      <w:r>
        <w:rPr>
          <w:rFonts w:hint="eastAsia" w:ascii="仿宋" w:hAnsi="仿宋" w:eastAsia="仿宋"/>
          <w:sz w:val="22"/>
          <w:highlight w:val="none"/>
        </w:rPr>
        <w:t>13.</w:t>
      </w:r>
      <w:r>
        <w:rPr>
          <w:rFonts w:hint="eastAsia" w:ascii="仿宋" w:hAnsi="仿宋" w:eastAsia="仿宋"/>
          <w:sz w:val="22"/>
          <w:highlight w:val="none"/>
          <w:lang w:eastAsia="zh-CN"/>
        </w:rPr>
        <w:t>食材结算价</w:t>
      </w:r>
      <w:r>
        <w:rPr>
          <w:rFonts w:hint="eastAsia" w:ascii="仿宋" w:hAnsi="仿宋" w:eastAsia="仿宋"/>
          <w:sz w:val="22"/>
          <w:highlight w:val="none"/>
        </w:rPr>
        <w:t>包含产品价格、运输、装卸、售后服务、检验、搬运费、税金</w:t>
      </w:r>
      <w:r>
        <w:rPr>
          <w:rFonts w:hint="eastAsia" w:ascii="仿宋" w:hAnsi="仿宋" w:eastAsia="仿宋"/>
          <w:sz w:val="22"/>
          <w:highlight w:val="none"/>
          <w:lang w:eastAsia="zh-CN"/>
        </w:rPr>
        <w:t>、</w:t>
      </w:r>
      <w:r>
        <w:rPr>
          <w:rFonts w:hint="eastAsia" w:ascii="仿宋" w:hAnsi="仿宋" w:eastAsia="仿宋"/>
          <w:sz w:val="22"/>
          <w:highlight w:val="none"/>
          <w:lang w:val="en-US" w:eastAsia="zh-CN"/>
        </w:rPr>
        <w:t>保险</w:t>
      </w:r>
      <w:r>
        <w:rPr>
          <w:rFonts w:hint="eastAsia" w:ascii="仿宋" w:hAnsi="仿宋" w:eastAsia="仿宋"/>
          <w:sz w:val="22"/>
          <w:highlight w:val="none"/>
        </w:rPr>
        <w:t>等</w:t>
      </w:r>
      <w:r>
        <w:rPr>
          <w:rFonts w:hint="eastAsia" w:ascii="仿宋" w:hAnsi="仿宋" w:eastAsia="仿宋"/>
          <w:sz w:val="22"/>
          <w:highlight w:val="none"/>
          <w:lang w:val="en-US" w:eastAsia="zh-CN"/>
        </w:rPr>
        <w:t>一切可预见费用及不可预见</w:t>
      </w:r>
      <w:r>
        <w:rPr>
          <w:rFonts w:hint="eastAsia" w:ascii="仿宋" w:hAnsi="仿宋" w:eastAsia="仿宋"/>
          <w:sz w:val="22"/>
          <w:highlight w:val="none"/>
        </w:rPr>
        <w:t>费用。</w:t>
      </w:r>
    </w:p>
    <w:p>
      <w:pPr>
        <w:pStyle w:val="85"/>
        <w:tabs>
          <w:tab w:val="left" w:pos="567"/>
        </w:tabs>
        <w:spacing w:line="360" w:lineRule="auto"/>
        <w:ind w:left="142"/>
        <w:outlineLvl w:val="9"/>
        <w:rPr>
          <w:rFonts w:hint="eastAsia" w:ascii="仿宋" w:hAnsi="仿宋" w:eastAsia="仿宋"/>
          <w:b/>
          <w:sz w:val="21"/>
          <w:szCs w:val="21"/>
          <w:highlight w:val="none"/>
        </w:rPr>
      </w:pPr>
      <w:r>
        <w:rPr>
          <w:rFonts w:hint="eastAsia" w:ascii="仿宋" w:hAnsi="仿宋" w:eastAsia="仿宋"/>
          <w:sz w:val="22"/>
          <w:highlight w:val="none"/>
          <w:lang w:val="en-US" w:eastAsia="zh-CN"/>
        </w:rPr>
        <w:t>二、</w:t>
      </w:r>
      <w:r>
        <w:rPr>
          <w:rFonts w:hint="eastAsia" w:ascii="仿宋" w:hAnsi="仿宋" w:eastAsia="仿宋"/>
          <w:b/>
          <w:sz w:val="21"/>
          <w:szCs w:val="21"/>
          <w:highlight w:val="none"/>
        </w:rPr>
        <w:t>项目具体要求</w:t>
      </w:r>
    </w:p>
    <w:p>
      <w:pPr>
        <w:pStyle w:val="109"/>
        <w:spacing w:line="360" w:lineRule="auto"/>
        <w:ind w:firstLine="323" w:firstLineChars="147"/>
        <w:outlineLvl w:val="9"/>
        <w:rPr>
          <w:rFonts w:hint="eastAsia" w:ascii="仿宋" w:hAnsi="仿宋" w:eastAsia="仿宋" w:cs="仿宋"/>
          <w:spacing w:val="0"/>
          <w:kern w:val="0"/>
          <w:sz w:val="22"/>
          <w:szCs w:val="22"/>
          <w:highlight w:val="none"/>
        </w:rPr>
      </w:pPr>
      <w:r>
        <w:rPr>
          <w:rFonts w:hint="eastAsia" w:ascii="仿宋" w:hAnsi="仿宋" w:eastAsia="仿宋" w:cs="仿宋"/>
          <w:b w:val="0"/>
          <w:bCs w:val="0"/>
          <w:spacing w:val="0"/>
          <w:kern w:val="0"/>
          <w:sz w:val="22"/>
          <w:szCs w:val="22"/>
          <w:highlight w:val="none"/>
        </w:rPr>
        <w:t>（</w:t>
      </w:r>
      <w:r>
        <w:rPr>
          <w:rFonts w:hint="eastAsia" w:ascii="仿宋" w:hAnsi="仿宋" w:eastAsia="仿宋" w:cs="仿宋"/>
          <w:b w:val="0"/>
          <w:bCs w:val="0"/>
          <w:spacing w:val="0"/>
          <w:kern w:val="0"/>
          <w:sz w:val="22"/>
          <w:szCs w:val="22"/>
          <w:highlight w:val="none"/>
          <w:lang w:eastAsia="zh-CN"/>
        </w:rPr>
        <w:t>一</w:t>
      </w:r>
      <w:r>
        <w:rPr>
          <w:rFonts w:hint="eastAsia" w:ascii="仿宋" w:hAnsi="仿宋" w:eastAsia="仿宋" w:cs="仿宋"/>
          <w:b w:val="0"/>
          <w:bCs w:val="0"/>
          <w:spacing w:val="0"/>
          <w:kern w:val="0"/>
          <w:sz w:val="22"/>
          <w:szCs w:val="22"/>
          <w:highlight w:val="none"/>
        </w:rPr>
        <w:t>）粮油面类</w:t>
      </w:r>
    </w:p>
    <w:p>
      <w:pPr>
        <w:pStyle w:val="109"/>
        <w:spacing w:line="360" w:lineRule="auto"/>
        <w:ind w:firstLine="431" w:firstLineChars="196"/>
        <w:outlineLvl w:val="9"/>
        <w:rPr>
          <w:rFonts w:hint="eastAsia" w:ascii="仿宋" w:hAnsi="仿宋" w:eastAsia="仿宋" w:cs="仿宋"/>
          <w:spacing w:val="0"/>
          <w:kern w:val="0"/>
          <w:sz w:val="22"/>
          <w:szCs w:val="22"/>
          <w:highlight w:val="none"/>
        </w:rPr>
      </w:pPr>
      <w:r>
        <w:rPr>
          <w:rFonts w:hint="eastAsia" w:ascii="仿宋" w:hAnsi="仿宋" w:eastAsia="仿宋" w:cs="仿宋"/>
          <w:b w:val="0"/>
          <w:bCs w:val="0"/>
          <w:spacing w:val="0"/>
          <w:kern w:val="0"/>
          <w:sz w:val="22"/>
          <w:szCs w:val="22"/>
          <w:highlight w:val="none"/>
        </w:rPr>
        <w:t>1．</w:t>
      </w:r>
      <w:r>
        <w:rPr>
          <w:rFonts w:hint="eastAsia" w:ascii="仿宋" w:hAnsi="仿宋" w:eastAsia="仿宋" w:cs="仿宋"/>
          <w:b w:val="0"/>
          <w:spacing w:val="0"/>
          <w:kern w:val="0"/>
          <w:sz w:val="22"/>
          <w:szCs w:val="22"/>
          <w:highlight w:val="none"/>
        </w:rPr>
        <w:t>供应食材的质量要求：</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1.1大米、调和油、面粉、豆类食材必须为非转基因食材。</w:t>
      </w:r>
    </w:p>
    <w:p>
      <w:pPr>
        <w:pStyle w:val="109"/>
        <w:spacing w:line="360" w:lineRule="auto"/>
        <w:ind w:firstLine="440" w:firstLineChars="200"/>
        <w:outlineLvl w:val="9"/>
        <w:rPr>
          <w:rFonts w:hint="eastAsia" w:ascii="仿宋" w:hAnsi="仿宋" w:eastAsia="仿宋" w:cs="仿宋"/>
          <w:bCs w:val="0"/>
          <w:spacing w:val="0"/>
          <w:kern w:val="0"/>
          <w:sz w:val="22"/>
          <w:szCs w:val="22"/>
          <w:highlight w:val="none"/>
        </w:rPr>
      </w:pPr>
      <w:r>
        <w:rPr>
          <w:rFonts w:hint="eastAsia" w:ascii="仿宋" w:hAnsi="仿宋" w:eastAsia="仿宋" w:cs="仿宋"/>
          <w:spacing w:val="0"/>
          <w:kern w:val="0"/>
          <w:sz w:val="22"/>
          <w:szCs w:val="22"/>
          <w:highlight w:val="none"/>
        </w:rPr>
        <w:t>1.2</w:t>
      </w:r>
      <w:r>
        <w:rPr>
          <w:rFonts w:hint="eastAsia" w:ascii="仿宋" w:hAnsi="仿宋" w:eastAsia="仿宋" w:cs="仿宋"/>
          <w:bCs w:val="0"/>
          <w:spacing w:val="0"/>
          <w:kern w:val="0"/>
          <w:sz w:val="22"/>
          <w:szCs w:val="22"/>
          <w:highlight w:val="none"/>
        </w:rPr>
        <w:t>大米、调和油、面粉、豆类食材必须符合卫生，不得有腐烂、变质、油脂酸败、霉变、生虫、污秽不结、混有异物或者其他直观性状异常，并可能对人体健康有害的物质。</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1.3大米、调和油、面粉、豆类食材剩余保存期不得少于原有保质期的三分之二。</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1.4</w:t>
      </w:r>
      <w:r>
        <w:rPr>
          <w:rFonts w:hint="eastAsia" w:ascii="仿宋" w:hAnsi="仿宋" w:eastAsia="仿宋" w:cs="仿宋"/>
          <w:bCs w:val="0"/>
          <w:spacing w:val="0"/>
          <w:kern w:val="0"/>
          <w:sz w:val="22"/>
          <w:szCs w:val="22"/>
          <w:highlight w:val="none"/>
        </w:rPr>
        <w:t>大米、调和油：要提供SC认证、国家机关发出的食材检验合格证书。</w:t>
      </w:r>
      <w:r>
        <w:rPr>
          <w:rFonts w:hint="eastAsia" w:ascii="仿宋" w:hAnsi="仿宋" w:eastAsia="仿宋" w:cs="仿宋"/>
          <w:b w:val="0"/>
          <w:bCs w:val="0"/>
          <w:spacing w:val="0"/>
          <w:kern w:val="0"/>
          <w:sz w:val="22"/>
          <w:szCs w:val="22"/>
          <w:highlight w:val="none"/>
        </w:rPr>
        <w:t>包装食品</w:t>
      </w:r>
      <w:r>
        <w:rPr>
          <w:rFonts w:hint="eastAsia" w:ascii="仿宋" w:hAnsi="仿宋" w:eastAsia="仿宋" w:cs="仿宋"/>
          <w:bCs w:val="0"/>
          <w:spacing w:val="0"/>
          <w:kern w:val="0"/>
          <w:sz w:val="22"/>
          <w:szCs w:val="22"/>
          <w:highlight w:val="none"/>
        </w:rPr>
        <w:t>：包装箱完整，同时包装箱要印有注册商标、生产厂家名称、厂址、出厂日期、食材合格证、保质期限、食材成份、厂家电话号码。</w:t>
      </w:r>
      <w:r>
        <w:rPr>
          <w:rFonts w:hint="eastAsia" w:ascii="仿宋" w:hAnsi="仿宋" w:eastAsia="仿宋" w:cs="仿宋"/>
          <w:b w:val="0"/>
          <w:bCs w:val="0"/>
          <w:spacing w:val="0"/>
          <w:kern w:val="0"/>
          <w:sz w:val="22"/>
          <w:szCs w:val="22"/>
          <w:highlight w:val="none"/>
        </w:rPr>
        <w:t>散装豆类</w:t>
      </w:r>
      <w:r>
        <w:rPr>
          <w:rFonts w:hint="eastAsia" w:ascii="仿宋" w:hAnsi="仿宋" w:eastAsia="仿宋" w:cs="仿宋"/>
          <w:bCs w:val="0"/>
          <w:spacing w:val="0"/>
          <w:kern w:val="0"/>
          <w:sz w:val="22"/>
          <w:szCs w:val="22"/>
          <w:highlight w:val="none"/>
        </w:rPr>
        <w:t>：提供生产厂家营业执照、卫生许可证、国家机关发出的食材检验合格证书。</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所提供食材质量必须要符合行业标准要求，不得有掺假、变质、变味、过期等现象出现，严禁伪劣、假冒、无证不合格食材进入仓库。</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1.5</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在供应过程中，如果发生出现质量问题或造成食物中毒，如变质等情况，经查实后确属</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责任，</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应承担全部责任，主要包括食物中毒人员医疗费、误工费、事故处理费等，直至追究刑事责任。</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b w:val="0"/>
          <w:spacing w:val="0"/>
          <w:kern w:val="0"/>
          <w:sz w:val="22"/>
          <w:szCs w:val="22"/>
          <w:highlight w:val="none"/>
        </w:rPr>
        <w:t>2．执行标准：</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2.1大米品种要求为国家标准一级大米。</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2.2米类执行标准：以国家最新标准（GB 2715-2016）为准，国家标准一级大米，不含添加剂。</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2.3大米的质量标准：除符合标准一级大米外，要求：</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碎米总量≤15%</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小碎米总量≤1%   </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不完善粒≤3%   </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黄米粒按国家标准执行。</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2.4油类执行标准：以国家最新标准为准。</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食用调和油：GB1535-2003</w:t>
      </w:r>
    </w:p>
    <w:p>
      <w:pPr>
        <w:pStyle w:val="109"/>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花生油：GB 1534-2003 　</w:t>
      </w:r>
    </w:p>
    <w:p>
      <w:pPr>
        <w:pStyle w:val="109"/>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大豆油：GB 1535-2003 </w:t>
      </w:r>
    </w:p>
    <w:p>
      <w:pPr>
        <w:pStyle w:val="109"/>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玉米油：GB 19111-2003 </w:t>
      </w:r>
    </w:p>
    <w:p>
      <w:pPr>
        <w:pStyle w:val="109"/>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2.5油类质量要求：</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食用油品种必须色泽好，透明度高，无浑浊，无沉淀和悬浮物，粘度小，无分层现象，气味正常，无酸臭异味。</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严格执行国家相关质量标准及卫生安全标准，色泽、气味、霉变、真菌毒素、重金属污染物、农药等严格控制在国家标准范围内（原粮及成品粮色泽、气味必须正常。霉变粒不得超过2％。</w:t>
      </w:r>
      <w:r>
        <w:rPr>
          <w:rFonts w:hint="eastAsia" w:ascii="仿宋" w:hAnsi="仿宋" w:eastAsia="仿宋" w:cs="仿宋"/>
          <w:b w:val="0"/>
          <w:spacing w:val="0"/>
          <w:kern w:val="0"/>
          <w:sz w:val="22"/>
          <w:szCs w:val="22"/>
          <w:highlight w:val="none"/>
        </w:rPr>
        <w:t>真菌毒素</w:t>
      </w:r>
      <w:r>
        <w:rPr>
          <w:rFonts w:hint="eastAsia" w:ascii="仿宋" w:hAnsi="仿宋" w:eastAsia="仿宋" w:cs="仿宋"/>
          <w:spacing w:val="0"/>
          <w:kern w:val="0"/>
          <w:sz w:val="22"/>
          <w:szCs w:val="22"/>
          <w:highlight w:val="none"/>
        </w:rPr>
        <w:t>：黄曲霉毒素B1（5μg/kg～20μg/kg）、脱氧雪腐镰刀菌烯醇（≤1000μg/kg）、玉米赤霉烯酮（≤60μg/kg）、赭曲霉毒素A（5μg/kg）。重金属污染物：铅（≤0.2mg/kg）、镉(0.1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要求提供的食用油生产厂家信誉良好，有明确的食材标签，有生产日期、保质期、质量等级，并标明初制油的加工工艺(即用浸出法生产，还是用压榨法生产的)和是否用转基因油料生产，不得以次充好、以假乱真。如将毛油当一级或二级油进行销售，将低价位的植物油掺入高价位植物油中进行销售，牟取暴利，一经查处，</w:t>
      </w:r>
      <w:r>
        <w:rPr>
          <w:rFonts w:hint="eastAsia" w:ascii="仿宋" w:hAnsi="仿宋" w:eastAsia="仿宋" w:cs="仿宋"/>
          <w:spacing w:val="0"/>
          <w:kern w:val="0"/>
          <w:sz w:val="22"/>
          <w:szCs w:val="22"/>
          <w:highlight w:val="none"/>
          <w:lang w:eastAsia="zh-CN"/>
        </w:rPr>
        <w:t>中标供应商</w:t>
      </w:r>
      <w:r>
        <w:rPr>
          <w:rFonts w:hint="eastAsia" w:ascii="仿宋" w:hAnsi="仿宋" w:eastAsia="仿宋" w:cs="仿宋"/>
          <w:spacing w:val="0"/>
          <w:kern w:val="0"/>
          <w:sz w:val="22"/>
          <w:szCs w:val="22"/>
          <w:highlight w:val="none"/>
        </w:rPr>
        <w:t>将承担全部责任。</w:t>
      </w:r>
    </w:p>
    <w:p>
      <w:pPr>
        <w:pStyle w:val="109"/>
        <w:spacing w:line="360" w:lineRule="auto"/>
        <w:ind w:firstLine="440" w:firstLineChars="200"/>
        <w:outlineLvl w:val="9"/>
        <w:rPr>
          <w:rFonts w:hint="eastAsia" w:ascii="仿宋" w:hAnsi="仿宋" w:eastAsia="仿宋" w:cs="仿宋"/>
          <w:b w:val="0"/>
          <w:spacing w:val="0"/>
          <w:kern w:val="0"/>
          <w:sz w:val="22"/>
          <w:szCs w:val="22"/>
          <w:highlight w:val="none"/>
        </w:rPr>
      </w:pPr>
      <w:r>
        <w:rPr>
          <w:rFonts w:hint="eastAsia" w:ascii="仿宋" w:hAnsi="仿宋" w:eastAsia="仿宋" w:cs="仿宋"/>
          <w:b w:val="0"/>
          <w:spacing w:val="0"/>
          <w:kern w:val="0"/>
          <w:sz w:val="22"/>
          <w:szCs w:val="22"/>
          <w:highlight w:val="none"/>
        </w:rPr>
        <w:t>(</w:t>
      </w:r>
      <w:r>
        <w:rPr>
          <w:rFonts w:hint="eastAsia" w:ascii="仿宋" w:hAnsi="仿宋" w:eastAsia="仿宋" w:cs="仿宋"/>
          <w:b w:val="0"/>
          <w:spacing w:val="0"/>
          <w:kern w:val="0"/>
          <w:sz w:val="22"/>
          <w:szCs w:val="22"/>
          <w:highlight w:val="none"/>
          <w:lang w:eastAsia="zh-CN"/>
        </w:rPr>
        <w:t>二</w:t>
      </w:r>
      <w:r>
        <w:rPr>
          <w:rFonts w:hint="eastAsia" w:ascii="仿宋" w:hAnsi="仿宋" w:eastAsia="仿宋" w:cs="仿宋"/>
          <w:b w:val="0"/>
          <w:spacing w:val="0"/>
          <w:kern w:val="0"/>
          <w:sz w:val="22"/>
          <w:szCs w:val="22"/>
          <w:highlight w:val="none"/>
        </w:rPr>
        <w:t>）米面豆制品</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生干面制品（挂面、排粉、通心粉),生湿面制品（面条、切面、饺子皮、馄饨皮、烧麦皮等），米粉制品（米粉、米线、年糕、春卷皮、河粉、粿条等）</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1.原料应符合相应绿色食品标准要求。</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2.食品添加剂应符合NY/T 392的规定。</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3.加工用水应符合GB 5749的规定。</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4.生产过程应符合GB 5749的规定。</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面制品：色泽均匀一致；外表光滑有韧性；无酸味、霉味；无杂质；煮熟后，口感不粘，不牙碜，柔软爽口。</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米制品：颜色呈白色、色泽基本均匀一致；气味正常，无异味；组织形态基本均匀一致，表面光滑，口感爽滑，有韧感，不夹生，不粘牙；无杂质。</w:t>
      </w:r>
    </w:p>
    <w:p>
      <w:pPr>
        <w:pStyle w:val="109"/>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油面筋：颜色金黄，光亮；外形完整、松空脆轻，油香味浓。</w:t>
      </w:r>
    </w:p>
    <w:p>
      <w:pPr>
        <w:pStyle w:val="109"/>
        <w:tabs>
          <w:tab w:val="left" w:pos="540"/>
        </w:tabs>
        <w:adjustRightInd w:val="0"/>
        <w:snapToGrid w:val="0"/>
        <w:spacing w:line="360" w:lineRule="auto"/>
        <w:outlineLvl w:val="9"/>
        <w:rPr>
          <w:rFonts w:hint="eastAsia" w:ascii="仿宋" w:hAnsi="仿宋" w:eastAsia="仿宋" w:cs="仿宋"/>
          <w:b w:val="0"/>
          <w:spacing w:val="0"/>
          <w:kern w:val="0"/>
          <w:sz w:val="22"/>
          <w:szCs w:val="22"/>
          <w:highlight w:val="none"/>
        </w:rPr>
      </w:pPr>
      <w:r>
        <w:rPr>
          <w:rFonts w:hint="eastAsia" w:ascii="仿宋" w:hAnsi="仿宋" w:eastAsia="仿宋" w:cs="仿宋"/>
          <w:b w:val="0"/>
          <w:spacing w:val="0"/>
          <w:kern w:val="0"/>
          <w:sz w:val="22"/>
          <w:szCs w:val="22"/>
          <w:highlight w:val="none"/>
        </w:rPr>
        <w:t xml:space="preserve">   （</w:t>
      </w:r>
      <w:r>
        <w:rPr>
          <w:rFonts w:hint="eastAsia" w:ascii="仿宋" w:hAnsi="仿宋" w:eastAsia="仿宋" w:cs="仿宋"/>
          <w:b w:val="0"/>
          <w:spacing w:val="0"/>
          <w:kern w:val="0"/>
          <w:sz w:val="22"/>
          <w:szCs w:val="22"/>
          <w:highlight w:val="none"/>
          <w:lang w:val="en-US" w:eastAsia="zh-CN"/>
        </w:rPr>
        <w:t>三</w:t>
      </w:r>
      <w:r>
        <w:rPr>
          <w:rFonts w:hint="eastAsia" w:ascii="仿宋" w:hAnsi="仿宋" w:eastAsia="仿宋" w:cs="仿宋"/>
          <w:b w:val="0"/>
          <w:spacing w:val="0"/>
          <w:kern w:val="0"/>
          <w:sz w:val="22"/>
          <w:szCs w:val="22"/>
          <w:highlight w:val="none"/>
        </w:rPr>
        <w:t>）酱料干货</w:t>
      </w:r>
    </w:p>
    <w:p>
      <w:pPr>
        <w:pStyle w:val="109"/>
        <w:tabs>
          <w:tab w:val="left" w:pos="540"/>
        </w:tabs>
        <w:adjustRightInd w:val="0"/>
        <w:snapToGrid w:val="0"/>
        <w:spacing w:line="360" w:lineRule="auto"/>
        <w:outlineLvl w:val="9"/>
        <w:rPr>
          <w:rFonts w:hint="eastAsia" w:ascii="仿宋" w:hAnsi="仿宋" w:eastAsia="仿宋" w:cs="仿宋"/>
          <w:spacing w:val="0"/>
          <w:kern w:val="0"/>
          <w:sz w:val="22"/>
          <w:szCs w:val="22"/>
          <w:highlight w:val="none"/>
        </w:rPr>
      </w:pPr>
      <w:r>
        <w:rPr>
          <w:rFonts w:hint="eastAsia" w:ascii="仿宋" w:hAnsi="仿宋" w:eastAsia="仿宋" w:cs="仿宋"/>
          <w:b w:val="0"/>
          <w:spacing w:val="0"/>
          <w:kern w:val="0"/>
          <w:sz w:val="22"/>
          <w:szCs w:val="22"/>
          <w:highlight w:val="none"/>
        </w:rPr>
        <w:t xml:space="preserve"> </w:t>
      </w:r>
      <w:r>
        <w:rPr>
          <w:rFonts w:hint="eastAsia" w:ascii="仿宋" w:hAnsi="仿宋" w:eastAsia="仿宋" w:cs="仿宋"/>
          <w:spacing w:val="0"/>
          <w:kern w:val="0"/>
          <w:sz w:val="22"/>
          <w:szCs w:val="22"/>
          <w:highlight w:val="none"/>
        </w:rPr>
        <w:t xml:space="preserve">   1.食材应当符合国家或行业标准。</w:t>
      </w:r>
    </w:p>
    <w:p>
      <w:pPr>
        <w:pStyle w:val="109"/>
        <w:tabs>
          <w:tab w:val="left" w:pos="540"/>
        </w:tabs>
        <w:adjustRightInd w:val="0"/>
        <w:snapToGrid w:val="0"/>
        <w:spacing w:line="360" w:lineRule="auto"/>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2.食材包装标签应符合《食品安全国家标准预包装食品标签通则》（GB 7718-2011）要求，包括食材名称、配料表、净含量、规格、生产者（或）经销者的名称、地址和联系方式、生产日期和保质期、贮存条件、食材生产许可证编号、食材标准代号等内容。</w:t>
      </w:r>
    </w:p>
    <w:p>
      <w:pPr>
        <w:pStyle w:val="109"/>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3.所有干货干爽、不霉烂、整齐、均匀、完整，无虫蛀、无杂质，保持应有的色泽。冬菇、支竹、木耳类水分含量不能超过国家标准；杂粮需为无公害、绿色食品。</w:t>
      </w:r>
    </w:p>
    <w:p>
      <w:pPr>
        <w:pStyle w:val="109"/>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w:t>
      </w:r>
      <w:r>
        <w:rPr>
          <w:rFonts w:hint="eastAsia" w:ascii="仿宋" w:hAnsi="仿宋" w:eastAsia="仿宋" w:cs="仿宋"/>
          <w:bCs w:val="0"/>
          <w:spacing w:val="0"/>
          <w:kern w:val="0"/>
          <w:sz w:val="22"/>
          <w:szCs w:val="22"/>
          <w:highlight w:val="none"/>
        </w:rPr>
        <w:t>4.</w:t>
      </w:r>
      <w:r>
        <w:rPr>
          <w:rFonts w:hint="eastAsia" w:ascii="仿宋" w:hAnsi="仿宋" w:eastAsia="仿宋" w:cs="仿宋"/>
          <w:spacing w:val="0"/>
          <w:kern w:val="0"/>
          <w:sz w:val="22"/>
          <w:szCs w:val="22"/>
          <w:highlight w:val="none"/>
        </w:rPr>
        <w:t>所有干货质量稳定、营养丰富、绿色安全、易于存放、食用方便、干爽不霉烂、无虫蛀杂质，保持规定的色泽。</w:t>
      </w:r>
    </w:p>
    <w:p>
      <w:pPr>
        <w:pStyle w:val="109"/>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w:t>
      </w:r>
      <w:r>
        <w:rPr>
          <w:rFonts w:hint="eastAsia" w:ascii="仿宋" w:hAnsi="仿宋" w:eastAsia="仿宋" w:cs="仿宋"/>
          <w:bCs w:val="0"/>
          <w:spacing w:val="0"/>
          <w:kern w:val="0"/>
          <w:sz w:val="22"/>
          <w:szCs w:val="22"/>
          <w:highlight w:val="none"/>
        </w:rPr>
        <w:t>5.</w:t>
      </w:r>
      <w:r>
        <w:rPr>
          <w:rFonts w:hint="eastAsia" w:ascii="仿宋" w:hAnsi="仿宋" w:eastAsia="仿宋" w:cs="仿宋"/>
          <w:spacing w:val="0"/>
          <w:kern w:val="0"/>
          <w:sz w:val="22"/>
          <w:szCs w:val="22"/>
          <w:highlight w:val="none"/>
        </w:rPr>
        <w:t>所有干货从加工、包装、运输、储存等全部符合国家规定标准，尤其是二氧化硫残留量、总砷含量部超过国家卫生标准。</w:t>
      </w:r>
    </w:p>
    <w:p>
      <w:pPr>
        <w:pStyle w:val="109"/>
        <w:widowControl/>
        <w:adjustRightInd w:val="0"/>
        <w:snapToGrid w:val="0"/>
        <w:spacing w:line="360" w:lineRule="auto"/>
        <w:jc w:val="left"/>
        <w:outlineLvl w:val="9"/>
        <w:rPr>
          <w:rFonts w:ascii="宋体" w:hAnsi="宋体" w:eastAsia="宋体" w:cs="仿宋_GB2312"/>
          <w:spacing w:val="0"/>
          <w:kern w:val="0"/>
          <w:sz w:val="24"/>
          <w:szCs w:val="24"/>
          <w:highlight w:val="none"/>
        </w:rPr>
      </w:pPr>
      <w:r>
        <w:rPr>
          <w:rFonts w:hint="eastAsia" w:ascii="仿宋" w:hAnsi="仿宋" w:eastAsia="仿宋" w:cs="仿宋"/>
          <w:spacing w:val="0"/>
          <w:kern w:val="0"/>
          <w:sz w:val="22"/>
          <w:szCs w:val="22"/>
          <w:highlight w:val="none"/>
        </w:rPr>
        <w:t xml:space="preserve">    6.供应有保质期限的食材剩余保存期时长不得少于原有保质期时长的三分之二。</w:t>
      </w:r>
    </w:p>
    <w:p>
      <w:pPr>
        <w:pStyle w:val="85"/>
        <w:tabs>
          <w:tab w:val="left" w:pos="426"/>
          <w:tab w:val="left" w:pos="567"/>
        </w:tabs>
        <w:snapToGrid w:val="0"/>
        <w:outlineLvl w:val="9"/>
        <w:rPr>
          <w:rFonts w:hint="eastAsia" w:ascii="仿宋" w:hAnsi="仿宋" w:eastAsia="仿宋"/>
          <w:b/>
          <w:bCs/>
          <w:sz w:val="22"/>
          <w:szCs w:val="21"/>
          <w:highlight w:val="none"/>
        </w:rPr>
      </w:pPr>
      <w:r>
        <w:rPr>
          <w:rFonts w:hint="eastAsia" w:ascii="仿宋" w:hAnsi="仿宋" w:eastAsia="仿宋"/>
          <w:b/>
          <w:bCs/>
          <w:sz w:val="22"/>
          <w:highlight w:val="none"/>
          <w:lang w:eastAsia="zh-CN"/>
        </w:rPr>
        <w:t>三、</w:t>
      </w:r>
      <w:r>
        <w:rPr>
          <w:rFonts w:hint="eastAsia" w:ascii="仿宋" w:hAnsi="仿宋" w:eastAsia="仿宋"/>
          <w:b/>
          <w:bCs/>
          <w:sz w:val="22"/>
          <w:szCs w:val="21"/>
          <w:highlight w:val="none"/>
        </w:rPr>
        <w:t>产品配送要求</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送货方式：招标人通知订购品种、数量后，</w:t>
      </w:r>
      <w:r>
        <w:rPr>
          <w:rFonts w:hint="eastAsia" w:ascii="仿宋" w:hAnsi="仿宋" w:eastAsia="仿宋"/>
          <w:sz w:val="22"/>
          <w:highlight w:val="none"/>
          <w:lang w:eastAsia="zh-CN"/>
        </w:rPr>
        <w:t>中标供应商</w:t>
      </w:r>
      <w:r>
        <w:rPr>
          <w:rFonts w:hint="eastAsia" w:ascii="仿宋" w:hAnsi="仿宋" w:eastAsia="仿宋"/>
          <w:sz w:val="22"/>
          <w:highlight w:val="none"/>
        </w:rPr>
        <w:t>根据招标人的订单，需于每天早上约定时间前将需求用品运送到指定地点，</w:t>
      </w:r>
      <w:r>
        <w:rPr>
          <w:rFonts w:hint="eastAsia" w:ascii="仿宋" w:hAnsi="仿宋" w:eastAsia="仿宋"/>
          <w:sz w:val="22"/>
          <w:highlight w:val="none"/>
          <w:lang w:eastAsia="zh-CN"/>
        </w:rPr>
        <w:t>中标供应商</w:t>
      </w:r>
      <w:r>
        <w:rPr>
          <w:rFonts w:hint="eastAsia" w:ascii="仿宋" w:hAnsi="仿宋" w:eastAsia="仿宋"/>
          <w:sz w:val="22"/>
          <w:highlight w:val="none"/>
        </w:rPr>
        <w:t>随货提供注明产品名称、单位、数量、售价及总金额的商品送货清单，作为招标人入库验收之凭证。</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交货地点：</w:t>
      </w:r>
      <w:r>
        <w:rPr>
          <w:rFonts w:hint="eastAsia" w:ascii="仿宋" w:hAnsi="仿宋" w:eastAsia="仿宋"/>
          <w:sz w:val="22"/>
          <w:highlight w:val="none"/>
          <w:lang w:eastAsia="zh-CN"/>
        </w:rPr>
        <w:t>包括但不限于</w:t>
      </w:r>
      <w:r>
        <w:rPr>
          <w:rFonts w:hint="eastAsia" w:ascii="仿宋" w:hAnsi="仿宋" w:eastAsia="仿宋"/>
          <w:sz w:val="22"/>
          <w:highlight w:val="none"/>
          <w:lang w:val="en-US" w:eastAsia="zh-CN"/>
        </w:rPr>
        <w:t>南沙天后宫景区(饭</w:t>
      </w:r>
      <w:r>
        <w:rPr>
          <w:rFonts w:hint="eastAsia" w:ascii="仿宋" w:hAnsi="仿宋" w:eastAsia="仿宋"/>
          <w:sz w:val="22"/>
          <w:highlight w:val="none"/>
          <w:lang w:eastAsia="zh-CN"/>
        </w:rPr>
        <w:t>堂、</w:t>
      </w:r>
      <w:r>
        <w:rPr>
          <w:rFonts w:hint="eastAsia" w:ascii="仿宋" w:hAnsi="仿宋" w:eastAsia="仿宋"/>
          <w:sz w:val="22"/>
          <w:highlight w:val="none"/>
          <w:lang w:val="en-US" w:eastAsia="zh-CN"/>
        </w:rPr>
        <w:t>餐厅、默娘之家）</w:t>
      </w:r>
      <w:r>
        <w:rPr>
          <w:rFonts w:hint="eastAsia" w:ascii="仿宋" w:hAnsi="仿宋" w:eastAsia="仿宋"/>
          <w:sz w:val="22"/>
          <w:highlight w:val="none"/>
        </w:rPr>
        <w:t>。</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包装与标志要求</w:t>
      </w:r>
    </w:p>
    <w:p>
      <w:pPr>
        <w:pStyle w:val="85"/>
        <w:numPr>
          <w:ilvl w:val="0"/>
          <w:numId w:val="0"/>
        </w:numPr>
        <w:spacing w:line="360" w:lineRule="auto"/>
        <w:ind w:left="397" w:firstLine="220" w:firstLineChars="100"/>
        <w:outlineLvl w:val="9"/>
        <w:rPr>
          <w:rFonts w:hint="eastAsia" w:ascii="仿宋" w:hAnsi="仿宋" w:eastAsia="仿宋"/>
          <w:sz w:val="22"/>
          <w:highlight w:val="none"/>
        </w:rPr>
      </w:pPr>
      <w:r>
        <w:rPr>
          <w:rFonts w:hint="eastAsia" w:ascii="仿宋" w:hAnsi="仿宋" w:eastAsia="仿宋"/>
          <w:sz w:val="22"/>
          <w:highlight w:val="none"/>
          <w:lang w:val="en-US" w:eastAsia="zh-CN"/>
        </w:rPr>
        <w:t>3.1</w:t>
      </w:r>
      <w:r>
        <w:rPr>
          <w:rFonts w:hint="eastAsia" w:ascii="仿宋" w:hAnsi="仿宋" w:eastAsia="仿宋"/>
          <w:sz w:val="22"/>
          <w:highlight w:val="none"/>
        </w:rPr>
        <w:t>包装：容器(框、箱、袋)要求清洁、干燥、牢固、透气，无污染、无异味、无霉变现象。蔬菜瓜果类、肉类、水产品等不同类别按不同颜色分别盛装。</w:t>
      </w:r>
    </w:p>
    <w:p>
      <w:pPr>
        <w:pStyle w:val="85"/>
        <w:numPr>
          <w:ilvl w:val="0"/>
          <w:numId w:val="0"/>
        </w:numPr>
        <w:spacing w:line="360" w:lineRule="auto"/>
        <w:ind w:left="397" w:firstLine="220" w:firstLineChars="100"/>
        <w:outlineLvl w:val="9"/>
        <w:rPr>
          <w:rFonts w:hint="eastAsia" w:ascii="仿宋" w:hAnsi="仿宋" w:eastAsia="仿宋"/>
          <w:sz w:val="22"/>
          <w:highlight w:val="none"/>
        </w:rPr>
      </w:pPr>
      <w:r>
        <w:rPr>
          <w:rFonts w:hint="eastAsia" w:ascii="仿宋" w:hAnsi="仿宋" w:eastAsia="仿宋"/>
          <w:sz w:val="22"/>
          <w:highlight w:val="none"/>
          <w:lang w:val="en-US" w:eastAsia="zh-CN"/>
        </w:rPr>
        <w:t>3.2</w:t>
      </w:r>
      <w:r>
        <w:rPr>
          <w:rFonts w:hint="eastAsia" w:ascii="仿宋" w:hAnsi="仿宋" w:eastAsia="仿宋"/>
          <w:sz w:val="22"/>
          <w:highlight w:val="none"/>
        </w:rPr>
        <w:t>用于产品包装的材料必须清洁，产品无污染。产品的包装和标签必须符合相应的规定和要求，包装费用由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运输要求：运输工具应清洁卫生无污染：食品运输必须采用符合卫生标准的外包装和运载工具，并且要保持清洁和定期消毒。所有散装食品，包括各类蔬菜瓜果及肉类等应分类包装并好做好密封措施，不能直接外露，防止交叉污染及环境污染。盛装工具（如萝筐等）必须保持洁净，无泥渍、污渍；盛装原材料的胶袋必须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85"/>
        <w:numPr>
          <w:ilvl w:val="0"/>
          <w:numId w:val="3"/>
        </w:numPr>
        <w:tabs>
          <w:tab w:val="left" w:pos="567"/>
        </w:tabs>
        <w:spacing w:line="360" w:lineRule="auto"/>
        <w:ind w:left="0" w:firstLine="440" w:firstLineChars="200"/>
        <w:outlineLvl w:val="9"/>
        <w:rPr>
          <w:rFonts w:ascii="仿宋" w:hAnsi="仿宋" w:eastAsia="仿宋"/>
          <w:sz w:val="22"/>
          <w:highlight w:val="none"/>
        </w:rPr>
      </w:pPr>
      <w:r>
        <w:rPr>
          <w:rFonts w:hint="eastAsia" w:ascii="仿宋" w:hAnsi="仿宋" w:eastAsia="仿宋"/>
          <w:sz w:val="22"/>
          <w:highlight w:val="none"/>
        </w:rPr>
        <w:t>数量方面要求：保证配送品种斤两的准确性，以采购验收人的验货数量为准（标准差不大于2%），</w:t>
      </w:r>
      <w:r>
        <w:rPr>
          <w:rFonts w:hint="eastAsia" w:ascii="仿宋" w:hAnsi="仿宋" w:eastAsia="仿宋"/>
          <w:sz w:val="22"/>
          <w:highlight w:val="none"/>
          <w:lang w:eastAsia="zh-CN"/>
        </w:rPr>
        <w:t>中标供应商</w:t>
      </w:r>
      <w:r>
        <w:rPr>
          <w:rFonts w:hint="eastAsia" w:ascii="仿宋" w:hAnsi="仿宋" w:eastAsia="仿宋"/>
          <w:sz w:val="22"/>
          <w:highlight w:val="none"/>
        </w:rPr>
        <w:t>每次随货送上一式三份的送货清单，供双方验货后签字确认，作为送、收货的凭证。</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交货要求：食材应清洁，无损伤、腐烂现象，外包装完整，无寄生虫或已受虫害现象。冷藏、冷冻食材必须用专用冷藏、冷冻载具运输，在运输过程中保持安全的冷藏、冷冻温度，冷冻食材没有曾经解冻痕迹或软化现象，包装呈干爽状态。采取现场验收的方式，双方验收人员应认真检查食材的质量，验收工作人员应按招标文件食材质量要求对食材质量进行抽查以确保食材品种符合要求。</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每次根据招标人的通知订购品种和数量后，具体送货时间由采购用户通知时约定，由招标人指定负责人验收过秤记录。对于不符合质量的品种招标人可退货或换货（由于产品质量而造成就餐人员发生安全事故时，</w:t>
      </w:r>
      <w:r>
        <w:rPr>
          <w:rFonts w:hint="eastAsia" w:ascii="仿宋" w:hAnsi="仿宋" w:eastAsia="仿宋"/>
          <w:sz w:val="22"/>
          <w:highlight w:val="none"/>
          <w:lang w:eastAsia="zh-CN"/>
        </w:rPr>
        <w:t>中标供应商</w:t>
      </w:r>
      <w:r>
        <w:rPr>
          <w:rFonts w:hint="eastAsia" w:ascii="仿宋" w:hAnsi="仿宋" w:eastAsia="仿宋"/>
          <w:sz w:val="22"/>
          <w:highlight w:val="none"/>
        </w:rPr>
        <w:t>须承担全部</w:t>
      </w:r>
      <w:r>
        <w:rPr>
          <w:rFonts w:hint="eastAsia" w:ascii="仿宋" w:hAnsi="仿宋" w:eastAsia="仿宋"/>
          <w:sz w:val="22"/>
          <w:highlight w:val="none"/>
          <w:lang w:val="en-US" w:eastAsia="zh-CN"/>
        </w:rPr>
        <w:t>经济赔偿</w:t>
      </w:r>
      <w:r>
        <w:rPr>
          <w:rFonts w:hint="eastAsia" w:ascii="仿宋" w:hAnsi="仿宋" w:eastAsia="仿宋"/>
          <w:sz w:val="22"/>
          <w:highlight w:val="none"/>
        </w:rPr>
        <w:t>责任</w:t>
      </w:r>
      <w:r>
        <w:rPr>
          <w:rFonts w:hint="eastAsia" w:ascii="仿宋" w:hAnsi="仿宋" w:eastAsia="仿宋"/>
          <w:sz w:val="22"/>
          <w:highlight w:val="none"/>
          <w:lang w:val="en-US" w:eastAsia="zh-CN"/>
        </w:rPr>
        <w:t>及法律责任</w:t>
      </w:r>
      <w:r>
        <w:rPr>
          <w:rFonts w:hint="eastAsia" w:ascii="仿宋" w:hAnsi="仿宋" w:eastAsia="仿宋"/>
          <w:sz w:val="22"/>
          <w:highlight w:val="none"/>
        </w:rPr>
        <w:t>）。</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如果因</w:t>
      </w:r>
      <w:r>
        <w:rPr>
          <w:rFonts w:hint="eastAsia" w:ascii="仿宋" w:hAnsi="仿宋" w:eastAsia="仿宋"/>
          <w:sz w:val="22"/>
          <w:highlight w:val="none"/>
          <w:lang w:eastAsia="zh-CN"/>
        </w:rPr>
        <w:t>中标供应商</w:t>
      </w:r>
      <w:r>
        <w:rPr>
          <w:rFonts w:hint="eastAsia" w:ascii="仿宋" w:hAnsi="仿宋" w:eastAsia="仿宋"/>
          <w:sz w:val="22"/>
          <w:highlight w:val="none"/>
        </w:rPr>
        <w:t>原因未能兑现配送时间承诺，造成迟交货现象的，作以下处理：①招标人对迟交货部分产品可拒绝收货；②按本次交货产品的总值扣除5%违约金；③如招标人需要对迟交部分的产品进行自行采购的，</w:t>
      </w:r>
      <w:r>
        <w:rPr>
          <w:rFonts w:hint="eastAsia" w:ascii="仿宋" w:hAnsi="仿宋" w:eastAsia="仿宋"/>
          <w:sz w:val="22"/>
          <w:highlight w:val="none"/>
          <w:lang w:eastAsia="zh-CN"/>
        </w:rPr>
        <w:t>中标供应商</w:t>
      </w:r>
      <w:r>
        <w:rPr>
          <w:rFonts w:hint="eastAsia" w:ascii="仿宋" w:hAnsi="仿宋" w:eastAsia="仿宋"/>
          <w:sz w:val="22"/>
          <w:highlight w:val="none"/>
          <w:lang w:val="en-US" w:eastAsia="zh-CN"/>
        </w:rPr>
        <w:t>按照招标人</w:t>
      </w:r>
      <w:r>
        <w:rPr>
          <w:rFonts w:hint="eastAsia" w:ascii="仿宋" w:hAnsi="仿宋" w:eastAsia="仿宋"/>
          <w:sz w:val="22"/>
          <w:highlight w:val="none"/>
        </w:rPr>
        <w:t>实际采购价格</w:t>
      </w:r>
      <w:r>
        <w:rPr>
          <w:rFonts w:hint="eastAsia" w:ascii="仿宋" w:hAnsi="仿宋" w:eastAsia="仿宋"/>
          <w:sz w:val="22"/>
          <w:highlight w:val="none"/>
          <w:lang w:val="en-US" w:eastAsia="zh-CN"/>
        </w:rPr>
        <w:t>承担赔偿责任</w:t>
      </w:r>
      <w:r>
        <w:rPr>
          <w:rFonts w:hint="eastAsia" w:ascii="仿宋" w:hAnsi="仿宋" w:eastAsia="仿宋"/>
          <w:sz w:val="22"/>
          <w:highlight w:val="none"/>
        </w:rPr>
        <w:t>。第5至7条约定的各事项如一月内累计发生三次的，扣罚当批次送货金额的20%，如一月内累计发生四次或以上的，扣罚当批次送货金额的30%，一季度发生累计5次或以上的，招标人有权终止采购合约。</w:t>
      </w:r>
    </w:p>
    <w:p>
      <w:pPr>
        <w:pStyle w:val="85"/>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对招标人临时的供货要求，需随订随送，至少在2个小时内响应。如未能兑现配送时间承诺，招标人可按照无偿退货处理。</w:t>
      </w:r>
    </w:p>
    <w:p>
      <w:pPr>
        <w:pStyle w:val="85"/>
        <w:numPr>
          <w:ilvl w:val="0"/>
          <w:numId w:val="0"/>
        </w:numPr>
        <w:tabs>
          <w:tab w:val="left" w:pos="426"/>
          <w:tab w:val="left" w:pos="567"/>
        </w:tabs>
        <w:snapToGrid w:val="0"/>
        <w:spacing w:line="240" w:lineRule="auto"/>
        <w:ind w:left="0" w:firstLine="0"/>
        <w:outlineLvl w:val="9"/>
        <w:rPr>
          <w:rFonts w:hint="eastAsia" w:ascii="仿宋" w:hAnsi="仿宋" w:eastAsia="仿宋"/>
          <w:b/>
          <w:bCs/>
          <w:sz w:val="22"/>
          <w:highlight w:val="none"/>
        </w:rPr>
      </w:pPr>
      <w:r>
        <w:rPr>
          <w:rFonts w:hint="eastAsia" w:ascii="仿宋" w:hAnsi="仿宋" w:eastAsia="仿宋"/>
          <w:b/>
          <w:bCs/>
          <w:sz w:val="22"/>
          <w:highlight w:val="none"/>
          <w:lang w:eastAsia="zh-CN"/>
        </w:rPr>
        <w:t>四、</w:t>
      </w:r>
      <w:r>
        <w:rPr>
          <w:rFonts w:hint="eastAsia" w:ascii="仿宋" w:hAnsi="仿宋" w:eastAsia="仿宋"/>
          <w:b/>
          <w:bCs/>
          <w:sz w:val="22"/>
          <w:highlight w:val="none"/>
        </w:rPr>
        <w:t>报价要求</w:t>
      </w:r>
    </w:p>
    <w:p>
      <w:pPr>
        <w:pStyle w:val="85"/>
        <w:numPr>
          <w:ilvl w:val="0"/>
          <w:numId w:val="0"/>
        </w:numPr>
        <w:tabs>
          <w:tab w:val="left" w:pos="567"/>
        </w:tabs>
        <w:spacing w:line="360" w:lineRule="auto"/>
        <w:ind w:left="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rPr>
        <w:t>（一）投标人按采购内容分类（粮油面类/米面豆制品类/酱料干货类）报下浮率，下浮率必须为固定报价，不接受区间报价（如10％～</w:t>
      </w:r>
      <w:r>
        <w:rPr>
          <w:rFonts w:hint="eastAsia" w:ascii="仿宋" w:hAnsi="仿宋" w:eastAsia="仿宋"/>
          <w:b/>
          <w:bCs/>
          <w:sz w:val="22"/>
          <w:highlight w:val="none"/>
          <w:lang w:val="en-US" w:eastAsia="zh-CN"/>
        </w:rPr>
        <w:t>15</w:t>
      </w:r>
      <w:r>
        <w:rPr>
          <w:rFonts w:hint="eastAsia" w:ascii="仿宋" w:hAnsi="仿宋" w:eastAsia="仿宋"/>
          <w:b/>
          <w:bCs/>
          <w:sz w:val="22"/>
          <w:highlight w:val="none"/>
        </w:rPr>
        <w:t>％），下浮率报价范围：0%≤下浮率≤</w:t>
      </w:r>
      <w:r>
        <w:rPr>
          <w:rFonts w:hint="eastAsia" w:ascii="仿宋" w:hAnsi="仿宋" w:eastAsia="仿宋"/>
          <w:b/>
          <w:bCs/>
          <w:sz w:val="22"/>
          <w:highlight w:val="none"/>
          <w:lang w:val="en-US" w:eastAsia="zh-CN"/>
        </w:rPr>
        <w:t>20</w:t>
      </w:r>
      <w:r>
        <w:rPr>
          <w:rFonts w:hint="eastAsia" w:ascii="仿宋" w:hAnsi="仿宋" w:eastAsia="仿宋"/>
          <w:b/>
          <w:bCs/>
          <w:sz w:val="22"/>
          <w:highlight w:val="none"/>
        </w:rPr>
        <w:t>%，否则均视为无效投标。</w:t>
      </w:r>
    </w:p>
    <w:p>
      <w:pPr>
        <w:pStyle w:val="85"/>
        <w:numPr>
          <w:ilvl w:val="0"/>
          <w:numId w:val="0"/>
        </w:numPr>
        <w:tabs>
          <w:tab w:val="left" w:pos="567"/>
        </w:tabs>
        <w:spacing w:line="360" w:lineRule="auto"/>
        <w:ind w:left="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rPr>
        <w:t>（二）定价时间：以30天为周期，每月2</w:t>
      </w:r>
      <w:r>
        <w:rPr>
          <w:rFonts w:hint="eastAsia" w:ascii="仿宋" w:hAnsi="仿宋" w:eastAsia="仿宋"/>
          <w:b/>
          <w:bCs/>
          <w:sz w:val="22"/>
          <w:highlight w:val="none"/>
          <w:lang w:val="en-US" w:eastAsia="zh-CN"/>
        </w:rPr>
        <w:t>5</w:t>
      </w:r>
      <w:r>
        <w:rPr>
          <w:rFonts w:hint="eastAsia" w:ascii="仿宋" w:hAnsi="仿宋" w:eastAsia="仿宋"/>
          <w:b/>
          <w:bCs/>
          <w:sz w:val="22"/>
          <w:highlight w:val="none"/>
        </w:rPr>
        <w:t>日为定价日。</w:t>
      </w:r>
    </w:p>
    <w:p>
      <w:pPr>
        <w:pStyle w:val="85"/>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1.</w:t>
      </w:r>
      <w:r>
        <w:rPr>
          <w:rFonts w:hint="eastAsia" w:ascii="仿宋" w:hAnsi="仿宋" w:eastAsia="仿宋"/>
          <w:b/>
          <w:bCs/>
          <w:sz w:val="22"/>
          <w:highlight w:val="none"/>
        </w:rPr>
        <w:t>以定价日当天“广州市发展和改革委员会网站http://</w:t>
      </w:r>
      <w:r>
        <w:rPr>
          <w:rFonts w:hint="eastAsia" w:ascii="仿宋" w:hAnsi="仿宋" w:eastAsia="仿宋"/>
          <w:b/>
          <w:bCs/>
          <w:sz w:val="22"/>
          <w:highlight w:val="none"/>
          <w:lang w:val="en-US" w:eastAsia="zh-CN"/>
        </w:rPr>
        <w:t>fgw.gz.</w:t>
      </w:r>
      <w:r>
        <w:rPr>
          <w:rFonts w:hint="eastAsia" w:ascii="仿宋" w:hAnsi="仿宋" w:eastAsia="仿宋"/>
          <w:b/>
          <w:bCs/>
          <w:sz w:val="22"/>
          <w:highlight w:val="none"/>
        </w:rPr>
        <w:t>gov.cn/的专题专栏“广州市价格监测预警系统”-</w:t>
      </w:r>
      <w:r>
        <w:rPr>
          <w:rFonts w:hint="eastAsia" w:ascii="仿宋" w:hAnsi="仿宋" w:eastAsia="仿宋"/>
          <w:b/>
          <w:bCs/>
          <w:sz w:val="22"/>
          <w:highlight w:val="none"/>
          <w:lang w:eastAsia="zh-CN"/>
        </w:rPr>
        <w:t>“米袋子行情”栏目</w:t>
      </w:r>
      <w:r>
        <w:rPr>
          <w:rFonts w:hint="eastAsia" w:ascii="仿宋" w:hAnsi="仿宋" w:eastAsia="仿宋"/>
          <w:b/>
          <w:bCs/>
          <w:sz w:val="22"/>
          <w:highlight w:val="none"/>
        </w:rPr>
        <w:t>中食材价格经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审核后作为基准价；</w:t>
      </w:r>
    </w:p>
    <w:p>
      <w:pPr>
        <w:pStyle w:val="85"/>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2.</w:t>
      </w:r>
      <w:r>
        <w:rPr>
          <w:rFonts w:hint="eastAsia" w:ascii="仿宋" w:hAnsi="仿宋" w:eastAsia="仿宋"/>
          <w:b/>
          <w:bCs/>
          <w:sz w:val="22"/>
          <w:highlight w:val="none"/>
        </w:rPr>
        <w:t>其他类别以定价日当天“广州市价格监测预警系统”公布的食材（按品种查询）零售价格经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审核后作为基准价，“广州市价格监测预警系统”没有的食材价格信息，以</w:t>
      </w:r>
      <w:r>
        <w:rPr>
          <w:rFonts w:hint="eastAsia" w:ascii="仿宋" w:hAnsi="仿宋" w:eastAsia="仿宋"/>
          <w:b/>
          <w:bCs/>
          <w:sz w:val="22"/>
          <w:highlight w:val="none"/>
          <w:lang w:eastAsia="zh-CN"/>
        </w:rPr>
        <w:t>招标人</w:t>
      </w:r>
      <w:r>
        <w:rPr>
          <w:rFonts w:hint="eastAsia" w:ascii="仿宋" w:hAnsi="仿宋" w:eastAsia="仿宋"/>
          <w:b/>
          <w:bCs/>
          <w:sz w:val="22"/>
          <w:highlight w:val="none"/>
        </w:rPr>
        <w:t>所在地附近周边市场随机抽取3家或以上同类食材的平均价经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审核后为基准价。</w:t>
      </w:r>
    </w:p>
    <w:p>
      <w:pPr>
        <w:pStyle w:val="85"/>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3.</w:t>
      </w:r>
      <w:r>
        <w:rPr>
          <w:rFonts w:hint="eastAsia" w:ascii="仿宋" w:hAnsi="仿宋" w:eastAsia="仿宋"/>
          <w:b/>
          <w:bCs/>
          <w:sz w:val="22"/>
          <w:highlight w:val="none"/>
        </w:rPr>
        <w:t>个别品种如在“广州市价格监测预警系统”没有价格信息、在周边市场也没有价格信息的，则以京东商城该品种的价格为基准价；或京东商城都没有的，参照类似品种价格并双方协商基准价。</w:t>
      </w:r>
    </w:p>
    <w:p>
      <w:pPr>
        <w:pStyle w:val="85"/>
        <w:numPr>
          <w:ilvl w:val="0"/>
          <w:numId w:val="0"/>
        </w:numPr>
        <w:tabs>
          <w:tab w:val="left" w:pos="567"/>
        </w:tabs>
        <w:spacing w:line="360" w:lineRule="auto"/>
        <w:ind w:left="0" w:leftChars="0" w:firstLine="442" w:firstLineChars="200"/>
        <w:outlineLvl w:val="9"/>
        <w:rPr>
          <w:rFonts w:hint="default" w:ascii="仿宋" w:hAnsi="仿宋" w:eastAsia="仿宋"/>
          <w:sz w:val="22"/>
          <w:highlight w:val="none"/>
          <w:lang w:val="en-US" w:eastAsia="zh-CN"/>
        </w:rPr>
      </w:pPr>
      <w:r>
        <w:rPr>
          <w:rFonts w:hint="eastAsia" w:ascii="仿宋" w:hAnsi="仿宋" w:eastAsia="仿宋"/>
          <w:b/>
          <w:bCs/>
          <w:sz w:val="22"/>
          <w:highlight w:val="none"/>
          <w:lang w:val="en-US" w:eastAsia="zh-CN"/>
        </w:rPr>
        <w:t>4.定价期内，如因自然灾害等不可抗力因素造成个别品种价格增长过大，中标供应商需收集招标人决策所需的相关证据提交招标人，征得招标人同意后方可执行</w:t>
      </w:r>
      <w:r>
        <w:rPr>
          <w:rFonts w:hint="eastAsia" w:ascii="仿宋" w:hAnsi="仿宋" w:eastAsia="仿宋"/>
          <w:sz w:val="22"/>
          <w:highlight w:val="none"/>
          <w:lang w:val="en-US" w:eastAsia="zh-CN"/>
        </w:rPr>
        <w:t>。</w:t>
      </w:r>
    </w:p>
    <w:p>
      <w:pPr>
        <w:pStyle w:val="85"/>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（三）关于</w:t>
      </w:r>
      <w:r>
        <w:rPr>
          <w:rFonts w:hint="eastAsia" w:ascii="仿宋" w:hAnsi="仿宋" w:eastAsia="仿宋"/>
          <w:sz w:val="22"/>
          <w:highlight w:val="none"/>
          <w:lang w:eastAsia="zh-CN"/>
        </w:rPr>
        <w:t>下浮率要求</w:t>
      </w:r>
    </w:p>
    <w:p>
      <w:pPr>
        <w:pStyle w:val="85"/>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若投标人被确定为</w:t>
      </w:r>
      <w:r>
        <w:rPr>
          <w:rFonts w:hint="eastAsia" w:ascii="仿宋" w:hAnsi="仿宋" w:eastAsia="仿宋"/>
          <w:sz w:val="22"/>
          <w:highlight w:val="none"/>
          <w:lang w:eastAsia="zh-CN"/>
        </w:rPr>
        <w:t>中标供应商</w:t>
      </w:r>
      <w:r>
        <w:rPr>
          <w:rFonts w:hint="eastAsia" w:ascii="仿宋" w:hAnsi="仿宋" w:eastAsia="仿宋"/>
          <w:sz w:val="22"/>
          <w:highlight w:val="none"/>
        </w:rPr>
        <w:t>，在供应过程中，以</w:t>
      </w:r>
      <w:r>
        <w:rPr>
          <w:rFonts w:hint="eastAsia" w:ascii="仿宋" w:hAnsi="仿宋" w:eastAsia="仿宋"/>
          <w:sz w:val="22"/>
          <w:highlight w:val="none"/>
          <w:lang w:eastAsia="zh-CN"/>
        </w:rPr>
        <w:t>中标供应商</w:t>
      </w:r>
      <w:r>
        <w:rPr>
          <w:rFonts w:hint="eastAsia" w:ascii="仿宋" w:hAnsi="仿宋" w:eastAsia="仿宋"/>
          <w:sz w:val="22"/>
          <w:highlight w:val="none"/>
        </w:rPr>
        <w:t>的投标下浮率为执行标准。</w:t>
      </w:r>
    </w:p>
    <w:p>
      <w:pPr>
        <w:pStyle w:val="85"/>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（四）结算公式：结算价格＝</w:t>
      </w:r>
      <w:r>
        <w:rPr>
          <w:rFonts w:hint="eastAsia" w:ascii="仿宋" w:hAnsi="仿宋" w:eastAsia="仿宋"/>
          <w:sz w:val="22"/>
          <w:highlight w:val="none"/>
          <w:lang w:eastAsia="zh-CN"/>
        </w:rPr>
        <w:t>招标人</w:t>
      </w:r>
      <w:r>
        <w:rPr>
          <w:rFonts w:hint="eastAsia" w:ascii="仿宋" w:hAnsi="仿宋" w:eastAsia="仿宋"/>
          <w:sz w:val="22"/>
          <w:highlight w:val="none"/>
        </w:rPr>
        <w:t>审核后的基准价×（1-中标下浮率）×实际供货量。</w:t>
      </w:r>
    </w:p>
    <w:p>
      <w:pPr>
        <w:widowControl w:val="0"/>
        <w:numPr>
          <w:ilvl w:val="0"/>
          <w:numId w:val="0"/>
        </w:numPr>
        <w:tabs>
          <w:tab w:val="left" w:pos="426"/>
          <w:tab w:val="left" w:pos="567"/>
        </w:tabs>
        <w:autoSpaceDE w:val="0"/>
        <w:autoSpaceDN w:val="0"/>
        <w:spacing w:line="360" w:lineRule="auto"/>
        <w:ind w:left="0" w:firstLine="0"/>
        <w:jc w:val="both"/>
        <w:outlineLvl w:val="9"/>
        <w:rPr>
          <w:rStyle w:val="78"/>
          <w:rFonts w:hint="eastAsia" w:ascii="仿宋" w:hAnsi="仿宋" w:eastAsia="仿宋"/>
          <w:b/>
          <w:sz w:val="22"/>
          <w:szCs w:val="22"/>
          <w:highlight w:val="none"/>
        </w:rPr>
      </w:pPr>
      <w:r>
        <w:rPr>
          <w:rStyle w:val="78"/>
          <w:rFonts w:hint="eastAsia" w:ascii="仿宋" w:hAnsi="仿宋" w:eastAsia="仿宋"/>
          <w:b/>
          <w:sz w:val="22"/>
          <w:szCs w:val="22"/>
          <w:highlight w:val="none"/>
          <w:lang w:eastAsia="zh-CN"/>
        </w:rPr>
        <w:t>五、</w:t>
      </w:r>
      <w:r>
        <w:rPr>
          <w:rStyle w:val="78"/>
          <w:rFonts w:hint="eastAsia" w:ascii="仿宋" w:hAnsi="仿宋" w:eastAsia="仿宋"/>
          <w:b/>
          <w:sz w:val="22"/>
          <w:szCs w:val="22"/>
          <w:highlight w:val="none"/>
        </w:rPr>
        <w:t>售后服务</w:t>
      </w:r>
    </w:p>
    <w:p>
      <w:pPr>
        <w:pStyle w:val="85"/>
        <w:spacing w:line="360" w:lineRule="auto"/>
        <w:ind w:right="-171" w:firstLine="440" w:firstLineChars="200"/>
        <w:outlineLvl w:val="9"/>
        <w:rPr>
          <w:rFonts w:hint="eastAsia" w:ascii="仿宋" w:hAnsi="仿宋" w:eastAsia="仿宋"/>
          <w:bCs/>
          <w:sz w:val="22"/>
          <w:highlight w:val="none"/>
        </w:rPr>
      </w:pPr>
      <w:r>
        <w:rPr>
          <w:rFonts w:hint="eastAsia" w:ascii="仿宋" w:hAnsi="仿宋" w:eastAsia="仿宋"/>
          <w:bCs/>
          <w:sz w:val="22"/>
          <w:highlight w:val="none"/>
          <w:lang w:eastAsia="zh-CN"/>
        </w:rPr>
        <w:t>（</w:t>
      </w:r>
      <w:r>
        <w:rPr>
          <w:rFonts w:hint="eastAsia" w:ascii="仿宋" w:hAnsi="仿宋" w:eastAsia="仿宋"/>
          <w:bCs/>
          <w:sz w:val="22"/>
          <w:highlight w:val="none"/>
          <w:lang w:val="en-US" w:eastAsia="zh-CN"/>
        </w:rPr>
        <w:t>一）</w:t>
      </w:r>
      <w:r>
        <w:rPr>
          <w:rFonts w:hint="eastAsia" w:ascii="仿宋" w:hAnsi="仿宋" w:eastAsia="仿宋"/>
          <w:bCs/>
          <w:sz w:val="22"/>
          <w:highlight w:val="none"/>
        </w:rPr>
        <w:t>非招标人的人为原因而出现产品质量问题，由</w:t>
      </w:r>
      <w:r>
        <w:rPr>
          <w:rFonts w:hint="eastAsia" w:ascii="仿宋" w:hAnsi="仿宋" w:eastAsia="仿宋"/>
          <w:bCs/>
          <w:sz w:val="22"/>
          <w:highlight w:val="none"/>
          <w:lang w:eastAsia="zh-CN"/>
        </w:rPr>
        <w:t>中标供应商</w:t>
      </w:r>
      <w:r>
        <w:rPr>
          <w:rFonts w:hint="eastAsia" w:ascii="仿宋" w:hAnsi="仿宋" w:eastAsia="仿宋"/>
          <w:bCs/>
          <w:sz w:val="22"/>
          <w:highlight w:val="none"/>
        </w:rPr>
        <w:t>负责包换或包退，并承担因此而产生的一切费用。</w:t>
      </w:r>
    </w:p>
    <w:p>
      <w:pPr>
        <w:pStyle w:val="109"/>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highlight w:val="none"/>
        </w:rPr>
      </w:pPr>
      <w:r>
        <w:rPr>
          <w:rFonts w:hint="eastAsia" w:ascii="仿宋" w:hAnsi="仿宋" w:eastAsia="仿宋" w:cs="Times New Roman"/>
          <w:spacing w:val="0"/>
          <w:kern w:val="2"/>
          <w:sz w:val="22"/>
          <w:szCs w:val="22"/>
          <w:highlight w:val="none"/>
        </w:rPr>
        <w:t>(</w:t>
      </w:r>
      <w:r>
        <w:rPr>
          <w:rFonts w:hint="eastAsia" w:ascii="仿宋" w:hAnsi="仿宋" w:eastAsia="仿宋" w:cs="Times New Roman"/>
          <w:spacing w:val="0"/>
          <w:kern w:val="2"/>
          <w:sz w:val="22"/>
          <w:szCs w:val="22"/>
          <w:highlight w:val="none"/>
          <w:lang w:val="en-US" w:eastAsia="zh-CN"/>
        </w:rPr>
        <w:t>二</w:t>
      </w:r>
      <w:r>
        <w:rPr>
          <w:rFonts w:hint="eastAsia" w:ascii="仿宋" w:hAnsi="仿宋" w:eastAsia="仿宋" w:cs="Times New Roman"/>
          <w:spacing w:val="0"/>
          <w:kern w:val="2"/>
          <w:sz w:val="22"/>
          <w:szCs w:val="22"/>
          <w:highlight w:val="none"/>
        </w:rPr>
        <w:t>)凡要求</w:t>
      </w:r>
      <w:r>
        <w:rPr>
          <w:rFonts w:hint="eastAsia" w:ascii="仿宋" w:hAnsi="仿宋" w:eastAsia="仿宋" w:cs="Times New Roman"/>
          <w:spacing w:val="0"/>
          <w:kern w:val="2"/>
          <w:sz w:val="22"/>
          <w:szCs w:val="22"/>
          <w:highlight w:val="none"/>
          <w:lang w:eastAsia="zh-CN"/>
        </w:rPr>
        <w:t>中标供应商</w:t>
      </w:r>
      <w:r>
        <w:rPr>
          <w:rFonts w:hint="eastAsia" w:ascii="仿宋" w:hAnsi="仿宋" w:eastAsia="仿宋" w:cs="Times New Roman"/>
          <w:spacing w:val="0"/>
          <w:kern w:val="2"/>
          <w:sz w:val="22"/>
          <w:szCs w:val="22"/>
          <w:highlight w:val="none"/>
        </w:rPr>
        <w:t>提供检验检疫合格证而未能提供，或食材质量未达到要求,如假冒伪劣、以次充好、变质、异味、发霉、过期等,</w:t>
      </w:r>
      <w:r>
        <w:rPr>
          <w:rFonts w:hint="eastAsia" w:ascii="仿宋" w:hAnsi="仿宋" w:eastAsia="仿宋" w:cs="Times New Roman"/>
          <w:spacing w:val="0"/>
          <w:kern w:val="2"/>
          <w:sz w:val="22"/>
          <w:szCs w:val="22"/>
          <w:highlight w:val="none"/>
          <w:lang w:eastAsia="zh-CN"/>
        </w:rPr>
        <w:t>招标人</w:t>
      </w:r>
      <w:r>
        <w:rPr>
          <w:rFonts w:hint="eastAsia" w:ascii="仿宋" w:hAnsi="仿宋" w:eastAsia="仿宋" w:cs="Times New Roman"/>
          <w:spacing w:val="0"/>
          <w:kern w:val="2"/>
          <w:sz w:val="22"/>
          <w:szCs w:val="22"/>
          <w:highlight w:val="none"/>
        </w:rPr>
        <w:t>均可拒收和要求重新补货。如</w:t>
      </w:r>
      <w:r>
        <w:rPr>
          <w:rFonts w:hint="eastAsia" w:ascii="仿宋" w:hAnsi="仿宋" w:eastAsia="仿宋" w:cs="Times New Roman"/>
          <w:spacing w:val="0"/>
          <w:kern w:val="2"/>
          <w:sz w:val="22"/>
          <w:szCs w:val="22"/>
          <w:highlight w:val="none"/>
          <w:lang w:eastAsia="zh-CN"/>
        </w:rPr>
        <w:t>中标供应商</w:t>
      </w:r>
      <w:r>
        <w:rPr>
          <w:rFonts w:hint="eastAsia" w:ascii="仿宋" w:hAnsi="仿宋" w:eastAsia="仿宋" w:cs="Times New Roman"/>
          <w:spacing w:val="0"/>
          <w:kern w:val="2"/>
          <w:sz w:val="22"/>
          <w:szCs w:val="22"/>
          <w:highlight w:val="none"/>
        </w:rPr>
        <w:t>所供食材质量或规格未能完全符合要求或货不对板的,</w:t>
      </w:r>
      <w:r>
        <w:rPr>
          <w:rFonts w:hint="eastAsia" w:ascii="仿宋" w:hAnsi="仿宋" w:eastAsia="仿宋" w:cs="Times New Roman"/>
          <w:spacing w:val="0"/>
          <w:kern w:val="2"/>
          <w:sz w:val="22"/>
          <w:szCs w:val="22"/>
          <w:highlight w:val="none"/>
          <w:lang w:eastAsia="zh-CN"/>
        </w:rPr>
        <w:t>招标人</w:t>
      </w:r>
      <w:r>
        <w:rPr>
          <w:rFonts w:hint="eastAsia" w:ascii="仿宋" w:hAnsi="仿宋" w:eastAsia="仿宋" w:cs="Times New Roman"/>
          <w:spacing w:val="0"/>
          <w:kern w:val="2"/>
          <w:sz w:val="22"/>
          <w:szCs w:val="22"/>
          <w:highlight w:val="none"/>
        </w:rPr>
        <w:t>有权拒收,并对当次不良记录存档备案。</w:t>
      </w:r>
    </w:p>
    <w:p>
      <w:pPr>
        <w:pStyle w:val="109"/>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highlight w:val="none"/>
        </w:rPr>
      </w:pPr>
      <w:r>
        <w:rPr>
          <w:rFonts w:hint="eastAsia" w:ascii="仿宋" w:hAnsi="仿宋" w:eastAsia="仿宋" w:cs="Times New Roman"/>
          <w:spacing w:val="0"/>
          <w:kern w:val="2"/>
          <w:sz w:val="22"/>
          <w:szCs w:val="22"/>
          <w:highlight w:val="none"/>
        </w:rPr>
        <w:t>（</w:t>
      </w:r>
      <w:r>
        <w:rPr>
          <w:rFonts w:hint="eastAsia" w:ascii="仿宋" w:hAnsi="仿宋" w:eastAsia="仿宋" w:cs="Times New Roman"/>
          <w:spacing w:val="0"/>
          <w:kern w:val="2"/>
          <w:sz w:val="22"/>
          <w:szCs w:val="22"/>
          <w:highlight w:val="none"/>
          <w:lang w:val="en-US" w:eastAsia="zh-CN"/>
        </w:rPr>
        <w:t>三</w:t>
      </w:r>
      <w:r>
        <w:rPr>
          <w:rFonts w:hint="eastAsia" w:ascii="仿宋" w:hAnsi="仿宋" w:eastAsia="仿宋" w:cs="Times New Roman"/>
          <w:spacing w:val="0"/>
          <w:kern w:val="2"/>
          <w:sz w:val="22"/>
          <w:szCs w:val="22"/>
          <w:highlight w:val="none"/>
        </w:rPr>
        <w:t>）</w:t>
      </w:r>
      <w:r>
        <w:rPr>
          <w:rFonts w:hint="eastAsia" w:ascii="仿宋" w:hAnsi="仿宋" w:eastAsia="仿宋" w:cs="Times New Roman"/>
          <w:b w:val="0"/>
          <w:spacing w:val="0"/>
          <w:kern w:val="2"/>
          <w:sz w:val="22"/>
          <w:szCs w:val="22"/>
          <w:highlight w:val="none"/>
        </w:rPr>
        <w:t>一经发现供应以下对人体健康有害的食材,除全部退货外,由此造成的经济损失及法律责任由</w:t>
      </w:r>
      <w:r>
        <w:rPr>
          <w:rFonts w:hint="eastAsia" w:ascii="仿宋" w:hAnsi="仿宋" w:eastAsia="仿宋" w:cs="Times New Roman"/>
          <w:b w:val="0"/>
          <w:spacing w:val="0"/>
          <w:kern w:val="2"/>
          <w:sz w:val="22"/>
          <w:szCs w:val="22"/>
          <w:highlight w:val="none"/>
          <w:lang w:eastAsia="zh-CN"/>
        </w:rPr>
        <w:t>中标供应商</w:t>
      </w:r>
      <w:r>
        <w:rPr>
          <w:rFonts w:hint="eastAsia" w:ascii="仿宋" w:hAnsi="仿宋" w:eastAsia="仿宋" w:cs="Times New Roman"/>
          <w:b w:val="0"/>
          <w:spacing w:val="0"/>
          <w:kern w:val="2"/>
          <w:sz w:val="22"/>
          <w:szCs w:val="22"/>
          <w:highlight w:val="none"/>
        </w:rPr>
        <w:t>承担,情节严重的,取消</w:t>
      </w:r>
      <w:r>
        <w:rPr>
          <w:rFonts w:hint="eastAsia" w:ascii="仿宋" w:hAnsi="仿宋" w:eastAsia="仿宋" w:cs="Times New Roman"/>
          <w:b w:val="0"/>
          <w:spacing w:val="0"/>
          <w:kern w:val="2"/>
          <w:sz w:val="22"/>
          <w:szCs w:val="22"/>
          <w:highlight w:val="none"/>
          <w:lang w:eastAsia="zh-CN"/>
        </w:rPr>
        <w:t>中标供应商</w:t>
      </w:r>
      <w:r>
        <w:rPr>
          <w:rFonts w:hint="eastAsia" w:ascii="仿宋" w:hAnsi="仿宋" w:eastAsia="仿宋" w:cs="Times New Roman"/>
          <w:b w:val="0"/>
          <w:spacing w:val="0"/>
          <w:kern w:val="2"/>
          <w:sz w:val="22"/>
          <w:szCs w:val="22"/>
          <w:highlight w:val="none"/>
        </w:rPr>
        <w:t>供货资格，移送司法机关处理。</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1．腐烂变质、霉变、生虫、污秽不洁、感官性状异常的；</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2．含有毒有害物质或被有害物质污染；</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3．致病性寄生虫、微生物含量超过国家限定标准的；</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4．未经动物检疫部门检疫、检验或检验检疫不合格的肉类及其制品；</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5．病死、毒死或者死因不明的禽畜等及其制品；</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6．掺假、掺杂、以次充好；</w:t>
      </w:r>
    </w:p>
    <w:p>
      <w:pPr>
        <w:pStyle w:val="109"/>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7．用非食品原料加工或加入非食品化学物质的。</w:t>
      </w:r>
    </w:p>
    <w:p>
      <w:pPr>
        <w:pStyle w:val="85"/>
        <w:spacing w:line="360" w:lineRule="auto"/>
        <w:ind w:right="-171" w:firstLine="440" w:firstLineChars="200"/>
        <w:outlineLvl w:val="9"/>
        <w:rPr>
          <w:rFonts w:hint="eastAsia" w:ascii="仿宋" w:hAnsi="仿宋" w:eastAsia="仿宋"/>
          <w:bCs/>
          <w:sz w:val="22"/>
          <w:highlight w:val="none"/>
        </w:rPr>
      </w:pPr>
      <w:r>
        <w:rPr>
          <w:rFonts w:hint="eastAsia" w:ascii="仿宋" w:hAnsi="仿宋" w:eastAsia="仿宋" w:cs="Times New Roman"/>
          <w:sz w:val="22"/>
          <w:szCs w:val="22"/>
          <w:highlight w:val="none"/>
        </w:rPr>
        <w:t>（</w:t>
      </w:r>
      <w:r>
        <w:rPr>
          <w:rFonts w:hint="eastAsia" w:ascii="仿宋" w:hAnsi="仿宋" w:eastAsia="仿宋" w:cs="Times New Roman"/>
          <w:sz w:val="22"/>
          <w:szCs w:val="22"/>
          <w:highlight w:val="none"/>
          <w:lang w:val="en-US" w:eastAsia="zh-CN"/>
        </w:rPr>
        <w:t>四</w:t>
      </w:r>
      <w:r>
        <w:rPr>
          <w:rFonts w:hint="eastAsia" w:ascii="仿宋" w:hAnsi="仿宋" w:eastAsia="仿宋" w:cs="Times New Roman"/>
          <w:sz w:val="22"/>
          <w:szCs w:val="22"/>
          <w:highlight w:val="none"/>
        </w:rPr>
        <w:t>）</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在使用</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提供的食材中，发现</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的食材不符合合同约定的要求或不符合国家食品质量、卫生安全标准的，</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立即通知</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的人员到场进行确认，对食材进行拍照、固定证据、封存，并在1小时内送国家检测部门进行检测。经检测食材不符合国家相关质量、安全卫生标准的，检测费用由</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承担，</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有权退货或解除合同，</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承担合同不能履行的违约责任，并赔偿</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的经济损失。</w:t>
      </w:r>
    </w:p>
    <w:p>
      <w:pPr>
        <w:widowControl w:val="0"/>
        <w:numPr>
          <w:ilvl w:val="0"/>
          <w:numId w:val="0"/>
        </w:numPr>
        <w:tabs>
          <w:tab w:val="left" w:pos="426"/>
          <w:tab w:val="left" w:pos="567"/>
        </w:tabs>
        <w:autoSpaceDE w:val="0"/>
        <w:autoSpaceDN w:val="0"/>
        <w:spacing w:line="360" w:lineRule="auto"/>
        <w:ind w:left="0" w:firstLine="0"/>
        <w:jc w:val="both"/>
        <w:outlineLvl w:val="9"/>
        <w:rPr>
          <w:rStyle w:val="78"/>
          <w:rFonts w:hint="eastAsia" w:ascii="仿宋" w:hAnsi="仿宋" w:eastAsia="仿宋"/>
          <w:b/>
          <w:sz w:val="22"/>
          <w:szCs w:val="22"/>
          <w:highlight w:val="none"/>
        </w:rPr>
      </w:pPr>
      <w:r>
        <w:rPr>
          <w:rStyle w:val="78"/>
          <w:rFonts w:hint="eastAsia" w:ascii="仿宋" w:hAnsi="仿宋" w:eastAsia="仿宋"/>
          <w:b/>
          <w:sz w:val="22"/>
          <w:szCs w:val="22"/>
          <w:highlight w:val="none"/>
          <w:lang w:eastAsia="zh-CN"/>
        </w:rPr>
        <w:t>六、</w:t>
      </w:r>
      <w:r>
        <w:rPr>
          <w:rStyle w:val="78"/>
          <w:rFonts w:hint="eastAsia" w:ascii="仿宋" w:hAnsi="仿宋" w:eastAsia="仿宋"/>
          <w:b/>
          <w:sz w:val="22"/>
          <w:szCs w:val="22"/>
          <w:highlight w:val="none"/>
        </w:rPr>
        <w:t>对</w:t>
      </w:r>
      <w:r>
        <w:rPr>
          <w:rStyle w:val="78"/>
          <w:rFonts w:hint="eastAsia" w:ascii="仿宋" w:hAnsi="仿宋" w:eastAsia="仿宋"/>
          <w:b/>
          <w:sz w:val="22"/>
          <w:szCs w:val="22"/>
          <w:highlight w:val="none"/>
          <w:lang w:eastAsia="zh-CN"/>
        </w:rPr>
        <w:t>中标供应商</w:t>
      </w:r>
      <w:r>
        <w:rPr>
          <w:rStyle w:val="78"/>
          <w:rFonts w:hint="eastAsia" w:ascii="仿宋" w:hAnsi="仿宋" w:eastAsia="仿宋"/>
          <w:b/>
          <w:sz w:val="22"/>
          <w:szCs w:val="22"/>
          <w:highlight w:val="none"/>
        </w:rPr>
        <w:t>的管理</w:t>
      </w:r>
    </w:p>
    <w:p>
      <w:pPr>
        <w:pStyle w:val="85"/>
        <w:numPr>
          <w:ilvl w:val="0"/>
          <w:numId w:val="0"/>
        </w:numPr>
        <w:tabs>
          <w:tab w:val="left" w:pos="0"/>
          <w:tab w:val="left" w:pos="567"/>
        </w:tabs>
        <w:spacing w:line="360" w:lineRule="auto"/>
        <w:ind w:leftChars="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1. 中标供应商</w:t>
      </w:r>
      <w:r>
        <w:rPr>
          <w:rFonts w:hint="eastAsia" w:ascii="仿宋" w:hAnsi="仿宋" w:eastAsia="仿宋"/>
          <w:sz w:val="22"/>
          <w:highlight w:val="none"/>
        </w:rPr>
        <w:t>必须依据国家有关法律法规要求建立健全各项管理制度，保证食品安全；有明确的食品安全责任人。</w:t>
      </w:r>
    </w:p>
    <w:p>
      <w:pPr>
        <w:pStyle w:val="85"/>
        <w:numPr>
          <w:ilvl w:val="0"/>
          <w:numId w:val="0"/>
        </w:numPr>
        <w:tabs>
          <w:tab w:val="left" w:pos="0"/>
          <w:tab w:val="left" w:pos="567"/>
        </w:tabs>
        <w:spacing w:line="360" w:lineRule="auto"/>
        <w:ind w:leftChars="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2. </w:t>
      </w:r>
      <w:r>
        <w:rPr>
          <w:rFonts w:hint="eastAsia" w:ascii="仿宋" w:hAnsi="仿宋" w:eastAsia="仿宋"/>
          <w:sz w:val="22"/>
          <w:highlight w:val="none"/>
          <w:lang w:eastAsia="zh-CN"/>
        </w:rPr>
        <w:t>中标供应商</w:t>
      </w:r>
      <w:r>
        <w:rPr>
          <w:rFonts w:hint="eastAsia" w:ascii="仿宋" w:hAnsi="仿宋" w:eastAsia="仿宋"/>
          <w:sz w:val="22"/>
          <w:highlight w:val="none"/>
        </w:rPr>
        <w:t>在接到通知后备齐货物，按时送抵交货地点。</w:t>
      </w:r>
      <w:r>
        <w:rPr>
          <w:rFonts w:hint="eastAsia" w:ascii="仿宋" w:hAnsi="仿宋" w:eastAsia="仿宋"/>
          <w:sz w:val="22"/>
          <w:highlight w:val="none"/>
          <w:lang w:eastAsia="zh-CN"/>
        </w:rPr>
        <w:t>中标供应商</w:t>
      </w:r>
      <w:r>
        <w:rPr>
          <w:rFonts w:hint="eastAsia" w:ascii="仿宋" w:hAnsi="仿宋" w:eastAsia="仿宋"/>
          <w:sz w:val="22"/>
          <w:highlight w:val="none"/>
        </w:rPr>
        <w:t>除不可抗力，不得因其他任何理由延迟送货。招标人如遇特殊情况需推迟送货，应提前通知</w:t>
      </w:r>
      <w:r>
        <w:rPr>
          <w:rFonts w:hint="eastAsia" w:ascii="仿宋" w:hAnsi="仿宋" w:eastAsia="仿宋"/>
          <w:sz w:val="22"/>
          <w:highlight w:val="none"/>
          <w:lang w:eastAsia="zh-CN"/>
        </w:rPr>
        <w:t>中标供应商</w:t>
      </w:r>
      <w:r>
        <w:rPr>
          <w:rFonts w:hint="eastAsia" w:ascii="仿宋" w:hAnsi="仿宋" w:eastAsia="仿宋"/>
          <w:sz w:val="22"/>
          <w:highlight w:val="none"/>
        </w:rPr>
        <w:t>。</w:t>
      </w:r>
      <w:r>
        <w:rPr>
          <w:rFonts w:hint="eastAsia" w:ascii="仿宋" w:hAnsi="仿宋" w:eastAsia="仿宋"/>
          <w:sz w:val="22"/>
          <w:highlight w:val="none"/>
          <w:lang w:eastAsia="zh-CN"/>
        </w:rPr>
        <w:t>中标供应商</w:t>
      </w:r>
      <w:r>
        <w:rPr>
          <w:rFonts w:hint="eastAsia" w:ascii="仿宋" w:hAnsi="仿宋" w:eastAsia="仿宋"/>
          <w:sz w:val="22"/>
          <w:highlight w:val="none"/>
        </w:rPr>
        <w:t>不能按时、按质、按量供货，导致招标人无法正常供应伙食的，招标人有权自行采购同等质量的货物，由此造成的经济损失和责任均由</w:t>
      </w:r>
      <w:r>
        <w:rPr>
          <w:rFonts w:hint="eastAsia" w:ascii="仿宋" w:hAnsi="仿宋" w:eastAsia="仿宋"/>
          <w:sz w:val="22"/>
          <w:highlight w:val="none"/>
          <w:lang w:eastAsia="zh-CN"/>
        </w:rPr>
        <w:t>中标供应商</w:t>
      </w:r>
      <w:r>
        <w:rPr>
          <w:rFonts w:hint="eastAsia" w:ascii="仿宋" w:hAnsi="仿宋" w:eastAsia="仿宋"/>
          <w:sz w:val="22"/>
          <w:highlight w:val="none"/>
        </w:rPr>
        <w:t>承担，并承担违约责任。</w:t>
      </w:r>
    </w:p>
    <w:p>
      <w:pPr>
        <w:pStyle w:val="85"/>
        <w:numPr>
          <w:ilvl w:val="0"/>
          <w:numId w:val="0"/>
        </w:numPr>
        <w:tabs>
          <w:tab w:val="left" w:pos="0"/>
          <w:tab w:val="left" w:pos="567"/>
        </w:tabs>
        <w:spacing w:line="360" w:lineRule="auto"/>
        <w:ind w:leftChars="0" w:firstLine="440" w:firstLineChars="200"/>
        <w:outlineLvl w:val="9"/>
        <w:rPr>
          <w:rFonts w:hint="default" w:ascii="仿宋" w:hAnsi="仿宋" w:eastAsia="仿宋"/>
          <w:sz w:val="22"/>
          <w:highlight w:val="none"/>
          <w:lang w:val="en-US" w:eastAsia="zh-CN"/>
        </w:rPr>
      </w:pPr>
      <w:r>
        <w:rPr>
          <w:rFonts w:hint="eastAsia" w:ascii="仿宋" w:hAnsi="仿宋" w:eastAsia="仿宋"/>
          <w:sz w:val="22"/>
          <w:highlight w:val="none"/>
          <w:lang w:val="en-US" w:eastAsia="zh-CN"/>
        </w:rPr>
        <w:t>3.招标人有权利对中标供应商的履约过程进行监督，并提出改进意见。中标供应商有义务提供符合招标人质量要求的服务，并按照招标人的意见改进服务。招标人每季度对于中标供应商的服务能力进行评价管理，如果中标供应商连续两季度服务能力评价为不合格，招标人有权利解除合同，因此产生的全部经济损失由中标供应商自行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8"/>
          <w:rFonts w:hint="eastAsia" w:ascii="仿宋" w:hAnsi="仿宋" w:eastAsia="仿宋"/>
          <w:sz w:val="22"/>
          <w:szCs w:val="22"/>
          <w:highlight w:val="none"/>
        </w:rPr>
      </w:pPr>
      <w:r>
        <w:rPr>
          <w:rStyle w:val="78"/>
          <w:rFonts w:hint="eastAsia" w:ascii="仿宋" w:hAnsi="仿宋" w:eastAsia="仿宋"/>
          <w:b/>
          <w:sz w:val="22"/>
          <w:szCs w:val="22"/>
          <w:highlight w:val="none"/>
          <w:lang w:eastAsia="zh-CN"/>
        </w:rPr>
        <w:t>七、</w:t>
      </w:r>
      <w:r>
        <w:rPr>
          <w:rStyle w:val="78"/>
          <w:rFonts w:hint="eastAsia" w:ascii="仿宋" w:hAnsi="仿宋" w:eastAsia="仿宋"/>
          <w:b/>
          <w:sz w:val="22"/>
          <w:szCs w:val="22"/>
          <w:highlight w:val="none"/>
        </w:rPr>
        <w:t>违约责任</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1. </w:t>
      </w:r>
      <w:r>
        <w:rPr>
          <w:rFonts w:hint="eastAsia" w:ascii="仿宋" w:hAnsi="仿宋" w:eastAsia="仿宋"/>
          <w:sz w:val="22"/>
          <w:highlight w:val="none"/>
        </w:rPr>
        <w:t>如合同执行过程中发现</w:t>
      </w:r>
      <w:r>
        <w:rPr>
          <w:rFonts w:hint="eastAsia" w:ascii="仿宋" w:hAnsi="仿宋" w:eastAsia="仿宋"/>
          <w:sz w:val="22"/>
          <w:highlight w:val="none"/>
          <w:lang w:eastAsia="zh-CN"/>
        </w:rPr>
        <w:t>中标供应商</w:t>
      </w:r>
      <w:r>
        <w:rPr>
          <w:rFonts w:hint="eastAsia" w:ascii="仿宋" w:hAnsi="仿宋" w:eastAsia="仿宋"/>
          <w:sz w:val="22"/>
          <w:highlight w:val="none"/>
          <w:lang w:val="en-US" w:eastAsia="zh-CN"/>
        </w:rPr>
        <w:t>通过</w:t>
      </w:r>
      <w:r>
        <w:rPr>
          <w:rFonts w:hint="eastAsia" w:ascii="仿宋" w:hAnsi="仿宋" w:eastAsia="仿宋"/>
          <w:sz w:val="22"/>
          <w:highlight w:val="none"/>
        </w:rPr>
        <w:t>弄虚作假</w:t>
      </w:r>
      <w:r>
        <w:rPr>
          <w:rFonts w:hint="eastAsia" w:ascii="仿宋" w:hAnsi="仿宋" w:eastAsia="仿宋"/>
          <w:sz w:val="22"/>
          <w:highlight w:val="none"/>
          <w:lang w:val="en-US" w:eastAsia="zh-CN"/>
        </w:rPr>
        <w:t>等方式，违反采购需求、投标文件、合同约定的行为，招标人有权单方面解除合同，扣除中标供应商履约保证金，因此造成的全部经济损失及法律责任由中标供应商自行承担</w:t>
      </w:r>
      <w:r>
        <w:rPr>
          <w:rFonts w:hint="eastAsia" w:ascii="仿宋" w:hAnsi="仿宋" w:eastAsia="仿宋"/>
          <w:sz w:val="22"/>
          <w:highlight w:val="none"/>
        </w:rPr>
        <w:t>；</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2. </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供应货物时间、数量、质量等原因造成伙食无法按时供应达到，一个季度发生累计5</w:t>
      </w:r>
      <w:r>
        <w:rPr>
          <w:rFonts w:hint="eastAsia" w:ascii="仿宋" w:hAnsi="仿宋" w:eastAsia="仿宋"/>
          <w:sz w:val="22"/>
          <w:highlight w:val="none"/>
          <w:lang w:eastAsia="zh-CN"/>
        </w:rPr>
        <w:t>次</w:t>
      </w:r>
      <w:r>
        <w:rPr>
          <w:rFonts w:hint="eastAsia" w:ascii="仿宋" w:hAnsi="仿宋" w:eastAsia="仿宋"/>
          <w:sz w:val="22"/>
          <w:highlight w:val="none"/>
        </w:rPr>
        <w:t>或以上的，采购方有权解除合同，</w:t>
      </w:r>
      <w:r>
        <w:rPr>
          <w:rFonts w:hint="eastAsia" w:ascii="仿宋" w:hAnsi="仿宋" w:eastAsia="仿宋"/>
          <w:sz w:val="22"/>
          <w:highlight w:val="none"/>
          <w:lang w:val="en-US" w:eastAsia="zh-CN"/>
        </w:rPr>
        <w:t>中标供应商需赔偿招标人因此造成的一切损失，并承担一切责任和后果</w:t>
      </w:r>
      <w:r>
        <w:rPr>
          <w:rFonts w:hint="eastAsia" w:ascii="仿宋" w:hAnsi="仿宋" w:eastAsia="仿宋"/>
          <w:sz w:val="22"/>
          <w:highlight w:val="none"/>
        </w:rPr>
        <w:t>。</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3. </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供应的货物质量问题导致食品中毒，招标人可终止合同，扣缴</w:t>
      </w:r>
      <w:r>
        <w:rPr>
          <w:rFonts w:hint="eastAsia" w:ascii="仿宋" w:hAnsi="仿宋" w:eastAsia="仿宋"/>
          <w:sz w:val="22"/>
          <w:highlight w:val="none"/>
          <w:lang w:eastAsia="zh-CN"/>
        </w:rPr>
        <w:t>中标供应商</w:t>
      </w:r>
      <w:r>
        <w:rPr>
          <w:rFonts w:hint="eastAsia" w:ascii="仿宋" w:hAnsi="仿宋" w:eastAsia="仿宋"/>
          <w:sz w:val="22"/>
          <w:highlight w:val="none"/>
        </w:rPr>
        <w:t>全部履约保证金，</w:t>
      </w:r>
      <w:r>
        <w:rPr>
          <w:rFonts w:hint="eastAsia" w:ascii="仿宋" w:hAnsi="仿宋" w:eastAsia="仿宋"/>
          <w:sz w:val="22"/>
          <w:highlight w:val="none"/>
          <w:lang w:eastAsia="zh-CN"/>
        </w:rPr>
        <w:t>中标供应商</w:t>
      </w:r>
      <w:r>
        <w:rPr>
          <w:rFonts w:hint="eastAsia" w:ascii="仿宋" w:hAnsi="仿宋" w:eastAsia="仿宋"/>
          <w:sz w:val="22"/>
          <w:highlight w:val="none"/>
        </w:rPr>
        <w:t>负责赔偿招标人因此支付的费用和承担一切</w:t>
      </w:r>
      <w:r>
        <w:rPr>
          <w:rFonts w:hint="eastAsia" w:ascii="仿宋" w:hAnsi="仿宋" w:eastAsia="仿宋"/>
          <w:sz w:val="22"/>
          <w:highlight w:val="none"/>
          <w:lang w:val="en-US" w:eastAsia="zh-CN"/>
        </w:rPr>
        <w:t>经济赔偿责任和法律</w:t>
      </w:r>
      <w:r>
        <w:rPr>
          <w:rFonts w:hint="eastAsia" w:ascii="仿宋" w:hAnsi="仿宋" w:eastAsia="仿宋"/>
          <w:sz w:val="22"/>
          <w:highlight w:val="none"/>
        </w:rPr>
        <w:t>责任。</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4. </w:t>
      </w:r>
      <w:r>
        <w:rPr>
          <w:rFonts w:hint="eastAsia" w:ascii="仿宋" w:hAnsi="仿宋" w:eastAsia="仿宋"/>
          <w:sz w:val="22"/>
          <w:highlight w:val="none"/>
        </w:rPr>
        <w:t>按合同约定的标的供货，</w:t>
      </w:r>
      <w:r>
        <w:rPr>
          <w:rFonts w:hint="eastAsia" w:ascii="仿宋" w:hAnsi="仿宋" w:eastAsia="仿宋"/>
          <w:sz w:val="22"/>
          <w:highlight w:val="none"/>
          <w:lang w:eastAsia="zh-CN"/>
        </w:rPr>
        <w:t>中标供应商</w:t>
      </w:r>
      <w:r>
        <w:rPr>
          <w:rFonts w:hint="eastAsia" w:ascii="仿宋" w:hAnsi="仿宋" w:eastAsia="仿宋"/>
          <w:sz w:val="22"/>
          <w:highlight w:val="none"/>
        </w:rPr>
        <w:t>不得转包、分包，否则招标人有权单方面终止合同，项目另行处理，</w:t>
      </w:r>
      <w:r>
        <w:rPr>
          <w:rFonts w:hint="eastAsia" w:ascii="仿宋" w:hAnsi="仿宋" w:eastAsia="仿宋"/>
          <w:sz w:val="22"/>
          <w:highlight w:val="none"/>
          <w:lang w:eastAsia="zh-CN"/>
        </w:rPr>
        <w:t>中标供应商</w:t>
      </w:r>
      <w:r>
        <w:rPr>
          <w:rFonts w:hint="eastAsia" w:ascii="仿宋" w:hAnsi="仿宋" w:eastAsia="仿宋"/>
          <w:sz w:val="22"/>
          <w:highlight w:val="none"/>
        </w:rPr>
        <w:t>承担由此造成的经济损失，全部履约保证金不退还。</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5. </w:t>
      </w:r>
      <w:r>
        <w:rPr>
          <w:rFonts w:hint="eastAsia" w:ascii="仿宋" w:hAnsi="仿宋" w:eastAsia="仿宋"/>
          <w:sz w:val="22"/>
          <w:highlight w:val="none"/>
          <w:lang w:eastAsia="zh-CN"/>
        </w:rPr>
        <w:t>中标供应商</w:t>
      </w:r>
      <w:r>
        <w:rPr>
          <w:rFonts w:hint="eastAsia" w:ascii="仿宋" w:hAnsi="仿宋" w:eastAsia="仿宋"/>
          <w:sz w:val="22"/>
          <w:highlight w:val="none"/>
        </w:rPr>
        <w:t>在服务期间应秉着负责的态度和严格的工作作风，积极响应招标人各项工作要求，如出现不配合、不汇报、不响应的，情节严重且造成恶劣影响的招标人有权解除合同。</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6. </w:t>
      </w:r>
      <w:r>
        <w:rPr>
          <w:rFonts w:hint="eastAsia" w:ascii="仿宋" w:hAnsi="仿宋" w:eastAsia="仿宋"/>
          <w:sz w:val="22"/>
          <w:highlight w:val="none"/>
          <w:lang w:eastAsia="zh-CN"/>
        </w:rPr>
        <w:t>中标供应商</w:t>
      </w:r>
      <w:r>
        <w:rPr>
          <w:rFonts w:hint="eastAsia" w:ascii="仿宋" w:hAnsi="仿宋" w:eastAsia="仿宋"/>
          <w:sz w:val="22"/>
          <w:highlight w:val="none"/>
        </w:rPr>
        <w:t>在服务期间因自身原因出现重大质量及安全事故的，合同解除, 全部履约保证金不予退还，所有损失由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5"/>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7.在招标过程中，中标供应商通过弄虚作假、行贿等不正当竞争手段中标，</w:t>
      </w:r>
      <w:r>
        <w:rPr>
          <w:rFonts w:hint="eastAsia" w:ascii="仿宋" w:hAnsi="仿宋" w:eastAsia="仿宋"/>
          <w:sz w:val="22"/>
          <w:highlight w:val="none"/>
        </w:rPr>
        <w:t>合同解除, 全部履约保证金不予退还，所有损失由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5"/>
        <w:numPr>
          <w:ilvl w:val="0"/>
          <w:numId w:val="0"/>
        </w:numPr>
        <w:tabs>
          <w:tab w:val="left" w:pos="0"/>
          <w:tab w:val="left" w:pos="567"/>
        </w:tabs>
        <w:spacing w:line="360" w:lineRule="auto"/>
        <w:ind w:left="0" w:firstLine="440" w:firstLineChars="200"/>
        <w:outlineLvl w:val="9"/>
        <w:rPr>
          <w:rFonts w:hint="default" w:ascii="仿宋" w:hAnsi="仿宋" w:eastAsia="仿宋"/>
          <w:sz w:val="22"/>
          <w:highlight w:val="none"/>
          <w:lang w:val="en-US" w:eastAsia="zh-CN"/>
        </w:rPr>
      </w:pPr>
      <w:r>
        <w:rPr>
          <w:rFonts w:hint="eastAsia" w:ascii="仿宋" w:hAnsi="仿宋" w:eastAsia="仿宋"/>
          <w:sz w:val="22"/>
          <w:highlight w:val="none"/>
          <w:lang w:val="en-US" w:eastAsia="zh-CN"/>
        </w:rPr>
        <w:t>8.在履约期间内，因情况变化，中标供应商不再符合准入条件，采购方有权取消中标供应商资格并解除合同。</w:t>
      </w:r>
    </w:p>
    <w:p>
      <w:pPr>
        <w:widowControl w:val="0"/>
        <w:numPr>
          <w:ilvl w:val="0"/>
          <w:numId w:val="0"/>
        </w:numPr>
        <w:tabs>
          <w:tab w:val="left" w:pos="426"/>
          <w:tab w:val="left" w:pos="567"/>
        </w:tabs>
        <w:autoSpaceDE w:val="0"/>
        <w:autoSpaceDN w:val="0"/>
        <w:spacing w:line="360" w:lineRule="auto"/>
        <w:ind w:left="0" w:firstLine="0"/>
        <w:jc w:val="both"/>
        <w:outlineLvl w:val="9"/>
        <w:rPr>
          <w:rStyle w:val="78"/>
          <w:rFonts w:hint="eastAsia" w:ascii="仿宋" w:hAnsi="仿宋" w:eastAsia="仿宋"/>
          <w:b/>
          <w:bCs/>
          <w:sz w:val="22"/>
          <w:szCs w:val="22"/>
          <w:highlight w:val="none"/>
        </w:rPr>
      </w:pPr>
      <w:r>
        <w:rPr>
          <w:rStyle w:val="78"/>
          <w:rFonts w:hint="eastAsia" w:ascii="仿宋" w:hAnsi="仿宋" w:eastAsia="仿宋"/>
          <w:b/>
          <w:sz w:val="22"/>
          <w:szCs w:val="22"/>
          <w:highlight w:val="none"/>
          <w:lang w:eastAsia="zh-CN"/>
        </w:rPr>
        <w:t>八、</w:t>
      </w:r>
      <w:r>
        <w:rPr>
          <w:rStyle w:val="78"/>
          <w:rFonts w:hint="eastAsia" w:ascii="仿宋" w:hAnsi="仿宋" w:eastAsia="仿宋"/>
          <w:b/>
          <w:sz w:val="22"/>
          <w:szCs w:val="22"/>
          <w:highlight w:val="none"/>
        </w:rPr>
        <w:t>付款方式</w:t>
      </w:r>
    </w:p>
    <w:p>
      <w:pPr>
        <w:pStyle w:val="85"/>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olor w:val="000000"/>
          <w:sz w:val="22"/>
          <w:highlight w:val="none"/>
          <w:lang w:val="en-US" w:eastAsia="zh-CN"/>
        </w:rPr>
        <w:t xml:space="preserve">1. </w:t>
      </w:r>
      <w:r>
        <w:rPr>
          <w:rFonts w:hint="eastAsia" w:ascii="仿宋" w:hAnsi="仿宋" w:eastAsia="仿宋"/>
          <w:color w:val="000000"/>
          <w:sz w:val="22"/>
          <w:highlight w:val="none"/>
        </w:rPr>
        <w:t>由</w:t>
      </w:r>
      <w:r>
        <w:rPr>
          <w:rFonts w:hint="eastAsia" w:ascii="仿宋" w:hAnsi="仿宋" w:eastAsia="仿宋"/>
          <w:color w:val="000000"/>
          <w:sz w:val="22"/>
          <w:highlight w:val="none"/>
          <w:lang w:eastAsia="zh-CN"/>
        </w:rPr>
        <w:t>招标</w:t>
      </w:r>
      <w:r>
        <w:rPr>
          <w:rFonts w:hint="eastAsia" w:ascii="仿宋" w:hAnsi="仿宋" w:eastAsia="仿宋"/>
          <w:color w:val="000000"/>
          <w:sz w:val="22"/>
          <w:highlight w:val="none"/>
        </w:rPr>
        <w:t>人每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按实际采购的货物结算一次，</w:t>
      </w:r>
      <w:r>
        <w:rPr>
          <w:rFonts w:hint="eastAsia" w:ascii="仿宋" w:hAnsi="仿宋" w:eastAsia="仿宋"/>
          <w:color w:val="000000"/>
          <w:sz w:val="22"/>
          <w:highlight w:val="none"/>
          <w:lang w:eastAsia="zh-CN"/>
        </w:rPr>
        <w:t>中标供应商</w:t>
      </w:r>
      <w:r>
        <w:rPr>
          <w:rFonts w:hint="eastAsia" w:ascii="仿宋" w:hAnsi="仿宋" w:eastAsia="仿宋"/>
          <w:color w:val="000000"/>
          <w:sz w:val="22"/>
          <w:highlight w:val="none"/>
        </w:rPr>
        <w:t>完成每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供货订单后，于次</w:t>
      </w:r>
      <w:r>
        <w:rPr>
          <w:rFonts w:hint="eastAsia" w:ascii="仿宋" w:hAnsi="仿宋" w:eastAsia="仿宋"/>
          <w:color w:val="000000"/>
          <w:sz w:val="22"/>
          <w:highlight w:val="none"/>
          <w:lang w:val="en-US" w:eastAsia="zh-CN"/>
        </w:rPr>
        <w:t>月10</w:t>
      </w:r>
      <w:r>
        <w:rPr>
          <w:rFonts w:hint="eastAsia" w:ascii="仿宋" w:hAnsi="仿宋" w:eastAsia="仿宋"/>
          <w:color w:val="000000"/>
          <w:sz w:val="22"/>
          <w:highlight w:val="none"/>
        </w:rPr>
        <w:t>日前凭国家正式发票及交货验收凭证向</w:t>
      </w:r>
      <w:r>
        <w:rPr>
          <w:rFonts w:hint="eastAsia" w:ascii="仿宋" w:hAnsi="仿宋" w:eastAsia="仿宋"/>
          <w:color w:val="000000"/>
          <w:sz w:val="22"/>
          <w:highlight w:val="none"/>
          <w:lang w:eastAsia="zh-CN"/>
        </w:rPr>
        <w:t>招标人</w:t>
      </w:r>
      <w:r>
        <w:rPr>
          <w:rFonts w:hint="eastAsia" w:ascii="仿宋" w:hAnsi="仿宋" w:eastAsia="仿宋"/>
          <w:color w:val="000000"/>
          <w:sz w:val="22"/>
          <w:highlight w:val="none"/>
        </w:rPr>
        <w:t>申请付款。</w:t>
      </w:r>
    </w:p>
    <w:p>
      <w:pPr>
        <w:pStyle w:val="85"/>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olor w:val="000000"/>
          <w:sz w:val="22"/>
          <w:highlight w:val="none"/>
          <w:lang w:val="en-US" w:eastAsia="zh-CN"/>
        </w:rPr>
        <w:t xml:space="preserve">2. </w:t>
      </w:r>
      <w:r>
        <w:rPr>
          <w:rFonts w:hint="eastAsia" w:ascii="仿宋" w:hAnsi="仿宋" w:eastAsia="仿宋" w:cs="宋体"/>
          <w:color w:val="000000"/>
          <w:sz w:val="22"/>
          <w:highlight w:val="none"/>
        </w:rPr>
        <w:t>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货物结算单由</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人指定的人员进行核实并签名确认，</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签名确认的结算单将作为双方每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结算时的结算凭证之一。</w:t>
      </w:r>
    </w:p>
    <w:p>
      <w:pPr>
        <w:pStyle w:val="85"/>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s="宋体"/>
          <w:color w:val="000000"/>
          <w:sz w:val="22"/>
          <w:highlight w:val="none"/>
          <w:lang w:val="en-US" w:eastAsia="zh-CN"/>
        </w:rPr>
        <w:t xml:space="preserve">3. </w:t>
      </w:r>
      <w:r>
        <w:rPr>
          <w:rFonts w:hint="eastAsia" w:ascii="仿宋" w:hAnsi="仿宋" w:eastAsia="仿宋" w:cs="宋体"/>
          <w:color w:val="000000"/>
          <w:sz w:val="22"/>
          <w:highlight w:val="none"/>
        </w:rPr>
        <w:t>付款方式：</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人收到</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申请后在25个工作日内支付货款，项目款价的结算和支付均以人民币为结算货币。</w:t>
      </w:r>
    </w:p>
    <w:p>
      <w:pPr>
        <w:pStyle w:val="85"/>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s="宋体"/>
          <w:color w:val="000000"/>
          <w:sz w:val="22"/>
          <w:highlight w:val="none"/>
          <w:lang w:val="en-US" w:eastAsia="zh-CN"/>
        </w:rPr>
        <w:t xml:space="preserve">4. </w:t>
      </w:r>
      <w:r>
        <w:rPr>
          <w:rFonts w:hint="eastAsia" w:ascii="仿宋" w:hAnsi="仿宋" w:eastAsia="仿宋" w:cs="宋体"/>
          <w:color w:val="000000"/>
          <w:sz w:val="22"/>
          <w:highlight w:val="none"/>
        </w:rPr>
        <w:t>收款方、出具发票方、合同</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均必须与</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名称一致，出现任何不符合财务规定的凭证造成无法按时付款等责任后果由</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8"/>
          <w:rFonts w:hint="eastAsia" w:ascii="仿宋" w:hAnsi="仿宋" w:eastAsia="仿宋"/>
          <w:b/>
          <w:bCs/>
          <w:sz w:val="22"/>
          <w:szCs w:val="22"/>
          <w:highlight w:val="none"/>
        </w:rPr>
      </w:pPr>
      <w:r>
        <w:rPr>
          <w:rStyle w:val="78"/>
          <w:rFonts w:hint="eastAsia" w:ascii="仿宋" w:hAnsi="仿宋" w:eastAsia="仿宋"/>
          <w:b/>
          <w:sz w:val="22"/>
          <w:szCs w:val="22"/>
          <w:highlight w:val="none"/>
          <w:lang w:eastAsia="zh-CN"/>
        </w:rPr>
        <w:t>九、</w:t>
      </w:r>
      <w:r>
        <w:rPr>
          <w:rStyle w:val="78"/>
          <w:rFonts w:hint="eastAsia" w:ascii="仿宋" w:hAnsi="仿宋" w:eastAsia="仿宋"/>
          <w:b/>
          <w:sz w:val="22"/>
          <w:szCs w:val="22"/>
          <w:highlight w:val="none"/>
        </w:rPr>
        <w:t>保密条款</w:t>
      </w:r>
    </w:p>
    <w:p>
      <w:pPr>
        <w:pStyle w:val="85"/>
        <w:spacing w:line="360" w:lineRule="auto"/>
        <w:ind w:firstLine="440" w:firstLineChars="200"/>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在实施产品供货期间，不得将供货的实际数量及供货地点泄露给其他企业或者个人，</w:t>
      </w:r>
      <w:r>
        <w:rPr>
          <w:rFonts w:hint="eastAsia" w:ascii="仿宋" w:hAnsi="仿宋" w:eastAsia="仿宋"/>
          <w:sz w:val="22"/>
          <w:highlight w:val="none"/>
          <w:lang w:eastAsia="zh-CN"/>
        </w:rPr>
        <w:t>中标供应商</w:t>
      </w:r>
      <w:r>
        <w:rPr>
          <w:rFonts w:hint="eastAsia" w:ascii="仿宋" w:hAnsi="仿宋" w:eastAsia="仿宋"/>
          <w:sz w:val="22"/>
          <w:highlight w:val="none"/>
        </w:rPr>
        <w:t>必须指派相对固定的人员完成产品配送服务，产品配送人员必须遵纪守法、品行良好，无违法犯罪记录，持有健康证。如需要更换配送人员，必须事先通知招标人并将其个人资料送招标人审批，审批合格者才能更换。</w:t>
      </w:r>
    </w:p>
    <w:p>
      <w:pPr>
        <w:spacing w:line="360" w:lineRule="auto"/>
        <w:jc w:val="both"/>
        <w:outlineLvl w:val="1"/>
        <w:rPr>
          <w:rFonts w:hint="eastAsia"/>
          <w:b/>
          <w:bCs/>
          <w:sz w:val="28"/>
          <w:szCs w:val="28"/>
          <w:highlight w:val="none"/>
        </w:rPr>
      </w:pPr>
      <w:r>
        <w:rPr>
          <w:rFonts w:ascii="仿宋" w:hAnsi="仿宋" w:eastAsia="仿宋"/>
          <w:b/>
          <w:bCs/>
          <w:sz w:val="21"/>
          <w:szCs w:val="21"/>
          <w:highlight w:val="none"/>
        </w:rPr>
        <w:br w:type="page"/>
      </w:r>
      <w:bookmarkEnd w:id="34"/>
      <w:r>
        <w:rPr>
          <w:rFonts w:hint="eastAsia"/>
          <w:b/>
          <w:bCs/>
          <w:sz w:val="28"/>
          <w:szCs w:val="28"/>
          <w:highlight w:val="none"/>
        </w:rPr>
        <w:t>附件</w:t>
      </w:r>
      <w:r>
        <w:rPr>
          <w:rFonts w:hint="eastAsia"/>
          <w:b/>
          <w:bCs/>
          <w:sz w:val="28"/>
          <w:szCs w:val="28"/>
          <w:highlight w:val="none"/>
          <w:lang w:eastAsia="zh-CN"/>
        </w:rPr>
        <w:t>四</w:t>
      </w:r>
    </w:p>
    <w:p>
      <w:pPr>
        <w:pStyle w:val="85"/>
        <w:numPr>
          <w:ilvl w:val="0"/>
          <w:numId w:val="0"/>
        </w:numPr>
        <w:tabs>
          <w:tab w:val="left" w:pos="0"/>
        </w:tabs>
        <w:spacing w:line="360" w:lineRule="auto"/>
        <w:ind w:left="142" w:leftChars="0"/>
        <w:jc w:val="center"/>
        <w:outlineLvl w:val="9"/>
        <w:rPr>
          <w:rFonts w:hint="eastAsia" w:ascii="Times New Roman" w:hAnsi="Times New Roman"/>
          <w:b/>
          <w:kern w:val="0"/>
          <w:sz w:val="28"/>
          <w:szCs w:val="28"/>
          <w:highlight w:val="none"/>
          <w:lang w:val="en-US" w:eastAsia="zh-CN" w:bidi="ar-SA"/>
        </w:rPr>
      </w:pPr>
      <w:r>
        <w:rPr>
          <w:rFonts w:hint="eastAsia" w:ascii="Times New Roman" w:hAnsi="Times New Roman"/>
          <w:b/>
          <w:kern w:val="0"/>
          <w:sz w:val="28"/>
          <w:szCs w:val="28"/>
          <w:highlight w:val="none"/>
          <w:lang w:val="en-US" w:eastAsia="zh-CN" w:bidi="ar-SA"/>
        </w:rPr>
        <w:t>旅游公司食材配送服务（粮油面类/米面豆制品类/酱料干货类）（第二次）报价表</w:t>
      </w:r>
    </w:p>
    <w:tbl>
      <w:tblPr>
        <w:tblStyle w:val="3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559"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采购内容</w:t>
            </w:r>
          </w:p>
        </w:tc>
        <w:tc>
          <w:tcPr>
            <w:tcW w:w="2684"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投标下浮率</w:t>
            </w:r>
          </w:p>
        </w:tc>
        <w:tc>
          <w:tcPr>
            <w:tcW w:w="2118" w:type="dxa"/>
            <w:noWrap w:val="0"/>
            <w:vAlign w:val="bottom"/>
          </w:tcPr>
          <w:p>
            <w:pPr>
              <w:spacing w:line="360" w:lineRule="auto"/>
              <w:jc w:val="center"/>
              <w:outlineLvl w:val="9"/>
              <w:rPr>
                <w:rFonts w:hint="eastAsia" w:ascii="仿宋" w:hAnsi="仿宋" w:eastAsia="仿宋"/>
                <w:b/>
                <w:sz w:val="24"/>
                <w:szCs w:val="24"/>
                <w:highlight w:val="none"/>
                <w:lang w:eastAsia="zh-CN"/>
              </w:rPr>
            </w:pPr>
            <w:r>
              <w:rPr>
                <w:rFonts w:hint="eastAsia" w:ascii="仿宋" w:hAnsi="仿宋" w:eastAsia="仿宋"/>
                <w:b/>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3559" w:type="dxa"/>
            <w:noWrap w:val="0"/>
            <w:vAlign w:val="bottom"/>
          </w:tcPr>
          <w:p>
            <w:pPr>
              <w:adjustRightInd w:val="0"/>
              <w:snapToGrid w:val="0"/>
              <w:spacing w:line="360" w:lineRule="auto"/>
              <w:jc w:val="center"/>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粮油面类/米面豆制品类/酱料干货</w:t>
            </w:r>
            <w:r>
              <w:rPr>
                <w:rFonts w:hint="eastAsia" w:ascii="仿宋" w:hAnsi="仿宋" w:eastAsia="仿宋"/>
                <w:sz w:val="24"/>
                <w:szCs w:val="24"/>
                <w:highlight w:val="none"/>
                <w:lang w:val="en-US" w:eastAsia="zh-CN"/>
              </w:rPr>
              <w:t>类</w:t>
            </w:r>
          </w:p>
        </w:tc>
        <w:tc>
          <w:tcPr>
            <w:tcW w:w="2684"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p>
        </w:tc>
      </w:tr>
    </w:tbl>
    <w:p>
      <w:pPr>
        <w:spacing w:line="360" w:lineRule="auto"/>
        <w:outlineLvl w:val="9"/>
        <w:rPr>
          <w:rFonts w:ascii="仿宋" w:hAnsi="仿宋" w:eastAsia="仿宋"/>
          <w:spacing w:val="4"/>
          <w:sz w:val="24"/>
          <w:szCs w:val="24"/>
          <w:highlight w:val="none"/>
        </w:rPr>
      </w:pPr>
    </w:p>
    <w:p>
      <w:pPr>
        <w:spacing w:line="360" w:lineRule="auto"/>
        <w:outlineLvl w:val="9"/>
        <w:rPr>
          <w:rFonts w:ascii="仿宋" w:hAnsi="仿宋" w:eastAsia="仿宋"/>
          <w:sz w:val="24"/>
          <w:szCs w:val="24"/>
          <w:highlight w:val="none"/>
          <w:u w:val="single"/>
        </w:rPr>
      </w:pPr>
      <w:r>
        <w:rPr>
          <w:rFonts w:hint="eastAsia" w:ascii="仿宋" w:hAnsi="仿宋" w:eastAsia="仿宋"/>
          <w:spacing w:val="4"/>
          <w:sz w:val="24"/>
          <w:szCs w:val="24"/>
          <w:highlight w:val="none"/>
        </w:rPr>
        <w:t>投标人名称（</w:t>
      </w:r>
      <w:r>
        <w:rPr>
          <w:rFonts w:hint="eastAsia" w:ascii="仿宋" w:hAnsi="仿宋" w:eastAsia="仿宋"/>
          <w:sz w:val="24"/>
          <w:szCs w:val="24"/>
          <w:highlight w:val="none"/>
        </w:rPr>
        <w:t>单位盖</w:t>
      </w:r>
      <w:r>
        <w:rPr>
          <w:rFonts w:hint="eastAsia" w:ascii="仿宋" w:hAnsi="仿宋" w:eastAsia="仿宋"/>
          <w:spacing w:val="4"/>
          <w:sz w:val="24"/>
          <w:szCs w:val="24"/>
          <w:highlight w:val="none"/>
        </w:rPr>
        <w:t>公章）：</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sz w:val="24"/>
          <w:szCs w:val="24"/>
          <w:highlight w:val="none"/>
        </w:rPr>
      </w:pPr>
      <w:r>
        <w:rPr>
          <w:rFonts w:hint="eastAsia" w:ascii="仿宋" w:hAnsi="仿宋" w:eastAsia="仿宋"/>
          <w:sz w:val="24"/>
          <w:szCs w:val="24"/>
          <w:highlight w:val="none"/>
        </w:rPr>
        <w:t xml:space="preserve">法定代表人或投标人授权代表（签署本人姓名或印盖本人姓名章）： </w:t>
      </w:r>
      <w:r>
        <w:rPr>
          <w:rFonts w:hint="eastAsia" w:ascii="仿宋" w:hAnsi="仿宋" w:eastAsia="仿宋"/>
          <w:spacing w:val="4"/>
          <w:sz w:val="24"/>
          <w:szCs w:val="24"/>
          <w:highlight w:val="none"/>
          <w:u w:val="single"/>
        </w:rPr>
        <w:t xml:space="preserve">  </w:t>
      </w:r>
      <w:r>
        <w:rPr>
          <w:rFonts w:hint="eastAsia" w:ascii="仿宋" w:hAnsi="仿宋" w:eastAsia="仿宋"/>
          <w:spacing w:val="4"/>
          <w:sz w:val="24"/>
          <w:szCs w:val="24"/>
          <w:highlight w:val="none"/>
          <w:u w:val="single"/>
          <w:lang w:val="en-US" w:eastAsia="zh-CN"/>
        </w:rPr>
        <w:t xml:space="preserve"> </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spacing w:val="4"/>
          <w:sz w:val="24"/>
          <w:szCs w:val="24"/>
          <w:highlight w:val="none"/>
        </w:rPr>
      </w:pPr>
      <w:r>
        <w:rPr>
          <w:rFonts w:hint="eastAsia" w:ascii="仿宋" w:hAnsi="仿宋" w:eastAsia="仿宋"/>
          <w:spacing w:val="4"/>
          <w:sz w:val="24"/>
          <w:szCs w:val="24"/>
          <w:highlight w:val="none"/>
        </w:rPr>
        <w:t xml:space="preserve">职务： </w:t>
      </w:r>
      <w:r>
        <w:rPr>
          <w:rFonts w:hint="eastAsia" w:ascii="仿宋" w:hAnsi="仿宋" w:eastAsia="仿宋"/>
          <w:spacing w:val="4"/>
          <w:sz w:val="24"/>
          <w:szCs w:val="24"/>
          <w:highlight w:val="none"/>
          <w:u w:val="single"/>
        </w:rPr>
        <w:t xml:space="preserve">                     </w:t>
      </w:r>
      <w:r>
        <w:rPr>
          <w:rFonts w:hint="eastAsia" w:ascii="仿宋" w:hAnsi="仿宋" w:eastAsia="仿宋"/>
          <w:spacing w:val="4"/>
          <w:sz w:val="24"/>
          <w:szCs w:val="24"/>
          <w:highlight w:val="none"/>
        </w:rPr>
        <w:t xml:space="preserve">  日期：</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备注：</w:t>
      </w:r>
    </w:p>
    <w:p>
      <w:pPr>
        <w:widowControl w:val="0"/>
        <w:numPr>
          <w:ilvl w:val="1"/>
          <w:numId w:val="4"/>
        </w:numPr>
        <w:tabs>
          <w:tab w:val="left" w:pos="378"/>
          <w:tab w:val="left" w:pos="840"/>
          <w:tab w:val="clear" w:pos="1620"/>
        </w:tabs>
        <w:snapToGrid w:val="0"/>
        <w:spacing w:line="360" w:lineRule="auto"/>
        <w:ind w:left="360"/>
        <w:jc w:val="both"/>
        <w:outlineLvl w:val="9"/>
        <w:rPr>
          <w:rFonts w:ascii="仿宋" w:hAnsi="仿宋" w:eastAsia="仿宋"/>
          <w:b/>
          <w:sz w:val="24"/>
          <w:szCs w:val="24"/>
          <w:highlight w:val="none"/>
        </w:rPr>
      </w:pPr>
      <w:r>
        <w:rPr>
          <w:rFonts w:hint="eastAsia" w:ascii="仿宋" w:hAnsi="仿宋" w:eastAsia="仿宋"/>
          <w:b/>
          <w:sz w:val="24"/>
          <w:szCs w:val="24"/>
          <w:highlight w:val="none"/>
        </w:rPr>
        <w:t>投标报价要求具体见</w:t>
      </w:r>
      <w:r>
        <w:rPr>
          <w:rFonts w:hint="eastAsia" w:ascii="仿宋" w:hAnsi="仿宋" w:eastAsia="仿宋"/>
          <w:b/>
          <w:sz w:val="24"/>
          <w:szCs w:val="24"/>
          <w:highlight w:val="none"/>
          <w:lang w:eastAsia="zh-CN"/>
        </w:rPr>
        <w:t>附件三《用户需求书》第四点</w:t>
      </w: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报价要求</w:t>
      </w:r>
      <w:r>
        <w:rPr>
          <w:rFonts w:hint="eastAsia" w:ascii="仿宋" w:hAnsi="仿宋" w:eastAsia="仿宋"/>
          <w:b/>
          <w:sz w:val="24"/>
          <w:szCs w:val="24"/>
          <w:highlight w:val="none"/>
        </w:rPr>
        <w:t>”。</w:t>
      </w:r>
    </w:p>
    <w:p>
      <w:pPr>
        <w:widowControl w:val="0"/>
        <w:numPr>
          <w:ilvl w:val="1"/>
          <w:numId w:val="4"/>
        </w:numPr>
        <w:tabs>
          <w:tab w:val="left" w:pos="378"/>
          <w:tab w:val="left" w:pos="840"/>
          <w:tab w:val="clear" w:pos="1620"/>
        </w:tabs>
        <w:snapToGrid w:val="0"/>
        <w:spacing w:line="360" w:lineRule="auto"/>
        <w:ind w:left="360"/>
        <w:jc w:val="both"/>
        <w:outlineLvl w:val="9"/>
        <w:rPr>
          <w:rFonts w:ascii="仿宋" w:hAnsi="仿宋" w:eastAsia="仿宋"/>
          <w:b/>
          <w:sz w:val="24"/>
          <w:szCs w:val="24"/>
          <w:highlight w:val="none"/>
        </w:rPr>
      </w:pPr>
      <w:r>
        <w:rPr>
          <w:rFonts w:hint="eastAsia" w:ascii="仿宋" w:hAnsi="仿宋" w:eastAsia="仿宋"/>
          <w:b/>
          <w:sz w:val="24"/>
          <w:szCs w:val="24"/>
          <w:highlight w:val="none"/>
        </w:rPr>
        <w:t>本项目投标报价为下浮率报价。</w:t>
      </w:r>
    </w:p>
    <w:p>
      <w:pPr>
        <w:pStyle w:val="4"/>
        <w:rPr>
          <w:rFonts w:hint="eastAsia" w:ascii="仿宋" w:hAnsi="仿宋" w:eastAsia="仿宋"/>
          <w:b/>
          <w:sz w:val="21"/>
          <w:szCs w:val="21"/>
          <w:highlight w:val="none"/>
        </w:rPr>
      </w:pPr>
    </w:p>
    <w:p>
      <w:pPr>
        <w:rPr>
          <w:rFonts w:hint="eastAsia" w:ascii="仿宋" w:hAnsi="仿宋" w:eastAsia="仿宋"/>
          <w:b/>
          <w:sz w:val="21"/>
          <w:szCs w:val="21"/>
          <w:highlight w:val="none"/>
        </w:rPr>
      </w:pPr>
    </w:p>
    <w:p>
      <w:pPr>
        <w:pStyle w:val="4"/>
        <w:rPr>
          <w:rFonts w:hint="eastAsia" w:ascii="仿宋" w:hAnsi="仿宋" w:eastAsia="仿宋"/>
          <w:b/>
          <w:sz w:val="21"/>
          <w:szCs w:val="21"/>
          <w:highlight w:val="none"/>
        </w:rPr>
      </w:pPr>
    </w:p>
    <w:p>
      <w:pPr>
        <w:rPr>
          <w:rFonts w:hint="eastAsia" w:ascii="仿宋" w:hAnsi="仿宋" w:eastAsia="仿宋"/>
          <w:b/>
          <w:sz w:val="21"/>
          <w:szCs w:val="21"/>
          <w:highlight w:val="none"/>
        </w:rPr>
      </w:pPr>
    </w:p>
    <w:p>
      <w:pPr>
        <w:pStyle w:val="4"/>
        <w:rPr>
          <w:rFonts w:hint="eastAsia" w:ascii="仿宋" w:hAnsi="仿宋" w:eastAsia="仿宋"/>
          <w:b/>
          <w:sz w:val="21"/>
          <w:szCs w:val="21"/>
          <w:highlight w:val="none"/>
        </w:rPr>
      </w:pPr>
    </w:p>
    <w:p>
      <w:pPr>
        <w:rPr>
          <w:rFonts w:hint="eastAsia" w:ascii="仿宋" w:hAnsi="仿宋" w:eastAsia="仿宋"/>
          <w:b/>
          <w:sz w:val="21"/>
          <w:szCs w:val="21"/>
          <w:highlight w:val="none"/>
        </w:rPr>
      </w:pPr>
    </w:p>
    <w:p>
      <w:pPr>
        <w:jc w:val="left"/>
        <w:outlineLvl w:val="1"/>
        <w:rPr>
          <w:rFonts w:hint="eastAsia"/>
          <w:b/>
          <w:bCs/>
          <w:sz w:val="28"/>
          <w:szCs w:val="28"/>
          <w:highlight w:val="none"/>
        </w:rPr>
      </w:pPr>
    </w:p>
    <w:p>
      <w:pPr>
        <w:pStyle w:val="2"/>
        <w:rPr>
          <w:rFonts w:hint="eastAsia"/>
          <w:highlight w:val="none"/>
        </w:rPr>
      </w:pPr>
    </w:p>
    <w:p>
      <w:pPr>
        <w:jc w:val="left"/>
        <w:outlineLvl w:val="1"/>
        <w:rPr>
          <w:rFonts w:hint="eastAsia" w:eastAsia="宋体"/>
          <w:b/>
          <w:bCs/>
          <w:sz w:val="28"/>
          <w:szCs w:val="28"/>
          <w:highlight w:val="none"/>
          <w:lang w:val="en-US" w:eastAsia="zh-CN"/>
        </w:rPr>
      </w:pPr>
      <w:r>
        <w:rPr>
          <w:rFonts w:hint="eastAsia"/>
          <w:b/>
          <w:bCs/>
          <w:sz w:val="28"/>
          <w:szCs w:val="28"/>
          <w:highlight w:val="none"/>
        </w:rPr>
        <w:t>附件</w:t>
      </w:r>
      <w:r>
        <w:rPr>
          <w:rFonts w:hint="eastAsia"/>
          <w:b/>
          <w:bCs/>
          <w:sz w:val="28"/>
          <w:szCs w:val="28"/>
          <w:highlight w:val="none"/>
          <w:lang w:val="en-US" w:eastAsia="zh-CN"/>
        </w:rPr>
        <w:t xml:space="preserve">五 </w:t>
      </w:r>
    </w:p>
    <w:tbl>
      <w:tblPr>
        <w:tblStyle w:val="38"/>
        <w:tblpPr w:leftFromText="180" w:rightFromText="180" w:vertAnchor="text" w:horzAnchor="page" w:tblpXSpec="center" w:tblpY="638"/>
        <w:tblOverlap w:val="never"/>
        <w:tblW w:w="8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881"/>
        <w:gridCol w:w="549"/>
        <w:gridCol w:w="1878"/>
        <w:gridCol w:w="3060"/>
        <w:gridCol w:w="687"/>
        <w:gridCol w:w="6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9"/>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综合评审表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numPr>
                <w:ilvl w:val="0"/>
                <w:numId w:val="0"/>
              </w:numPr>
              <w:suppressLineNumbers w:val="0"/>
              <w:spacing w:beforeLines="0" w:afterLines="0"/>
              <w:jc w:val="left"/>
              <w:textAlignment w:val="auto"/>
              <w:outlineLvl w:val="9"/>
              <w:rPr>
                <w:rFonts w:hint="eastAsia" w:ascii="宋体" w:hAnsi="宋体" w:eastAsia="宋体" w:cs="宋体"/>
                <w:i w:val="0"/>
                <w:iCs w:val="0"/>
                <w:color w:val="000000"/>
                <w:spacing w:val="-2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项目名称：</w:t>
            </w:r>
            <w:r>
              <w:rPr>
                <w:rFonts w:hint="eastAsia" w:ascii="宋体" w:hAnsi="宋体" w:eastAsia="宋体" w:cs="宋体"/>
                <w:b w:val="0"/>
                <w:bCs w:val="0"/>
                <w:color w:val="000000"/>
                <w:spacing w:val="-11"/>
                <w:kern w:val="0"/>
                <w:sz w:val="24"/>
                <w:szCs w:val="24"/>
                <w:highlight w:val="none"/>
                <w:u w:val="none"/>
                <w:lang w:val="en-US" w:eastAsia="zh-CN" w:bidi="ar"/>
              </w:rPr>
              <w:t>旅游公司食材配送服务（粮油面类/米面豆制品类/酱料干货类）</w:t>
            </w:r>
            <w:r>
              <w:rPr>
                <w:rFonts w:hint="eastAsia" w:ascii="宋体" w:hAnsi="宋体" w:cs="宋体"/>
                <w:b w:val="0"/>
                <w:bCs w:val="0"/>
                <w:color w:val="000000"/>
                <w:spacing w:val="-11"/>
                <w:kern w:val="0"/>
                <w:sz w:val="24"/>
                <w:szCs w:val="24"/>
                <w:highlight w:val="none"/>
                <w:u w:val="none"/>
                <w:lang w:val="en-US" w:eastAsia="zh-CN" w:bidi="ar"/>
              </w:rPr>
              <w:t>（第二次）</w:t>
            </w:r>
            <w:r>
              <w:rPr>
                <w:rFonts w:hint="eastAsia" w:ascii="宋体" w:hAnsi="宋体" w:eastAsia="宋体" w:cs="宋体"/>
                <w:i w:val="0"/>
                <w:iCs w:val="0"/>
                <w:color w:val="000000"/>
                <w:spacing w:val="-11"/>
                <w:kern w:val="0"/>
                <w:sz w:val="24"/>
                <w:szCs w:val="24"/>
                <w:highlight w:val="none"/>
                <w:u w:val="none"/>
                <w:lang w:val="en-US" w:eastAsia="zh-CN" w:bidi="ar"/>
              </w:rPr>
              <w:t xml:space="preserve"> </w:t>
            </w:r>
            <w:r>
              <w:rPr>
                <w:rFonts w:hint="eastAsia" w:ascii="宋体" w:hAnsi="宋体" w:eastAsia="宋体" w:cs="宋体"/>
                <w:i w:val="0"/>
                <w:iCs w:val="0"/>
                <w:color w:val="000000"/>
                <w:spacing w:val="-20"/>
                <w:kern w:val="0"/>
                <w:sz w:val="24"/>
                <w:szCs w:val="24"/>
                <w:highlight w:val="none"/>
                <w:u w:val="none"/>
                <w:lang w:val="en-US" w:eastAsia="zh-CN" w:bidi="ar"/>
              </w:rPr>
              <w:t xml:space="preserve">            </w:t>
            </w:r>
          </w:p>
          <w:p>
            <w:pPr>
              <w:keepNext w:val="0"/>
              <w:keepLines w:val="0"/>
              <w:widowControl/>
              <w:suppressLineNumbers w:val="0"/>
              <w:jc w:val="left"/>
              <w:textAlignment w:val="center"/>
              <w:outlineLvl w:val="9"/>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4"/>
                <w:szCs w:val="24"/>
                <w:highlight w:val="none"/>
                <w:u w:val="none"/>
                <w:lang w:val="en-US" w:eastAsia="zh-CN" w:bidi="ar"/>
              </w:rPr>
              <w:t>日期：202</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序号</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审查项目</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分值</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评分标准</w:t>
            </w:r>
          </w:p>
        </w:tc>
        <w:tc>
          <w:tcPr>
            <w:tcW w:w="30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评审细则</w:t>
            </w:r>
          </w:p>
        </w:tc>
        <w:tc>
          <w:tcPr>
            <w:tcW w:w="1983" w:type="dxa"/>
            <w:gridSpan w:val="3"/>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30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687"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81"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质量保障方案</w:t>
            </w:r>
          </w:p>
        </w:tc>
        <w:tc>
          <w:tcPr>
            <w:tcW w:w="549"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7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提供的保障方案符合现场需求得0-10分：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根据投标货物的①来源、②加工、③包装、④保存、⑤运输各环节的质量保证及食品安全措施进行评分（不足之处由评委根据标书情况酌情扣分）。</w:t>
            </w:r>
          </w:p>
        </w:tc>
        <w:tc>
          <w:tcPr>
            <w:tcW w:w="306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1.配送货物的来源可靠，加工卫生，包装细致，保存得当，运输安全且食品安全措施明确，切实可行，得8-10分；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2.配送货物的来源比较可靠，加工比较卫生，包装比较细致，保存比较得当，运输比较安全且食品安全措施比较明确，可行性较高，得5-7分；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3.配送货物的来源基本可靠，加工基本卫生，包装基本细致，保存基本得当，运输基本安全或食品安全措施具有一定的可行性，得1-4分；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配送方案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提供的配送方案符合现场需求得0-15分：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配送服务方案包括但不限于：①项目管理及进度安排、②配送服务方案。（不足之处由评委根据标书情况酌情扣分）。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1.方案描述详细具体，合理全面，可行性高，得11-15分；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2.方案描述完整但不详细具体，具有一定的合理性、可行性高，得6-10分；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3.方案描述条理清晰但不够完整，合理性较好，可行性较弱得1-5分；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应急方案及质量问题退换货方案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提供的退换货方案符合现场需求得0-15分：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针对特殊情况应急及产品质量问题退换货方案内容包括但不限于：退换货流程、退换货便利性说明及响应时间承诺。（不足之处由评委根据标书情况酌情扣分）。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1.退换货流程清晰，便利程度高，响应速度快，极具科学性、合理性，得11-15分；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2.退换货流程较清晰，便利程度较高，响应速度较快，科学性、合理性较高，得6-10分；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3.退换货流程基本清晰，便利程度较低，响应速度较慢，有一定的科学性、合理性，得1-5分；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内控机制及廉政措施</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提供的内控机制及廉政措施合理得0-10分：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1.建立健全内部控制措施，决策、执行、监督实现有效分离，清晰，得8-10分；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2.建立内部控制措施较健全，决策、执行、监督实现较清晰，得5-7分；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3.建立内部控制措施不完整，决策、执行、监督混乱，无分离，得1-4分；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食品安全责任保险</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愿意投保食品安全责任险，提供方案，得0-5分：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1.方案描述清晰，可行性高，得4-5分；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2.方案具有一定合理性，得2-3分；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3.方案表述不清晰，不具备操作性，得1分；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价格分应当采用低价优先法计算，满足招标文件要求的所有投标人投标报价下浮率中最高下浮率为评标基准价，其价格分为满分。其他投标人的价格分统一按照下列公式计算：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投标报价得分=(投标报价／评标基准价)×100%×价格分值。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注：得分保留小数点后两位。</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报价得分=(投标报价／评标基准价)×100%×价格分值</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质量认证</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具备质量安全认证体系，得0-5分。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通过食品安全管理体系认证、质量管理体系认证、环境管理体系认证、职业健康安全管理体系认证、HACCP危害分析与关键控制点体系认证等相关专业资质证书，每项证书得1分，最高5分。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履约能力证明</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2020年至今</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同类业绩证明，得0-15分。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2020年至今有同类业绩证明，提供合同复印件（合同首页、盖章页）作为证明。每个业绩得3分，最高得15分。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2"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地域优势</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按公司注册地址离南沙天后宫的远近程度评价，得0-5分。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公司注册地址距离南沙天后宫在高德或百度地图中显示的公里数距离。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距离5公里（含5公里）以内得5分；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距离15公里（含15公里）以内得3分；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距离30公里（含30公里）以内得1分；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不提供得0分。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898"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综合总得分</w:t>
            </w:r>
          </w:p>
        </w:tc>
        <w:tc>
          <w:tcPr>
            <w:tcW w:w="687" w:type="dxa"/>
            <w:tcBorders>
              <w:top w:val="nil"/>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outlineLvl w:val="9"/>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53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87"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nil"/>
              <w:right w:val="nil"/>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评审专家签名：</w:t>
            </w:r>
          </w:p>
        </w:tc>
      </w:tr>
    </w:tbl>
    <w:p>
      <w:pPr>
        <w:jc w:val="left"/>
        <w:outlineLvl w:val="9"/>
        <w:rPr>
          <w:rFonts w:hint="eastAsia"/>
          <w:b/>
          <w:bCs/>
          <w:sz w:val="28"/>
          <w:szCs w:val="28"/>
          <w:highlight w:val="none"/>
        </w:rPr>
      </w:pPr>
    </w:p>
    <w:p>
      <w:pPr>
        <w:outlineLvl w:val="1"/>
        <w:rPr>
          <w:b/>
          <w:bCs/>
          <w:sz w:val="28"/>
          <w:szCs w:val="28"/>
          <w:highlight w:val="none"/>
        </w:rPr>
      </w:pPr>
      <w:r>
        <w:rPr>
          <w:rFonts w:hint="eastAsia" w:ascii="仿宋" w:hAnsi="仿宋" w:eastAsia="仿宋" w:cs="宋体"/>
          <w:b/>
          <w:sz w:val="28"/>
          <w:szCs w:val="28"/>
          <w:highlight w:val="none"/>
        </w:rPr>
        <w:br w:type="page"/>
      </w:r>
      <w:r>
        <w:rPr>
          <w:rFonts w:hint="eastAsia"/>
          <w:b/>
          <w:bCs/>
          <w:sz w:val="28"/>
          <w:szCs w:val="28"/>
          <w:highlight w:val="none"/>
        </w:rPr>
        <w:t>附件</w:t>
      </w:r>
      <w:r>
        <w:rPr>
          <w:rFonts w:hint="eastAsia"/>
          <w:b/>
          <w:bCs/>
          <w:sz w:val="28"/>
          <w:szCs w:val="28"/>
          <w:highlight w:val="none"/>
          <w:lang w:eastAsia="zh-CN"/>
        </w:rPr>
        <w:t>六</w:t>
      </w:r>
    </w:p>
    <w:tbl>
      <w:tblPr>
        <w:tblStyle w:val="38"/>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4891"/>
        <w:gridCol w:w="861"/>
        <w:gridCol w:w="859"/>
        <w:gridCol w:w="85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70" w:type="dxa"/>
            <w:gridSpan w:val="6"/>
            <w:tcBorders>
              <w:top w:val="nil"/>
              <w:left w:val="nil"/>
              <w:bottom w:val="nil"/>
              <w:right w:val="nil"/>
            </w:tcBorders>
            <w:noWrap w:val="0"/>
            <w:vAlign w:val="center"/>
          </w:tcPr>
          <w:p>
            <w:pPr>
              <w:numPr>
                <w:ilvl w:val="0"/>
                <w:numId w:val="0"/>
              </w:numPr>
              <w:spacing w:beforeLines="0" w:after="0" w:afterLines="0" w:line="240" w:lineRule="auto"/>
              <w:ind w:leftChars="0" w:firstLine="0" w:firstLineChars="0"/>
              <w:jc w:val="left"/>
              <w:rPr>
                <w:rFonts w:hint="default"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项目名称：</w:t>
            </w:r>
            <w:r>
              <w:rPr>
                <w:rFonts w:hint="eastAsia" w:ascii="仿宋" w:hAnsi="仿宋" w:eastAsia="仿宋" w:cs="仿宋"/>
                <w:b w:val="0"/>
                <w:bCs w:val="0"/>
                <w:color w:val="000000"/>
                <w:kern w:val="0"/>
                <w:sz w:val="24"/>
                <w:szCs w:val="24"/>
                <w:highlight w:val="none"/>
                <w:u w:val="none"/>
                <w:lang w:val="en-US" w:eastAsia="zh-CN" w:bidi="ar"/>
              </w:rPr>
              <w:t>旅游公司食材配送服务（粮油面类/米面豆制品类/酱料干货类）（第二次）</w:t>
            </w:r>
          </w:p>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     </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日期：2023年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4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审查项目     </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投标人名称</w:t>
            </w:r>
          </w:p>
        </w:tc>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48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投标文件密封性完好。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投标人必须是广州市南沙区合法注册的独立法人（公司注册地址以营业执照注册地址为准），提供营业执照复印件（加盖公司公章）。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法定代表人证明书、法人授权委托书原件，被委托人身份证、法人代表身份证复印件。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投标人具备有效期内的《食品流通许可证》或《食品经营许可证》。</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投标人未被列入“信用中国”网站(www.creditchina.gov.cn)“失信被执行人或企业经营异常名录或重大税收违法案件当事人名单”(提供以上信用信息查询记录其中一项截图，加盖本单位公章)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交纳投标保证金的银行转账单或收据复印件。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报价下浮率不超过20%（含20%）。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结论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备注：每一项目符合的打“○”，不符合的打“×”；所有项目符合为通过，出现一个“×”的结论为不通过。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489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6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95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70" w:type="dxa"/>
            <w:gridSpan w:val="6"/>
            <w:tcBorders>
              <w:top w:val="nil"/>
              <w:left w:val="nil"/>
              <w:bottom w:val="nil"/>
              <w:right w:val="nil"/>
            </w:tcBorders>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评审专家签名：</w:t>
            </w:r>
          </w:p>
        </w:tc>
      </w:tr>
    </w:tbl>
    <w:p>
      <w:pPr>
        <w:jc w:val="both"/>
        <w:outlineLvl w:val="1"/>
        <w:rPr>
          <w:rFonts w:hint="eastAsia"/>
          <w:b/>
          <w:bCs/>
          <w:sz w:val="28"/>
          <w:szCs w:val="28"/>
          <w:highlight w:val="none"/>
        </w:rPr>
      </w:pPr>
      <w:r>
        <w:rPr>
          <w:rFonts w:hint="eastAsia" w:ascii="黑体" w:hAnsi="黑体" w:eastAsia="黑体" w:cs="黑体"/>
          <w:sz w:val="28"/>
          <w:szCs w:val="28"/>
          <w:highlight w:val="none"/>
        </w:rPr>
        <w:br w:type="page"/>
      </w:r>
      <w:r>
        <w:rPr>
          <w:rFonts w:hint="eastAsia"/>
          <w:b/>
          <w:bCs/>
          <w:sz w:val="28"/>
          <w:szCs w:val="28"/>
          <w:highlight w:val="none"/>
        </w:rPr>
        <w:t>附件</w:t>
      </w:r>
      <w:r>
        <w:rPr>
          <w:rFonts w:hint="eastAsia"/>
          <w:b/>
          <w:bCs/>
          <w:sz w:val="28"/>
          <w:szCs w:val="28"/>
          <w:highlight w:val="none"/>
          <w:lang w:eastAsia="zh-CN"/>
        </w:rPr>
        <w:t>七</w:t>
      </w:r>
    </w:p>
    <w:p>
      <w:pPr>
        <w:spacing w:line="560" w:lineRule="exact"/>
        <w:ind w:right="640"/>
        <w:jc w:val="both"/>
        <w:rPr>
          <w:rFonts w:ascii="宋体" w:hAnsi="宋体" w:cs="宋体"/>
          <w:sz w:val="32"/>
          <w:szCs w:val="32"/>
          <w:highlight w:val="none"/>
        </w:rPr>
      </w:pP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 xml:space="preserve">                        合同编号:</w:t>
      </w:r>
    </w:p>
    <w:p>
      <w:pPr>
        <w:spacing w:line="560" w:lineRule="exact"/>
        <w:jc w:val="both"/>
        <w:rPr>
          <w:rFonts w:ascii="宋体" w:hAnsi="宋体" w:cs="宋体"/>
          <w:b/>
          <w:sz w:val="32"/>
          <w:szCs w:val="32"/>
          <w:highlight w:val="none"/>
        </w:rPr>
      </w:pPr>
      <w:r>
        <w:rPr>
          <w:rFonts w:hint="eastAsia" w:ascii="宋体" w:hAnsi="宋体" w:cs="宋体"/>
          <w:b/>
          <w:sz w:val="44"/>
          <w:szCs w:val="44"/>
          <w:highlight w:val="none"/>
        </w:rPr>
        <w:t xml:space="preserve">                                 </w:t>
      </w:r>
    </w:p>
    <w:p>
      <w:pPr>
        <w:spacing w:line="560" w:lineRule="exact"/>
        <w:jc w:val="center"/>
        <w:rPr>
          <w:rFonts w:ascii="宋体" w:hAnsi="宋体" w:cs="宋体"/>
          <w:b/>
          <w:sz w:val="44"/>
          <w:szCs w:val="44"/>
          <w:highlight w:val="none"/>
        </w:rPr>
      </w:pPr>
      <w:r>
        <w:rPr>
          <w:rFonts w:hint="eastAsia" w:ascii="宋体" w:hAnsi="宋体" w:cs="宋体"/>
          <w:b/>
          <w:sz w:val="44"/>
          <w:szCs w:val="44"/>
          <w:highlight w:val="none"/>
        </w:rPr>
        <w:t>旅游公司食材配送服务（粮油面类/米面豆制品类/酱料干货类）（第二次）服务合同</w:t>
      </w:r>
    </w:p>
    <w:p>
      <w:pPr>
        <w:spacing w:line="560" w:lineRule="exact"/>
        <w:jc w:val="both"/>
        <w:rPr>
          <w:rFonts w:ascii="宋体" w:hAnsi="宋体" w:cs="宋体"/>
          <w:b/>
          <w:highlight w:val="none"/>
        </w:rPr>
      </w:pPr>
      <w:r>
        <w:rPr>
          <w:rFonts w:hint="eastAsia" w:ascii="宋体" w:hAnsi="宋体" w:cs="宋体"/>
          <w:highlight w:val="none"/>
        </w:rPr>
        <w:t xml:space="preserve"> </w:t>
      </w:r>
    </w:p>
    <w:p>
      <w:pPr>
        <w:spacing w:line="480" w:lineRule="auto"/>
        <w:jc w:val="both"/>
        <w:rPr>
          <w:b/>
          <w:bCs/>
          <w:sz w:val="28"/>
          <w:szCs w:val="28"/>
          <w:highlight w:val="none"/>
        </w:rPr>
      </w:pPr>
      <w:r>
        <w:rPr>
          <w:rFonts w:hint="eastAsia"/>
          <w:b/>
          <w:bCs/>
          <w:sz w:val="28"/>
          <w:szCs w:val="28"/>
          <w:highlight w:val="none"/>
        </w:rPr>
        <w:t xml:space="preserve">甲方：            </w:t>
      </w:r>
    </w:p>
    <w:p>
      <w:pPr>
        <w:spacing w:line="480" w:lineRule="auto"/>
        <w:jc w:val="both"/>
        <w:rPr>
          <w:b/>
          <w:bCs/>
          <w:sz w:val="28"/>
          <w:szCs w:val="28"/>
          <w:highlight w:val="none"/>
        </w:rPr>
      </w:pPr>
      <w:r>
        <w:rPr>
          <w:rFonts w:hint="eastAsia"/>
          <w:b/>
          <w:bCs/>
          <w:sz w:val="28"/>
          <w:szCs w:val="28"/>
          <w:highlight w:val="none"/>
        </w:rPr>
        <w:t xml:space="preserve">住所地：                                           </w:t>
      </w:r>
    </w:p>
    <w:p>
      <w:pPr>
        <w:spacing w:line="480" w:lineRule="auto"/>
        <w:jc w:val="both"/>
        <w:rPr>
          <w:b/>
          <w:bCs/>
          <w:sz w:val="28"/>
          <w:szCs w:val="28"/>
          <w:highlight w:val="none"/>
        </w:rPr>
      </w:pPr>
      <w:r>
        <w:rPr>
          <w:rFonts w:hint="eastAsia"/>
          <w:b/>
          <w:bCs/>
          <w:sz w:val="28"/>
          <w:szCs w:val="28"/>
          <w:highlight w:val="none"/>
        </w:rPr>
        <w:t xml:space="preserve">法定代表人：                                       </w:t>
      </w:r>
    </w:p>
    <w:p>
      <w:pPr>
        <w:spacing w:line="480" w:lineRule="auto"/>
        <w:jc w:val="both"/>
        <w:rPr>
          <w:b/>
          <w:bCs/>
          <w:sz w:val="28"/>
          <w:szCs w:val="28"/>
          <w:highlight w:val="none"/>
        </w:rPr>
      </w:pPr>
      <w:r>
        <w:rPr>
          <w:rFonts w:hint="eastAsia"/>
          <w:b/>
          <w:bCs/>
          <w:sz w:val="28"/>
          <w:szCs w:val="28"/>
          <w:highlight w:val="none"/>
        </w:rPr>
        <w:t xml:space="preserve">乙方：                                            </w:t>
      </w:r>
    </w:p>
    <w:p>
      <w:pPr>
        <w:spacing w:line="480" w:lineRule="auto"/>
        <w:jc w:val="both"/>
        <w:rPr>
          <w:b/>
          <w:bCs/>
          <w:sz w:val="28"/>
          <w:szCs w:val="28"/>
          <w:highlight w:val="none"/>
        </w:rPr>
      </w:pPr>
      <w:r>
        <w:rPr>
          <w:rFonts w:hint="eastAsia"/>
          <w:b/>
          <w:bCs/>
          <w:sz w:val="28"/>
          <w:szCs w:val="28"/>
          <w:highlight w:val="none"/>
        </w:rPr>
        <w:t xml:space="preserve">住所地：                                           </w:t>
      </w:r>
    </w:p>
    <w:p>
      <w:pPr>
        <w:spacing w:line="480" w:lineRule="auto"/>
        <w:jc w:val="both"/>
        <w:rPr>
          <w:b/>
          <w:bCs/>
          <w:highlight w:val="none"/>
        </w:rPr>
      </w:pPr>
      <w:r>
        <w:rPr>
          <w:rFonts w:hint="eastAsia"/>
          <w:b/>
          <w:bCs/>
          <w:sz w:val="28"/>
          <w:szCs w:val="28"/>
          <w:highlight w:val="none"/>
        </w:rPr>
        <w:t>法定代表人：</w:t>
      </w:r>
      <w:r>
        <w:rPr>
          <w:rFonts w:hint="eastAsia"/>
          <w:b/>
          <w:bCs/>
          <w:highlight w:val="none"/>
        </w:rPr>
        <w:t xml:space="preserve">                                       </w:t>
      </w:r>
    </w:p>
    <w:p>
      <w:pPr>
        <w:spacing w:line="560" w:lineRule="atLeast"/>
        <w:jc w:val="both"/>
        <w:rPr>
          <w:rFonts w:ascii="彩虹粗仿宋" w:hAnsi="新宋体" w:eastAsia="彩虹粗仿宋"/>
          <w:sz w:val="30"/>
          <w:szCs w:val="30"/>
          <w:highlight w:val="none"/>
          <w:u w:val="single"/>
        </w:rPr>
      </w:pP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根据《中华人民共和国民法典》、《中华人民共和国食品安全法》以及相关法律法规，甲、乙双方在平等互利的基础上，就乙方为甲方提供食材的采购配送服务（采购的具体数量和品种需根据当天或每月的实际需求量而定），经甲、乙双方友好协商一致，特订立本合同。</w:t>
      </w:r>
    </w:p>
    <w:p>
      <w:pPr>
        <w:widowControl w:val="0"/>
        <w:tabs>
          <w:tab w:val="left" w:pos="900"/>
        </w:tabs>
        <w:spacing w:before="156" w:beforeLines="50"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一、合同期限</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本合同有效期为</w:t>
      </w:r>
      <w:r>
        <w:rPr>
          <w:rFonts w:hint="eastAsia" w:ascii="宋体" w:hAnsi="宋体" w:cs="宋体"/>
          <w:sz w:val="30"/>
          <w:szCs w:val="30"/>
          <w:highlight w:val="none"/>
          <w:u w:val="single"/>
        </w:rPr>
        <w:t xml:space="preserve">  1  </w:t>
      </w:r>
      <w:r>
        <w:rPr>
          <w:rFonts w:hint="eastAsia" w:ascii="宋体" w:hAnsi="宋体" w:cs="宋体"/>
          <w:sz w:val="30"/>
          <w:szCs w:val="30"/>
          <w:highlight w:val="none"/>
        </w:rPr>
        <w:t>年，自</w:t>
      </w:r>
      <w:r>
        <w:rPr>
          <w:rFonts w:hint="eastAsia" w:ascii="宋体" w:hAnsi="宋体" w:cs="宋体"/>
          <w:sz w:val="30"/>
          <w:szCs w:val="30"/>
          <w:highlight w:val="none"/>
          <w:u w:val="single"/>
        </w:rPr>
        <w:t xml:space="preserve"> 2023 </w:t>
      </w:r>
      <w:r>
        <w:rPr>
          <w:rFonts w:hint="eastAsia" w:ascii="宋体" w:hAnsi="宋体" w:cs="宋体"/>
          <w:sz w:val="30"/>
          <w:szCs w:val="30"/>
          <w:highlight w:val="none"/>
        </w:rPr>
        <w:t>年</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月</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rPr>
        <w:t>日起至自</w:t>
      </w:r>
      <w:r>
        <w:rPr>
          <w:rFonts w:hint="eastAsia" w:ascii="宋体" w:hAnsi="宋体" w:cs="宋体"/>
          <w:sz w:val="30"/>
          <w:szCs w:val="30"/>
          <w:highlight w:val="none"/>
          <w:u w:val="single"/>
        </w:rPr>
        <w:t xml:space="preserve">    2024</w:t>
      </w:r>
      <w:r>
        <w:rPr>
          <w:rFonts w:hint="eastAsia" w:ascii="宋体" w:hAnsi="宋体" w:cs="宋体"/>
          <w:sz w:val="30"/>
          <w:szCs w:val="30"/>
          <w:highlight w:val="none"/>
        </w:rPr>
        <w:t>年</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月</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sz w:val="30"/>
          <w:szCs w:val="30"/>
          <w:highlight w:val="none"/>
        </w:rPr>
        <w:t>日止。</w:t>
      </w:r>
    </w:p>
    <w:p>
      <w:pPr>
        <w:widowControl w:val="0"/>
        <w:spacing w:before="156" w:beforeLines="50"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二、质量保证</w:t>
      </w:r>
    </w:p>
    <w:p>
      <w:pPr>
        <w:widowControl w:val="0"/>
        <w:adjustRightInd w:val="0"/>
        <w:snapToGrid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乙方所供应食品及食品原料（以下统称“食材”）品质必须符合“中华人民共和国食品安全法”有关标准，保证无异味、无霉烂变质，并有产品检验证明材料备查。预包装食材或食品必须来源可靠，并提供原供货商有效营业执照、食品经营许可证等材料备查。</w:t>
      </w:r>
    </w:p>
    <w:p>
      <w:pPr>
        <w:widowControl w:val="0"/>
        <w:adjustRightInd w:val="0"/>
        <w:snapToGrid w:val="0"/>
        <w:spacing w:line="560" w:lineRule="exact"/>
        <w:ind w:firstLine="450" w:firstLineChars="150"/>
        <w:jc w:val="both"/>
        <w:rPr>
          <w:rFonts w:ascii="宋体" w:hAnsi="宋体" w:cs="宋体"/>
          <w:sz w:val="30"/>
          <w:szCs w:val="30"/>
          <w:highlight w:val="none"/>
        </w:rPr>
      </w:pPr>
      <w:r>
        <w:rPr>
          <w:rFonts w:hint="eastAsia" w:ascii="宋体" w:hAnsi="宋体" w:cs="宋体"/>
          <w:sz w:val="30"/>
          <w:szCs w:val="30"/>
          <w:highlight w:val="none"/>
        </w:rPr>
        <w:t>（1）蔬菜类必须由正规蔬菜基地提供，经过整理、去泥沙黄叶等初步加工。</w:t>
      </w:r>
    </w:p>
    <w:p>
      <w:pPr>
        <w:widowControl w:val="0"/>
        <w:adjustRightInd w:val="0"/>
        <w:snapToGrid w:val="0"/>
        <w:spacing w:line="560" w:lineRule="exact"/>
        <w:jc w:val="both"/>
        <w:rPr>
          <w:rFonts w:ascii="宋体" w:hAnsi="宋体" w:cs="宋体"/>
          <w:sz w:val="30"/>
          <w:szCs w:val="30"/>
          <w:highlight w:val="none"/>
        </w:rPr>
      </w:pPr>
      <w:r>
        <w:rPr>
          <w:rFonts w:hint="eastAsia" w:ascii="宋体" w:hAnsi="宋体" w:cs="宋体"/>
          <w:sz w:val="30"/>
          <w:szCs w:val="30"/>
          <w:highlight w:val="none"/>
        </w:rPr>
        <w:t xml:space="preserve">   （2）肉类必须来源于合法肉类加工厂，保证当日屠宰，并提供当天动物检验检疫报告。</w:t>
      </w:r>
    </w:p>
    <w:p>
      <w:pPr>
        <w:widowControl w:val="0"/>
        <w:adjustRightInd w:val="0"/>
        <w:snapToGrid w:val="0"/>
        <w:spacing w:line="560" w:lineRule="exact"/>
        <w:ind w:firstLine="450" w:firstLineChars="150"/>
        <w:jc w:val="both"/>
        <w:rPr>
          <w:rFonts w:ascii="宋体" w:hAnsi="宋体" w:cs="宋体"/>
          <w:sz w:val="30"/>
          <w:szCs w:val="30"/>
          <w:highlight w:val="none"/>
        </w:rPr>
      </w:pPr>
      <w:r>
        <w:rPr>
          <w:rFonts w:hint="eastAsia" w:ascii="宋体" w:hAnsi="宋体" w:cs="宋体"/>
          <w:sz w:val="30"/>
          <w:szCs w:val="30"/>
          <w:highlight w:val="none"/>
        </w:rPr>
        <w:t>（3）水产品应鲜活，冰鲜。</w:t>
      </w:r>
    </w:p>
    <w:p>
      <w:pPr>
        <w:widowControl w:val="0"/>
        <w:adjustRightInd w:val="0"/>
        <w:snapToGrid w:val="0"/>
        <w:spacing w:line="560" w:lineRule="exact"/>
        <w:jc w:val="both"/>
        <w:rPr>
          <w:rFonts w:ascii="宋体" w:hAnsi="宋体" w:cs="宋体"/>
          <w:sz w:val="30"/>
          <w:szCs w:val="30"/>
          <w:highlight w:val="none"/>
        </w:rPr>
      </w:pPr>
      <w:r>
        <w:rPr>
          <w:rFonts w:hint="eastAsia" w:ascii="宋体" w:hAnsi="宋体" w:cs="宋体"/>
          <w:sz w:val="30"/>
          <w:szCs w:val="30"/>
          <w:highlight w:val="none"/>
        </w:rPr>
        <w:t xml:space="preserve">   （4）</w:t>
      </w:r>
      <w:r>
        <w:rPr>
          <w:rFonts w:hint="eastAsia" w:ascii="宋体" w:hAnsi="宋体" w:cs="宋体"/>
          <w:color w:val="000000"/>
          <w:sz w:val="30"/>
          <w:szCs w:val="30"/>
          <w:highlight w:val="none"/>
        </w:rPr>
        <w:t>干货类、包点类</w:t>
      </w:r>
      <w:r>
        <w:rPr>
          <w:rFonts w:hint="eastAsia" w:ascii="宋体" w:hAnsi="宋体" w:cs="宋体"/>
          <w:sz w:val="30"/>
          <w:szCs w:val="30"/>
          <w:highlight w:val="none"/>
        </w:rPr>
        <w:t>必须在保质期内，不得出现变质。</w:t>
      </w:r>
    </w:p>
    <w:p>
      <w:pPr>
        <w:widowControl w:val="0"/>
        <w:adjustRightInd w:val="0"/>
        <w:snapToGrid w:val="0"/>
        <w:spacing w:line="560" w:lineRule="exact"/>
        <w:jc w:val="both"/>
        <w:rPr>
          <w:rFonts w:ascii="宋体" w:hAnsi="宋体" w:cs="宋体"/>
          <w:sz w:val="30"/>
          <w:szCs w:val="30"/>
          <w:highlight w:val="none"/>
        </w:rPr>
      </w:pPr>
      <w:r>
        <w:rPr>
          <w:rFonts w:hint="eastAsia" w:ascii="宋体" w:hAnsi="宋体" w:cs="宋体"/>
          <w:sz w:val="30"/>
          <w:szCs w:val="30"/>
          <w:highlight w:val="none"/>
        </w:rPr>
        <w:t xml:space="preserve">   （5）</w:t>
      </w:r>
      <w:r>
        <w:rPr>
          <w:rFonts w:hint="eastAsia" w:ascii="宋体" w:hAnsi="宋体" w:cs="宋体"/>
          <w:color w:val="000000"/>
          <w:sz w:val="30"/>
          <w:szCs w:val="30"/>
          <w:highlight w:val="none"/>
        </w:rPr>
        <w:t>粮油类、调味料类</w:t>
      </w:r>
      <w:r>
        <w:rPr>
          <w:rFonts w:hint="eastAsia" w:ascii="宋体" w:hAnsi="宋体" w:cs="宋体"/>
          <w:sz w:val="30"/>
          <w:szCs w:val="30"/>
          <w:highlight w:val="none"/>
        </w:rPr>
        <w:t>等必须使用正规厂家或甲方指定品牌或厂家生产的产品，包装符合国家规定，杜绝假冒伪劣产品。</w:t>
      </w:r>
    </w:p>
    <w:p>
      <w:pPr>
        <w:widowControl w:val="0"/>
        <w:adjustRightInd w:val="0"/>
        <w:snapToGrid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2.所有食材必须在有效期内，不得提供变质食材，不接受过期或即将到期的食材。</w:t>
      </w:r>
    </w:p>
    <w:p>
      <w:pPr>
        <w:widowControl w:val="0"/>
        <w:adjustRightInd w:val="0"/>
        <w:snapToGrid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3.乙方向甲方提供食材时必须据实出具详细清单。</w:t>
      </w:r>
    </w:p>
    <w:p>
      <w:pPr>
        <w:widowControl w:val="0"/>
        <w:adjustRightInd w:val="0"/>
        <w:snapToGrid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4.无论甲方是否知晓，均不得向甲方供应各级政府职能部门已明令下架的产品或含有禁止（或不宜）添加成份的产品。若乙方配送的货品存在国家或行业明令禁止或不建议食用的成份或配料，无论甲方是否使用，乙方必须全额退货，甲方保留追究乙方责任的权利。</w:t>
      </w:r>
    </w:p>
    <w:p>
      <w:pPr>
        <w:widowControl w:val="0"/>
        <w:spacing w:before="156" w:beforeLines="50"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三、数量保证</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乙方配送的数量须与甲方订货数量相符，并以甲方的验货数量为准，乙方每次随货送上送货清单、动物检验检疫报告等检测报告，须甲方签字确认。送货清单甲、乙双方各执一份，作为送货凭证和结算依据，检测报告甲方留存备查。</w:t>
      </w:r>
    </w:p>
    <w:p>
      <w:pPr>
        <w:pStyle w:val="76"/>
        <w:widowControl w:val="0"/>
        <w:tabs>
          <w:tab w:val="left" w:pos="900"/>
        </w:tabs>
        <w:spacing w:before="156" w:beforeLines="50" w:line="560" w:lineRule="exact"/>
        <w:ind w:left="602" w:firstLine="0" w:firstLineChars="0"/>
        <w:jc w:val="both"/>
        <w:rPr>
          <w:rFonts w:ascii="宋体" w:hAnsi="宋体" w:cs="宋体"/>
          <w:b/>
          <w:bCs/>
          <w:sz w:val="30"/>
          <w:szCs w:val="30"/>
          <w:highlight w:val="none"/>
        </w:rPr>
      </w:pPr>
      <w:r>
        <w:rPr>
          <w:rFonts w:hint="eastAsia" w:ascii="宋体" w:hAnsi="宋体" w:cs="宋体"/>
          <w:b/>
          <w:bCs/>
          <w:sz w:val="30"/>
          <w:szCs w:val="30"/>
          <w:highlight w:val="none"/>
        </w:rPr>
        <w:t>四、时间保证</w:t>
      </w:r>
    </w:p>
    <w:p>
      <w:pPr>
        <w:widowControl w:val="0"/>
        <w:tabs>
          <w:tab w:val="left" w:pos="709"/>
        </w:tabs>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1.甲方向乙方订购食材须在前一天下午</w:t>
      </w:r>
      <w:r>
        <w:rPr>
          <w:rFonts w:hint="eastAsia" w:ascii="宋体" w:hAnsi="宋体" w:cs="宋体"/>
          <w:sz w:val="30"/>
          <w:szCs w:val="30"/>
          <w:highlight w:val="none"/>
          <w:u w:val="single"/>
        </w:rPr>
        <w:t xml:space="preserve"> 19：00 </w:t>
      </w:r>
      <w:r>
        <w:rPr>
          <w:rFonts w:hint="eastAsia" w:ascii="宋体" w:hAnsi="宋体" w:cs="宋体"/>
          <w:sz w:val="30"/>
          <w:szCs w:val="30"/>
          <w:highlight w:val="none"/>
        </w:rPr>
        <w:t>时前以电话、微信、传真或电子邮件等形式下订购单,订单的内容应清楚说明订购食材的品种、数量、要求等。</w:t>
      </w:r>
    </w:p>
    <w:p>
      <w:pPr>
        <w:widowControl w:val="0"/>
        <w:tabs>
          <w:tab w:val="left" w:pos="709"/>
        </w:tabs>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2.乙方保证每天上午</w:t>
      </w:r>
      <w:r>
        <w:rPr>
          <w:rFonts w:hint="eastAsia" w:ascii="宋体" w:hAnsi="宋体" w:cs="宋体"/>
          <w:sz w:val="30"/>
          <w:szCs w:val="30"/>
          <w:highlight w:val="none"/>
          <w:u w:val="single"/>
        </w:rPr>
        <w:t xml:space="preserve"> 7:30 </w:t>
      </w:r>
      <w:r>
        <w:rPr>
          <w:rFonts w:hint="eastAsia" w:ascii="宋体" w:hAnsi="宋体" w:cs="宋体"/>
          <w:sz w:val="30"/>
          <w:szCs w:val="30"/>
          <w:highlight w:val="none"/>
        </w:rPr>
        <w:t>前将甲方所订食材送至甲方指定的地点。如乙方</w:t>
      </w:r>
      <w:r>
        <w:rPr>
          <w:rFonts w:hint="eastAsia" w:ascii="宋体" w:hAnsi="宋体" w:cs="宋体"/>
          <w:color w:val="000000"/>
          <w:sz w:val="30"/>
          <w:szCs w:val="30"/>
          <w:highlight w:val="none"/>
        </w:rPr>
        <w:t>迟到30分钟以上，甲方有权扣除当天食材总额的5%作为违约金（遇交通意外、严重堵塞等特殊情况必须提前通知甲方以便协商调整）；送货迟到一个小时以上影</w:t>
      </w:r>
      <w:r>
        <w:rPr>
          <w:rFonts w:hint="eastAsia" w:ascii="宋体" w:hAnsi="宋体" w:cs="宋体"/>
          <w:sz w:val="30"/>
          <w:szCs w:val="30"/>
          <w:highlight w:val="none"/>
        </w:rPr>
        <w:t>响甲方食堂的正常供餐的，乙方必须承担由此造成的一切后果。</w:t>
      </w:r>
    </w:p>
    <w:p>
      <w:pPr>
        <w:widowControl w:val="0"/>
        <w:tabs>
          <w:tab w:val="left" w:pos="709"/>
        </w:tabs>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对于货不对版或不符合质量要求的品种，甲方可免费退货或换货。对于甲方临时有客餐任务或临时增加用餐人数需紧急补充食材的，乙方保证派专人负责全天候跟踪服务，1小时内送达，保证甲方正常操作，准时开餐。</w:t>
      </w:r>
    </w:p>
    <w:p>
      <w:pPr>
        <w:tabs>
          <w:tab w:val="left" w:pos="900"/>
        </w:tabs>
        <w:spacing w:before="156" w:beforeLines="50"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五、履约保证金、结算价格标准</w:t>
      </w:r>
    </w:p>
    <w:p>
      <w:pPr>
        <w:tabs>
          <w:tab w:val="left" w:pos="900"/>
        </w:tabs>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w:t>
      </w:r>
      <w:r>
        <w:rPr>
          <w:rFonts w:hint="eastAsia" w:ascii="宋体" w:hAnsi="宋体" w:cs="宋体"/>
          <w:sz w:val="30"/>
          <w:szCs w:val="30"/>
          <w:highlight w:val="none"/>
          <w:u w:val="single"/>
        </w:rPr>
        <w:t>履约保证金：50000.00元</w:t>
      </w:r>
      <w:r>
        <w:rPr>
          <w:rFonts w:hint="eastAsia" w:ascii="宋体" w:hAnsi="宋体" w:cs="宋体"/>
          <w:sz w:val="30"/>
          <w:szCs w:val="30"/>
          <w:highlight w:val="none"/>
        </w:rPr>
        <w:t>。乙方应在签订合同后5个工作日内转至甲方指定账户。在合同正常履行完毕且乙方无违约过错后，甲方无息退还乙方账户。</w:t>
      </w:r>
    </w:p>
    <w:p>
      <w:pPr>
        <w:spacing w:line="560" w:lineRule="exact"/>
        <w:ind w:firstLine="600" w:firstLineChars="200"/>
        <w:jc w:val="both"/>
        <w:rPr>
          <w:rFonts w:ascii="宋体" w:hAnsi="宋体" w:cs="宋体"/>
          <w:sz w:val="30"/>
          <w:szCs w:val="30"/>
          <w:highlight w:val="none"/>
          <w:u w:val="single"/>
        </w:rPr>
      </w:pPr>
      <w:r>
        <w:rPr>
          <w:rFonts w:hint="eastAsia" w:ascii="宋体" w:hAnsi="宋体" w:cs="宋体"/>
          <w:sz w:val="30"/>
          <w:szCs w:val="30"/>
          <w:highlight w:val="none"/>
        </w:rPr>
        <w:t>甲方账户：</w:t>
      </w:r>
    </w:p>
    <w:p>
      <w:pPr>
        <w:widowControl w:val="0"/>
        <w:adjustRightInd w:val="0"/>
        <w:snapToGrid w:val="0"/>
        <w:spacing w:line="560" w:lineRule="exact"/>
        <w:ind w:firstLine="600" w:firstLineChars="200"/>
        <w:jc w:val="both"/>
        <w:rPr>
          <w:rFonts w:ascii="宋体" w:hAnsi="宋体" w:cs="宋体"/>
          <w:snapToGrid w:val="0"/>
          <w:sz w:val="30"/>
          <w:szCs w:val="30"/>
          <w:highlight w:val="none"/>
          <w:u w:val="single"/>
        </w:rPr>
      </w:pPr>
      <w:r>
        <w:rPr>
          <w:rFonts w:hint="eastAsia" w:ascii="宋体" w:hAnsi="宋体" w:cs="宋体"/>
          <w:snapToGrid w:val="0"/>
          <w:sz w:val="30"/>
          <w:szCs w:val="30"/>
          <w:highlight w:val="none"/>
          <w:u w:val="single"/>
        </w:rPr>
        <w:t xml:space="preserve">账户户名：广州南沙旅游发展有限公司 </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u w:val="single"/>
        </w:rPr>
        <w:t xml:space="preserve">开户银行：中国银行广州南沙科技园区支行 </w:t>
      </w:r>
      <w:r>
        <w:rPr>
          <w:rFonts w:hint="eastAsia" w:ascii="宋体" w:hAnsi="宋体" w:cs="宋体"/>
          <w:snapToGrid w:val="0"/>
          <w:sz w:val="30"/>
          <w:szCs w:val="30"/>
          <w:highlight w:val="none"/>
        </w:rPr>
        <w:t xml:space="preserve">                         </w:t>
      </w:r>
    </w:p>
    <w:p>
      <w:pPr>
        <w:widowControl w:val="0"/>
        <w:adjustRightInd w:val="0"/>
        <w:snapToGrid w:val="0"/>
        <w:spacing w:line="560" w:lineRule="exact"/>
        <w:ind w:firstLine="600" w:firstLineChars="200"/>
        <w:jc w:val="both"/>
        <w:rPr>
          <w:rFonts w:ascii="宋体" w:hAnsi="宋体" w:cs="宋体"/>
          <w:snapToGrid w:val="0"/>
          <w:sz w:val="30"/>
          <w:szCs w:val="30"/>
          <w:highlight w:val="none"/>
          <w:u w:val="single"/>
        </w:rPr>
      </w:pPr>
      <w:r>
        <w:rPr>
          <w:rFonts w:hint="eastAsia" w:ascii="宋体" w:hAnsi="宋体" w:cs="宋体"/>
          <w:snapToGrid w:val="0"/>
          <w:sz w:val="30"/>
          <w:szCs w:val="30"/>
          <w:highlight w:val="none"/>
          <w:u w:val="single"/>
        </w:rPr>
        <w:t>账号：644 457 756 045</w:t>
      </w:r>
    </w:p>
    <w:p>
      <w:pPr>
        <w:numPr>
          <w:ilvl w:val="-1"/>
          <w:numId w:val="0"/>
        </w:numPr>
        <w:tabs>
          <w:tab w:val="left" w:pos="900"/>
        </w:tabs>
        <w:spacing w:before="156" w:beforeLines="50" w:line="560" w:lineRule="exact"/>
        <w:ind w:left="0" w:firstLine="600" w:firstLineChars="200"/>
        <w:jc w:val="both"/>
        <w:rPr>
          <w:rFonts w:ascii="宋体" w:hAnsi="宋体" w:cs="宋体"/>
          <w:sz w:val="30"/>
          <w:szCs w:val="30"/>
          <w:highlight w:val="none"/>
        </w:rPr>
      </w:pPr>
      <w:r>
        <w:rPr>
          <w:rFonts w:hint="eastAsia" w:ascii="宋体" w:hAnsi="宋体" w:cs="宋体"/>
          <w:sz w:val="30"/>
          <w:szCs w:val="30"/>
          <w:highlight w:val="none"/>
          <w:lang w:val="en-US" w:eastAsia="zh-CN"/>
        </w:rPr>
        <w:t>2.</w:t>
      </w:r>
      <w:r>
        <w:rPr>
          <w:rFonts w:hint="eastAsia" w:ascii="宋体" w:hAnsi="宋体" w:cs="宋体"/>
          <w:sz w:val="30"/>
          <w:szCs w:val="30"/>
          <w:highlight w:val="none"/>
        </w:rPr>
        <w:t>结算价格折扣率为：</w:t>
      </w:r>
    </w:p>
    <w:tbl>
      <w:tblPr>
        <w:tblStyle w:val="3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559" w:type="dxa"/>
            <w:vAlign w:val="bottom"/>
          </w:tcPr>
          <w:p>
            <w:pPr>
              <w:adjustRightInd w:val="0"/>
              <w:snapToGrid w:val="0"/>
              <w:spacing w:line="360" w:lineRule="auto"/>
              <w:jc w:val="center"/>
              <w:rPr>
                <w:rFonts w:ascii="仿宋" w:hAnsi="仿宋" w:eastAsia="仿宋"/>
                <w:b/>
                <w:highlight w:val="none"/>
              </w:rPr>
            </w:pPr>
            <w:r>
              <w:rPr>
                <w:rFonts w:hint="eastAsia" w:ascii="仿宋" w:hAnsi="仿宋" w:eastAsia="仿宋"/>
                <w:b/>
                <w:highlight w:val="none"/>
              </w:rPr>
              <w:t>采购内容</w:t>
            </w:r>
          </w:p>
        </w:tc>
        <w:tc>
          <w:tcPr>
            <w:tcW w:w="2684" w:type="dxa"/>
            <w:vAlign w:val="bottom"/>
          </w:tcPr>
          <w:p>
            <w:pPr>
              <w:adjustRightInd w:val="0"/>
              <w:snapToGrid w:val="0"/>
              <w:spacing w:line="360" w:lineRule="auto"/>
              <w:jc w:val="center"/>
              <w:rPr>
                <w:rFonts w:ascii="仿宋" w:hAnsi="仿宋" w:eastAsia="仿宋"/>
                <w:b/>
                <w:highlight w:val="none"/>
              </w:rPr>
            </w:pPr>
            <w:r>
              <w:rPr>
                <w:rFonts w:hint="eastAsia" w:ascii="仿宋" w:hAnsi="仿宋" w:eastAsia="仿宋"/>
                <w:b/>
                <w:highlight w:val="none"/>
              </w:rPr>
              <w:t>投标下浮率</w:t>
            </w:r>
          </w:p>
        </w:tc>
        <w:tc>
          <w:tcPr>
            <w:tcW w:w="2118" w:type="dxa"/>
            <w:vAlign w:val="bottom"/>
          </w:tcPr>
          <w:p>
            <w:pPr>
              <w:spacing w:line="360" w:lineRule="auto"/>
              <w:jc w:val="center"/>
              <w:rPr>
                <w:rFonts w:ascii="仿宋" w:hAnsi="仿宋" w:eastAsia="仿宋"/>
                <w:b/>
                <w:highlight w:val="none"/>
              </w:rPr>
            </w:pPr>
            <w:r>
              <w:rPr>
                <w:rFonts w:hint="eastAsia" w:ascii="仿宋" w:hAnsi="仿宋" w:eastAsia="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3559" w:type="dxa"/>
            <w:vAlign w:val="bottom"/>
          </w:tcPr>
          <w:p>
            <w:pPr>
              <w:adjustRightInd w:val="0"/>
              <w:snapToGrid w:val="0"/>
              <w:spacing w:line="360" w:lineRule="auto"/>
              <w:jc w:val="center"/>
              <w:rPr>
                <w:rFonts w:ascii="仿宋" w:hAnsi="仿宋" w:eastAsia="仿宋"/>
                <w:highlight w:val="none"/>
              </w:rPr>
            </w:pPr>
            <w:r>
              <w:rPr>
                <w:rFonts w:hint="eastAsia" w:ascii="仿宋" w:hAnsi="仿宋" w:eastAsia="仿宋"/>
                <w:highlight w:val="none"/>
              </w:rPr>
              <w:t>粮油面类/米面豆制品类/酱料干货类</w:t>
            </w:r>
          </w:p>
        </w:tc>
        <w:tc>
          <w:tcPr>
            <w:tcW w:w="2684" w:type="dxa"/>
            <w:vAlign w:val="bottom"/>
          </w:tcPr>
          <w:p>
            <w:pPr>
              <w:adjustRightInd w:val="0"/>
              <w:snapToGrid w:val="0"/>
              <w:spacing w:line="360" w:lineRule="auto"/>
              <w:jc w:val="center"/>
              <w:rPr>
                <w:rFonts w:ascii="仿宋" w:hAnsi="仿宋" w:eastAsia="仿宋"/>
                <w:bCs/>
                <w:highlight w:val="none"/>
                <w:u w:val="single"/>
              </w:rPr>
            </w:pPr>
            <w:r>
              <w:rPr>
                <w:rFonts w:hint="eastAsia" w:ascii="仿宋" w:hAnsi="仿宋" w:eastAsia="仿宋"/>
                <w:bCs/>
                <w:highlight w:val="none"/>
                <w:u w:val="single"/>
              </w:rPr>
              <w:t xml:space="preserve">              </w:t>
            </w:r>
            <w:r>
              <w:rPr>
                <w:rFonts w:hint="eastAsia" w:ascii="仿宋" w:hAnsi="仿宋" w:eastAsia="仿宋"/>
                <w:bCs/>
                <w:highlight w:val="none"/>
              </w:rPr>
              <w:t>%</w:t>
            </w:r>
          </w:p>
        </w:tc>
        <w:tc>
          <w:tcPr>
            <w:tcW w:w="2118" w:type="dxa"/>
            <w:vAlign w:val="bottom"/>
          </w:tcPr>
          <w:p>
            <w:pPr>
              <w:adjustRightInd w:val="0"/>
              <w:snapToGrid w:val="0"/>
              <w:spacing w:line="360" w:lineRule="auto"/>
              <w:jc w:val="center"/>
              <w:rPr>
                <w:rFonts w:ascii="仿宋" w:hAnsi="仿宋" w:eastAsia="仿宋"/>
                <w:bCs/>
                <w:highlight w:val="none"/>
                <w:u w:val="single"/>
              </w:rPr>
            </w:pPr>
          </w:p>
        </w:tc>
      </w:tr>
    </w:tbl>
    <w:p>
      <w:pPr>
        <w:tabs>
          <w:tab w:val="left" w:pos="900"/>
        </w:tabs>
        <w:spacing w:before="156" w:beforeLines="50"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3.基准价定价原则：</w:t>
      </w:r>
    </w:p>
    <w:p>
      <w:pPr>
        <w:tabs>
          <w:tab w:val="left" w:pos="900"/>
        </w:tabs>
        <w:spacing w:before="156" w:beforeLines="50"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（1）定价时间：以30天为周期，每月25日为定价日。</w:t>
      </w:r>
    </w:p>
    <w:p>
      <w:pPr>
        <w:tabs>
          <w:tab w:val="left" w:pos="900"/>
        </w:tabs>
        <w:spacing w:before="156" w:beforeLines="50"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（2）水果、瓜果蔬菜、冻品、畜肉类、禽肉类、活鲜鱼类以定价日当天“广州市发展和改革委员会网站http:// fgw.gz.gov.cn/的专题专栏“广州市价格监测预警系统”-“全市菜篮子平均零售价”、“瓜果和牛奶”、“米袋子行情”栏目中食材价格经甲方审核后作为基准价；</w:t>
      </w:r>
    </w:p>
    <w:p>
      <w:pPr>
        <w:tabs>
          <w:tab w:val="left" w:pos="900"/>
        </w:tabs>
        <w:spacing w:before="156" w:beforeLines="50"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其他类别以定价日当天“广州市价格监测预警系统”公布的食材（按品种查询）零售价格经甲方审核后作为基准价，“广州市价格监测预警系统”没有的食材价格信息，以甲方所在地附近周边市场随机抽取3家或以上同类食材的平均价经甲方审核后为基准价。</w:t>
      </w:r>
    </w:p>
    <w:p>
      <w:pPr>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（4）个别品种如在“广州市价格监测预警系统”没有价格信息、在周边市场也没有价格信息的，则以京东商城该品种的价格为基准价；或京东商城都没有的，参照类似品种价格并双方协商基准价。</w:t>
      </w:r>
    </w:p>
    <w:p>
      <w:pPr>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（5）定价期内，如因自然灾害等不可抗力因素造成个别品种价格增长过大，有必要进行价格调整，乙方需收集甲方决策所需的相关证据提交甲方，征得甲方同意后方可执行。</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4.食材结算价包含产品价格、运输、装卸、售后服务、检验、搬运费、税金、保险等一切可预见费和不可预见费。</w:t>
      </w:r>
    </w:p>
    <w:p>
      <w:pPr>
        <w:widowControl w:val="0"/>
        <w:spacing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 xml:space="preserve"> 六、结算方式</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甲乙双方每月10日前按上月实际供货情况进行结算，以甲方指定的管理人员签字确认的送货清单作为结算依据，确定结算金额，乙方开具增值税专用发票给甲方。</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结算时，甲方应</w:t>
      </w:r>
      <w:r>
        <w:rPr>
          <w:rFonts w:hint="eastAsia" w:ascii="宋体" w:hAnsi="宋体" w:cs="宋体"/>
          <w:sz w:val="30"/>
          <w:szCs w:val="30"/>
          <w:highlight w:val="none"/>
        </w:rPr>
        <w:t>在收到乙方开具的增值税专用发票后15个工作日内前将上月货款以转账方式</w:t>
      </w:r>
      <w:r>
        <w:rPr>
          <w:rFonts w:hint="eastAsia" w:ascii="宋体" w:hAnsi="宋体" w:cs="宋体"/>
          <w:snapToGrid w:val="0"/>
          <w:sz w:val="30"/>
          <w:szCs w:val="30"/>
          <w:highlight w:val="none"/>
        </w:rPr>
        <w:t>按照本合同约定将款项划转入乙方指定账户如下：</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 xml:space="preserve">账户户名：   </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 xml:space="preserve">开户银行：                           </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账号：</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上述账户信息如有变更，乙方应在合同约定的相关付款期限前至少提前十个工作日以书面方式通知甲方，通知应加盖乙方公章。乙方未依约开具增值税专用发票给甲方的，甲方有权拒绝付款且无须承担任何责任。</w:t>
      </w:r>
    </w:p>
    <w:p>
      <w:pPr>
        <w:widowControl w:val="0"/>
        <w:adjustRightInd w:val="0"/>
        <w:snapToGrid w:val="0"/>
        <w:spacing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七、售后服务</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1.送、退货时，乙方免费提供上门服务。</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2.出现食材质量问题，由乙方负责包换或包退，并承担因此而产生的一切费用及赔偿责任。</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3.凡要求乙方提供检验检疫合格证而未能提供，或食材质量未达到要求,如假冒伪劣、以次充好、变质、异味、发霉、过期等,甲方均可拒收和要求重新补货。如乙方所供食材质量或规格未能完全符合要求或货不对板的,甲方有权拒收,并对当次不良记录存档备案。</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4.一经发现供应以下对人体健康有害的食材,除全部退货外,由此造成的全部经济损失及法律责任由乙方承担,情节严重的,甲方有权解除本合同，取消乙方供货资格，移送司法机关处理。</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（1）腐烂变质、霉变、生虫、污秽不洁、感官性状异常的；</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（2）含有毒有害物质或被有害物质污染；</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（3）致病性寄生虫、微生物含量超过国家限定标准的；</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（4）未经动物检疫部门检疫、检验或检验检疫不合格的肉类及其制品；</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（5）病死、毒死或者死因不明的禽畜等及其制品；</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（6）掺假、掺杂、以次充好；</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（7）用非食品原料加工或加入非食品化学物质的。</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5.甲方在使用食材过程中，若发现食材的品种、型号、规格和质量不符合要求，将采集证据并妥善保管。甲方如在48小时内发现食材问题向乙方提出异议，乙方收到甲方提出的异议后，应在30分钟以内处理完毕，否则视同默认甲方的异议和处理意见。</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3.乙方若发生信用危机、生产危机和资金周转危机，应保证及时通知甲方以采取相应措施，确保合同供货工作的顺利执行。</w:t>
      </w:r>
    </w:p>
    <w:p>
      <w:pPr>
        <w:widowControl w:val="0"/>
        <w:adjustRightInd w:val="0"/>
        <w:snapToGrid w:val="0"/>
        <w:spacing w:line="560" w:lineRule="exact"/>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4.乙方提供的食材质量若不符合国家食品安全卫生标准，乙方必须及时无偿更换，并负责甲方因此而造成的损失。如发生食物中毒事件，经检验属乙方责任的，由乙方承担全部责任，不得向食材生产单位或其他单位推卸责任。</w:t>
      </w:r>
    </w:p>
    <w:p>
      <w:pPr>
        <w:spacing w:line="416" w:lineRule="auto"/>
        <w:ind w:firstLine="602" w:firstLineChars="200"/>
        <w:jc w:val="both"/>
        <w:rPr>
          <w:rFonts w:ascii="宋体" w:hAnsi="宋体" w:cs="宋体"/>
          <w:b/>
          <w:bCs/>
          <w:snapToGrid w:val="0"/>
          <w:sz w:val="30"/>
          <w:szCs w:val="30"/>
          <w:highlight w:val="none"/>
        </w:rPr>
      </w:pPr>
      <w:r>
        <w:rPr>
          <w:rFonts w:hint="eastAsia" w:ascii="宋体" w:hAnsi="宋体" w:cs="宋体"/>
          <w:b/>
          <w:bCs/>
          <w:snapToGrid w:val="0"/>
          <w:sz w:val="30"/>
          <w:szCs w:val="30"/>
          <w:highlight w:val="none"/>
        </w:rPr>
        <w:t>八、供应商管理</w:t>
      </w:r>
    </w:p>
    <w:p>
      <w:pPr>
        <w:spacing w:line="416" w:lineRule="auto"/>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1.乙方必须依据国家有关法律法规要求建立健全各项管理制度，保证食品安全；有明确的食品安全责任人。</w:t>
      </w:r>
    </w:p>
    <w:p>
      <w:pPr>
        <w:spacing w:line="416" w:lineRule="auto"/>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2.乙方在接到通知后备齐货物，按时送抵交货地点。乙方除不可抗力，不得因其他任何理由延迟送货。甲方如遇特殊情况需推迟送货，应提前通知乙方。乙方不能按时、按质、按量供货，导致甲方无法正常供应伙食的，甲方有权自行采购同等质量的货物，由此造成的经济损失和责任均由乙方承担，并承担违约责任。</w:t>
      </w:r>
    </w:p>
    <w:p>
      <w:pPr>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3.甲方有权利对乙方的履约过程进行监督，并提出改进意见。乙方有义务提供符合甲方质量要求的服务，并按照甲方的意见改进服务。甲方每季度对于乙方的服务能力进行评价管理，如果乙方连续两季度服务能力评价为不合格，甲方有权利解除合同，由此产生的全部经济损失由乙方自行承担。</w:t>
      </w:r>
    </w:p>
    <w:p>
      <w:pPr>
        <w:spacing w:line="416" w:lineRule="auto"/>
        <w:ind w:firstLine="600" w:firstLineChars="200"/>
        <w:jc w:val="both"/>
        <w:rPr>
          <w:rFonts w:ascii="宋体" w:hAnsi="宋体" w:cs="宋体"/>
          <w:snapToGrid w:val="0"/>
          <w:sz w:val="30"/>
          <w:szCs w:val="30"/>
          <w:highlight w:val="none"/>
        </w:rPr>
      </w:pPr>
      <w:r>
        <w:rPr>
          <w:rFonts w:hint="eastAsia" w:ascii="宋体" w:hAnsi="宋体" w:cs="宋体"/>
          <w:snapToGrid w:val="0"/>
          <w:sz w:val="30"/>
          <w:szCs w:val="30"/>
          <w:highlight w:val="none"/>
        </w:rPr>
        <w:t>九、违约责任</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1.乙方通过弄虚作假等方式，违反采购需求、投标文件、合同约定的行为，甲方有权单方面解除合同，扣除乙方履约保证金，因此造成的全部经济损失及法律责任由乙方自行承担；</w:t>
      </w:r>
    </w:p>
    <w:p>
      <w:pPr>
        <w:spacing w:line="416" w:lineRule="auto"/>
        <w:ind w:firstLine="600" w:firstLineChars="200"/>
        <w:jc w:val="both"/>
        <w:rPr>
          <w:rFonts w:ascii="宋体" w:hAnsi="宋体" w:cs="宋体"/>
          <w:sz w:val="30"/>
          <w:szCs w:val="30"/>
          <w:highlight w:val="none"/>
        </w:rPr>
      </w:pPr>
      <w:r>
        <w:rPr>
          <w:rFonts w:hint="eastAsia" w:ascii="宋体" w:hAnsi="宋体" w:cs="宋体"/>
          <w:sz w:val="30"/>
          <w:szCs w:val="30"/>
          <w:highlight w:val="none"/>
        </w:rPr>
        <w:t>2. 因乙方原因未能兑现配送时间承诺，造成迟交货现象的，作以下处理：①甲方对迟交货部分产品可拒绝收货；②按本次交货产品的总值扣除5%违约金；③如甲方因此需要对迟交部分的产品进行自行采购的，乙方应按照甲方实际采购价格的2倍金额承担赔偿责任。</w:t>
      </w:r>
    </w:p>
    <w:p>
      <w:pPr>
        <w:spacing w:line="416" w:lineRule="auto"/>
        <w:ind w:firstLine="600" w:firstLineChars="200"/>
        <w:jc w:val="both"/>
        <w:rPr>
          <w:rFonts w:ascii="宋体" w:hAnsi="宋体" w:cs="宋体"/>
          <w:sz w:val="30"/>
          <w:szCs w:val="30"/>
          <w:highlight w:val="none"/>
        </w:rPr>
      </w:pPr>
      <w:r>
        <w:rPr>
          <w:rFonts w:hint="eastAsia" w:ascii="宋体" w:hAnsi="宋体" w:cs="宋体"/>
          <w:sz w:val="30"/>
          <w:szCs w:val="30"/>
          <w:highlight w:val="none"/>
        </w:rPr>
        <w:t>3.因乙方原因，未按照甲方要求的食材种类、数量、重量、质量、配送时间等要求进行食材配送服务，各事项如一月内累计发生三次的，扣罚当批次送货金额的20%，如一月内累计发生四次或以上的，扣罚当批次送货金额的30%，一季度发生累计5次或以上的，甲方有权单方面终止合同，扣除乙方的履约保证金，因终止合同造成的全部经济损失由乙方承担。</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4.因乙方供应的货物质量问题导致食品安全问题，甲方可单方面终止合同，扣缴乙方全部履约保证金，由此造成的全部经济损失及全部法律责任由乙方承担,情节严重的，移送司法机关处理。</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5.乙方需按合同约定的标的供货，乙方不得转包、分包，否则甲方有权单方面终止合同，扣除乙方履约保证金，由此造成的全部经济损失由乙方承担。</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6.乙方在服务期间应秉着负责的态度和严格的工作作风，积极响应甲方各项工作要求，如出现不配合、不汇报、不响应的，情节严重且造成恶劣影响的甲方有权解除单方面合同，由此造成的全部经济损失由乙方承担。</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7.乙方在服务期间因自身原因出现重大质量及安全事故的，甲方有权单方面解除合同, 扣除乙方履约保证金，全部经济损失及法律责任由乙方承担，情节严重的，移送司法机关处理。</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8.乙方通过弄虚作假、行贿等不正当竞争手段中标，经甲方查实后，甲方有权单方面解除合同, 扣除乙方履约保证金，由此产生的全部经济损失由乙方承担。</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9.在履约期间内，因情况变化，乙方不再符合准入条件，甲方有权单方面解除合同，退还乙方履约保证金，结算合同存续期间未支付货款，其余由此产生的经济损失由甲乙双方各自承担。</w:t>
      </w:r>
    </w:p>
    <w:p>
      <w:pPr>
        <w:spacing w:line="416" w:lineRule="auto"/>
        <w:ind w:firstLine="600" w:firstLineChars="200"/>
        <w:jc w:val="both"/>
        <w:rPr>
          <w:rFonts w:ascii="宋体" w:hAnsi="宋体" w:cs="宋体"/>
          <w:sz w:val="30"/>
          <w:szCs w:val="30"/>
          <w:highlight w:val="none"/>
        </w:rPr>
      </w:pPr>
      <w:r>
        <w:rPr>
          <w:rFonts w:hint="eastAsia" w:ascii="宋体" w:hAnsi="宋体" w:cs="宋体"/>
          <w:sz w:val="30"/>
          <w:szCs w:val="30"/>
          <w:highlight w:val="none"/>
        </w:rPr>
        <w:t>10.在履约期间内，乙方如因自身原因无法继续履约，应提前2个月向甲方发出解约书面申请，协助甲方妥善处理因合同终止产生的不利影响，至甲方重新完成招标并与新供应商签订合同，实现平稳过渡为止。否则甲方有权扣除乙方履约保证金及剩余未支付货款作为乙方违约赔偿，不足之处，甲方有权利保留向乙方追偿的权力。</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11.甲方无正当理由拒绝乙方服务，拖欠乙方货款，每逾期一天，乙方有权向甲方主张欠款金额万分之五的的违约金；逾期满六十天的，乙方有权单方面解除本合同。</w:t>
      </w:r>
    </w:p>
    <w:p>
      <w:pPr>
        <w:widowControl w:val="0"/>
        <w:spacing w:before="156" w:beforeLines="50" w:line="560" w:lineRule="exact"/>
        <w:ind w:firstLine="602" w:firstLineChars="200"/>
        <w:jc w:val="both"/>
        <w:rPr>
          <w:rFonts w:ascii="宋体" w:hAnsi="宋体" w:cs="宋体"/>
          <w:b/>
          <w:bCs/>
          <w:sz w:val="30"/>
          <w:szCs w:val="30"/>
          <w:highlight w:val="none"/>
        </w:rPr>
      </w:pPr>
      <w:r>
        <w:rPr>
          <w:rFonts w:hint="eastAsia" w:ascii="宋体" w:hAnsi="宋体" w:cs="宋体"/>
          <w:b/>
          <w:bCs/>
          <w:sz w:val="30"/>
          <w:szCs w:val="30"/>
          <w:highlight w:val="none"/>
        </w:rPr>
        <w:t>八、保密</w:t>
      </w:r>
    </w:p>
    <w:p>
      <w:pPr>
        <w:widowControl w:val="0"/>
        <w:snapToGrid w:val="0"/>
        <w:spacing w:line="560" w:lineRule="exact"/>
        <w:ind w:right="9" w:firstLine="561"/>
        <w:jc w:val="both"/>
        <w:rPr>
          <w:rFonts w:ascii="宋体" w:hAnsi="宋体" w:cs="宋体"/>
          <w:sz w:val="30"/>
          <w:szCs w:val="30"/>
          <w:highlight w:val="none"/>
        </w:rPr>
      </w:pPr>
      <w:r>
        <w:rPr>
          <w:rFonts w:hint="eastAsia" w:ascii="宋体" w:hAnsi="宋体" w:cs="宋体"/>
          <w:sz w:val="30"/>
          <w:szCs w:val="30"/>
          <w:highlight w:val="none"/>
        </w:rPr>
        <w:t>1.双方应当对本合同的内容以及在签订、履行本合同过程中知悉或获得的所有有关对方的商业秘密、客户资料等信息（即“保密信息”）予以保密，除非该信息是：1.披露方以书面方式明确注明为非保密性质的信息；或2.公众已经知晓的或通过公开渠道可获得的信息，且不是因为接受方违反本保密义务而导致该信息公知公晓的；3.接受方从有权披露该信息的第三方获取的信息，且接受方对该信息无保密义务；4.在本合同谈判前接受方已独立开发的信息。</w:t>
      </w:r>
    </w:p>
    <w:p>
      <w:pPr>
        <w:widowControl w:val="0"/>
        <w:snapToGrid w:val="0"/>
        <w:spacing w:line="560" w:lineRule="exact"/>
        <w:ind w:right="9" w:firstLine="663" w:firstLineChars="221"/>
        <w:jc w:val="both"/>
        <w:rPr>
          <w:rFonts w:ascii="宋体" w:hAnsi="宋体" w:cs="宋体"/>
          <w:sz w:val="30"/>
          <w:szCs w:val="30"/>
          <w:highlight w:val="none"/>
        </w:rPr>
      </w:pPr>
      <w:r>
        <w:rPr>
          <w:rFonts w:hint="eastAsia" w:ascii="宋体" w:hAnsi="宋体" w:cs="宋体"/>
          <w:sz w:val="30"/>
          <w:szCs w:val="30"/>
          <w:highlight w:val="none"/>
        </w:rPr>
        <w:t>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协议，使其承担不低于本保密条款约定的保密义务。</w:t>
      </w:r>
    </w:p>
    <w:p>
      <w:pPr>
        <w:widowControl w:val="0"/>
        <w:snapToGrid w:val="0"/>
        <w:spacing w:line="560" w:lineRule="exact"/>
        <w:ind w:right="9" w:firstLine="663" w:firstLineChars="221"/>
        <w:jc w:val="both"/>
        <w:rPr>
          <w:rFonts w:ascii="宋体" w:hAnsi="宋体" w:cs="宋体"/>
          <w:sz w:val="30"/>
          <w:szCs w:val="30"/>
          <w:highlight w:val="none"/>
        </w:rPr>
      </w:pPr>
      <w:r>
        <w:rPr>
          <w:rFonts w:hint="eastAsia" w:ascii="宋体" w:hAnsi="宋体" w:cs="宋体"/>
          <w:sz w:val="30"/>
          <w:szCs w:val="30"/>
          <w:highlight w:val="none"/>
        </w:rPr>
        <w:t>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widowControl w:val="0"/>
        <w:snapToGrid w:val="0"/>
        <w:spacing w:line="560" w:lineRule="exact"/>
        <w:ind w:right="9" w:firstLine="663" w:firstLineChars="221"/>
        <w:jc w:val="both"/>
        <w:rPr>
          <w:rFonts w:ascii="宋体" w:hAnsi="宋体" w:cs="宋体"/>
          <w:sz w:val="30"/>
          <w:szCs w:val="30"/>
          <w:highlight w:val="none"/>
        </w:rPr>
      </w:pPr>
      <w:r>
        <w:rPr>
          <w:rFonts w:hint="eastAsia" w:ascii="宋体" w:hAnsi="宋体" w:cs="宋体"/>
          <w:sz w:val="30"/>
          <w:szCs w:val="30"/>
          <w:highlight w:val="none"/>
        </w:rPr>
        <w:t>2.接受方或其雇员（无论该雇员是否已从接受方离职）在本条约定的保密期限内违反保密义务的，接受方应当对披露方因此所遭受的损失承担赔偿责任。如果接受方在本合同有效期内严重违反保密义务，披露方同时还有权提前终止本合同。</w:t>
      </w:r>
    </w:p>
    <w:p>
      <w:pPr>
        <w:widowControl w:val="0"/>
        <w:spacing w:before="156" w:beforeLines="50"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w:t>
      </w:r>
      <w:r>
        <w:rPr>
          <w:rFonts w:hint="eastAsia" w:ascii="宋体" w:hAnsi="宋体" w:cs="宋体"/>
          <w:snapToGrid w:val="0"/>
          <w:spacing w:val="4"/>
          <w:sz w:val="30"/>
          <w:szCs w:val="30"/>
          <w:highlight w:val="none"/>
        </w:rPr>
        <w:t>保密期限自本合同生效之日起算，至本合同解除或终止后</w:t>
      </w:r>
      <w:r>
        <w:rPr>
          <w:rFonts w:hint="eastAsia" w:ascii="宋体" w:hAnsi="宋体" w:cs="宋体"/>
          <w:snapToGrid w:val="0"/>
          <w:sz w:val="30"/>
          <w:szCs w:val="30"/>
          <w:highlight w:val="none"/>
          <w:u w:val="single"/>
        </w:rPr>
        <w:t xml:space="preserve"> 一 </w:t>
      </w:r>
      <w:r>
        <w:rPr>
          <w:rFonts w:hint="eastAsia" w:ascii="宋体" w:hAnsi="宋体" w:cs="宋体"/>
          <w:snapToGrid w:val="0"/>
          <w:sz w:val="30"/>
          <w:szCs w:val="30"/>
          <w:highlight w:val="none"/>
        </w:rPr>
        <w:t>年终止。</w:t>
      </w:r>
    </w:p>
    <w:p>
      <w:pPr>
        <w:widowControl w:val="0"/>
        <w:adjustRightInd w:val="0"/>
        <w:snapToGrid w:val="0"/>
        <w:spacing w:line="560" w:lineRule="exact"/>
        <w:ind w:firstLine="602" w:firstLineChars="200"/>
        <w:jc w:val="both"/>
        <w:rPr>
          <w:rFonts w:ascii="宋体" w:hAnsi="宋体" w:cs="宋体"/>
          <w:b/>
          <w:bCs/>
          <w:snapToGrid w:val="0"/>
          <w:sz w:val="30"/>
          <w:szCs w:val="30"/>
          <w:highlight w:val="none"/>
        </w:rPr>
      </w:pPr>
      <w:r>
        <w:rPr>
          <w:rFonts w:hint="eastAsia" w:ascii="宋体" w:hAnsi="宋体" w:cs="宋体"/>
          <w:b/>
          <w:bCs/>
          <w:sz w:val="30"/>
          <w:szCs w:val="30"/>
          <w:highlight w:val="none"/>
        </w:rPr>
        <w:t>九、其它合同约定事项</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1.乙方必须保证拥有供应食材的经营资质，取得相关证件，保证其上岗操作的从业人员具有有效健康、培训证明。</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2.乙方供应的食材必须符合食品卫生及甲方的要求，并提供所配送农副产品厂家的资质证件，以备甲方核验。</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3.乙方应按甲方订购单的要求送货。个别或特殊产品因质量差或没有货源时应及时反馈给甲方并协商调整，保证甲方所需货物准时到达。</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4.乙方在送货上门时，必须遵守甲方或甲方客户的规章制度，不得随意走动或高声喧哗。</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5.未尽事宜或执行过程中发生了任何纠纷，双方协商解决。协商不成的可向甲方所在地法院提起诉讼。</w:t>
      </w:r>
    </w:p>
    <w:p>
      <w:pPr>
        <w:widowControl w:val="0"/>
        <w:snapToGrid w:val="0"/>
        <w:spacing w:line="560" w:lineRule="exact"/>
        <w:ind w:right="9" w:firstLine="600" w:firstLineChars="200"/>
        <w:jc w:val="both"/>
        <w:rPr>
          <w:rFonts w:ascii="宋体" w:hAnsi="宋体" w:cs="宋体"/>
          <w:sz w:val="30"/>
          <w:szCs w:val="30"/>
          <w:highlight w:val="none"/>
        </w:rPr>
      </w:pPr>
      <w:r>
        <w:rPr>
          <w:rFonts w:hint="eastAsia" w:ascii="宋体" w:hAnsi="宋体" w:cs="宋体"/>
          <w:sz w:val="30"/>
          <w:szCs w:val="30"/>
          <w:highlight w:val="none"/>
        </w:rPr>
        <w:t>6.本合同经甲乙双方法定代表人（负责人）或授权代理人签字并加盖公章后生效。</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7.若由于甲方管理要求，需提前中止合同（甲方将提前一个月通知乙方），乙方须无条件接受，甲方免责。</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8.后续若因甲方集团公司实行统一集中采购，自集中采购合同生效之日起，本合同自动作废。</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9.未尽事宜，按甲方招标文件和乙方投标文件内容执行。</w:t>
      </w:r>
    </w:p>
    <w:p>
      <w:pPr>
        <w:widowControl w:val="0"/>
        <w:spacing w:line="560" w:lineRule="exact"/>
        <w:ind w:firstLine="600" w:firstLineChars="200"/>
        <w:jc w:val="both"/>
        <w:rPr>
          <w:rFonts w:ascii="宋体" w:hAnsi="宋体" w:cs="宋体"/>
          <w:sz w:val="30"/>
          <w:szCs w:val="30"/>
          <w:highlight w:val="none"/>
        </w:rPr>
      </w:pPr>
      <w:r>
        <w:rPr>
          <w:rFonts w:hint="eastAsia" w:ascii="宋体" w:hAnsi="宋体" w:cs="宋体"/>
          <w:sz w:val="30"/>
          <w:szCs w:val="30"/>
          <w:highlight w:val="none"/>
        </w:rPr>
        <w:t>10.本合同正本肆份，甲方执叁份，乙方执壹份，均具同等法律效力。</w:t>
      </w:r>
    </w:p>
    <w:p>
      <w:pPr>
        <w:spacing w:line="600" w:lineRule="exact"/>
        <w:ind w:right="-2009" w:rightChars="-837"/>
        <w:jc w:val="both"/>
        <w:rPr>
          <w:rFonts w:ascii="彩虹粗仿宋" w:eastAsia="彩虹粗仿宋"/>
          <w:sz w:val="30"/>
          <w:szCs w:val="30"/>
          <w:highlight w:val="none"/>
        </w:rPr>
      </w:pPr>
    </w:p>
    <w:p>
      <w:pPr>
        <w:spacing w:line="600" w:lineRule="exact"/>
        <w:ind w:left="1350" w:hanging="1350" w:hangingChars="450"/>
        <w:jc w:val="both"/>
        <w:rPr>
          <w:rFonts w:ascii="宋体" w:hAnsi="宋体" w:cs="宋体"/>
          <w:bCs/>
          <w:sz w:val="30"/>
          <w:szCs w:val="30"/>
          <w:highlight w:val="none"/>
          <w:u w:val="single"/>
        </w:rPr>
      </w:pPr>
      <w:r>
        <w:rPr>
          <w:rFonts w:hint="eastAsia" w:ascii="宋体" w:hAnsi="宋体" w:cs="宋体"/>
          <w:sz w:val="30"/>
          <w:szCs w:val="30"/>
          <w:highlight w:val="none"/>
        </w:rPr>
        <w:t>甲方：（公章）                    乙方：（公章）</w:t>
      </w:r>
    </w:p>
    <w:p>
      <w:pPr>
        <w:spacing w:line="600" w:lineRule="exact"/>
        <w:ind w:left="1350" w:hanging="1350" w:hangingChars="450"/>
        <w:jc w:val="both"/>
        <w:rPr>
          <w:rFonts w:ascii="宋体" w:hAnsi="宋体" w:cs="宋体"/>
          <w:sz w:val="30"/>
          <w:szCs w:val="30"/>
          <w:highlight w:val="none"/>
        </w:rPr>
      </w:pPr>
      <w:r>
        <w:rPr>
          <w:rFonts w:hint="eastAsia" w:ascii="宋体" w:hAnsi="宋体" w:cs="宋体"/>
          <w:bCs/>
          <w:sz w:val="30"/>
          <w:szCs w:val="30"/>
          <w:highlight w:val="none"/>
        </w:rPr>
        <w:t xml:space="preserve">         </w:t>
      </w:r>
      <w:r>
        <w:rPr>
          <w:rFonts w:hint="eastAsia" w:ascii="宋体" w:hAnsi="宋体" w:cs="宋体"/>
          <w:sz w:val="30"/>
          <w:szCs w:val="30"/>
          <w:highlight w:val="none"/>
        </w:rPr>
        <w:t xml:space="preserve">  </w:t>
      </w:r>
    </w:p>
    <w:p>
      <w:pPr>
        <w:spacing w:line="600" w:lineRule="exact"/>
        <w:ind w:left="1350" w:hanging="1350" w:hangingChars="450"/>
        <w:jc w:val="both"/>
        <w:rPr>
          <w:rFonts w:ascii="宋体" w:hAnsi="宋体" w:cs="宋体"/>
          <w:sz w:val="30"/>
          <w:szCs w:val="30"/>
          <w:highlight w:val="none"/>
        </w:rPr>
      </w:pPr>
      <w:r>
        <w:rPr>
          <w:rFonts w:hint="eastAsia" w:ascii="宋体" w:hAnsi="宋体" w:cs="宋体"/>
          <w:sz w:val="30"/>
          <w:szCs w:val="30"/>
          <w:highlight w:val="none"/>
        </w:rPr>
        <w:t>法定代表人（负责人）             法定代表人（负责人）</w:t>
      </w:r>
    </w:p>
    <w:p>
      <w:pPr>
        <w:tabs>
          <w:tab w:val="left" w:pos="4395"/>
        </w:tabs>
        <w:spacing w:line="600" w:lineRule="exact"/>
        <w:jc w:val="both"/>
        <w:rPr>
          <w:rFonts w:ascii="宋体" w:hAnsi="宋体" w:cs="宋体"/>
          <w:sz w:val="30"/>
          <w:szCs w:val="30"/>
          <w:highlight w:val="none"/>
        </w:rPr>
      </w:pPr>
      <w:r>
        <w:rPr>
          <w:rFonts w:hint="eastAsia" w:ascii="宋体" w:hAnsi="宋体" w:cs="宋体"/>
          <w:sz w:val="30"/>
          <w:szCs w:val="30"/>
          <w:highlight w:val="none"/>
        </w:rPr>
        <w:t>或授权代理人（签字）：           或授权代理人（签字）：</w:t>
      </w:r>
    </w:p>
    <w:p>
      <w:pPr>
        <w:spacing w:line="600" w:lineRule="exact"/>
        <w:jc w:val="both"/>
        <w:rPr>
          <w:rFonts w:ascii="宋体" w:hAnsi="宋体" w:cs="宋体"/>
          <w:sz w:val="30"/>
          <w:szCs w:val="30"/>
          <w:highlight w:val="none"/>
        </w:rPr>
      </w:pPr>
    </w:p>
    <w:p>
      <w:pPr>
        <w:tabs>
          <w:tab w:val="left" w:pos="5103"/>
        </w:tabs>
        <w:spacing w:line="600" w:lineRule="exact"/>
        <w:ind w:right="480"/>
        <w:jc w:val="both"/>
        <w:rPr>
          <w:rFonts w:ascii="宋体" w:hAnsi="宋体" w:cs="宋体"/>
          <w:sz w:val="30"/>
          <w:szCs w:val="30"/>
          <w:highlight w:val="none"/>
        </w:rPr>
      </w:pPr>
      <w:r>
        <w:rPr>
          <w:rFonts w:hint="eastAsia" w:ascii="宋体" w:hAnsi="宋体" w:cs="宋体"/>
          <w:sz w:val="30"/>
          <w:szCs w:val="30"/>
          <w:highlight w:val="none"/>
        </w:rPr>
        <w:t>日期：   年   月   日            日期：   年   月   日</w:t>
      </w:r>
    </w:p>
    <w:p>
      <w:pPr>
        <w:tabs>
          <w:tab w:val="left" w:pos="5103"/>
        </w:tabs>
        <w:spacing w:line="600" w:lineRule="exact"/>
        <w:ind w:right="480"/>
        <w:jc w:val="both"/>
        <w:outlineLvl w:val="9"/>
        <w:rPr>
          <w:highlight w:val="none"/>
        </w:rPr>
      </w:pPr>
    </w:p>
    <w:sectPr>
      <w:headerReference r:id="rId4" w:type="default"/>
      <w:footerReference r:id="rId5" w:type="default"/>
      <w:pgSz w:w="11906" w:h="16838"/>
      <w:pgMar w:top="1440" w:right="1800" w:bottom="1440" w:left="1800" w:header="851" w:footer="72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彩虹粗仿宋">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60" w:firstLineChars="2200"/>
      <w:rPr>
        <w:kern w:val="0"/>
        <w:szCs w:val="21"/>
      </w:rPr>
    </w:pPr>
    <w:r>
      <mc:AlternateContent>
        <mc:Choice Requires="wps">
          <w:drawing>
            <wp:anchor distT="0" distB="0" distL="114300" distR="114300" simplePos="0" relativeHeight="251659264"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59264;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DFDD5"/>
    <w:multiLevelType w:val="singleLevel"/>
    <w:tmpl w:val="C2DDFDD5"/>
    <w:lvl w:ilvl="0" w:tentative="0">
      <w:start w:val="1"/>
      <w:numFmt w:val="decimal"/>
      <w:suff w:val="nothing"/>
      <w:lvlText w:val="%1．"/>
      <w:lvlJc w:val="left"/>
      <w:pPr>
        <w:ind w:left="0" w:firstLine="400"/>
      </w:pPr>
      <w:rPr>
        <w:rFonts w:hint="default"/>
      </w:rPr>
    </w:lvl>
  </w:abstractNum>
  <w:abstractNum w:abstractNumId="1">
    <w:nsid w:val="0000000D"/>
    <w:multiLevelType w:val="multilevel"/>
    <w:tmpl w:val="0000000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E6F60E7"/>
    <w:multiLevelType w:val="multilevel"/>
    <w:tmpl w:val="6E6F60E7"/>
    <w:lvl w:ilvl="0" w:tentative="0">
      <w:start w:val="1"/>
      <w:numFmt w:val="decimal"/>
      <w:lvlText w:val="%1."/>
      <w:lvlJc w:val="left"/>
      <w:pPr>
        <w:ind w:left="4106" w:hanging="420"/>
      </w:pPr>
    </w:lvl>
    <w:lvl w:ilvl="1" w:tentative="0">
      <w:start w:val="4"/>
      <w:numFmt w:val="japaneseCounting"/>
      <w:lvlText w:val="(%2）"/>
      <w:lvlJc w:val="left"/>
      <w:pPr>
        <w:tabs>
          <w:tab w:val="left" w:pos="4826"/>
        </w:tabs>
        <w:ind w:left="4826" w:hanging="720"/>
      </w:pPr>
    </w:lvl>
    <w:lvl w:ilvl="2" w:tentative="0">
      <w:start w:val="1"/>
      <w:numFmt w:val="lowerRoman"/>
      <w:lvlText w:val="%3."/>
      <w:lvlJc w:val="right"/>
      <w:pPr>
        <w:ind w:left="4946" w:hanging="420"/>
      </w:pPr>
    </w:lvl>
    <w:lvl w:ilvl="3" w:tentative="0">
      <w:start w:val="1"/>
      <w:numFmt w:val="decimal"/>
      <w:lvlText w:val="%4."/>
      <w:lvlJc w:val="left"/>
      <w:pPr>
        <w:ind w:left="5366" w:hanging="420"/>
      </w:pPr>
    </w:lvl>
    <w:lvl w:ilvl="4" w:tentative="0">
      <w:start w:val="1"/>
      <w:numFmt w:val="lowerLetter"/>
      <w:lvlText w:val="%5)"/>
      <w:lvlJc w:val="left"/>
      <w:pPr>
        <w:ind w:left="5786" w:hanging="420"/>
      </w:pPr>
    </w:lvl>
    <w:lvl w:ilvl="5" w:tentative="0">
      <w:start w:val="1"/>
      <w:numFmt w:val="lowerRoman"/>
      <w:lvlText w:val="%6."/>
      <w:lvlJc w:val="right"/>
      <w:pPr>
        <w:ind w:left="6206" w:hanging="420"/>
      </w:pPr>
    </w:lvl>
    <w:lvl w:ilvl="6" w:tentative="0">
      <w:start w:val="1"/>
      <w:numFmt w:val="decimal"/>
      <w:lvlText w:val="%7."/>
      <w:lvlJc w:val="left"/>
      <w:pPr>
        <w:ind w:left="6626" w:hanging="420"/>
      </w:pPr>
    </w:lvl>
    <w:lvl w:ilvl="7" w:tentative="0">
      <w:start w:val="1"/>
      <w:numFmt w:val="lowerLetter"/>
      <w:lvlText w:val="%8)"/>
      <w:lvlJc w:val="left"/>
      <w:pPr>
        <w:ind w:left="7046" w:hanging="420"/>
      </w:pPr>
    </w:lvl>
    <w:lvl w:ilvl="8" w:tentative="0">
      <w:start w:val="1"/>
      <w:numFmt w:val="lowerRoman"/>
      <w:lvlText w:val="%9."/>
      <w:lvlJc w:val="right"/>
      <w:pPr>
        <w:ind w:left="7466" w:hanging="420"/>
      </w:pPr>
    </w:lvl>
  </w:abstractNum>
  <w:num w:numId="1">
    <w:abstractNumId w:val="1"/>
  </w:num>
  <w:num w:numId="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WY1Y2EzYmZhYWZjODM4YTVkMDhiOTRhMTFlMGYifQ=="/>
  </w:docVars>
  <w:rsids>
    <w:rsidRoot w:val="0039250B"/>
    <w:rsid w:val="00000A64"/>
    <w:rsid w:val="0000297B"/>
    <w:rsid w:val="00002E4A"/>
    <w:rsid w:val="00005CF7"/>
    <w:rsid w:val="000073DD"/>
    <w:rsid w:val="0001174A"/>
    <w:rsid w:val="00011E85"/>
    <w:rsid w:val="00012542"/>
    <w:rsid w:val="00014036"/>
    <w:rsid w:val="00015DA5"/>
    <w:rsid w:val="00016155"/>
    <w:rsid w:val="000202B1"/>
    <w:rsid w:val="0002475B"/>
    <w:rsid w:val="00025F9F"/>
    <w:rsid w:val="00027540"/>
    <w:rsid w:val="000305B6"/>
    <w:rsid w:val="00030F0C"/>
    <w:rsid w:val="00033A11"/>
    <w:rsid w:val="00033B0B"/>
    <w:rsid w:val="000341A2"/>
    <w:rsid w:val="0003546A"/>
    <w:rsid w:val="00035C34"/>
    <w:rsid w:val="00036744"/>
    <w:rsid w:val="00040129"/>
    <w:rsid w:val="00042E69"/>
    <w:rsid w:val="00042F06"/>
    <w:rsid w:val="00042F8C"/>
    <w:rsid w:val="00042FE3"/>
    <w:rsid w:val="00044CBE"/>
    <w:rsid w:val="00046975"/>
    <w:rsid w:val="0005149E"/>
    <w:rsid w:val="000564DD"/>
    <w:rsid w:val="00060F17"/>
    <w:rsid w:val="000651CD"/>
    <w:rsid w:val="00066220"/>
    <w:rsid w:val="000700D9"/>
    <w:rsid w:val="0007193B"/>
    <w:rsid w:val="000761F8"/>
    <w:rsid w:val="00085D08"/>
    <w:rsid w:val="0008659F"/>
    <w:rsid w:val="00086750"/>
    <w:rsid w:val="0008676F"/>
    <w:rsid w:val="00092175"/>
    <w:rsid w:val="00094A45"/>
    <w:rsid w:val="00095618"/>
    <w:rsid w:val="0009596C"/>
    <w:rsid w:val="00096CFE"/>
    <w:rsid w:val="00097DC6"/>
    <w:rsid w:val="000A05DF"/>
    <w:rsid w:val="000A13BB"/>
    <w:rsid w:val="000A405C"/>
    <w:rsid w:val="000A517A"/>
    <w:rsid w:val="000A619C"/>
    <w:rsid w:val="000A6294"/>
    <w:rsid w:val="000A7B3B"/>
    <w:rsid w:val="000A7E5C"/>
    <w:rsid w:val="000B593A"/>
    <w:rsid w:val="000B71F7"/>
    <w:rsid w:val="000B76C9"/>
    <w:rsid w:val="000C149E"/>
    <w:rsid w:val="000C2405"/>
    <w:rsid w:val="000C42D5"/>
    <w:rsid w:val="000C4E72"/>
    <w:rsid w:val="000C6CEF"/>
    <w:rsid w:val="000C70FC"/>
    <w:rsid w:val="000C7219"/>
    <w:rsid w:val="000D141B"/>
    <w:rsid w:val="000D1ED8"/>
    <w:rsid w:val="000D25FE"/>
    <w:rsid w:val="000D2DEA"/>
    <w:rsid w:val="000D3962"/>
    <w:rsid w:val="000D4F55"/>
    <w:rsid w:val="000D51DB"/>
    <w:rsid w:val="000D5B88"/>
    <w:rsid w:val="000D6B3F"/>
    <w:rsid w:val="000D709F"/>
    <w:rsid w:val="000E2027"/>
    <w:rsid w:val="000E494C"/>
    <w:rsid w:val="000E6C46"/>
    <w:rsid w:val="000F0182"/>
    <w:rsid w:val="000F03C5"/>
    <w:rsid w:val="000F1B5A"/>
    <w:rsid w:val="000F5B71"/>
    <w:rsid w:val="000F5E39"/>
    <w:rsid w:val="000F691B"/>
    <w:rsid w:val="0010093B"/>
    <w:rsid w:val="00102F43"/>
    <w:rsid w:val="0010352B"/>
    <w:rsid w:val="00105466"/>
    <w:rsid w:val="00105881"/>
    <w:rsid w:val="0010763A"/>
    <w:rsid w:val="0011233D"/>
    <w:rsid w:val="00112F35"/>
    <w:rsid w:val="0011317C"/>
    <w:rsid w:val="00115C4A"/>
    <w:rsid w:val="00120E23"/>
    <w:rsid w:val="00124BCB"/>
    <w:rsid w:val="00125F54"/>
    <w:rsid w:val="001267C1"/>
    <w:rsid w:val="00126A3E"/>
    <w:rsid w:val="00137519"/>
    <w:rsid w:val="0013783C"/>
    <w:rsid w:val="00137A86"/>
    <w:rsid w:val="00143470"/>
    <w:rsid w:val="0014573E"/>
    <w:rsid w:val="00146DDD"/>
    <w:rsid w:val="00147C17"/>
    <w:rsid w:val="00156551"/>
    <w:rsid w:val="001570BB"/>
    <w:rsid w:val="00160616"/>
    <w:rsid w:val="0016076C"/>
    <w:rsid w:val="00164617"/>
    <w:rsid w:val="00166E5C"/>
    <w:rsid w:val="001714A7"/>
    <w:rsid w:val="00172C0C"/>
    <w:rsid w:val="00173AE1"/>
    <w:rsid w:val="00173DD5"/>
    <w:rsid w:val="0017561C"/>
    <w:rsid w:val="00185D08"/>
    <w:rsid w:val="001925BF"/>
    <w:rsid w:val="00194C63"/>
    <w:rsid w:val="00194D11"/>
    <w:rsid w:val="0019652E"/>
    <w:rsid w:val="001A0A53"/>
    <w:rsid w:val="001A298E"/>
    <w:rsid w:val="001A3E1F"/>
    <w:rsid w:val="001A7458"/>
    <w:rsid w:val="001A7614"/>
    <w:rsid w:val="001B29FA"/>
    <w:rsid w:val="001B6B59"/>
    <w:rsid w:val="001B7B1D"/>
    <w:rsid w:val="001C284D"/>
    <w:rsid w:val="001C3142"/>
    <w:rsid w:val="001C460E"/>
    <w:rsid w:val="001C5D6C"/>
    <w:rsid w:val="001D1715"/>
    <w:rsid w:val="001D41C2"/>
    <w:rsid w:val="001D52CE"/>
    <w:rsid w:val="001D533F"/>
    <w:rsid w:val="001D5A66"/>
    <w:rsid w:val="001D652D"/>
    <w:rsid w:val="001D78C0"/>
    <w:rsid w:val="001D78EF"/>
    <w:rsid w:val="001E32CA"/>
    <w:rsid w:val="001E3D7F"/>
    <w:rsid w:val="001E5CCD"/>
    <w:rsid w:val="001E6F34"/>
    <w:rsid w:val="001E7655"/>
    <w:rsid w:val="00203A45"/>
    <w:rsid w:val="00204872"/>
    <w:rsid w:val="00205115"/>
    <w:rsid w:val="00213EEE"/>
    <w:rsid w:val="00214533"/>
    <w:rsid w:val="00214B69"/>
    <w:rsid w:val="00215CF6"/>
    <w:rsid w:val="0022354D"/>
    <w:rsid w:val="002266BA"/>
    <w:rsid w:val="0023115A"/>
    <w:rsid w:val="002314E1"/>
    <w:rsid w:val="002366B3"/>
    <w:rsid w:val="00236A8E"/>
    <w:rsid w:val="002400D1"/>
    <w:rsid w:val="00241C0A"/>
    <w:rsid w:val="00245265"/>
    <w:rsid w:val="00247151"/>
    <w:rsid w:val="002476FF"/>
    <w:rsid w:val="00252845"/>
    <w:rsid w:val="002535C3"/>
    <w:rsid w:val="002548BC"/>
    <w:rsid w:val="002559E5"/>
    <w:rsid w:val="00256231"/>
    <w:rsid w:val="002569EA"/>
    <w:rsid w:val="002571FE"/>
    <w:rsid w:val="002620D2"/>
    <w:rsid w:val="00262C5D"/>
    <w:rsid w:val="002669E6"/>
    <w:rsid w:val="00266B3D"/>
    <w:rsid w:val="00270B71"/>
    <w:rsid w:val="0027196D"/>
    <w:rsid w:val="00272672"/>
    <w:rsid w:val="002736E1"/>
    <w:rsid w:val="00275732"/>
    <w:rsid w:val="00280707"/>
    <w:rsid w:val="002810F3"/>
    <w:rsid w:val="00281E96"/>
    <w:rsid w:val="00282855"/>
    <w:rsid w:val="002832BC"/>
    <w:rsid w:val="00284AB1"/>
    <w:rsid w:val="00284F80"/>
    <w:rsid w:val="00290099"/>
    <w:rsid w:val="00290908"/>
    <w:rsid w:val="00292650"/>
    <w:rsid w:val="00292BC6"/>
    <w:rsid w:val="00293FA6"/>
    <w:rsid w:val="002A02B3"/>
    <w:rsid w:val="002A3E2B"/>
    <w:rsid w:val="002B379C"/>
    <w:rsid w:val="002B46F2"/>
    <w:rsid w:val="002B5123"/>
    <w:rsid w:val="002B597D"/>
    <w:rsid w:val="002B6F68"/>
    <w:rsid w:val="002C0D47"/>
    <w:rsid w:val="002C0FD4"/>
    <w:rsid w:val="002C1964"/>
    <w:rsid w:val="002C3E99"/>
    <w:rsid w:val="002C6144"/>
    <w:rsid w:val="002D1C00"/>
    <w:rsid w:val="002D1E8B"/>
    <w:rsid w:val="002D3314"/>
    <w:rsid w:val="002D3EA7"/>
    <w:rsid w:val="002D3FB6"/>
    <w:rsid w:val="002D53C9"/>
    <w:rsid w:val="002D55B4"/>
    <w:rsid w:val="002D66F9"/>
    <w:rsid w:val="002E01E8"/>
    <w:rsid w:val="002E1458"/>
    <w:rsid w:val="002E3F95"/>
    <w:rsid w:val="002E6DB9"/>
    <w:rsid w:val="002F31FB"/>
    <w:rsid w:val="002F56DB"/>
    <w:rsid w:val="002F5738"/>
    <w:rsid w:val="002F7173"/>
    <w:rsid w:val="003006E8"/>
    <w:rsid w:val="0030124A"/>
    <w:rsid w:val="00301413"/>
    <w:rsid w:val="00303DC7"/>
    <w:rsid w:val="003051A8"/>
    <w:rsid w:val="00305763"/>
    <w:rsid w:val="0030773B"/>
    <w:rsid w:val="0031172C"/>
    <w:rsid w:val="00311B2E"/>
    <w:rsid w:val="00312CC3"/>
    <w:rsid w:val="00313202"/>
    <w:rsid w:val="00314A5A"/>
    <w:rsid w:val="003165A7"/>
    <w:rsid w:val="00317CF5"/>
    <w:rsid w:val="00322804"/>
    <w:rsid w:val="00324415"/>
    <w:rsid w:val="00325634"/>
    <w:rsid w:val="00325B25"/>
    <w:rsid w:val="00327C41"/>
    <w:rsid w:val="003306F8"/>
    <w:rsid w:val="00335B6F"/>
    <w:rsid w:val="0033600D"/>
    <w:rsid w:val="003366B2"/>
    <w:rsid w:val="0033799E"/>
    <w:rsid w:val="003400B6"/>
    <w:rsid w:val="0034142B"/>
    <w:rsid w:val="00341EFB"/>
    <w:rsid w:val="003426F0"/>
    <w:rsid w:val="00343626"/>
    <w:rsid w:val="00345CF0"/>
    <w:rsid w:val="0035082E"/>
    <w:rsid w:val="00350A62"/>
    <w:rsid w:val="00352712"/>
    <w:rsid w:val="00352AF3"/>
    <w:rsid w:val="00352F25"/>
    <w:rsid w:val="00354121"/>
    <w:rsid w:val="003564FC"/>
    <w:rsid w:val="0036387B"/>
    <w:rsid w:val="003654B7"/>
    <w:rsid w:val="003656B7"/>
    <w:rsid w:val="00365A3E"/>
    <w:rsid w:val="0037044D"/>
    <w:rsid w:val="00370599"/>
    <w:rsid w:val="00373CB2"/>
    <w:rsid w:val="00377C1B"/>
    <w:rsid w:val="003813EE"/>
    <w:rsid w:val="00382338"/>
    <w:rsid w:val="00384A9A"/>
    <w:rsid w:val="00385E18"/>
    <w:rsid w:val="0039250B"/>
    <w:rsid w:val="00392599"/>
    <w:rsid w:val="00392F29"/>
    <w:rsid w:val="00394A7B"/>
    <w:rsid w:val="0039603F"/>
    <w:rsid w:val="00396089"/>
    <w:rsid w:val="003A3941"/>
    <w:rsid w:val="003A6358"/>
    <w:rsid w:val="003B1633"/>
    <w:rsid w:val="003B4B24"/>
    <w:rsid w:val="003B4EFE"/>
    <w:rsid w:val="003B5577"/>
    <w:rsid w:val="003B69D1"/>
    <w:rsid w:val="003C5304"/>
    <w:rsid w:val="003C7560"/>
    <w:rsid w:val="003C7E9B"/>
    <w:rsid w:val="003D11FF"/>
    <w:rsid w:val="003D38A4"/>
    <w:rsid w:val="003D4BB3"/>
    <w:rsid w:val="003D5269"/>
    <w:rsid w:val="003D7C2E"/>
    <w:rsid w:val="003E0A51"/>
    <w:rsid w:val="003E352D"/>
    <w:rsid w:val="003E556D"/>
    <w:rsid w:val="003E669E"/>
    <w:rsid w:val="003E7D2B"/>
    <w:rsid w:val="003F1669"/>
    <w:rsid w:val="003F2573"/>
    <w:rsid w:val="003F269D"/>
    <w:rsid w:val="003F34C8"/>
    <w:rsid w:val="003F4FD3"/>
    <w:rsid w:val="00400697"/>
    <w:rsid w:val="00401855"/>
    <w:rsid w:val="00401A06"/>
    <w:rsid w:val="00402D39"/>
    <w:rsid w:val="00405CAB"/>
    <w:rsid w:val="0041166F"/>
    <w:rsid w:val="00412AE1"/>
    <w:rsid w:val="0041301B"/>
    <w:rsid w:val="0041353C"/>
    <w:rsid w:val="0041763C"/>
    <w:rsid w:val="004176CA"/>
    <w:rsid w:val="00420D6E"/>
    <w:rsid w:val="00421149"/>
    <w:rsid w:val="00423433"/>
    <w:rsid w:val="00423FCD"/>
    <w:rsid w:val="0042527F"/>
    <w:rsid w:val="004272F6"/>
    <w:rsid w:val="004275A2"/>
    <w:rsid w:val="00430D7D"/>
    <w:rsid w:val="0043196D"/>
    <w:rsid w:val="00435EA9"/>
    <w:rsid w:val="00436224"/>
    <w:rsid w:val="004400FA"/>
    <w:rsid w:val="00441D18"/>
    <w:rsid w:val="00445887"/>
    <w:rsid w:val="00445C3F"/>
    <w:rsid w:val="00447157"/>
    <w:rsid w:val="00450B9F"/>
    <w:rsid w:val="00451E52"/>
    <w:rsid w:val="00452131"/>
    <w:rsid w:val="00456479"/>
    <w:rsid w:val="00456CFB"/>
    <w:rsid w:val="0046041A"/>
    <w:rsid w:val="004608C5"/>
    <w:rsid w:val="00462CCB"/>
    <w:rsid w:val="00462FE2"/>
    <w:rsid w:val="00463B81"/>
    <w:rsid w:val="00466A0E"/>
    <w:rsid w:val="00470215"/>
    <w:rsid w:val="004705D5"/>
    <w:rsid w:val="00472356"/>
    <w:rsid w:val="004727FD"/>
    <w:rsid w:val="00472B18"/>
    <w:rsid w:val="00472C08"/>
    <w:rsid w:val="004757E7"/>
    <w:rsid w:val="00480982"/>
    <w:rsid w:val="0048209B"/>
    <w:rsid w:val="00484E4B"/>
    <w:rsid w:val="00485D86"/>
    <w:rsid w:val="00486ABF"/>
    <w:rsid w:val="004917BD"/>
    <w:rsid w:val="00495F66"/>
    <w:rsid w:val="00496738"/>
    <w:rsid w:val="004969B7"/>
    <w:rsid w:val="004A1BEA"/>
    <w:rsid w:val="004A2BC6"/>
    <w:rsid w:val="004A2F37"/>
    <w:rsid w:val="004A4F5D"/>
    <w:rsid w:val="004A5417"/>
    <w:rsid w:val="004A5713"/>
    <w:rsid w:val="004A5BAB"/>
    <w:rsid w:val="004A7AED"/>
    <w:rsid w:val="004B01B5"/>
    <w:rsid w:val="004B1E9E"/>
    <w:rsid w:val="004B33BF"/>
    <w:rsid w:val="004B49B6"/>
    <w:rsid w:val="004C0E52"/>
    <w:rsid w:val="004C1061"/>
    <w:rsid w:val="004C53D7"/>
    <w:rsid w:val="004C7895"/>
    <w:rsid w:val="004D1A24"/>
    <w:rsid w:val="004D2219"/>
    <w:rsid w:val="004D43D3"/>
    <w:rsid w:val="004D55AE"/>
    <w:rsid w:val="004D7919"/>
    <w:rsid w:val="004E0152"/>
    <w:rsid w:val="004E21C3"/>
    <w:rsid w:val="004E3837"/>
    <w:rsid w:val="004E43E2"/>
    <w:rsid w:val="004E60C9"/>
    <w:rsid w:val="004E6326"/>
    <w:rsid w:val="004E7BA5"/>
    <w:rsid w:val="004F2648"/>
    <w:rsid w:val="004F2E48"/>
    <w:rsid w:val="004F3B2E"/>
    <w:rsid w:val="004F4885"/>
    <w:rsid w:val="004F65DF"/>
    <w:rsid w:val="004F6DC6"/>
    <w:rsid w:val="004F7DB8"/>
    <w:rsid w:val="005016AF"/>
    <w:rsid w:val="0050227F"/>
    <w:rsid w:val="00502D2A"/>
    <w:rsid w:val="0050315E"/>
    <w:rsid w:val="005037CE"/>
    <w:rsid w:val="005047B5"/>
    <w:rsid w:val="00505A34"/>
    <w:rsid w:val="005062A6"/>
    <w:rsid w:val="0051410E"/>
    <w:rsid w:val="00514667"/>
    <w:rsid w:val="005153EC"/>
    <w:rsid w:val="00515B07"/>
    <w:rsid w:val="0051791C"/>
    <w:rsid w:val="00521229"/>
    <w:rsid w:val="0052507D"/>
    <w:rsid w:val="00527F4D"/>
    <w:rsid w:val="005321EA"/>
    <w:rsid w:val="0053325A"/>
    <w:rsid w:val="00534DFE"/>
    <w:rsid w:val="00534FC3"/>
    <w:rsid w:val="0053656E"/>
    <w:rsid w:val="005401B7"/>
    <w:rsid w:val="00541058"/>
    <w:rsid w:val="00541884"/>
    <w:rsid w:val="005450E2"/>
    <w:rsid w:val="00545802"/>
    <w:rsid w:val="00545E06"/>
    <w:rsid w:val="005462E3"/>
    <w:rsid w:val="00547349"/>
    <w:rsid w:val="00553217"/>
    <w:rsid w:val="00554480"/>
    <w:rsid w:val="00557781"/>
    <w:rsid w:val="005618CA"/>
    <w:rsid w:val="0056240F"/>
    <w:rsid w:val="00565724"/>
    <w:rsid w:val="005678EC"/>
    <w:rsid w:val="00570EAE"/>
    <w:rsid w:val="00571EB3"/>
    <w:rsid w:val="0057230E"/>
    <w:rsid w:val="0057496F"/>
    <w:rsid w:val="005769D3"/>
    <w:rsid w:val="00576BD7"/>
    <w:rsid w:val="00576DAE"/>
    <w:rsid w:val="005771B5"/>
    <w:rsid w:val="0058497E"/>
    <w:rsid w:val="005922BB"/>
    <w:rsid w:val="005936AF"/>
    <w:rsid w:val="00593DEE"/>
    <w:rsid w:val="00596089"/>
    <w:rsid w:val="00596463"/>
    <w:rsid w:val="005A0461"/>
    <w:rsid w:val="005A10B5"/>
    <w:rsid w:val="005A2443"/>
    <w:rsid w:val="005A73DD"/>
    <w:rsid w:val="005B04FB"/>
    <w:rsid w:val="005B1D10"/>
    <w:rsid w:val="005B238F"/>
    <w:rsid w:val="005B321B"/>
    <w:rsid w:val="005B5A59"/>
    <w:rsid w:val="005B6D7F"/>
    <w:rsid w:val="005C581D"/>
    <w:rsid w:val="005C781D"/>
    <w:rsid w:val="005D52C4"/>
    <w:rsid w:val="005D55CB"/>
    <w:rsid w:val="005E186A"/>
    <w:rsid w:val="005E2F37"/>
    <w:rsid w:val="005E2FE3"/>
    <w:rsid w:val="005E4140"/>
    <w:rsid w:val="005E4AD2"/>
    <w:rsid w:val="005E4BEA"/>
    <w:rsid w:val="005E5095"/>
    <w:rsid w:val="005E648D"/>
    <w:rsid w:val="005E786C"/>
    <w:rsid w:val="005F1026"/>
    <w:rsid w:val="005F1847"/>
    <w:rsid w:val="005F64B5"/>
    <w:rsid w:val="005F70FA"/>
    <w:rsid w:val="00601150"/>
    <w:rsid w:val="006015CF"/>
    <w:rsid w:val="0060608D"/>
    <w:rsid w:val="00606DF2"/>
    <w:rsid w:val="00610E41"/>
    <w:rsid w:val="00611C84"/>
    <w:rsid w:val="00612502"/>
    <w:rsid w:val="00613C62"/>
    <w:rsid w:val="00613F49"/>
    <w:rsid w:val="00615EC2"/>
    <w:rsid w:val="00616B08"/>
    <w:rsid w:val="0062178D"/>
    <w:rsid w:val="00623463"/>
    <w:rsid w:val="00624CC2"/>
    <w:rsid w:val="006262C1"/>
    <w:rsid w:val="00630FF5"/>
    <w:rsid w:val="006332A5"/>
    <w:rsid w:val="0063499F"/>
    <w:rsid w:val="0063655F"/>
    <w:rsid w:val="00641308"/>
    <w:rsid w:val="00641DFE"/>
    <w:rsid w:val="00642E20"/>
    <w:rsid w:val="00642F30"/>
    <w:rsid w:val="0064585B"/>
    <w:rsid w:val="00645A8B"/>
    <w:rsid w:val="00663DF5"/>
    <w:rsid w:val="006647CA"/>
    <w:rsid w:val="00665C50"/>
    <w:rsid w:val="00667973"/>
    <w:rsid w:val="0067464A"/>
    <w:rsid w:val="00674877"/>
    <w:rsid w:val="00674F2D"/>
    <w:rsid w:val="00676796"/>
    <w:rsid w:val="006808D0"/>
    <w:rsid w:val="00680A4E"/>
    <w:rsid w:val="00681431"/>
    <w:rsid w:val="00681840"/>
    <w:rsid w:val="0068200D"/>
    <w:rsid w:val="0068204A"/>
    <w:rsid w:val="00682C31"/>
    <w:rsid w:val="00682C90"/>
    <w:rsid w:val="00683746"/>
    <w:rsid w:val="00686415"/>
    <w:rsid w:val="00686491"/>
    <w:rsid w:val="0068696A"/>
    <w:rsid w:val="00687E65"/>
    <w:rsid w:val="00692440"/>
    <w:rsid w:val="00693E6C"/>
    <w:rsid w:val="006953B4"/>
    <w:rsid w:val="00696719"/>
    <w:rsid w:val="00697AEB"/>
    <w:rsid w:val="006A0661"/>
    <w:rsid w:val="006A26C3"/>
    <w:rsid w:val="006A30A9"/>
    <w:rsid w:val="006A3555"/>
    <w:rsid w:val="006A5270"/>
    <w:rsid w:val="006A6026"/>
    <w:rsid w:val="006B08BC"/>
    <w:rsid w:val="006B1FE5"/>
    <w:rsid w:val="006B3862"/>
    <w:rsid w:val="006B40A8"/>
    <w:rsid w:val="006B51F8"/>
    <w:rsid w:val="006C1593"/>
    <w:rsid w:val="006C1B08"/>
    <w:rsid w:val="006C4CEB"/>
    <w:rsid w:val="006C66A0"/>
    <w:rsid w:val="006D120A"/>
    <w:rsid w:val="006D1B43"/>
    <w:rsid w:val="006D358F"/>
    <w:rsid w:val="006D4C5A"/>
    <w:rsid w:val="006D654D"/>
    <w:rsid w:val="006D745C"/>
    <w:rsid w:val="006D7EA7"/>
    <w:rsid w:val="006E05FD"/>
    <w:rsid w:val="006E17FF"/>
    <w:rsid w:val="006E1BE2"/>
    <w:rsid w:val="006E2E86"/>
    <w:rsid w:val="006E3B78"/>
    <w:rsid w:val="006E3EA4"/>
    <w:rsid w:val="006E68EE"/>
    <w:rsid w:val="006F001D"/>
    <w:rsid w:val="006F0727"/>
    <w:rsid w:val="006F2F12"/>
    <w:rsid w:val="00702200"/>
    <w:rsid w:val="007042BE"/>
    <w:rsid w:val="00704601"/>
    <w:rsid w:val="00707BDD"/>
    <w:rsid w:val="00707D4A"/>
    <w:rsid w:val="00710A8B"/>
    <w:rsid w:val="007120D8"/>
    <w:rsid w:val="00713835"/>
    <w:rsid w:val="00714AEB"/>
    <w:rsid w:val="00716388"/>
    <w:rsid w:val="007167AF"/>
    <w:rsid w:val="0071748E"/>
    <w:rsid w:val="007233C6"/>
    <w:rsid w:val="00723E8C"/>
    <w:rsid w:val="007261C1"/>
    <w:rsid w:val="00726FBB"/>
    <w:rsid w:val="00727C45"/>
    <w:rsid w:val="00731D3A"/>
    <w:rsid w:val="00733CBA"/>
    <w:rsid w:val="007356A8"/>
    <w:rsid w:val="007501C0"/>
    <w:rsid w:val="00751763"/>
    <w:rsid w:val="00752249"/>
    <w:rsid w:val="007536CB"/>
    <w:rsid w:val="007547BB"/>
    <w:rsid w:val="00755FA9"/>
    <w:rsid w:val="0076510A"/>
    <w:rsid w:val="007658C1"/>
    <w:rsid w:val="0077152C"/>
    <w:rsid w:val="007732F5"/>
    <w:rsid w:val="0077432D"/>
    <w:rsid w:val="00777D5E"/>
    <w:rsid w:val="00780DC5"/>
    <w:rsid w:val="00781041"/>
    <w:rsid w:val="00781362"/>
    <w:rsid w:val="00781C0D"/>
    <w:rsid w:val="00782B4C"/>
    <w:rsid w:val="00785F94"/>
    <w:rsid w:val="00790E05"/>
    <w:rsid w:val="00796C92"/>
    <w:rsid w:val="00796D3E"/>
    <w:rsid w:val="00797E07"/>
    <w:rsid w:val="007A1A01"/>
    <w:rsid w:val="007A239A"/>
    <w:rsid w:val="007A24FE"/>
    <w:rsid w:val="007A3E8E"/>
    <w:rsid w:val="007A4A72"/>
    <w:rsid w:val="007A5C8A"/>
    <w:rsid w:val="007B0686"/>
    <w:rsid w:val="007B0B7E"/>
    <w:rsid w:val="007B231C"/>
    <w:rsid w:val="007B2635"/>
    <w:rsid w:val="007B39A5"/>
    <w:rsid w:val="007B4378"/>
    <w:rsid w:val="007B62D6"/>
    <w:rsid w:val="007B7B23"/>
    <w:rsid w:val="007C40A3"/>
    <w:rsid w:val="007C4A58"/>
    <w:rsid w:val="007C5601"/>
    <w:rsid w:val="007C6E31"/>
    <w:rsid w:val="007D4FF4"/>
    <w:rsid w:val="007D6C54"/>
    <w:rsid w:val="007D7F73"/>
    <w:rsid w:val="007E0135"/>
    <w:rsid w:val="007E05E5"/>
    <w:rsid w:val="007E1117"/>
    <w:rsid w:val="007E1639"/>
    <w:rsid w:val="007E1DB3"/>
    <w:rsid w:val="007E268C"/>
    <w:rsid w:val="007E2B57"/>
    <w:rsid w:val="007E2C7A"/>
    <w:rsid w:val="007E76F3"/>
    <w:rsid w:val="007F30D6"/>
    <w:rsid w:val="007F42FB"/>
    <w:rsid w:val="007F582E"/>
    <w:rsid w:val="007F6468"/>
    <w:rsid w:val="00800185"/>
    <w:rsid w:val="0080169B"/>
    <w:rsid w:val="00801C4D"/>
    <w:rsid w:val="0080267B"/>
    <w:rsid w:val="0080603D"/>
    <w:rsid w:val="008062EA"/>
    <w:rsid w:val="00806402"/>
    <w:rsid w:val="0080716D"/>
    <w:rsid w:val="00810CA5"/>
    <w:rsid w:val="00812F00"/>
    <w:rsid w:val="00813459"/>
    <w:rsid w:val="00814CB1"/>
    <w:rsid w:val="00815D58"/>
    <w:rsid w:val="00816700"/>
    <w:rsid w:val="008176C0"/>
    <w:rsid w:val="00820165"/>
    <w:rsid w:val="00822E47"/>
    <w:rsid w:val="00823550"/>
    <w:rsid w:val="00823CF8"/>
    <w:rsid w:val="00823DBB"/>
    <w:rsid w:val="008249D0"/>
    <w:rsid w:val="00831F91"/>
    <w:rsid w:val="00833C61"/>
    <w:rsid w:val="00835B77"/>
    <w:rsid w:val="00837F2C"/>
    <w:rsid w:val="00845E13"/>
    <w:rsid w:val="00846E71"/>
    <w:rsid w:val="00846FE1"/>
    <w:rsid w:val="008550C7"/>
    <w:rsid w:val="00860DE3"/>
    <w:rsid w:val="00862431"/>
    <w:rsid w:val="00862796"/>
    <w:rsid w:val="00862B84"/>
    <w:rsid w:val="00864D6B"/>
    <w:rsid w:val="00866AED"/>
    <w:rsid w:val="00870051"/>
    <w:rsid w:val="00870C7C"/>
    <w:rsid w:val="008721F1"/>
    <w:rsid w:val="00873C61"/>
    <w:rsid w:val="00874714"/>
    <w:rsid w:val="008747E7"/>
    <w:rsid w:val="008776F6"/>
    <w:rsid w:val="00877807"/>
    <w:rsid w:val="0088075D"/>
    <w:rsid w:val="0088195C"/>
    <w:rsid w:val="00881F91"/>
    <w:rsid w:val="008858B7"/>
    <w:rsid w:val="008865C2"/>
    <w:rsid w:val="00886BE2"/>
    <w:rsid w:val="008912D8"/>
    <w:rsid w:val="00891DC3"/>
    <w:rsid w:val="00896249"/>
    <w:rsid w:val="008979C3"/>
    <w:rsid w:val="008A0BBF"/>
    <w:rsid w:val="008A1AEC"/>
    <w:rsid w:val="008A264B"/>
    <w:rsid w:val="008A3315"/>
    <w:rsid w:val="008A4B25"/>
    <w:rsid w:val="008A4C10"/>
    <w:rsid w:val="008A65CB"/>
    <w:rsid w:val="008B0D05"/>
    <w:rsid w:val="008B1BA4"/>
    <w:rsid w:val="008B2DC0"/>
    <w:rsid w:val="008B33EE"/>
    <w:rsid w:val="008B6112"/>
    <w:rsid w:val="008C0F25"/>
    <w:rsid w:val="008C3BED"/>
    <w:rsid w:val="008C5154"/>
    <w:rsid w:val="008C5887"/>
    <w:rsid w:val="008D095D"/>
    <w:rsid w:val="008D1ACB"/>
    <w:rsid w:val="008D4720"/>
    <w:rsid w:val="008D5390"/>
    <w:rsid w:val="008D7991"/>
    <w:rsid w:val="008D7F6C"/>
    <w:rsid w:val="008E3352"/>
    <w:rsid w:val="008E3AD5"/>
    <w:rsid w:val="008E652E"/>
    <w:rsid w:val="008E695C"/>
    <w:rsid w:val="008F1439"/>
    <w:rsid w:val="008F15FA"/>
    <w:rsid w:val="008F1DC7"/>
    <w:rsid w:val="008F275B"/>
    <w:rsid w:val="008F384F"/>
    <w:rsid w:val="008F3A0E"/>
    <w:rsid w:val="0090009F"/>
    <w:rsid w:val="00903AB2"/>
    <w:rsid w:val="00903D2B"/>
    <w:rsid w:val="00911036"/>
    <w:rsid w:val="009145E3"/>
    <w:rsid w:val="00915834"/>
    <w:rsid w:val="00916C6D"/>
    <w:rsid w:val="00916E87"/>
    <w:rsid w:val="00924266"/>
    <w:rsid w:val="009262C7"/>
    <w:rsid w:val="00930D8E"/>
    <w:rsid w:val="009320C6"/>
    <w:rsid w:val="00932612"/>
    <w:rsid w:val="009328E3"/>
    <w:rsid w:val="009342C1"/>
    <w:rsid w:val="009362A5"/>
    <w:rsid w:val="00941467"/>
    <w:rsid w:val="00945E2B"/>
    <w:rsid w:val="00946038"/>
    <w:rsid w:val="009462EF"/>
    <w:rsid w:val="00947F2B"/>
    <w:rsid w:val="00954713"/>
    <w:rsid w:val="0095575A"/>
    <w:rsid w:val="009558C1"/>
    <w:rsid w:val="00961C86"/>
    <w:rsid w:val="009637F1"/>
    <w:rsid w:val="00965308"/>
    <w:rsid w:val="00965639"/>
    <w:rsid w:val="00966687"/>
    <w:rsid w:val="00971093"/>
    <w:rsid w:val="00972296"/>
    <w:rsid w:val="0097247C"/>
    <w:rsid w:val="00973B62"/>
    <w:rsid w:val="009755ED"/>
    <w:rsid w:val="00977C24"/>
    <w:rsid w:val="00980062"/>
    <w:rsid w:val="00980066"/>
    <w:rsid w:val="00981EE4"/>
    <w:rsid w:val="009838A4"/>
    <w:rsid w:val="00984E83"/>
    <w:rsid w:val="0098531B"/>
    <w:rsid w:val="0098736F"/>
    <w:rsid w:val="00987F38"/>
    <w:rsid w:val="00994880"/>
    <w:rsid w:val="009964E9"/>
    <w:rsid w:val="009A1DE6"/>
    <w:rsid w:val="009A3601"/>
    <w:rsid w:val="009A400C"/>
    <w:rsid w:val="009A4BD8"/>
    <w:rsid w:val="009A7C62"/>
    <w:rsid w:val="009A7DF6"/>
    <w:rsid w:val="009B028B"/>
    <w:rsid w:val="009B43E2"/>
    <w:rsid w:val="009B466C"/>
    <w:rsid w:val="009B6198"/>
    <w:rsid w:val="009B6AD0"/>
    <w:rsid w:val="009C1FB6"/>
    <w:rsid w:val="009C3683"/>
    <w:rsid w:val="009C3E8B"/>
    <w:rsid w:val="009C3FF8"/>
    <w:rsid w:val="009C59F1"/>
    <w:rsid w:val="009C63D5"/>
    <w:rsid w:val="009D0B64"/>
    <w:rsid w:val="009D24B3"/>
    <w:rsid w:val="009D4FD6"/>
    <w:rsid w:val="009D504B"/>
    <w:rsid w:val="009D63D4"/>
    <w:rsid w:val="009E19E1"/>
    <w:rsid w:val="009E1F5D"/>
    <w:rsid w:val="009E24EC"/>
    <w:rsid w:val="009E34E6"/>
    <w:rsid w:val="009E7C8E"/>
    <w:rsid w:val="009F0CCC"/>
    <w:rsid w:val="009F0DE9"/>
    <w:rsid w:val="009F6455"/>
    <w:rsid w:val="00A0046A"/>
    <w:rsid w:val="00A009B0"/>
    <w:rsid w:val="00A00FF5"/>
    <w:rsid w:val="00A016D9"/>
    <w:rsid w:val="00A03EB4"/>
    <w:rsid w:val="00A06BCA"/>
    <w:rsid w:val="00A0753D"/>
    <w:rsid w:val="00A07C82"/>
    <w:rsid w:val="00A07E10"/>
    <w:rsid w:val="00A136C7"/>
    <w:rsid w:val="00A15340"/>
    <w:rsid w:val="00A1638C"/>
    <w:rsid w:val="00A16E04"/>
    <w:rsid w:val="00A17389"/>
    <w:rsid w:val="00A2033A"/>
    <w:rsid w:val="00A217A7"/>
    <w:rsid w:val="00A23179"/>
    <w:rsid w:val="00A27B05"/>
    <w:rsid w:val="00A308E3"/>
    <w:rsid w:val="00A31E29"/>
    <w:rsid w:val="00A3252B"/>
    <w:rsid w:val="00A40409"/>
    <w:rsid w:val="00A41626"/>
    <w:rsid w:val="00A418B2"/>
    <w:rsid w:val="00A4280F"/>
    <w:rsid w:val="00A46884"/>
    <w:rsid w:val="00A50C19"/>
    <w:rsid w:val="00A51673"/>
    <w:rsid w:val="00A530FF"/>
    <w:rsid w:val="00A5334D"/>
    <w:rsid w:val="00A54852"/>
    <w:rsid w:val="00A54858"/>
    <w:rsid w:val="00A56811"/>
    <w:rsid w:val="00A57889"/>
    <w:rsid w:val="00A61496"/>
    <w:rsid w:val="00A61849"/>
    <w:rsid w:val="00A64DCD"/>
    <w:rsid w:val="00A71499"/>
    <w:rsid w:val="00A719A1"/>
    <w:rsid w:val="00A7719A"/>
    <w:rsid w:val="00A8048C"/>
    <w:rsid w:val="00A806FF"/>
    <w:rsid w:val="00A878AB"/>
    <w:rsid w:val="00A87BCB"/>
    <w:rsid w:val="00A92770"/>
    <w:rsid w:val="00A9377B"/>
    <w:rsid w:val="00A9458E"/>
    <w:rsid w:val="00A9578A"/>
    <w:rsid w:val="00A96BB0"/>
    <w:rsid w:val="00A97B9A"/>
    <w:rsid w:val="00AA0E38"/>
    <w:rsid w:val="00AA13F8"/>
    <w:rsid w:val="00AA593F"/>
    <w:rsid w:val="00AA6CAA"/>
    <w:rsid w:val="00AA7989"/>
    <w:rsid w:val="00AA7CAB"/>
    <w:rsid w:val="00AB163C"/>
    <w:rsid w:val="00AB19DD"/>
    <w:rsid w:val="00AB203E"/>
    <w:rsid w:val="00AB2795"/>
    <w:rsid w:val="00AB3343"/>
    <w:rsid w:val="00AB5236"/>
    <w:rsid w:val="00AC18EA"/>
    <w:rsid w:val="00AD102F"/>
    <w:rsid w:val="00AD1856"/>
    <w:rsid w:val="00AD272A"/>
    <w:rsid w:val="00AD5B2C"/>
    <w:rsid w:val="00AD6CA2"/>
    <w:rsid w:val="00AD7788"/>
    <w:rsid w:val="00AE0C72"/>
    <w:rsid w:val="00AE0C92"/>
    <w:rsid w:val="00AE1297"/>
    <w:rsid w:val="00AE2BE8"/>
    <w:rsid w:val="00AE3AD7"/>
    <w:rsid w:val="00AF0E7B"/>
    <w:rsid w:val="00AF1E81"/>
    <w:rsid w:val="00B00430"/>
    <w:rsid w:val="00B02D2D"/>
    <w:rsid w:val="00B03C3B"/>
    <w:rsid w:val="00B03FC6"/>
    <w:rsid w:val="00B07FDB"/>
    <w:rsid w:val="00B107C2"/>
    <w:rsid w:val="00B113A6"/>
    <w:rsid w:val="00B14BCE"/>
    <w:rsid w:val="00B16999"/>
    <w:rsid w:val="00B21414"/>
    <w:rsid w:val="00B2225D"/>
    <w:rsid w:val="00B22BF7"/>
    <w:rsid w:val="00B24A22"/>
    <w:rsid w:val="00B27567"/>
    <w:rsid w:val="00B33465"/>
    <w:rsid w:val="00B3555B"/>
    <w:rsid w:val="00B3640F"/>
    <w:rsid w:val="00B372A3"/>
    <w:rsid w:val="00B47F89"/>
    <w:rsid w:val="00B51DB1"/>
    <w:rsid w:val="00B52955"/>
    <w:rsid w:val="00B55163"/>
    <w:rsid w:val="00B564FC"/>
    <w:rsid w:val="00B57DFF"/>
    <w:rsid w:val="00B608A0"/>
    <w:rsid w:val="00B610A5"/>
    <w:rsid w:val="00B62341"/>
    <w:rsid w:val="00B65EAC"/>
    <w:rsid w:val="00B66788"/>
    <w:rsid w:val="00B66C9B"/>
    <w:rsid w:val="00B70C1A"/>
    <w:rsid w:val="00B71D8B"/>
    <w:rsid w:val="00B72937"/>
    <w:rsid w:val="00B72ABF"/>
    <w:rsid w:val="00B73EC6"/>
    <w:rsid w:val="00B740AD"/>
    <w:rsid w:val="00B766F9"/>
    <w:rsid w:val="00B800A3"/>
    <w:rsid w:val="00B81495"/>
    <w:rsid w:val="00B821C8"/>
    <w:rsid w:val="00B830DD"/>
    <w:rsid w:val="00B84778"/>
    <w:rsid w:val="00B85717"/>
    <w:rsid w:val="00B8779B"/>
    <w:rsid w:val="00B938C0"/>
    <w:rsid w:val="00B94A97"/>
    <w:rsid w:val="00B97E83"/>
    <w:rsid w:val="00BA1669"/>
    <w:rsid w:val="00BA1857"/>
    <w:rsid w:val="00BA2A4D"/>
    <w:rsid w:val="00BA7BFF"/>
    <w:rsid w:val="00BB05D0"/>
    <w:rsid w:val="00BB0D39"/>
    <w:rsid w:val="00BB1ADE"/>
    <w:rsid w:val="00BB2A16"/>
    <w:rsid w:val="00BB2D8B"/>
    <w:rsid w:val="00BB3B7C"/>
    <w:rsid w:val="00BB6EA8"/>
    <w:rsid w:val="00BB72F7"/>
    <w:rsid w:val="00BC19CD"/>
    <w:rsid w:val="00BC2E7D"/>
    <w:rsid w:val="00BC3B22"/>
    <w:rsid w:val="00BC6ACA"/>
    <w:rsid w:val="00BD0EDB"/>
    <w:rsid w:val="00BD12E9"/>
    <w:rsid w:val="00BD6E24"/>
    <w:rsid w:val="00BE0A74"/>
    <w:rsid w:val="00BE0EB2"/>
    <w:rsid w:val="00BE0FA6"/>
    <w:rsid w:val="00BE1BAA"/>
    <w:rsid w:val="00BE27E2"/>
    <w:rsid w:val="00BE2CBA"/>
    <w:rsid w:val="00BE2E3D"/>
    <w:rsid w:val="00BE2EC1"/>
    <w:rsid w:val="00BE3FF4"/>
    <w:rsid w:val="00BE53D4"/>
    <w:rsid w:val="00BE57BB"/>
    <w:rsid w:val="00BE5974"/>
    <w:rsid w:val="00BE7D9A"/>
    <w:rsid w:val="00BF1003"/>
    <w:rsid w:val="00BF23DB"/>
    <w:rsid w:val="00BF29A3"/>
    <w:rsid w:val="00BF55EB"/>
    <w:rsid w:val="00BF5DD8"/>
    <w:rsid w:val="00BF769C"/>
    <w:rsid w:val="00C010E7"/>
    <w:rsid w:val="00C053A1"/>
    <w:rsid w:val="00C061B1"/>
    <w:rsid w:val="00C104BF"/>
    <w:rsid w:val="00C12259"/>
    <w:rsid w:val="00C1642F"/>
    <w:rsid w:val="00C16709"/>
    <w:rsid w:val="00C20757"/>
    <w:rsid w:val="00C240E3"/>
    <w:rsid w:val="00C250D7"/>
    <w:rsid w:val="00C25681"/>
    <w:rsid w:val="00C26E05"/>
    <w:rsid w:val="00C27D44"/>
    <w:rsid w:val="00C27F6A"/>
    <w:rsid w:val="00C31D85"/>
    <w:rsid w:val="00C37414"/>
    <w:rsid w:val="00C446D7"/>
    <w:rsid w:val="00C44839"/>
    <w:rsid w:val="00C51096"/>
    <w:rsid w:val="00C51409"/>
    <w:rsid w:val="00C517B8"/>
    <w:rsid w:val="00C528BF"/>
    <w:rsid w:val="00C53755"/>
    <w:rsid w:val="00C54A68"/>
    <w:rsid w:val="00C54CB1"/>
    <w:rsid w:val="00C5619D"/>
    <w:rsid w:val="00C57056"/>
    <w:rsid w:val="00C57403"/>
    <w:rsid w:val="00C60F98"/>
    <w:rsid w:val="00C60F9F"/>
    <w:rsid w:val="00C61BD2"/>
    <w:rsid w:val="00C63024"/>
    <w:rsid w:val="00C636BC"/>
    <w:rsid w:val="00C64A18"/>
    <w:rsid w:val="00C652DA"/>
    <w:rsid w:val="00C65DE0"/>
    <w:rsid w:val="00C66185"/>
    <w:rsid w:val="00C71CE4"/>
    <w:rsid w:val="00C71E6E"/>
    <w:rsid w:val="00C80445"/>
    <w:rsid w:val="00C80E26"/>
    <w:rsid w:val="00C812D3"/>
    <w:rsid w:val="00C8136A"/>
    <w:rsid w:val="00C84D3A"/>
    <w:rsid w:val="00C850E3"/>
    <w:rsid w:val="00C86B8F"/>
    <w:rsid w:val="00C90162"/>
    <w:rsid w:val="00C929A3"/>
    <w:rsid w:val="00C94FAA"/>
    <w:rsid w:val="00C9607E"/>
    <w:rsid w:val="00C964DB"/>
    <w:rsid w:val="00C96DA2"/>
    <w:rsid w:val="00C9752F"/>
    <w:rsid w:val="00CA0D3F"/>
    <w:rsid w:val="00CA2099"/>
    <w:rsid w:val="00CA4714"/>
    <w:rsid w:val="00CA48D2"/>
    <w:rsid w:val="00CA62D2"/>
    <w:rsid w:val="00CA666D"/>
    <w:rsid w:val="00CA7125"/>
    <w:rsid w:val="00CB0DF8"/>
    <w:rsid w:val="00CB40DA"/>
    <w:rsid w:val="00CB718A"/>
    <w:rsid w:val="00CB7EAE"/>
    <w:rsid w:val="00CC011F"/>
    <w:rsid w:val="00CC3149"/>
    <w:rsid w:val="00CC480F"/>
    <w:rsid w:val="00CC7F11"/>
    <w:rsid w:val="00CD17CF"/>
    <w:rsid w:val="00CD2226"/>
    <w:rsid w:val="00CD3093"/>
    <w:rsid w:val="00CD3DFF"/>
    <w:rsid w:val="00CD3FFA"/>
    <w:rsid w:val="00CD7BE9"/>
    <w:rsid w:val="00CE4DDC"/>
    <w:rsid w:val="00CE522A"/>
    <w:rsid w:val="00CE61B5"/>
    <w:rsid w:val="00CF0376"/>
    <w:rsid w:val="00CF0D72"/>
    <w:rsid w:val="00CF27EA"/>
    <w:rsid w:val="00CF2B0C"/>
    <w:rsid w:val="00CF5CAF"/>
    <w:rsid w:val="00CF75F1"/>
    <w:rsid w:val="00CF76A4"/>
    <w:rsid w:val="00CF79C6"/>
    <w:rsid w:val="00D00A74"/>
    <w:rsid w:val="00D00BA3"/>
    <w:rsid w:val="00D00F7C"/>
    <w:rsid w:val="00D013A3"/>
    <w:rsid w:val="00D02DEA"/>
    <w:rsid w:val="00D02F11"/>
    <w:rsid w:val="00D042FE"/>
    <w:rsid w:val="00D1118A"/>
    <w:rsid w:val="00D112E8"/>
    <w:rsid w:val="00D12AA4"/>
    <w:rsid w:val="00D17C2D"/>
    <w:rsid w:val="00D20303"/>
    <w:rsid w:val="00D21532"/>
    <w:rsid w:val="00D223AD"/>
    <w:rsid w:val="00D239EB"/>
    <w:rsid w:val="00D246FE"/>
    <w:rsid w:val="00D26825"/>
    <w:rsid w:val="00D3083C"/>
    <w:rsid w:val="00D30A09"/>
    <w:rsid w:val="00D30AE6"/>
    <w:rsid w:val="00D30CA7"/>
    <w:rsid w:val="00D320ED"/>
    <w:rsid w:val="00D369D7"/>
    <w:rsid w:val="00D37E25"/>
    <w:rsid w:val="00D4004D"/>
    <w:rsid w:val="00D40D03"/>
    <w:rsid w:val="00D424B2"/>
    <w:rsid w:val="00D42988"/>
    <w:rsid w:val="00D44093"/>
    <w:rsid w:val="00D44618"/>
    <w:rsid w:val="00D47860"/>
    <w:rsid w:val="00D5048C"/>
    <w:rsid w:val="00D53088"/>
    <w:rsid w:val="00D55D8D"/>
    <w:rsid w:val="00D5619E"/>
    <w:rsid w:val="00D60EFD"/>
    <w:rsid w:val="00D61E84"/>
    <w:rsid w:val="00D627CA"/>
    <w:rsid w:val="00D63CF3"/>
    <w:rsid w:val="00D65227"/>
    <w:rsid w:val="00D65962"/>
    <w:rsid w:val="00D65F27"/>
    <w:rsid w:val="00D72065"/>
    <w:rsid w:val="00D729ED"/>
    <w:rsid w:val="00D73333"/>
    <w:rsid w:val="00D74598"/>
    <w:rsid w:val="00D7475B"/>
    <w:rsid w:val="00D74C3E"/>
    <w:rsid w:val="00D76D16"/>
    <w:rsid w:val="00D80E2E"/>
    <w:rsid w:val="00D878D1"/>
    <w:rsid w:val="00D93F9A"/>
    <w:rsid w:val="00D9404D"/>
    <w:rsid w:val="00D9455A"/>
    <w:rsid w:val="00D9575F"/>
    <w:rsid w:val="00D96F57"/>
    <w:rsid w:val="00D979D4"/>
    <w:rsid w:val="00DA0A97"/>
    <w:rsid w:val="00DA2C30"/>
    <w:rsid w:val="00DA2F12"/>
    <w:rsid w:val="00DA3A87"/>
    <w:rsid w:val="00DA3C95"/>
    <w:rsid w:val="00DA49AC"/>
    <w:rsid w:val="00DA5DB0"/>
    <w:rsid w:val="00DA65CE"/>
    <w:rsid w:val="00DB16F4"/>
    <w:rsid w:val="00DB1A75"/>
    <w:rsid w:val="00DB3F18"/>
    <w:rsid w:val="00DB6619"/>
    <w:rsid w:val="00DB6CA1"/>
    <w:rsid w:val="00DC1A5A"/>
    <w:rsid w:val="00DC1AFE"/>
    <w:rsid w:val="00DC1FAB"/>
    <w:rsid w:val="00DC344C"/>
    <w:rsid w:val="00DC39C5"/>
    <w:rsid w:val="00DC3AC2"/>
    <w:rsid w:val="00DC55FE"/>
    <w:rsid w:val="00DC79D5"/>
    <w:rsid w:val="00DD0F51"/>
    <w:rsid w:val="00DD0FAD"/>
    <w:rsid w:val="00DD132E"/>
    <w:rsid w:val="00DD4446"/>
    <w:rsid w:val="00DD48C0"/>
    <w:rsid w:val="00DD5CF4"/>
    <w:rsid w:val="00DD64D0"/>
    <w:rsid w:val="00DD6D74"/>
    <w:rsid w:val="00DE0576"/>
    <w:rsid w:val="00DE1D89"/>
    <w:rsid w:val="00DE210D"/>
    <w:rsid w:val="00DE2F9C"/>
    <w:rsid w:val="00DE3DFC"/>
    <w:rsid w:val="00DE44BF"/>
    <w:rsid w:val="00DE7A0E"/>
    <w:rsid w:val="00DF10CE"/>
    <w:rsid w:val="00DF15AF"/>
    <w:rsid w:val="00DF6541"/>
    <w:rsid w:val="00DF6949"/>
    <w:rsid w:val="00E010B6"/>
    <w:rsid w:val="00E0267B"/>
    <w:rsid w:val="00E02A9D"/>
    <w:rsid w:val="00E031A9"/>
    <w:rsid w:val="00E05B74"/>
    <w:rsid w:val="00E06687"/>
    <w:rsid w:val="00E07AF7"/>
    <w:rsid w:val="00E12299"/>
    <w:rsid w:val="00E156C2"/>
    <w:rsid w:val="00E15F86"/>
    <w:rsid w:val="00E20668"/>
    <w:rsid w:val="00E2157D"/>
    <w:rsid w:val="00E216C5"/>
    <w:rsid w:val="00E226E8"/>
    <w:rsid w:val="00E2280B"/>
    <w:rsid w:val="00E228FC"/>
    <w:rsid w:val="00E236DA"/>
    <w:rsid w:val="00E23C7C"/>
    <w:rsid w:val="00E25CD3"/>
    <w:rsid w:val="00E27EF8"/>
    <w:rsid w:val="00E27F11"/>
    <w:rsid w:val="00E30964"/>
    <w:rsid w:val="00E31216"/>
    <w:rsid w:val="00E326AD"/>
    <w:rsid w:val="00E36EC3"/>
    <w:rsid w:val="00E37266"/>
    <w:rsid w:val="00E40CC3"/>
    <w:rsid w:val="00E41F45"/>
    <w:rsid w:val="00E439A9"/>
    <w:rsid w:val="00E43E81"/>
    <w:rsid w:val="00E44512"/>
    <w:rsid w:val="00E449C4"/>
    <w:rsid w:val="00E466EE"/>
    <w:rsid w:val="00E50119"/>
    <w:rsid w:val="00E5441C"/>
    <w:rsid w:val="00E54C4C"/>
    <w:rsid w:val="00E5555D"/>
    <w:rsid w:val="00E55711"/>
    <w:rsid w:val="00E57FBF"/>
    <w:rsid w:val="00E64FA6"/>
    <w:rsid w:val="00E6611E"/>
    <w:rsid w:val="00E66C5F"/>
    <w:rsid w:val="00E67170"/>
    <w:rsid w:val="00E70F76"/>
    <w:rsid w:val="00E742FD"/>
    <w:rsid w:val="00E754A0"/>
    <w:rsid w:val="00E760E8"/>
    <w:rsid w:val="00E76AB8"/>
    <w:rsid w:val="00E7753F"/>
    <w:rsid w:val="00E80591"/>
    <w:rsid w:val="00E80F92"/>
    <w:rsid w:val="00E81AB0"/>
    <w:rsid w:val="00E82525"/>
    <w:rsid w:val="00E84571"/>
    <w:rsid w:val="00E84A03"/>
    <w:rsid w:val="00E84F20"/>
    <w:rsid w:val="00E84F4C"/>
    <w:rsid w:val="00E85734"/>
    <w:rsid w:val="00E859DA"/>
    <w:rsid w:val="00E87522"/>
    <w:rsid w:val="00E877CA"/>
    <w:rsid w:val="00E87F53"/>
    <w:rsid w:val="00E90635"/>
    <w:rsid w:val="00E911BE"/>
    <w:rsid w:val="00E92511"/>
    <w:rsid w:val="00E97162"/>
    <w:rsid w:val="00E97A39"/>
    <w:rsid w:val="00EA2610"/>
    <w:rsid w:val="00EA26AD"/>
    <w:rsid w:val="00EA3907"/>
    <w:rsid w:val="00EB19E2"/>
    <w:rsid w:val="00EB1F5A"/>
    <w:rsid w:val="00EB359F"/>
    <w:rsid w:val="00EB35E5"/>
    <w:rsid w:val="00EB416C"/>
    <w:rsid w:val="00EB53D3"/>
    <w:rsid w:val="00EB547D"/>
    <w:rsid w:val="00EB62D6"/>
    <w:rsid w:val="00EB6926"/>
    <w:rsid w:val="00EC0321"/>
    <w:rsid w:val="00EC1A5C"/>
    <w:rsid w:val="00EC4E13"/>
    <w:rsid w:val="00EC678A"/>
    <w:rsid w:val="00EC7AF9"/>
    <w:rsid w:val="00ED1CD3"/>
    <w:rsid w:val="00ED29F0"/>
    <w:rsid w:val="00ED5554"/>
    <w:rsid w:val="00ED6FA4"/>
    <w:rsid w:val="00EE05B2"/>
    <w:rsid w:val="00EE3620"/>
    <w:rsid w:val="00EE53CA"/>
    <w:rsid w:val="00EE78D3"/>
    <w:rsid w:val="00EF0CFF"/>
    <w:rsid w:val="00EF1CE8"/>
    <w:rsid w:val="00EF2A58"/>
    <w:rsid w:val="00EF441E"/>
    <w:rsid w:val="00F03B64"/>
    <w:rsid w:val="00F04838"/>
    <w:rsid w:val="00F04A0C"/>
    <w:rsid w:val="00F04CA4"/>
    <w:rsid w:val="00F06799"/>
    <w:rsid w:val="00F067D0"/>
    <w:rsid w:val="00F104DA"/>
    <w:rsid w:val="00F11495"/>
    <w:rsid w:val="00F11672"/>
    <w:rsid w:val="00F15178"/>
    <w:rsid w:val="00F17F4B"/>
    <w:rsid w:val="00F20DC6"/>
    <w:rsid w:val="00F2299F"/>
    <w:rsid w:val="00F259CE"/>
    <w:rsid w:val="00F26328"/>
    <w:rsid w:val="00F267AB"/>
    <w:rsid w:val="00F26D2E"/>
    <w:rsid w:val="00F27740"/>
    <w:rsid w:val="00F32DAF"/>
    <w:rsid w:val="00F33DDC"/>
    <w:rsid w:val="00F35372"/>
    <w:rsid w:val="00F37C38"/>
    <w:rsid w:val="00F4063D"/>
    <w:rsid w:val="00F408DE"/>
    <w:rsid w:val="00F40B0B"/>
    <w:rsid w:val="00F40C3C"/>
    <w:rsid w:val="00F41A89"/>
    <w:rsid w:val="00F42312"/>
    <w:rsid w:val="00F43722"/>
    <w:rsid w:val="00F45166"/>
    <w:rsid w:val="00F54829"/>
    <w:rsid w:val="00F56832"/>
    <w:rsid w:val="00F578FC"/>
    <w:rsid w:val="00F57D87"/>
    <w:rsid w:val="00F57F46"/>
    <w:rsid w:val="00F728F2"/>
    <w:rsid w:val="00F73EFF"/>
    <w:rsid w:val="00F76FEC"/>
    <w:rsid w:val="00F8161A"/>
    <w:rsid w:val="00F82622"/>
    <w:rsid w:val="00F8442A"/>
    <w:rsid w:val="00F84668"/>
    <w:rsid w:val="00F857D4"/>
    <w:rsid w:val="00F8629A"/>
    <w:rsid w:val="00F871B9"/>
    <w:rsid w:val="00F871CF"/>
    <w:rsid w:val="00F9120A"/>
    <w:rsid w:val="00F92E87"/>
    <w:rsid w:val="00F95299"/>
    <w:rsid w:val="00FA15F9"/>
    <w:rsid w:val="00FA3864"/>
    <w:rsid w:val="00FA4A31"/>
    <w:rsid w:val="00FA58B6"/>
    <w:rsid w:val="00FB0E51"/>
    <w:rsid w:val="00FB139B"/>
    <w:rsid w:val="00FB4272"/>
    <w:rsid w:val="00FB46D5"/>
    <w:rsid w:val="00FB5230"/>
    <w:rsid w:val="00FB6AE6"/>
    <w:rsid w:val="00FB6B65"/>
    <w:rsid w:val="00FC0B8D"/>
    <w:rsid w:val="00FC0F10"/>
    <w:rsid w:val="00FC1254"/>
    <w:rsid w:val="00FC7C36"/>
    <w:rsid w:val="00FD01C0"/>
    <w:rsid w:val="00FD0C36"/>
    <w:rsid w:val="00FD1740"/>
    <w:rsid w:val="00FD29D8"/>
    <w:rsid w:val="00FD5229"/>
    <w:rsid w:val="00FD59C5"/>
    <w:rsid w:val="00FE08CD"/>
    <w:rsid w:val="00FE0FF1"/>
    <w:rsid w:val="00FE13FC"/>
    <w:rsid w:val="00FE1906"/>
    <w:rsid w:val="00FE2537"/>
    <w:rsid w:val="00FE2977"/>
    <w:rsid w:val="00FE3578"/>
    <w:rsid w:val="00FE4057"/>
    <w:rsid w:val="00FE561C"/>
    <w:rsid w:val="00FF3A36"/>
    <w:rsid w:val="00FF564D"/>
    <w:rsid w:val="00FF57D4"/>
    <w:rsid w:val="00FF7B76"/>
    <w:rsid w:val="010177A9"/>
    <w:rsid w:val="01AA1075"/>
    <w:rsid w:val="01E601CB"/>
    <w:rsid w:val="0262198A"/>
    <w:rsid w:val="027125E7"/>
    <w:rsid w:val="02FC4058"/>
    <w:rsid w:val="0343794D"/>
    <w:rsid w:val="0399249D"/>
    <w:rsid w:val="04A6144B"/>
    <w:rsid w:val="057A31BF"/>
    <w:rsid w:val="0582190D"/>
    <w:rsid w:val="059471FC"/>
    <w:rsid w:val="05BC001D"/>
    <w:rsid w:val="05BC1D05"/>
    <w:rsid w:val="05C83B06"/>
    <w:rsid w:val="06366DF5"/>
    <w:rsid w:val="063F2E7B"/>
    <w:rsid w:val="073E0FCE"/>
    <w:rsid w:val="079C42F6"/>
    <w:rsid w:val="07AA75D1"/>
    <w:rsid w:val="07D0365B"/>
    <w:rsid w:val="091351EB"/>
    <w:rsid w:val="09394FCD"/>
    <w:rsid w:val="0969145E"/>
    <w:rsid w:val="0A010B6A"/>
    <w:rsid w:val="0A257523"/>
    <w:rsid w:val="0A337EBD"/>
    <w:rsid w:val="0A9942B7"/>
    <w:rsid w:val="0AD34700"/>
    <w:rsid w:val="0B406315"/>
    <w:rsid w:val="0B853A46"/>
    <w:rsid w:val="0C1D6C7E"/>
    <w:rsid w:val="0C2C355C"/>
    <w:rsid w:val="0C4E68F5"/>
    <w:rsid w:val="0C9257D4"/>
    <w:rsid w:val="0CA6595A"/>
    <w:rsid w:val="0CE00E04"/>
    <w:rsid w:val="0D5D3149"/>
    <w:rsid w:val="0D7C318A"/>
    <w:rsid w:val="0D9E3F89"/>
    <w:rsid w:val="0DD472B9"/>
    <w:rsid w:val="0E250466"/>
    <w:rsid w:val="0E2F1724"/>
    <w:rsid w:val="0E704355"/>
    <w:rsid w:val="0FCB3535"/>
    <w:rsid w:val="0FD50A91"/>
    <w:rsid w:val="100E2EE7"/>
    <w:rsid w:val="10121737"/>
    <w:rsid w:val="1037640F"/>
    <w:rsid w:val="116271C8"/>
    <w:rsid w:val="11D47E42"/>
    <w:rsid w:val="124A70DD"/>
    <w:rsid w:val="12577104"/>
    <w:rsid w:val="12887DC0"/>
    <w:rsid w:val="12DF73C8"/>
    <w:rsid w:val="13222128"/>
    <w:rsid w:val="146A5C49"/>
    <w:rsid w:val="149524D9"/>
    <w:rsid w:val="14C165F8"/>
    <w:rsid w:val="156F19A3"/>
    <w:rsid w:val="15950306"/>
    <w:rsid w:val="15FD346D"/>
    <w:rsid w:val="16C17E2A"/>
    <w:rsid w:val="17C12D66"/>
    <w:rsid w:val="18874EF2"/>
    <w:rsid w:val="19B66E06"/>
    <w:rsid w:val="19BC4113"/>
    <w:rsid w:val="1A3B3B84"/>
    <w:rsid w:val="1A3E33FA"/>
    <w:rsid w:val="1A4B08AC"/>
    <w:rsid w:val="1B155DAE"/>
    <w:rsid w:val="1B794DBB"/>
    <w:rsid w:val="1BD20F02"/>
    <w:rsid w:val="1BE2366C"/>
    <w:rsid w:val="1BFB31F6"/>
    <w:rsid w:val="1D721EDA"/>
    <w:rsid w:val="1DA3503C"/>
    <w:rsid w:val="1DDD667A"/>
    <w:rsid w:val="1EF13C74"/>
    <w:rsid w:val="21132D8F"/>
    <w:rsid w:val="213C0108"/>
    <w:rsid w:val="216C24A0"/>
    <w:rsid w:val="217F04EF"/>
    <w:rsid w:val="21C42B69"/>
    <w:rsid w:val="21F969EB"/>
    <w:rsid w:val="22DF08FA"/>
    <w:rsid w:val="233B3FE1"/>
    <w:rsid w:val="24603AFF"/>
    <w:rsid w:val="24A4747D"/>
    <w:rsid w:val="24F609FE"/>
    <w:rsid w:val="270A1730"/>
    <w:rsid w:val="285F53E2"/>
    <w:rsid w:val="28822269"/>
    <w:rsid w:val="28F84F11"/>
    <w:rsid w:val="29082112"/>
    <w:rsid w:val="290B3AA3"/>
    <w:rsid w:val="295A680B"/>
    <w:rsid w:val="298952A8"/>
    <w:rsid w:val="29922196"/>
    <w:rsid w:val="29B35110"/>
    <w:rsid w:val="2A8752AF"/>
    <w:rsid w:val="2B2A6414"/>
    <w:rsid w:val="2BE37275"/>
    <w:rsid w:val="2C62139B"/>
    <w:rsid w:val="2D1C4D7A"/>
    <w:rsid w:val="2E4917D8"/>
    <w:rsid w:val="2E7E566C"/>
    <w:rsid w:val="2E994256"/>
    <w:rsid w:val="2EC64D74"/>
    <w:rsid w:val="2ED1668E"/>
    <w:rsid w:val="2EFE7EFA"/>
    <w:rsid w:val="2FB45422"/>
    <w:rsid w:val="30093C05"/>
    <w:rsid w:val="30EC6FAC"/>
    <w:rsid w:val="30F15BD2"/>
    <w:rsid w:val="3155616F"/>
    <w:rsid w:val="31620EB0"/>
    <w:rsid w:val="32194CDF"/>
    <w:rsid w:val="32732600"/>
    <w:rsid w:val="32B20762"/>
    <w:rsid w:val="32FC18D5"/>
    <w:rsid w:val="33A63645"/>
    <w:rsid w:val="33DA7848"/>
    <w:rsid w:val="33FD3B57"/>
    <w:rsid w:val="340A58CF"/>
    <w:rsid w:val="35D554D8"/>
    <w:rsid w:val="37096032"/>
    <w:rsid w:val="37253B19"/>
    <w:rsid w:val="37F10C34"/>
    <w:rsid w:val="38087EEB"/>
    <w:rsid w:val="393E00EC"/>
    <w:rsid w:val="39BB7E3A"/>
    <w:rsid w:val="39E90E29"/>
    <w:rsid w:val="3A1A682F"/>
    <w:rsid w:val="3A6E56AC"/>
    <w:rsid w:val="3B1F2B4B"/>
    <w:rsid w:val="3C122E6A"/>
    <w:rsid w:val="3C3C499B"/>
    <w:rsid w:val="3CDA6C7C"/>
    <w:rsid w:val="3D2B107D"/>
    <w:rsid w:val="3D6D107C"/>
    <w:rsid w:val="3E8751F4"/>
    <w:rsid w:val="3F9065A1"/>
    <w:rsid w:val="3FB52EBE"/>
    <w:rsid w:val="3FBE1CF3"/>
    <w:rsid w:val="3FCF6064"/>
    <w:rsid w:val="401A6FE2"/>
    <w:rsid w:val="40A97995"/>
    <w:rsid w:val="40AB0497"/>
    <w:rsid w:val="41773D29"/>
    <w:rsid w:val="42D744BB"/>
    <w:rsid w:val="437C09F8"/>
    <w:rsid w:val="43994D1A"/>
    <w:rsid w:val="44017BAF"/>
    <w:rsid w:val="444132A5"/>
    <w:rsid w:val="456C56F7"/>
    <w:rsid w:val="46196262"/>
    <w:rsid w:val="46606AF2"/>
    <w:rsid w:val="474C271F"/>
    <w:rsid w:val="475168BF"/>
    <w:rsid w:val="4840269A"/>
    <w:rsid w:val="48CB60DF"/>
    <w:rsid w:val="49C00AB3"/>
    <w:rsid w:val="49CE2FB1"/>
    <w:rsid w:val="4A0927F2"/>
    <w:rsid w:val="4A405347"/>
    <w:rsid w:val="4A427972"/>
    <w:rsid w:val="4B601D84"/>
    <w:rsid w:val="4BEA7432"/>
    <w:rsid w:val="4C616004"/>
    <w:rsid w:val="4D696D83"/>
    <w:rsid w:val="4E0D2791"/>
    <w:rsid w:val="4E3E12EE"/>
    <w:rsid w:val="4E432E18"/>
    <w:rsid w:val="4F3036CA"/>
    <w:rsid w:val="50AD2502"/>
    <w:rsid w:val="51602EC1"/>
    <w:rsid w:val="52361C8D"/>
    <w:rsid w:val="528B570B"/>
    <w:rsid w:val="53234805"/>
    <w:rsid w:val="53326B1C"/>
    <w:rsid w:val="53802404"/>
    <w:rsid w:val="5386058A"/>
    <w:rsid w:val="53B5490D"/>
    <w:rsid w:val="54261CBB"/>
    <w:rsid w:val="54C2061C"/>
    <w:rsid w:val="55657E64"/>
    <w:rsid w:val="557001D3"/>
    <w:rsid w:val="55FC20DF"/>
    <w:rsid w:val="56D3199D"/>
    <w:rsid w:val="56E06EAF"/>
    <w:rsid w:val="572B4465"/>
    <w:rsid w:val="57532F22"/>
    <w:rsid w:val="57710FA1"/>
    <w:rsid w:val="598E11F9"/>
    <w:rsid w:val="59A860E0"/>
    <w:rsid w:val="59F60A9E"/>
    <w:rsid w:val="5A5657BB"/>
    <w:rsid w:val="5AD14E45"/>
    <w:rsid w:val="5AF414A1"/>
    <w:rsid w:val="5BA7038F"/>
    <w:rsid w:val="5C122A17"/>
    <w:rsid w:val="5CEB5649"/>
    <w:rsid w:val="5CF43B0D"/>
    <w:rsid w:val="5D1A3F40"/>
    <w:rsid w:val="5E0C0E8B"/>
    <w:rsid w:val="5EE1405A"/>
    <w:rsid w:val="5F1D205C"/>
    <w:rsid w:val="5F4547EE"/>
    <w:rsid w:val="5F6A457D"/>
    <w:rsid w:val="5F6D5DC5"/>
    <w:rsid w:val="603E62FA"/>
    <w:rsid w:val="605A07D1"/>
    <w:rsid w:val="60A263C5"/>
    <w:rsid w:val="60BB4BAA"/>
    <w:rsid w:val="60F357FB"/>
    <w:rsid w:val="61CF713B"/>
    <w:rsid w:val="61F12B7D"/>
    <w:rsid w:val="629C04D9"/>
    <w:rsid w:val="6324389A"/>
    <w:rsid w:val="632C2FC9"/>
    <w:rsid w:val="64064911"/>
    <w:rsid w:val="649F16D8"/>
    <w:rsid w:val="65055B18"/>
    <w:rsid w:val="68A044D6"/>
    <w:rsid w:val="68A4102A"/>
    <w:rsid w:val="6AAD30D9"/>
    <w:rsid w:val="6B1404A8"/>
    <w:rsid w:val="6B8D733F"/>
    <w:rsid w:val="6BA13F6A"/>
    <w:rsid w:val="6C0C3534"/>
    <w:rsid w:val="6C9A2B05"/>
    <w:rsid w:val="6CAC2C41"/>
    <w:rsid w:val="6CFE67F7"/>
    <w:rsid w:val="6DB637F6"/>
    <w:rsid w:val="6DEA53C9"/>
    <w:rsid w:val="6E2E2762"/>
    <w:rsid w:val="6E6D2D3D"/>
    <w:rsid w:val="6F676358"/>
    <w:rsid w:val="6F763588"/>
    <w:rsid w:val="71085F08"/>
    <w:rsid w:val="717C6E02"/>
    <w:rsid w:val="727A719D"/>
    <w:rsid w:val="727B0649"/>
    <w:rsid w:val="73BF5631"/>
    <w:rsid w:val="74B47E1D"/>
    <w:rsid w:val="75907680"/>
    <w:rsid w:val="75DC2CD4"/>
    <w:rsid w:val="760D38CB"/>
    <w:rsid w:val="76191B77"/>
    <w:rsid w:val="76737946"/>
    <w:rsid w:val="76744810"/>
    <w:rsid w:val="7690245D"/>
    <w:rsid w:val="76BD3927"/>
    <w:rsid w:val="77073978"/>
    <w:rsid w:val="779C40BA"/>
    <w:rsid w:val="78192FA8"/>
    <w:rsid w:val="7834660B"/>
    <w:rsid w:val="78DD4BCC"/>
    <w:rsid w:val="78F453E0"/>
    <w:rsid w:val="78F537C0"/>
    <w:rsid w:val="791B1E99"/>
    <w:rsid w:val="79596C7F"/>
    <w:rsid w:val="798E6ED9"/>
    <w:rsid w:val="79D231EC"/>
    <w:rsid w:val="7A260DB6"/>
    <w:rsid w:val="7B8C31E4"/>
    <w:rsid w:val="7C055DE8"/>
    <w:rsid w:val="7C1A79BA"/>
    <w:rsid w:val="7C2A3792"/>
    <w:rsid w:val="7C9A1B98"/>
    <w:rsid w:val="7D83121C"/>
    <w:rsid w:val="7DE041D9"/>
    <w:rsid w:val="7E7C69F3"/>
    <w:rsid w:val="7E8C6756"/>
    <w:rsid w:val="7F457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47"/>
    <w:qFormat/>
    <w:uiPriority w:val="0"/>
    <w:pPr>
      <w:keepNext/>
      <w:keepLines/>
      <w:widowControl w:val="0"/>
      <w:autoSpaceDE w:val="0"/>
      <w:autoSpaceDN w:val="0"/>
      <w:adjustRightInd w:val="0"/>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widowControl w:val="0"/>
      <w:spacing w:before="260" w:after="260" w:line="416" w:lineRule="auto"/>
      <w:jc w:val="both"/>
      <w:outlineLvl w:val="1"/>
    </w:pPr>
    <w:rPr>
      <w:rFonts w:ascii="Arial" w:hAnsi="Arial" w:eastAsia="黑体"/>
      <w:b/>
      <w:bCs/>
      <w:sz w:val="32"/>
      <w:szCs w:val="32"/>
      <w:lang w:val="zh-CN"/>
    </w:rPr>
  </w:style>
  <w:style w:type="paragraph" w:styleId="6">
    <w:name w:val="heading 3"/>
    <w:basedOn w:val="1"/>
    <w:next w:val="1"/>
    <w:link w:val="49"/>
    <w:qFormat/>
    <w:uiPriority w:val="0"/>
    <w:pPr>
      <w:keepNext/>
      <w:widowControl w:val="0"/>
      <w:jc w:val="both"/>
      <w:outlineLvl w:val="2"/>
    </w:pPr>
    <w:rPr>
      <w:rFonts w:ascii="楷体_GB2312" w:hAnsi="宋体" w:eastAsia="楷体_GB2312"/>
      <w:b/>
      <w:bCs/>
      <w:kern w:val="2"/>
      <w:sz w:val="32"/>
    </w:rPr>
  </w:style>
  <w:style w:type="paragraph" w:styleId="7">
    <w:name w:val="heading 4"/>
    <w:basedOn w:val="1"/>
    <w:next w:val="1"/>
    <w:link w:val="5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51"/>
    <w:qFormat/>
    <w:uiPriority w:val="0"/>
    <w:pPr>
      <w:keepNext/>
      <w:keepLines/>
      <w:spacing w:before="280" w:after="290" w:line="376" w:lineRule="auto"/>
      <w:outlineLvl w:val="4"/>
    </w:pPr>
    <w:rPr>
      <w:b/>
      <w:bCs/>
      <w:sz w:val="28"/>
      <w:szCs w:val="28"/>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rPr>
  </w:style>
  <w:style w:type="paragraph" w:styleId="10">
    <w:name w:val="heading 7"/>
    <w:basedOn w:val="1"/>
    <w:next w:val="1"/>
    <w:link w:val="53"/>
    <w:qFormat/>
    <w:uiPriority w:val="0"/>
    <w:pPr>
      <w:keepNext/>
      <w:keepLines/>
      <w:spacing w:before="240" w:after="64" w:line="320" w:lineRule="auto"/>
      <w:outlineLvl w:val="6"/>
    </w:pPr>
    <w:rPr>
      <w:b/>
      <w:bCs/>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 w:val="21"/>
      <w:szCs w:val="21"/>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640"/>
    </w:pPr>
    <w:rPr>
      <w:rFonts w:ascii="宋体" w:hAnsi="宋体"/>
      <w:sz w:val="24"/>
      <w:szCs w:val="30"/>
    </w:rPr>
  </w:style>
  <w:style w:type="paragraph" w:styleId="3">
    <w:name w:val="Body Text Indent"/>
    <w:basedOn w:val="1"/>
    <w:link w:val="61"/>
    <w:qFormat/>
    <w:uiPriority w:val="0"/>
    <w:pPr>
      <w:widowControl w:val="0"/>
      <w:spacing w:line="560" w:lineRule="exact"/>
      <w:ind w:left="300"/>
      <w:jc w:val="both"/>
    </w:pPr>
    <w:rPr>
      <w:kern w:val="2"/>
    </w:rPr>
  </w:style>
  <w:style w:type="paragraph" w:styleId="13">
    <w:name w:val="toc 7"/>
    <w:basedOn w:val="1"/>
    <w:next w:val="1"/>
    <w:qFormat/>
    <w:uiPriority w:val="0"/>
    <w:pPr>
      <w:widowControl w:val="0"/>
      <w:ind w:left="1260"/>
    </w:pPr>
    <w:rPr>
      <w:rFonts w:ascii="Calibri" w:hAnsi="Calibri" w:cs="Calibri"/>
      <w:kern w:val="2"/>
      <w:sz w:val="18"/>
      <w:szCs w:val="18"/>
    </w:rPr>
  </w:style>
  <w:style w:type="paragraph" w:styleId="14">
    <w:name w:val="Normal Indent"/>
    <w:basedOn w:val="1"/>
    <w:link w:val="56"/>
    <w:qFormat/>
    <w:uiPriority w:val="0"/>
    <w:pPr>
      <w:widowControl w:val="0"/>
      <w:ind w:firstLine="420"/>
      <w:jc w:val="both"/>
    </w:pPr>
    <w:rPr>
      <w:kern w:val="2"/>
      <w:sz w:val="21"/>
      <w:szCs w:val="22"/>
    </w:rPr>
  </w:style>
  <w:style w:type="paragraph" w:styleId="15">
    <w:name w:val="Document Map"/>
    <w:basedOn w:val="1"/>
    <w:link w:val="57"/>
    <w:qFormat/>
    <w:uiPriority w:val="0"/>
    <w:pPr>
      <w:widowControl w:val="0"/>
      <w:shd w:val="clear" w:color="auto" w:fill="000080"/>
      <w:jc w:val="both"/>
    </w:pPr>
    <w:rPr>
      <w:kern w:val="2"/>
      <w:sz w:val="21"/>
      <w:szCs w:val="20"/>
    </w:rPr>
  </w:style>
  <w:style w:type="paragraph" w:styleId="16">
    <w:name w:val="annotation text"/>
    <w:basedOn w:val="1"/>
    <w:link w:val="58"/>
    <w:qFormat/>
    <w:uiPriority w:val="0"/>
    <w:pPr>
      <w:widowControl w:val="0"/>
      <w:autoSpaceDE w:val="0"/>
      <w:autoSpaceDN w:val="0"/>
      <w:adjustRightInd w:val="0"/>
    </w:pPr>
    <w:rPr>
      <w:sz w:val="20"/>
      <w:szCs w:val="20"/>
    </w:rPr>
  </w:style>
  <w:style w:type="paragraph" w:styleId="17">
    <w:name w:val="Body Text 3"/>
    <w:basedOn w:val="1"/>
    <w:link w:val="59"/>
    <w:qFormat/>
    <w:uiPriority w:val="0"/>
    <w:pPr>
      <w:widowControl w:val="0"/>
      <w:spacing w:after="120"/>
      <w:jc w:val="both"/>
    </w:pPr>
    <w:rPr>
      <w:kern w:val="2"/>
      <w:sz w:val="16"/>
      <w:szCs w:val="16"/>
    </w:rPr>
  </w:style>
  <w:style w:type="paragraph" w:styleId="18">
    <w:name w:val="Body Text"/>
    <w:basedOn w:val="1"/>
    <w:link w:val="60"/>
    <w:qFormat/>
    <w:uiPriority w:val="0"/>
    <w:pPr>
      <w:widowControl w:val="0"/>
      <w:spacing w:after="120"/>
      <w:jc w:val="both"/>
    </w:pPr>
    <w:rPr>
      <w:sz w:val="20"/>
      <w:lang w:val="zh-CN"/>
    </w:rPr>
  </w:style>
  <w:style w:type="paragraph" w:styleId="19">
    <w:name w:val="toc 5"/>
    <w:basedOn w:val="1"/>
    <w:next w:val="1"/>
    <w:qFormat/>
    <w:uiPriority w:val="0"/>
    <w:pPr>
      <w:widowControl w:val="0"/>
      <w:ind w:left="840"/>
    </w:pPr>
    <w:rPr>
      <w:rFonts w:ascii="Calibri" w:hAnsi="Calibri" w:cs="Calibri"/>
      <w:kern w:val="2"/>
      <w:sz w:val="18"/>
      <w:szCs w:val="18"/>
    </w:rPr>
  </w:style>
  <w:style w:type="paragraph" w:styleId="20">
    <w:name w:val="toc 3"/>
    <w:basedOn w:val="1"/>
    <w:next w:val="1"/>
    <w:qFormat/>
    <w:uiPriority w:val="39"/>
    <w:pPr>
      <w:widowControl w:val="0"/>
      <w:ind w:left="420"/>
    </w:pPr>
    <w:rPr>
      <w:rFonts w:ascii="Calibri" w:hAnsi="Calibri" w:cs="Calibri"/>
      <w:i/>
      <w:iCs/>
      <w:kern w:val="2"/>
      <w:sz w:val="20"/>
      <w:szCs w:val="20"/>
    </w:rPr>
  </w:style>
  <w:style w:type="paragraph" w:styleId="21">
    <w:name w:val="Plain Text"/>
    <w:basedOn w:val="1"/>
    <w:link w:val="62"/>
    <w:qFormat/>
    <w:uiPriority w:val="0"/>
    <w:pPr>
      <w:widowControl w:val="0"/>
      <w:jc w:val="both"/>
    </w:pPr>
    <w:rPr>
      <w:rFonts w:ascii="宋体" w:hAnsi="Courier New"/>
      <w:sz w:val="20"/>
      <w:szCs w:val="21"/>
    </w:rPr>
  </w:style>
  <w:style w:type="paragraph" w:styleId="22">
    <w:name w:val="toc 8"/>
    <w:basedOn w:val="1"/>
    <w:next w:val="1"/>
    <w:qFormat/>
    <w:uiPriority w:val="0"/>
    <w:pPr>
      <w:widowControl w:val="0"/>
      <w:ind w:left="1470"/>
    </w:pPr>
    <w:rPr>
      <w:rFonts w:ascii="Calibri" w:hAnsi="Calibri" w:cs="Calibri"/>
      <w:kern w:val="2"/>
      <w:sz w:val="18"/>
      <w:szCs w:val="18"/>
    </w:rPr>
  </w:style>
  <w:style w:type="paragraph" w:styleId="23">
    <w:name w:val="Date"/>
    <w:basedOn w:val="1"/>
    <w:next w:val="1"/>
    <w:link w:val="63"/>
    <w:qFormat/>
    <w:uiPriority w:val="0"/>
    <w:pPr>
      <w:jc w:val="both"/>
    </w:pPr>
    <w:rPr>
      <w:rFonts w:ascii="宋体"/>
      <w:sz w:val="21"/>
      <w:szCs w:val="20"/>
    </w:rPr>
  </w:style>
  <w:style w:type="paragraph" w:styleId="24">
    <w:name w:val="Body Text Indent 2"/>
    <w:basedOn w:val="1"/>
    <w:link w:val="64"/>
    <w:qFormat/>
    <w:uiPriority w:val="0"/>
    <w:pPr>
      <w:widowControl w:val="0"/>
      <w:spacing w:line="540" w:lineRule="exact"/>
      <w:ind w:left="462" w:leftChars="220"/>
      <w:jc w:val="both"/>
    </w:pPr>
    <w:rPr>
      <w:kern w:val="2"/>
    </w:rPr>
  </w:style>
  <w:style w:type="paragraph" w:styleId="25">
    <w:name w:val="Balloon Text"/>
    <w:basedOn w:val="1"/>
    <w:link w:val="65"/>
    <w:unhideWhenUsed/>
    <w:qFormat/>
    <w:uiPriority w:val="0"/>
    <w:pPr>
      <w:widowControl w:val="0"/>
      <w:autoSpaceDE w:val="0"/>
      <w:autoSpaceDN w:val="0"/>
      <w:adjustRightInd w:val="0"/>
    </w:pPr>
    <w:rPr>
      <w:sz w:val="18"/>
      <w:szCs w:val="18"/>
      <w:lang w:val="zh-CN"/>
    </w:rPr>
  </w:style>
  <w:style w:type="paragraph" w:styleId="26">
    <w:name w:val="footer"/>
    <w:basedOn w:val="1"/>
    <w:link w:val="66"/>
    <w:unhideWhenUsed/>
    <w:qFormat/>
    <w:uiPriority w:val="0"/>
    <w:pPr>
      <w:widowControl w:val="0"/>
      <w:tabs>
        <w:tab w:val="center" w:pos="4153"/>
        <w:tab w:val="right" w:pos="8306"/>
      </w:tabs>
      <w:autoSpaceDE w:val="0"/>
      <w:autoSpaceDN w:val="0"/>
      <w:adjustRightInd w:val="0"/>
      <w:snapToGrid w:val="0"/>
    </w:pPr>
    <w:rPr>
      <w:rFonts w:ascii="Calibri" w:hAnsi="Calibri"/>
      <w:sz w:val="18"/>
      <w:szCs w:val="18"/>
    </w:rPr>
  </w:style>
  <w:style w:type="paragraph" w:styleId="27">
    <w:name w:val="header"/>
    <w:basedOn w:val="1"/>
    <w:link w:val="67"/>
    <w:unhideWhenUsed/>
    <w:qFormat/>
    <w:uiPriority w:val="99"/>
    <w:pPr>
      <w:widowControl w:val="0"/>
      <w:pBdr>
        <w:bottom w:val="single" w:color="auto" w:sz="6" w:space="1"/>
      </w:pBdr>
      <w:tabs>
        <w:tab w:val="center" w:pos="4153"/>
        <w:tab w:val="right" w:pos="8306"/>
      </w:tabs>
      <w:autoSpaceDE w:val="0"/>
      <w:autoSpaceDN w:val="0"/>
      <w:adjustRightInd w:val="0"/>
      <w:snapToGrid w:val="0"/>
      <w:jc w:val="center"/>
    </w:pPr>
    <w:rPr>
      <w:rFonts w:ascii="Calibri" w:hAnsi="Calibri"/>
      <w:sz w:val="18"/>
      <w:szCs w:val="18"/>
    </w:rPr>
  </w:style>
  <w:style w:type="paragraph" w:styleId="28">
    <w:name w:val="toc 1"/>
    <w:basedOn w:val="1"/>
    <w:next w:val="1"/>
    <w:qFormat/>
    <w:uiPriority w:val="39"/>
    <w:pPr>
      <w:widowControl w:val="0"/>
      <w:tabs>
        <w:tab w:val="right" w:leader="dot" w:pos="9060"/>
      </w:tabs>
      <w:spacing w:line="360" w:lineRule="auto"/>
      <w:jc w:val="both"/>
    </w:pPr>
    <w:rPr>
      <w:rFonts w:eastAsia="宋体"/>
      <w:kern w:val="2"/>
      <w:sz w:val="21"/>
      <w:szCs w:val="20"/>
    </w:rPr>
  </w:style>
  <w:style w:type="paragraph" w:styleId="29">
    <w:name w:val="toc 4"/>
    <w:basedOn w:val="1"/>
    <w:next w:val="1"/>
    <w:qFormat/>
    <w:uiPriority w:val="0"/>
    <w:pPr>
      <w:widowControl w:val="0"/>
      <w:ind w:left="630"/>
    </w:pPr>
    <w:rPr>
      <w:rFonts w:ascii="Calibri" w:hAnsi="Calibri" w:cs="Calibri"/>
      <w:kern w:val="2"/>
      <w:sz w:val="18"/>
      <w:szCs w:val="18"/>
    </w:rPr>
  </w:style>
  <w:style w:type="paragraph" w:styleId="30">
    <w:name w:val="toc 6"/>
    <w:basedOn w:val="1"/>
    <w:next w:val="1"/>
    <w:qFormat/>
    <w:uiPriority w:val="0"/>
    <w:pPr>
      <w:widowControl w:val="0"/>
      <w:ind w:left="1050"/>
    </w:pPr>
    <w:rPr>
      <w:rFonts w:ascii="Calibri" w:hAnsi="Calibri" w:cs="Calibri"/>
      <w:kern w:val="2"/>
      <w:sz w:val="18"/>
      <w:szCs w:val="18"/>
    </w:rPr>
  </w:style>
  <w:style w:type="paragraph" w:styleId="31">
    <w:name w:val="Body Text Indent 3"/>
    <w:basedOn w:val="1"/>
    <w:link w:val="68"/>
    <w:qFormat/>
    <w:uiPriority w:val="0"/>
    <w:pPr>
      <w:widowControl w:val="0"/>
      <w:spacing w:after="120"/>
      <w:ind w:left="420" w:leftChars="200"/>
      <w:jc w:val="both"/>
    </w:pPr>
    <w:rPr>
      <w:sz w:val="16"/>
      <w:szCs w:val="16"/>
      <w:lang w:val="zh-CN"/>
    </w:rPr>
  </w:style>
  <w:style w:type="paragraph" w:styleId="32">
    <w:name w:val="toc 2"/>
    <w:basedOn w:val="1"/>
    <w:next w:val="1"/>
    <w:qFormat/>
    <w:uiPriority w:val="39"/>
    <w:pPr>
      <w:widowControl w:val="0"/>
      <w:ind w:left="210"/>
    </w:pPr>
    <w:rPr>
      <w:rFonts w:ascii="Calibri" w:hAnsi="Calibri" w:cs="Calibri"/>
      <w:smallCaps/>
      <w:kern w:val="2"/>
      <w:sz w:val="21"/>
      <w:szCs w:val="20"/>
    </w:rPr>
  </w:style>
  <w:style w:type="paragraph" w:styleId="33">
    <w:name w:val="toc 9"/>
    <w:basedOn w:val="1"/>
    <w:next w:val="1"/>
    <w:qFormat/>
    <w:uiPriority w:val="0"/>
    <w:pPr>
      <w:widowControl w:val="0"/>
      <w:ind w:left="1680"/>
    </w:pPr>
    <w:rPr>
      <w:rFonts w:ascii="Calibri" w:hAnsi="Calibri" w:cs="Calibri"/>
      <w:kern w:val="2"/>
      <w:sz w:val="18"/>
      <w:szCs w:val="18"/>
    </w:rPr>
  </w:style>
  <w:style w:type="paragraph" w:styleId="34">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5">
    <w:name w:val="Normal (Web)"/>
    <w:basedOn w:val="1"/>
    <w:qFormat/>
    <w:uiPriority w:val="0"/>
    <w:pPr>
      <w:spacing w:before="100" w:beforeAutospacing="1" w:after="100" w:afterAutospacing="1"/>
    </w:pPr>
    <w:rPr>
      <w:rFonts w:ascii="宋体" w:hAnsi="宋体" w:eastAsia="宋体"/>
    </w:rPr>
  </w:style>
  <w:style w:type="paragraph" w:styleId="36">
    <w:name w:val="Title"/>
    <w:basedOn w:val="1"/>
    <w:next w:val="1"/>
    <w:link w:val="70"/>
    <w:qFormat/>
    <w:uiPriority w:val="0"/>
    <w:pPr>
      <w:widowControl w:val="0"/>
      <w:autoSpaceDE w:val="0"/>
      <w:autoSpaceDN w:val="0"/>
      <w:adjustRightInd w:val="0"/>
      <w:spacing w:before="240" w:after="60"/>
      <w:jc w:val="center"/>
      <w:outlineLvl w:val="0"/>
    </w:pPr>
    <w:rPr>
      <w:rFonts w:ascii="Cambria" w:hAnsi="Cambria"/>
      <w:b/>
      <w:bCs/>
      <w:sz w:val="32"/>
      <w:szCs w:val="32"/>
      <w:lang w:val="zh-CN"/>
    </w:rPr>
  </w:style>
  <w:style w:type="paragraph" w:styleId="37">
    <w:name w:val="annotation subject"/>
    <w:basedOn w:val="16"/>
    <w:next w:val="16"/>
    <w:link w:val="71"/>
    <w:unhideWhenUsed/>
    <w:qFormat/>
    <w:uiPriority w:val="0"/>
    <w:rPr>
      <w:b/>
      <w:bCs/>
    </w:rPr>
  </w:style>
  <w:style w:type="table" w:styleId="39">
    <w:name w:val="Table Grid"/>
    <w:basedOn w:val="3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unhideWhenUsed/>
    <w:qFormat/>
    <w:uiPriority w:val="99"/>
    <w:rPr>
      <w:color w:val="800080"/>
      <w:u w:val="single"/>
    </w:rPr>
  </w:style>
  <w:style w:type="character" w:styleId="44">
    <w:name w:val="Emphasis"/>
    <w:qFormat/>
    <w:uiPriority w:val="20"/>
    <w:rPr>
      <w:color w:val="CC0000"/>
    </w:rPr>
  </w:style>
  <w:style w:type="character" w:styleId="45">
    <w:name w:val="Hyperlink"/>
    <w:basedOn w:val="40"/>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
    <w:link w:val="4"/>
    <w:qFormat/>
    <w:uiPriority w:val="0"/>
    <w:rPr>
      <w:rFonts w:ascii="Times New Roman" w:hAnsi="Times New Roman" w:eastAsia="宋体" w:cs="Times New Roman"/>
      <w:b/>
      <w:bCs/>
      <w:kern w:val="44"/>
      <w:sz w:val="44"/>
      <w:szCs w:val="44"/>
    </w:rPr>
  </w:style>
  <w:style w:type="character" w:customStyle="1" w:styleId="48">
    <w:name w:val="标题 2 字符"/>
    <w:link w:val="5"/>
    <w:qFormat/>
    <w:uiPriority w:val="0"/>
    <w:rPr>
      <w:rFonts w:ascii="Arial" w:hAnsi="Arial" w:eastAsia="黑体" w:cs="Times New Roman"/>
      <w:b/>
      <w:bCs/>
      <w:sz w:val="32"/>
      <w:szCs w:val="32"/>
      <w:lang w:val="zh-CN" w:eastAsia="zh-CN"/>
    </w:rPr>
  </w:style>
  <w:style w:type="character" w:customStyle="1" w:styleId="49">
    <w:name w:val="标题 3 字符"/>
    <w:link w:val="6"/>
    <w:qFormat/>
    <w:uiPriority w:val="0"/>
    <w:rPr>
      <w:rFonts w:ascii="楷体_GB2312" w:hAnsi="宋体" w:eastAsia="楷体_GB2312"/>
      <w:b/>
      <w:bCs/>
      <w:kern w:val="2"/>
      <w:sz w:val="32"/>
      <w:szCs w:val="24"/>
    </w:rPr>
  </w:style>
  <w:style w:type="character" w:customStyle="1" w:styleId="50">
    <w:name w:val="标题 4 字符"/>
    <w:link w:val="7"/>
    <w:qFormat/>
    <w:uiPriority w:val="0"/>
    <w:rPr>
      <w:rFonts w:ascii="Cambria" w:hAnsi="Cambria" w:eastAsia="宋体" w:cs="Times New Roman"/>
      <w:b/>
      <w:bCs/>
      <w:sz w:val="28"/>
      <w:szCs w:val="28"/>
    </w:rPr>
  </w:style>
  <w:style w:type="character" w:customStyle="1" w:styleId="51">
    <w:name w:val="标题 5 字符"/>
    <w:link w:val="8"/>
    <w:qFormat/>
    <w:uiPriority w:val="0"/>
    <w:rPr>
      <w:rFonts w:ascii="Times New Roman" w:hAnsi="Times New Roman"/>
      <w:b/>
      <w:bCs/>
      <w:sz w:val="28"/>
      <w:szCs w:val="28"/>
    </w:rPr>
  </w:style>
  <w:style w:type="character" w:customStyle="1" w:styleId="52">
    <w:name w:val="标题 6 字符"/>
    <w:link w:val="9"/>
    <w:qFormat/>
    <w:uiPriority w:val="0"/>
    <w:rPr>
      <w:rFonts w:ascii="Arial" w:hAnsi="Arial" w:eastAsia="黑体"/>
      <w:b/>
      <w:bCs/>
      <w:sz w:val="24"/>
      <w:szCs w:val="24"/>
    </w:rPr>
  </w:style>
  <w:style w:type="character" w:customStyle="1" w:styleId="53">
    <w:name w:val="标题 7 字符"/>
    <w:link w:val="10"/>
    <w:qFormat/>
    <w:uiPriority w:val="0"/>
    <w:rPr>
      <w:rFonts w:ascii="Times New Roman" w:hAnsi="Times New Roman"/>
      <w:b/>
      <w:bCs/>
      <w:sz w:val="24"/>
      <w:szCs w:val="24"/>
    </w:rPr>
  </w:style>
  <w:style w:type="character" w:customStyle="1" w:styleId="54">
    <w:name w:val="标题 8 字符"/>
    <w:link w:val="11"/>
    <w:qFormat/>
    <w:uiPriority w:val="0"/>
    <w:rPr>
      <w:rFonts w:ascii="Arial" w:hAnsi="Arial" w:eastAsia="黑体"/>
      <w:sz w:val="24"/>
      <w:szCs w:val="24"/>
    </w:rPr>
  </w:style>
  <w:style w:type="character" w:customStyle="1" w:styleId="55">
    <w:name w:val="标题 9 字符"/>
    <w:link w:val="12"/>
    <w:qFormat/>
    <w:uiPriority w:val="0"/>
    <w:rPr>
      <w:rFonts w:ascii="Arial" w:hAnsi="Arial" w:eastAsia="黑体"/>
      <w:sz w:val="21"/>
      <w:szCs w:val="21"/>
    </w:rPr>
  </w:style>
  <w:style w:type="character" w:customStyle="1" w:styleId="56">
    <w:name w:val="正文缩进 字符"/>
    <w:link w:val="14"/>
    <w:qFormat/>
    <w:uiPriority w:val="0"/>
    <w:rPr>
      <w:rFonts w:ascii="Times New Roman" w:hAnsi="Times New Roman"/>
      <w:kern w:val="2"/>
      <w:sz w:val="21"/>
      <w:szCs w:val="22"/>
    </w:rPr>
  </w:style>
  <w:style w:type="character" w:customStyle="1" w:styleId="57">
    <w:name w:val="文档结构图 字符"/>
    <w:link w:val="15"/>
    <w:qFormat/>
    <w:uiPriority w:val="0"/>
    <w:rPr>
      <w:rFonts w:ascii="Times New Roman" w:hAnsi="Times New Roman"/>
      <w:kern w:val="2"/>
      <w:sz w:val="21"/>
      <w:shd w:val="clear" w:color="auto" w:fill="000080"/>
    </w:rPr>
  </w:style>
  <w:style w:type="character" w:customStyle="1" w:styleId="58">
    <w:name w:val="批注文字 字符"/>
    <w:link w:val="16"/>
    <w:qFormat/>
    <w:uiPriority w:val="0"/>
    <w:rPr>
      <w:rFonts w:ascii="Times New Roman" w:hAnsi="Times New Roman" w:eastAsia="宋体" w:cs="Times New Roman"/>
      <w:kern w:val="0"/>
      <w:sz w:val="20"/>
      <w:szCs w:val="20"/>
    </w:rPr>
  </w:style>
  <w:style w:type="character" w:customStyle="1" w:styleId="59">
    <w:name w:val="正文文本 3 字符"/>
    <w:link w:val="17"/>
    <w:qFormat/>
    <w:uiPriority w:val="0"/>
    <w:rPr>
      <w:rFonts w:ascii="Times New Roman" w:hAnsi="Times New Roman"/>
      <w:kern w:val="2"/>
      <w:sz w:val="16"/>
      <w:szCs w:val="16"/>
    </w:rPr>
  </w:style>
  <w:style w:type="character" w:customStyle="1" w:styleId="60">
    <w:name w:val="正文文本 字符"/>
    <w:link w:val="18"/>
    <w:qFormat/>
    <w:uiPriority w:val="0"/>
    <w:rPr>
      <w:rFonts w:ascii="Times New Roman" w:hAnsi="Times New Roman" w:eastAsia="宋体" w:cs="Times New Roman"/>
      <w:kern w:val="0"/>
      <w:sz w:val="20"/>
      <w:szCs w:val="24"/>
      <w:lang w:val="zh-CN" w:eastAsia="zh-CN"/>
    </w:rPr>
  </w:style>
  <w:style w:type="character" w:customStyle="1" w:styleId="61">
    <w:name w:val="正文文本缩进 字符"/>
    <w:link w:val="3"/>
    <w:qFormat/>
    <w:uiPriority w:val="0"/>
    <w:rPr>
      <w:rFonts w:ascii="Times New Roman" w:hAnsi="Times New Roman"/>
      <w:kern w:val="2"/>
      <w:sz w:val="24"/>
      <w:szCs w:val="24"/>
    </w:rPr>
  </w:style>
  <w:style w:type="character" w:customStyle="1" w:styleId="62">
    <w:name w:val="纯文本 字符"/>
    <w:link w:val="21"/>
    <w:qFormat/>
    <w:uiPriority w:val="0"/>
    <w:rPr>
      <w:rFonts w:ascii="宋体" w:hAnsi="Courier New" w:eastAsia="宋体" w:cs="Courier New"/>
      <w:szCs w:val="21"/>
    </w:rPr>
  </w:style>
  <w:style w:type="character" w:customStyle="1" w:styleId="63">
    <w:name w:val="日期 字符"/>
    <w:link w:val="23"/>
    <w:qFormat/>
    <w:uiPriority w:val="0"/>
    <w:rPr>
      <w:rFonts w:ascii="宋体" w:hAnsi="Times New Roman"/>
      <w:sz w:val="21"/>
    </w:rPr>
  </w:style>
  <w:style w:type="character" w:customStyle="1" w:styleId="64">
    <w:name w:val="正文文本缩进 2 字符"/>
    <w:link w:val="24"/>
    <w:qFormat/>
    <w:uiPriority w:val="0"/>
    <w:rPr>
      <w:rFonts w:ascii="Times New Roman" w:hAnsi="Times New Roman"/>
      <w:kern w:val="2"/>
      <w:sz w:val="24"/>
      <w:szCs w:val="24"/>
    </w:rPr>
  </w:style>
  <w:style w:type="character" w:customStyle="1" w:styleId="65">
    <w:name w:val="批注框文本 字符"/>
    <w:link w:val="25"/>
    <w:qFormat/>
    <w:uiPriority w:val="0"/>
    <w:rPr>
      <w:rFonts w:ascii="Times New Roman" w:hAnsi="Times New Roman" w:eastAsia="宋体" w:cs="Times New Roman"/>
      <w:kern w:val="0"/>
      <w:sz w:val="18"/>
      <w:szCs w:val="18"/>
      <w:lang w:val="zh-CN" w:eastAsia="zh-CN"/>
    </w:rPr>
  </w:style>
  <w:style w:type="character" w:customStyle="1" w:styleId="66">
    <w:name w:val="页脚 字符"/>
    <w:link w:val="26"/>
    <w:qFormat/>
    <w:uiPriority w:val="0"/>
    <w:rPr>
      <w:sz w:val="18"/>
      <w:szCs w:val="18"/>
    </w:rPr>
  </w:style>
  <w:style w:type="character" w:customStyle="1" w:styleId="67">
    <w:name w:val="页眉 字符"/>
    <w:link w:val="27"/>
    <w:qFormat/>
    <w:uiPriority w:val="99"/>
    <w:rPr>
      <w:sz w:val="18"/>
      <w:szCs w:val="18"/>
    </w:rPr>
  </w:style>
  <w:style w:type="character" w:customStyle="1" w:styleId="68">
    <w:name w:val="正文文本缩进 3 字符"/>
    <w:link w:val="31"/>
    <w:qFormat/>
    <w:uiPriority w:val="0"/>
    <w:rPr>
      <w:rFonts w:ascii="Times New Roman" w:hAnsi="Times New Roman" w:eastAsia="宋体" w:cs="Times New Roman"/>
      <w:sz w:val="16"/>
      <w:szCs w:val="16"/>
      <w:lang w:val="zh-CN" w:eastAsia="zh-CN"/>
    </w:rPr>
  </w:style>
  <w:style w:type="character" w:customStyle="1" w:styleId="69">
    <w:name w:val="HTML 预设格式 字符"/>
    <w:link w:val="34"/>
    <w:qFormat/>
    <w:uiPriority w:val="0"/>
    <w:rPr>
      <w:rFonts w:ascii="黑体" w:hAnsi="Courier New" w:eastAsia="黑体" w:cs="Courier New"/>
    </w:rPr>
  </w:style>
  <w:style w:type="character" w:customStyle="1" w:styleId="70">
    <w:name w:val="标题 字符"/>
    <w:link w:val="36"/>
    <w:qFormat/>
    <w:uiPriority w:val="0"/>
    <w:rPr>
      <w:rFonts w:ascii="Cambria" w:hAnsi="Cambria" w:eastAsia="宋体" w:cs="Times New Roman"/>
      <w:b/>
      <w:bCs/>
      <w:kern w:val="0"/>
      <w:sz w:val="32"/>
      <w:szCs w:val="32"/>
      <w:lang w:val="zh-CN" w:eastAsia="zh-CN"/>
    </w:rPr>
  </w:style>
  <w:style w:type="character" w:customStyle="1" w:styleId="71">
    <w:name w:val="批注主题 字符"/>
    <w:link w:val="37"/>
    <w:semiHidden/>
    <w:qFormat/>
    <w:uiPriority w:val="0"/>
    <w:rPr>
      <w:rFonts w:ascii="Times New Roman" w:hAnsi="Times New Roman" w:eastAsia="宋体" w:cs="Times New Roman"/>
      <w:b/>
      <w:bCs/>
      <w:kern w:val="0"/>
      <w:sz w:val="20"/>
      <w:szCs w:val="20"/>
    </w:rPr>
  </w:style>
  <w:style w:type="character" w:customStyle="1" w:styleId="72">
    <w:name w:val="纯文本 Char"/>
    <w:qFormat/>
    <w:uiPriority w:val="0"/>
    <w:rPr>
      <w:rFonts w:ascii="宋体" w:hAnsi="Courier New" w:eastAsia="宋体" w:cs="Courier New"/>
      <w:kern w:val="0"/>
      <w:szCs w:val="21"/>
    </w:rPr>
  </w:style>
  <w:style w:type="character" w:customStyle="1" w:styleId="73">
    <w:name w:val="f141"/>
    <w:qFormat/>
    <w:uiPriority w:val="0"/>
    <w:rPr>
      <w:sz w:val="21"/>
      <w:szCs w:val="21"/>
    </w:rPr>
  </w:style>
  <w:style w:type="character" w:customStyle="1" w:styleId="74">
    <w:name w:val="批注框文本 Char1"/>
    <w:semiHidden/>
    <w:qFormat/>
    <w:uiPriority w:val="99"/>
    <w:rPr>
      <w:rFonts w:ascii="Times New Roman" w:hAnsi="Times New Roman" w:eastAsia="宋体" w:cs="Times New Roman"/>
      <w:sz w:val="18"/>
      <w:szCs w:val="18"/>
    </w:rPr>
  </w:style>
  <w:style w:type="character" w:customStyle="1" w:styleId="75">
    <w:name w:val="列表段落 字符"/>
    <w:link w:val="76"/>
    <w:qFormat/>
    <w:uiPriority w:val="34"/>
    <w:rPr>
      <w:rFonts w:ascii="Times New Roman" w:hAnsi="Times New Roman"/>
      <w:sz w:val="24"/>
      <w:szCs w:val="24"/>
    </w:rPr>
  </w:style>
  <w:style w:type="paragraph" w:styleId="76">
    <w:name w:val="List Paragraph"/>
    <w:basedOn w:val="1"/>
    <w:link w:val="75"/>
    <w:qFormat/>
    <w:uiPriority w:val="34"/>
    <w:pPr>
      <w:ind w:firstLine="420" w:firstLineChars="200"/>
    </w:pPr>
  </w:style>
  <w:style w:type="character" w:customStyle="1" w:styleId="77">
    <w:name w:val="批注文字 Char1"/>
    <w:semiHidden/>
    <w:qFormat/>
    <w:uiPriority w:val="99"/>
    <w:rPr>
      <w:rFonts w:ascii="Times New Roman" w:hAnsi="Times New Roman" w:eastAsia="宋体" w:cs="Times New Roman"/>
      <w:kern w:val="0"/>
      <w:sz w:val="20"/>
      <w:szCs w:val="20"/>
    </w:rPr>
  </w:style>
  <w:style w:type="character" w:customStyle="1" w:styleId="78">
    <w:name w:val="weby11"/>
    <w:qFormat/>
    <w:uiPriority w:val="0"/>
    <w:rPr>
      <w:sz w:val="18"/>
      <w:szCs w:val="18"/>
    </w:rPr>
  </w:style>
  <w:style w:type="character" w:customStyle="1" w:styleId="79">
    <w:name w:val="Comment Reference"/>
    <w:qFormat/>
    <w:uiPriority w:val="99"/>
    <w:rPr>
      <w:sz w:val="21"/>
      <w:szCs w:val="21"/>
    </w:rPr>
  </w:style>
  <w:style w:type="character" w:customStyle="1" w:styleId="80">
    <w:name w:val="s10pv000000"/>
    <w:qFormat/>
    <w:uiPriority w:val="0"/>
  </w:style>
  <w:style w:type="character" w:customStyle="1" w:styleId="81">
    <w:name w:val="明显参考1"/>
    <w:qFormat/>
    <w:uiPriority w:val="32"/>
    <w:rPr>
      <w:b/>
      <w:bCs/>
      <w:smallCaps/>
      <w:color w:val="C0504D"/>
      <w:spacing w:val="5"/>
      <w:u w:val="single"/>
    </w:rPr>
  </w:style>
  <w:style w:type="character" w:customStyle="1" w:styleId="82">
    <w:name w:val="批注引用_0"/>
    <w:qFormat/>
    <w:uiPriority w:val="0"/>
    <w:rPr>
      <w:rFonts w:ascii="Calibri" w:hAnsi="Calibri"/>
      <w:sz w:val="21"/>
      <w:szCs w:val="21"/>
    </w:rPr>
  </w:style>
  <w:style w:type="character" w:customStyle="1" w:styleId="83">
    <w:name w:val="纯文本 Char_0"/>
    <w:link w:val="84"/>
    <w:qFormat/>
    <w:uiPriority w:val="0"/>
    <w:rPr>
      <w:rFonts w:ascii="宋体" w:hAnsi="Courier New"/>
      <w:szCs w:val="21"/>
    </w:rPr>
  </w:style>
  <w:style w:type="paragraph" w:customStyle="1" w:styleId="84">
    <w:name w:val="纯文本_0"/>
    <w:basedOn w:val="85"/>
    <w:link w:val="83"/>
    <w:qFormat/>
    <w:uiPriority w:val="0"/>
    <w:rPr>
      <w:rFonts w:ascii="宋体" w:hAnsi="Courier New"/>
      <w:kern w:val="0"/>
      <w:sz w:val="20"/>
      <w:szCs w:val="21"/>
    </w:rPr>
  </w:style>
  <w:style w:type="paragraph" w:customStyle="1" w:styleId="8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p141"/>
    <w:qFormat/>
    <w:uiPriority w:val="0"/>
    <w:rPr>
      <w:sz w:val="21"/>
      <w:szCs w:val="21"/>
    </w:rPr>
  </w:style>
  <w:style w:type="character" w:customStyle="1" w:styleId="87">
    <w:name w:val="List Paragraph Char"/>
    <w:link w:val="88"/>
    <w:qFormat/>
    <w:locked/>
    <w:uiPriority w:val="34"/>
    <w:rPr>
      <w:rFonts w:ascii="Times New Roman" w:hAnsi="Times New Roman"/>
    </w:rPr>
  </w:style>
  <w:style w:type="paragraph" w:customStyle="1" w:styleId="88">
    <w:name w:val="列出段落1"/>
    <w:basedOn w:val="1"/>
    <w:link w:val="87"/>
    <w:qFormat/>
    <w:uiPriority w:val="34"/>
    <w:pPr>
      <w:widowControl w:val="0"/>
      <w:autoSpaceDE w:val="0"/>
      <w:autoSpaceDN w:val="0"/>
      <w:adjustRightInd w:val="0"/>
      <w:ind w:firstLine="420" w:firstLineChars="200"/>
    </w:pPr>
    <w:rPr>
      <w:sz w:val="20"/>
      <w:szCs w:val="20"/>
    </w:rPr>
  </w:style>
  <w:style w:type="paragraph" w:customStyle="1" w:styleId="89">
    <w:name w:val="普通(网站)1"/>
    <w:basedOn w:val="1"/>
    <w:qFormat/>
    <w:uiPriority w:val="0"/>
    <w:pPr>
      <w:spacing w:before="100" w:beforeAutospacing="1" w:after="100" w:afterAutospacing="1"/>
    </w:pPr>
    <w:rPr>
      <w:rFonts w:ascii="宋体" w:hAnsi="宋体"/>
    </w:rPr>
  </w:style>
  <w:style w:type="paragraph" w:customStyle="1" w:styleId="90">
    <w:name w:val="Char1 Char Char Char Char Char Char Char Char Char"/>
    <w:basedOn w:val="1"/>
    <w:qFormat/>
    <w:uiPriority w:val="0"/>
    <w:pPr>
      <w:spacing w:line="400" w:lineRule="exact"/>
      <w:jc w:val="center"/>
    </w:pPr>
    <w:rPr>
      <w:rFonts w:ascii="Verdana" w:hAnsi="Verdana"/>
      <w:sz w:val="21"/>
      <w:szCs w:val="20"/>
      <w:lang w:eastAsia="en-US"/>
    </w:rPr>
  </w:style>
  <w:style w:type="paragraph" w:customStyle="1" w:styleId="9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2">
    <w:name w:val="3 Char"/>
    <w:basedOn w:val="1"/>
    <w:qFormat/>
    <w:uiPriority w:val="0"/>
    <w:pPr>
      <w:spacing w:line="400" w:lineRule="exact"/>
      <w:jc w:val="center"/>
    </w:pPr>
    <w:rPr>
      <w:rFonts w:ascii="Verdana" w:hAnsi="Verdana"/>
      <w:sz w:val="21"/>
      <w:szCs w:val="20"/>
      <w:lang w:eastAsia="en-US"/>
    </w:rPr>
  </w:style>
  <w:style w:type="paragraph" w:customStyle="1" w:styleId="9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94">
    <w:name w:val="Table Paragraph"/>
    <w:basedOn w:val="1"/>
    <w:qFormat/>
    <w:uiPriority w:val="1"/>
    <w:pPr>
      <w:widowControl w:val="0"/>
    </w:pPr>
    <w:rPr>
      <w:rFonts w:ascii="Calibri" w:hAnsi="Calibri" w:eastAsia="宋体" w:cs="Times New Roman"/>
      <w:sz w:val="22"/>
      <w:szCs w:val="22"/>
      <w:lang w:eastAsia="en-US"/>
    </w:rPr>
  </w:style>
  <w:style w:type="paragraph" w:customStyle="1" w:styleId="95">
    <w:name w:val="默认段落字体 Para Char Char Char Char"/>
    <w:basedOn w:val="1"/>
    <w:qFormat/>
    <w:uiPriority w:val="0"/>
    <w:pPr>
      <w:widowControl w:val="0"/>
      <w:jc w:val="both"/>
    </w:pPr>
    <w:rPr>
      <w:kern w:val="2"/>
      <w:sz w:val="21"/>
      <w:szCs w:val="20"/>
    </w:rPr>
  </w:style>
  <w:style w:type="paragraph" w:customStyle="1" w:styleId="96">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列表段落1"/>
    <w:basedOn w:val="1"/>
    <w:qFormat/>
    <w:uiPriority w:val="34"/>
    <w:pPr>
      <w:ind w:firstLine="420" w:firstLineChars="200"/>
    </w:pPr>
    <w:rPr>
      <w:rFonts w:eastAsia="等线" w:cs="Times New Roman"/>
      <w:kern w:val="2"/>
    </w:rPr>
  </w:style>
  <w:style w:type="paragraph" w:customStyle="1" w:styleId="98">
    <w:name w:val="Char Char Char1 Char"/>
    <w:basedOn w:val="15"/>
    <w:qFormat/>
    <w:uiPriority w:val="0"/>
    <w:rPr>
      <w:rFonts w:ascii="Tahoma" w:hAnsi="Tahoma"/>
      <w:sz w:val="24"/>
      <w:szCs w:val="24"/>
    </w:rPr>
  </w:style>
  <w:style w:type="paragraph" w:customStyle="1" w:styleId="99">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100">
    <w:name w:val="样式4"/>
    <w:basedOn w:val="1"/>
    <w:qFormat/>
    <w:uiPriority w:val="0"/>
    <w:pPr>
      <w:widowControl w:val="0"/>
      <w:tabs>
        <w:tab w:val="left" w:pos="1984"/>
      </w:tabs>
      <w:jc w:val="both"/>
    </w:pPr>
    <w:rPr>
      <w:rFonts w:eastAsia="宋体"/>
      <w:kern w:val="2"/>
      <w:sz w:val="21"/>
    </w:rPr>
  </w:style>
  <w:style w:type="paragraph" w:customStyle="1" w:styleId="101">
    <w:name w:val="font6"/>
    <w:basedOn w:val="1"/>
    <w:qFormat/>
    <w:uiPriority w:val="0"/>
    <w:pPr>
      <w:spacing w:before="100" w:beforeAutospacing="1" w:after="100" w:afterAutospacing="1"/>
    </w:pPr>
    <w:rPr>
      <w:rFonts w:hint="eastAsia" w:ascii="宋体" w:hAnsi="宋体"/>
    </w:rPr>
  </w:style>
  <w:style w:type="paragraph" w:customStyle="1" w:styleId="102">
    <w:name w:val="样式1"/>
    <w:basedOn w:val="1"/>
    <w:qFormat/>
    <w:uiPriority w:val="0"/>
    <w:pPr>
      <w:widowControl w:val="0"/>
      <w:tabs>
        <w:tab w:val="left" w:pos="425"/>
        <w:tab w:val="left" w:pos="709"/>
      </w:tabs>
      <w:adjustRightInd w:val="0"/>
      <w:ind w:left="425" w:hanging="425"/>
      <w:jc w:val="both"/>
      <w:textAlignment w:val="baseline"/>
    </w:pPr>
    <w:rPr>
      <w:rFonts w:ascii="宋体" w:hAnsi="宋体"/>
      <w:sz w:val="21"/>
      <w:szCs w:val="20"/>
    </w:rPr>
  </w:style>
  <w:style w:type="paragraph" w:customStyle="1" w:styleId="103">
    <w:name w:val="font5"/>
    <w:basedOn w:val="1"/>
    <w:qFormat/>
    <w:uiPriority w:val="0"/>
    <w:pPr>
      <w:spacing w:before="100" w:beforeAutospacing="1" w:after="100" w:afterAutospacing="1"/>
    </w:pPr>
    <w:rPr>
      <w:rFonts w:hint="eastAsia" w:ascii="宋体" w:hAnsi="宋体"/>
      <w:sz w:val="18"/>
      <w:szCs w:val="18"/>
    </w:rPr>
  </w:style>
  <w:style w:type="paragraph" w:customStyle="1" w:styleId="104">
    <w:name w:val="正文文本缩进1"/>
    <w:basedOn w:val="1"/>
    <w:qFormat/>
    <w:uiPriority w:val="0"/>
    <w:pPr>
      <w:widowControl w:val="0"/>
      <w:spacing w:line="460" w:lineRule="exact"/>
      <w:ind w:firstLine="510"/>
      <w:jc w:val="both"/>
    </w:pPr>
    <w:rPr>
      <w:rFonts w:eastAsia="宋体"/>
      <w:kern w:val="2"/>
      <w:sz w:val="21"/>
      <w:szCs w:val="20"/>
    </w:rPr>
  </w:style>
  <w:style w:type="paragraph" w:customStyle="1" w:styleId="105">
    <w:name w:val="基准标题"/>
    <w:basedOn w:val="18"/>
    <w:next w:val="18"/>
    <w:qFormat/>
    <w:uiPriority w:val="0"/>
    <w:pPr>
      <w:keepNext/>
      <w:keepLines/>
      <w:widowControl/>
      <w:spacing w:after="0" w:line="240" w:lineRule="atLeast"/>
      <w:jc w:val="left"/>
    </w:pPr>
    <w:rPr>
      <w:rFonts w:ascii="Garamond" w:hAnsi="Garamond"/>
      <w:kern w:val="20"/>
      <w:sz w:val="22"/>
      <w:szCs w:val="20"/>
      <w:lang w:val="en-US" w:bidi="he-IL"/>
    </w:rPr>
  </w:style>
  <w:style w:type="paragraph" w:customStyle="1" w:styleId="106">
    <w:name w:val="_Style 104"/>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rFonts w:ascii="Arial" w:hAnsi="Arial" w:eastAsia="黑体" w:cs="Times New Roman"/>
      <w:bCs w:val="0"/>
      <w:szCs w:val="20"/>
    </w:rPr>
  </w:style>
  <w:style w:type="paragraph" w:customStyle="1" w:styleId="108">
    <w:name w:val="Char2"/>
    <w:basedOn w:val="1"/>
    <w:qFormat/>
    <w:uiPriority w:val="0"/>
    <w:pPr>
      <w:spacing w:after="160" w:line="240" w:lineRule="exact"/>
    </w:pPr>
    <w:rPr>
      <w:kern w:val="2"/>
      <w:sz w:val="21"/>
      <w:szCs w:val="20"/>
    </w:rPr>
  </w:style>
  <w:style w:type="paragraph" w:customStyle="1" w:styleId="109">
    <w:name w:val="Normal"/>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paragraph" w:customStyle="1" w:styleId="110">
    <w:name w:val="图"/>
    <w:basedOn w:val="1"/>
    <w:qFormat/>
    <w:uiPriority w:val="0"/>
    <w:pPr>
      <w:keepNext/>
      <w:widowControl w:val="0"/>
      <w:adjustRightInd w:val="0"/>
      <w:spacing w:before="60" w:after="60" w:line="300" w:lineRule="auto"/>
      <w:jc w:val="center"/>
      <w:textAlignment w:val="center"/>
    </w:pPr>
    <w:rPr>
      <w:rFonts w:eastAsia="宋体"/>
      <w:snapToGrid/>
      <w:spacing w:val="20"/>
      <w:szCs w:val="20"/>
    </w:rPr>
  </w:style>
  <w:style w:type="paragraph" w:customStyle="1" w:styleId="111">
    <w:name w:val="正文缩进1"/>
    <w:basedOn w:val="1"/>
    <w:qFormat/>
    <w:uiPriority w:val="0"/>
    <w:pPr>
      <w:widowControl w:val="0"/>
      <w:ind w:firstLine="420"/>
      <w:jc w:val="both"/>
    </w:pPr>
    <w:rPr>
      <w:rFonts w:eastAsia="宋体"/>
      <w:kern w:val="2"/>
      <w:sz w:val="21"/>
      <w:szCs w:val="20"/>
    </w:rPr>
  </w:style>
  <w:style w:type="paragraph" w:customStyle="1" w:styleId="112">
    <w:name w:val="设计方案"/>
    <w:basedOn w:val="1"/>
    <w:qFormat/>
    <w:uiPriority w:val="0"/>
    <w:pPr>
      <w:tabs>
        <w:tab w:val="left" w:pos="425"/>
      </w:tabs>
      <w:spacing w:after="160" w:line="240" w:lineRule="exact"/>
      <w:ind w:left="425" w:hanging="425"/>
    </w:pPr>
    <w:rPr>
      <w:rFonts w:ascii="Verdana" w:hAnsi="Verdana"/>
      <w:sz w:val="21"/>
      <w:szCs w:val="20"/>
      <w:lang w:eastAsia="en-US"/>
    </w:rPr>
  </w:style>
  <w:style w:type="paragraph" w:customStyle="1" w:styleId="113">
    <w:name w:val="font0"/>
    <w:basedOn w:val="1"/>
    <w:qFormat/>
    <w:uiPriority w:val="0"/>
    <w:pPr>
      <w:spacing w:before="100" w:beforeAutospacing="1" w:after="100" w:afterAutospacing="1"/>
    </w:pPr>
    <w:rPr>
      <w:rFonts w:hint="eastAsia" w:ascii="宋体" w:hAnsi="宋体"/>
    </w:rPr>
  </w:style>
  <w:style w:type="paragraph" w:customStyle="1" w:styleId="114">
    <w:name w:val="TOC 标题1"/>
    <w:basedOn w:val="4"/>
    <w:next w:val="1"/>
    <w:qFormat/>
    <w:uiPriority w:val="39"/>
    <w:pPr>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115">
    <w:name w:val="Char Char Char Char Char Char Char"/>
    <w:basedOn w:val="1"/>
    <w:qFormat/>
    <w:uiPriority w:val="0"/>
    <w:pPr>
      <w:widowControl w:val="0"/>
      <w:jc w:val="both"/>
    </w:pPr>
    <w:rPr>
      <w:rFonts w:ascii="Tahoma" w:hAnsi="Tahoma" w:cs="Tahoma"/>
      <w:kern w:val="2"/>
      <w:sz w:val="30"/>
      <w:szCs w:val="30"/>
    </w:rPr>
  </w:style>
  <w:style w:type="paragraph" w:customStyle="1" w:styleId="116">
    <w:name w:val="Char11"/>
    <w:basedOn w:val="1"/>
    <w:qFormat/>
    <w:uiPriority w:val="0"/>
    <w:pPr>
      <w:spacing w:after="160" w:line="240" w:lineRule="exact"/>
    </w:pPr>
    <w:rPr>
      <w:rFonts w:ascii="Verdana" w:hAnsi="Verdana" w:eastAsia="仿宋_GB2312"/>
      <w:szCs w:val="20"/>
      <w:lang w:eastAsia="en-US"/>
    </w:rPr>
  </w:style>
  <w:style w:type="paragraph" w:customStyle="1" w:styleId="117">
    <w:name w:val="Char Char2 Char"/>
    <w:basedOn w:val="1"/>
    <w:qFormat/>
    <w:uiPriority w:val="0"/>
    <w:pPr>
      <w:widowControl w:val="0"/>
      <w:jc w:val="both"/>
    </w:pPr>
    <w:rPr>
      <w:rFonts w:ascii="宋体" w:hAnsi="宋体"/>
      <w:b/>
      <w:kern w:val="2"/>
      <w:sz w:val="28"/>
      <w:szCs w:val="28"/>
    </w:rPr>
  </w:style>
  <w:style w:type="paragraph" w:customStyle="1" w:styleId="118">
    <w:name w:val="Char Char Char"/>
    <w:basedOn w:val="1"/>
    <w:qFormat/>
    <w:uiPriority w:val="0"/>
    <w:pPr>
      <w:widowControl w:val="0"/>
      <w:jc w:val="both"/>
    </w:pPr>
    <w:rPr>
      <w:rFonts w:ascii="宋体" w:hAnsi="宋体"/>
      <w:b/>
      <w:kern w:val="2"/>
      <w:sz w:val="28"/>
      <w:szCs w:val="28"/>
    </w:rPr>
  </w:style>
  <w:style w:type="paragraph" w:customStyle="1" w:styleId="119">
    <w:name w:val="Char1 Char Char Char"/>
    <w:basedOn w:val="1"/>
    <w:qFormat/>
    <w:uiPriority w:val="0"/>
    <w:pPr>
      <w:widowControl w:val="0"/>
      <w:jc w:val="both"/>
    </w:pPr>
    <w:rPr>
      <w:kern w:val="2"/>
      <w:sz w:val="21"/>
      <w:szCs w:val="20"/>
    </w:rPr>
  </w:style>
  <w:style w:type="paragraph" w:customStyle="1" w:styleId="120">
    <w:name w:val="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2">
    <w:name w:val="样式 标题 3h3H3sect1.2.3 + 五号 段前: 6 磅 段后: 6 磅 行距: 单倍行距"/>
    <w:basedOn w:val="6"/>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paragraph" w:customStyle="1" w:styleId="123">
    <w:name w:val="纯文本_1"/>
    <w:basedOn w:val="1"/>
    <w:qFormat/>
    <w:uiPriority w:val="0"/>
    <w:pPr>
      <w:widowControl w:val="0"/>
      <w:jc w:val="both"/>
    </w:pPr>
    <w:rPr>
      <w:rFonts w:ascii="宋体" w:hAnsi="Courier New"/>
      <w:kern w:val="2"/>
      <w:sz w:val="21"/>
      <w:szCs w:val="20"/>
    </w:rPr>
  </w:style>
  <w:style w:type="paragraph" w:customStyle="1" w:styleId="124">
    <w:name w:val="Char Char2 Char1"/>
    <w:basedOn w:val="1"/>
    <w:qFormat/>
    <w:uiPriority w:val="0"/>
    <w:pPr>
      <w:widowControl w:val="0"/>
      <w:jc w:val="both"/>
    </w:pPr>
    <w:rPr>
      <w:rFonts w:ascii="宋体" w:hAnsi="宋体"/>
      <w:b/>
      <w:kern w:val="2"/>
      <w:sz w:val="28"/>
      <w:szCs w:val="28"/>
    </w:rPr>
  </w:style>
  <w:style w:type="paragraph" w:customStyle="1" w:styleId="125">
    <w:name w:val="表格"/>
    <w:basedOn w:val="1"/>
    <w:qFormat/>
    <w:uiPriority w:val="0"/>
    <w:pPr>
      <w:widowControl w:val="0"/>
      <w:spacing w:line="420" w:lineRule="exact"/>
      <w:ind w:left="84" w:leftChars="40"/>
      <w:jc w:val="center"/>
    </w:pPr>
    <w:rPr>
      <w:rFonts w:ascii="宋体" w:hAnsi="宋体"/>
      <w:bCs/>
      <w:spacing w:val="-12"/>
      <w:kern w:val="2"/>
      <w:sz w:val="21"/>
    </w:rPr>
  </w:style>
  <w:style w:type="paragraph" w:customStyle="1" w:styleId="126">
    <w:name w:val="Char1"/>
    <w:basedOn w:val="1"/>
    <w:qFormat/>
    <w:uiPriority w:val="0"/>
    <w:pPr>
      <w:spacing w:after="160" w:line="240" w:lineRule="exact"/>
    </w:pPr>
    <w:rPr>
      <w:kern w:val="2"/>
    </w:rPr>
  </w:style>
  <w:style w:type="paragraph" w:customStyle="1" w:styleId="127">
    <w:name w:val="a"/>
    <w:basedOn w:val="1"/>
    <w:qFormat/>
    <w:uiPriority w:val="0"/>
    <w:pPr>
      <w:spacing w:before="100" w:beforeAutospacing="1" w:after="100" w:afterAutospacing="1"/>
    </w:pPr>
    <w:rPr>
      <w:rFonts w:ascii="宋体" w:hAnsi="宋体" w:cs="宋体"/>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30">
    <w:name w:val="默认段落字体 Para Char"/>
    <w:basedOn w:val="1"/>
    <w:qFormat/>
    <w:uiPriority w:val="0"/>
    <w:pPr>
      <w:widowControl w:val="0"/>
      <w:jc w:val="both"/>
    </w:pPr>
    <w:rPr>
      <w:kern w:val="2"/>
      <w:sz w:val="21"/>
    </w:rPr>
  </w:style>
  <w:style w:type="paragraph" w:customStyle="1" w:styleId="131">
    <w:name w:val="Comment Text"/>
    <w:basedOn w:val="109"/>
    <w:qFormat/>
    <w:uiPriority w:val="99"/>
    <w:pPr>
      <w:jc w:val="left"/>
    </w:pPr>
  </w:style>
  <w:style w:type="paragraph" w:customStyle="1" w:styleId="132">
    <w:name w:val="图_0"/>
    <w:basedOn w:val="8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33">
    <w:name w:val="xl29"/>
    <w:basedOn w:val="1"/>
    <w:qFormat/>
    <w:uiPriority w:val="0"/>
    <w:pPr>
      <w:spacing w:before="100" w:beforeAutospacing="1" w:after="100" w:afterAutospacing="1"/>
      <w:jc w:val="center"/>
    </w:pPr>
    <w:rPr>
      <w:rFonts w:ascii="宋体" w:hAnsi="宋体"/>
      <w:sz w:val="28"/>
      <w:szCs w:val="28"/>
    </w:rPr>
  </w:style>
  <w:style w:type="paragraph" w:customStyle="1" w:styleId="134">
    <w:name w:val="Char"/>
    <w:basedOn w:val="1"/>
    <w:qFormat/>
    <w:uiPriority w:val="0"/>
    <w:pPr>
      <w:spacing w:after="160" w:line="240" w:lineRule="exact"/>
    </w:pPr>
    <w:rPr>
      <w:rFonts w:ascii="Verdana" w:hAnsi="Verdana" w:eastAsia="仿宋_GB231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17797</Words>
  <Characters>18482</Characters>
  <Lines>229</Lines>
  <Paragraphs>64</Paragraphs>
  <TotalTime>83</TotalTime>
  <ScaleCrop>false</ScaleCrop>
  <LinksUpToDate>false</LinksUpToDate>
  <CharactersWithSpaces>20087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2020-01-02T03:39:00Z</dcterms:created>
  <dc:creator>HXM</dc:creator>
  <cp:lastModifiedBy>大白菜</cp:lastModifiedBy>
  <cp:lastPrinted>2023-05-22T06:08:00Z</cp:lastPrinted>
  <dcterms:modified xsi:type="dcterms:W3CDTF">2023-06-05T01:53:47Z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A908900944364B83A92DE2E2021A78FB</vt:lpwstr>
  </property>
</Properties>
</file>