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u w:val="none"/>
          <w:lang w:eastAsia="zh-CN"/>
        </w:rPr>
        <w:t>南沙古人景观提升工程</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6"/>
        <w:rPr>
          <w:rFonts w:hint="eastAsia" w:ascii="宋体" w:hAnsi="宋体" w:eastAsia="宋体" w:cs="宋体"/>
          <w:color w:val="auto"/>
          <w:sz w:val="72"/>
          <w:szCs w:val="72"/>
          <w:highlight w:val="none"/>
        </w:rPr>
      </w:pPr>
    </w:p>
    <w:p>
      <w:pPr>
        <w:rPr>
          <w:rFonts w:hint="eastAsia" w:ascii="宋体" w:hAnsi="宋体" w:eastAsia="宋体" w:cs="宋体"/>
          <w:color w:val="auto"/>
          <w:sz w:val="72"/>
          <w:szCs w:val="72"/>
          <w:highlight w:val="none"/>
        </w:rPr>
      </w:pPr>
    </w:p>
    <w:p>
      <w:pPr>
        <w:pStyle w:val="6"/>
        <w:rPr>
          <w:color w:val="auto"/>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240" w:lineRule="auto"/>
        <w:ind w:firstLine="1285" w:firstLineChars="400"/>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6月</w:t>
      </w:r>
    </w:p>
    <w:p>
      <w:pPr>
        <w:rPr>
          <w:rFonts w:ascii="黑体" w:hAnsi="宋体" w:eastAsia="黑体" w:cs="黑体"/>
          <w:color w:val="auto"/>
          <w:sz w:val="36"/>
          <w:szCs w:val="36"/>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bookmarkStart w:id="0" w:name="_Toc29976"/>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hint="eastAsia" w:ascii="宋体" w:hAnsi="宋体" w:eastAsia="宋体" w:cs="宋体"/>
          <w:color w:val="auto"/>
          <w:sz w:val="24"/>
          <w:szCs w:val="24"/>
          <w:highlight w:val="none"/>
        </w:rPr>
      </w:sdtEndPr>
      <w:sdtContent>
        <w:p>
          <w:pPr>
            <w:jc w:val="center"/>
            <w:rPr>
              <w:rFonts w:ascii="宋体" w:hAnsi="宋体" w:eastAsia="宋体"/>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_Toc1337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第1章 投标须知及前附表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_Toc1337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_Toc10253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第2章 项目需求书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_Toc10253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_Toc2975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第3章 投标格式文件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_Toc2975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_Toc14186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第4章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_Toc14186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pPr>
            <w:pStyle w:val="12"/>
            <w:tabs>
              <w:tab w:val="right" w:leader="dot" w:pos="9419"/>
            </w:tabs>
            <w:rPr>
              <w:rFonts w:hint="default"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_Toc16497 </w:instrText>
          </w:r>
          <w:r>
            <w:rPr>
              <w:rFonts w:hint="eastAsia" w:ascii="宋体" w:hAnsi="宋体" w:eastAsia="宋体" w:cs="宋体"/>
              <w:sz w:val="24"/>
              <w:szCs w:val="24"/>
              <w:highlight w:val="none"/>
            </w:rPr>
            <w:fldChar w:fldCharType="separate"/>
          </w:r>
          <w:r>
            <w:rPr>
              <w:rFonts w:hint="eastAsia" w:ascii="宋体" w:hAnsi="宋体" w:eastAsia="宋体" w:cs="宋体"/>
              <w:kern w:val="44"/>
              <w:sz w:val="24"/>
              <w:szCs w:val="24"/>
              <w:highlight w:val="none"/>
            </w:rPr>
            <w:t>第</w:t>
          </w:r>
          <w:r>
            <w:rPr>
              <w:rFonts w:hint="eastAsia" w:ascii="宋体" w:hAnsi="宋体" w:eastAsia="宋体" w:cs="宋体"/>
              <w:kern w:val="44"/>
              <w:sz w:val="24"/>
              <w:szCs w:val="24"/>
              <w:highlight w:val="none"/>
              <w:lang w:val="en-US" w:eastAsia="zh-CN"/>
            </w:rPr>
            <w:t>5</w:t>
          </w:r>
          <w:r>
            <w:rPr>
              <w:rFonts w:hint="eastAsia" w:ascii="宋体" w:hAnsi="宋体" w:eastAsia="宋体" w:cs="宋体"/>
              <w:kern w:val="44"/>
              <w:sz w:val="24"/>
              <w:szCs w:val="24"/>
              <w:highlight w:val="none"/>
            </w:rPr>
            <w:t xml:space="preserve">章 </w:t>
          </w:r>
          <w:r>
            <w:rPr>
              <w:rFonts w:hint="eastAsia" w:ascii="宋体" w:hAnsi="宋体" w:eastAsia="宋体" w:cs="宋体"/>
              <w:kern w:val="44"/>
              <w:sz w:val="24"/>
              <w:szCs w:val="24"/>
              <w:highlight w:val="none"/>
              <w:lang w:val="en-US" w:eastAsia="zh-CN"/>
            </w:rPr>
            <w:t>附件</w:t>
          </w:r>
          <w:r>
            <w:rPr>
              <w:rFonts w:hint="eastAsia" w:ascii="宋体" w:hAnsi="宋体" w:eastAsia="宋体" w:cs="宋体"/>
              <w:sz w:val="24"/>
              <w:szCs w:val="24"/>
            </w:rPr>
            <w:tab/>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lang w:val="en-US" w:eastAsia="zh-CN"/>
            </w:rPr>
            <w:t>34</w:t>
          </w:r>
        </w:p>
        <w:p>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p>
      </w:sdtContent>
    </w:sdt>
    <w:p>
      <w:pPr>
        <w:pStyle w:val="13"/>
        <w:widowControl/>
        <w:spacing w:after="0"/>
        <w:ind w:firstLine="0"/>
        <w:rPr>
          <w:rFonts w:ascii="宋体" w:hAnsi="宋体" w:cs="宋体"/>
          <w:color w:val="auto"/>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1" w:name="_Toc14164"/>
      <w:bookmarkStart w:id="2" w:name="_Toc4395"/>
      <w:bookmarkStart w:id="3" w:name="_Toc14855"/>
      <w:bookmarkStart w:id="4" w:name="_Toc14766"/>
      <w:bookmarkStart w:id="5" w:name="_Toc1337"/>
      <w:bookmarkStart w:id="6" w:name="_Toc4926"/>
      <w:bookmarkStart w:id="7" w:name="_Toc374128472"/>
      <w:bookmarkStart w:id="8" w:name="_Toc13302"/>
      <w:r>
        <w:rPr>
          <w:rFonts w:hint="eastAsia" w:ascii="黑体" w:hAnsi="宋体" w:cs="黑体"/>
          <w:b/>
          <w:color w:val="auto"/>
          <w:kern w:val="44"/>
          <w:sz w:val="44"/>
          <w:szCs w:val="44"/>
          <w:highlight w:val="none"/>
        </w:rPr>
        <w:t>第1章 投标须知及前附表</w:t>
      </w:r>
      <w:bookmarkEnd w:id="1"/>
      <w:bookmarkEnd w:id="2"/>
      <w:bookmarkEnd w:id="3"/>
      <w:bookmarkEnd w:id="4"/>
      <w:bookmarkEnd w:id="5"/>
      <w:bookmarkEnd w:id="6"/>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rPr>
              <w:t>南沙古人景观提升工程</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广州市南沙区</w:t>
            </w:r>
            <w:r>
              <w:rPr>
                <w:rFonts w:hint="eastAsia" w:ascii="宋体" w:hAnsi="宋体" w:cs="宋体"/>
                <w:color w:val="auto"/>
                <w:sz w:val="21"/>
                <w:szCs w:val="21"/>
                <w:highlight w:val="none"/>
                <w:lang w:val="en-US" w:eastAsia="zh-CN"/>
              </w:rPr>
              <w:t>天后宫景区内</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default" w:ascii="宋体" w:hAnsi="宋体" w:eastAsia="宋体" w:cs="宋体"/>
                <w:color w:val="auto"/>
                <w:highlight w:val="none"/>
                <w:u w:val="none"/>
                <w:lang w:val="en-US" w:eastAsia="zh-CN"/>
              </w:rPr>
            </w:pPr>
            <w:r>
              <w:rPr>
                <w:rFonts w:hint="eastAsia" w:ascii="宋体" w:hAnsi="宋体" w:cs="宋体"/>
                <w:color w:val="auto"/>
                <w:highlight w:val="none"/>
                <w:u w:val="none"/>
                <w:lang w:val="en-US"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u w:val="none"/>
              </w:rPr>
              <w:t>为完善</w:t>
            </w:r>
            <w:r>
              <w:rPr>
                <w:rFonts w:hint="eastAsia" w:ascii="宋体" w:hAnsi="宋体" w:eastAsia="宋体" w:cs="宋体"/>
                <w:color w:val="auto"/>
                <w:kern w:val="2"/>
                <w:position w:val="0"/>
                <w:sz w:val="21"/>
                <w:szCs w:val="21"/>
                <w:highlight w:val="none"/>
                <w:u w:val="none"/>
                <w:lang w:val="en-US" w:eastAsia="zh-CN"/>
              </w:rPr>
              <w:t>天后宫内景观设施</w:t>
            </w:r>
            <w:r>
              <w:rPr>
                <w:rFonts w:hint="eastAsia" w:ascii="宋体" w:hAnsi="宋体" w:eastAsia="宋体" w:cs="宋体"/>
                <w:color w:val="auto"/>
                <w:kern w:val="2"/>
                <w:position w:val="0"/>
                <w:sz w:val="21"/>
                <w:szCs w:val="21"/>
                <w:highlight w:val="none"/>
                <w:u w:val="none"/>
              </w:rPr>
              <w:t>，</w:t>
            </w:r>
            <w:r>
              <w:rPr>
                <w:rFonts w:hint="eastAsia" w:ascii="宋体" w:hAnsi="宋体" w:eastAsia="宋体" w:cs="宋体"/>
                <w:color w:val="auto"/>
                <w:kern w:val="2"/>
                <w:position w:val="0"/>
                <w:sz w:val="21"/>
                <w:szCs w:val="21"/>
                <w:highlight w:val="none"/>
                <w:u w:val="none"/>
                <w:lang w:val="en-US" w:eastAsia="zh-CN"/>
              </w:rPr>
              <w:t>在现有天后宫南沙古人南侧（现为草地）位置增设景观，包括月洞门</w:t>
            </w:r>
            <w:r>
              <w:rPr>
                <w:rFonts w:hint="eastAsia" w:ascii="宋体" w:hAnsi="宋体" w:cs="宋体"/>
                <w:color w:val="auto"/>
                <w:kern w:val="2"/>
                <w:position w:val="0"/>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平台等设施</w:t>
            </w:r>
            <w:r>
              <w:rPr>
                <w:rFonts w:hint="eastAsia" w:ascii="宋体" w:hAnsi="宋体" w:eastAsia="宋体" w:cs="宋体"/>
                <w:color w:val="auto"/>
                <w:kern w:val="2"/>
                <w:position w:val="0"/>
                <w:sz w:val="21"/>
                <w:szCs w:val="21"/>
                <w:highlight w:val="none"/>
                <w:u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34</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320" w:lineRule="exact"/>
              <w:ind w:firstLine="210"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rPr>
              <w:t>招标图纸及工程量清单范围内施工专业承包（承包人需按发包人要求施工，根据现场实际情况施工，设计图纸有调整时，必须服从要求调整）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40个日历天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ind w:firstLine="0" w:firstLineChars="0"/>
              <w:rPr>
                <w:rFonts w:hint="default"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u w:val="none"/>
                <w:shd w:val="clear"/>
              </w:rPr>
              <w:t>投标人</w:t>
            </w:r>
            <w:r>
              <w:rPr>
                <w:rFonts w:hint="eastAsia" w:ascii="宋体" w:hAnsi="宋体" w:eastAsia="宋体" w:cs="宋体"/>
                <w:bCs w:val="0"/>
                <w:i w:val="0"/>
                <w:iCs w:val="0"/>
                <w:caps w:val="0"/>
                <w:color w:val="auto"/>
                <w:spacing w:val="0"/>
                <w:sz w:val="21"/>
                <w:szCs w:val="21"/>
                <w:highlight w:val="none"/>
                <w:u w:val="none"/>
                <w:shd w:val="clear"/>
                <w:lang w:val="en-US" w:eastAsia="zh-CN"/>
              </w:rPr>
              <w:t>须</w:t>
            </w:r>
            <w:r>
              <w:rPr>
                <w:rFonts w:hint="eastAsia" w:ascii="宋体" w:hAnsi="宋体" w:eastAsia="宋体" w:cs="宋体"/>
                <w:bCs w:val="0"/>
                <w:i w:val="0"/>
                <w:iCs w:val="0"/>
                <w:caps w:val="0"/>
                <w:color w:val="auto"/>
                <w:spacing w:val="0"/>
                <w:sz w:val="21"/>
                <w:szCs w:val="21"/>
                <w:highlight w:val="none"/>
                <w:u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u w:val="none"/>
                <w:shd w:val="clear"/>
                <w:lang w:val="en-US" w:eastAsia="zh-CN"/>
              </w:rPr>
              <w:t>三</w:t>
            </w:r>
            <w:r>
              <w:rPr>
                <w:rFonts w:hint="eastAsia" w:ascii="宋体" w:hAnsi="宋体" w:eastAsia="宋体" w:cs="宋体"/>
                <w:bCs w:val="0"/>
                <w:i w:val="0"/>
                <w:iCs w:val="0"/>
                <w:caps w:val="0"/>
                <w:color w:val="auto"/>
                <w:spacing w:val="0"/>
                <w:sz w:val="21"/>
                <w:szCs w:val="21"/>
                <w:highlight w:val="none"/>
                <w:u w:val="none"/>
                <w:shd w:val="clear"/>
              </w:rPr>
              <w:t>级</w:t>
            </w:r>
            <w:r>
              <w:rPr>
                <w:rFonts w:hint="eastAsia" w:ascii="宋体" w:hAnsi="宋体" w:eastAsia="宋体" w:cs="宋体"/>
                <w:bCs w:val="0"/>
                <w:i w:val="0"/>
                <w:iCs w:val="0"/>
                <w:caps w:val="0"/>
                <w:color w:val="auto"/>
                <w:spacing w:val="0"/>
                <w:sz w:val="21"/>
                <w:szCs w:val="21"/>
                <w:highlight w:val="none"/>
                <w:u w:val="none"/>
                <w:shd w:val="clear"/>
                <w:lang w:val="en-US" w:eastAsia="zh-CN"/>
              </w:rPr>
              <w:t>或</w:t>
            </w:r>
            <w:r>
              <w:rPr>
                <w:rFonts w:hint="eastAsia" w:ascii="宋体" w:hAnsi="宋体" w:eastAsia="宋体" w:cs="宋体"/>
                <w:bCs w:val="0"/>
                <w:i w:val="0"/>
                <w:iCs w:val="0"/>
                <w:caps w:val="0"/>
                <w:color w:val="auto"/>
                <w:spacing w:val="0"/>
                <w:sz w:val="21"/>
                <w:szCs w:val="21"/>
                <w:highlight w:val="none"/>
                <w:u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u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、投标</w:t>
            </w:r>
            <w:r>
              <w:rPr>
                <w:rFonts w:hint="eastAsia" w:ascii="宋体" w:hAnsi="宋体" w:eastAsia="宋体" w:cs="宋体"/>
                <w:color w:val="auto"/>
                <w:sz w:val="21"/>
                <w:szCs w:val="21"/>
                <w:highlight w:val="none"/>
                <w:u w:val="none"/>
                <w:lang w:eastAsia="zh-CN"/>
              </w:rPr>
              <w:t>人</w:t>
            </w:r>
            <w:r>
              <w:rPr>
                <w:rFonts w:hint="eastAsia" w:ascii="宋体" w:hAnsi="宋体" w:eastAsia="宋体" w:cs="宋体"/>
                <w:color w:val="auto"/>
                <w:sz w:val="21"/>
                <w:szCs w:val="21"/>
                <w:highlight w:val="none"/>
                <w:u w:val="none"/>
              </w:rPr>
              <w:t>委派的项目负责人</w:t>
            </w:r>
            <w:r>
              <w:rPr>
                <w:rFonts w:hint="eastAsia" w:ascii="宋体" w:hAnsi="宋体" w:eastAsia="宋体" w:cs="宋体"/>
                <w:color w:val="auto"/>
                <w:sz w:val="21"/>
                <w:szCs w:val="21"/>
                <w:highlight w:val="none"/>
                <w:u w:val="none"/>
                <w:lang w:eastAsia="zh-CN"/>
              </w:rPr>
              <w:t>为：</w:t>
            </w:r>
            <w:r>
              <w:rPr>
                <w:rFonts w:hint="eastAsia" w:ascii="宋体" w:hAnsi="宋体" w:eastAsia="宋体" w:cs="宋体"/>
                <w:color w:val="auto"/>
                <w:sz w:val="21"/>
                <w:szCs w:val="21"/>
                <w:highlight w:val="none"/>
                <w:u w:val="none"/>
              </w:rPr>
              <w:t>市政公用工程专业二级或以上级别的注册建造师</w:t>
            </w:r>
            <w:r>
              <w:rPr>
                <w:rFonts w:hint="eastAsia" w:ascii="宋体" w:hAnsi="宋体" w:eastAsia="宋体" w:cs="宋体"/>
                <w:color w:val="auto"/>
                <w:sz w:val="21"/>
                <w:szCs w:val="21"/>
                <w:highlight w:val="none"/>
                <w:u w:val="none"/>
                <w:lang w:eastAsia="zh-CN"/>
              </w:rPr>
              <w:t>。</w:t>
            </w:r>
            <w:r>
              <w:rPr>
                <w:rFonts w:hint="eastAsia" w:ascii="宋体" w:hAnsi="宋体" w:eastAsia="宋体" w:cs="宋体"/>
                <w:b w:val="0"/>
                <w:bCs w:val="0"/>
                <w:color w:val="auto"/>
                <w:sz w:val="21"/>
                <w:szCs w:val="21"/>
                <w:highlight w:val="none"/>
                <w:u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u w:val="none"/>
              </w:rPr>
              <w:t>。</w:t>
            </w:r>
          </w:p>
          <w:p>
            <w:pPr>
              <w:widowControl w:val="0"/>
              <w:spacing w:line="360" w:lineRule="auto"/>
              <w:ind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2、投标人委派的技术负责人具有</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val="en-US" w:eastAsia="zh-CN"/>
              </w:rPr>
              <w:t>中级工程师或以上职称。技术负责人与项目负责人不能为同一人。</w:t>
            </w:r>
          </w:p>
          <w:p>
            <w:pPr>
              <w:widowControl w:val="0"/>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b w:val="0"/>
                <w:bCs w:val="0"/>
                <w:color w:val="auto"/>
                <w:sz w:val="21"/>
                <w:szCs w:val="21"/>
                <w:highlight w:val="none"/>
                <w:u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u w:val="single"/>
                <w:lang w:val="en-US" w:eastAsia="zh-CN"/>
              </w:rPr>
              <w:t>¥</w:t>
            </w:r>
            <w:r>
              <w:rPr>
                <w:rFonts w:hint="eastAsia" w:hAnsi="宋体" w:cs="宋体"/>
                <w:color w:val="auto"/>
                <w:sz w:val="21"/>
                <w:szCs w:val="21"/>
                <w:highlight w:val="none"/>
                <w:u w:val="single"/>
                <w:lang w:val="en-US" w:eastAsia="zh-CN"/>
              </w:rPr>
              <w:t xml:space="preserve"> 320552.62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w:t>
            </w:r>
            <w:r>
              <w:rPr>
                <w:rFonts w:hint="eastAsia" w:hAnsi="宋体" w:cs="宋体"/>
                <w:color w:val="auto"/>
                <w:sz w:val="21"/>
                <w:szCs w:val="21"/>
                <w:highlight w:val="none"/>
                <w:lang w:val="en-US" w:eastAsia="zh-CN"/>
              </w:rPr>
              <w:t>叁拾贰万零伍佰伍拾贰元陆角贰分</w:t>
            </w:r>
            <w:r>
              <w:rPr>
                <w:rFonts w:hint="eastAsia" w:ascii="宋体" w:hAnsi="宋体" w:eastAsia="宋体" w:cs="宋体"/>
                <w:color w:val="auto"/>
                <w:sz w:val="21"/>
                <w:szCs w:val="21"/>
                <w:highlight w:val="none"/>
                <w:lang w:eastAsia="zh-CN"/>
              </w:rPr>
              <w:t>），其中，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single"/>
                <w:lang w:val="en-US" w:eastAsia="zh-CN"/>
              </w:rPr>
              <w:t>¥10533.21</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Theme="minorHAnsi" w:hAnsiTheme="minorHAnsi" w:eastAsiaTheme="minorEastAsia"/>
                <w:color w:val="auto"/>
                <w:sz w:val="21"/>
                <w:szCs w:val="24"/>
                <w:highlight w:val="none"/>
              </w:rPr>
            </w:pPr>
            <w:r>
              <w:rPr>
                <w:rFonts w:hint="eastAsia" w:asciiTheme="minorHAnsi" w:hAnsiTheme="minorHAnsi" w:eastAsiaTheme="minorEastAsia"/>
                <w:color w:val="auto"/>
                <w:sz w:val="21"/>
                <w:szCs w:val="24"/>
                <w:highlight w:val="none"/>
              </w:rPr>
              <w:t>1、金额：人民币</w:t>
            </w:r>
            <w:r>
              <w:rPr>
                <w:rFonts w:hint="eastAsia" w:asciiTheme="minorHAnsi" w:hAnsiTheme="minorHAnsi" w:cstheme="minorBidi"/>
                <w:b w:val="0"/>
                <w:bCs w:val="0"/>
                <w:color w:val="auto"/>
                <w:sz w:val="21"/>
                <w:szCs w:val="24"/>
                <w:highlight w:val="none"/>
                <w:lang w:val="en-US" w:eastAsia="zh-CN"/>
              </w:rPr>
              <w:t>伍仟</w:t>
            </w:r>
            <w:r>
              <w:rPr>
                <w:rFonts w:hint="eastAsia" w:asciiTheme="minorHAnsi" w:hAnsiTheme="minorHAnsi" w:eastAsiaTheme="minorEastAsia"/>
                <w:color w:val="auto"/>
                <w:sz w:val="21"/>
                <w:szCs w:val="24"/>
                <w:highlight w:val="none"/>
              </w:rPr>
              <w:t>元。</w:t>
            </w:r>
          </w:p>
          <w:p>
            <w:pPr>
              <w:numPr>
                <w:ilvl w:val="-1"/>
                <w:numId w:val="0"/>
              </w:numPr>
              <w:adjustRightInd w:val="0"/>
              <w:snapToGrid w:val="0"/>
              <w:spacing w:line="360" w:lineRule="auto"/>
              <w:rPr>
                <w:rFonts w:hint="eastAsia" w:asciiTheme="minorHAnsi" w:hAnsiTheme="minorHAnsi" w:eastAsiaTheme="minorEastAsia"/>
                <w:color w:val="auto"/>
                <w:sz w:val="21"/>
                <w:szCs w:val="24"/>
                <w:highlight w:val="none"/>
                <w:lang w:eastAsia="zh-CN"/>
              </w:rPr>
            </w:pPr>
            <w:r>
              <w:rPr>
                <w:rFonts w:hint="eastAsia" w:asciiTheme="minorHAnsi" w:hAnsiTheme="minorHAnsi" w:eastAsiaTheme="minorEastAsia"/>
                <w:color w:val="auto"/>
                <w:sz w:val="21"/>
                <w:szCs w:val="24"/>
                <w:highlight w:val="none"/>
              </w:rPr>
              <w:t>2、缴纳方式：</w:t>
            </w:r>
            <w:r>
              <w:rPr>
                <w:rFonts w:hint="eastAsia" w:asciiTheme="minorHAnsi" w:hAnsiTheme="minorHAnsi"/>
                <w:color w:val="auto"/>
                <w:sz w:val="21"/>
                <w:szCs w:val="24"/>
                <w:highlight w:val="none"/>
                <w:lang w:eastAsia="zh-CN"/>
              </w:rPr>
              <w:t>银行转账。</w:t>
            </w:r>
          </w:p>
          <w:p>
            <w:pPr>
              <w:numPr>
                <w:ilvl w:val="-1"/>
                <w:numId w:val="0"/>
              </w:numPr>
              <w:adjustRightInd w:val="0"/>
              <w:spacing w:line="360" w:lineRule="auto"/>
              <w:rPr>
                <w:rFonts w:hint="eastAsia" w:asciiTheme="minorHAnsi" w:hAnsiTheme="minorHAnsi" w:eastAsiaTheme="minorEastAsia"/>
                <w:color w:val="auto"/>
                <w:sz w:val="21"/>
                <w:szCs w:val="24"/>
                <w:highlight w:val="none"/>
                <w:lang w:eastAsia="zh-CN"/>
              </w:rPr>
            </w:pPr>
            <w:r>
              <w:rPr>
                <w:rFonts w:hint="eastAsia" w:asciiTheme="minorHAnsi" w:hAnsiTheme="minorHAnsi"/>
                <w:color w:val="auto"/>
                <w:sz w:val="21"/>
                <w:szCs w:val="24"/>
                <w:highlight w:val="none"/>
              </w:rPr>
              <w:t>账户名称：</w:t>
            </w:r>
            <w:r>
              <w:rPr>
                <w:rFonts w:hint="eastAsia" w:asciiTheme="minorHAnsi" w:hAnsiTheme="minorHAnsi" w:cstheme="minorBidi"/>
                <w:color w:val="auto"/>
                <w:sz w:val="21"/>
                <w:szCs w:val="24"/>
                <w:highlight w:val="none"/>
              </w:rPr>
              <w:t>广州南沙</w:t>
            </w:r>
            <w:r>
              <w:rPr>
                <w:rFonts w:hint="eastAsia" w:asciiTheme="minorHAnsi" w:hAnsiTheme="minorHAnsi" w:cstheme="minorBidi"/>
                <w:color w:val="auto"/>
                <w:sz w:val="21"/>
                <w:szCs w:val="24"/>
                <w:highlight w:val="none"/>
                <w:lang w:val="en-US" w:eastAsia="zh-CN"/>
              </w:rPr>
              <w:t>旅游发展</w:t>
            </w:r>
            <w:r>
              <w:rPr>
                <w:rFonts w:hint="eastAsia" w:asciiTheme="minorHAnsi" w:hAnsiTheme="minorHAnsi" w:cstheme="minorBidi"/>
                <w:color w:val="auto"/>
                <w:sz w:val="21"/>
                <w:szCs w:val="24"/>
                <w:highlight w:val="none"/>
              </w:rPr>
              <w:t>有限公司</w:t>
            </w:r>
          </w:p>
          <w:p>
            <w:pPr>
              <w:numPr>
                <w:ilvl w:val="-1"/>
                <w:numId w:val="0"/>
              </w:numPr>
              <w:adjustRightInd w:val="0"/>
              <w:spacing w:line="360" w:lineRule="auto"/>
              <w:rPr>
                <w:rFonts w:hint="eastAsia" w:asciiTheme="minorHAnsi" w:hAnsiTheme="minorHAnsi" w:eastAsiaTheme="minorEastAsia" w:cstheme="minorBidi"/>
                <w:color w:val="auto"/>
                <w:sz w:val="21"/>
                <w:szCs w:val="24"/>
                <w:highlight w:val="none"/>
                <w:lang w:eastAsia="zh-CN"/>
              </w:rPr>
            </w:pPr>
            <w:r>
              <w:rPr>
                <w:rFonts w:hint="eastAsia" w:asciiTheme="minorHAnsi" w:hAnsiTheme="minorHAnsi"/>
                <w:color w:val="auto"/>
                <w:sz w:val="21"/>
                <w:szCs w:val="24"/>
                <w:highlight w:val="none"/>
              </w:rPr>
              <w:t>开户银行：</w:t>
            </w:r>
            <w:r>
              <w:rPr>
                <w:rFonts w:hint="eastAsia" w:asciiTheme="minorHAnsi" w:hAnsiTheme="minorHAnsi" w:cstheme="minorBidi"/>
                <w:b w:val="0"/>
                <w:bCs w:val="0"/>
                <w:color w:val="auto"/>
                <w:sz w:val="21"/>
                <w:szCs w:val="24"/>
                <w:highlight w:val="none"/>
              </w:rPr>
              <w:t>中国银行广州南沙科技园区支行</w:t>
            </w:r>
            <w:r>
              <w:rPr>
                <w:rFonts w:hint="eastAsia" w:asciiTheme="minorHAnsi" w:hAnsiTheme="minorHAnsi" w:cstheme="minorBidi"/>
                <w:color w:val="auto"/>
                <w:sz w:val="21"/>
                <w:szCs w:val="24"/>
                <w:highlight w:val="none"/>
                <w:lang w:val="en-US" w:eastAsia="zh-CN"/>
              </w:rPr>
              <w:t xml:space="preserve"> </w:t>
            </w:r>
          </w:p>
          <w:p>
            <w:pPr>
              <w:numPr>
                <w:ilvl w:val="-1"/>
                <w:numId w:val="0"/>
              </w:numPr>
              <w:adjustRightInd w:val="0"/>
              <w:spacing w:line="360" w:lineRule="auto"/>
              <w:rPr>
                <w:rFonts w:hint="eastAsia" w:asciiTheme="minorHAnsi" w:hAnsiTheme="minorHAnsi" w:eastAsiaTheme="minorEastAsia" w:cstheme="minorBidi"/>
                <w:color w:val="auto"/>
                <w:sz w:val="21"/>
                <w:szCs w:val="24"/>
                <w:highlight w:val="none"/>
                <w:lang w:val="en-US" w:eastAsia="zh-CN"/>
              </w:rPr>
            </w:pPr>
            <w:r>
              <w:rPr>
                <w:rFonts w:hint="eastAsia" w:asciiTheme="minorHAnsi" w:hAnsiTheme="minorHAnsi"/>
                <w:color w:val="auto"/>
                <w:sz w:val="21"/>
                <w:szCs w:val="24"/>
                <w:highlight w:val="none"/>
              </w:rPr>
              <w:t>账号</w:t>
            </w:r>
            <w:r>
              <w:rPr>
                <w:rFonts w:hint="eastAsia" w:asciiTheme="minorHAnsi" w:hAnsiTheme="minorHAnsi" w:cstheme="minorBidi"/>
                <w:color w:val="auto"/>
                <w:sz w:val="21"/>
                <w:szCs w:val="24"/>
                <w:highlight w:val="none"/>
              </w:rPr>
              <w:t>：</w:t>
            </w:r>
            <w:r>
              <w:rPr>
                <w:rFonts w:hint="eastAsia" w:asciiTheme="minorHAnsi" w:hAnsiTheme="minorHAnsi" w:cstheme="minorBidi"/>
                <w:b w:val="0"/>
                <w:bCs w:val="0"/>
                <w:color w:val="auto"/>
                <w:sz w:val="21"/>
                <w:szCs w:val="24"/>
                <w:highlight w:val="none"/>
              </w:rPr>
              <w:t>644457756045</w:t>
            </w:r>
          </w:p>
          <w:p>
            <w:pPr>
              <w:numPr>
                <w:ilvl w:val="-1"/>
                <w:numId w:val="0"/>
              </w:numPr>
              <w:adjustRightInd w:val="0"/>
              <w:snapToGrid w:val="0"/>
              <w:spacing w:line="360" w:lineRule="auto"/>
              <w:rPr>
                <w:rFonts w:hint="eastAsia" w:asciiTheme="minorHAnsi" w:hAnsiTheme="minorHAnsi" w:eastAsiaTheme="minorEastAsia" w:cstheme="minorBidi"/>
                <w:color w:val="auto"/>
                <w:kern w:val="2"/>
                <w:sz w:val="21"/>
                <w:szCs w:val="24"/>
                <w:highlight w:val="none"/>
                <w:u w:val="none"/>
                <w:lang w:val="en-US" w:eastAsia="zh-CN" w:bidi="ar-SA"/>
              </w:rPr>
            </w:pPr>
            <w:r>
              <w:rPr>
                <w:rFonts w:hint="eastAsia" w:asciiTheme="minorHAnsi" w:hAnsiTheme="minorHAnsi" w:eastAsiaTheme="minorEastAsia"/>
                <w:color w:val="auto"/>
                <w:sz w:val="21"/>
                <w:szCs w:val="24"/>
                <w:highlight w:val="none"/>
              </w:rPr>
              <w:t>缴纳时间：投标单位须在</w:t>
            </w:r>
            <w:r>
              <w:rPr>
                <w:rFonts w:hint="eastAsia" w:asciiTheme="minorHAnsi" w:hAnsiTheme="minorHAnsi" w:eastAsiaTheme="minorEastAsia" w:cstheme="minorBidi"/>
                <w:color w:val="auto"/>
                <w:sz w:val="21"/>
                <w:szCs w:val="24"/>
                <w:highlight w:val="none"/>
                <w:u w:val="none"/>
              </w:rPr>
              <w:t>202</w:t>
            </w:r>
            <w:r>
              <w:rPr>
                <w:rFonts w:hint="eastAsia" w:asciiTheme="minorHAnsi" w:hAnsiTheme="minorHAnsi" w:eastAsiaTheme="minorEastAsia" w:cstheme="minorBidi"/>
                <w:color w:val="auto"/>
                <w:sz w:val="21"/>
                <w:szCs w:val="24"/>
                <w:highlight w:val="none"/>
                <w:u w:val="none"/>
                <w:lang w:val="en-US" w:eastAsia="zh-CN"/>
              </w:rPr>
              <w:t>3</w:t>
            </w:r>
            <w:r>
              <w:rPr>
                <w:rFonts w:hint="eastAsia" w:asciiTheme="minorHAnsi" w:hAnsiTheme="minorHAnsi" w:eastAsiaTheme="minorEastAsia" w:cstheme="minorBidi"/>
                <w:color w:val="auto"/>
                <w:sz w:val="21"/>
                <w:szCs w:val="24"/>
                <w:highlight w:val="none"/>
                <w:u w:val="none"/>
              </w:rPr>
              <w:t>年</w:t>
            </w:r>
            <w:r>
              <w:rPr>
                <w:rFonts w:hint="eastAsia" w:cstheme="minorBidi"/>
                <w:color w:val="auto"/>
                <w:sz w:val="21"/>
                <w:szCs w:val="24"/>
                <w:highlight w:val="none"/>
                <w:u w:val="none"/>
                <w:lang w:val="en-US" w:eastAsia="zh-CN"/>
              </w:rPr>
              <w:t>6</w:t>
            </w:r>
            <w:r>
              <w:rPr>
                <w:rFonts w:hint="eastAsia" w:asciiTheme="minorHAnsi" w:hAnsiTheme="minorHAnsi" w:eastAsiaTheme="minorEastAsia" w:cstheme="minorBidi"/>
                <w:color w:val="auto"/>
                <w:sz w:val="21"/>
                <w:szCs w:val="24"/>
                <w:highlight w:val="none"/>
                <w:u w:val="none"/>
                <w:lang w:val="en-US" w:eastAsia="zh-CN"/>
              </w:rPr>
              <w:t>月</w:t>
            </w:r>
            <w:r>
              <w:rPr>
                <w:rFonts w:hint="eastAsia" w:cstheme="minorBidi"/>
                <w:color w:val="auto"/>
                <w:sz w:val="21"/>
                <w:szCs w:val="24"/>
                <w:highlight w:val="none"/>
                <w:u w:val="none"/>
                <w:lang w:val="en-US" w:eastAsia="zh-CN"/>
              </w:rPr>
              <w:t>27</w:t>
            </w:r>
            <w:r>
              <w:rPr>
                <w:rFonts w:hint="eastAsia" w:asciiTheme="minorHAnsi" w:hAnsiTheme="minorHAnsi" w:eastAsiaTheme="minorEastAsia" w:cstheme="minorBidi"/>
                <w:color w:val="auto"/>
                <w:sz w:val="21"/>
                <w:szCs w:val="24"/>
                <w:highlight w:val="none"/>
                <w:u w:val="none"/>
              </w:rPr>
              <w:t>日</w:t>
            </w:r>
            <w:r>
              <w:rPr>
                <w:rFonts w:hint="eastAsia" w:asciiTheme="minorHAnsi" w:hAnsiTheme="minorHAnsi" w:eastAsiaTheme="minorEastAsia" w:cstheme="minorBidi"/>
                <w:color w:val="auto"/>
                <w:sz w:val="21"/>
                <w:szCs w:val="24"/>
                <w:highlight w:val="none"/>
                <w:u w:val="none"/>
                <w:lang w:eastAsia="zh-CN"/>
              </w:rPr>
              <w:t>（星期</w:t>
            </w:r>
            <w:r>
              <w:rPr>
                <w:rFonts w:hint="eastAsia" w:cstheme="minorBidi"/>
                <w:color w:val="auto"/>
                <w:sz w:val="21"/>
                <w:szCs w:val="24"/>
                <w:highlight w:val="none"/>
                <w:u w:val="none"/>
                <w:lang w:val="en-US" w:eastAsia="zh-CN"/>
              </w:rPr>
              <w:t>二</w:t>
            </w:r>
            <w:r>
              <w:rPr>
                <w:rFonts w:hint="eastAsia" w:asciiTheme="minorHAnsi" w:hAnsiTheme="minorHAnsi" w:eastAsiaTheme="minorEastAsia" w:cstheme="minorBidi"/>
                <w:color w:val="auto"/>
                <w:sz w:val="21"/>
                <w:szCs w:val="24"/>
                <w:highlight w:val="none"/>
                <w:u w:val="none"/>
                <w:lang w:eastAsia="zh-CN"/>
              </w:rPr>
              <w:t>）</w:t>
            </w:r>
            <w:r>
              <w:rPr>
                <w:rFonts w:hint="eastAsia" w:asciiTheme="minorHAnsi" w:hAnsiTheme="minorHAnsi" w:eastAsiaTheme="minorEastAsia" w:cstheme="minorBidi"/>
                <w:color w:val="auto"/>
                <w:sz w:val="21"/>
                <w:szCs w:val="24"/>
                <w:highlight w:val="none"/>
                <w:u w:val="none"/>
                <w:lang w:val="en-US" w:eastAsia="zh-CN"/>
              </w:rPr>
              <w:t>12</w:t>
            </w:r>
            <w:r>
              <w:rPr>
                <w:rFonts w:hint="eastAsia" w:asciiTheme="minorHAnsi" w:hAnsiTheme="minorHAnsi" w:eastAsiaTheme="minorEastAsia" w:cstheme="minorBidi"/>
                <w:color w:val="auto"/>
                <w:sz w:val="21"/>
                <w:szCs w:val="24"/>
                <w:highlight w:val="none"/>
                <w:u w:val="none"/>
              </w:rPr>
              <w:t>时</w:t>
            </w:r>
            <w:r>
              <w:rPr>
                <w:rFonts w:hint="eastAsia" w:asciiTheme="minorHAnsi" w:hAnsiTheme="minorHAnsi" w:eastAsiaTheme="minorEastAsia" w:cstheme="minorBidi"/>
                <w:color w:val="auto"/>
                <w:sz w:val="21"/>
                <w:szCs w:val="24"/>
                <w:highlight w:val="none"/>
                <w:u w:val="none"/>
                <w:lang w:val="en-US" w:eastAsia="zh-CN"/>
              </w:rPr>
              <w:t>00</w:t>
            </w:r>
            <w:r>
              <w:rPr>
                <w:rFonts w:hint="eastAsia" w:asciiTheme="minorHAnsi" w:hAnsiTheme="minorHAnsi" w:eastAsiaTheme="minorEastAsia" w:cstheme="minorBidi"/>
                <w:color w:val="auto"/>
                <w:sz w:val="21"/>
                <w:szCs w:val="24"/>
                <w:highlight w:val="none"/>
                <w:u w:val="none"/>
              </w:rPr>
              <w:t>分</w:t>
            </w:r>
            <w:r>
              <w:rPr>
                <w:rFonts w:hint="eastAsia" w:asciiTheme="minorHAnsi" w:hAnsiTheme="minorHAnsi"/>
                <w:color w:val="auto"/>
                <w:sz w:val="21"/>
                <w:szCs w:val="24"/>
                <w:highlight w:val="none"/>
                <w:u w:val="none"/>
                <w:lang w:eastAsia="zh-CN"/>
              </w:rPr>
              <w:t>前</w:t>
            </w:r>
            <w:r>
              <w:rPr>
                <w:rFonts w:hint="eastAsia" w:asciiTheme="minorHAnsi" w:hAnsiTheme="minorHAnsi" w:eastAsiaTheme="minorEastAsia"/>
                <w:color w:val="auto"/>
                <w:sz w:val="21"/>
                <w:szCs w:val="24"/>
                <w:highlight w:val="none"/>
              </w:rPr>
              <w:t>以</w:t>
            </w:r>
            <w:r>
              <w:rPr>
                <w:rFonts w:hint="eastAsia"/>
                <w:color w:val="auto"/>
                <w:sz w:val="21"/>
                <w:szCs w:val="24"/>
                <w:highlight w:val="none"/>
              </w:rPr>
              <w:t>投标人转出【以招标单位查询的信息为准，汇款时备注：</w:t>
            </w:r>
            <w:r>
              <w:rPr>
                <w:rFonts w:hint="eastAsia" w:ascii="宋体" w:hAnsi="宋体" w:eastAsia="宋体" w:cs="宋体"/>
                <w:color w:val="auto"/>
                <w:sz w:val="21"/>
                <w:szCs w:val="21"/>
                <w:highlight w:val="none"/>
                <w:u w:val="none"/>
              </w:rPr>
              <w:t>南沙古人景观提升工程</w:t>
            </w:r>
            <w:r>
              <w:rPr>
                <w:rFonts w:hint="eastAsia"/>
                <w:color w:val="auto"/>
                <w:sz w:val="21"/>
                <w:szCs w:val="24"/>
                <w:highlight w:val="none"/>
              </w:rPr>
              <w:t>投标保证金】</w:t>
            </w:r>
          </w:p>
          <w:p>
            <w:pPr>
              <w:numPr>
                <w:ilvl w:val="-1"/>
                <w:numId w:val="0"/>
              </w:numPr>
              <w:adjustRightInd w:val="0"/>
              <w:snapToGrid w:val="0"/>
              <w:spacing w:line="360" w:lineRule="auto"/>
              <w:rPr>
                <w:rFonts w:hint="eastAsia"/>
                <w:color w:val="auto"/>
                <w:sz w:val="21"/>
                <w:szCs w:val="24"/>
                <w:highlight w:val="none"/>
              </w:rPr>
            </w:pPr>
            <w:r>
              <w:rPr>
                <w:rFonts w:hint="eastAsia"/>
                <w:color w:val="auto"/>
                <w:sz w:val="21"/>
                <w:szCs w:val="24"/>
                <w:highlight w:val="none"/>
              </w:rPr>
              <w:t>未按规定缴纳投标保证金的正式投标人将被视为自动放弃本工程的投标资格。</w:t>
            </w:r>
          </w:p>
          <w:p>
            <w:pPr>
              <w:numPr>
                <w:ilvl w:val="-1"/>
                <w:numId w:val="0"/>
              </w:numPr>
              <w:adjustRightInd w:val="0"/>
              <w:snapToGrid w:val="0"/>
              <w:spacing w:line="360" w:lineRule="auto"/>
              <w:ind w:firstLine="0"/>
              <w:rPr>
                <w:rFonts w:hint="eastAsia"/>
                <w:highlight w:val="none"/>
                <w:lang w:val="en-US" w:eastAsia="zh-CN"/>
              </w:rPr>
            </w:pPr>
            <w:r>
              <w:rPr>
                <w:rFonts w:hint="eastAsia"/>
                <w:color w:val="auto"/>
                <w:highlight w:val="none"/>
                <w:lang w:val="en-US" w:eastAsia="zh-CN"/>
              </w:rPr>
              <w:t>5、</w:t>
            </w:r>
            <w:r>
              <w:rPr>
                <w:rFonts w:hint="eastAsia" w:asciiTheme="minorHAnsi" w:hAnsiTheme="minorHAnsi" w:eastAsiaTheme="minorEastAsia" w:cstheme="minorBidi"/>
                <w:b w:val="0"/>
                <w:color w:val="auto"/>
                <w:sz w:val="21"/>
                <w:szCs w:val="24"/>
                <w:highlight w:val="none"/>
                <w:lang w:val="en-US" w:eastAsia="zh-CN"/>
              </w:rPr>
              <w:t>招标人在中标通知书发出后10个工作日内无息退还未中标投标人的投标保证金，在合同签订后10个工作日内无息退还中标投标人的投标保证金。所有投标人的投标保证金以转账的方式予以退还。</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6月27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24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lang w:eastAsia="zh-CN"/>
              </w:rPr>
              <w:t>2023年</w:t>
            </w:r>
            <w:r>
              <w:rPr>
                <w:rFonts w:hint="eastAsia" w:ascii="宋体" w:hAns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eastAsia="zh-CN"/>
              </w:rPr>
              <w:t>月</w:t>
            </w:r>
            <w:r>
              <w:rPr>
                <w:rFonts w:hint="eastAsia" w:ascii="宋体" w:hAnsi="宋体" w:eastAsia="宋体" w:cs="宋体"/>
                <w:color w:val="auto"/>
                <w:sz w:val="21"/>
                <w:szCs w:val="21"/>
                <w:highlight w:val="none"/>
                <w:u w:val="none"/>
                <w:lang w:val="en-US" w:eastAsia="zh-CN"/>
              </w:rPr>
              <w:t>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评分</w:t>
            </w:r>
            <w:r>
              <w:rPr>
                <w:rFonts w:hint="eastAsia" w:ascii="宋体" w:hAnsi="宋体" w:eastAsia="宋体" w:cs="宋体"/>
                <w:color w:val="auto"/>
                <w:szCs w:val="21"/>
                <w:highlight w:val="none"/>
                <w:u w:val="none"/>
              </w:rPr>
              <w:t>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bookmarkEnd w:id="7"/>
    <w:bookmarkEnd w:id="8"/>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w:t>
      </w:r>
      <w:r>
        <w:rPr>
          <w:rFonts w:hint="eastAsia" w:ascii="宋体" w:hAnsi="宋体" w:eastAsia="宋体" w:cs="宋体"/>
          <w:color w:val="auto"/>
          <w:sz w:val="24"/>
          <w:highlight w:val="none"/>
          <w:lang w:val="en-US" w:eastAsia="zh-CN"/>
        </w:rPr>
        <w:t xml:space="preserve"> 建设规模</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val="en-US" w:eastAsia="zh-CN"/>
        </w:rPr>
        <w:t xml:space="preserve"> 承包方式</w:t>
      </w:r>
      <w:r>
        <w:rPr>
          <w:rFonts w:hint="eastAsia" w:ascii="宋体" w:hAnsi="宋体" w:eastAsia="宋体" w:cs="宋体"/>
          <w:color w:val="auto"/>
          <w:sz w:val="24"/>
          <w:highlight w:val="none"/>
        </w:rPr>
        <w:t>：见投标须知前附表第3项。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2.2.5 </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3"/>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default" w:ascii="黑体" w:hAnsi="华文楷体" w:eastAsia="黑体" w:cs="黑体"/>
          <w:color w:val="auto"/>
          <w:sz w:val="24"/>
          <w:highlight w:val="none"/>
          <w:lang w:val="en-US"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val="en-US" w:eastAsia="zh-CN"/>
        </w:rPr>
        <w:t>(另附)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11.5公司营业执照</w:t>
      </w:r>
      <w:r>
        <w:rPr>
          <w:rFonts w:hint="eastAsia" w:ascii="宋体" w:hAnsi="宋体" w:eastAsia="宋体" w:cs="宋体"/>
          <w:color w:val="auto"/>
          <w:sz w:val="24"/>
          <w:highlight w:val="none"/>
          <w:lang w:eastAsia="zh-CN"/>
        </w:rPr>
        <w:t>、资质证书</w:t>
      </w:r>
      <w:r>
        <w:rPr>
          <w:rFonts w:hint="eastAsia" w:ascii="宋体" w:hAnsi="宋体" w:eastAsia="宋体" w:cs="宋体"/>
          <w:color w:val="auto"/>
          <w:sz w:val="24"/>
          <w:highlight w:val="none"/>
        </w:rPr>
        <w:t>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11.7</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b w:val="0"/>
          <w:bCs w:val="0"/>
          <w:color w:val="auto"/>
          <w:kern w:val="2"/>
          <w:sz w:val="24"/>
          <w:highlight w:val="none"/>
          <w:lang w:val="en-US" w:eastAsia="zh-CN" w:bidi="ar-SA"/>
        </w:rPr>
        <w:t>11.10投标人业绩一览表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 xml:space="preserve">    </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11.11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pStyle w:val="2"/>
        <w:ind w:firstLine="480" w:firstLineChars="200"/>
        <w:rPr>
          <w:rFonts w:hint="eastAsia" w:hAnsi="宋体" w:eastAsia="宋体" w:cs="宋体"/>
          <w:color w:val="auto"/>
          <w:sz w:val="24"/>
          <w:highlight w:val="none"/>
          <w:lang w:eastAsia="zh-CN"/>
        </w:rPr>
      </w:pPr>
      <w:r>
        <w:rPr>
          <w:rFonts w:hAnsi="宋体" w:cs="宋体"/>
          <w:color w:val="auto"/>
          <w:sz w:val="24"/>
          <w:highlight w:val="none"/>
        </w:rPr>
        <w:t>11.</w:t>
      </w:r>
      <w:r>
        <w:rPr>
          <w:rFonts w:hint="eastAsia" w:hAnsi="宋体" w:cs="宋体"/>
          <w:color w:val="auto"/>
          <w:sz w:val="24"/>
          <w:highlight w:val="none"/>
          <w:lang w:val="en-US" w:eastAsia="zh-CN"/>
        </w:rPr>
        <w:t>13</w:t>
      </w:r>
      <w:r>
        <w:rPr>
          <w:rFonts w:hAnsi="宋体" w:cs="宋体"/>
          <w:color w:val="auto"/>
          <w:sz w:val="24"/>
          <w:highlight w:val="none"/>
        </w:rPr>
        <w:t xml:space="preserve"> 投标文件电子版</w:t>
      </w:r>
      <w:r>
        <w:rPr>
          <w:rFonts w:hAnsi="宋体" w:cs="宋体"/>
          <w:color w:val="auto"/>
          <w:sz w:val="24"/>
          <w:highlight w:val="none"/>
        </w:rPr>
        <w:t>（</w:t>
      </w:r>
      <w:r>
        <w:rPr>
          <w:rFonts w:hint="eastAsia" w:hAnsi="宋体" w:cs="宋体"/>
          <w:color w:val="auto"/>
          <w:sz w:val="24"/>
          <w:highlight w:val="none"/>
          <w:lang w:eastAsia="zh-CN"/>
        </w:rPr>
        <w:t>需</w:t>
      </w:r>
      <w:r>
        <w:rPr>
          <w:rFonts w:hint="eastAsia" w:hAnsi="宋体" w:cs="宋体"/>
          <w:color w:val="auto"/>
          <w:sz w:val="24"/>
          <w:highlight w:val="none"/>
          <w:lang w:val="en-US" w:eastAsia="zh-CN"/>
        </w:rPr>
        <w:t>有公司印章，</w:t>
      </w:r>
      <w:r>
        <w:rPr>
          <w:rFonts w:hint="eastAsia" w:hAnsi="宋体" w:cs="宋体"/>
          <w:color w:val="auto"/>
          <w:sz w:val="24"/>
          <w:highlight w:val="none"/>
          <w:lang w:eastAsia="zh-CN"/>
        </w:rPr>
        <w:t>提供</w:t>
      </w:r>
      <w:r>
        <w:rPr>
          <w:rFonts w:hint="eastAsia" w:hAnsi="宋体" w:cs="宋体"/>
          <w:color w:val="auto"/>
          <w:sz w:val="24"/>
          <w:highlight w:val="none"/>
          <w:lang w:val="en-US" w:eastAsia="zh-CN"/>
        </w:rPr>
        <w:t>U盘</w:t>
      </w:r>
      <w:r>
        <w:rPr>
          <w:rFonts w:hAnsi="宋体" w:cs="宋体"/>
          <w:color w:val="auto"/>
          <w:sz w:val="24"/>
          <w:highlight w:val="none"/>
        </w:rPr>
        <w:t>）</w:t>
      </w:r>
      <w:r>
        <w:rPr>
          <w:rFonts w:hint="eastAsia" w:hAnsi="宋体" w:cs="宋体"/>
          <w:color w:val="auto"/>
          <w:sz w:val="24"/>
          <w:highlight w:val="none"/>
          <w:lang w:eastAsia="zh-CN"/>
        </w:rPr>
        <w:t>。</w:t>
      </w:r>
    </w:p>
    <w:p>
      <w:pPr>
        <w:pStyle w:val="2"/>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widowControl w:val="0"/>
        <w:ind w:firstLine="480" w:firstLineChars="200"/>
        <w:jc w:val="both"/>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11.15</w:t>
      </w:r>
      <w:r>
        <w:rPr>
          <w:rFonts w:hint="eastAsia" w:ascii="宋体" w:hAnsi="宋体" w:eastAsia="宋体" w:cs="宋体"/>
          <w:b w:val="0"/>
          <w:color w:val="auto"/>
          <w:kern w:val="2"/>
          <w:sz w:val="24"/>
          <w:szCs w:val="21"/>
          <w:highlight w:val="none"/>
          <w:lang w:val="en-US" w:eastAsia="zh-CN" w:bidi="ar-SA"/>
        </w:rPr>
        <w:t>投标人</w:t>
      </w:r>
      <w:r>
        <w:rPr>
          <w:rFonts w:hint="eastAsia" w:ascii="宋体" w:hAnsi="宋体" w:eastAsia="宋体" w:cs="宋体"/>
          <w:b w:val="0"/>
          <w:bCs w:val="0"/>
          <w:color w:val="auto"/>
          <w:kern w:val="2"/>
          <w:sz w:val="24"/>
          <w:szCs w:val="21"/>
          <w:highlight w:val="none"/>
          <w:lang w:val="en-US" w:eastAsia="zh-CN" w:bidi="ar-SA"/>
        </w:rPr>
        <w:t>无历史法律纠纷</w:t>
      </w:r>
      <w:r>
        <w:rPr>
          <w:rFonts w:hint="eastAsia" w:ascii="宋体" w:hAnsi="宋体" w:eastAsia="宋体" w:cs="宋体"/>
          <w:b w:val="0"/>
          <w:color w:val="auto"/>
          <w:kern w:val="2"/>
          <w:sz w:val="24"/>
          <w:szCs w:val="21"/>
          <w:highlight w:val="none"/>
          <w:lang w:val="en-US" w:eastAsia="zh-CN" w:bidi="ar-SA"/>
        </w:rPr>
        <w:t>承诺。</w:t>
      </w:r>
    </w:p>
    <w:p>
      <w:pPr>
        <w:pStyle w:val="2"/>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3"/>
        <w:widowControl/>
        <w:numPr>
          <w:ilvl w:val="0"/>
          <w:numId w:val="1"/>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9" w:name="_Toc1632"/>
      <w:bookmarkStart w:id="10" w:name="_Toc27492"/>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1" w:name="_Toc16447"/>
      <w:bookmarkStart w:id="12" w:name="_Toc18540"/>
      <w:bookmarkStart w:id="13" w:name="_Toc1646"/>
      <w:bookmarkStart w:id="14" w:name="_Toc10253"/>
      <w:bookmarkStart w:id="15" w:name="_Toc31850"/>
      <w:bookmarkStart w:id="16" w:name="_Toc24764"/>
      <w:r>
        <w:rPr>
          <w:rFonts w:hint="eastAsia" w:ascii="黑体" w:hAnsi="宋体" w:cs="黑体"/>
          <w:b/>
          <w:color w:val="auto"/>
          <w:kern w:val="44"/>
          <w:sz w:val="44"/>
          <w:szCs w:val="44"/>
          <w:highlight w:val="none"/>
        </w:rPr>
        <w:t>第2章 项目需求书</w:t>
      </w:r>
      <w:bookmarkEnd w:id="9"/>
      <w:bookmarkEnd w:id="11"/>
      <w:bookmarkEnd w:id="12"/>
      <w:bookmarkEnd w:id="13"/>
      <w:bookmarkEnd w:id="14"/>
      <w:bookmarkEnd w:id="15"/>
      <w:bookmarkEnd w:id="16"/>
    </w:p>
    <w:p>
      <w:pPr>
        <w:rPr>
          <w:rFonts w:ascii="宋体" w:hAnsi="宋体" w:eastAsia="宋体" w:cs="宋体"/>
          <w:b/>
          <w:color w:val="auto"/>
          <w:sz w:val="30"/>
          <w:szCs w:val="30"/>
          <w:highlight w:val="none"/>
        </w:rPr>
      </w:pPr>
    </w:p>
    <w:p>
      <w:pPr>
        <w:numPr>
          <w:ilvl w:val="0"/>
          <w:numId w:val="2"/>
        </w:numPr>
        <w:jc w:val="left"/>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项目概况</w:t>
      </w:r>
    </w:p>
    <w:p>
      <w:pPr>
        <w:numPr>
          <w:ilvl w:val="0"/>
          <w:numId w:val="0"/>
        </w:numPr>
        <w:ind w:firstLine="480" w:firstLineChars="200"/>
        <w:rPr>
          <w:rFonts w:hint="eastAsia" w:ascii="宋体" w:hAnsi="宋体" w:eastAsia="宋体" w:cs="宋体"/>
          <w:b/>
          <w:color w:val="auto"/>
          <w:kern w:val="0"/>
          <w:sz w:val="24"/>
          <w:szCs w:val="24"/>
          <w:highlight w:val="none"/>
          <w:lang w:eastAsia="zh-CN"/>
        </w:rPr>
      </w:pPr>
      <w:r>
        <w:rPr>
          <w:rFonts w:hint="eastAsia" w:ascii="宋体" w:hAnsi="宋体" w:eastAsia="宋体" w:cs="宋体"/>
          <w:color w:val="auto"/>
          <w:kern w:val="2"/>
          <w:position w:val="0"/>
          <w:sz w:val="24"/>
          <w:szCs w:val="24"/>
          <w:highlight w:val="none"/>
          <w:u w:val="none"/>
        </w:rPr>
        <w:t>为完善</w:t>
      </w:r>
      <w:r>
        <w:rPr>
          <w:rFonts w:hint="eastAsia" w:ascii="宋体" w:hAnsi="宋体" w:eastAsia="宋体" w:cs="宋体"/>
          <w:color w:val="auto"/>
          <w:kern w:val="2"/>
          <w:position w:val="0"/>
          <w:sz w:val="24"/>
          <w:szCs w:val="24"/>
          <w:highlight w:val="none"/>
          <w:u w:val="none"/>
          <w:lang w:val="en-US" w:eastAsia="zh-CN"/>
        </w:rPr>
        <w:t>天后宫内景观设施</w:t>
      </w:r>
      <w:r>
        <w:rPr>
          <w:rFonts w:hint="eastAsia" w:ascii="宋体" w:hAnsi="宋体" w:eastAsia="宋体" w:cs="宋体"/>
          <w:color w:val="auto"/>
          <w:kern w:val="2"/>
          <w:position w:val="0"/>
          <w:sz w:val="24"/>
          <w:szCs w:val="24"/>
          <w:highlight w:val="none"/>
          <w:u w:val="none"/>
        </w:rPr>
        <w:t>，</w:t>
      </w:r>
      <w:r>
        <w:rPr>
          <w:rFonts w:hint="eastAsia" w:ascii="宋体" w:hAnsi="宋体" w:eastAsia="宋体" w:cs="宋体"/>
          <w:color w:val="auto"/>
          <w:kern w:val="2"/>
          <w:position w:val="0"/>
          <w:sz w:val="24"/>
          <w:szCs w:val="24"/>
          <w:highlight w:val="none"/>
          <w:u w:val="none"/>
          <w:lang w:val="en-US" w:eastAsia="zh-CN"/>
        </w:rPr>
        <w:t>在现有天后宫南沙古人南侧（现为草地）位置增设景观，包括月洞门、平台等设施</w:t>
      </w:r>
      <w:r>
        <w:rPr>
          <w:rFonts w:hint="eastAsia" w:ascii="宋体" w:hAnsi="宋体" w:eastAsia="宋体" w:cs="宋体"/>
          <w:color w:val="auto"/>
          <w:kern w:val="2"/>
          <w:position w:val="0"/>
          <w:sz w:val="24"/>
          <w:szCs w:val="24"/>
          <w:highlight w:val="none"/>
          <w:u w:val="none"/>
        </w:rPr>
        <w:t>。</w:t>
      </w:r>
      <w:r>
        <w:rPr>
          <w:rFonts w:hint="eastAsia" w:ascii="宋体" w:hAnsi="宋体" w:eastAsia="宋体" w:cs="宋体"/>
          <w:color w:val="auto"/>
          <w:sz w:val="24"/>
          <w:szCs w:val="24"/>
          <w:highlight w:val="none"/>
          <w:shd w:val="clear"/>
          <w:lang w:val="en-US" w:eastAsia="zh-CN"/>
        </w:rPr>
        <w:t>总</w:t>
      </w:r>
      <w:r>
        <w:rPr>
          <w:rFonts w:hint="eastAsia" w:ascii="宋体" w:hAnsi="宋体" w:eastAsia="宋体" w:cs="宋体"/>
          <w:color w:val="auto"/>
          <w:sz w:val="24"/>
          <w:szCs w:val="24"/>
          <w:highlight w:val="none"/>
          <w:shd w:val="clear"/>
          <w:lang w:eastAsia="zh-CN"/>
        </w:rPr>
        <w:t>投资约</w:t>
      </w: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eastAsia="zh-CN"/>
        </w:rPr>
        <w:t>。</w:t>
      </w:r>
    </w:p>
    <w:p>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w:t>
      </w:r>
      <w:r>
        <w:rPr>
          <w:rFonts w:hint="eastAsia" w:ascii="宋体" w:hAnsi="宋体" w:eastAsia="宋体" w:cs="宋体"/>
          <w:b/>
          <w:color w:val="auto"/>
          <w:kern w:val="0"/>
          <w:sz w:val="32"/>
          <w:szCs w:val="32"/>
          <w:highlight w:val="none"/>
          <w:lang w:eastAsia="zh-CN"/>
        </w:rPr>
        <w:t>招标范围</w:t>
      </w:r>
    </w:p>
    <w:p>
      <w:pPr>
        <w:pStyle w:val="2"/>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2"/>
          <w:sz w:val="24"/>
          <w:szCs w:val="24"/>
          <w:highlight w:val="none"/>
          <w:u w:val="none"/>
        </w:rPr>
        <w:t>招标图纸及工程量清单范围内施工专业承包（承包人需按发包人要求施工，根据现场实际情况施工，设计图纸有调整时，必须服从要求调整）</w:t>
      </w:r>
    </w:p>
    <w:p>
      <w:pPr>
        <w:pStyle w:val="2"/>
        <w:ind w:firstLine="480" w:firstLineChars="200"/>
        <w:rPr>
          <w:rFonts w:hint="eastAsia" w:ascii="宋体" w:hAnsi="宋体" w:eastAsia="宋体" w:cs="宋体"/>
          <w:bCs w:val="0"/>
          <w:color w:val="auto"/>
          <w:sz w:val="24"/>
          <w:szCs w:val="24"/>
          <w:highlight w:val="none"/>
          <w:lang w:eastAsia="zh-CN"/>
        </w:rPr>
      </w:pPr>
    </w:p>
    <w:p>
      <w:pPr>
        <w:pStyle w:val="2"/>
        <w:ind w:firstLine="480" w:firstLineChars="200"/>
        <w:rPr>
          <w:rFonts w:hint="eastAsia" w:ascii="宋体" w:hAnsi="宋体" w:eastAsia="宋体" w:cs="宋体"/>
          <w:color w:val="auto"/>
          <w:sz w:val="24"/>
          <w:szCs w:val="2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p>
    <w:p>
      <w:pPr>
        <w:pStyle w:val="6"/>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17" w:name="_Toc19959"/>
      <w:bookmarkStart w:id="18" w:name="_Toc15393"/>
      <w:bookmarkStart w:id="19" w:name="_Toc2975"/>
      <w:bookmarkStart w:id="20" w:name="_Toc28443"/>
      <w:bookmarkStart w:id="21" w:name="_Toc20494"/>
      <w:bookmarkStart w:id="22" w:name="_Toc12071"/>
      <w:r>
        <w:rPr>
          <w:rFonts w:hint="eastAsia" w:ascii="黑体" w:hAnsi="宋体" w:cs="黑体"/>
          <w:b/>
          <w:color w:val="auto"/>
          <w:kern w:val="44"/>
          <w:sz w:val="44"/>
          <w:szCs w:val="44"/>
          <w:highlight w:val="none"/>
        </w:rPr>
        <w:t>第3章  投标格式文件</w:t>
      </w:r>
      <w:bookmarkEnd w:id="10"/>
      <w:bookmarkEnd w:id="17"/>
      <w:bookmarkEnd w:id="18"/>
      <w:bookmarkEnd w:id="19"/>
      <w:bookmarkEnd w:id="20"/>
      <w:bookmarkEnd w:id="21"/>
      <w:bookmarkEnd w:id="22"/>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szCs w:val="24"/>
          <w:highlight w:val="none"/>
          <w:u w:val="single"/>
        </w:rPr>
        <w:t>南沙古人景观提升工程</w:t>
      </w:r>
      <w:r>
        <w:rPr>
          <w:rFonts w:hint="eastAsia" w:ascii="宋体" w:hAnsi="宋体" w:eastAsia="宋体" w:cs="Times New Roman"/>
          <w:color w:val="auto"/>
          <w:spacing w:val="20"/>
          <w:sz w:val="24"/>
          <w:highlight w:val="none"/>
          <w:u w:val="single"/>
          <w:lang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szCs w:val="24"/>
          <w:highlight w:val="none"/>
          <w:u w:val="single"/>
        </w:rPr>
        <w:t>南沙古人景观提升工程</w:t>
      </w:r>
      <w:r>
        <w:rPr>
          <w:rFonts w:hint="eastAsia" w:ascii="宋体" w:hAnsi="宋体" w:eastAsia="宋体" w:cs="Times New Roman"/>
          <w:color w:val="auto"/>
          <w:spacing w:val="20"/>
          <w:sz w:val="24"/>
          <w:highlight w:val="none"/>
          <w:u w:val="single"/>
          <w:lang w:eastAsia="zh-CN"/>
        </w:rPr>
        <w:t>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3" w:name="_Toc216145749"/>
      <w:bookmarkEnd w:id="23"/>
      <w:bookmarkStart w:id="24" w:name="_Toc223342668"/>
      <w:bookmarkEnd w:id="24"/>
      <w:r>
        <w:rPr>
          <w:rFonts w:hint="eastAsia" w:ascii="宋体" w:hAnsi="宋体" w:eastAsia="宋体" w:cs="黑体"/>
          <w:color w:val="auto"/>
          <w:sz w:val="28"/>
          <w:szCs w:val="28"/>
          <w:highlight w:val="none"/>
        </w:rPr>
        <w:t>格式三：</w:t>
      </w:r>
    </w:p>
    <w:p>
      <w:pPr>
        <w:pStyle w:val="24"/>
        <w:widowControl/>
        <w:ind w:firstLine="0" w:firstLineChars="0"/>
        <w:jc w:val="center"/>
        <w:outlineLvl w:val="2"/>
        <w:rPr>
          <w:color w:val="auto"/>
          <w:kern w:val="44"/>
          <w:highlight w:val="none"/>
        </w:rPr>
      </w:pPr>
      <w:bookmarkStart w:id="25" w:name="_Toc172416501"/>
      <w:bookmarkEnd w:id="25"/>
      <w:r>
        <w:rPr>
          <w:rFonts w:hint="eastAsia" w:ascii="宋体" w:hAnsi="宋体" w:cs="宋体"/>
          <w:b/>
          <w:color w:val="auto"/>
          <w:sz w:val="30"/>
          <w:szCs w:val="30"/>
          <w:highlight w:val="none"/>
        </w:rPr>
        <w:t>法定代表人证明书</w:t>
      </w:r>
    </w:p>
    <w:p>
      <w:pPr>
        <w:pStyle w:val="24"/>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4"/>
        <w:widowControl/>
        <w:ind w:firstLine="618"/>
        <w:rPr>
          <w:b/>
          <w:color w:val="auto"/>
          <w:sz w:val="30"/>
          <w:szCs w:val="30"/>
          <w:highlight w:val="none"/>
        </w:rPr>
      </w:pPr>
      <w:r>
        <w:rPr>
          <w:b/>
          <w:color w:val="auto"/>
          <w:sz w:val="30"/>
          <w:szCs w:val="30"/>
          <w:highlight w:val="none"/>
        </w:rPr>
        <w:t xml:space="preserve"> </w:t>
      </w:r>
    </w:p>
    <w:p>
      <w:pPr>
        <w:pStyle w:val="24"/>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4"/>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4"/>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2"/>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26" w:name="_Toc216145759"/>
      <w:bookmarkEnd w:id="26"/>
      <w:bookmarkStart w:id="27"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bookmarkEnd w:id="27"/>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Borders>
            <w:top w:val="none" w:sz="0" w:space="0"/>
            <w:left w:val="none" w:sz="0" w:space="0"/>
            <w:bottom w:val="none" w:sz="0" w:space="0"/>
            <w:right w:val="none" w:sz="0" w:space="0"/>
          </w:pgBorders>
          <w:pgNumType w:start="1"/>
          <w:cols w:space="425" w:num="1"/>
          <w:docGrid w:type="lines" w:linePitch="285" w:charSpace="0"/>
        </w:sectPr>
      </w:pPr>
    </w:p>
    <w:p>
      <w:pPr>
        <w:widowControl/>
        <w:topLinePunct/>
        <w:adjustRightInd w:val="0"/>
        <w:snapToGrid w:val="0"/>
        <w:spacing w:before="142" w:beforeLines="50" w:afterAutospacing="1"/>
        <w:jc w:val="both"/>
        <w:outlineLvl w:val="1"/>
        <w:rPr>
          <w:rFonts w:hint="eastAsia" w:ascii="宋体" w:hAnsi="宋体" w:eastAsia="宋体" w:cs="宋体"/>
          <w:b/>
          <w:color w:val="auto"/>
          <w:spacing w:val="4"/>
          <w:kern w:val="0"/>
          <w:sz w:val="28"/>
          <w:szCs w:val="28"/>
          <w:highlight w:val="none"/>
          <w:lang w:val="en-US" w:eastAsia="zh-CN" w:bidi="ar-SA"/>
        </w:rPr>
      </w:pPr>
      <w:r>
        <w:rPr>
          <w:rFonts w:hint="eastAsia" w:ascii="宋体" w:hAnsi="宋体" w:eastAsia="宋体" w:cs="黑体"/>
          <w:b/>
          <w:color w:val="auto"/>
          <w:spacing w:val="4"/>
          <w:kern w:val="0"/>
          <w:sz w:val="28"/>
          <w:szCs w:val="28"/>
          <w:highlight w:val="none"/>
          <w:lang w:val="en-US" w:eastAsia="zh-CN" w:bidi="ar-SA"/>
        </w:rPr>
        <w:t>格式四：</w:t>
      </w:r>
      <w:r>
        <w:rPr>
          <w:rFonts w:hint="eastAsia" w:ascii="宋体" w:hAnsi="宋体" w:eastAsia="宋体" w:cs="宋体"/>
          <w:b/>
          <w:color w:val="auto"/>
          <w:spacing w:val="4"/>
          <w:kern w:val="0"/>
          <w:sz w:val="28"/>
          <w:szCs w:val="28"/>
          <w:highlight w:val="none"/>
          <w:lang w:val="en-US" w:eastAsia="zh-CN" w:bidi="ar-SA"/>
        </w:rPr>
        <w:t xml:space="preserve"> </w:t>
      </w:r>
    </w:p>
    <w:p>
      <w:pPr>
        <w:rPr>
          <w:rFonts w:hint="eastAsia" w:ascii="宋体" w:hAnsi="宋体" w:eastAsia="宋体" w:cs="宋体"/>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szCs w:val="24"/>
          <w:highlight w:val="none"/>
          <w:u w:val="single"/>
        </w:rPr>
        <w:t>南沙古人景观提升工程</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pStyle w:val="4"/>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hint="eastAsia" w:ascii="宋体" w:hAnsi="宋体" w:eastAsia="宋体" w:cs="黑体"/>
          <w:color w:val="auto"/>
          <w:sz w:val="28"/>
          <w:szCs w:val="28"/>
          <w:highlight w:val="none"/>
        </w:rPr>
      </w:pPr>
    </w:p>
    <w:p>
      <w:pPr>
        <w:pStyle w:val="22"/>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pacing w:line="360" w:lineRule="auto"/>
        <w:jc w:val="center"/>
        <w:outlineLvl w:val="2"/>
        <w:rPr>
          <w:rFonts w:ascii="仿宋" w:hAnsi="仿宋" w:eastAsia="仿宋" w:cs="仿宋"/>
          <w:b/>
          <w:bCs/>
          <w:color w:val="auto"/>
          <w:sz w:val="36"/>
          <w:szCs w:val="36"/>
          <w:highlight w:val="none"/>
        </w:rPr>
      </w:pPr>
      <w:bookmarkStart w:id="28" w:name="_Toc41822704"/>
      <w:bookmarkEnd w:id="28"/>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9" w:name="_Toc196036942"/>
      <w:bookmarkEnd w:id="29"/>
      <w:bookmarkStart w:id="30" w:name="_Toc326909214"/>
      <w:bookmarkEnd w:id="30"/>
      <w:bookmarkStart w:id="31" w:name="_Toc196130014"/>
      <w:bookmarkEnd w:id="31"/>
      <w:bookmarkStart w:id="32" w:name="_Toc197235849"/>
      <w:bookmarkEnd w:id="32"/>
      <w:bookmarkStart w:id="33" w:name="_Toc415728298"/>
      <w:bookmarkEnd w:id="33"/>
      <w:bookmarkStart w:id="34" w:name="_Toc415833504"/>
      <w:bookmarkEnd w:id="34"/>
      <w:bookmarkStart w:id="35" w:name="_Toc459403395"/>
      <w:bookmarkEnd w:id="35"/>
      <w:bookmarkStart w:id="36" w:name="_Toc199647676"/>
      <w:bookmarkEnd w:id="36"/>
      <w:bookmarkStart w:id="37" w:name="_Toc196037098"/>
      <w:bookmarkEnd w:id="37"/>
      <w:bookmarkStart w:id="38" w:name="_Toc196130111"/>
      <w:bookmarkEnd w:id="38"/>
      <w:bookmarkStart w:id="39" w:name="_Toc462911099"/>
    </w:p>
    <w:bookmarkEnd w:id="39"/>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outlineLvl w:val="1"/>
        <w:rPr>
          <w:rFonts w:hint="eastAsia" w:ascii="宋体" w:hAnsi="宋体" w:eastAsia="宋体" w:cs="黑体"/>
          <w:b/>
          <w:color w:val="auto"/>
          <w:spacing w:val="4"/>
          <w:kern w:val="0"/>
          <w:sz w:val="28"/>
          <w:szCs w:val="28"/>
          <w:highlight w:val="none"/>
        </w:rPr>
      </w:pPr>
    </w:p>
    <w:p>
      <w:pPr>
        <w:pStyle w:val="2"/>
        <w:rPr>
          <w:rFonts w:hint="eastAsia" w:ascii="宋体" w:hAnsi="宋体" w:eastAsia="宋体" w:cs="黑体"/>
          <w:b/>
          <w:color w:val="auto"/>
          <w:spacing w:val="4"/>
          <w:kern w:val="0"/>
          <w:sz w:val="28"/>
          <w:szCs w:val="28"/>
          <w:highlight w:val="none"/>
        </w:rPr>
      </w:pP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lang w:val="en-US" w:eastAsia="zh-CN" w:bidi="ar-SA"/>
        </w:rPr>
      </w:pPr>
    </w:p>
    <w:p>
      <w:pPr>
        <w:keepNext/>
        <w:keepLines/>
        <w:widowControl w:val="0"/>
        <w:adjustRightInd w:val="0"/>
        <w:spacing w:before="40" w:beforeLines="0" w:after="40" w:afterLines="0" w:line="360" w:lineRule="auto"/>
        <w:ind w:firstLine="3213" w:firstLineChars="1000"/>
        <w:jc w:val="both"/>
        <w:textAlignment w:val="baseline"/>
        <w:outlineLvl w:val="2"/>
        <w:rPr>
          <w:rFonts w:hint="eastAsia" w:ascii="宋体" w:hAnsi="宋体" w:eastAsia="宋体" w:cs="Times New Roman"/>
          <w:b/>
          <w:bCs/>
          <w:kern w:val="2"/>
          <w:sz w:val="24"/>
          <w:lang w:val="en-US" w:eastAsia="zh-CN" w:bidi="ar-SA"/>
        </w:rPr>
      </w:pPr>
      <w:bookmarkStart w:id="40" w:name="_Toc199647677"/>
      <w:bookmarkEnd w:id="40"/>
      <w:bookmarkStart w:id="41" w:name="_Toc197235850"/>
      <w:bookmarkEnd w:id="41"/>
      <w:bookmarkStart w:id="42" w:name="_Toc41822705"/>
      <w:bookmarkEnd w:id="42"/>
      <w:bookmarkStart w:id="43" w:name="_Toc196130015"/>
      <w:bookmarkEnd w:id="43"/>
      <w:bookmarkStart w:id="44" w:name="_Toc196037099"/>
      <w:bookmarkEnd w:id="44"/>
      <w:bookmarkStart w:id="45" w:name="_Toc196130112"/>
      <w:bookmarkEnd w:id="45"/>
      <w:bookmarkStart w:id="46" w:name="_Toc196036943"/>
      <w:bookmarkEnd w:id="46"/>
      <w:r>
        <w:rPr>
          <w:rFonts w:hint="eastAsia" w:ascii="宋体" w:hAnsi="宋体" w:eastAsia="宋体" w:cs="Times New Roman"/>
          <w:b/>
          <w:bCs/>
          <w:kern w:val="2"/>
          <w:sz w:val="32"/>
          <w:szCs w:val="32"/>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u w:val="none"/>
          <w:lang w:val="en-US" w:eastAsia="zh-CN" w:bidi="ar-SA"/>
        </w:rPr>
      </w:pPr>
      <w:r>
        <w:rPr>
          <w:rFonts w:hint="eastAsia" w:ascii="宋体" w:hAnsi="宋体" w:eastAsia="宋体" w:cs="Times New Roman"/>
          <w:b/>
          <w:bCs/>
          <w:kern w:val="2"/>
          <w:sz w:val="24"/>
          <w:u w:val="none"/>
          <w:lang w:val="en-US" w:eastAsia="zh-CN" w:bidi="ar-SA"/>
        </w:rPr>
        <w:t xml:space="preserve">项目名称：                  </w:t>
      </w:r>
    </w:p>
    <w:tbl>
      <w:tblPr>
        <w:tblStyle w:val="14"/>
        <w:tblW w:w="91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12"/>
        <w:gridCol w:w="1704"/>
        <w:gridCol w:w="1795"/>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072"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序号</w:t>
            </w:r>
          </w:p>
        </w:tc>
        <w:tc>
          <w:tcPr>
            <w:tcW w:w="1612"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项目名称</w:t>
            </w:r>
          </w:p>
        </w:tc>
        <w:tc>
          <w:tcPr>
            <w:tcW w:w="1704"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合同</w:t>
            </w:r>
            <w:r>
              <w:rPr>
                <w:rFonts w:hint="eastAsia" w:ascii="宋体" w:hAnsi="宋体" w:eastAsia="宋体" w:cs="Times New Roman"/>
                <w:kern w:val="0"/>
                <w:sz w:val="24"/>
                <w:szCs w:val="20"/>
                <w:lang w:val="en-US" w:eastAsia="zh-CN"/>
              </w:rPr>
              <w:t>金额</w:t>
            </w:r>
          </w:p>
        </w:tc>
        <w:tc>
          <w:tcPr>
            <w:tcW w:w="1795" w:type="dxa"/>
            <w:noWrap w:val="0"/>
            <w:vAlign w:val="center"/>
          </w:tcPr>
          <w:p>
            <w:pPr>
              <w:ind w:firstLine="240" w:firstLineChars="100"/>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开始时间</w:t>
            </w:r>
          </w:p>
        </w:tc>
        <w:tc>
          <w:tcPr>
            <w:tcW w:w="3003" w:type="dxa"/>
            <w:noWrap w:val="0"/>
            <w:vAlign w:val="center"/>
          </w:tcPr>
          <w:p>
            <w:pPr>
              <w:jc w:val="left"/>
              <w:rPr>
                <w:rFonts w:hint="eastAsia" w:ascii="宋体" w:hAnsi="宋体" w:eastAsia="宋体" w:cs="Times New Roman"/>
                <w:bCs/>
                <w:kern w:val="2"/>
                <w:sz w:val="24"/>
                <w:szCs w:val="20"/>
              </w:rPr>
            </w:pPr>
            <w:r>
              <w:rPr>
                <w:rFonts w:hint="eastAsia" w:ascii="宋体" w:hAnsi="宋体" w:eastAsia="宋体" w:cs="Times New Roman"/>
                <w:kern w:val="0"/>
                <w:sz w:val="24"/>
                <w:szCs w:val="20"/>
              </w:rPr>
              <w:t>业主单位、联系人及电话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widowControl w:val="0"/>
              <w:spacing w:line="360" w:lineRule="auto"/>
              <w:jc w:val="both"/>
              <w:rPr>
                <w:rFonts w:ascii="宋体" w:hAnsi="宋体" w:eastAsia="宋体" w:cs="Times New Roman"/>
                <w:color w:val="auto"/>
                <w:kern w:val="2"/>
                <w:sz w:val="24"/>
                <w:szCs w:val="20"/>
                <w:lang w:val="en-US" w:eastAsia="zh-CN" w:bidi="ar-SA"/>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72" w:type="dxa"/>
            <w:noWrap w:val="0"/>
            <w:vAlign w:val="center"/>
          </w:tcPr>
          <w:p>
            <w:pPr>
              <w:spacing w:line="360" w:lineRule="auto"/>
              <w:rPr>
                <w:rFonts w:ascii="宋体" w:hAnsi="宋体" w:eastAsia="宋体" w:cs="Times New Roman"/>
                <w:kern w:val="2"/>
                <w:sz w:val="24"/>
                <w:szCs w:val="20"/>
              </w:rPr>
            </w:pPr>
          </w:p>
        </w:tc>
        <w:tc>
          <w:tcPr>
            <w:tcW w:w="1612" w:type="dxa"/>
            <w:noWrap w:val="0"/>
            <w:vAlign w:val="center"/>
          </w:tcPr>
          <w:p>
            <w:pPr>
              <w:spacing w:line="360" w:lineRule="auto"/>
              <w:rPr>
                <w:rFonts w:ascii="宋体" w:hAnsi="宋体" w:eastAsia="宋体" w:cs="Times New Roman"/>
                <w:kern w:val="2"/>
                <w:sz w:val="24"/>
                <w:szCs w:val="20"/>
              </w:rPr>
            </w:pPr>
          </w:p>
        </w:tc>
        <w:tc>
          <w:tcPr>
            <w:tcW w:w="1704" w:type="dxa"/>
            <w:noWrap w:val="0"/>
            <w:vAlign w:val="center"/>
          </w:tcPr>
          <w:p>
            <w:pPr>
              <w:spacing w:line="360" w:lineRule="auto"/>
              <w:rPr>
                <w:rFonts w:ascii="宋体" w:hAnsi="宋体" w:eastAsia="宋体" w:cs="Times New Roman"/>
                <w:kern w:val="2"/>
                <w:sz w:val="24"/>
                <w:szCs w:val="20"/>
              </w:rPr>
            </w:pPr>
          </w:p>
        </w:tc>
        <w:tc>
          <w:tcPr>
            <w:tcW w:w="1795" w:type="dxa"/>
            <w:noWrap w:val="0"/>
            <w:vAlign w:val="center"/>
          </w:tcPr>
          <w:p>
            <w:pPr>
              <w:spacing w:line="360" w:lineRule="auto"/>
              <w:rPr>
                <w:rFonts w:ascii="宋体" w:hAnsi="宋体" w:eastAsia="宋体" w:cs="Times New Roman"/>
                <w:kern w:val="2"/>
                <w:sz w:val="24"/>
                <w:szCs w:val="20"/>
              </w:rPr>
            </w:pPr>
          </w:p>
        </w:tc>
        <w:tc>
          <w:tcPr>
            <w:tcW w:w="3003" w:type="dxa"/>
            <w:noWrap w:val="0"/>
            <w:vAlign w:val="center"/>
          </w:tcPr>
          <w:p>
            <w:pPr>
              <w:spacing w:line="360" w:lineRule="auto"/>
              <w:rPr>
                <w:rFonts w:ascii="宋体" w:hAnsi="宋体" w:eastAsia="宋体" w:cs="Times New Roman"/>
                <w:kern w:val="2"/>
                <w:sz w:val="24"/>
                <w:szCs w:val="20"/>
              </w:rPr>
            </w:pPr>
          </w:p>
        </w:tc>
      </w:tr>
    </w:tbl>
    <w:p>
      <w:pPr>
        <w:spacing w:line="360" w:lineRule="auto"/>
        <w:rPr>
          <w:rFonts w:ascii="宋体" w:hAnsi="宋体" w:eastAsia="宋体" w:cs="Times New Roman"/>
          <w:kern w:val="2"/>
          <w:sz w:val="24"/>
          <w:szCs w:val="20"/>
        </w:rPr>
      </w:pP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投标人全称（盖公章）：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法定代表人或投标授权代表（签字或签章）：</w:t>
      </w:r>
    </w:p>
    <w:p>
      <w:pPr>
        <w:spacing w:line="360" w:lineRule="auto"/>
        <w:rPr>
          <w:rFonts w:ascii="宋体" w:hAnsi="宋体" w:eastAsia="宋体" w:cs="Times New Roman"/>
          <w:kern w:val="2"/>
          <w:sz w:val="24"/>
          <w:szCs w:val="20"/>
        </w:rPr>
      </w:pPr>
      <w:r>
        <w:rPr>
          <w:rFonts w:hint="eastAsia" w:ascii="宋体" w:hAnsi="宋体" w:eastAsia="宋体" w:cs="Times New Roman"/>
          <w:kern w:val="2"/>
          <w:sz w:val="24"/>
          <w:szCs w:val="20"/>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lang w:val="en-US" w:eastAsia="zh-CN" w:bidi="ar-SA"/>
        </w:rPr>
      </w:pPr>
      <w:r>
        <w:rPr>
          <w:rFonts w:hint="eastAsia" w:ascii="宋体" w:hAnsi="宋体" w:eastAsia="宋体" w:cs="Times New Roman"/>
          <w:b/>
          <w:kern w:val="2"/>
          <w:sz w:val="21"/>
          <w:szCs w:val="20"/>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rPr>
        <w:t>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pStyle w:val="4"/>
        <w:rPr>
          <w:rFonts w:ascii="宋体" w:hAnsi="宋体" w:eastAsia="宋体" w:cs="Times New Roman"/>
          <w:b/>
          <w:color w:val="auto"/>
          <w:kern w:val="0"/>
          <w:sz w:val="30"/>
          <w:szCs w:val="20"/>
          <w:highlight w:val="none"/>
          <w:lang w:val="en-US" w:eastAsia="zh-CN" w:bidi="ar-SA"/>
        </w:rPr>
      </w:pPr>
    </w:p>
    <w:p>
      <w:pPr>
        <w:rPr>
          <w:lang w:val="en-US" w:eastAsia="zh-CN"/>
        </w:rPr>
      </w:pP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eastAsiaTheme="minorEastAsia"/>
                <w:bCs/>
                <w:color w:val="auto"/>
                <w:spacing w:val="0"/>
                <w:sz w:val="21"/>
                <w:szCs w:val="21"/>
                <w:highlight w:val="none"/>
                <w:u w:val="none"/>
              </w:rPr>
              <w:t>南沙古人景观提升工程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711" w:type="dxa"/>
            <w:vAlign w:val="center"/>
          </w:tcPr>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总工期</w:t>
            </w: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7" w:name="_Toc374128477"/>
      <w:bookmarkEnd w:id="47"/>
      <w:bookmarkStart w:id="48"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9" w:name="_Toc464"/>
      <w:bookmarkStart w:id="50" w:name="_Toc3111"/>
      <w:bookmarkStart w:id="51" w:name="_Toc15398"/>
      <w:bookmarkStart w:id="52" w:name="_Toc10166"/>
      <w:bookmarkStart w:id="53" w:name="_Toc14186"/>
      <w:bookmarkStart w:id="54" w:name="_Toc17952"/>
      <w:r>
        <w:rPr>
          <w:rFonts w:hint="eastAsia" w:ascii="黑体" w:hAnsi="宋体" w:cs="黑体"/>
          <w:b/>
          <w:color w:val="auto"/>
          <w:kern w:val="44"/>
          <w:sz w:val="44"/>
          <w:szCs w:val="44"/>
          <w:highlight w:val="none"/>
        </w:rPr>
        <w:t>第4章 评标办法</w:t>
      </w:r>
      <w:bookmarkEnd w:id="48"/>
      <w:bookmarkEnd w:id="49"/>
      <w:bookmarkEnd w:id="50"/>
      <w:bookmarkEnd w:id="51"/>
      <w:bookmarkEnd w:id="52"/>
      <w:bookmarkEnd w:id="53"/>
      <w:bookmarkEnd w:id="54"/>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Borders>
            <w:top w:val="none" w:sz="0" w:space="0"/>
            <w:left w:val="none" w:sz="0" w:space="0"/>
            <w:bottom w:val="none" w:sz="0" w:space="0"/>
            <w:right w:val="none" w:sz="0" w:space="0"/>
          </w:pgBorders>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3"/>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w:t>
      </w:r>
      <w:r>
        <w:rPr>
          <w:rFonts w:hint="eastAsia" w:ascii="仿宋" w:hAnsi="仿宋" w:eastAsia="仿宋" w:cs="仿宋"/>
          <w:b/>
          <w:color w:val="auto"/>
          <w:sz w:val="28"/>
          <w:szCs w:val="28"/>
          <w:highlight w:val="none"/>
          <w:u w:val="single"/>
          <w:lang w:val="en-US" w:eastAsia="zh-CN"/>
        </w:rPr>
        <w:t>评分</w:t>
      </w:r>
      <w:r>
        <w:rPr>
          <w:rFonts w:hint="eastAsia" w:ascii="仿宋" w:hAnsi="仿宋" w:eastAsia="仿宋" w:cs="仿宋"/>
          <w:b/>
          <w:color w:val="auto"/>
          <w:sz w:val="28"/>
          <w:szCs w:val="28"/>
          <w:highlight w:val="none"/>
          <w:u w:val="single"/>
        </w:rPr>
        <w:t>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7.5.</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7.6.1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55"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55"/>
    </w:p>
    <w:p>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1"/>
        <w:widowControl/>
        <w:ind w:firstLine="562"/>
        <w:rPr>
          <w:rFonts w:ascii="仿宋" w:hAnsi="仿宋" w:eastAsia="仿宋" w:cs="仿宋"/>
          <w:b/>
          <w:color w:val="auto"/>
          <w:sz w:val="28"/>
          <w:szCs w:val="28"/>
          <w:highlight w:val="none"/>
          <w:u w:val="single"/>
        </w:rPr>
      </w:pPr>
      <w:bookmarkStart w:id="56" w:name="OLE_LINK3"/>
      <w:bookmarkEnd w:id="56"/>
      <w:r>
        <w:rPr>
          <w:rFonts w:ascii="仿宋" w:hAnsi="仿宋" w:eastAsia="仿宋" w:cs="仿宋"/>
          <w:b/>
          <w:color w:val="auto"/>
          <w:sz w:val="28"/>
          <w:szCs w:val="28"/>
          <w:highlight w:val="none"/>
          <w:u w:val="single"/>
        </w:rPr>
        <w:t>附件2 综合评分表</w:t>
      </w:r>
    </w:p>
    <w:p>
      <w:pPr>
        <w:pStyle w:val="21"/>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附件4投标人</w:t>
      </w:r>
      <w:r>
        <w:rPr>
          <w:rFonts w:hint="eastAsia" w:ascii="仿宋" w:hAnsi="仿宋" w:eastAsia="仿宋" w:cs="仿宋"/>
          <w:b/>
          <w:bCs w:val="0"/>
          <w:color w:val="auto"/>
          <w:kern w:val="0"/>
          <w:sz w:val="28"/>
          <w:szCs w:val="28"/>
          <w:highlight w:val="none"/>
          <w:u w:val="single"/>
          <w:lang w:val="en-US" w:eastAsia="zh-CN" w:bidi="ar-SA"/>
        </w:rPr>
        <w:t>无历史法律纠纷</w:t>
      </w:r>
      <w:r>
        <w:rPr>
          <w:rFonts w:hint="eastAsia" w:ascii="仿宋" w:hAnsi="仿宋" w:eastAsia="仿宋" w:cs="仿宋"/>
          <w:b/>
          <w:color w:val="auto"/>
          <w:kern w:val="0"/>
          <w:sz w:val="28"/>
          <w:szCs w:val="28"/>
          <w:highlight w:val="none"/>
          <w:u w:val="single"/>
          <w:lang w:val="en-US" w:eastAsia="zh-CN" w:bidi="ar-SA"/>
        </w:rPr>
        <w:t>承诺（格式自拟）</w:t>
      </w:r>
    </w:p>
    <w:p>
      <w:pPr>
        <w:pStyle w:val="21"/>
        <w:widowControl/>
        <w:ind w:firstLine="562"/>
        <w:rPr>
          <w:rFonts w:hint="eastAsia" w:ascii="仿宋" w:hAnsi="仿宋" w:eastAsia="仿宋" w:cs="仿宋"/>
          <w:b/>
          <w:color w:val="auto"/>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57" w:name="_Toc16497"/>
      <w:bookmarkStart w:id="58" w:name="_Toc12170"/>
      <w:bookmarkStart w:id="59" w:name="_Toc5025"/>
      <w:bookmarkStart w:id="60" w:name="_Toc15798"/>
      <w:bookmarkStart w:id="61" w:name="_Toc289"/>
      <w:bookmarkStart w:id="62" w:name="_Toc27151"/>
      <w:bookmarkStart w:id="63" w:name="_Toc11699"/>
      <w:r>
        <w:rPr>
          <w:rFonts w:hint="eastAsia" w:ascii="仿宋" w:hAnsi="仿宋" w:eastAsia="仿宋" w:cs="仿宋"/>
          <w:color w:val="auto"/>
          <w:sz w:val="28"/>
          <w:szCs w:val="28"/>
          <w:highlight w:val="none"/>
        </w:rPr>
        <w:t>附件1：符合性审查表</w:t>
      </w:r>
      <w:bookmarkEnd w:id="57"/>
      <w:bookmarkEnd w:id="58"/>
      <w:bookmarkEnd w:id="59"/>
      <w:bookmarkEnd w:id="60"/>
      <w:bookmarkEnd w:id="61"/>
      <w:bookmarkEnd w:id="62"/>
      <w:bookmarkEnd w:id="63"/>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w:t>
            </w:r>
            <w:r>
              <w:rPr>
                <w:rFonts w:hint="eastAsia" w:ascii="仿宋" w:hAnsi="仿宋" w:eastAsia="仿宋" w:cs="仿宋"/>
                <w:color w:val="auto"/>
                <w:szCs w:val="21"/>
                <w:highlight w:val="none"/>
                <w:lang w:val="en-US" w:eastAsia="zh-CN"/>
              </w:rPr>
              <w:t>附有</w:t>
            </w:r>
            <w:r>
              <w:rPr>
                <w:rFonts w:hint="eastAsia" w:ascii="仿宋" w:hAnsi="仿宋" w:eastAsia="仿宋" w:cs="仿宋"/>
                <w:color w:val="auto"/>
                <w:szCs w:val="21"/>
                <w:highlight w:val="none"/>
              </w:rPr>
              <w:t>有效的营业执照复印件、法定代表人证明书原件，如委托需提供委托授权书原件及受委托人身份证复印件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jc w:val="center"/>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leftChars="0"/>
              <w:contextualSpacing w:val="0"/>
              <w:jc w:val="center"/>
              <w:rPr>
                <w:rFonts w:ascii="仿宋" w:hAnsi="仿宋" w:eastAsia="仿宋" w:cs="仿宋"/>
                <w:color w:val="auto"/>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leftChars="0"/>
              <w:contextualSpacing w:val="0"/>
              <w:jc w:val="both"/>
              <w:rPr>
                <w:rFonts w:ascii="仿宋" w:hAnsi="仿宋" w:eastAsia="仿宋" w:cs="仿宋"/>
                <w:color w:val="auto"/>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pgBorders>
            <w:top w:val="none" w:sz="0" w:space="0"/>
            <w:left w:val="none" w:sz="0" w:space="0"/>
            <w:bottom w:val="none" w:sz="0" w:space="0"/>
            <w:right w:val="none" w:sz="0" w:space="0"/>
          </w:pgBorders>
          <w:cols w:space="425" w:num="1"/>
          <w:docGrid w:linePitch="312" w:charSpace="0"/>
        </w:sectPr>
      </w:pPr>
      <w:bookmarkStart w:id="64" w:name="_Toc18783"/>
    </w:p>
    <w:bookmarkEnd w:id="64"/>
    <w:p>
      <w:pPr>
        <w:snapToGrid w:val="0"/>
        <w:ind w:left="74"/>
        <w:outlineLvl w:val="0"/>
        <w:rPr>
          <w:rFonts w:ascii="仿宋" w:hAnsi="仿宋" w:eastAsia="仿宋" w:cs="仿宋"/>
          <w:color w:val="auto"/>
          <w:sz w:val="24"/>
          <w:highlight w:val="none"/>
        </w:rPr>
      </w:pPr>
      <w:bookmarkStart w:id="65" w:name="_Toc4185"/>
      <w:bookmarkStart w:id="66" w:name="_Toc13000"/>
      <w:bookmarkStart w:id="67" w:name="_Toc15156"/>
      <w:bookmarkStart w:id="68" w:name="_Toc20704"/>
      <w:bookmarkStart w:id="69" w:name="_Toc12016"/>
      <w:bookmarkStart w:id="70" w:name="_Toc3176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65"/>
      <w:bookmarkEnd w:id="66"/>
      <w:bookmarkEnd w:id="67"/>
      <w:bookmarkEnd w:id="68"/>
      <w:bookmarkEnd w:id="69"/>
      <w:bookmarkEnd w:id="70"/>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145"/>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145"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892"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1"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widowControl w:val="0"/>
              <w:snapToGrid w:val="0"/>
              <w:spacing w:before="120" w:after="120" w:line="320" w:lineRule="exact"/>
              <w:ind w:left="0" w:lef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（30分）</w:t>
            </w:r>
          </w:p>
          <w:p>
            <w:pPr>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snapToGrid/>
              <w:ind w:left="42" w:leftChars="20" w:right="42" w:rightChars="20"/>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企业业绩</w:t>
            </w:r>
          </w:p>
        </w:tc>
        <w:tc>
          <w:tcPr>
            <w:tcW w:w="709" w:type="dxa"/>
            <w:shd w:val="clear" w:color="auto" w:fill="auto"/>
            <w:vAlign w:val="center"/>
          </w:tcPr>
          <w:p>
            <w:pPr>
              <w:spacing w:line="240" w:lineRule="auto"/>
              <w:ind w:left="42" w:leftChars="20" w:right="42" w:rightChars="2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9145" w:type="dxa"/>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投标人自2019年1月1日以来（以合同签订时间为准）承接过单项合同金额不低于30万元（含30万元）的市政项目业绩，每提供一个计</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分，满分为</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rPr>
              <w:t>分</w:t>
            </w:r>
            <w:r>
              <w:rPr>
                <w:rFonts w:hint="eastAsia" w:ascii="宋体" w:hAnsi="宋体" w:eastAsia="宋体" w:cs="宋体"/>
                <w:color w:val="auto"/>
                <w:sz w:val="21"/>
                <w:szCs w:val="21"/>
                <w:highlight w:val="none"/>
                <w:lang w:val="en-US" w:eastAsia="zh-CN"/>
              </w:rPr>
              <w:t>。</w:t>
            </w:r>
          </w:p>
          <w:p>
            <w:pPr>
              <w:spacing w:line="360" w:lineRule="auto"/>
              <w:ind w:left="42" w:leftChars="20" w:right="42" w:rightChars="20"/>
              <w:jc w:val="left"/>
              <w:rPr>
                <w:rFonts w:hint="eastAsia" w:ascii="宋体" w:hAnsi="宋体" w:eastAsia="宋体" w:cs="宋体"/>
                <w:szCs w:val="21"/>
                <w:highlight w:val="none"/>
                <w:lang w:val="en-US" w:eastAsia="zh-CN"/>
              </w:rPr>
            </w:pPr>
            <w:r>
              <w:rPr>
                <w:rFonts w:hint="eastAsia" w:ascii="宋体" w:hAnsi="宋体" w:eastAsia="宋体" w:cs="宋体"/>
                <w:sz w:val="21"/>
                <w:szCs w:val="21"/>
                <w:highlight w:val="none"/>
              </w:rPr>
              <w:t>注：</w:t>
            </w:r>
            <w:r>
              <w:rPr>
                <w:rFonts w:hint="eastAsia" w:ascii="宋体" w:hAnsi="宋体" w:eastAsia="宋体" w:cs="宋体"/>
                <w:sz w:val="21"/>
                <w:szCs w:val="21"/>
                <w:highlight w:val="none"/>
                <w:lang w:val="en-US" w:eastAsia="zh-CN"/>
              </w:rPr>
              <w:t>需</w:t>
            </w:r>
            <w:r>
              <w:rPr>
                <w:rFonts w:hint="eastAsia" w:ascii="宋体" w:hAnsi="宋体" w:eastAsia="宋体" w:cs="宋体"/>
                <w:color w:val="auto"/>
                <w:sz w:val="21"/>
                <w:szCs w:val="21"/>
                <w:highlight w:val="none"/>
                <w:lang w:val="en-US"/>
              </w:rPr>
              <w:t>提供项目业绩证明材料（合同</w:t>
            </w:r>
            <w:r>
              <w:rPr>
                <w:rFonts w:hint="eastAsia" w:ascii="宋体" w:hAnsi="宋体" w:eastAsia="宋体" w:cs="宋体"/>
                <w:color w:val="auto"/>
                <w:sz w:val="21"/>
                <w:szCs w:val="21"/>
                <w:highlight w:val="none"/>
                <w:lang w:val="en-US" w:eastAsia="zh-CN"/>
              </w:rPr>
              <w:t>关键页</w:t>
            </w:r>
            <w:r>
              <w:rPr>
                <w:rFonts w:hint="eastAsia" w:ascii="宋体" w:hAnsi="宋体" w:eastAsia="宋体" w:cs="宋体"/>
                <w:color w:val="auto"/>
                <w:sz w:val="21"/>
                <w:szCs w:val="21"/>
                <w:highlight w:val="none"/>
                <w:lang w:val="en-US"/>
              </w:rPr>
              <w:t>复印件</w:t>
            </w:r>
            <w:r>
              <w:rPr>
                <w:rFonts w:hint="eastAsia" w:ascii="宋体" w:hAnsi="宋体" w:eastAsia="宋体" w:cs="宋体"/>
                <w:color w:val="auto"/>
                <w:sz w:val="21"/>
                <w:szCs w:val="21"/>
                <w:highlight w:val="none"/>
                <w:lang w:val="en-US" w:eastAsia="zh-CN"/>
              </w:rPr>
              <w:t>加盖公章</w:t>
            </w:r>
            <w:r>
              <w:rPr>
                <w:rFonts w:hint="eastAsia" w:ascii="宋体" w:hAnsi="宋体" w:eastAsia="宋体" w:cs="宋体"/>
                <w:color w:val="auto"/>
                <w:sz w:val="21"/>
                <w:szCs w:val="21"/>
                <w:highlight w:val="none"/>
                <w:lang w:val="en-US"/>
              </w:rPr>
              <w:t>）</w:t>
            </w:r>
            <w:r>
              <w:rPr>
                <w:rFonts w:hint="eastAsia" w:ascii="宋体" w:hAnsi="宋体" w:eastAsia="宋体" w:cs="宋体"/>
                <w:sz w:val="21"/>
                <w:szCs w:val="21"/>
                <w:highlight w:val="none"/>
              </w:rPr>
              <w:t>，不提供不得分。</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ind w:left="42" w:leftChars="20" w:right="42" w:rightChars="20"/>
              <w:jc w:val="center"/>
              <w:rPr>
                <w:rFonts w:hint="eastAsia" w:ascii="宋体" w:hAnsi="宋体" w:eastAsia="宋体" w:cs="宋体"/>
                <w:bCs w:val="0"/>
                <w:color w:val="auto"/>
                <w:sz w:val="21"/>
                <w:szCs w:val="21"/>
                <w:highlight w:val="none"/>
                <w:lang w:val="zh-CN"/>
              </w:rPr>
            </w:pPr>
            <w:r>
              <w:rPr>
                <w:rFonts w:hint="eastAsia" w:ascii="宋体" w:hAnsi="宋体" w:eastAsia="宋体" w:cs="宋体"/>
                <w:bCs w:val="0"/>
                <w:color w:val="auto"/>
                <w:sz w:val="21"/>
                <w:szCs w:val="21"/>
                <w:highlight w:val="none"/>
                <w:lang w:val="zh-CN"/>
              </w:rPr>
              <w:t>投标人</w:t>
            </w:r>
          </w:p>
          <w:p>
            <w:pPr>
              <w:snapToGrid/>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val="0"/>
                <w:color w:val="auto"/>
                <w:sz w:val="21"/>
                <w:szCs w:val="21"/>
                <w:highlight w:val="none"/>
                <w:lang w:val="zh-CN"/>
              </w:rPr>
              <w:t>综合实力</w:t>
            </w:r>
          </w:p>
        </w:tc>
        <w:tc>
          <w:tcPr>
            <w:tcW w:w="709" w:type="dxa"/>
            <w:shd w:val="clear" w:color="auto" w:fill="auto"/>
            <w:vAlign w:val="center"/>
          </w:tcPr>
          <w:p>
            <w:pPr>
              <w:ind w:left="42" w:leftChars="20" w:right="42" w:rightChars="20"/>
              <w:jc w:val="center"/>
              <w:rPr>
                <w:rFonts w:hint="default" w:ascii="宋体" w:hAnsi="宋体" w:eastAsia="宋体" w:cs="宋体"/>
                <w:color w:val="auto"/>
                <w:kern w:val="2"/>
                <w:position w:val="0"/>
                <w:sz w:val="21"/>
                <w:szCs w:val="21"/>
                <w:highlight w:val="none"/>
                <w:lang w:val="en-US" w:eastAsia="zh-CN" w:bidi="ar-SA"/>
              </w:rPr>
            </w:pPr>
            <w:r>
              <w:rPr>
                <w:rFonts w:hint="eastAsia" w:ascii="宋体" w:hAnsi="宋体" w:eastAsia="宋体" w:cs="宋体"/>
                <w:bCs w:val="0"/>
                <w:color w:val="auto"/>
                <w:sz w:val="21"/>
                <w:szCs w:val="21"/>
                <w:highlight w:val="none"/>
              </w:rPr>
              <w:t>1</w:t>
            </w:r>
            <w:r>
              <w:rPr>
                <w:rFonts w:hint="eastAsia" w:ascii="宋体" w:hAnsi="宋体" w:eastAsia="宋体" w:cs="宋体"/>
                <w:bCs w:val="0"/>
                <w:color w:val="auto"/>
                <w:sz w:val="21"/>
                <w:szCs w:val="21"/>
                <w:highlight w:val="none"/>
                <w:lang w:val="en-US" w:eastAsia="zh-CN"/>
              </w:rPr>
              <w:t>0</w:t>
            </w:r>
          </w:p>
        </w:tc>
        <w:tc>
          <w:tcPr>
            <w:tcW w:w="9145" w:type="dxa"/>
            <w:shd w:val="clear" w:color="auto" w:fill="auto"/>
            <w:vAlign w:val="center"/>
          </w:tcPr>
          <w:p>
            <w:pPr>
              <w:numPr>
                <w:ilvl w:val="-1"/>
                <w:numId w:val="0"/>
              </w:numPr>
              <w:snapToGrid/>
              <w:spacing w:line="360" w:lineRule="auto"/>
              <w:ind w:left="42" w:leftChars="20" w:right="42" w:rightChars="20"/>
              <w:jc w:val="left"/>
              <w:rPr>
                <w:rFonts w:hint="eastAsia" w:ascii="宋体" w:hAnsi="宋体" w:eastAsia="宋体" w:cs="宋体"/>
                <w:color w:val="auto"/>
                <w:szCs w:val="21"/>
                <w:highlight w:val="none"/>
                <w:lang w:val="zh-CN"/>
              </w:rPr>
            </w:pPr>
            <w:r>
              <w:rPr>
                <w:rFonts w:hint="eastAsia" w:ascii="宋体" w:hAnsi="宋体" w:eastAsia="宋体" w:cs="宋体"/>
                <w:color w:val="auto"/>
                <w:sz w:val="21"/>
                <w:szCs w:val="21"/>
                <w:highlight w:val="none"/>
                <w:lang w:val="en-US" w:eastAsia="zh-CN"/>
              </w:rPr>
              <w:t>1、投标人同时具有市政公用工程施工总承包三级或以上资质和建</w:t>
            </w:r>
            <w:bookmarkStart w:id="80" w:name="_GoBack"/>
            <w:bookmarkEnd w:id="80"/>
            <w:r>
              <w:rPr>
                <w:rFonts w:hint="eastAsia" w:ascii="宋体" w:hAnsi="宋体" w:eastAsia="宋体" w:cs="宋体"/>
                <w:color w:val="auto"/>
                <w:sz w:val="21"/>
                <w:szCs w:val="21"/>
                <w:highlight w:val="none"/>
                <w:lang w:val="en-US" w:eastAsia="zh-CN"/>
              </w:rPr>
              <w:t>筑工程施工总承包三级或以上资质的，得10分，否则不得分。</w:t>
            </w:r>
          </w:p>
          <w:p>
            <w:pPr>
              <w:snapToGrid/>
              <w:spacing w:line="360" w:lineRule="auto"/>
              <w:ind w:left="42" w:leftChars="20" w:right="42" w:rightChars="20"/>
              <w:jc w:val="left"/>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w:t>
            </w:r>
            <w:r>
              <w:rPr>
                <w:rFonts w:hint="eastAsia" w:ascii="宋体" w:hAnsi="宋体" w:cs="宋体"/>
                <w:szCs w:val="21"/>
                <w:highlight w:val="none"/>
                <w:lang w:val="en-US" w:eastAsia="zh-CN"/>
              </w:rPr>
              <w:t>提供公司资质证书复印件加盖公章</w:t>
            </w:r>
            <w:r>
              <w:rPr>
                <w:rFonts w:hint="eastAsia"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不提供不得分</w:t>
            </w:r>
            <w:r>
              <w:rPr>
                <w:rFonts w:hint="eastAsia" w:ascii="宋体" w:hAnsi="宋体" w:eastAsia="宋体" w:cs="宋体"/>
                <w:b w:val="0"/>
                <w:bCs w:val="0"/>
                <w:color w:val="auto"/>
                <w:kern w:val="2"/>
                <w:sz w:val="21"/>
                <w:szCs w:val="21"/>
                <w:highlight w:val="none"/>
                <w:lang w:val="en-US" w:eastAsia="zh-CN" w:bidi="ar-SA"/>
              </w:rPr>
              <w:t>。</w:t>
            </w:r>
          </w:p>
        </w:tc>
        <w:tc>
          <w:tcPr>
            <w:tcW w:w="892" w:type="dxa"/>
            <w:shd w:val="clear" w:color="auto" w:fill="auto"/>
            <w:vAlign w:val="center"/>
          </w:tcPr>
          <w:p>
            <w:pPr>
              <w:spacing w:line="220" w:lineRule="exact"/>
              <w:ind w:left="-2" w:leftChars="-1"/>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yellow"/>
                <w:lang w:val="en-US" w:eastAsia="zh-CN"/>
              </w:rPr>
            </w:pPr>
          </w:p>
        </w:tc>
        <w:tc>
          <w:tcPr>
            <w:tcW w:w="1406" w:type="dxa"/>
            <w:shd w:val="clear" w:color="auto" w:fill="auto"/>
            <w:vAlign w:val="center"/>
          </w:tcPr>
          <w:p>
            <w:pPr>
              <w:widowControl/>
              <w:jc w:val="center"/>
              <w:textAlignment w:val="center"/>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color w:val="000000"/>
                <w:kern w:val="0"/>
                <w:sz w:val="21"/>
                <w:szCs w:val="21"/>
                <w:highlight w:val="none"/>
                <w:lang w:val="en-US" w:eastAsia="zh-CN" w:bidi="ar"/>
              </w:rPr>
              <w:t>企业信誉</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sz w:val="21"/>
                <w:szCs w:val="21"/>
                <w:highlight w:val="none"/>
                <w:lang w:val="en-US" w:eastAsia="zh-CN"/>
              </w:rPr>
              <w:t>10</w:t>
            </w:r>
          </w:p>
        </w:tc>
        <w:tc>
          <w:tcPr>
            <w:tcW w:w="9145" w:type="dxa"/>
            <w:shd w:val="clear" w:color="auto" w:fill="auto"/>
            <w:vAlign w:val="center"/>
          </w:tcPr>
          <w:p>
            <w:pPr>
              <w:snapToGrid w:val="0"/>
              <w:spacing w:line="360" w:lineRule="auto"/>
              <w:jc w:val="left"/>
              <w:rPr>
                <w:rFonts w:hint="eastAsia"/>
                <w:highlight w:val="none"/>
              </w:rPr>
            </w:pPr>
            <w:r>
              <w:rPr>
                <w:rFonts w:hint="eastAsia"/>
                <w:highlight w:val="none"/>
              </w:rPr>
              <w:t>1、投标人2022年度纳税信用等级</w:t>
            </w:r>
            <w:r>
              <w:rPr>
                <w:rFonts w:hint="eastAsia" w:asciiTheme="minorHAnsi" w:eastAsiaTheme="minorEastAsia"/>
                <w:highlight w:val="none"/>
                <w:lang w:val="en-US" w:eastAsia="zh-CN"/>
              </w:rPr>
              <w:t>为A</w:t>
            </w:r>
            <w:r>
              <w:rPr>
                <w:rFonts w:hint="eastAsia"/>
                <w:highlight w:val="none"/>
              </w:rPr>
              <w:t>级，得5分，否则不得分。</w:t>
            </w:r>
          </w:p>
          <w:p>
            <w:pPr>
              <w:snapToGrid w:val="0"/>
              <w:spacing w:line="360" w:lineRule="auto"/>
              <w:jc w:val="left"/>
              <w:rPr>
                <w:rFonts w:hint="eastAsia"/>
                <w:highlight w:val="none"/>
              </w:rPr>
            </w:pPr>
            <w:r>
              <w:rPr>
                <w:rFonts w:hint="eastAsia"/>
                <w:highlight w:val="none"/>
              </w:rPr>
              <w:t>注：以国家税务总局或下属各省（市）级税务部门网站的查询结果为准，纳税人登记只计算投标人自身（不计算投标人的分公司和子公司）。投标人须提供在上述网站的查询结果网页打印页（截图）（不符合条件或无提交上述证明文件的不计分）。时间以税务部门网站公布的获奖年度（评价年度）为准。</w:t>
            </w:r>
          </w:p>
          <w:p>
            <w:pPr>
              <w:numPr>
                <w:ilvl w:val="0"/>
                <w:numId w:val="4"/>
              </w:numPr>
              <w:snapToGrid w:val="0"/>
              <w:spacing w:line="360" w:lineRule="auto"/>
              <w:jc w:val="left"/>
              <w:rPr>
                <w:rFonts w:hint="eastAsia"/>
                <w:highlight w:val="none"/>
              </w:rPr>
            </w:pPr>
            <w:r>
              <w:rPr>
                <w:rFonts w:hint="eastAsia"/>
                <w:highlight w:val="none"/>
              </w:rPr>
              <w:t>投标人无任何历史法律纠纷，得5分，其他不得分。</w:t>
            </w:r>
          </w:p>
          <w:p>
            <w:pPr>
              <w:numPr>
                <w:ilvl w:val="-1"/>
                <w:numId w:val="0"/>
              </w:numPr>
              <w:snapToGrid w:val="0"/>
              <w:spacing w:line="360" w:lineRule="auto"/>
              <w:ind w:left="0" w:leftChars="0" w:firstLine="0" w:firstLineChars="0"/>
              <w:jc w:val="left"/>
              <w:rPr>
                <w:rFonts w:hint="eastAsia" w:ascii="宋体" w:hAnsi="宋体" w:eastAsia="宋体" w:cs="宋体"/>
                <w:sz w:val="21"/>
                <w:szCs w:val="21"/>
                <w:highlight w:val="none"/>
                <w:lang w:val="en-US" w:eastAsia="zh-Hans"/>
              </w:rPr>
            </w:pPr>
            <w:r>
              <w:rPr>
                <w:rFonts w:hint="eastAsia"/>
                <w:highlight w:val="none"/>
                <w:lang w:val="en-US" w:eastAsia="zh-CN"/>
              </w:rPr>
              <w:t>注：</w:t>
            </w:r>
            <w:r>
              <w:rPr>
                <w:rFonts w:hint="eastAsia" w:ascii="宋体" w:hAnsi="宋体" w:eastAsia="宋体" w:cs="宋体"/>
                <w:i w:val="0"/>
                <w:iCs w:val="0"/>
                <w:color w:val="auto"/>
                <w:kern w:val="0"/>
                <w:sz w:val="21"/>
                <w:szCs w:val="21"/>
                <w:highlight w:val="none"/>
                <w:u w:val="none"/>
                <w:lang w:val="en-US" w:eastAsia="zh-CN" w:bidi="ar"/>
              </w:rPr>
              <w:t>需提供承诺函</w:t>
            </w:r>
            <w:r>
              <w:rPr>
                <w:rFonts w:hint="eastAsia" w:ascii="宋体" w:hAnsi="宋体" w:eastAsia="宋体" w:cs="宋体"/>
                <w:color w:val="auto"/>
                <w:kern w:val="0"/>
                <w:sz w:val="21"/>
                <w:highlight w:val="none"/>
                <w:u w:val="none"/>
                <w:lang w:val="en-US" w:eastAsia="zh-CN" w:bidi="ar"/>
              </w:rPr>
              <w:t>及</w:t>
            </w:r>
            <w:r>
              <w:rPr>
                <w:rFonts w:hint="eastAsia" w:ascii="宋体" w:hAnsi="宋体" w:eastAsia="宋体" w:cs="宋体"/>
                <w:i w:val="0"/>
                <w:iCs w:val="0"/>
                <w:color w:val="auto"/>
                <w:kern w:val="0"/>
                <w:sz w:val="21"/>
                <w:szCs w:val="21"/>
                <w:highlight w:val="none"/>
                <w:u w:val="none"/>
                <w:lang w:val="en-US" w:eastAsia="zh-CN" w:bidi="ar"/>
              </w:rPr>
              <w:t>相关能证明</w:t>
            </w:r>
            <w:r>
              <w:rPr>
                <w:rFonts w:hint="eastAsia" w:ascii="宋体" w:hAnsi="宋体" w:eastAsia="宋体" w:cs="宋体"/>
                <w:b w:val="0"/>
                <w:bCs w:val="0"/>
                <w:szCs w:val="21"/>
                <w:highlight w:val="none"/>
                <w:lang w:val="zh-CN" w:eastAsia="zh-CN"/>
              </w:rPr>
              <w:t>投标人无任何历史法律纠纷</w:t>
            </w:r>
            <w:r>
              <w:rPr>
                <w:rFonts w:hint="eastAsia" w:ascii="宋体" w:hAnsi="宋体" w:eastAsia="宋体" w:cs="宋体"/>
                <w:i w:val="0"/>
                <w:iCs w:val="0"/>
                <w:color w:val="auto"/>
                <w:kern w:val="0"/>
                <w:sz w:val="21"/>
                <w:szCs w:val="21"/>
                <w:highlight w:val="none"/>
                <w:u w:val="none"/>
                <w:lang w:val="en-US" w:eastAsia="zh-CN" w:bidi="ar"/>
              </w:rPr>
              <w:t>的佐证材料，格式自拟。</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643"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40分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项目</w:t>
            </w:r>
            <w:r>
              <w:rPr>
                <w:rFonts w:hint="eastAsia" w:ascii="宋体" w:hAnsi="宋体" w:eastAsia="宋体" w:cs="宋体"/>
                <w:color w:val="000000"/>
                <w:kern w:val="0"/>
                <w:sz w:val="21"/>
                <w:szCs w:val="21"/>
                <w:highlight w:val="none"/>
                <w:lang w:val="en-US" w:eastAsia="zh-CN" w:bidi="ar"/>
              </w:rPr>
              <w:t>组织</w:t>
            </w:r>
            <w:r>
              <w:rPr>
                <w:rFonts w:hint="eastAsia" w:ascii="宋体" w:hAnsi="宋体" w:eastAsia="宋体" w:cs="宋体"/>
                <w:color w:val="000000"/>
                <w:kern w:val="0"/>
                <w:sz w:val="21"/>
                <w:szCs w:val="21"/>
                <w:highlight w:val="none"/>
                <w:lang w:bidi="ar"/>
              </w:rPr>
              <w:t>管理机构及</w:t>
            </w:r>
            <w:r>
              <w:rPr>
                <w:rFonts w:hint="eastAsia" w:ascii="宋体" w:hAnsi="宋体" w:eastAsia="宋体" w:cs="宋体"/>
                <w:color w:val="000000"/>
                <w:kern w:val="0"/>
                <w:sz w:val="21"/>
                <w:szCs w:val="21"/>
                <w:highlight w:val="none"/>
                <w:lang w:val="en-US" w:eastAsia="zh-CN" w:bidi="ar"/>
              </w:rPr>
              <w:t>人员配备</w:t>
            </w:r>
          </w:p>
        </w:tc>
        <w:tc>
          <w:tcPr>
            <w:tcW w:w="709" w:type="dxa"/>
            <w:shd w:val="clear" w:color="auto" w:fill="auto"/>
            <w:vAlign w:val="center"/>
          </w:tcPr>
          <w:p>
            <w:pPr>
              <w:widowControl/>
              <w:jc w:val="center"/>
              <w:textAlignment w:val="center"/>
              <w:rPr>
                <w:rFonts w:hint="eastAsia" w:ascii="宋体" w:hAnsi="宋体" w:eastAsia="宋体" w:cs="宋体"/>
                <w:color w:val="auto"/>
                <w:kern w:val="2"/>
                <w:position w:val="0"/>
                <w:sz w:val="21"/>
                <w:szCs w:val="21"/>
                <w:highlight w:val="none"/>
                <w:lang w:val="en-US" w:eastAsia="zh-CN" w:bidi="ar-SA"/>
              </w:rPr>
            </w:pPr>
            <w:r>
              <w:rPr>
                <w:rFonts w:hint="eastAsia" w:ascii="宋体" w:hAnsi="宋体" w:eastAsia="宋体" w:cs="宋体"/>
                <w:color w:val="000000"/>
                <w:sz w:val="21"/>
                <w:szCs w:val="21"/>
                <w:highlight w:val="none"/>
                <w:lang w:val="en-US" w:eastAsia="zh-CN"/>
              </w:rPr>
              <w:t>4</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项目组人员配备充分，人员分</w:t>
            </w:r>
            <w:r>
              <w:rPr>
                <w:rFonts w:hint="eastAsia" w:ascii="宋体" w:hAnsi="宋体" w:eastAsia="宋体" w:cs="宋体"/>
                <w:color w:val="000000"/>
                <w:kern w:val="0"/>
                <w:sz w:val="21"/>
                <w:szCs w:val="21"/>
                <w:highlight w:val="none"/>
                <w:lang w:eastAsia="zh-CN" w:bidi="ar"/>
              </w:rPr>
              <w:t>工合理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[4-3]</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项目组人员配备基本满足</w:t>
            </w:r>
            <w:r>
              <w:rPr>
                <w:rFonts w:hint="eastAsia" w:ascii="宋体" w:hAnsi="宋体" w:eastAsia="宋体" w:cs="宋体"/>
                <w:color w:val="000000"/>
                <w:kern w:val="0"/>
                <w:sz w:val="21"/>
                <w:szCs w:val="21"/>
                <w:highlight w:val="none"/>
                <w:lang w:eastAsia="zh-CN" w:bidi="ar"/>
              </w:rPr>
              <w:t>项目要求</w:t>
            </w:r>
            <w:r>
              <w:rPr>
                <w:rFonts w:hint="eastAsia" w:ascii="宋体" w:hAnsi="宋体" w:eastAsia="宋体" w:cs="宋体"/>
                <w:color w:val="000000"/>
                <w:kern w:val="0"/>
                <w:sz w:val="21"/>
                <w:szCs w:val="21"/>
                <w:highlight w:val="none"/>
                <w:lang w:bidi="ar"/>
              </w:rPr>
              <w:t>，人员分</w:t>
            </w:r>
            <w:r>
              <w:rPr>
                <w:rFonts w:hint="eastAsia" w:ascii="宋体" w:hAnsi="宋体" w:eastAsia="宋体" w:cs="宋体"/>
                <w:color w:val="000000"/>
                <w:kern w:val="0"/>
                <w:sz w:val="21"/>
                <w:szCs w:val="21"/>
                <w:highlight w:val="none"/>
                <w:lang w:eastAsia="zh-CN" w:bidi="ar"/>
              </w:rPr>
              <w:t>工较为合理</w:t>
            </w:r>
            <w:r>
              <w:rPr>
                <w:rFonts w:hint="eastAsia" w:ascii="宋体" w:hAnsi="宋体" w:eastAsia="宋体" w:cs="宋体"/>
                <w:color w:val="000000"/>
                <w:kern w:val="0"/>
                <w:sz w:val="21"/>
                <w:szCs w:val="21"/>
                <w:highlight w:val="none"/>
                <w:lang w:bidi="ar"/>
              </w:rPr>
              <w:t>，得</w:t>
            </w:r>
            <w:r>
              <w:rPr>
                <w:rFonts w:hint="eastAsia" w:ascii="宋体" w:hAnsi="宋体" w:eastAsia="宋体" w:cs="宋体"/>
                <w:b w:val="0"/>
                <w:bCs w:val="0"/>
                <w:color w:val="auto"/>
                <w:sz w:val="21"/>
                <w:szCs w:val="21"/>
                <w:highlight w:val="none"/>
                <w:lang w:val="en-US" w:eastAsia="zh-CN"/>
              </w:rPr>
              <w:t>[2-1]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雨季施工防护措施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sz w:val="21"/>
                <w:szCs w:val="21"/>
                <w:highlight w:val="none"/>
                <w:lang w:val="en-US" w:eastAsia="zh-CN"/>
              </w:rPr>
              <w:t>6</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w:t>
            </w:r>
            <w:r>
              <w:rPr>
                <w:rFonts w:hint="eastAsia" w:ascii="宋体" w:hAnsi="宋体" w:eastAsia="宋体" w:cs="宋体"/>
                <w:color w:val="000000"/>
                <w:kern w:val="0"/>
                <w:sz w:val="21"/>
                <w:szCs w:val="21"/>
                <w:highlight w:val="none"/>
                <w:lang w:eastAsia="zh-CN" w:bidi="ar"/>
              </w:rPr>
              <w:t>的雨天</w:t>
            </w:r>
            <w:r>
              <w:rPr>
                <w:rFonts w:hint="eastAsia" w:ascii="宋体" w:hAnsi="宋体" w:eastAsia="宋体" w:cs="宋体"/>
                <w:color w:val="000000"/>
                <w:kern w:val="0"/>
                <w:sz w:val="21"/>
                <w:szCs w:val="21"/>
                <w:highlight w:val="none"/>
                <w:lang w:bidi="ar"/>
              </w:rPr>
              <w:t>施工防护措施详细的、合理的，得</w:t>
            </w:r>
            <w:r>
              <w:rPr>
                <w:rFonts w:hint="eastAsia" w:ascii="宋体" w:hAnsi="宋体" w:eastAsia="宋体" w:cs="宋体"/>
                <w:b w:val="0"/>
                <w:bCs w:val="0"/>
                <w:color w:val="auto"/>
                <w:sz w:val="21"/>
                <w:szCs w:val="21"/>
                <w:highlight w:val="none"/>
                <w:lang w:val="en-US" w:eastAsia="zh-CN"/>
              </w:rPr>
              <w:t>[6-4]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雨天</w:t>
            </w:r>
            <w:r>
              <w:rPr>
                <w:rFonts w:hint="eastAsia" w:ascii="宋体" w:hAnsi="宋体" w:eastAsia="宋体" w:cs="宋体"/>
                <w:color w:val="000000"/>
                <w:kern w:val="0"/>
                <w:sz w:val="21"/>
                <w:szCs w:val="21"/>
                <w:highlight w:val="none"/>
                <w:lang w:bidi="ar"/>
              </w:rPr>
              <w:t>施工防护措施</w:t>
            </w:r>
            <w:r>
              <w:rPr>
                <w:rFonts w:hint="eastAsia" w:ascii="宋体" w:hAnsi="宋体" w:eastAsia="宋体" w:cs="宋体"/>
                <w:color w:val="000000"/>
                <w:kern w:val="0"/>
                <w:sz w:val="21"/>
                <w:szCs w:val="21"/>
                <w:highlight w:val="none"/>
                <w:lang w:eastAsia="zh-CN" w:bidi="ar"/>
              </w:rPr>
              <w:t>符合项目特点要求</w:t>
            </w:r>
            <w:r>
              <w:rPr>
                <w:rFonts w:hint="eastAsia" w:ascii="宋体" w:hAnsi="宋体" w:eastAsia="宋体" w:cs="宋体"/>
                <w:color w:val="000000"/>
                <w:kern w:val="0"/>
                <w:sz w:val="21"/>
                <w:szCs w:val="21"/>
                <w:highlight w:val="none"/>
                <w:lang w:bidi="ar"/>
              </w:rPr>
              <w:t>，针</w:t>
            </w:r>
            <w:r>
              <w:rPr>
                <w:rFonts w:hint="eastAsia" w:ascii="宋体" w:hAnsi="宋体" w:eastAsia="宋体" w:cs="宋体"/>
                <w:color w:val="000000"/>
                <w:kern w:val="0"/>
                <w:sz w:val="21"/>
                <w:szCs w:val="21"/>
                <w:highlight w:val="none"/>
                <w:lang w:eastAsia="zh-CN" w:bidi="ar"/>
              </w:rPr>
              <w:t>对工期和</w:t>
            </w:r>
            <w:r>
              <w:rPr>
                <w:rFonts w:hint="eastAsia" w:ascii="宋体" w:hAnsi="宋体" w:eastAsia="宋体" w:cs="宋体"/>
                <w:color w:val="000000"/>
                <w:kern w:val="0"/>
                <w:sz w:val="21"/>
                <w:szCs w:val="21"/>
                <w:highlight w:val="none"/>
                <w:lang w:bidi="ar"/>
              </w:rPr>
              <w:t>恶劣天气</w:t>
            </w:r>
            <w:r>
              <w:rPr>
                <w:rFonts w:hint="eastAsia" w:ascii="宋体" w:hAnsi="宋体" w:eastAsia="宋体" w:cs="宋体"/>
                <w:color w:val="000000"/>
                <w:kern w:val="0"/>
                <w:sz w:val="21"/>
                <w:szCs w:val="21"/>
                <w:highlight w:val="none"/>
                <w:lang w:eastAsia="zh-CN" w:bidi="ar"/>
              </w:rPr>
              <w:t>制</w:t>
            </w:r>
            <w:r>
              <w:rPr>
                <w:rFonts w:hint="eastAsia" w:ascii="宋体" w:hAnsi="宋体" w:eastAsia="宋体" w:cs="宋体"/>
                <w:color w:val="000000"/>
                <w:kern w:val="0"/>
                <w:sz w:val="21"/>
                <w:szCs w:val="21"/>
                <w:highlight w:val="none"/>
                <w:lang w:bidi="ar"/>
              </w:rPr>
              <w:t>定防护措施</w:t>
            </w:r>
            <w:r>
              <w:rPr>
                <w:rFonts w:hint="eastAsia" w:ascii="宋体" w:hAnsi="宋体" w:eastAsia="宋体" w:cs="宋体"/>
                <w:color w:val="000000"/>
                <w:kern w:val="0"/>
                <w:sz w:val="21"/>
                <w:szCs w:val="21"/>
                <w:highlight w:val="none"/>
                <w:lang w:eastAsia="zh-CN" w:bidi="ar"/>
              </w:rPr>
              <w:t>较为妥当</w:t>
            </w:r>
            <w:r>
              <w:rPr>
                <w:rFonts w:hint="eastAsia" w:ascii="宋体" w:hAnsi="宋体" w:eastAsia="宋体" w:cs="宋体"/>
                <w:color w:val="000000"/>
                <w:kern w:val="0"/>
                <w:sz w:val="21"/>
                <w:szCs w:val="21"/>
                <w:highlight w:val="none"/>
                <w:lang w:bidi="ar"/>
              </w:rPr>
              <w:t>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其他</w:t>
            </w:r>
            <w:r>
              <w:rPr>
                <w:rFonts w:hint="eastAsia" w:ascii="宋体" w:hAnsi="宋体" w:eastAsia="宋体" w:cs="宋体"/>
                <w:color w:val="000000"/>
                <w:kern w:val="0"/>
                <w:sz w:val="21"/>
                <w:szCs w:val="21"/>
                <w:highlight w:val="none"/>
                <w:lang w:bidi="ar"/>
              </w:rPr>
              <w:t>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Cs w:val="21"/>
                <w:highlight w:val="none"/>
                <w:lang w:val="en-US" w:eastAsia="zh-CN"/>
              </w:rPr>
              <w:t>施工组织方案</w:t>
            </w:r>
          </w:p>
        </w:tc>
        <w:tc>
          <w:tcPr>
            <w:tcW w:w="709" w:type="dxa"/>
            <w:shd w:val="clear" w:color="auto" w:fill="auto"/>
            <w:vAlign w:val="center"/>
          </w:tcPr>
          <w:p>
            <w:pPr>
              <w:snapToGrid/>
              <w:jc w:val="center"/>
              <w:rPr>
                <w:rFonts w:hint="eastAsia" w:ascii="宋体" w:hAnsi="宋体" w:eastAsia="宋体" w:cs="宋体"/>
                <w:color w:val="000000"/>
                <w:kern w:val="0"/>
                <w:sz w:val="21"/>
                <w:szCs w:val="21"/>
                <w:highlight w:val="yellow"/>
                <w:lang w:bidi="ar"/>
              </w:rPr>
            </w:pPr>
            <w:r>
              <w:rPr>
                <w:rFonts w:hint="eastAsia" w:ascii="宋体" w:hAnsi="宋体" w:cs="宋体"/>
                <w:sz w:val="21"/>
                <w:szCs w:val="21"/>
                <w:highlight w:val="none"/>
                <w:lang w:val="en-US" w:eastAsia="zh-CN"/>
              </w:rPr>
              <w:t>20</w:t>
            </w:r>
          </w:p>
        </w:tc>
        <w:tc>
          <w:tcPr>
            <w:tcW w:w="9145" w:type="dxa"/>
            <w:shd w:val="clear" w:color="auto" w:fill="auto"/>
            <w:vAlign w:val="center"/>
          </w:tcPr>
          <w:p>
            <w:pPr>
              <w:snapToGrid/>
              <w:jc w:val="left"/>
              <w:rPr>
                <w:rFonts w:hint="eastAsia" w:ascii="宋体" w:hAnsi="宋体" w:eastAsia="宋体" w:cs="宋体"/>
                <w:color w:val="000000"/>
                <w:kern w:val="0"/>
                <w:sz w:val="21"/>
                <w:szCs w:val="21"/>
                <w:highlight w:val="yellow"/>
                <w:lang w:eastAsia="zh-CN" w:bidi="ar"/>
              </w:rPr>
            </w:pPr>
            <w:r>
              <w:rPr>
                <w:rFonts w:hint="eastAsia" w:ascii="宋体" w:hAnsi="宋体" w:cs="宋体" w:eastAsiaTheme="minorEastAsia"/>
                <w:b w:val="0"/>
                <w:bCs w:val="0"/>
                <w:sz w:val="21"/>
                <w:szCs w:val="21"/>
                <w:highlight w:val="none"/>
                <w:lang w:val="en-US" w:eastAsia="zh-CN"/>
              </w:rPr>
              <w:t>根据投标人提供的项目施工组织方案的</w:t>
            </w:r>
            <w:r>
              <w:rPr>
                <w:rFonts w:hint="eastAsia" w:ascii="宋体" w:hAnsi="宋体" w:cs="宋体" w:eastAsiaTheme="minorEastAsia"/>
                <w:b w:val="0"/>
                <w:bCs w:val="0"/>
                <w:sz w:val="21"/>
                <w:szCs w:val="21"/>
                <w:highlight w:val="none"/>
              </w:rPr>
              <w:t>可行性、可操作性</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专业性等进行评分</w:t>
            </w:r>
            <w:r>
              <w:rPr>
                <w:rFonts w:hint="eastAsia" w:ascii="宋体" w:hAnsi="宋体" w:cs="宋体" w:eastAsiaTheme="minorEastAsia"/>
                <w:b w:val="0"/>
                <w:bCs w:val="0"/>
                <w:sz w:val="21"/>
                <w:szCs w:val="21"/>
                <w:highlight w:val="none"/>
                <w:lang w:eastAsia="zh-CN"/>
              </w:rPr>
              <w:t>，</w:t>
            </w:r>
            <w:r>
              <w:rPr>
                <w:rFonts w:hint="eastAsia" w:ascii="宋体" w:hAnsi="宋体" w:cs="宋体" w:eastAsiaTheme="minorEastAsia"/>
                <w:b w:val="0"/>
                <w:bCs w:val="0"/>
                <w:sz w:val="21"/>
                <w:szCs w:val="21"/>
                <w:highlight w:val="none"/>
                <w:lang w:val="en-US" w:eastAsia="zh-CN"/>
              </w:rPr>
              <w:t>方案</w:t>
            </w:r>
            <w:r>
              <w:rPr>
                <w:rFonts w:hint="eastAsia" w:ascii="宋体" w:hAnsi="宋体" w:cs="宋体" w:eastAsiaTheme="minorEastAsia"/>
                <w:b w:val="0"/>
                <w:bCs w:val="0"/>
                <w:sz w:val="21"/>
                <w:szCs w:val="21"/>
                <w:highlight w:val="none"/>
                <w:lang w:val="en-US"/>
              </w:rPr>
              <w:t>优秀合理得</w:t>
            </w:r>
            <w:r>
              <w:rPr>
                <w:rFonts w:hint="eastAsia" w:ascii="宋体" w:hAnsi="宋体" w:eastAsia="宋体" w:cs="宋体"/>
                <w:b w:val="0"/>
                <w:bCs w:val="0"/>
                <w:color w:val="auto"/>
                <w:sz w:val="21"/>
                <w:szCs w:val="21"/>
                <w:highlight w:val="none"/>
                <w:lang w:val="en-US" w:eastAsia="zh-CN"/>
              </w:rPr>
              <w:t>[20-15]</w:t>
            </w:r>
            <w:r>
              <w:rPr>
                <w:rFonts w:hint="eastAsia" w:ascii="宋体" w:hAnsi="宋体" w:cs="宋体" w:eastAsiaTheme="minorEastAsia"/>
                <w:b w:val="0"/>
                <w:bCs w:val="0"/>
                <w:sz w:val="21"/>
                <w:szCs w:val="21"/>
                <w:highlight w:val="none"/>
                <w:lang w:val="en-US"/>
              </w:rPr>
              <w:t>分，</w:t>
            </w:r>
            <w:r>
              <w:rPr>
                <w:rFonts w:hint="eastAsia" w:ascii="宋体" w:hAnsi="宋体" w:cs="宋体" w:eastAsiaTheme="minorEastAsia"/>
                <w:b w:val="0"/>
                <w:bCs w:val="0"/>
                <w:sz w:val="21"/>
                <w:szCs w:val="21"/>
                <w:highlight w:val="none"/>
                <w:lang w:val="en-US" w:eastAsia="zh-CN"/>
              </w:rPr>
              <w:t>良好得</w:t>
            </w:r>
            <w:r>
              <w:rPr>
                <w:rFonts w:hint="eastAsia" w:ascii="宋体" w:hAnsi="宋体" w:eastAsia="宋体" w:cs="宋体"/>
                <w:b w:val="0"/>
                <w:bCs w:val="0"/>
                <w:color w:val="auto"/>
                <w:sz w:val="21"/>
                <w:szCs w:val="21"/>
                <w:highlight w:val="none"/>
                <w:lang w:val="en-US" w:eastAsia="zh-CN"/>
              </w:rPr>
              <w:t>[14-8]</w:t>
            </w:r>
            <w:r>
              <w:rPr>
                <w:rFonts w:hint="eastAsia" w:ascii="宋体" w:hAnsi="宋体" w:cs="宋体" w:eastAsiaTheme="minorEastAsia"/>
                <w:b w:val="0"/>
                <w:bCs w:val="0"/>
                <w:sz w:val="21"/>
                <w:szCs w:val="21"/>
                <w:highlight w:val="none"/>
                <w:lang w:val="en-US" w:eastAsia="zh-CN"/>
              </w:rPr>
              <w:t>分，一般得</w:t>
            </w:r>
            <w:r>
              <w:rPr>
                <w:rFonts w:hint="eastAsia" w:ascii="宋体" w:hAnsi="宋体" w:eastAsia="宋体" w:cs="宋体"/>
                <w:b w:val="0"/>
                <w:bCs w:val="0"/>
                <w:color w:val="auto"/>
                <w:sz w:val="21"/>
                <w:szCs w:val="21"/>
                <w:highlight w:val="none"/>
                <w:lang w:val="en-US" w:eastAsia="zh-CN"/>
              </w:rPr>
              <w:t>[7-1]</w:t>
            </w:r>
            <w:r>
              <w:rPr>
                <w:rFonts w:hint="eastAsia" w:ascii="宋体" w:hAnsi="宋体" w:cs="宋体" w:eastAsiaTheme="minorEastAsia"/>
                <w:b w:val="0"/>
                <w:bCs w:val="0"/>
                <w:sz w:val="21"/>
                <w:szCs w:val="21"/>
                <w:highlight w:val="none"/>
                <w:lang w:val="en-US" w:eastAsia="zh-CN"/>
              </w:rPr>
              <w:t>分，</w:t>
            </w:r>
            <w:r>
              <w:rPr>
                <w:rFonts w:hint="eastAsia" w:ascii="宋体" w:hAnsi="宋体" w:cs="宋体"/>
                <w:b w:val="0"/>
                <w:bCs w:val="0"/>
                <w:sz w:val="21"/>
                <w:szCs w:val="21"/>
                <w:highlight w:val="none"/>
                <w:lang w:val="en-US" w:eastAsia="zh-CN"/>
              </w:rPr>
              <w:t>其他</w:t>
            </w:r>
            <w:r>
              <w:rPr>
                <w:rFonts w:hint="eastAsia" w:ascii="宋体" w:hAnsi="宋体" w:cs="宋体" w:eastAsiaTheme="minorEastAsia"/>
                <w:b w:val="0"/>
                <w:bCs w:val="0"/>
                <w:sz w:val="21"/>
                <w:szCs w:val="21"/>
                <w:highlight w:val="none"/>
              </w:rPr>
              <w:t>不得分</w:t>
            </w:r>
            <w:r>
              <w:rPr>
                <w:rFonts w:hint="eastAsia" w:ascii="宋体" w:hAnsi="宋体" w:cs="宋体" w:eastAsiaTheme="minorEastAsia"/>
                <w:b w:val="0"/>
                <w:bCs w:val="0"/>
                <w:sz w:val="21"/>
                <w:szCs w:val="21"/>
                <w:highlight w:val="none"/>
                <w:lang w:eastAsia="zh-CN"/>
              </w:rPr>
              <w:t>。</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质量保障措施</w:t>
            </w:r>
          </w:p>
        </w:tc>
        <w:tc>
          <w:tcPr>
            <w:tcW w:w="709" w:type="dxa"/>
            <w:shd w:val="clear" w:color="auto" w:fill="auto"/>
            <w:vAlign w:val="center"/>
          </w:tcPr>
          <w:p>
            <w:pPr>
              <w:widowControl/>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val="en-US" w:eastAsia="zh-CN"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eastAsia="zh-CN" w:bidi="ar"/>
              </w:rPr>
              <w:t>针对项目物点</w:t>
            </w:r>
            <w:r>
              <w:rPr>
                <w:rFonts w:hint="eastAsia" w:ascii="宋体" w:hAnsi="宋体" w:eastAsia="宋体" w:cs="宋体"/>
                <w:color w:val="000000"/>
                <w:kern w:val="0"/>
                <w:sz w:val="21"/>
                <w:szCs w:val="21"/>
                <w:highlight w:val="none"/>
                <w:lang w:bidi="ar"/>
              </w:rPr>
              <w:t>质量保证措施详细、具体，可行性、可操作性强，得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质量保证措施</w:t>
            </w:r>
            <w:r>
              <w:rPr>
                <w:rFonts w:hint="eastAsia" w:ascii="宋体" w:hAnsi="宋体" w:eastAsia="宋体" w:cs="宋体"/>
                <w:color w:val="000000"/>
                <w:kern w:val="0"/>
                <w:sz w:val="21"/>
                <w:szCs w:val="21"/>
                <w:highlight w:val="none"/>
                <w:lang w:eastAsia="zh-CN" w:bidi="ar"/>
              </w:rPr>
              <w:t>较</w:t>
            </w:r>
            <w:r>
              <w:rPr>
                <w:rFonts w:hint="eastAsia" w:ascii="宋体" w:hAnsi="宋体" w:eastAsia="宋体" w:cs="宋体"/>
                <w:color w:val="000000"/>
                <w:kern w:val="0"/>
                <w:sz w:val="21"/>
                <w:szCs w:val="21"/>
                <w:highlight w:val="none"/>
                <w:lang w:bidi="ar"/>
              </w:rPr>
              <w:t>详细，可行性或可操作性一般，得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643" w:type="dxa"/>
            <w:vMerge w:val="continue"/>
            <w:shd w:val="clear" w:color="auto" w:fill="auto"/>
            <w:vAlign w:val="center"/>
          </w:tcPr>
          <w:p>
            <w:pPr>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widowControl/>
              <w:jc w:val="center"/>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bidi="ar"/>
              </w:rPr>
              <w:t>生产事故应急预案</w:t>
            </w:r>
          </w:p>
        </w:tc>
        <w:tc>
          <w:tcPr>
            <w:tcW w:w="709" w:type="dxa"/>
            <w:shd w:val="clear" w:color="auto" w:fill="auto"/>
            <w:vAlign w:val="center"/>
          </w:tcPr>
          <w:p>
            <w:pPr>
              <w:widowControl/>
              <w:jc w:val="center"/>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000000"/>
                <w:kern w:val="0"/>
                <w:sz w:val="21"/>
                <w:szCs w:val="21"/>
                <w:highlight w:val="none"/>
                <w:lang w:bidi="ar"/>
              </w:rPr>
              <w:t>5</w:t>
            </w:r>
          </w:p>
        </w:tc>
        <w:tc>
          <w:tcPr>
            <w:tcW w:w="9145" w:type="dxa"/>
            <w:shd w:val="clear" w:color="auto" w:fill="auto"/>
            <w:vAlign w:val="center"/>
          </w:tcPr>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生产事故应急预案标准规范，应急处置程序合理，班前培训安排合理，安全措施到位的，得</w:t>
            </w:r>
            <w:r>
              <w:rPr>
                <w:rFonts w:hint="eastAsia" w:ascii="宋体" w:hAnsi="宋体" w:eastAsia="宋体" w:cs="宋体"/>
                <w:b w:val="0"/>
                <w:bCs w:val="0"/>
                <w:color w:val="auto"/>
                <w:sz w:val="21"/>
                <w:szCs w:val="21"/>
                <w:highlight w:val="none"/>
                <w:lang w:val="en-US" w:eastAsia="zh-CN"/>
              </w:rPr>
              <w:t>[5-4]</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000000"/>
                <w:kern w:val="0"/>
                <w:sz w:val="21"/>
                <w:szCs w:val="21"/>
                <w:highlight w:val="none"/>
                <w:lang w:eastAsia="zh-CN" w:bidi="ar"/>
              </w:rPr>
            </w:pPr>
            <w:r>
              <w:rPr>
                <w:rFonts w:hint="eastAsia" w:ascii="宋体" w:hAnsi="宋体" w:eastAsia="宋体" w:cs="宋体"/>
                <w:color w:val="000000"/>
                <w:kern w:val="0"/>
                <w:sz w:val="21"/>
                <w:szCs w:val="21"/>
                <w:highlight w:val="none"/>
                <w:lang w:eastAsia="zh-CN" w:bidi="ar"/>
              </w:rPr>
              <w:t>生产事故应急预案合理，安全教育培训安排或安全措施较完善的，得</w:t>
            </w:r>
            <w:r>
              <w:rPr>
                <w:rFonts w:hint="eastAsia" w:ascii="宋体" w:hAnsi="宋体" w:eastAsia="宋体" w:cs="宋体"/>
                <w:b w:val="0"/>
                <w:bCs w:val="0"/>
                <w:color w:val="auto"/>
                <w:sz w:val="21"/>
                <w:szCs w:val="21"/>
                <w:highlight w:val="none"/>
                <w:lang w:val="en-US" w:eastAsia="zh-CN"/>
              </w:rPr>
              <w:t>[3-1]</w:t>
            </w:r>
            <w:r>
              <w:rPr>
                <w:rFonts w:hint="eastAsia" w:ascii="宋体" w:hAnsi="宋体" w:eastAsia="宋体" w:cs="宋体"/>
                <w:color w:val="000000"/>
                <w:kern w:val="0"/>
                <w:sz w:val="21"/>
                <w:szCs w:val="21"/>
                <w:highlight w:val="none"/>
                <w:lang w:eastAsia="zh-CN" w:bidi="ar"/>
              </w:rPr>
              <w:t>分；</w:t>
            </w:r>
          </w:p>
          <w:p>
            <w:pPr>
              <w:widowControl/>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color w:val="000000"/>
                <w:kern w:val="0"/>
                <w:sz w:val="21"/>
                <w:szCs w:val="21"/>
                <w:highlight w:val="none"/>
                <w:lang w:eastAsia="zh-CN" w:bidi="ar"/>
              </w:rPr>
              <w:t>其他不得分。</w:t>
            </w:r>
          </w:p>
        </w:tc>
        <w:tc>
          <w:tcPr>
            <w:tcW w:w="892"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6" w:hRule="atLeast"/>
          <w:jc w:val="center"/>
        </w:trPr>
        <w:tc>
          <w:tcPr>
            <w:tcW w:w="643"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得分</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spacing w:line="220" w:lineRule="exact"/>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30</w:t>
            </w:r>
          </w:p>
        </w:tc>
        <w:tc>
          <w:tcPr>
            <w:tcW w:w="9145" w:type="dxa"/>
            <w:shd w:val="clear" w:color="auto" w:fill="auto"/>
            <w:vAlign w:val="top"/>
          </w:tcPr>
          <w:p>
            <w:pPr>
              <w:numPr>
                <w:ilvl w:val="0"/>
                <w:numId w:val="0"/>
              </w:numPr>
              <w:snapToGrid w:val="0"/>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以通过符合性审查的</w:t>
            </w:r>
            <w:r>
              <w:rPr>
                <w:rFonts w:hint="eastAsia" w:ascii="宋体" w:hAnsi="宋体" w:eastAsia="宋体" w:cs="宋体"/>
                <w:color w:val="auto"/>
                <w:szCs w:val="21"/>
                <w:highlight w:val="none"/>
                <w:lang w:val="en-US" w:eastAsia="zh-CN"/>
              </w:rPr>
              <w:t>所有</w:t>
            </w:r>
            <w:r>
              <w:rPr>
                <w:rFonts w:hint="eastAsia" w:ascii="宋体" w:hAnsi="宋体" w:eastAsia="宋体" w:cs="宋体"/>
                <w:color w:val="auto"/>
                <w:szCs w:val="21"/>
                <w:highlight w:val="none"/>
                <w:lang w:eastAsia="zh-CN"/>
              </w:rPr>
              <w:t>投标</w:t>
            </w:r>
            <w:r>
              <w:rPr>
                <w:rFonts w:hint="eastAsia" w:ascii="宋体" w:hAnsi="宋体" w:eastAsia="宋体" w:cs="宋体"/>
                <w:color w:val="auto"/>
                <w:szCs w:val="21"/>
                <w:highlight w:val="none"/>
                <w:lang w:val="en-US" w:eastAsia="zh-CN"/>
              </w:rPr>
              <w:t>人</w:t>
            </w:r>
            <w:r>
              <w:rPr>
                <w:rFonts w:hint="eastAsia" w:ascii="宋体" w:hAnsi="宋体" w:eastAsia="宋体" w:cs="宋体"/>
                <w:color w:val="auto"/>
                <w:szCs w:val="21"/>
                <w:highlight w:val="none"/>
                <w:lang w:eastAsia="zh-CN"/>
              </w:rPr>
              <w:t>投标报价的算术平均值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报价等于基准价的，得分=30。</w:t>
            </w:r>
          </w:p>
          <w:p>
            <w:pPr>
              <w:widowControl w:val="0"/>
              <w:numPr>
                <w:ilvl w:val="0"/>
                <w:numId w:val="5"/>
              </w:numPr>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报价高于基准价的，得分=30-[（报价-基准价）/基准价]×100×1</w:t>
            </w:r>
          </w:p>
          <w:p>
            <w:pPr>
              <w:numPr>
                <w:ilvl w:val="0"/>
                <w:numId w:val="0"/>
              </w:numPr>
              <w:snapToGrid w:val="0"/>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3、报价低于基准价的，得分=30-[（基准价-报价）/基准价]×100×0.5</w:t>
            </w:r>
          </w:p>
        </w:tc>
        <w:tc>
          <w:tcPr>
            <w:tcW w:w="892" w:type="dxa"/>
            <w:shd w:val="clear" w:color="auto" w:fill="auto"/>
            <w:vAlign w:val="center"/>
          </w:tcPr>
          <w:p>
            <w:pPr>
              <w:spacing w:line="360" w:lineRule="exact"/>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145" w:type="dxa"/>
            <w:shd w:val="clear" w:color="auto" w:fill="auto"/>
            <w:vAlign w:val="center"/>
          </w:tcPr>
          <w:p>
            <w:pPr>
              <w:spacing w:line="220" w:lineRule="exact"/>
              <w:ind w:left="-2" w:leftChars="-1"/>
              <w:rPr>
                <w:rFonts w:hint="eastAsia" w:ascii="宋体" w:hAnsi="宋体" w:eastAsia="宋体" w:cs="宋体"/>
                <w:color w:val="auto"/>
                <w:sz w:val="21"/>
                <w:szCs w:val="21"/>
                <w:highlight w:val="none"/>
              </w:rPr>
            </w:pPr>
          </w:p>
        </w:tc>
        <w:tc>
          <w:tcPr>
            <w:tcW w:w="892"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420" w:firstLineChars="20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0"/>
        <w:ind w:firstLine="0" w:firstLineChars="0"/>
        <w:rPr>
          <w:rFonts w:hint="eastAsia" w:ascii="宋体" w:hAnsi="宋体" w:eastAsia="宋体" w:cs="宋体"/>
          <w:color w:val="auto"/>
          <w:szCs w:val="21"/>
          <w:highlight w:val="none"/>
          <w:lang w:val="en-US" w:eastAsia="zh-CN"/>
        </w:rPr>
        <w:sectPr>
          <w:pgSz w:w="16838" w:h="11905" w:orient="landscape"/>
          <w:pgMar w:top="1797" w:right="1440" w:bottom="1797" w:left="1440" w:header="720" w:footer="720" w:gutter="0"/>
          <w:pgBorders>
            <w:top w:val="none" w:sz="0" w:space="0"/>
            <w:left w:val="none" w:sz="0" w:space="0"/>
            <w:bottom w:val="none" w:sz="0" w:space="0"/>
            <w:right w:val="none" w:sz="0" w:space="0"/>
          </w:pgBorders>
          <w:cols w:space="0" w:num="1"/>
          <w:rtlGutter w:val="0"/>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71" w:name="_Toc3726"/>
      <w:bookmarkStart w:id="72" w:name="_Toc10992"/>
      <w:bookmarkStart w:id="73" w:name="_Toc26535"/>
      <w:bookmarkStart w:id="74" w:name="_Toc28575"/>
      <w:bookmarkStart w:id="75" w:name="_Toc6977"/>
      <w:bookmarkStart w:id="76" w:name="_Toc2844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71"/>
      <w:bookmarkEnd w:id="72"/>
      <w:bookmarkEnd w:id="73"/>
      <w:bookmarkEnd w:id="74"/>
      <w:bookmarkEnd w:id="75"/>
      <w:bookmarkEnd w:id="76"/>
    </w:p>
    <w:p>
      <w:pPr>
        <w:pStyle w:val="35"/>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 </w:t>
      </w:r>
    </w:p>
    <w:p>
      <w:pPr>
        <w:pStyle w:val="35"/>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s="Times New Roman"/>
          <w:color w:val="auto"/>
          <w:spacing w:val="20"/>
          <w:sz w:val="24"/>
          <w:szCs w:val="22"/>
          <w:highlight w:val="none"/>
          <w:u w:val="single"/>
        </w:rPr>
        <w:t>南沙古人景观提升工程</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5"/>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5"/>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6"/>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5"/>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5"/>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pStyle w:val="4"/>
        <w:rPr>
          <w:rFonts w:hint="default"/>
        </w:rPr>
      </w:pPr>
    </w:p>
    <w:p>
      <w:pPr>
        <w:rPr>
          <w:rFonts w:hint="default"/>
        </w:rPr>
      </w:pPr>
    </w:p>
    <w:p>
      <w:pPr>
        <w:pStyle w:val="2"/>
        <w:rPr>
          <w:rFonts w:hint="default"/>
        </w:rPr>
      </w:pPr>
    </w:p>
    <w:p>
      <w:pPr>
        <w:rPr>
          <w:rFonts w:hint="default"/>
        </w:rPr>
      </w:pP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pPr>
        <w:adjustRightInd w:val="0"/>
        <w:snapToGrid w:val="0"/>
        <w:spacing w:line="360" w:lineRule="auto"/>
        <w:jc w:val="center"/>
        <w:outlineLvl w:val="0"/>
        <w:rPr>
          <w:rFonts w:hint="default" w:ascii="宋体" w:hAnsi="Courier New" w:eastAsia="宋体" w:cs="Times New Roman"/>
          <w:color w:val="auto"/>
          <w:kern w:val="2"/>
          <w:sz w:val="21"/>
          <w:szCs w:val="21"/>
          <w:highlight w:val="none"/>
          <w:lang w:val="en-US" w:eastAsia="zh-CN" w:bidi="ar-SA"/>
        </w:rPr>
      </w:pPr>
      <w:bookmarkStart w:id="77" w:name="_Toc249"/>
      <w:bookmarkStart w:id="78" w:name="_Toc27074"/>
      <w:bookmarkStart w:id="79" w:name="_Toc31006"/>
      <w:r>
        <w:rPr>
          <w:rFonts w:hint="eastAsia" w:ascii="宋体" w:hAnsi="宋体" w:cs="宋体"/>
          <w:b/>
          <w:color w:val="auto"/>
          <w:kern w:val="0"/>
          <w:sz w:val="28"/>
          <w:szCs w:val="28"/>
          <w:highlight w:val="none"/>
        </w:rPr>
        <w:t>投</w:t>
      </w:r>
      <w:r>
        <w:rPr>
          <w:rFonts w:hint="eastAsia" w:ascii="宋体" w:hAnsi="宋体" w:eastAsia="宋体" w:cs="宋体"/>
          <w:b/>
          <w:color w:val="auto"/>
          <w:kern w:val="2"/>
          <w:sz w:val="28"/>
          <w:szCs w:val="28"/>
          <w:highlight w:val="none"/>
        </w:rPr>
        <w:t>标</w:t>
      </w:r>
      <w:r>
        <w:rPr>
          <w:rFonts w:hint="eastAsia" w:ascii="宋体" w:hAnsi="宋体" w:eastAsia="宋体" w:cs="宋体"/>
          <w:b/>
          <w:color w:val="auto"/>
          <w:kern w:val="2"/>
          <w:sz w:val="28"/>
          <w:szCs w:val="28"/>
          <w:highlight w:val="none"/>
          <w:lang w:val="en-US" w:eastAsia="zh-CN"/>
        </w:rPr>
        <w:t>人</w:t>
      </w:r>
      <w:r>
        <w:rPr>
          <w:rFonts w:hint="eastAsia" w:ascii="宋体" w:hAnsi="宋体" w:eastAsia="宋体" w:cs="宋体"/>
          <w:b/>
          <w:bCs w:val="0"/>
          <w:color w:val="auto"/>
          <w:sz w:val="28"/>
          <w:szCs w:val="28"/>
          <w:highlight w:val="none"/>
          <w:lang w:val="en-US" w:eastAsia="zh-CN"/>
        </w:rPr>
        <w:t>无历史法律纠纷</w:t>
      </w:r>
      <w:r>
        <w:rPr>
          <w:rFonts w:hint="eastAsia" w:ascii="宋体" w:hAnsi="宋体" w:eastAsia="宋体" w:cs="宋体"/>
          <w:b/>
          <w:color w:val="auto"/>
          <w:sz w:val="28"/>
          <w:szCs w:val="28"/>
          <w:highlight w:val="none"/>
          <w:lang w:val="en-US" w:eastAsia="zh-CN"/>
        </w:rPr>
        <w:t>承诺</w:t>
      </w:r>
      <w:bookmarkEnd w:id="77"/>
      <w:bookmarkEnd w:id="78"/>
      <w:r>
        <w:rPr>
          <w:rFonts w:hint="eastAsia" w:ascii="宋体" w:hAnsi="宋体" w:eastAsia="宋体" w:cs="宋体"/>
          <w:b/>
          <w:color w:val="auto"/>
          <w:sz w:val="28"/>
          <w:szCs w:val="28"/>
          <w:highlight w:val="none"/>
          <w:lang w:eastAsia="zh-CN"/>
        </w:rPr>
        <w:t>（</w:t>
      </w:r>
      <w:r>
        <w:rPr>
          <w:rFonts w:hint="eastAsia" w:ascii="宋体" w:hAnsi="宋体" w:eastAsia="宋体" w:cs="宋体"/>
          <w:b/>
          <w:color w:val="auto"/>
          <w:sz w:val="28"/>
          <w:szCs w:val="28"/>
          <w:highlight w:val="none"/>
          <w:lang w:val="en-US" w:eastAsia="zh-CN"/>
        </w:rPr>
        <w:t>格式自拟</w:t>
      </w:r>
      <w:r>
        <w:rPr>
          <w:rFonts w:hint="eastAsia" w:ascii="宋体" w:hAnsi="宋体" w:eastAsia="宋体" w:cs="宋体"/>
          <w:b/>
          <w:color w:val="auto"/>
          <w:sz w:val="28"/>
          <w:szCs w:val="28"/>
          <w:highlight w:val="none"/>
          <w:lang w:eastAsia="zh-CN"/>
        </w:rPr>
        <w:t>）</w:t>
      </w:r>
      <w:bookmarkEnd w:id="79"/>
    </w:p>
    <w:p>
      <w:pPr>
        <w:pStyle w:val="2"/>
        <w:rPr>
          <w:rFonts w:hint="default"/>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17DCC9B7"/>
    <w:multiLevelType w:val="singleLevel"/>
    <w:tmpl w:val="17DCC9B7"/>
    <w:lvl w:ilvl="0" w:tentative="0">
      <w:start w:val="2"/>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D549F1"/>
    <w:rsid w:val="01E200EE"/>
    <w:rsid w:val="025A13E2"/>
    <w:rsid w:val="02E9680F"/>
    <w:rsid w:val="02F7533D"/>
    <w:rsid w:val="030457ED"/>
    <w:rsid w:val="03562994"/>
    <w:rsid w:val="03A26EFC"/>
    <w:rsid w:val="03CB6D70"/>
    <w:rsid w:val="04364A4F"/>
    <w:rsid w:val="04376975"/>
    <w:rsid w:val="044C08C6"/>
    <w:rsid w:val="04E40895"/>
    <w:rsid w:val="051B7598"/>
    <w:rsid w:val="052E78DA"/>
    <w:rsid w:val="059A4101"/>
    <w:rsid w:val="06D80118"/>
    <w:rsid w:val="06F55595"/>
    <w:rsid w:val="0753151E"/>
    <w:rsid w:val="07F66A4C"/>
    <w:rsid w:val="083B43B1"/>
    <w:rsid w:val="086E3796"/>
    <w:rsid w:val="08757A2C"/>
    <w:rsid w:val="08A9464F"/>
    <w:rsid w:val="08D505E6"/>
    <w:rsid w:val="09062DA7"/>
    <w:rsid w:val="09577D3C"/>
    <w:rsid w:val="09A667E8"/>
    <w:rsid w:val="0A31358E"/>
    <w:rsid w:val="0A621C44"/>
    <w:rsid w:val="0B372B92"/>
    <w:rsid w:val="0BFF40FB"/>
    <w:rsid w:val="0C26318E"/>
    <w:rsid w:val="0C3E79DE"/>
    <w:rsid w:val="0C855B7E"/>
    <w:rsid w:val="0C87037B"/>
    <w:rsid w:val="0CF74903"/>
    <w:rsid w:val="0E1B10A8"/>
    <w:rsid w:val="0E80564C"/>
    <w:rsid w:val="0EA03B8A"/>
    <w:rsid w:val="0EAC0C18"/>
    <w:rsid w:val="0EB25F9A"/>
    <w:rsid w:val="0F263AB3"/>
    <w:rsid w:val="0F8D0176"/>
    <w:rsid w:val="0FC47A50"/>
    <w:rsid w:val="0FD73768"/>
    <w:rsid w:val="10A4638E"/>
    <w:rsid w:val="10D83B3D"/>
    <w:rsid w:val="110F0848"/>
    <w:rsid w:val="11135DC8"/>
    <w:rsid w:val="11D31BC3"/>
    <w:rsid w:val="11F528ED"/>
    <w:rsid w:val="12E86716"/>
    <w:rsid w:val="130F5872"/>
    <w:rsid w:val="134A310C"/>
    <w:rsid w:val="13575D9D"/>
    <w:rsid w:val="13E640E2"/>
    <w:rsid w:val="13E744B7"/>
    <w:rsid w:val="14082F52"/>
    <w:rsid w:val="14085DAD"/>
    <w:rsid w:val="14233C6D"/>
    <w:rsid w:val="14452035"/>
    <w:rsid w:val="1448567A"/>
    <w:rsid w:val="145B3800"/>
    <w:rsid w:val="15B036FB"/>
    <w:rsid w:val="16007AF5"/>
    <w:rsid w:val="17463991"/>
    <w:rsid w:val="179E3273"/>
    <w:rsid w:val="17E977C8"/>
    <w:rsid w:val="182F7385"/>
    <w:rsid w:val="1873680D"/>
    <w:rsid w:val="18E67433"/>
    <w:rsid w:val="18F12637"/>
    <w:rsid w:val="19095239"/>
    <w:rsid w:val="19A846E9"/>
    <w:rsid w:val="19BE3F0C"/>
    <w:rsid w:val="1A6525DA"/>
    <w:rsid w:val="1AAB26E2"/>
    <w:rsid w:val="1AB46DAB"/>
    <w:rsid w:val="1B6C2995"/>
    <w:rsid w:val="1BB630ED"/>
    <w:rsid w:val="1BC44893"/>
    <w:rsid w:val="1BE136FF"/>
    <w:rsid w:val="1C05708F"/>
    <w:rsid w:val="1C307374"/>
    <w:rsid w:val="1C9203A6"/>
    <w:rsid w:val="1CC4110C"/>
    <w:rsid w:val="1E032835"/>
    <w:rsid w:val="1E562810"/>
    <w:rsid w:val="1EA77066"/>
    <w:rsid w:val="1EBD45C4"/>
    <w:rsid w:val="1F180524"/>
    <w:rsid w:val="1F1C5732"/>
    <w:rsid w:val="1F584BD1"/>
    <w:rsid w:val="205D447F"/>
    <w:rsid w:val="206E043A"/>
    <w:rsid w:val="20AD4C4C"/>
    <w:rsid w:val="21424D60"/>
    <w:rsid w:val="215321ED"/>
    <w:rsid w:val="224A02E7"/>
    <w:rsid w:val="227411DF"/>
    <w:rsid w:val="23274CAE"/>
    <w:rsid w:val="23EE6B47"/>
    <w:rsid w:val="24856237"/>
    <w:rsid w:val="25053D8A"/>
    <w:rsid w:val="25687B33"/>
    <w:rsid w:val="25791876"/>
    <w:rsid w:val="26236584"/>
    <w:rsid w:val="26826F29"/>
    <w:rsid w:val="26B94C66"/>
    <w:rsid w:val="26FF6942"/>
    <w:rsid w:val="272101A5"/>
    <w:rsid w:val="272B74FA"/>
    <w:rsid w:val="2751149E"/>
    <w:rsid w:val="2837076A"/>
    <w:rsid w:val="2865301D"/>
    <w:rsid w:val="28C86C87"/>
    <w:rsid w:val="29051210"/>
    <w:rsid w:val="296119D7"/>
    <w:rsid w:val="2A0F0C91"/>
    <w:rsid w:val="2A751DA9"/>
    <w:rsid w:val="2A97100B"/>
    <w:rsid w:val="2B401296"/>
    <w:rsid w:val="2BAE6875"/>
    <w:rsid w:val="2BEC17AE"/>
    <w:rsid w:val="2C0B6D4E"/>
    <w:rsid w:val="2C1B0D4A"/>
    <w:rsid w:val="2C5357E2"/>
    <w:rsid w:val="2D0635AD"/>
    <w:rsid w:val="2D594220"/>
    <w:rsid w:val="2D691CC1"/>
    <w:rsid w:val="2D907150"/>
    <w:rsid w:val="2DDB1EBF"/>
    <w:rsid w:val="2DE71DA9"/>
    <w:rsid w:val="2DF963B5"/>
    <w:rsid w:val="2E6C5CB5"/>
    <w:rsid w:val="2EC40C57"/>
    <w:rsid w:val="2EE433BF"/>
    <w:rsid w:val="2F9B6BBA"/>
    <w:rsid w:val="2FEA73B1"/>
    <w:rsid w:val="30136E93"/>
    <w:rsid w:val="301D1535"/>
    <w:rsid w:val="30334755"/>
    <w:rsid w:val="30EC6390"/>
    <w:rsid w:val="311233CC"/>
    <w:rsid w:val="312A4AF2"/>
    <w:rsid w:val="31B57180"/>
    <w:rsid w:val="33113670"/>
    <w:rsid w:val="34935BA4"/>
    <w:rsid w:val="34A264CA"/>
    <w:rsid w:val="35830B03"/>
    <w:rsid w:val="36C3158B"/>
    <w:rsid w:val="3700775A"/>
    <w:rsid w:val="37A26BD4"/>
    <w:rsid w:val="37AE7FE3"/>
    <w:rsid w:val="38417D8A"/>
    <w:rsid w:val="38D8389C"/>
    <w:rsid w:val="390B4D39"/>
    <w:rsid w:val="39731517"/>
    <w:rsid w:val="397677B8"/>
    <w:rsid w:val="398D521C"/>
    <w:rsid w:val="39F52602"/>
    <w:rsid w:val="39FC703A"/>
    <w:rsid w:val="3AC802EF"/>
    <w:rsid w:val="3B183024"/>
    <w:rsid w:val="3B6D4312"/>
    <w:rsid w:val="3BB718A6"/>
    <w:rsid w:val="3BC04127"/>
    <w:rsid w:val="3C88543E"/>
    <w:rsid w:val="3CB7521C"/>
    <w:rsid w:val="3CE76215"/>
    <w:rsid w:val="3CFF0303"/>
    <w:rsid w:val="3D7619F9"/>
    <w:rsid w:val="3D957982"/>
    <w:rsid w:val="3D96007A"/>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75970"/>
    <w:rsid w:val="436C5E0D"/>
    <w:rsid w:val="43F36E83"/>
    <w:rsid w:val="44631084"/>
    <w:rsid w:val="446A549B"/>
    <w:rsid w:val="44800368"/>
    <w:rsid w:val="44E811C0"/>
    <w:rsid w:val="45813EBC"/>
    <w:rsid w:val="45E74C1B"/>
    <w:rsid w:val="46871AD6"/>
    <w:rsid w:val="47025D0E"/>
    <w:rsid w:val="4735560E"/>
    <w:rsid w:val="47413F22"/>
    <w:rsid w:val="4792678F"/>
    <w:rsid w:val="47B823E7"/>
    <w:rsid w:val="47E03B89"/>
    <w:rsid w:val="481D5A38"/>
    <w:rsid w:val="487975A7"/>
    <w:rsid w:val="487B4BF3"/>
    <w:rsid w:val="48E17BF2"/>
    <w:rsid w:val="48E72086"/>
    <w:rsid w:val="49732ED5"/>
    <w:rsid w:val="499C01CA"/>
    <w:rsid w:val="49EF5898"/>
    <w:rsid w:val="4A1079FD"/>
    <w:rsid w:val="4A1D620C"/>
    <w:rsid w:val="4AED722D"/>
    <w:rsid w:val="4B3D40BA"/>
    <w:rsid w:val="4BC136D0"/>
    <w:rsid w:val="4BED4059"/>
    <w:rsid w:val="4BF328A0"/>
    <w:rsid w:val="4C2E17B4"/>
    <w:rsid w:val="4C81677F"/>
    <w:rsid w:val="4D195C1E"/>
    <w:rsid w:val="4D904DD7"/>
    <w:rsid w:val="4D9C287D"/>
    <w:rsid w:val="4DA740D9"/>
    <w:rsid w:val="4DC04FA6"/>
    <w:rsid w:val="4DC53F66"/>
    <w:rsid w:val="4E0143C1"/>
    <w:rsid w:val="4E2A0E48"/>
    <w:rsid w:val="4E8F711F"/>
    <w:rsid w:val="4F363758"/>
    <w:rsid w:val="4FC47DBE"/>
    <w:rsid w:val="4FC91A1A"/>
    <w:rsid w:val="4FC926E8"/>
    <w:rsid w:val="5049448C"/>
    <w:rsid w:val="506B19F1"/>
    <w:rsid w:val="50A21AC0"/>
    <w:rsid w:val="50DB6247"/>
    <w:rsid w:val="51531E87"/>
    <w:rsid w:val="51552F81"/>
    <w:rsid w:val="51AB2104"/>
    <w:rsid w:val="525A7F6F"/>
    <w:rsid w:val="52760C06"/>
    <w:rsid w:val="52976ACD"/>
    <w:rsid w:val="530E35F9"/>
    <w:rsid w:val="53427976"/>
    <w:rsid w:val="53A07C03"/>
    <w:rsid w:val="53A63423"/>
    <w:rsid w:val="53B638D1"/>
    <w:rsid w:val="54386D63"/>
    <w:rsid w:val="54A36172"/>
    <w:rsid w:val="54A50B29"/>
    <w:rsid w:val="54BC0EE8"/>
    <w:rsid w:val="550C7ECD"/>
    <w:rsid w:val="55D41C4B"/>
    <w:rsid w:val="5702252D"/>
    <w:rsid w:val="572444C0"/>
    <w:rsid w:val="576D49E8"/>
    <w:rsid w:val="57B957CF"/>
    <w:rsid w:val="594F1692"/>
    <w:rsid w:val="59566C52"/>
    <w:rsid w:val="597674DD"/>
    <w:rsid w:val="5A3D5DD4"/>
    <w:rsid w:val="5A416E84"/>
    <w:rsid w:val="5AAF5CCA"/>
    <w:rsid w:val="5B6E68B8"/>
    <w:rsid w:val="5B6F6839"/>
    <w:rsid w:val="5B8D6C19"/>
    <w:rsid w:val="5BAA698D"/>
    <w:rsid w:val="5BCE61FA"/>
    <w:rsid w:val="5C9B134E"/>
    <w:rsid w:val="5D5E6B65"/>
    <w:rsid w:val="5DAA1580"/>
    <w:rsid w:val="5DF14932"/>
    <w:rsid w:val="5DFF04E8"/>
    <w:rsid w:val="5E1A6FB5"/>
    <w:rsid w:val="5E7A3CE2"/>
    <w:rsid w:val="5E960581"/>
    <w:rsid w:val="5F355496"/>
    <w:rsid w:val="5F8349F8"/>
    <w:rsid w:val="5F865CD7"/>
    <w:rsid w:val="5F925D77"/>
    <w:rsid w:val="5FDC4484"/>
    <w:rsid w:val="60BA0556"/>
    <w:rsid w:val="60F61E20"/>
    <w:rsid w:val="61A7533B"/>
    <w:rsid w:val="621244D5"/>
    <w:rsid w:val="62B2296D"/>
    <w:rsid w:val="62B247EF"/>
    <w:rsid w:val="636147EE"/>
    <w:rsid w:val="63DB6B9E"/>
    <w:rsid w:val="65640A91"/>
    <w:rsid w:val="65A672FB"/>
    <w:rsid w:val="65B441A4"/>
    <w:rsid w:val="65CA6878"/>
    <w:rsid w:val="65D8147F"/>
    <w:rsid w:val="66373494"/>
    <w:rsid w:val="66591B82"/>
    <w:rsid w:val="68550B65"/>
    <w:rsid w:val="6898637C"/>
    <w:rsid w:val="68B16D7B"/>
    <w:rsid w:val="68BA7003"/>
    <w:rsid w:val="691C25EA"/>
    <w:rsid w:val="698555C7"/>
    <w:rsid w:val="69AA3132"/>
    <w:rsid w:val="6C281E78"/>
    <w:rsid w:val="6C307E68"/>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712518"/>
    <w:rsid w:val="738A0204"/>
    <w:rsid w:val="738E7AB2"/>
    <w:rsid w:val="73C979D4"/>
    <w:rsid w:val="73EF0074"/>
    <w:rsid w:val="74624F7D"/>
    <w:rsid w:val="74AF5AA0"/>
    <w:rsid w:val="74B72A06"/>
    <w:rsid w:val="751D0C5C"/>
    <w:rsid w:val="7546516B"/>
    <w:rsid w:val="75AF555B"/>
    <w:rsid w:val="763204BA"/>
    <w:rsid w:val="767D2F83"/>
    <w:rsid w:val="76F3488A"/>
    <w:rsid w:val="77281C38"/>
    <w:rsid w:val="77326302"/>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2"/>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alloon Text"/>
    <w:basedOn w:val="1"/>
    <w:link w:val="30"/>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8"/>
    <w:link w:val="33"/>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1">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qFormat/>
    <w:uiPriority w:val="0"/>
    <w:pPr>
      <w:ind w:firstLine="420" w:firstLineChars="200"/>
    </w:pPr>
    <w:rPr>
      <w:rFonts w:ascii="Calibri" w:hAnsi="Calibri" w:eastAsia="宋体" w:cs="Times New Roman"/>
      <w:szCs w:val="21"/>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qFormat/>
    <w:uiPriority w:val="0"/>
    <w:rPr>
      <w:rFonts w:hint="default" w:ascii="Times New Roman" w:hAnsi="Times New Roman" w:cs="Times New Roman"/>
    </w:rPr>
  </w:style>
  <w:style w:type="character" w:customStyle="1" w:styleId="26">
    <w:name w:val="15"/>
    <w:basedOn w:val="15"/>
    <w:qFormat/>
    <w:uiPriority w:val="0"/>
    <w:rPr>
      <w:rFonts w:hint="default" w:ascii="Times New Roman" w:hAnsi="Times New Roman" w:cs="Times New Roman"/>
    </w:rPr>
  </w:style>
  <w:style w:type="character" w:customStyle="1" w:styleId="27">
    <w:name w:val="16"/>
    <w:basedOn w:val="15"/>
    <w:qFormat/>
    <w:uiPriority w:val="0"/>
    <w:rPr>
      <w:rFonts w:hint="default" w:ascii="Times New Roman" w:hAnsi="Times New Roman" w:cs="Times New Roman"/>
      <w:color w:val="0000FF"/>
      <w:u w:val="single"/>
    </w:rPr>
  </w:style>
  <w:style w:type="character" w:customStyle="1" w:styleId="28">
    <w:name w:val="页眉 Char"/>
    <w:basedOn w:val="15"/>
    <w:link w:val="11"/>
    <w:qFormat/>
    <w:uiPriority w:val="0"/>
    <w:rPr>
      <w:rFonts w:asciiTheme="minorHAnsi" w:hAnsiTheme="minorHAnsi" w:eastAsiaTheme="minorEastAsia" w:cstheme="minorBidi"/>
      <w:kern w:val="2"/>
      <w:sz w:val="18"/>
      <w:szCs w:val="18"/>
    </w:rPr>
  </w:style>
  <w:style w:type="character" w:customStyle="1" w:styleId="29">
    <w:name w:val="页脚 Char"/>
    <w:basedOn w:val="15"/>
    <w:link w:val="10"/>
    <w:qFormat/>
    <w:uiPriority w:val="0"/>
    <w:rPr>
      <w:rFonts w:asciiTheme="minorHAnsi" w:hAnsiTheme="minorHAnsi" w:eastAsiaTheme="minorEastAsia" w:cstheme="minorBidi"/>
      <w:kern w:val="2"/>
      <w:sz w:val="18"/>
      <w:szCs w:val="18"/>
    </w:rPr>
  </w:style>
  <w:style w:type="character" w:customStyle="1" w:styleId="30">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纯文本 Char"/>
    <w:link w:val="2"/>
    <w:qFormat/>
    <w:uiPriority w:val="0"/>
    <w:rPr>
      <w:rFonts w:ascii="宋体" w:hAnsi="Courier New"/>
      <w:kern w:val="2"/>
      <w:sz w:val="21"/>
      <w:szCs w:val="21"/>
    </w:rPr>
  </w:style>
  <w:style w:type="character" w:customStyle="1" w:styleId="33">
    <w:name w:val="正文首行缩进 Char"/>
    <w:basedOn w:val="15"/>
    <w:link w:val="13"/>
    <w:qFormat/>
    <w:uiPriority w:val="0"/>
    <w:rPr>
      <w:kern w:val="2"/>
      <w:sz w:val="21"/>
      <w:szCs w:val="21"/>
    </w:rPr>
  </w:style>
  <w:style w:type="paragraph" w:styleId="34">
    <w:name w:val="List Paragraph"/>
    <w:basedOn w:val="1"/>
    <w:unhideWhenUsed/>
    <w:qFormat/>
    <w:uiPriority w:val="99"/>
    <w:pPr>
      <w:ind w:firstLine="420" w:firstLineChars="200"/>
    </w:pPr>
  </w:style>
  <w:style w:type="paragraph" w:customStyle="1" w:styleId="35">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qFormat/>
    <w:uiPriority w:val="0"/>
    <w:pPr>
      <w:ind w:left="4094" w:right="607" w:firstLine="0"/>
      <w:jc w:val="center"/>
    </w:pPr>
  </w:style>
  <w:style w:type="character" w:customStyle="1" w:styleId="37">
    <w:name w:val="c Char1"/>
    <w:link w:val="38"/>
    <w:qFormat/>
    <w:uiPriority w:val="0"/>
    <w:rPr>
      <w:rFonts w:eastAsia="仿宋_GB2312" w:cs="宋体"/>
      <w:sz w:val="28"/>
    </w:rPr>
  </w:style>
  <w:style w:type="paragraph" w:customStyle="1" w:styleId="38">
    <w:name w:val="c"/>
    <w:basedOn w:val="1"/>
    <w:link w:val="37"/>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14773</Words>
  <Characters>15590</Characters>
  <Lines>131</Lines>
  <Paragraphs>37</Paragraphs>
  <TotalTime>95</TotalTime>
  <ScaleCrop>false</ScaleCrop>
  <LinksUpToDate>false</LinksUpToDate>
  <CharactersWithSpaces>16612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momo</cp:lastModifiedBy>
  <cp:lastPrinted>2023-06-20T07:49:53Z</cp:lastPrinted>
  <dcterms:modified xsi:type="dcterms:W3CDTF">2023-06-20T07:56:31Z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736AC6F2F06A477EB7B9BDB60653BBC3_13</vt:lpwstr>
  </property>
</Properties>
</file>