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jc w:val="center"/>
        <w:rPr>
          <w:rFonts w:ascii="宋体" w:hAnsi="宋体" w:eastAsia="宋体" w:cs="宋体"/>
          <w:color w:val="auto"/>
          <w:sz w:val="72"/>
          <w:szCs w:val="72"/>
          <w:highlight w:val="none"/>
        </w:rPr>
      </w:pPr>
      <w:r>
        <w:rPr>
          <w:rFonts w:hint="eastAsia" w:ascii="宋体" w:hAnsi="宋体" w:eastAsia="宋体" w:cs="宋体"/>
          <w:b/>
          <w:color w:val="auto"/>
          <w:sz w:val="72"/>
          <w:szCs w:val="72"/>
          <w:highlight w:val="none"/>
          <w:lang w:eastAsia="zh-CN"/>
        </w:rPr>
        <w:t>天后宫灯光亮化、古街项目招标代理服务</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广州南沙建设维护管理有限公司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w:t>
      </w:r>
      <w:r>
        <w:rPr>
          <w:rFonts w:hint="eastAsia" w:ascii="宋体" w:hAnsi="宋体" w:eastAsia="宋体" w:cs="宋体"/>
          <w:b/>
          <w:color w:val="auto"/>
          <w:sz w:val="32"/>
          <w:szCs w:val="32"/>
          <w:highlight w:val="none"/>
          <w:lang w:eastAsia="zh-CN"/>
        </w:rPr>
        <w:t>2023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hint="eastAsia"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5</w:t>
          </w:r>
        </w:p>
        <w:p>
          <w:pPr>
            <w:pStyle w:val="13"/>
            <w:tabs>
              <w:tab w:val="right" w:leader="dot" w:pos="9419"/>
            </w:tabs>
            <w:rPr>
              <w:rFonts w:hint="eastAsia"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6</w:t>
          </w:r>
        </w:p>
        <w:p>
          <w:pPr>
            <w:pStyle w:val="13"/>
            <w:tabs>
              <w:tab w:val="right" w:leader="dot" w:pos="9419"/>
            </w:tabs>
            <w:rPr>
              <w:rFonts w:hint="default"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27</w:t>
          </w:r>
        </w:p>
        <w:p>
          <w:pPr>
            <w:pStyle w:val="13"/>
            <w:tabs>
              <w:tab w:val="right" w:leader="dot" w:pos="9419"/>
            </w:tabs>
            <w:rPr>
              <w:rFonts w:hint="eastAsia"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4</w:t>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2"/>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天后宫灯光亮化、古街项目招标代理服务</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2"/>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 w:val="21"/>
                <w:szCs w:val="21"/>
                <w:highlight w:val="none"/>
              </w:rPr>
              <w:t>广州市南沙区</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1"/>
                <w:numId w:val="0"/>
              </w:numPr>
              <w:spacing w:line="360" w:lineRule="auto"/>
              <w:ind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b w:val="0"/>
                <w:bCs w:val="0"/>
                <w:color w:val="auto"/>
                <w:sz w:val="21"/>
                <w:szCs w:val="21"/>
                <w:highlight w:val="none"/>
                <w:u w:val="none"/>
                <w:lang w:val="en-US" w:eastAsia="zh-CN"/>
              </w:rPr>
              <w:t>南沙天后宫夜经济灯光亮化及配套项目：</w:t>
            </w:r>
            <w:r>
              <w:rPr>
                <w:rFonts w:hint="eastAsia" w:ascii="宋体" w:hAnsi="宋体" w:eastAsia="宋体" w:cs="宋体"/>
                <w:color w:val="auto"/>
                <w:sz w:val="21"/>
                <w:szCs w:val="21"/>
                <w:highlight w:val="none"/>
                <w:lang w:val="en-US" w:eastAsia="zh-CN"/>
              </w:rPr>
              <w:t>项目位于广州市南沙区天后宫景区内，建设内容包括天后宫景区灯光亮化以及天后广场</w:t>
            </w:r>
            <w:r>
              <w:rPr>
                <w:rFonts w:hint="eastAsia" w:ascii="宋体" w:hAnsi="宋体" w:eastAsia="宋体" w:cs="宋体"/>
                <w:color w:val="auto"/>
                <w:sz w:val="21"/>
                <w:szCs w:val="21"/>
                <w:highlight w:val="none"/>
              </w:rPr>
              <w:t>妈祖舞台</w:t>
            </w:r>
            <w:r>
              <w:rPr>
                <w:rFonts w:hint="eastAsia" w:ascii="宋体" w:hAnsi="宋体" w:eastAsia="宋体" w:cs="宋体"/>
                <w:color w:val="auto"/>
                <w:sz w:val="21"/>
                <w:szCs w:val="21"/>
                <w:highlight w:val="none"/>
                <w:lang w:val="en-US" w:eastAsia="zh-CN"/>
              </w:rPr>
              <w:t>提升，通过进一步进行景区整体灯光亮化提升，</w:t>
            </w:r>
            <w:r>
              <w:rPr>
                <w:rFonts w:hint="eastAsia" w:ascii="宋体" w:hAnsi="宋体" w:eastAsia="宋体" w:cs="宋体"/>
                <w:b w:val="0"/>
                <w:bCs w:val="0"/>
                <w:color w:val="auto"/>
                <w:spacing w:val="0"/>
                <w:kern w:val="2"/>
                <w:sz w:val="21"/>
                <w:szCs w:val="21"/>
                <w:highlight w:val="none"/>
                <w:lang w:val="en-US" w:eastAsia="zh-CN" w:bidi="ar-SA"/>
              </w:rPr>
              <w:t>以数字科技手段创新演绎优秀传统文化，打造粤港澳大湾区夜间滨海休闲文旅标杆</w:t>
            </w:r>
            <w:r>
              <w:rPr>
                <w:rFonts w:hint="eastAsia" w:ascii="宋体" w:hAnsi="宋体" w:eastAsia="宋体" w:cs="宋体"/>
                <w:color w:val="auto"/>
                <w:sz w:val="21"/>
                <w:szCs w:val="21"/>
                <w:highlight w:val="none"/>
                <w:lang w:val="en-US" w:eastAsia="zh-CN"/>
              </w:rPr>
              <w:t>。</w:t>
            </w:r>
          </w:p>
          <w:p>
            <w:pPr>
              <w:widowControl w:val="0"/>
              <w:numPr>
                <w:ilvl w:val="-1"/>
                <w:numId w:val="0"/>
              </w:numPr>
              <w:spacing w:line="360" w:lineRule="auto"/>
              <w:ind w:firstLine="0" w:firstLineChars="0"/>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 w:val="0"/>
                <w:bCs w:val="0"/>
                <w:color w:val="auto"/>
                <w:sz w:val="21"/>
                <w:szCs w:val="21"/>
                <w:highlight w:val="none"/>
                <w:u w:val="none"/>
                <w:lang w:val="en-US" w:eastAsia="zh-CN"/>
              </w:rPr>
              <w:t>南沙天后墟商业古街项目：</w:t>
            </w:r>
            <w:r>
              <w:rPr>
                <w:rFonts w:hint="eastAsia" w:ascii="宋体" w:hAnsi="宋体" w:eastAsia="宋体" w:cs="宋体"/>
                <w:color w:val="auto"/>
                <w:sz w:val="21"/>
                <w:szCs w:val="21"/>
                <w:highlight w:val="none"/>
                <w:lang w:val="en-US" w:eastAsia="zh-CN"/>
              </w:rPr>
              <w:t>项目位于广州市南沙区天后宫景区内，</w:t>
            </w:r>
            <w:r>
              <w:rPr>
                <w:rFonts w:hint="eastAsia" w:ascii="宋体" w:hAnsi="宋体" w:eastAsia="宋体" w:cs="宋体"/>
                <w:color w:val="auto"/>
                <w:sz w:val="21"/>
                <w:szCs w:val="21"/>
                <w:highlight w:val="none"/>
                <w:lang w:eastAsia="zh-CN"/>
              </w:rPr>
              <w:t>为进一步盘活天后宫景区资源，完善景区配套，丰富景区业态，提升景区经济效益，项目</w:t>
            </w:r>
            <w:r>
              <w:rPr>
                <w:rFonts w:hint="eastAsia" w:ascii="宋体" w:hAnsi="宋体" w:eastAsia="宋体" w:cs="宋体"/>
                <w:color w:val="auto"/>
                <w:sz w:val="21"/>
                <w:szCs w:val="21"/>
                <w:highlight w:val="none"/>
                <w:lang w:val="en-US" w:eastAsia="zh-CN"/>
              </w:rPr>
              <w:t>拟利用天后宫景区东南侧地块打造商业古街，建设内容包括：妈祖会馆、商业建筑（临时性可移动）、西门门楼建筑、东门门楼建筑、古街主干道、园路、停车场等。</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招标代理服务费</w:t>
            </w:r>
            <w:r>
              <w:rPr>
                <w:rFonts w:hint="eastAsia" w:ascii="宋体" w:hAnsi="宋体" w:eastAsia="宋体" w:cs="宋体"/>
                <w:color w:val="auto"/>
                <w:sz w:val="21"/>
                <w:szCs w:val="21"/>
                <w:highlight w:val="none"/>
                <w:lang w:eastAsia="zh-CN"/>
              </w:rPr>
              <w:t>结算价</w:t>
            </w:r>
            <w:r>
              <w:rPr>
                <w:rFonts w:hint="eastAsia" w:ascii="宋体" w:hAnsi="宋体" w:eastAsia="宋体" w:cs="宋体"/>
                <w:color w:val="auto"/>
                <w:sz w:val="21"/>
                <w:szCs w:val="21"/>
                <w:highlight w:val="none"/>
                <w:lang w:val="en-US" w:eastAsia="zh-CN"/>
              </w:rPr>
              <w:t>参照</w:t>
            </w:r>
            <w:r>
              <w:rPr>
                <w:rFonts w:hint="eastAsia" w:ascii="宋体" w:hAnsi="宋体" w:eastAsia="宋体" w:cs="宋体"/>
                <w:b w:val="0"/>
                <w:bCs w:val="0"/>
                <w:color w:val="auto"/>
                <w:sz w:val="21"/>
                <w:szCs w:val="21"/>
                <w:highlight w:val="none"/>
                <w:lang w:val="en-US" w:eastAsia="zh-CN"/>
              </w:rPr>
              <w:t>《招标代理服务收费管理暂行办法》（计价格[2002]1980号）和《国家发展改革委关于降低部分建设项目收费标准规范收费行为等有关问题的通知》（发改价格[2011]534号）</w:t>
            </w:r>
            <w:r>
              <w:rPr>
                <w:rFonts w:hint="eastAsia" w:ascii="宋体" w:hAnsi="宋体" w:eastAsia="宋体" w:cs="宋体"/>
                <w:color w:val="auto"/>
                <w:sz w:val="21"/>
                <w:szCs w:val="21"/>
                <w:highlight w:val="none"/>
                <w:lang w:eastAsia="zh-CN"/>
              </w:rPr>
              <w:t>为</w:t>
            </w:r>
            <w:r>
              <w:rPr>
                <w:rFonts w:hint="eastAsia" w:ascii="宋体" w:hAnsi="宋体" w:eastAsia="宋体" w:cs="宋体"/>
                <w:color w:val="auto"/>
                <w:sz w:val="21"/>
                <w:szCs w:val="21"/>
                <w:highlight w:val="none"/>
              </w:rPr>
              <w:t>收费标准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以代理招标项目的</w:t>
            </w:r>
            <w:r>
              <w:rPr>
                <w:rFonts w:hint="eastAsia" w:ascii="宋体" w:hAnsi="宋体" w:eastAsia="宋体" w:cs="宋体"/>
                <w:color w:val="auto"/>
                <w:sz w:val="21"/>
                <w:szCs w:val="21"/>
                <w:highlight w:val="none"/>
              </w:rPr>
              <w:t>中标金额</w:t>
            </w:r>
            <w:r>
              <w:rPr>
                <w:rFonts w:hint="eastAsia" w:ascii="宋体" w:hAnsi="宋体" w:eastAsia="宋体" w:cs="宋体"/>
                <w:color w:val="auto"/>
                <w:sz w:val="21"/>
                <w:szCs w:val="21"/>
                <w:highlight w:val="none"/>
                <w:lang w:eastAsia="zh-CN"/>
              </w:rPr>
              <w:t>为计费</w:t>
            </w:r>
            <w:r>
              <w:rPr>
                <w:rFonts w:hint="eastAsia" w:ascii="宋体" w:hAnsi="宋体" w:eastAsia="宋体" w:cs="宋体"/>
                <w:color w:val="auto"/>
                <w:sz w:val="21"/>
                <w:szCs w:val="21"/>
                <w:highlight w:val="none"/>
                <w:lang w:val="en-US" w:eastAsia="zh-CN"/>
              </w:rPr>
              <w:t>基数，</w:t>
            </w:r>
            <w:r>
              <w:rPr>
                <w:rFonts w:hint="eastAsia" w:ascii="宋体" w:hAnsi="宋体" w:eastAsia="宋体" w:cs="宋体"/>
                <w:color w:val="auto"/>
                <w:sz w:val="21"/>
                <w:szCs w:val="21"/>
                <w:highlight w:val="none"/>
              </w:rPr>
              <w:t>按差额定率累进法计算</w:t>
            </w:r>
            <w:r>
              <w:rPr>
                <w:rFonts w:hint="eastAsia" w:ascii="宋体" w:hAnsi="宋体" w:eastAsia="宋体" w:cs="宋体"/>
                <w:color w:val="auto"/>
                <w:sz w:val="21"/>
                <w:szCs w:val="21"/>
                <w:highlight w:val="none"/>
                <w:lang w:eastAsia="zh-CN"/>
              </w:rPr>
              <w:t>得出招标代理收费基准价格，</w:t>
            </w:r>
            <w:r>
              <w:rPr>
                <w:rFonts w:hint="eastAsia" w:ascii="宋体" w:hAnsi="宋体" w:eastAsia="宋体" w:cs="宋体"/>
                <w:color w:val="auto"/>
                <w:sz w:val="21"/>
                <w:szCs w:val="21"/>
                <w:highlight w:val="none"/>
                <w:lang w:val="en-US" w:eastAsia="zh-CN"/>
              </w:rPr>
              <w:t>然后结合中标下浮率计算得出最终结算费用，最终结算费用不超过招标代理费用中标价，超过则按中标价结算。</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0"/>
              </w:numPr>
              <w:spacing w:line="360" w:lineRule="auto"/>
              <w:ind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b w:val="0"/>
                <w:bCs w:val="0"/>
                <w:color w:val="auto"/>
                <w:sz w:val="21"/>
                <w:szCs w:val="21"/>
                <w:highlight w:val="none"/>
                <w:u w:val="none"/>
                <w:lang w:val="en-US" w:eastAsia="zh-CN"/>
              </w:rPr>
              <w:t>南沙天后宫夜经济灯光亮化及配套项目：</w:t>
            </w:r>
            <w:r>
              <w:rPr>
                <w:rFonts w:hint="eastAsia" w:ascii="宋体" w:hAnsi="宋体" w:eastAsia="宋体" w:cs="宋体"/>
                <w:b w:val="0"/>
                <w:bCs w:val="0"/>
                <w:color w:val="auto"/>
                <w:spacing w:val="0"/>
                <w:kern w:val="2"/>
                <w:sz w:val="21"/>
                <w:szCs w:val="21"/>
                <w:highlight w:val="none"/>
                <w:lang w:val="en-US" w:eastAsia="zh-CN" w:bidi="ar-SA"/>
              </w:rPr>
              <w:t>总投资</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lang w:val="en-US" w:eastAsia="zh-CN"/>
              </w:rPr>
              <w:t>1650万元。</w:t>
            </w:r>
          </w:p>
          <w:p>
            <w:pPr>
              <w:widowControl w:val="0"/>
              <w:numPr>
                <w:ilvl w:val="0"/>
                <w:numId w:val="0"/>
              </w:numPr>
              <w:spacing w:line="360" w:lineRule="auto"/>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 w:val="0"/>
                <w:bCs w:val="0"/>
                <w:color w:val="auto"/>
                <w:sz w:val="21"/>
                <w:szCs w:val="21"/>
                <w:highlight w:val="none"/>
                <w:u w:val="none"/>
                <w:lang w:val="en-US" w:eastAsia="zh-CN"/>
              </w:rPr>
              <w:t>南沙天后墟商业古街项目：</w:t>
            </w:r>
            <w:r>
              <w:rPr>
                <w:rFonts w:hint="eastAsia" w:ascii="宋体" w:hAnsi="宋体" w:eastAsia="宋体" w:cs="宋体"/>
                <w:b w:val="0"/>
                <w:bCs w:val="0"/>
                <w:color w:val="auto"/>
                <w:spacing w:val="0"/>
                <w:kern w:val="2"/>
                <w:sz w:val="21"/>
                <w:szCs w:val="21"/>
                <w:highlight w:val="none"/>
                <w:lang w:val="en-US" w:eastAsia="zh-CN" w:bidi="ar-SA"/>
              </w:rPr>
              <w:t>总投资</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lang w:val="en-US" w:eastAsia="zh-CN"/>
              </w:rPr>
              <w:t>1000万元。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eastAsia="zh-CN" w:bidi="ar-SA"/>
              </w:rPr>
              <w:t>符合国家及省市区相关招标采购法律法规</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0"/>
              </w:numPr>
              <w:spacing w:line="360" w:lineRule="auto"/>
              <w:ind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本次招标代理服务内容为：</w:t>
            </w:r>
          </w:p>
          <w:p>
            <w:pPr>
              <w:widowControl w:val="0"/>
              <w:numPr>
                <w:ilvl w:val="0"/>
                <w:numId w:val="0"/>
              </w:numPr>
              <w:spacing w:line="360" w:lineRule="auto"/>
              <w:ind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b w:val="0"/>
                <w:bCs w:val="0"/>
                <w:color w:val="auto"/>
                <w:sz w:val="21"/>
                <w:szCs w:val="21"/>
                <w:highlight w:val="none"/>
                <w:u w:val="none"/>
                <w:lang w:val="en-US" w:eastAsia="zh-CN"/>
              </w:rPr>
              <w:t>南沙天后宫夜经济灯光亮化及配套项目：设计施工总承包</w:t>
            </w:r>
            <w:r>
              <w:rPr>
                <w:rFonts w:hint="eastAsia" w:ascii="宋体" w:hAnsi="宋体" w:eastAsia="宋体" w:cs="宋体"/>
                <w:color w:val="auto"/>
                <w:sz w:val="21"/>
                <w:szCs w:val="21"/>
                <w:highlight w:val="none"/>
                <w:lang w:val="en-US" w:eastAsia="zh-CN"/>
              </w:rPr>
              <w:t>。</w:t>
            </w:r>
          </w:p>
          <w:p>
            <w:pPr>
              <w:widowControl w:val="0"/>
              <w:numPr>
                <w:ilvl w:val="0"/>
                <w:numId w:val="0"/>
              </w:num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 w:val="0"/>
                <w:bCs w:val="0"/>
                <w:color w:val="auto"/>
                <w:sz w:val="21"/>
                <w:szCs w:val="21"/>
                <w:highlight w:val="none"/>
                <w:u w:val="none"/>
                <w:lang w:val="en-US" w:eastAsia="zh-CN"/>
              </w:rPr>
              <w:t>南沙天后墟商业古街项目：</w:t>
            </w:r>
            <w:r>
              <w:rPr>
                <w:rFonts w:hint="eastAsia" w:ascii="宋体" w:hAnsi="宋体" w:eastAsia="宋体" w:cs="宋体"/>
                <w:b w:val="0"/>
                <w:bCs w:val="0"/>
                <w:color w:val="auto"/>
                <w:spacing w:val="0"/>
                <w:kern w:val="2"/>
                <w:sz w:val="21"/>
                <w:szCs w:val="21"/>
                <w:highlight w:val="none"/>
                <w:lang w:val="en-US" w:eastAsia="zh-CN" w:bidi="ar-SA"/>
              </w:rPr>
              <w:t>施工总承包</w:t>
            </w:r>
            <w:r>
              <w:rPr>
                <w:rFonts w:hint="eastAsia" w:ascii="宋体" w:hAnsi="宋体" w:eastAsia="宋体" w:cs="宋体"/>
                <w:color w:val="auto"/>
                <w:sz w:val="21"/>
                <w:szCs w:val="21"/>
                <w:highlight w:val="none"/>
                <w:lang w:val="en-US"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根据招标采购法律法规并结合招标人时间安排，完成招标采购工作</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w:t>
            </w:r>
            <w:r>
              <w:rPr>
                <w:rFonts w:hint="eastAsia" w:ascii="宋体" w:hAnsi="宋体" w:eastAsia="宋体" w:cs="宋体"/>
                <w:color w:val="auto"/>
                <w:highlight w:val="none"/>
                <w:lang w:val="en-US" w:eastAsia="zh-CN"/>
              </w:rPr>
              <w:t>格</w:t>
            </w:r>
            <w:r>
              <w:rPr>
                <w:rFonts w:hint="eastAsia" w:ascii="宋体" w:hAnsi="宋体" w:eastAsia="宋体" w:cs="宋体"/>
                <w:color w:val="auto"/>
                <w:highlight w:val="none"/>
              </w:rPr>
              <w:t>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0"/>
              </w:numPr>
              <w:spacing w:line="360" w:lineRule="auto"/>
              <w:jc w:val="lef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val="en-US" w:eastAsia="zh-CN"/>
              </w:rPr>
              <w:t>1.</w:t>
            </w:r>
            <w:r>
              <w:rPr>
                <w:rFonts w:hint="eastAsia" w:ascii="宋体" w:hAnsi="宋体" w:eastAsia="宋体" w:cs="宋体"/>
                <w:color w:val="auto"/>
                <w:szCs w:val="21"/>
                <w:highlight w:val="none"/>
                <w:u w:val="none"/>
              </w:rPr>
              <w:t>投标人参加投标的意思表达清楚，投标人代表被授权有效</w:t>
            </w:r>
            <w:r>
              <w:rPr>
                <w:rFonts w:hint="eastAsia" w:ascii="宋体" w:hAnsi="宋体" w:eastAsia="宋体" w:cs="宋体"/>
                <w:color w:val="auto"/>
                <w:szCs w:val="21"/>
                <w:highlight w:val="none"/>
                <w:u w:val="none"/>
                <w:lang w:eastAsia="zh-CN"/>
              </w:rPr>
              <w:t>。</w:t>
            </w:r>
          </w:p>
          <w:p>
            <w:pPr>
              <w:widowControl w:val="0"/>
              <w:numPr>
                <w:ilvl w:val="0"/>
                <w:numId w:val="0"/>
              </w:numPr>
              <w:spacing w:line="360" w:lineRule="auto"/>
              <w:jc w:val="lef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val="en-US" w:eastAsia="zh-CN"/>
              </w:rPr>
              <w:t>2.投标人具有独立法人资格，持有事业单位登记管理部门核发的事业单位法人证书或工商行政管理部门核发的企业法人营业执照，且在营业期限内。</w:t>
            </w:r>
          </w:p>
          <w:p>
            <w:pPr>
              <w:numPr>
                <w:ilvl w:val="0"/>
                <w:numId w:val="0"/>
              </w:numPr>
              <w:spacing w:line="360" w:lineRule="auto"/>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val="en-US" w:eastAsia="zh-CN"/>
              </w:rPr>
              <w:t>3.</w:t>
            </w:r>
            <w:r>
              <w:rPr>
                <w:rFonts w:hint="eastAsia" w:ascii="宋体" w:hAnsi="宋体" w:eastAsia="宋体" w:cs="宋体"/>
                <w:color w:val="auto"/>
                <w:szCs w:val="21"/>
                <w:highlight w:val="none"/>
                <w:u w:val="none"/>
              </w:rPr>
              <w:t>投标人须在广州公共资源交易中心办理企业信息登记</w:t>
            </w:r>
            <w:r>
              <w:rPr>
                <w:rFonts w:hint="eastAsia" w:ascii="宋体" w:hAnsi="宋体" w:eastAsia="宋体" w:cs="宋体"/>
                <w:color w:val="auto"/>
                <w:szCs w:val="21"/>
                <w:highlight w:val="none"/>
                <w:u w:val="none"/>
                <w:lang w:val="en-US" w:eastAsia="zh-CN"/>
              </w:rPr>
              <w:t>及</w:t>
            </w:r>
            <w:r>
              <w:rPr>
                <w:rFonts w:hint="eastAsia" w:ascii="宋体" w:hAnsi="宋体" w:eastAsia="宋体" w:cs="宋体"/>
                <w:color w:val="auto"/>
                <w:szCs w:val="21"/>
                <w:highlight w:val="none"/>
                <w:u w:val="none"/>
              </w:rPr>
              <w:t>在广州市住房和城乡建设局建立企业诚信档案</w:t>
            </w:r>
            <w:r>
              <w:rPr>
                <w:rFonts w:hint="eastAsia" w:ascii="宋体" w:hAnsi="宋体" w:eastAsia="宋体" w:cs="宋体"/>
                <w:color w:val="auto"/>
                <w:szCs w:val="21"/>
                <w:highlight w:val="none"/>
                <w:u w:val="none"/>
                <w:lang w:eastAsia="zh-CN"/>
              </w:rPr>
              <w:t>。提供相关证明材料。</w:t>
            </w:r>
          </w:p>
          <w:p>
            <w:pPr>
              <w:numPr>
                <w:ilvl w:val="0"/>
                <w:numId w:val="0"/>
              </w:numPr>
              <w:spacing w:line="360" w:lineRule="auto"/>
              <w:ind w:firstLine="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eastAsia="zh-CN"/>
              </w:rPr>
              <w:t>需具有在</w:t>
            </w:r>
            <w:r>
              <w:rPr>
                <w:rFonts w:hint="eastAsia" w:ascii="宋体" w:hAnsi="宋体" w:eastAsia="宋体" w:cs="宋体"/>
                <w:color w:val="auto"/>
                <w:sz w:val="21"/>
                <w:szCs w:val="21"/>
                <w:highlight w:val="none"/>
              </w:rPr>
              <w:t>广州公共资源交易中心</w:t>
            </w:r>
            <w:r>
              <w:rPr>
                <w:rFonts w:hint="eastAsia" w:ascii="宋体" w:hAnsi="宋体" w:eastAsia="宋体" w:cs="宋体"/>
                <w:color w:val="auto"/>
                <w:sz w:val="21"/>
                <w:szCs w:val="21"/>
                <w:highlight w:val="none"/>
                <w:lang w:eastAsia="zh-CN"/>
              </w:rPr>
              <w:t>网站、中国采购与招标网开展施工总承包公开招标或设计施工总承包公开招标的业绩经验（分别提供</w:t>
            </w:r>
            <w:r>
              <w:rPr>
                <w:rFonts w:hint="eastAsia" w:ascii="宋体" w:hAnsi="宋体" w:eastAsia="宋体" w:cs="宋体"/>
                <w:color w:val="auto"/>
                <w:sz w:val="21"/>
                <w:szCs w:val="21"/>
                <w:highlight w:val="none"/>
                <w:lang w:val="en-US" w:eastAsia="zh-CN"/>
              </w:rPr>
              <w:t>在上述网站的</w:t>
            </w:r>
            <w:r>
              <w:rPr>
                <w:rFonts w:hint="eastAsia" w:ascii="宋体" w:hAnsi="宋体" w:eastAsia="宋体" w:cs="宋体"/>
                <w:color w:val="auto"/>
                <w:sz w:val="21"/>
                <w:szCs w:val="21"/>
                <w:highlight w:val="none"/>
                <w:lang w:eastAsia="zh-CN"/>
              </w:rPr>
              <w:t>招标公告、中标公示的截图复印件，加盖投标人公章）</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rPr>
              <w:t>投标人拟委派的项目负责人须具有</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中级或以上技术职称资格</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beforeLines="0" w:afterLines="0" w:line="360" w:lineRule="auto"/>
              <w:ind w:righ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招标代理总费用的</w:t>
            </w: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96600.00</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（大写：人民币</w:t>
            </w:r>
            <w:r>
              <w:rPr>
                <w:rFonts w:hint="eastAsia" w:ascii="宋体" w:hAnsi="宋体" w:eastAsia="宋体" w:cs="宋体"/>
                <w:color w:val="auto"/>
                <w:sz w:val="21"/>
                <w:szCs w:val="21"/>
                <w:highlight w:val="none"/>
                <w:lang w:val="en-US" w:eastAsia="zh-CN"/>
              </w:rPr>
              <w:t>玖万陆仟陆佰元整</w:t>
            </w:r>
            <w:r>
              <w:rPr>
                <w:rFonts w:hint="eastAsia" w:ascii="宋体" w:hAnsi="宋体" w:eastAsia="宋体" w:cs="宋体"/>
                <w:color w:val="auto"/>
                <w:sz w:val="21"/>
                <w:szCs w:val="21"/>
                <w:highlight w:val="none"/>
                <w:lang w:eastAsia="zh-CN"/>
              </w:rPr>
              <w:t>），其中：</w:t>
            </w:r>
          </w:p>
          <w:p>
            <w:pPr>
              <w:spacing w:beforeLines="0" w:afterLines="0" w:line="360" w:lineRule="auto"/>
              <w:ind w:right="0"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u w:val="none"/>
                <w:lang w:val="en-US" w:eastAsia="zh-CN"/>
              </w:rPr>
              <w:t>南沙天后宫夜经济灯光亮化及配套项目设计施工总承包</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暂按</w:t>
            </w:r>
            <w:r>
              <w:rPr>
                <w:rFonts w:hint="eastAsia" w:ascii="宋体" w:hAnsi="宋体" w:eastAsia="宋体" w:cs="宋体"/>
                <w:b w:val="0"/>
                <w:bCs w:val="0"/>
                <w:color w:val="auto"/>
                <w:sz w:val="21"/>
                <w:szCs w:val="21"/>
                <w:highlight w:val="none"/>
                <w:lang w:eastAsia="zh-CN"/>
              </w:rPr>
              <w:t>设计费用</w:t>
            </w:r>
            <w:r>
              <w:rPr>
                <w:rFonts w:hint="eastAsia" w:ascii="宋体" w:hAnsi="宋体" w:eastAsia="宋体" w:cs="宋体"/>
                <w:b w:val="0"/>
                <w:bCs w:val="0"/>
                <w:color w:val="auto"/>
                <w:sz w:val="21"/>
                <w:szCs w:val="21"/>
                <w:highlight w:val="none"/>
                <w:lang w:val="en-US" w:eastAsia="zh-CN"/>
              </w:rPr>
              <w:t>50万元</w:t>
            </w:r>
            <w:r>
              <w:rPr>
                <w:rFonts w:hint="eastAsia" w:ascii="宋体" w:hAnsi="宋体" w:eastAsia="宋体" w:cs="宋体"/>
                <w:b w:val="0"/>
                <w:bCs w:val="0"/>
                <w:color w:val="auto"/>
                <w:sz w:val="21"/>
                <w:szCs w:val="21"/>
                <w:highlight w:val="none"/>
                <w:lang w:eastAsia="zh-CN"/>
              </w:rPr>
              <w:t>、建安工程费用</w:t>
            </w:r>
            <w:r>
              <w:rPr>
                <w:rFonts w:hint="eastAsia" w:ascii="宋体" w:hAnsi="宋体" w:eastAsia="宋体" w:cs="宋体"/>
                <w:b w:val="0"/>
                <w:bCs w:val="0"/>
                <w:color w:val="auto"/>
                <w:sz w:val="21"/>
                <w:szCs w:val="21"/>
                <w:highlight w:val="none"/>
                <w:lang w:val="en-US" w:eastAsia="zh-CN"/>
              </w:rPr>
              <w:t>1300万元</w:t>
            </w:r>
            <w:r>
              <w:rPr>
                <w:rFonts w:hint="eastAsia" w:ascii="宋体" w:hAnsi="宋体" w:eastAsia="宋体" w:cs="宋体"/>
                <w:b w:val="0"/>
                <w:bCs w:val="0"/>
                <w:color w:val="auto"/>
                <w:sz w:val="21"/>
                <w:szCs w:val="21"/>
                <w:highlight w:val="none"/>
                <w:lang w:eastAsia="zh-CN"/>
              </w:rPr>
              <w:t>为</w:t>
            </w:r>
            <w:r>
              <w:rPr>
                <w:rFonts w:hint="eastAsia" w:ascii="宋体" w:hAnsi="宋体" w:eastAsia="宋体" w:cs="宋体"/>
                <w:b w:val="0"/>
                <w:bCs w:val="0"/>
                <w:color w:val="auto"/>
                <w:sz w:val="21"/>
                <w:szCs w:val="21"/>
                <w:highlight w:val="none"/>
              </w:rPr>
              <w:t>计算</w:t>
            </w:r>
            <w:r>
              <w:rPr>
                <w:rFonts w:hint="eastAsia" w:ascii="宋体" w:hAnsi="宋体" w:eastAsia="宋体" w:cs="宋体"/>
                <w:b w:val="0"/>
                <w:bCs w:val="0"/>
                <w:color w:val="auto"/>
                <w:sz w:val="21"/>
                <w:szCs w:val="21"/>
                <w:highlight w:val="none"/>
                <w:lang w:eastAsia="zh-CN"/>
              </w:rPr>
              <w:t>基数</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下浮率为</w:t>
            </w:r>
            <w:r>
              <w:rPr>
                <w:rFonts w:hint="eastAsia" w:ascii="宋体" w:hAnsi="宋体" w:eastAsia="宋体" w:cs="宋体"/>
                <w:b w:val="0"/>
                <w:bCs w:val="0"/>
                <w:color w:val="auto"/>
                <w:sz w:val="21"/>
                <w:szCs w:val="21"/>
                <w:highlight w:val="none"/>
                <w:lang w:val="en-US" w:eastAsia="zh-CN"/>
              </w:rPr>
              <w:t>30%，</w:t>
            </w:r>
            <w:r>
              <w:rPr>
                <w:rFonts w:hint="eastAsia" w:ascii="宋体" w:hAnsi="宋体" w:eastAsia="宋体" w:cs="宋体"/>
                <w:b w:val="0"/>
                <w:bCs w:val="0"/>
                <w:color w:val="auto"/>
                <w:kern w:val="2"/>
                <w:sz w:val="21"/>
                <w:szCs w:val="21"/>
                <w:highlight w:val="none"/>
                <w:lang w:val="en-US" w:eastAsia="zh-CN"/>
              </w:rPr>
              <w:t>招标代理服务费限价为</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kern w:val="2"/>
                <w:sz w:val="21"/>
                <w:szCs w:val="21"/>
                <w:highlight w:val="none"/>
                <w:lang w:val="en-US" w:eastAsia="zh-CN"/>
              </w:rPr>
              <w:t>58450.00元</w:t>
            </w:r>
            <w:r>
              <w:rPr>
                <w:rFonts w:hint="eastAsia" w:ascii="宋体" w:hAnsi="宋体" w:eastAsia="宋体" w:cs="宋体"/>
                <w:b w:val="0"/>
                <w:bCs w:val="0"/>
                <w:color w:val="auto"/>
                <w:sz w:val="21"/>
                <w:szCs w:val="21"/>
                <w:highlight w:val="none"/>
              </w:rPr>
              <w:t>。</w:t>
            </w:r>
          </w:p>
          <w:p>
            <w:pPr>
              <w:spacing w:line="360" w:lineRule="auto"/>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u w:val="none"/>
                <w:lang w:val="en-US" w:eastAsia="zh-CN"/>
              </w:rPr>
              <w:t>南沙天后墟商业古街项目施工总承包</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暂按</w:t>
            </w:r>
            <w:r>
              <w:rPr>
                <w:rFonts w:hint="eastAsia" w:ascii="宋体" w:hAnsi="宋体" w:eastAsia="宋体" w:cs="宋体"/>
                <w:b w:val="0"/>
                <w:bCs w:val="0"/>
                <w:color w:val="auto"/>
                <w:sz w:val="21"/>
                <w:szCs w:val="21"/>
                <w:highlight w:val="none"/>
                <w:lang w:eastAsia="zh-CN"/>
              </w:rPr>
              <w:t>建安工程费¥</w:t>
            </w:r>
            <w:r>
              <w:rPr>
                <w:rFonts w:hint="eastAsia" w:ascii="宋体" w:hAnsi="宋体" w:eastAsia="宋体" w:cs="宋体"/>
                <w:b w:val="0"/>
                <w:bCs w:val="0"/>
                <w:color w:val="auto"/>
                <w:sz w:val="21"/>
                <w:szCs w:val="21"/>
                <w:highlight w:val="none"/>
                <w:u w:val="none"/>
                <w:lang w:val="en-US" w:eastAsia="zh-CN"/>
              </w:rPr>
              <w:t>800</w:t>
            </w:r>
            <w:r>
              <w:rPr>
                <w:rFonts w:hint="eastAsia" w:ascii="宋体" w:hAnsi="宋体" w:eastAsia="宋体" w:cs="宋体"/>
                <w:b w:val="0"/>
                <w:bCs w:val="0"/>
                <w:color w:val="auto"/>
                <w:sz w:val="21"/>
                <w:szCs w:val="21"/>
                <w:highlight w:val="none"/>
              </w:rPr>
              <w:t>万元</w:t>
            </w:r>
            <w:r>
              <w:rPr>
                <w:rFonts w:hint="eastAsia" w:ascii="宋体" w:hAnsi="宋体" w:eastAsia="宋体" w:cs="宋体"/>
                <w:b w:val="0"/>
                <w:bCs w:val="0"/>
                <w:color w:val="auto"/>
                <w:sz w:val="21"/>
                <w:szCs w:val="21"/>
                <w:highlight w:val="none"/>
                <w:lang w:eastAsia="zh-CN"/>
              </w:rPr>
              <w:t>为</w:t>
            </w:r>
            <w:r>
              <w:rPr>
                <w:rFonts w:hint="eastAsia" w:ascii="宋体" w:hAnsi="宋体" w:eastAsia="宋体" w:cs="宋体"/>
                <w:b w:val="0"/>
                <w:bCs w:val="0"/>
                <w:color w:val="auto"/>
                <w:sz w:val="21"/>
                <w:szCs w:val="21"/>
                <w:highlight w:val="none"/>
              </w:rPr>
              <w:t>计算</w:t>
            </w:r>
            <w:r>
              <w:rPr>
                <w:rFonts w:hint="eastAsia" w:ascii="宋体" w:hAnsi="宋体" w:eastAsia="宋体" w:cs="宋体"/>
                <w:b w:val="0"/>
                <w:bCs w:val="0"/>
                <w:color w:val="auto"/>
                <w:sz w:val="21"/>
                <w:szCs w:val="21"/>
                <w:highlight w:val="none"/>
                <w:lang w:eastAsia="zh-CN"/>
              </w:rPr>
              <w:t>基数</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下浮率为</w:t>
            </w:r>
            <w:r>
              <w:rPr>
                <w:rFonts w:hint="eastAsia" w:ascii="宋体" w:hAnsi="宋体" w:eastAsia="宋体" w:cs="宋体"/>
                <w:b w:val="0"/>
                <w:bCs w:val="0"/>
                <w:color w:val="auto"/>
                <w:sz w:val="21"/>
                <w:szCs w:val="21"/>
                <w:highlight w:val="none"/>
                <w:lang w:val="en-US" w:eastAsia="zh-CN"/>
              </w:rPr>
              <w:t>30%，</w:t>
            </w:r>
            <w:r>
              <w:rPr>
                <w:rFonts w:hint="eastAsia" w:ascii="宋体" w:hAnsi="宋体" w:eastAsia="宋体" w:cs="宋体"/>
                <w:b w:val="0"/>
                <w:bCs w:val="0"/>
                <w:color w:val="auto"/>
                <w:kern w:val="2"/>
                <w:sz w:val="21"/>
                <w:szCs w:val="21"/>
                <w:highlight w:val="none"/>
                <w:lang w:val="en-US" w:eastAsia="zh-CN"/>
              </w:rPr>
              <w:t>招标代理服务费限价为</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kern w:val="2"/>
                <w:sz w:val="21"/>
                <w:szCs w:val="21"/>
                <w:highlight w:val="none"/>
                <w:lang w:val="en-US" w:eastAsia="zh-CN"/>
              </w:rPr>
              <w:t>38150.00元</w:t>
            </w:r>
            <w:r>
              <w:rPr>
                <w:rFonts w:hint="eastAsia" w:ascii="宋体" w:hAnsi="宋体" w:eastAsia="宋体" w:cs="宋体"/>
                <w:b w:val="0"/>
                <w:bCs w:val="0"/>
                <w:color w:val="auto"/>
                <w:sz w:val="21"/>
                <w:szCs w:val="21"/>
                <w:highlight w:val="none"/>
              </w:rPr>
              <w:t>。</w:t>
            </w:r>
          </w:p>
          <w:p>
            <w:pPr>
              <w:spacing w:beforeLines="0" w:afterLines="0" w:line="360" w:lineRule="auto"/>
              <w:ind w:firstLine="48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投标单位自行报价，投标总报价及分项报价不能超过对应的招标控制价及限价，否则按废标处理。投标下浮率=1-（投标报价/招标代理收费基准价格）×100%，</w:t>
            </w:r>
            <w:r>
              <w:rPr>
                <w:rFonts w:hint="eastAsia" w:ascii="宋体" w:hAnsi="宋体" w:eastAsia="宋体" w:cs="宋体"/>
                <w:bCs/>
                <w:color w:val="auto"/>
                <w:kern w:val="2"/>
                <w:sz w:val="21"/>
                <w:szCs w:val="21"/>
                <w:highlight w:val="none"/>
                <w:lang w:val="en-US" w:eastAsia="zh-CN" w:bidi="ar-SA"/>
              </w:rPr>
              <w:t>投标下浮率数值应一致且大于或等于30%（若出现投标下浮率数值不一致的情况，则以投标下浮率最大的数值对投标报价进行修正）</w:t>
            </w:r>
            <w:r>
              <w:rPr>
                <w:rFonts w:hint="eastAsia" w:ascii="宋体" w:hAnsi="宋体" w:eastAsia="宋体" w:cs="宋体"/>
                <w:color w:val="auto"/>
                <w:kern w:val="2"/>
                <w:sz w:val="21"/>
                <w:szCs w:val="21"/>
                <w:highlight w:val="none"/>
                <w:lang w:val="en-US" w:eastAsia="zh-CN" w:bidi="ar-SA"/>
              </w:rPr>
              <w:t>，小数点后保留二位小数，第三位小数四舍五入。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w:t>
            </w:r>
            <w:r>
              <w:rPr>
                <w:rFonts w:hint="eastAsia" w:ascii="宋体" w:hAnsi="宋体" w:eastAsia="宋体" w:cs="宋体"/>
                <w:color w:val="auto"/>
                <w:sz w:val="21"/>
                <w:szCs w:val="21"/>
                <w:highlight w:val="none"/>
                <w:u w:val="none"/>
                <w:lang w:eastAsia="zh-CN"/>
              </w:rPr>
              <w:t>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lang w:eastAsia="zh-CN"/>
              </w:rPr>
              <w:t>2023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12</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Cs w:val="21"/>
                <w:highlight w:val="none"/>
                <w:u w:val="none"/>
                <w:lang w:eastAsia="zh-CN"/>
              </w:rPr>
              <w:t>天后宫灯光亮化、古街项目招标代理服务”</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2"/>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2"/>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lang w:eastAsia="zh-CN"/>
              </w:rPr>
              <w:t>2023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至2023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lang w:eastAsia="zh-CN"/>
              </w:rPr>
              <w:t>2023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其他</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eastAsia="zh-CN"/>
              </w:rPr>
              <w:t>开标完毕，招标人在确定中标人后，以每个代建项目</w:t>
            </w:r>
            <w:r>
              <w:rPr>
                <w:rFonts w:hint="eastAsia" w:ascii="宋体" w:hAnsi="宋体" w:eastAsia="宋体" w:cs="宋体"/>
                <w:color w:val="auto"/>
                <w:szCs w:val="21"/>
                <w:highlight w:val="none"/>
                <w:u w:val="none"/>
                <w:lang w:val="en-US" w:eastAsia="zh-CN"/>
              </w:rPr>
              <w:t>分别向中标人发出中标通知书并分别签订招标代理服务合同。</w:t>
            </w:r>
          </w:p>
        </w:tc>
      </w:tr>
    </w:tbl>
    <w:p>
      <w:pPr>
        <w:spacing w:line="240" w:lineRule="auto"/>
        <w:jc w:val="left"/>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广州南沙建设维护管理有限公司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（1）投标须知及前附表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（2）项目需求书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（3）投标文件格式</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（4）服务合同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（5）评标办法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（6）附件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11.5公司法人营业执照复印件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4"/>
          <w:highlight w:val="none"/>
        </w:rPr>
        <w:t>广州公共资源交易中心办理企业信息登记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广州市住房和城乡建设局建立企业诚信档案</w:t>
      </w:r>
      <w:r>
        <w:rPr>
          <w:rFonts w:hint="eastAsia" w:ascii="宋体" w:hAnsi="宋体" w:eastAsia="宋体" w:cs="宋体"/>
          <w:color w:val="auto"/>
          <w:sz w:val="24"/>
          <w:szCs w:val="24"/>
          <w:highlight w:val="none"/>
          <w:lang w:eastAsia="zh-CN"/>
        </w:rPr>
        <w:t>相关证明材料，业绩经验证明材料</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w:t>
      </w:r>
      <w:r>
        <w:rPr>
          <w:rFonts w:hint="eastAsia" w:hAnsi="宋体" w:cs="宋体"/>
          <w:color w:val="auto"/>
          <w:sz w:val="24"/>
          <w:highlight w:val="none"/>
          <w:lang w:eastAsia="zh-CN"/>
        </w:rPr>
        <w:t>带公司印章，</w:t>
      </w:r>
      <w:r>
        <w:rPr>
          <w:rFonts w:hAnsi="宋体" w:cs="宋体"/>
          <w:color w:val="auto"/>
          <w:sz w:val="24"/>
          <w:highlight w:val="none"/>
        </w:rPr>
        <w:t>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11.15投标人认为需要提供的其他文件。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r>
        <w:rPr>
          <w:rFonts w:hint="eastAsia" w:ascii="宋体" w:hAnsi="宋体" w:eastAsia="宋体" w:cs="宋体"/>
          <w:color w:val="auto"/>
          <w:sz w:val="24"/>
          <w:highlight w:val="none"/>
          <w:lang w:eastAsia="zh-CN"/>
        </w:rPr>
        <w:t>；</w:t>
      </w:r>
      <w:r>
        <w:rPr>
          <w:rFonts w:hAnsi="宋体" w:cs="宋体"/>
          <w:color w:val="auto"/>
          <w:sz w:val="24"/>
          <w:highlight w:val="none"/>
        </w:rPr>
        <w:t>投标文件电子版</w:t>
      </w:r>
      <w:r>
        <w:rPr>
          <w:rFonts w:hint="eastAsia" w:hAnsi="宋体" w:cs="宋体"/>
          <w:color w:val="auto"/>
          <w:sz w:val="24"/>
          <w:highlight w:val="none"/>
          <w:lang w:eastAsia="zh-CN"/>
        </w:rPr>
        <w:t>与</w:t>
      </w:r>
      <w:r>
        <w:rPr>
          <w:rFonts w:hint="eastAsia" w:hAnsi="宋体" w:cs="宋体"/>
          <w:color w:val="auto"/>
          <w:sz w:val="24"/>
          <w:highlight w:val="none"/>
          <w:lang w:val="en-US" w:eastAsia="zh-CN"/>
        </w:rPr>
        <w:t>商务标一起包封</w:t>
      </w:r>
      <w:r>
        <w:rPr>
          <w:rFonts w:hint="eastAsia" w:ascii="宋体" w:hAnsi="宋体" w:eastAsia="宋体" w:cs="宋体"/>
          <w:color w:val="auto"/>
          <w:sz w:val="24"/>
          <w:highlight w:val="none"/>
        </w:rPr>
        <w:t>。</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2"/>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2"/>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widowControl w:val="0"/>
        <w:numPr>
          <w:ilvl w:val="-1"/>
          <w:numId w:val="0"/>
        </w:numPr>
        <w:spacing w:line="360" w:lineRule="auto"/>
        <w:ind w:firstLine="640" w:firstLineChars="20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u w:val="none"/>
          <w:lang w:val="en-US" w:eastAsia="zh-CN"/>
        </w:rPr>
        <w:t>南沙天后宫夜经济灯光亮化及配套项目：</w:t>
      </w:r>
      <w:r>
        <w:rPr>
          <w:rFonts w:hint="eastAsia" w:ascii="仿宋_GB2312" w:hAnsi="仿宋_GB2312" w:eastAsia="仿宋_GB2312" w:cs="仿宋_GB2312"/>
          <w:color w:val="auto"/>
          <w:sz w:val="32"/>
          <w:szCs w:val="32"/>
          <w:highlight w:val="none"/>
          <w:lang w:val="en-US" w:eastAsia="zh-CN"/>
        </w:rPr>
        <w:t>项目位于广州市南沙区天后宫景区内，建设内容包括天后宫景区灯光亮化以及天后广场</w:t>
      </w:r>
      <w:r>
        <w:rPr>
          <w:rFonts w:hint="eastAsia" w:ascii="仿宋_GB2312" w:hAnsi="仿宋_GB2312" w:eastAsia="仿宋_GB2312" w:cs="仿宋_GB2312"/>
          <w:color w:val="auto"/>
          <w:sz w:val="32"/>
          <w:szCs w:val="32"/>
          <w:highlight w:val="none"/>
        </w:rPr>
        <w:t>妈祖舞台</w:t>
      </w:r>
      <w:r>
        <w:rPr>
          <w:rFonts w:hint="eastAsia" w:ascii="仿宋_GB2312" w:hAnsi="仿宋_GB2312" w:eastAsia="仿宋_GB2312" w:cs="仿宋_GB2312"/>
          <w:color w:val="auto"/>
          <w:sz w:val="32"/>
          <w:szCs w:val="32"/>
          <w:highlight w:val="none"/>
          <w:lang w:val="en-US" w:eastAsia="zh-CN"/>
        </w:rPr>
        <w:t>提升，通过进一步进行景区整体灯光亮化提升，</w:t>
      </w:r>
      <w:r>
        <w:rPr>
          <w:rFonts w:hint="eastAsia" w:ascii="仿宋_GB2312" w:hAnsi="仿宋_GB2312" w:eastAsia="仿宋_GB2312" w:cs="仿宋_GB2312"/>
          <w:b w:val="0"/>
          <w:bCs w:val="0"/>
          <w:color w:val="auto"/>
          <w:spacing w:val="0"/>
          <w:kern w:val="2"/>
          <w:sz w:val="32"/>
          <w:szCs w:val="32"/>
          <w:highlight w:val="none"/>
          <w:lang w:val="en-US" w:eastAsia="zh-CN" w:bidi="ar-SA"/>
        </w:rPr>
        <w:t>以数字科技手段创新演绎优秀传统文化，打造粤港澳大湾区夜间滨海休闲文旅标杆，项目总投资</w:t>
      </w:r>
      <w:r>
        <w:rPr>
          <w:rFonts w:hint="eastAsia" w:ascii="仿宋_GB2312" w:hAnsi="仿宋_GB2312" w:eastAsia="仿宋_GB2312" w:cs="仿宋_GB2312"/>
          <w:color w:val="auto"/>
          <w:sz w:val="32"/>
          <w:szCs w:val="32"/>
          <w:highlight w:val="none"/>
          <w:lang w:eastAsia="zh-CN"/>
        </w:rPr>
        <w:t>约</w:t>
      </w:r>
      <w:r>
        <w:rPr>
          <w:rFonts w:hint="eastAsia" w:ascii="仿宋_GB2312" w:hAnsi="仿宋_GB2312" w:eastAsia="仿宋_GB2312" w:cs="仿宋_GB2312"/>
          <w:color w:val="auto"/>
          <w:sz w:val="32"/>
          <w:szCs w:val="32"/>
          <w:highlight w:val="none"/>
          <w:lang w:val="en-US" w:eastAsia="zh-CN"/>
        </w:rPr>
        <w:t>1650万元。</w:t>
      </w:r>
    </w:p>
    <w:p>
      <w:pPr>
        <w:widowControl w:val="0"/>
        <w:numPr>
          <w:ilvl w:val="-1"/>
          <w:numId w:val="0"/>
        </w:numPr>
        <w:spacing w:line="360" w:lineRule="auto"/>
        <w:ind w:firstLine="640" w:firstLineChars="200"/>
        <w:jc w:val="left"/>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u w:val="none"/>
          <w:lang w:val="en-US" w:eastAsia="zh-CN"/>
        </w:rPr>
        <w:t>南沙天后墟商业古街项目：</w:t>
      </w:r>
      <w:r>
        <w:rPr>
          <w:rFonts w:hint="eastAsia" w:ascii="仿宋_GB2312" w:hAnsi="仿宋_GB2312" w:eastAsia="仿宋_GB2312" w:cs="仿宋_GB2312"/>
          <w:color w:val="auto"/>
          <w:sz w:val="32"/>
          <w:szCs w:val="32"/>
          <w:highlight w:val="none"/>
          <w:lang w:val="en-US" w:eastAsia="zh-CN"/>
        </w:rPr>
        <w:t>项目位于广州市南沙区天后宫景区内，</w:t>
      </w:r>
      <w:r>
        <w:rPr>
          <w:rFonts w:hint="eastAsia" w:ascii="仿宋_GB2312" w:hAnsi="仿宋_GB2312" w:eastAsia="仿宋_GB2312" w:cs="仿宋_GB2312"/>
          <w:color w:val="auto"/>
          <w:sz w:val="32"/>
          <w:szCs w:val="32"/>
          <w:highlight w:val="none"/>
          <w:lang w:eastAsia="zh-CN"/>
        </w:rPr>
        <w:t>为进一步盘活天后宫景区资源，完善景区配套，丰富景区业态，提升景区经济效益，项目</w:t>
      </w:r>
      <w:r>
        <w:rPr>
          <w:rFonts w:hint="eastAsia" w:ascii="仿宋_GB2312" w:hAnsi="仿宋_GB2312" w:eastAsia="仿宋_GB2312" w:cs="仿宋_GB2312"/>
          <w:color w:val="auto"/>
          <w:sz w:val="32"/>
          <w:szCs w:val="32"/>
          <w:highlight w:val="none"/>
          <w:lang w:val="en-US" w:eastAsia="zh-CN"/>
        </w:rPr>
        <w:t>拟利用天后宫景区东南侧地块打造商业古街，建设内容包括：妈祖会馆、商业建筑（临时性可移动）、西门门楼建筑、东门门楼建筑、古街主干道、园路、停车场等，项目</w:t>
      </w:r>
      <w:r>
        <w:rPr>
          <w:rFonts w:hint="eastAsia" w:ascii="仿宋_GB2312" w:hAnsi="仿宋_GB2312" w:eastAsia="仿宋_GB2312" w:cs="仿宋_GB2312"/>
          <w:b w:val="0"/>
          <w:bCs w:val="0"/>
          <w:color w:val="auto"/>
          <w:spacing w:val="0"/>
          <w:kern w:val="2"/>
          <w:sz w:val="32"/>
          <w:szCs w:val="32"/>
          <w:highlight w:val="none"/>
          <w:lang w:val="en-US" w:eastAsia="zh-CN" w:bidi="ar-SA"/>
        </w:rPr>
        <w:t>总投资</w:t>
      </w:r>
      <w:r>
        <w:rPr>
          <w:rFonts w:hint="eastAsia" w:ascii="仿宋_GB2312" w:hAnsi="仿宋_GB2312" w:eastAsia="仿宋_GB2312" w:cs="仿宋_GB2312"/>
          <w:color w:val="auto"/>
          <w:sz w:val="32"/>
          <w:szCs w:val="32"/>
          <w:highlight w:val="none"/>
          <w:lang w:eastAsia="zh-CN"/>
        </w:rPr>
        <w:t>约</w:t>
      </w:r>
      <w:r>
        <w:rPr>
          <w:rFonts w:hint="eastAsia" w:ascii="仿宋_GB2312" w:hAnsi="仿宋_GB2312" w:eastAsia="仿宋_GB2312" w:cs="仿宋_GB2312"/>
          <w:color w:val="auto"/>
          <w:sz w:val="32"/>
          <w:szCs w:val="32"/>
          <w:highlight w:val="none"/>
          <w:lang w:val="en-US" w:eastAsia="zh-CN"/>
        </w:rPr>
        <w:t>1000万元。</w:t>
      </w:r>
    </w:p>
    <w:p>
      <w:pPr>
        <w:widowControl/>
        <w:numPr>
          <w:ilvl w:val="0"/>
          <w:numId w:val="0"/>
        </w:numPr>
        <w:spacing w:line="240" w:lineRule="auto"/>
        <w:ind w:firstLine="0" w:firstLineChars="0"/>
        <w:jc w:val="left"/>
        <w:rPr>
          <w:rFonts w:hint="eastAsia" w:ascii="仿宋_GB2312" w:hAnsi="仿宋_GB2312" w:eastAsia="仿宋_GB2312" w:cs="仿宋_GB2312"/>
          <w:b/>
          <w:bCs w:val="0"/>
          <w:color w:val="auto"/>
          <w:sz w:val="32"/>
          <w:szCs w:val="32"/>
          <w:highlight w:val="none"/>
          <w:lang w:val="en-US" w:eastAsia="zh-CN"/>
        </w:rPr>
      </w:pPr>
      <w:r>
        <w:rPr>
          <w:rFonts w:hint="eastAsia" w:ascii="仿宋_GB2312" w:hAnsi="仿宋_GB2312" w:eastAsia="仿宋_GB2312" w:cs="仿宋_GB2312"/>
          <w:b/>
          <w:bCs w:val="0"/>
          <w:color w:val="auto"/>
          <w:kern w:val="0"/>
          <w:sz w:val="32"/>
          <w:szCs w:val="32"/>
          <w:highlight w:val="none"/>
          <w:lang w:eastAsia="zh-CN"/>
        </w:rPr>
        <w:t>二、</w:t>
      </w:r>
      <w:r>
        <w:rPr>
          <w:rFonts w:hint="eastAsia" w:ascii="仿宋_GB2312" w:hAnsi="仿宋_GB2312" w:eastAsia="仿宋_GB2312" w:cs="仿宋_GB2312"/>
          <w:b/>
          <w:bCs w:val="0"/>
          <w:color w:val="auto"/>
          <w:sz w:val="32"/>
          <w:szCs w:val="32"/>
          <w:highlight w:val="none"/>
          <w:lang w:val="en-US" w:eastAsia="zh-CN"/>
        </w:rPr>
        <w:t>本次招标代理服务内容为：</w:t>
      </w:r>
    </w:p>
    <w:p>
      <w:pPr>
        <w:widowControl w:val="0"/>
        <w:numPr>
          <w:ilvl w:val="0"/>
          <w:numId w:val="0"/>
        </w:numPr>
        <w:spacing w:line="360" w:lineRule="auto"/>
        <w:ind w:firstLine="640" w:firstLineChars="20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u w:val="none"/>
          <w:lang w:val="en-US" w:eastAsia="zh-CN"/>
        </w:rPr>
        <w:t>南沙天后宫夜经济灯光亮化及配套项目：设计施工总承包</w:t>
      </w:r>
      <w:r>
        <w:rPr>
          <w:rFonts w:hint="eastAsia" w:ascii="仿宋_GB2312" w:hAnsi="仿宋_GB2312" w:eastAsia="仿宋_GB2312" w:cs="仿宋_GB2312"/>
          <w:color w:val="auto"/>
          <w:sz w:val="32"/>
          <w:szCs w:val="32"/>
          <w:highlight w:val="none"/>
          <w:lang w:val="en-US" w:eastAsia="zh-CN"/>
        </w:rPr>
        <w:t>。</w:t>
      </w:r>
    </w:p>
    <w:p>
      <w:pPr>
        <w:widowControl w:val="0"/>
        <w:numPr>
          <w:ilvl w:val="0"/>
          <w:numId w:val="0"/>
        </w:numPr>
        <w:spacing w:after="0" w:line="360" w:lineRule="auto"/>
        <w:ind w:firstLine="640" w:firstLineChars="20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u w:val="none"/>
          <w:lang w:val="en-US" w:eastAsia="zh-CN"/>
        </w:rPr>
        <w:t>南沙天后墟商业古街项目：</w:t>
      </w:r>
      <w:r>
        <w:rPr>
          <w:rFonts w:hint="eastAsia" w:ascii="仿宋_GB2312" w:hAnsi="仿宋_GB2312" w:eastAsia="仿宋_GB2312" w:cs="仿宋_GB2312"/>
          <w:b w:val="0"/>
          <w:bCs w:val="0"/>
          <w:color w:val="auto"/>
          <w:spacing w:val="0"/>
          <w:kern w:val="2"/>
          <w:sz w:val="32"/>
          <w:szCs w:val="32"/>
          <w:highlight w:val="none"/>
          <w:lang w:val="en-US" w:eastAsia="zh-CN" w:bidi="ar-SA"/>
        </w:rPr>
        <w:t>施工总承包</w:t>
      </w:r>
      <w:r>
        <w:rPr>
          <w:rFonts w:hint="eastAsia" w:ascii="仿宋_GB2312" w:hAnsi="仿宋_GB2312" w:eastAsia="仿宋_GB2312" w:cs="仿宋_GB2312"/>
          <w:color w:val="auto"/>
          <w:sz w:val="32"/>
          <w:szCs w:val="32"/>
          <w:highlight w:val="none"/>
          <w:lang w:val="en-US" w:eastAsia="zh-CN"/>
        </w:rPr>
        <w:t>。</w:t>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广州南沙建设维护管理有限公司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天后宫灯光亮化、古街项目招标代理服务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天后宫灯光亮化、古街项目招标代理服务</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4"/>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4"/>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color w:val="auto"/>
          <w:sz w:val="30"/>
          <w:szCs w:val="30"/>
          <w:highlight w:val="none"/>
        </w:rPr>
      </w:pPr>
      <w:r>
        <w:rPr>
          <w:b/>
          <w:color w:val="auto"/>
          <w:sz w:val="30"/>
          <w:szCs w:val="30"/>
          <w:highlight w:val="none"/>
        </w:rPr>
        <w:t xml:space="preserve"> </w:t>
      </w:r>
    </w:p>
    <w:p>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4"/>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4"/>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天后宫灯光亮化、古街项目招标代理服务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130110"/>
      <w:bookmarkEnd w:id="11"/>
      <w:bookmarkStart w:id="12" w:name="_Toc196130013"/>
      <w:bookmarkEnd w:id="12"/>
      <w:bookmarkStart w:id="13" w:name="_Toc41822703"/>
      <w:bookmarkEnd w:id="13"/>
      <w:bookmarkStart w:id="14" w:name="_Toc459403394"/>
      <w:bookmarkEnd w:id="14"/>
      <w:bookmarkStart w:id="15" w:name="_Toc326909213"/>
      <w:bookmarkEnd w:id="15"/>
      <w:bookmarkStart w:id="16" w:name="_Toc415728297"/>
      <w:bookmarkEnd w:id="16"/>
      <w:bookmarkStart w:id="17" w:name="_Toc415833503"/>
      <w:bookmarkEnd w:id="17"/>
      <w:bookmarkStart w:id="18" w:name="_Toc199647675"/>
      <w:bookmarkEnd w:id="18"/>
      <w:bookmarkStart w:id="19" w:name="_Toc196036941"/>
      <w:bookmarkEnd w:id="19"/>
      <w:bookmarkStart w:id="20" w:name="_Toc196037097"/>
      <w:bookmarkEnd w:id="20"/>
      <w:bookmarkStart w:id="21" w:name="_Toc197235848"/>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59403395"/>
      <w:bookmarkEnd w:id="24"/>
      <w:bookmarkStart w:id="25" w:name="_Toc196037098"/>
      <w:bookmarkEnd w:id="25"/>
      <w:bookmarkStart w:id="26" w:name="_Toc415833504"/>
      <w:bookmarkEnd w:id="26"/>
      <w:bookmarkStart w:id="27" w:name="_Toc196036942"/>
      <w:bookmarkEnd w:id="27"/>
      <w:bookmarkStart w:id="28" w:name="_Toc197235849"/>
      <w:bookmarkEnd w:id="28"/>
      <w:bookmarkStart w:id="29" w:name="_Toc196130111"/>
      <w:bookmarkEnd w:id="29"/>
      <w:bookmarkStart w:id="30" w:name="_Toc199647676"/>
      <w:bookmarkEnd w:id="30"/>
      <w:bookmarkStart w:id="31" w:name="_Toc196130014"/>
      <w:bookmarkEnd w:id="31"/>
      <w:bookmarkStart w:id="32" w:name="_Toc415728298"/>
      <w:bookmarkEnd w:id="32"/>
      <w:bookmarkStart w:id="33" w:name="_Toc326909214"/>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4"/>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天后宫灯光亮化、古街项目招标代理服务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center"/>
              <w:rPr>
                <w:rFonts w:hint="default"/>
                <w:color w:val="auto"/>
                <w:highlight w:val="none"/>
                <w:lang w:val="en-US" w:eastAsia="zh-CN"/>
              </w:rPr>
            </w:pPr>
            <w:r>
              <w:rPr>
                <w:rFonts w:hint="eastAsia"/>
                <w:color w:val="auto"/>
                <w:highlight w:val="none"/>
                <w:lang w:eastAsia="zh-CN"/>
              </w:rPr>
              <w:t>投标下浮率：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val="zh-CN" w:eastAsia="zh-CN"/>
              </w:rPr>
              <w:t>其中：</w:t>
            </w:r>
            <w:r>
              <w:rPr>
                <w:rFonts w:hint="eastAsia" w:ascii="宋体" w:hAnsi="宋体" w:cs="宋体" w:eastAsiaTheme="minorEastAsia"/>
                <w:b w:val="0"/>
                <w:bCs/>
                <w:color w:val="auto"/>
                <w:sz w:val="21"/>
                <w:szCs w:val="21"/>
                <w:highlight w:val="none"/>
                <w:u w:val="none"/>
                <w:lang w:val="zh-CN" w:eastAsia="zh-CN"/>
              </w:rPr>
              <w:t>南沙天后宫夜经济灯光亮化及配套项目设计施工总承包</w:t>
            </w:r>
            <w:r>
              <w:rPr>
                <w:rFonts w:hint="eastAsia" w:ascii="宋体" w:hAnsi="宋体" w:cs="宋体" w:eastAsiaTheme="minorEastAsia"/>
                <w:b w:val="0"/>
                <w:bCs/>
                <w:color w:val="auto"/>
                <w:kern w:val="2"/>
                <w:sz w:val="21"/>
                <w:szCs w:val="21"/>
                <w:highlight w:val="none"/>
                <w:lang w:val="zh-CN" w:eastAsia="zh-CN"/>
              </w:rPr>
              <w:t>招标代理服务费</w:t>
            </w:r>
          </w:p>
        </w:tc>
        <w:tc>
          <w:tcPr>
            <w:tcW w:w="6699" w:type="dxa"/>
            <w:vAlign w:val="center"/>
          </w:tcPr>
          <w:p>
            <w:pPr>
              <w:autoSpaceDE w:val="0"/>
              <w:autoSpaceDN w:val="0"/>
              <w:adjustRightInd w:val="0"/>
              <w:snapToGrid w:val="0"/>
              <w:spacing w:line="360" w:lineRule="auto"/>
              <w:ind w:firstLine="0" w:firstLine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p>
            <w:pPr>
              <w:autoSpaceDE w:val="0"/>
              <w:autoSpaceDN w:val="0"/>
              <w:adjustRightInd w:val="0"/>
              <w:snapToGrid w:val="0"/>
              <w:spacing w:line="360" w:lineRule="auto"/>
              <w:ind w:firstLine="0" w:firstLine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p>
            <w:pPr>
              <w:autoSpaceDE w:val="0"/>
              <w:autoSpaceDN w:val="0"/>
              <w:adjustRightInd w:val="0"/>
              <w:snapToGrid w:val="0"/>
              <w:spacing w:line="360" w:lineRule="auto"/>
              <w:jc w:val="center"/>
              <w:rPr>
                <w:rFonts w:hint="eastAsia" w:ascii="宋体" w:hAnsi="宋体" w:cs="宋体"/>
                <w:bCs/>
                <w:color w:val="auto"/>
                <w:szCs w:val="21"/>
                <w:highlight w:val="none"/>
                <w:lang w:val="zh-CN" w:eastAsia="zh-CN"/>
              </w:rPr>
            </w:pPr>
            <w:r>
              <w:rPr>
                <w:rFonts w:hint="eastAsia"/>
                <w:color w:val="auto"/>
                <w:highlight w:val="none"/>
                <w:lang w:eastAsia="zh-CN"/>
              </w:rPr>
              <w:t>投标下浮率：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eastAsia="zh-CN"/>
              </w:rPr>
            </w:pPr>
            <w:r>
              <w:rPr>
                <w:rFonts w:hint="eastAsia" w:ascii="宋体" w:hAnsi="宋体" w:cs="宋体"/>
                <w:bCs/>
                <w:color w:val="auto"/>
                <w:szCs w:val="21"/>
                <w:highlight w:val="none"/>
                <w:lang w:val="zh-CN" w:eastAsia="zh-CN"/>
              </w:rPr>
              <w:t>其中：</w:t>
            </w:r>
            <w:r>
              <w:rPr>
                <w:rFonts w:hint="eastAsia" w:ascii="宋体" w:hAnsi="宋体" w:cs="宋体" w:eastAsiaTheme="minorEastAsia"/>
                <w:b w:val="0"/>
                <w:bCs/>
                <w:color w:val="auto"/>
                <w:sz w:val="21"/>
                <w:szCs w:val="21"/>
                <w:highlight w:val="none"/>
                <w:u w:val="none"/>
                <w:lang w:val="zh-CN" w:eastAsia="zh-CN"/>
              </w:rPr>
              <w:t>南沙天后墟商业古街项目施工总承包</w:t>
            </w:r>
            <w:r>
              <w:rPr>
                <w:rFonts w:hint="eastAsia" w:ascii="宋体" w:hAnsi="宋体" w:cs="宋体" w:eastAsiaTheme="minorEastAsia"/>
                <w:b w:val="0"/>
                <w:bCs/>
                <w:color w:val="auto"/>
                <w:kern w:val="2"/>
                <w:sz w:val="21"/>
                <w:szCs w:val="21"/>
                <w:highlight w:val="none"/>
                <w:lang w:val="zh-CN" w:eastAsia="zh-CN"/>
              </w:rPr>
              <w:t>招标代理服务费</w:t>
            </w:r>
          </w:p>
        </w:tc>
        <w:tc>
          <w:tcPr>
            <w:tcW w:w="6699" w:type="dxa"/>
            <w:vAlign w:val="center"/>
          </w:tcPr>
          <w:p>
            <w:pPr>
              <w:autoSpaceDE w:val="0"/>
              <w:autoSpaceDN w:val="0"/>
              <w:adjustRightInd w:val="0"/>
              <w:snapToGrid w:val="0"/>
              <w:spacing w:line="360" w:lineRule="auto"/>
              <w:ind w:firstLine="0" w:firstLine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p>
            <w:pPr>
              <w:autoSpaceDE w:val="0"/>
              <w:autoSpaceDN w:val="0"/>
              <w:adjustRightInd w:val="0"/>
              <w:snapToGrid w:val="0"/>
              <w:spacing w:line="360" w:lineRule="auto"/>
              <w:jc w:val="center"/>
              <w:rPr>
                <w:color w:val="auto"/>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p>
            <w:pPr>
              <w:autoSpaceDE w:val="0"/>
              <w:autoSpaceDN w:val="0"/>
              <w:adjustRightInd w:val="0"/>
              <w:snapToGrid w:val="0"/>
              <w:spacing w:line="360" w:lineRule="auto"/>
              <w:jc w:val="center"/>
              <w:rPr>
                <w:rFonts w:hint="eastAsia" w:ascii="宋体" w:hAnsi="宋体" w:cs="宋体"/>
                <w:bCs/>
                <w:color w:val="auto"/>
                <w:szCs w:val="21"/>
                <w:highlight w:val="none"/>
                <w:lang w:val="zh-CN" w:eastAsia="zh-CN"/>
              </w:rPr>
            </w:pPr>
            <w:r>
              <w:rPr>
                <w:rFonts w:hint="eastAsia"/>
                <w:color w:val="auto"/>
                <w:highlight w:val="none"/>
                <w:lang w:eastAsia="zh-CN"/>
              </w:rPr>
              <w:t>投标下浮率：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Ansi="宋体" w:cs="宋体"/>
          <w:bCs/>
          <w:color w:val="auto"/>
          <w:highlight w:val="none"/>
        </w:rPr>
        <w:t>注：</w:t>
      </w:r>
      <w:r>
        <w:rPr>
          <w:rFonts w:hint="eastAsia" w:hAnsi="宋体" w:cs="宋体"/>
          <w:bCs/>
          <w:color w:val="auto"/>
          <w:highlight w:val="none"/>
          <w:lang w:eastAsia="zh-CN"/>
        </w:rPr>
        <w:t>（</w:t>
      </w:r>
      <w:r>
        <w:rPr>
          <w:rFonts w:hint="eastAsia" w:ascii="宋体" w:hAnsi="宋体" w:eastAsia="宋体" w:cs="宋体"/>
          <w:bCs/>
          <w:color w:val="auto"/>
          <w:highlight w:val="none"/>
          <w:lang w:val="en-US" w:eastAsia="zh-CN"/>
        </w:rPr>
        <w:t>1</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投标单位自行报价，投标总报价及分项报价不能超过对应的招标控制价及限价，否则按废标处理。投标下浮率=1-（投标报价/招标代理收费基准价格）×100%，投标下浮率数值应一致且</w:t>
      </w:r>
      <w:r>
        <w:rPr>
          <w:rFonts w:hint="eastAsia" w:hAnsi="宋体" w:cs="宋体"/>
          <w:bCs/>
          <w:color w:val="auto"/>
          <w:kern w:val="2"/>
          <w:sz w:val="21"/>
          <w:szCs w:val="21"/>
          <w:highlight w:val="none"/>
          <w:lang w:val="en-US" w:eastAsia="zh-CN" w:bidi="ar-SA"/>
        </w:rPr>
        <w:t>大于或等于3</w:t>
      </w:r>
      <w:r>
        <w:rPr>
          <w:rFonts w:hint="eastAsia" w:ascii="宋体" w:hAnsi="宋体" w:eastAsia="宋体" w:cs="宋体"/>
          <w:bCs/>
          <w:color w:val="auto"/>
          <w:kern w:val="2"/>
          <w:sz w:val="21"/>
          <w:szCs w:val="21"/>
          <w:highlight w:val="none"/>
          <w:lang w:val="en-US" w:eastAsia="zh-CN" w:bidi="ar-SA"/>
        </w:rPr>
        <w:t>0%</w:t>
      </w:r>
      <w:r>
        <w:rPr>
          <w:rFonts w:hint="eastAsia" w:hAnsi="宋体" w:cs="宋体"/>
          <w:bCs/>
          <w:color w:val="auto"/>
          <w:kern w:val="2"/>
          <w:sz w:val="21"/>
          <w:szCs w:val="21"/>
          <w:highlight w:val="none"/>
          <w:lang w:val="en-US" w:eastAsia="zh-CN" w:bidi="ar-SA"/>
        </w:rPr>
        <w:t>（若出现投标下浮率数值不一致的情况，则以投标下浮率最大的数值对投标报价进行修正）</w:t>
      </w:r>
      <w:r>
        <w:rPr>
          <w:rFonts w:hint="eastAsia" w:ascii="宋体" w:hAnsi="宋体" w:eastAsia="宋体" w:cs="宋体"/>
          <w:bCs/>
          <w:color w:val="auto"/>
          <w:kern w:val="2"/>
          <w:sz w:val="21"/>
          <w:szCs w:val="21"/>
          <w:highlight w:val="none"/>
          <w:lang w:val="en-US" w:eastAsia="zh-CN" w:bidi="ar-SA"/>
        </w:rPr>
        <w:t>，小数点后保留二位小数，第三位小数四舍五入。</w:t>
      </w:r>
    </w:p>
    <w:p>
      <w:pPr>
        <w:pStyle w:val="9"/>
        <w:spacing w:line="360" w:lineRule="auto"/>
        <w:ind w:firstLine="210" w:firstLineChars="100"/>
        <w:rPr>
          <w:rFonts w:hAnsi="宋体" w:cs="宋体"/>
          <w:bCs/>
          <w:color w:val="auto"/>
          <w:highlight w:val="none"/>
        </w:rPr>
      </w:pPr>
      <w:r>
        <w:rPr>
          <w:rFonts w:hAnsi="宋体" w:cs="宋体"/>
          <w:bCs/>
          <w:color w:val="auto"/>
          <w:highlight w:val="none"/>
        </w:rPr>
        <w:t>（</w:t>
      </w:r>
      <w:r>
        <w:rPr>
          <w:rFonts w:hint="eastAsia" w:hAnsi="宋体" w:cs="宋体"/>
          <w:bCs/>
          <w:color w:val="auto"/>
          <w:highlight w:val="none"/>
          <w:lang w:val="en-US" w:eastAsia="zh-CN"/>
        </w:rPr>
        <w:t>2</w:t>
      </w:r>
      <w:r>
        <w:rPr>
          <w:rFonts w:hAnsi="宋体" w:cs="宋体"/>
          <w:bCs/>
          <w:color w:val="auto"/>
          <w:highlight w:val="none"/>
        </w:rPr>
        <w:t>）投标报价的大写金额和小写金额不一致的，以大写金额为准，投标报价精确到小数点后两位。</w:t>
      </w:r>
    </w:p>
    <w:p>
      <w:pPr>
        <w:pStyle w:val="9"/>
        <w:spacing w:beforeLines="0" w:afterLines="0" w:line="360" w:lineRule="auto"/>
        <w:ind w:firstLine="210" w:firstLineChars="100"/>
        <w:rPr>
          <w:rFonts w:hint="eastAsia" w:ascii="宋体" w:hAnsi="宋体" w:eastAsia="宋体" w:cs="宋体"/>
          <w:bCs/>
          <w:color w:val="auto"/>
          <w:kern w:val="2"/>
          <w:sz w:val="21"/>
          <w:szCs w:val="21"/>
          <w:highlight w:val="none"/>
          <w:lang w:val="en-US" w:eastAsia="zh-CN" w:bidi="ar-SA"/>
        </w:rPr>
      </w:pPr>
    </w:p>
    <w:p>
      <w:pPr>
        <w:jc w:val="left"/>
        <w:rPr>
          <w:rFonts w:hint="eastAsia"/>
          <w:b/>
          <w:color w:val="auto"/>
          <w:sz w:val="24"/>
          <w:highlight w:val="none"/>
        </w:rPr>
      </w:pPr>
      <w:r>
        <w:rPr>
          <w:rFonts w:hint="eastAsia"/>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1"/>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w:t>
            </w:r>
            <w:r>
              <w:rPr>
                <w:rFonts w:hint="eastAsia" w:ascii="仿宋" w:hAnsi="仿宋" w:eastAsia="仿宋" w:cs="仿宋"/>
                <w:color w:val="auto"/>
                <w:szCs w:val="21"/>
                <w:highlight w:val="none"/>
                <w:lang w:val="en-US" w:eastAsia="zh-CN"/>
              </w:rPr>
              <w:t>格</w:t>
            </w:r>
            <w:r>
              <w:rPr>
                <w:rFonts w:hint="eastAsia" w:ascii="仿宋" w:hAnsi="仿宋" w:eastAsia="仿宋" w:cs="仿宋"/>
                <w:color w:val="auto"/>
                <w:szCs w:val="21"/>
                <w:highlight w:val="none"/>
              </w:rPr>
              <w:t>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w:t>
            </w:r>
            <w:r>
              <w:rPr>
                <w:rFonts w:hint="eastAsia" w:ascii="仿宋" w:hAnsi="仿宋" w:eastAsia="仿宋" w:cs="仿宋"/>
                <w:color w:val="auto"/>
                <w:szCs w:val="21"/>
                <w:highlight w:val="none"/>
                <w:lang w:val="en-US" w:eastAsia="zh-CN"/>
              </w:rPr>
              <w:t>格</w:t>
            </w:r>
            <w:r>
              <w:rPr>
                <w:rFonts w:hint="eastAsia" w:ascii="仿宋" w:hAnsi="仿宋" w:eastAsia="仿宋" w:cs="仿宋"/>
                <w:color w:val="auto"/>
                <w:szCs w:val="21"/>
                <w:highlight w:val="none"/>
              </w:rPr>
              <w:t>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2147483648" w:afterLines="-2147483648" w:line="240" w:lineRule="auto"/>
              <w:ind w:left="0" w:right="105" w:rightChars="5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投标总报价及分项报价不超过对应的招标控制价及限价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2147483648" w:afterLines="-2147483648" w:line="240" w:lineRule="auto"/>
              <w:ind w:left="0" w:right="105" w:rightChars="50"/>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投标保证金提交符合要求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6"/>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i w:val="0"/>
                <w:iCs w:val="0"/>
                <w:color w:val="auto"/>
                <w:kern w:val="0"/>
                <w:sz w:val="21"/>
                <w:szCs w:val="21"/>
                <w:highlight w:val="none"/>
                <w:u w:val="none"/>
                <w:lang w:val="en-US" w:eastAsia="zh-CN" w:bidi="ar"/>
              </w:rPr>
              <w:t>施工总承包招标代理业绩</w:t>
            </w:r>
          </w:p>
        </w:tc>
        <w:tc>
          <w:tcPr>
            <w:tcW w:w="709" w:type="dxa"/>
            <w:shd w:val="clear" w:color="auto" w:fill="auto"/>
            <w:vAlign w:val="center"/>
          </w:tcPr>
          <w:p>
            <w:pPr>
              <w:spacing w:line="240" w:lineRule="auto"/>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9797" w:type="dxa"/>
            <w:shd w:val="clear" w:color="auto" w:fill="auto"/>
            <w:vAlign w:val="center"/>
          </w:tcPr>
          <w:p>
            <w:pPr>
              <w:pStyle w:val="9"/>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投标人自2018年1月1日至今独立完成过总投资额</w:t>
            </w:r>
            <w:r>
              <w:rPr>
                <w:rFonts w:hint="eastAsia" w:hAnsi="宋体" w:cs="宋体"/>
                <w:i w:val="0"/>
                <w:iCs w:val="0"/>
                <w:color w:val="auto"/>
                <w:kern w:val="0"/>
                <w:sz w:val="21"/>
                <w:szCs w:val="21"/>
                <w:highlight w:val="none"/>
                <w:u w:val="none"/>
                <w:lang w:val="en-US" w:eastAsia="zh-CN" w:bidi="ar"/>
              </w:rPr>
              <w:t>500</w:t>
            </w:r>
            <w:r>
              <w:rPr>
                <w:rFonts w:hint="eastAsia" w:ascii="宋体" w:hAnsi="宋体" w:eastAsia="宋体" w:cs="宋体"/>
                <w:i w:val="0"/>
                <w:iCs w:val="0"/>
                <w:color w:val="auto"/>
                <w:kern w:val="0"/>
                <w:sz w:val="21"/>
                <w:szCs w:val="21"/>
                <w:highlight w:val="none"/>
                <w:u w:val="none"/>
                <w:lang w:val="en-US" w:eastAsia="zh-CN" w:bidi="ar"/>
              </w:rPr>
              <w:t>万元或以上的</w:t>
            </w:r>
            <w:r>
              <w:rPr>
                <w:rFonts w:hint="eastAsia" w:hAnsi="宋体" w:cs="宋体"/>
                <w:i w:val="0"/>
                <w:iCs w:val="0"/>
                <w:color w:val="auto"/>
                <w:kern w:val="0"/>
                <w:sz w:val="21"/>
                <w:szCs w:val="21"/>
                <w:highlight w:val="none"/>
                <w:u w:val="none"/>
                <w:lang w:val="en-US" w:eastAsia="zh-CN" w:bidi="ar"/>
              </w:rPr>
              <w:t>施工总承包</w:t>
            </w:r>
            <w:r>
              <w:rPr>
                <w:rFonts w:hint="eastAsia" w:ascii="宋体" w:hAnsi="宋体" w:eastAsia="宋体" w:cs="宋体"/>
                <w:i w:val="0"/>
                <w:iCs w:val="0"/>
                <w:color w:val="auto"/>
                <w:kern w:val="0"/>
                <w:sz w:val="21"/>
                <w:szCs w:val="21"/>
                <w:highlight w:val="none"/>
                <w:u w:val="none"/>
                <w:lang w:val="en-US" w:eastAsia="zh-CN" w:bidi="ar"/>
              </w:rPr>
              <w:t>招标代理业绩，每提供1个得</w:t>
            </w:r>
            <w:r>
              <w:rPr>
                <w:rFonts w:hint="eastAsia"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分，最多得</w:t>
            </w:r>
            <w:r>
              <w:rPr>
                <w:rFonts w:hint="eastAsia"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注：招标代理业绩须是独立完成的公开招标代理业绩，需提供所完成招标代理项目的中标通知书、招标代理合同，否则不予计算。招标代理项目</w:t>
            </w:r>
            <w:r>
              <w:rPr>
                <w:rFonts w:hint="eastAsia" w:hAnsi="宋体" w:cs="宋体"/>
                <w:i w:val="0"/>
                <w:iCs w:val="0"/>
                <w:color w:val="auto"/>
                <w:kern w:val="0"/>
                <w:sz w:val="21"/>
                <w:szCs w:val="21"/>
                <w:highlight w:val="none"/>
                <w:u w:val="none"/>
                <w:lang w:val="en-US" w:eastAsia="zh-CN" w:bidi="ar"/>
              </w:rPr>
              <w:t>业</w:t>
            </w:r>
            <w:r>
              <w:rPr>
                <w:rFonts w:hint="eastAsia" w:hAnsi="宋体" w:cs="宋体"/>
                <w:i w:val="0"/>
                <w:iCs w:val="0"/>
                <w:color w:val="auto"/>
                <w:kern w:val="0"/>
                <w:sz w:val="21"/>
                <w:szCs w:val="21"/>
                <w:highlight w:val="none"/>
                <w:u w:val="dotted"/>
                <w:lang w:val="en-US" w:eastAsia="zh-CN" w:bidi="ar"/>
              </w:rPr>
              <w:t>绩</w:t>
            </w:r>
            <w:r>
              <w:rPr>
                <w:rFonts w:hint="eastAsia" w:ascii="宋体" w:hAnsi="宋体" w:eastAsia="宋体" w:cs="宋体"/>
                <w:i w:val="0"/>
                <w:iCs w:val="0"/>
                <w:color w:val="auto"/>
                <w:kern w:val="0"/>
                <w:sz w:val="21"/>
                <w:szCs w:val="21"/>
                <w:highlight w:val="none"/>
                <w:u w:val="none"/>
                <w:lang w:val="en-US" w:eastAsia="zh-CN" w:bidi="ar"/>
              </w:rPr>
              <w:t>完成时间</w:t>
            </w:r>
            <w:r>
              <w:rPr>
                <w:rFonts w:hint="eastAsia" w:hAnsi="宋体" w:cs="宋体"/>
                <w:i w:val="0"/>
                <w:iCs w:val="0"/>
                <w:color w:val="auto"/>
                <w:kern w:val="0"/>
                <w:sz w:val="21"/>
                <w:szCs w:val="21"/>
                <w:highlight w:val="none"/>
                <w:u w:val="none"/>
                <w:lang w:val="en-US" w:eastAsia="zh-CN" w:bidi="ar"/>
              </w:rPr>
              <w:t>和金额</w:t>
            </w:r>
            <w:r>
              <w:rPr>
                <w:rFonts w:hint="eastAsia" w:ascii="宋体" w:hAnsi="宋体" w:eastAsia="宋体" w:cs="宋体"/>
                <w:i w:val="0"/>
                <w:iCs w:val="0"/>
                <w:color w:val="auto"/>
                <w:kern w:val="0"/>
                <w:sz w:val="21"/>
                <w:szCs w:val="21"/>
                <w:highlight w:val="none"/>
                <w:u w:val="none"/>
                <w:lang w:val="en-US" w:eastAsia="zh-CN" w:bidi="ar"/>
              </w:rPr>
              <w:t>以中标通知书为准。</w:t>
            </w:r>
            <w:r>
              <w:rPr>
                <w:rFonts w:hint="eastAsia" w:ascii="宋体" w:hAnsi="宋体" w:eastAsia="宋体" w:cs="宋体"/>
                <w:bCs/>
                <w:color w:val="auto"/>
                <w:szCs w:val="21"/>
                <w:highlight w:val="none"/>
              </w:rPr>
              <w:t>不同中标通知书的中标金额不累加，一份中标通知书计一个业绩。中标金额指招标代理服务的项目的中标金额。</w:t>
            </w:r>
          </w:p>
        </w:tc>
        <w:tc>
          <w:tcPr>
            <w:tcW w:w="240" w:type="dxa"/>
            <w:shd w:val="clear" w:color="auto" w:fill="auto"/>
            <w:vAlign w:val="center"/>
          </w:tcPr>
          <w:p>
            <w:pPr>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snapToGrid w:val="0"/>
              <w:ind w:left="-2" w:leftChars="-1"/>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设计施工总承包招标代理业绩</w:t>
            </w:r>
          </w:p>
        </w:tc>
        <w:tc>
          <w:tcPr>
            <w:tcW w:w="709" w:type="dxa"/>
            <w:shd w:val="clear" w:color="auto" w:fill="auto"/>
            <w:vAlign w:val="center"/>
          </w:tcPr>
          <w:p>
            <w:pPr>
              <w:spacing w:line="240" w:lineRule="auto"/>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9797" w:type="dxa"/>
            <w:shd w:val="clear" w:color="auto" w:fill="auto"/>
            <w:vAlign w:val="center"/>
          </w:tcPr>
          <w:p>
            <w:pPr>
              <w:pStyle w:val="9"/>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投标人自2018年1月1日至今独立完成过总投资额</w:t>
            </w:r>
            <w:r>
              <w:rPr>
                <w:rFonts w:hint="eastAsia" w:hAnsi="宋体" w:cs="宋体"/>
                <w:i w:val="0"/>
                <w:iCs w:val="0"/>
                <w:color w:val="auto"/>
                <w:kern w:val="0"/>
                <w:sz w:val="21"/>
                <w:szCs w:val="21"/>
                <w:highlight w:val="none"/>
                <w:u w:val="none"/>
                <w:lang w:val="en-US" w:eastAsia="zh-CN" w:bidi="ar"/>
              </w:rPr>
              <w:t>9</w:t>
            </w:r>
            <w:r>
              <w:rPr>
                <w:rFonts w:hint="eastAsia" w:ascii="宋体" w:hAnsi="宋体" w:eastAsia="宋体" w:cs="宋体"/>
                <w:i w:val="0"/>
                <w:iCs w:val="0"/>
                <w:color w:val="auto"/>
                <w:kern w:val="0"/>
                <w:sz w:val="21"/>
                <w:szCs w:val="21"/>
                <w:highlight w:val="none"/>
                <w:u w:val="none"/>
                <w:lang w:val="en-US" w:eastAsia="zh-CN" w:bidi="ar"/>
              </w:rPr>
              <w:t>00万元或以上的</w:t>
            </w:r>
            <w:r>
              <w:rPr>
                <w:rFonts w:hint="eastAsia" w:hAnsi="宋体" w:cs="宋体"/>
                <w:i w:val="0"/>
                <w:iCs w:val="0"/>
                <w:color w:val="auto"/>
                <w:kern w:val="0"/>
                <w:sz w:val="21"/>
                <w:szCs w:val="21"/>
                <w:highlight w:val="none"/>
                <w:u w:val="none"/>
                <w:lang w:val="en-US" w:eastAsia="zh-CN" w:bidi="ar"/>
              </w:rPr>
              <w:t>设计施工总承包</w:t>
            </w:r>
            <w:r>
              <w:rPr>
                <w:rFonts w:hint="eastAsia" w:ascii="宋体" w:hAnsi="宋体" w:eastAsia="宋体" w:cs="宋体"/>
                <w:i w:val="0"/>
                <w:iCs w:val="0"/>
                <w:color w:val="auto"/>
                <w:kern w:val="0"/>
                <w:sz w:val="21"/>
                <w:szCs w:val="21"/>
                <w:highlight w:val="none"/>
                <w:u w:val="none"/>
                <w:lang w:val="en-US" w:eastAsia="zh-CN" w:bidi="ar"/>
              </w:rPr>
              <w:t>招标代理业绩，每提供1个得1分，最多得</w:t>
            </w:r>
            <w:r>
              <w:rPr>
                <w:rFonts w:hint="eastAsia"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注：招标代理业绩须是独立完成的公开招标代理业绩，需提供所完成招标代理项目的中标通知书、招标代理合同，否则不予计算。招标代理项目</w:t>
            </w:r>
            <w:r>
              <w:rPr>
                <w:rFonts w:hint="eastAsia" w:hAnsi="宋体" w:cs="宋体"/>
                <w:i w:val="0"/>
                <w:iCs w:val="0"/>
                <w:color w:val="auto"/>
                <w:kern w:val="0"/>
                <w:sz w:val="21"/>
                <w:szCs w:val="21"/>
                <w:highlight w:val="none"/>
                <w:u w:val="none"/>
                <w:lang w:val="en-US" w:eastAsia="zh-CN" w:bidi="ar"/>
              </w:rPr>
              <w:t>业</w:t>
            </w:r>
            <w:r>
              <w:rPr>
                <w:rFonts w:hint="eastAsia" w:hAnsi="宋体" w:cs="宋体"/>
                <w:i w:val="0"/>
                <w:iCs w:val="0"/>
                <w:color w:val="auto"/>
                <w:kern w:val="0"/>
                <w:sz w:val="21"/>
                <w:szCs w:val="21"/>
                <w:highlight w:val="none"/>
                <w:u w:val="dotted"/>
                <w:lang w:val="en-US" w:eastAsia="zh-CN" w:bidi="ar"/>
              </w:rPr>
              <w:t>绩</w:t>
            </w:r>
            <w:r>
              <w:rPr>
                <w:rFonts w:hint="eastAsia" w:ascii="宋体" w:hAnsi="宋体" w:eastAsia="宋体" w:cs="宋体"/>
                <w:i w:val="0"/>
                <w:iCs w:val="0"/>
                <w:color w:val="auto"/>
                <w:kern w:val="0"/>
                <w:sz w:val="21"/>
                <w:szCs w:val="21"/>
                <w:highlight w:val="none"/>
                <w:u w:val="none"/>
                <w:lang w:val="en-US" w:eastAsia="zh-CN" w:bidi="ar"/>
              </w:rPr>
              <w:t>完成时间</w:t>
            </w:r>
            <w:r>
              <w:rPr>
                <w:rFonts w:hint="eastAsia" w:hAnsi="宋体" w:cs="宋体"/>
                <w:i w:val="0"/>
                <w:iCs w:val="0"/>
                <w:color w:val="auto"/>
                <w:kern w:val="0"/>
                <w:sz w:val="21"/>
                <w:szCs w:val="21"/>
                <w:highlight w:val="none"/>
                <w:u w:val="none"/>
                <w:lang w:val="en-US" w:eastAsia="zh-CN" w:bidi="ar"/>
              </w:rPr>
              <w:t>和金额</w:t>
            </w:r>
            <w:r>
              <w:rPr>
                <w:rFonts w:hint="eastAsia" w:ascii="宋体" w:hAnsi="宋体" w:eastAsia="宋体" w:cs="宋体"/>
                <w:i w:val="0"/>
                <w:iCs w:val="0"/>
                <w:color w:val="auto"/>
                <w:kern w:val="0"/>
                <w:sz w:val="21"/>
                <w:szCs w:val="21"/>
                <w:highlight w:val="none"/>
                <w:u w:val="none"/>
                <w:lang w:val="en-US" w:eastAsia="zh-CN" w:bidi="ar"/>
              </w:rPr>
              <w:t>以中标通知书为准。</w:t>
            </w:r>
            <w:r>
              <w:rPr>
                <w:rFonts w:hint="eastAsia" w:ascii="宋体" w:hAnsi="宋体" w:eastAsia="宋体" w:cs="宋体"/>
                <w:bCs/>
                <w:color w:val="auto"/>
                <w:szCs w:val="21"/>
                <w:highlight w:val="none"/>
              </w:rPr>
              <w:t>不同中标通知书的中标金额不累加，一份中标通知书计一个业绩。中标金额指招标代理服务的项目的中标金额。</w:t>
            </w:r>
          </w:p>
        </w:tc>
        <w:tc>
          <w:tcPr>
            <w:tcW w:w="240" w:type="dxa"/>
            <w:shd w:val="clear" w:color="auto" w:fill="auto"/>
            <w:vAlign w:val="center"/>
          </w:tcPr>
          <w:p>
            <w:pPr>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纳税信用</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color w:val="auto"/>
                <w:szCs w:val="21"/>
                <w:highlight w:val="none"/>
                <w:lang w:val="en-US" w:eastAsia="zh-CN"/>
              </w:rPr>
            </w:pPr>
            <w:r>
              <w:rPr>
                <w:rFonts w:hint="eastAsia" w:ascii="宋体" w:hAnsi="Courier New"/>
                <w:color w:val="auto"/>
                <w:szCs w:val="21"/>
                <w:highlight w:val="none"/>
              </w:rPr>
              <w:t>至投标截止日前，</w:t>
            </w:r>
            <w:r>
              <w:rPr>
                <w:rFonts w:hint="eastAsia" w:ascii="宋体" w:hAnsi="宋体" w:eastAsia="宋体" w:cs="宋体"/>
                <w:i w:val="0"/>
                <w:iCs w:val="0"/>
                <w:color w:val="auto"/>
                <w:kern w:val="0"/>
                <w:sz w:val="21"/>
                <w:szCs w:val="21"/>
                <w:highlight w:val="none"/>
                <w:u w:val="none"/>
                <w:lang w:val="en-US" w:eastAsia="zh-CN" w:bidi="ar"/>
              </w:rPr>
              <w:t>投标人被评为“纳税信用A级纳税人”称号的次数：每获得1次得1分，最多得4分，没有的不得分。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A级纳税人以国家税务总局或下属各省（市）级税务部门颁发的“纳税信用A级”证书，或以国家税务总局或下属各省（市）级税务部门网站的查询结果为准，纳税人登记只计算投标人自身（不计算投标人的分公司和子公司）。投标人须提供证书扫描件或在上述网站的查询结果网页打印页（截图）（不符合条件或无提交上述证明文件的不计分）。时间以税务部门网站公布的获奖年度（评价年度）或证书评价年度为准。</w:t>
            </w:r>
          </w:p>
        </w:tc>
        <w:tc>
          <w:tcPr>
            <w:tcW w:w="240" w:type="dxa"/>
            <w:shd w:val="clear" w:color="auto" w:fill="auto"/>
            <w:vAlign w:val="center"/>
          </w:tcPr>
          <w:p>
            <w:pPr>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体系认证</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投标人具备有效期内的质量管理体系认证、环境管理体系认证、职业健康安全管理体系认证，每有1项得1分，最多得3分，没有的不得分。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须同时提供①有效的认证证书扫描件，②网站公布的链接信息资料截图或打印页（以国家市场监督管理总局网站http://cx.cnca.cn/CertECloud/result/skipResultList公布为准），如公开信息中无法查询或与公开信息不一致的，投标人必须提供发证机构出具的证明函，否则不得分。</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88"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rPr>
              <w:t>信用</w:t>
            </w:r>
            <w:r>
              <w:rPr>
                <w:rFonts w:hint="eastAsia" w:ascii="宋体" w:hAnsi="宋体" w:cs="宋体"/>
                <w:color w:val="auto"/>
                <w:kern w:val="0"/>
                <w:szCs w:val="21"/>
                <w:highlight w:val="none"/>
              </w:rPr>
              <w:t>评价</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9797" w:type="dxa"/>
            <w:shd w:val="clear" w:color="auto" w:fill="auto"/>
            <w:vAlign w:val="center"/>
          </w:tcPr>
          <w:p>
            <w:pPr>
              <w:pStyle w:val="2"/>
              <w:spacing w:line="288" w:lineRule="auto"/>
              <w:ind w:firstLine="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rPr>
              <w:t>20</w:t>
            </w:r>
            <w:r>
              <w:rPr>
                <w:rFonts w:hint="eastAsia" w:ascii="宋体" w:hAnsi="宋体" w:cs="宋体"/>
                <w:color w:val="auto"/>
                <w:kern w:val="0"/>
                <w:szCs w:val="21"/>
                <w:highlight w:val="none"/>
                <w:lang w:val="en-US" w:eastAsia="zh-CN"/>
              </w:rPr>
              <w:t>18</w:t>
            </w:r>
            <w:r>
              <w:rPr>
                <w:rFonts w:hint="eastAsia" w:ascii="宋体" w:hAnsi="宋体" w:cs="宋体"/>
                <w:color w:val="auto"/>
                <w:kern w:val="0"/>
                <w:szCs w:val="21"/>
                <w:highlight w:val="none"/>
              </w:rPr>
              <w:t>年1月1日至今，投标人获得中国招标投标协会颁发的“企业信用等级证书”（评价结果为AAA级）得5分，没有的不得分。注：需提供证书扫描件，以发证时间为准。</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项目负责人</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1、具备工程类高级或以上职称的，得3分；</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eastAsia="宋体" w:cs="宋体"/>
                <w:color w:val="auto"/>
                <w:kern w:val="0"/>
                <w:szCs w:val="21"/>
                <w:highlight w:val="none"/>
                <w:u w:val="none"/>
                <w:lang w:bidi="ar"/>
              </w:rPr>
              <w:t>具有中级（或以上）招采人员专业技术能力评价证书得</w:t>
            </w:r>
            <w:r>
              <w:rPr>
                <w:rFonts w:hint="eastAsia" w:ascii="宋体" w:hAnsi="宋体" w:eastAsia="宋体" w:cs="宋体"/>
                <w:color w:val="auto"/>
                <w:kern w:val="0"/>
                <w:szCs w:val="21"/>
                <w:highlight w:val="none"/>
                <w:u w:val="none"/>
                <w:lang w:val="en-US" w:eastAsia="zh-CN" w:bidi="ar"/>
              </w:rPr>
              <w:t>3</w:t>
            </w:r>
            <w:r>
              <w:rPr>
                <w:rFonts w:hint="eastAsia" w:ascii="宋体" w:hAnsi="宋体" w:eastAsia="宋体" w:cs="宋体"/>
                <w:color w:val="auto"/>
                <w:kern w:val="0"/>
                <w:szCs w:val="21"/>
                <w:highlight w:val="none"/>
                <w:u w:val="none"/>
                <w:lang w:bidi="ar"/>
              </w:rPr>
              <w:t>分。（须同时提供国家级协会颁发的证书及该协会在“中国社会组织政务服务平台”网站的登记信息查询结果网页打印件，否则不予计分。）</w:t>
            </w:r>
          </w:p>
          <w:p>
            <w:pPr>
              <w:keepNext w:val="0"/>
              <w:keepLines w:val="0"/>
              <w:widowControl/>
              <w:suppressLineNumbers w:val="0"/>
              <w:spacing w:line="240" w:lineRule="auto"/>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其他不得分。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注：需提供证书扫描件、身份证、投标截止时间近3个月中的任意1个月在本单位交纳的社保证明文件。</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项目人员</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拟投入的项目人员（除项目负责人外）具有工程类中级或以上职称的，每配备1名得1分，最多得4分；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注：需提供证书扫描件、身份证、投标截止时间近3个月中的任意1个月在本单位交纳的社保证明文件。</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6"/>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招标代理实施方案</w:t>
            </w:r>
          </w:p>
        </w:tc>
        <w:tc>
          <w:tcPr>
            <w:tcW w:w="70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40</w:t>
            </w:r>
          </w:p>
        </w:tc>
        <w:tc>
          <w:tcPr>
            <w:tcW w:w="9797"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1、优：招标代理实施方案能根据建设项目的服务需求做出深入分析，思路清晰，实施步骤明晰，措施完善、可行，人员和设备配置齐全，对实施过程有规范的管理，得31-40分；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2、良：实施方案基本可行，完善性、针对性等相对较好得16-30分；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3、中：有实施方案，但方案欠完善性、针对性不强，得1-15分；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4、差：未提供方案，得0分。</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40" w:lineRule="auto"/>
              <w:ind w:left="-2" w:leftChars="-1"/>
              <w:jc w:val="cente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30</w:t>
            </w:r>
          </w:p>
        </w:tc>
        <w:tc>
          <w:tcPr>
            <w:tcW w:w="9797" w:type="dxa"/>
            <w:shd w:val="clear" w:color="auto" w:fill="auto"/>
          </w:tcPr>
          <w:p>
            <w:pPr>
              <w:jc w:val="left"/>
              <w:rPr>
                <w:rFonts w:hint="eastAsia" w:ascii="宋体" w:hAnsi="宋体" w:eastAsia="宋体" w:cs="宋体"/>
                <w:color w:val="auto"/>
                <w:szCs w:val="21"/>
                <w:highlight w:val="none"/>
              </w:rPr>
            </w:pP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0-[（报价-基准价）/基准价]×100×1</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0-[（基准价-报价）/基准价]×100×0.5</w:t>
            </w:r>
          </w:p>
        </w:tc>
        <w:tc>
          <w:tcPr>
            <w:tcW w:w="240" w:type="dxa"/>
            <w:shd w:val="clear" w:color="auto" w:fill="auto"/>
            <w:vAlign w:val="center"/>
          </w:tcPr>
          <w:p>
            <w:pPr>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4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spacing w:line="240" w:lineRule="auto"/>
              <w:ind w:left="-2" w:leftChars="-1"/>
              <w:rPr>
                <w:rFonts w:hint="eastAsia" w:ascii="宋体" w:hAnsi="宋体" w:eastAsia="宋体" w:cs="宋体"/>
                <w:color w:val="auto"/>
                <w:sz w:val="21"/>
                <w:szCs w:val="21"/>
                <w:highlight w:val="none"/>
              </w:rPr>
            </w:pPr>
          </w:p>
        </w:tc>
        <w:tc>
          <w:tcPr>
            <w:tcW w:w="240" w:type="dxa"/>
            <w:shd w:val="clear" w:color="auto" w:fill="auto"/>
            <w:vAlign w:val="center"/>
          </w:tcPr>
          <w:p>
            <w:pPr>
              <w:spacing w:line="240" w:lineRule="auto"/>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420" w:firstLineChars="200"/>
        <w:rPr>
          <w:rFonts w:hint="eastAsia" w:ascii="宋体" w:hAnsi="宋体" w:cs="宋体"/>
          <w:color w:val="auto"/>
          <w:szCs w:val="18"/>
          <w:highlight w:val="none"/>
          <w:lang w:eastAsia="zh-CN"/>
        </w:rPr>
      </w:pP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0"/>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5"/>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广州南沙建设维护管理有限公司</w:t>
      </w:r>
      <w:r>
        <w:rPr>
          <w:rFonts w:hint="eastAsia" w:ascii="宋体" w:hAnsi="宋体" w:eastAsia="宋体"/>
          <w:color w:val="auto"/>
          <w:sz w:val="24"/>
          <w:szCs w:val="24"/>
          <w:highlight w:val="none"/>
          <w:u w:val="single"/>
        </w:rPr>
        <w:t xml:space="preserve"> </w:t>
      </w:r>
    </w:p>
    <w:p>
      <w:pPr>
        <w:pStyle w:val="35"/>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天后宫灯光亮化、古街项目招标代理服务</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5"/>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6"/>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5"/>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5"/>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3E14A1"/>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48052C"/>
    <w:rsid w:val="025A13E2"/>
    <w:rsid w:val="0284231A"/>
    <w:rsid w:val="02E9680F"/>
    <w:rsid w:val="02F7533D"/>
    <w:rsid w:val="030457ED"/>
    <w:rsid w:val="033C70A7"/>
    <w:rsid w:val="03562994"/>
    <w:rsid w:val="03CB6D70"/>
    <w:rsid w:val="04364A4F"/>
    <w:rsid w:val="04376975"/>
    <w:rsid w:val="044C08C6"/>
    <w:rsid w:val="04E40895"/>
    <w:rsid w:val="051B7598"/>
    <w:rsid w:val="052E78DA"/>
    <w:rsid w:val="059A4101"/>
    <w:rsid w:val="0769363A"/>
    <w:rsid w:val="07F66A4C"/>
    <w:rsid w:val="083B43B1"/>
    <w:rsid w:val="086A3D60"/>
    <w:rsid w:val="08757A2C"/>
    <w:rsid w:val="08A64347"/>
    <w:rsid w:val="08A9464F"/>
    <w:rsid w:val="08D505E6"/>
    <w:rsid w:val="09062DA7"/>
    <w:rsid w:val="09577D3C"/>
    <w:rsid w:val="09A667E8"/>
    <w:rsid w:val="0A31358E"/>
    <w:rsid w:val="0A621C44"/>
    <w:rsid w:val="0AD6020A"/>
    <w:rsid w:val="0B372B92"/>
    <w:rsid w:val="0BFF40FB"/>
    <w:rsid w:val="0C3C0E50"/>
    <w:rsid w:val="0C855B7E"/>
    <w:rsid w:val="0C87037B"/>
    <w:rsid w:val="0CF74903"/>
    <w:rsid w:val="0E1B10A8"/>
    <w:rsid w:val="0E80564C"/>
    <w:rsid w:val="0EA03B8A"/>
    <w:rsid w:val="0EAC0C18"/>
    <w:rsid w:val="0EB25F9A"/>
    <w:rsid w:val="0F263AB3"/>
    <w:rsid w:val="0F8D0176"/>
    <w:rsid w:val="0FD73768"/>
    <w:rsid w:val="10A4638E"/>
    <w:rsid w:val="10D83B3D"/>
    <w:rsid w:val="11135DC8"/>
    <w:rsid w:val="11A808AB"/>
    <w:rsid w:val="11D31BC3"/>
    <w:rsid w:val="11F528ED"/>
    <w:rsid w:val="12E86716"/>
    <w:rsid w:val="130F5872"/>
    <w:rsid w:val="134A310C"/>
    <w:rsid w:val="13E640E2"/>
    <w:rsid w:val="13E744B7"/>
    <w:rsid w:val="14082F52"/>
    <w:rsid w:val="14085DAD"/>
    <w:rsid w:val="14233C6D"/>
    <w:rsid w:val="14452035"/>
    <w:rsid w:val="1448567A"/>
    <w:rsid w:val="14582F59"/>
    <w:rsid w:val="145B3800"/>
    <w:rsid w:val="15B036FB"/>
    <w:rsid w:val="16007AF5"/>
    <w:rsid w:val="16F94C2D"/>
    <w:rsid w:val="17463991"/>
    <w:rsid w:val="179E3273"/>
    <w:rsid w:val="17E977C8"/>
    <w:rsid w:val="1873680D"/>
    <w:rsid w:val="18E67433"/>
    <w:rsid w:val="18F12637"/>
    <w:rsid w:val="19095239"/>
    <w:rsid w:val="19A846E9"/>
    <w:rsid w:val="19BE3F0C"/>
    <w:rsid w:val="1A6525DA"/>
    <w:rsid w:val="1A6E6489"/>
    <w:rsid w:val="1AB46DAB"/>
    <w:rsid w:val="1B6C2995"/>
    <w:rsid w:val="1BB630ED"/>
    <w:rsid w:val="1BC44893"/>
    <w:rsid w:val="1BE136FF"/>
    <w:rsid w:val="1C05708F"/>
    <w:rsid w:val="1C307374"/>
    <w:rsid w:val="1C9203A6"/>
    <w:rsid w:val="1D0A1E56"/>
    <w:rsid w:val="1E032835"/>
    <w:rsid w:val="1E562810"/>
    <w:rsid w:val="1EBD45C4"/>
    <w:rsid w:val="1F1C5732"/>
    <w:rsid w:val="1F584BD1"/>
    <w:rsid w:val="1FB54E4F"/>
    <w:rsid w:val="205D447F"/>
    <w:rsid w:val="206E043A"/>
    <w:rsid w:val="20AD4C4C"/>
    <w:rsid w:val="20D8387F"/>
    <w:rsid w:val="21424D60"/>
    <w:rsid w:val="215321ED"/>
    <w:rsid w:val="224A02E7"/>
    <w:rsid w:val="227411DF"/>
    <w:rsid w:val="234B0F30"/>
    <w:rsid w:val="23EE6B47"/>
    <w:rsid w:val="24856237"/>
    <w:rsid w:val="25053D8A"/>
    <w:rsid w:val="25687B33"/>
    <w:rsid w:val="25791876"/>
    <w:rsid w:val="26236584"/>
    <w:rsid w:val="26826F29"/>
    <w:rsid w:val="26B94C66"/>
    <w:rsid w:val="26FF6942"/>
    <w:rsid w:val="272101A5"/>
    <w:rsid w:val="272B74FA"/>
    <w:rsid w:val="2751149E"/>
    <w:rsid w:val="278C73F8"/>
    <w:rsid w:val="2837076A"/>
    <w:rsid w:val="285C501C"/>
    <w:rsid w:val="2865301D"/>
    <w:rsid w:val="288F0378"/>
    <w:rsid w:val="28AF3D50"/>
    <w:rsid w:val="28C86C87"/>
    <w:rsid w:val="29051210"/>
    <w:rsid w:val="296119D7"/>
    <w:rsid w:val="2A97100B"/>
    <w:rsid w:val="2AC91FB6"/>
    <w:rsid w:val="2B130F12"/>
    <w:rsid w:val="2B401296"/>
    <w:rsid w:val="2BAE6875"/>
    <w:rsid w:val="2BEC17AE"/>
    <w:rsid w:val="2C0B6D4E"/>
    <w:rsid w:val="2C1B0D4A"/>
    <w:rsid w:val="2C5357E2"/>
    <w:rsid w:val="2D0635AD"/>
    <w:rsid w:val="2D691CC1"/>
    <w:rsid w:val="2D907150"/>
    <w:rsid w:val="2DDB1EBF"/>
    <w:rsid w:val="2DE71DA9"/>
    <w:rsid w:val="2DF963B5"/>
    <w:rsid w:val="2E6C5CB5"/>
    <w:rsid w:val="2EC40C57"/>
    <w:rsid w:val="2EE433BF"/>
    <w:rsid w:val="2F184319"/>
    <w:rsid w:val="2F9B6BBA"/>
    <w:rsid w:val="2FB32CDC"/>
    <w:rsid w:val="2FEA73B1"/>
    <w:rsid w:val="30136E93"/>
    <w:rsid w:val="30334755"/>
    <w:rsid w:val="30EC6390"/>
    <w:rsid w:val="310E58AF"/>
    <w:rsid w:val="311233CC"/>
    <w:rsid w:val="31B57180"/>
    <w:rsid w:val="33113670"/>
    <w:rsid w:val="34935BA4"/>
    <w:rsid w:val="34A264CA"/>
    <w:rsid w:val="35830B03"/>
    <w:rsid w:val="3700775A"/>
    <w:rsid w:val="370C7AF3"/>
    <w:rsid w:val="37A26BD4"/>
    <w:rsid w:val="37AE7FE3"/>
    <w:rsid w:val="38417D8A"/>
    <w:rsid w:val="390B4D39"/>
    <w:rsid w:val="39690996"/>
    <w:rsid w:val="39731517"/>
    <w:rsid w:val="39F52602"/>
    <w:rsid w:val="39FC703A"/>
    <w:rsid w:val="3A9A304E"/>
    <w:rsid w:val="3AC802EF"/>
    <w:rsid w:val="3B183024"/>
    <w:rsid w:val="3B6D4312"/>
    <w:rsid w:val="3BB718A6"/>
    <w:rsid w:val="3BC04127"/>
    <w:rsid w:val="3C88543E"/>
    <w:rsid w:val="3CB7521C"/>
    <w:rsid w:val="3CE76215"/>
    <w:rsid w:val="3CFF0303"/>
    <w:rsid w:val="3D7619F9"/>
    <w:rsid w:val="3D957982"/>
    <w:rsid w:val="3D96007A"/>
    <w:rsid w:val="3F196644"/>
    <w:rsid w:val="3F4915A0"/>
    <w:rsid w:val="3F5F332B"/>
    <w:rsid w:val="3F641BC2"/>
    <w:rsid w:val="3F8502F8"/>
    <w:rsid w:val="3FBE56FE"/>
    <w:rsid w:val="3FD704B2"/>
    <w:rsid w:val="401634DE"/>
    <w:rsid w:val="403B7AF1"/>
    <w:rsid w:val="405854B3"/>
    <w:rsid w:val="408D1DBF"/>
    <w:rsid w:val="409313F9"/>
    <w:rsid w:val="40B7508E"/>
    <w:rsid w:val="40CA2819"/>
    <w:rsid w:val="41EC3A6C"/>
    <w:rsid w:val="42A2655E"/>
    <w:rsid w:val="42D16917"/>
    <w:rsid w:val="43420D2F"/>
    <w:rsid w:val="436C5E0D"/>
    <w:rsid w:val="43F36E83"/>
    <w:rsid w:val="44631084"/>
    <w:rsid w:val="446A549B"/>
    <w:rsid w:val="44800368"/>
    <w:rsid w:val="44D85C7F"/>
    <w:rsid w:val="44E811C0"/>
    <w:rsid w:val="45E74C1B"/>
    <w:rsid w:val="46871AD6"/>
    <w:rsid w:val="46963997"/>
    <w:rsid w:val="47025D0E"/>
    <w:rsid w:val="4735560E"/>
    <w:rsid w:val="47413F22"/>
    <w:rsid w:val="474F5344"/>
    <w:rsid w:val="4792678F"/>
    <w:rsid w:val="47E03B89"/>
    <w:rsid w:val="481D5A38"/>
    <w:rsid w:val="487975A7"/>
    <w:rsid w:val="48E17BF2"/>
    <w:rsid w:val="48E72086"/>
    <w:rsid w:val="49732ED5"/>
    <w:rsid w:val="499C01CA"/>
    <w:rsid w:val="49EF5898"/>
    <w:rsid w:val="4A1079FD"/>
    <w:rsid w:val="4A1D620C"/>
    <w:rsid w:val="4A572534"/>
    <w:rsid w:val="4AED722D"/>
    <w:rsid w:val="4B3D40BA"/>
    <w:rsid w:val="4B985ABC"/>
    <w:rsid w:val="4BC136D0"/>
    <w:rsid w:val="4BF328A0"/>
    <w:rsid w:val="4C2E17B4"/>
    <w:rsid w:val="4C81677F"/>
    <w:rsid w:val="4D195C1E"/>
    <w:rsid w:val="4D904DD7"/>
    <w:rsid w:val="4D9C287D"/>
    <w:rsid w:val="4D9C5D37"/>
    <w:rsid w:val="4DC04FA6"/>
    <w:rsid w:val="4DC53F66"/>
    <w:rsid w:val="4E2A0E48"/>
    <w:rsid w:val="4FC91A1A"/>
    <w:rsid w:val="5049448C"/>
    <w:rsid w:val="504E77F9"/>
    <w:rsid w:val="50DB6247"/>
    <w:rsid w:val="51531E87"/>
    <w:rsid w:val="51552F81"/>
    <w:rsid w:val="51AB2104"/>
    <w:rsid w:val="522E4DA3"/>
    <w:rsid w:val="525A7F6F"/>
    <w:rsid w:val="52760C06"/>
    <w:rsid w:val="530E35F9"/>
    <w:rsid w:val="53226B3F"/>
    <w:rsid w:val="53427976"/>
    <w:rsid w:val="535B036B"/>
    <w:rsid w:val="537E1A3B"/>
    <w:rsid w:val="53A07C03"/>
    <w:rsid w:val="53A63423"/>
    <w:rsid w:val="53B638D1"/>
    <w:rsid w:val="54386D63"/>
    <w:rsid w:val="54A36172"/>
    <w:rsid w:val="54BC0EE8"/>
    <w:rsid w:val="55D41C4B"/>
    <w:rsid w:val="55FA7A9F"/>
    <w:rsid w:val="5702252D"/>
    <w:rsid w:val="572444C0"/>
    <w:rsid w:val="576D49E8"/>
    <w:rsid w:val="57B957CF"/>
    <w:rsid w:val="594E2C0E"/>
    <w:rsid w:val="594F1692"/>
    <w:rsid w:val="59566C52"/>
    <w:rsid w:val="597674DD"/>
    <w:rsid w:val="5A416E84"/>
    <w:rsid w:val="5AAF5CCA"/>
    <w:rsid w:val="5B6E68B8"/>
    <w:rsid w:val="5B6F6839"/>
    <w:rsid w:val="5B8D6C19"/>
    <w:rsid w:val="5BAA698D"/>
    <w:rsid w:val="5BC57A14"/>
    <w:rsid w:val="5BCE61FA"/>
    <w:rsid w:val="5C1178F0"/>
    <w:rsid w:val="5C9B134E"/>
    <w:rsid w:val="5D5E6B65"/>
    <w:rsid w:val="5DAA1580"/>
    <w:rsid w:val="5DF14932"/>
    <w:rsid w:val="5DFF04E8"/>
    <w:rsid w:val="5E1A6FB5"/>
    <w:rsid w:val="5E7A3CE2"/>
    <w:rsid w:val="5E88357B"/>
    <w:rsid w:val="5E960581"/>
    <w:rsid w:val="5EF7330D"/>
    <w:rsid w:val="5F355496"/>
    <w:rsid w:val="5F8349F8"/>
    <w:rsid w:val="5F865CD7"/>
    <w:rsid w:val="5F925D77"/>
    <w:rsid w:val="5FDC4484"/>
    <w:rsid w:val="60BA0556"/>
    <w:rsid w:val="60F61E20"/>
    <w:rsid w:val="61A7533B"/>
    <w:rsid w:val="61EC57BA"/>
    <w:rsid w:val="621244D5"/>
    <w:rsid w:val="62B2296D"/>
    <w:rsid w:val="62B247EF"/>
    <w:rsid w:val="636147EE"/>
    <w:rsid w:val="63DB6B9E"/>
    <w:rsid w:val="644A7E43"/>
    <w:rsid w:val="65B441A4"/>
    <w:rsid w:val="65D8147F"/>
    <w:rsid w:val="65DD0843"/>
    <w:rsid w:val="66373494"/>
    <w:rsid w:val="66591B82"/>
    <w:rsid w:val="679E438E"/>
    <w:rsid w:val="68550B65"/>
    <w:rsid w:val="6898637C"/>
    <w:rsid w:val="68B16D7B"/>
    <w:rsid w:val="68BA7003"/>
    <w:rsid w:val="691C25EA"/>
    <w:rsid w:val="698555C7"/>
    <w:rsid w:val="6A443530"/>
    <w:rsid w:val="6C281E78"/>
    <w:rsid w:val="6C307E68"/>
    <w:rsid w:val="6C920572"/>
    <w:rsid w:val="6DB227E4"/>
    <w:rsid w:val="6DBE1759"/>
    <w:rsid w:val="6DC31ECB"/>
    <w:rsid w:val="6E2B5F27"/>
    <w:rsid w:val="6E307289"/>
    <w:rsid w:val="6E522AC7"/>
    <w:rsid w:val="6E656845"/>
    <w:rsid w:val="6F471F5D"/>
    <w:rsid w:val="6F891280"/>
    <w:rsid w:val="6F8E74DB"/>
    <w:rsid w:val="6FE80510"/>
    <w:rsid w:val="70271038"/>
    <w:rsid w:val="70727FF1"/>
    <w:rsid w:val="70836CF8"/>
    <w:rsid w:val="70CF07C8"/>
    <w:rsid w:val="710F157A"/>
    <w:rsid w:val="71840FD7"/>
    <w:rsid w:val="718C3480"/>
    <w:rsid w:val="721D56A4"/>
    <w:rsid w:val="72BF7C4E"/>
    <w:rsid w:val="72F3401B"/>
    <w:rsid w:val="731416B4"/>
    <w:rsid w:val="73712518"/>
    <w:rsid w:val="738A0204"/>
    <w:rsid w:val="738E7AB2"/>
    <w:rsid w:val="73EF0074"/>
    <w:rsid w:val="741E060E"/>
    <w:rsid w:val="74393A30"/>
    <w:rsid w:val="74624F7D"/>
    <w:rsid w:val="74B72A06"/>
    <w:rsid w:val="7546516B"/>
    <w:rsid w:val="755A5818"/>
    <w:rsid w:val="75AF555B"/>
    <w:rsid w:val="7623487F"/>
    <w:rsid w:val="763204BA"/>
    <w:rsid w:val="767D2F83"/>
    <w:rsid w:val="76F3488A"/>
    <w:rsid w:val="77281C38"/>
    <w:rsid w:val="7741229E"/>
    <w:rsid w:val="781828A1"/>
    <w:rsid w:val="781C3DC0"/>
    <w:rsid w:val="78780B98"/>
    <w:rsid w:val="788E06C1"/>
    <w:rsid w:val="78D76423"/>
    <w:rsid w:val="78D86E43"/>
    <w:rsid w:val="79566D81"/>
    <w:rsid w:val="79B10E72"/>
    <w:rsid w:val="79E02BD8"/>
    <w:rsid w:val="7A2B55F9"/>
    <w:rsid w:val="7A3458D0"/>
    <w:rsid w:val="7A4B048B"/>
    <w:rsid w:val="7A596E9F"/>
    <w:rsid w:val="7A7C35B8"/>
    <w:rsid w:val="7A96669D"/>
    <w:rsid w:val="7AC70013"/>
    <w:rsid w:val="7B672810"/>
    <w:rsid w:val="7B681B66"/>
    <w:rsid w:val="7C1032C9"/>
    <w:rsid w:val="7C561F60"/>
    <w:rsid w:val="7C6B2EC5"/>
    <w:rsid w:val="7C831CEC"/>
    <w:rsid w:val="7DAD523A"/>
    <w:rsid w:val="7DDF7DDD"/>
    <w:rsid w:val="7E300909"/>
    <w:rsid w:val="7EC62C4C"/>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3"/>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next w:val="1"/>
    <w:qFormat/>
    <w:uiPriority w:val="0"/>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annotation text"/>
    <w:basedOn w:val="1"/>
    <w:semiHidden/>
    <w:unhideWhenUsed/>
    <w:qFormat/>
    <w:uiPriority w:val="0"/>
    <w:pPr>
      <w:jc w:val="left"/>
    </w:pPr>
  </w:style>
  <w:style w:type="paragraph" w:styleId="9">
    <w:name w:val="Plain Text"/>
    <w:basedOn w:val="1"/>
    <w:next w:val="1"/>
    <w:link w:val="32"/>
    <w:qFormat/>
    <w:uiPriority w:val="0"/>
    <w:rPr>
      <w:rFonts w:hint="eastAsia" w:ascii="宋体" w:hAnsi="Courier New" w:eastAsia="宋体" w:cs="Times New Roman"/>
      <w:szCs w:val="21"/>
    </w:rPr>
  </w:style>
  <w:style w:type="paragraph" w:styleId="10">
    <w:name w:val="Balloon Text"/>
    <w:basedOn w:val="1"/>
    <w:link w:val="30"/>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qFormat/>
    <w:uiPriority w:val="0"/>
    <w:rPr>
      <w:rFonts w:hint="default" w:ascii="Times New Roman" w:hAnsi="Times New Roman" w:cs="Times New Roman"/>
    </w:rPr>
  </w:style>
  <w:style w:type="character" w:customStyle="1" w:styleId="26">
    <w:name w:val="15"/>
    <w:basedOn w:val="15"/>
    <w:qFormat/>
    <w:uiPriority w:val="0"/>
    <w:rPr>
      <w:rFonts w:hint="default" w:ascii="Times New Roman" w:hAnsi="Times New Roman" w:cs="Times New Roman"/>
    </w:rPr>
  </w:style>
  <w:style w:type="character" w:customStyle="1" w:styleId="27">
    <w:name w:val="16"/>
    <w:basedOn w:val="15"/>
    <w:qFormat/>
    <w:uiPriority w:val="0"/>
    <w:rPr>
      <w:rFonts w:hint="default" w:ascii="Times New Roman" w:hAnsi="Times New Roman" w:cs="Times New Roman"/>
      <w:color w:val="0000FF"/>
      <w:u w:val="single"/>
    </w:rPr>
  </w:style>
  <w:style w:type="character" w:customStyle="1" w:styleId="28">
    <w:name w:val="页眉 Char"/>
    <w:basedOn w:val="15"/>
    <w:link w:val="12"/>
    <w:qFormat/>
    <w:uiPriority w:val="0"/>
    <w:rPr>
      <w:rFonts w:asciiTheme="minorHAnsi" w:hAnsiTheme="minorHAnsi" w:eastAsiaTheme="minorEastAsia" w:cstheme="minorBidi"/>
      <w:kern w:val="2"/>
      <w:sz w:val="18"/>
      <w:szCs w:val="18"/>
    </w:rPr>
  </w:style>
  <w:style w:type="character" w:customStyle="1" w:styleId="29">
    <w:name w:val="页脚 Char"/>
    <w:basedOn w:val="15"/>
    <w:link w:val="11"/>
    <w:qFormat/>
    <w:uiPriority w:val="0"/>
    <w:rPr>
      <w:rFonts w:asciiTheme="minorHAnsi" w:hAnsiTheme="minorHAnsi" w:eastAsiaTheme="minorEastAsia" w:cstheme="minorBidi"/>
      <w:kern w:val="2"/>
      <w:sz w:val="18"/>
      <w:szCs w:val="18"/>
    </w:rPr>
  </w:style>
  <w:style w:type="character" w:customStyle="1" w:styleId="30">
    <w:name w:val="批注框文本 Char"/>
    <w:basedOn w:val="15"/>
    <w:link w:val="10"/>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Char"/>
    <w:link w:val="9"/>
    <w:qFormat/>
    <w:uiPriority w:val="0"/>
    <w:rPr>
      <w:rFonts w:ascii="宋体" w:hAnsi="Courier New"/>
      <w:kern w:val="2"/>
      <w:sz w:val="21"/>
      <w:szCs w:val="21"/>
    </w:rPr>
  </w:style>
  <w:style w:type="character" w:customStyle="1" w:styleId="33">
    <w:name w:val="正文首行缩进 Char"/>
    <w:basedOn w:val="15"/>
    <w:link w:val="2"/>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16294</Words>
  <Characters>17181</Characters>
  <Lines>131</Lines>
  <Paragraphs>37</Paragraphs>
  <TotalTime>1</TotalTime>
  <ScaleCrop>false</ScaleCrop>
  <LinksUpToDate>false</LinksUpToDate>
  <CharactersWithSpaces>18293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2023-07-06T00:50:01Z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