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spacing w:before="0" w:beforeLines="-2147483648" w:line="360" w:lineRule="auto"/>
        <w:jc w:val="center"/>
        <w:rPr>
          <w:rFonts w:hint="eastAsia" w:ascii="宋体" w:hAnsi="宋体" w:eastAsia="黑体" w:cs="宋体"/>
          <w:b/>
          <w:color w:val="auto"/>
          <w:sz w:val="44"/>
          <w:szCs w:val="44"/>
          <w:highlight w:val="none"/>
          <w:lang w:eastAsia="zh-CN"/>
        </w:rPr>
      </w:pPr>
      <w:r>
        <w:rPr>
          <w:rFonts w:hint="eastAsia" w:ascii="宋体" w:hAnsi="宋体" w:eastAsia="黑体"/>
          <w:color w:val="auto"/>
          <w:sz w:val="48"/>
          <w:szCs w:val="48"/>
          <w:highlight w:val="none"/>
          <w:lang w:eastAsia="zh-CN"/>
        </w:rPr>
        <w:t>港口新鲜集市（A地块）项目设计服务</w:t>
      </w:r>
    </w:p>
    <w:p>
      <w:pPr>
        <w:jc w:val="center"/>
        <w:rPr>
          <w:rFonts w:ascii="宋体" w:hAnsi="宋体" w:eastAsia="宋体" w:cs="宋体"/>
          <w:color w:val="auto"/>
          <w:sz w:val="72"/>
          <w:szCs w:val="72"/>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广州南沙国际物流有限公司</w:t>
      </w:r>
      <w:r>
        <w:rPr>
          <w:rFonts w:hint="eastAsia" w:ascii="宋体" w:hAnsi="宋体" w:eastAsia="宋体" w:cs="宋体"/>
          <w:b/>
          <w:color w:val="auto"/>
          <w:sz w:val="32"/>
          <w:szCs w:val="32"/>
          <w:highlight w:val="none"/>
        </w:rPr>
        <w:t>（业主单位）</w:t>
      </w:r>
    </w:p>
    <w:p>
      <w:pPr>
        <w:spacing w:line="360" w:lineRule="auto"/>
        <w:ind w:firstLine="2123" w:firstLineChars="661"/>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928" w:firstLineChars="6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2023年</w:t>
      </w:r>
      <w:r>
        <w:rPr>
          <w:rFonts w:hint="eastAsia" w:ascii="宋体" w:hAnsi="宋体" w:eastAsia="宋体" w:cs="宋体"/>
          <w:b/>
          <w:color w:val="auto"/>
          <w:sz w:val="32"/>
          <w:szCs w:val="32"/>
          <w:highlight w:val="none"/>
          <w:lang w:val="en-US" w:eastAsia="zh-CN"/>
        </w:rPr>
        <w:t>7</w:t>
      </w:r>
      <w:r>
        <w:rPr>
          <w:rFonts w:hint="eastAsia" w:ascii="宋体" w:hAnsi="宋体" w:eastAsia="宋体" w:cs="宋体"/>
          <w:b/>
          <w:color w:val="auto"/>
          <w:sz w:val="32"/>
          <w:szCs w:val="32"/>
          <w:highlight w:val="none"/>
          <w:lang w:eastAsia="zh-CN"/>
        </w:rPr>
        <w:t>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1"/>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12"/>
        <w:widowControl/>
        <w:spacing w:after="0" w:line="360" w:lineRule="auto"/>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7710"/>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3"/>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港口新鲜集市（A地块）项目设计服务</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lang w:eastAsia="zh-CN"/>
              </w:rPr>
            </w:pPr>
            <w:r>
              <w:rPr>
                <w:rFonts w:hint="eastAsia" w:ascii="宋体" w:hAnsi="宋体" w:eastAsia="宋体" w:cs="宋体"/>
                <w:color w:val="auto"/>
                <w:sz w:val="21"/>
                <w:szCs w:val="21"/>
                <w:highlight w:val="none"/>
                <w:lang w:val="en-US" w:eastAsia="zh-CN"/>
              </w:rPr>
              <w:t>广州市南沙区龙穴岛西南侧</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毗邻南沙港一期、南沙港四期码头</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after="0"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项目规划总面积约27950平方米，其中权属土地约1.2万平方米(剔除市政路不可用面积)，铁路和土发中心权属土地分别约8000平方米。项目整体策划，分期开发，其中第一期位于地块东南侧，用地面积约15600平方米。一期主要打造进出口水果海鲜商品集市，同时配备餐饮及消费街区，包括箱式建筑（约884平方米）、集市广场、公共卫生间、绿化景观及配套的给排水、强弱电、灯光照明等;项目二期分布在一期西北侧，用地面积约5700平方米，预计在项目运营后第二年开始投入约1200平方米的建筑；项目三期分布在二期西侧，用地面积约6650平方米，预计在项目运营第四年开始投入约900平方米的建筑。</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（一、二、三期）投资</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lang w:val="en-US" w:eastAsia="zh-CN"/>
              </w:rPr>
              <w:t>1666.55万元，其中一期投资1150.37万元</w:t>
            </w:r>
            <w:r>
              <w:rPr>
                <w:rFonts w:hint="eastAsia" w:ascii="宋体" w:hAnsi="宋体" w:eastAsia="宋体" w:cs="宋体"/>
                <w:b w:val="0"/>
                <w:bCs w:val="0"/>
                <w:color w:val="auto"/>
                <w:sz w:val="21"/>
                <w:szCs w:val="21"/>
                <w:highlight w:val="none"/>
                <w:lang w:val="en-US" w:eastAsia="zh-CN"/>
              </w:rPr>
              <w:t>，二期投资280.35万元，三期投资235.83万元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（一）</w:t>
            </w:r>
            <w:r>
              <w:rPr>
                <w:rFonts w:hint="eastAsia" w:ascii="宋体" w:hAnsi="宋体" w:eastAsia="宋体" w:cs="宋体"/>
                <w:color w:val="auto"/>
                <w:sz w:val="21"/>
                <w:szCs w:val="21"/>
                <w:highlight w:val="none"/>
              </w:rPr>
              <w:t>总体要求：完成项目</w:t>
            </w:r>
            <w:r>
              <w:rPr>
                <w:rFonts w:hint="eastAsia" w:ascii="宋体" w:hAnsi="宋体" w:eastAsia="宋体" w:cs="宋体"/>
                <w:color w:val="auto"/>
                <w:sz w:val="21"/>
                <w:szCs w:val="21"/>
                <w:highlight w:val="none"/>
                <w:lang w:eastAsia="zh-CN"/>
              </w:rPr>
              <w:t>（一、二、三期）</w:t>
            </w:r>
            <w:r>
              <w:rPr>
                <w:rFonts w:hint="eastAsia" w:ascii="宋体" w:hAnsi="宋体" w:eastAsia="宋体" w:cs="宋体"/>
                <w:color w:val="auto"/>
                <w:sz w:val="21"/>
                <w:szCs w:val="21"/>
                <w:highlight w:val="none"/>
              </w:rPr>
              <w:t>的工程可行性研究报告</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竖向设计、管网综合方案、初步设计及评审、施工图设计工作，具体如下：</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1、根据概念方案设计，优化项目总平面空间布局；</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2、根据项目要求，完成项目各专业的设计工作，包括建筑、结构、给排水、电气、暖通、防雷、消防、室内装修装饰、园林景观等。</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完成地上构筑物的设计工作，包括但不限于平面布置、立面设计、剖面设计、室内装修装饰设计等。（1）确定构筑物材料、材质、颜色、规格、尺寸等设计参数，提供的设计参数必须能满足厂家完成深化设计的要求；（2）完成地上构筑物的装修装饰设计工作，主要包括箱式建筑的外立面及室内的装修、照明、暖通、给排水、排污、强弱电、智能化、灯光亮化、软装等设计工作。 </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3、完成室外广场的道路、停车场、园林景观设计，包括但不限于场地平整、标高关系处理、地砖铺设、道路设计、停车场、园林绿化景观、强弱电、给排水、排污、智能化、灯光亮化等设计工作。</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4、按照概念方案及建设单位要求，完成公共卫生间及儿童乐园的设计工作。</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5、完成项目的结构设计工作，包括但不限于集市广场遮阳区的结构设计工作、项目所有地上构筑物地基及基础部分的结构设计工作、项目所有园林景观的结构设计工作。</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6、完成公共区域艺术设计、公共区域标识的设计工作。</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7、需按照施工图审查单位要求修改、完善图纸。</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8、配合完成项目财评的工作，配合完成并提供财评所需的工程可行性研究报告、初步设计及评审的资料，并能按照南沙区财评中心要求迅速做出回复。</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9、及时完成施工过程现场服务及设计变更工作，并能按照建设单位要求迅速做出回复。施工过程提供材料样板的颜色、规格、尺寸等选型建议，必要时须驻场和参加项目例会。</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10、配合完成竣工图审核工作。</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11、图纸深度应达到国家建设部颁布的《建筑工程设计文件编制深度规定》（2016版）、《民用建筑工程施工图设计深度图样》(2009版)中相关条款的规定要求深度。</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提交成果</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工程可行性研究报告（电子文件格式为word、PDF，纸质文件 8 套） </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竖向设计、管网综合方案 (电子文件格式为DWG、PDF，纸质文件 8 套)</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初步设计及评审文件 (电子文件格式为 DWG、PDF，纸质文件 8 套)</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施工图文件(电子文件格式为 DWG、PDF，纸质文件 8 套)</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自招标人发出</w:t>
            </w:r>
            <w:r>
              <w:rPr>
                <w:rFonts w:hint="eastAsia" w:ascii="宋体" w:hAnsi="宋体" w:eastAsia="宋体" w:cs="宋体"/>
                <w:color w:val="auto"/>
                <w:sz w:val="21"/>
                <w:szCs w:val="21"/>
                <w:highlight w:val="none"/>
                <w:lang w:val="en-US" w:eastAsia="zh-CN"/>
              </w:rPr>
              <w:t>中标通知书后，至项目竣工验收并完成结算止。</w:t>
            </w:r>
          </w:p>
          <w:p>
            <w:pPr>
              <w:numPr>
                <w:ilvl w:val="-1"/>
                <w:numId w:val="0"/>
              </w:num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具体要求如下：</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1、初步设计及评审的工期要求：发出中标通知书后</w:t>
            </w: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0日历天内完成。</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2、施工图设计的工期要求：由于项目内容简单，在开展初步设计的同时开展施工图设计工作，发出中标通知书后</w:t>
            </w: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0日历天内完成。</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3、在收到建设单位发出的财评中心对图纸疑问及补充修改等要求后，需在24小时内完成回复。</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4、在收到建设单位发出的有关设计变更等工作联系函后，需在48小时内完成回复。</w:t>
            </w:r>
          </w:p>
          <w:p>
            <w:pPr>
              <w:numPr>
                <w:ilvl w:val="0"/>
                <w:numId w:val="0"/>
              </w:numPr>
              <w:spacing w:line="360" w:lineRule="auto"/>
              <w:ind w:firstLine="420" w:firstLineChars="200"/>
              <w:rPr>
                <w:rFonts w:hint="eastAsia" w:ascii="宋体" w:hAnsi="宋体" w:eastAsia="宋体" w:cs="宋体"/>
                <w:color w:val="auto"/>
                <w:szCs w:val="21"/>
                <w:highlight w:val="none"/>
              </w:rPr>
            </w:pP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投标人具有建筑行业设计</w:t>
            </w:r>
            <w:r>
              <w:rPr>
                <w:rFonts w:hint="eastAsia" w:ascii="宋体" w:hAnsi="宋体" w:eastAsia="宋体" w:cs="宋体"/>
                <w:color w:val="auto"/>
                <w:highlight w:val="none"/>
                <w:lang w:eastAsia="zh-CN"/>
              </w:rPr>
              <w:t>丙</w:t>
            </w:r>
            <w:r>
              <w:rPr>
                <w:rFonts w:hint="eastAsia" w:ascii="宋体" w:hAnsi="宋体" w:eastAsia="宋体" w:cs="宋体"/>
                <w:color w:val="auto"/>
                <w:highlight w:val="none"/>
              </w:rPr>
              <w:t>级(或以上）资质或建筑行业（建筑工程）专业</w:t>
            </w:r>
            <w:r>
              <w:rPr>
                <w:rFonts w:hint="eastAsia" w:ascii="宋体" w:hAnsi="宋体" w:eastAsia="宋体" w:cs="宋体"/>
                <w:color w:val="auto"/>
                <w:highlight w:val="none"/>
                <w:lang w:eastAsia="zh-CN"/>
              </w:rPr>
              <w:t>设计丙</w:t>
            </w:r>
            <w:r>
              <w:rPr>
                <w:rFonts w:hint="eastAsia" w:ascii="宋体" w:hAnsi="宋体" w:eastAsia="宋体" w:cs="宋体"/>
                <w:color w:val="auto"/>
                <w:highlight w:val="none"/>
              </w:rPr>
              <w:t>级(或以上）资质</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1、项目负责人要求：具有二级或以上注册建筑师资格证书。</w:t>
            </w:r>
          </w:p>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2、其他专业负责人要求：</w:t>
            </w:r>
          </w:p>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（1）具有建筑相关专业中级职称或以上；</w:t>
            </w:r>
          </w:p>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（2）具有结构相关专业中级职称或以上；</w:t>
            </w:r>
          </w:p>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（3）具有给排水相关专业中级职称或以上；</w:t>
            </w:r>
          </w:p>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（4）具有暖通空调相关专业中级职称或以上；</w:t>
            </w:r>
          </w:p>
          <w:p>
            <w:pPr>
              <w:spacing w:line="400" w:lineRule="exact"/>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（5）具有电气相关专业中级职称或以上；</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本次设计服务招标最高投标限价为</w:t>
            </w:r>
            <w:r>
              <w:rPr>
                <w:rFonts w:hint="eastAsia" w:ascii="宋体" w:hAnsi="宋体" w:eastAsia="宋体" w:cs="宋体"/>
                <w:b w:val="0"/>
                <w:bCs w:val="0"/>
                <w:color w:val="auto"/>
                <w:sz w:val="21"/>
                <w:szCs w:val="21"/>
                <w:highlight w:val="none"/>
                <w:lang w:val="en-US" w:eastAsia="zh-CN"/>
              </w:rPr>
              <w:t>411,010.97</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暂按工程建安费</w:t>
            </w:r>
            <w:r>
              <w:rPr>
                <w:rFonts w:hint="eastAsia" w:ascii="宋体" w:hAnsi="宋体" w:eastAsia="宋体" w:cs="宋体"/>
                <w:b w:val="0"/>
                <w:bCs w:val="0"/>
                <w:color w:val="auto"/>
                <w:sz w:val="21"/>
                <w:szCs w:val="21"/>
                <w:highlight w:val="none"/>
                <w:lang w:val="en-US" w:eastAsia="zh-CN"/>
              </w:rPr>
              <w:t>1459.29</w:t>
            </w:r>
            <w:r>
              <w:rPr>
                <w:rFonts w:hint="eastAsia" w:ascii="宋体" w:hAnsi="宋体" w:eastAsia="宋体" w:cs="宋体"/>
                <w:color w:val="auto"/>
                <w:sz w:val="21"/>
                <w:szCs w:val="21"/>
                <w:highlight w:val="none"/>
              </w:rPr>
              <w:t>万元为计费基数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参照国家发展计划委员会、建设部2002年颁布的《工程勘察设计收费标准》计价格【2002】10号文</w:t>
            </w:r>
            <w:r>
              <w:rPr>
                <w:rFonts w:hint="eastAsia" w:ascii="宋体" w:hAnsi="宋体" w:eastAsia="宋体" w:cs="宋体"/>
                <w:color w:val="auto"/>
                <w:sz w:val="21"/>
                <w:szCs w:val="21"/>
                <w:highlight w:val="none"/>
                <w:lang w:eastAsia="zh-CN"/>
              </w:rPr>
              <w:t>为计费标准，</w:t>
            </w:r>
            <w:r>
              <w:rPr>
                <w:rFonts w:hint="eastAsia" w:ascii="宋体" w:hAnsi="宋体" w:eastAsia="宋体" w:cs="宋体"/>
                <w:color w:val="auto"/>
                <w:sz w:val="21"/>
                <w:szCs w:val="21"/>
                <w:highlight w:val="none"/>
              </w:rPr>
              <w:t>计算出基本设计费用</w:t>
            </w:r>
            <w:r>
              <w:rPr>
                <w:rFonts w:hint="eastAsia" w:ascii="宋体" w:hAnsi="宋体" w:eastAsia="宋体" w:cs="宋体"/>
                <w:color w:val="auto"/>
                <w:sz w:val="21"/>
                <w:szCs w:val="21"/>
                <w:highlight w:val="none"/>
                <w:lang w:eastAsia="zh-CN"/>
              </w:rPr>
              <w:t>为</w:t>
            </w:r>
            <w:r>
              <w:rPr>
                <w:rFonts w:hint="eastAsia" w:ascii="宋体" w:hAnsi="宋体" w:eastAsia="宋体" w:cs="宋体"/>
                <w:b w:val="0"/>
                <w:bCs w:val="0"/>
                <w:color w:val="auto"/>
                <w:sz w:val="21"/>
                <w:szCs w:val="21"/>
                <w:highlight w:val="none"/>
                <w:lang w:val="en-US" w:eastAsia="zh-CN"/>
              </w:rPr>
              <w:t>456,678.86</w:t>
            </w:r>
            <w:r>
              <w:rPr>
                <w:rFonts w:hint="eastAsia" w:ascii="宋体" w:hAnsi="宋体" w:eastAsia="宋体" w:cs="宋体"/>
                <w:color w:val="auto"/>
                <w:sz w:val="21"/>
                <w:szCs w:val="21"/>
                <w:highlight w:val="none"/>
                <w:lang w:val="en-US" w:eastAsia="zh-CN"/>
              </w:rPr>
              <w:t>元</w:t>
            </w:r>
            <w:r>
              <w:rPr>
                <w:rFonts w:hint="eastAsia" w:ascii="宋体" w:hAnsi="宋体" w:eastAsia="宋体" w:cs="宋体"/>
                <w:color w:val="auto"/>
                <w:sz w:val="21"/>
                <w:szCs w:val="21"/>
                <w:highlight w:val="none"/>
              </w:rPr>
              <w:t>，乘以设计费调整系数（</w:t>
            </w:r>
            <w:r>
              <w:rPr>
                <w:rFonts w:hint="eastAsia" w:ascii="宋体" w:hAnsi="宋体" w:eastAsia="宋体" w:cs="宋体"/>
                <w:b w:val="0"/>
                <w:bCs w:val="0"/>
                <w:color w:val="auto"/>
                <w:kern w:val="2"/>
                <w:sz w:val="21"/>
                <w:szCs w:val="21"/>
                <w:highlight w:val="none"/>
                <w:lang w:val="en-US" w:eastAsia="zh-CN" w:bidi="ar-SA"/>
              </w:rPr>
              <w:t>专业调整系数1.0，工程复杂程度调整系数为0.85，附加调整系数为1.0</w:t>
            </w:r>
            <w:r>
              <w:rPr>
                <w:rFonts w:hint="eastAsia" w:ascii="宋体" w:hAnsi="宋体" w:eastAsia="宋体" w:cs="宋体"/>
                <w:color w:val="auto"/>
                <w:sz w:val="21"/>
                <w:szCs w:val="21"/>
                <w:highlight w:val="none"/>
              </w:rPr>
              <w:t>）再乘以（1-下浮率</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）计算得出</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p>
          <w:p>
            <w:pPr>
              <w:pStyle w:val="2"/>
              <w:ind w:firstLine="420" w:firstLineChars="200"/>
              <w:rPr>
                <w:rFonts w:hint="eastAsia" w:ascii="宋体" w:hAnsi="宋体" w:eastAsia="宋体" w:cs="宋体"/>
                <w:snapToGrid/>
                <w:color w:val="auto"/>
                <w:sz w:val="21"/>
                <w:szCs w:val="21"/>
                <w:highlight w:val="none"/>
                <w:lang w:val="en-US" w:eastAsia="zh-CN"/>
              </w:rPr>
            </w:pPr>
            <w:r>
              <w:rPr>
                <w:rFonts w:hint="eastAsia" w:ascii="宋体" w:hAnsi="宋体" w:eastAsia="宋体" w:cs="宋体"/>
                <w:color w:val="auto"/>
                <w:kern w:val="2"/>
                <w:sz w:val="21"/>
                <w:szCs w:val="21"/>
                <w:highlight w:val="none"/>
              </w:rPr>
              <w:t>本次</w:t>
            </w:r>
            <w:r>
              <w:rPr>
                <w:rFonts w:hint="eastAsia" w:ascii="宋体" w:hAnsi="宋体" w:eastAsia="宋体" w:cs="宋体"/>
                <w:color w:val="auto"/>
                <w:kern w:val="2"/>
                <w:sz w:val="21"/>
                <w:szCs w:val="21"/>
                <w:highlight w:val="none"/>
                <w:lang w:eastAsia="zh-CN"/>
              </w:rPr>
              <w:t>设计服务</w:t>
            </w:r>
            <w:r>
              <w:rPr>
                <w:rFonts w:hint="eastAsia" w:ascii="宋体" w:hAnsi="宋体" w:eastAsia="宋体" w:cs="宋体"/>
                <w:color w:val="auto"/>
                <w:kern w:val="2"/>
                <w:sz w:val="21"/>
                <w:szCs w:val="21"/>
                <w:highlight w:val="none"/>
              </w:rPr>
              <w:t>费包含完成该设计项目的成本、利润、税金、图纸资料文印费、</w:t>
            </w:r>
            <w:r>
              <w:rPr>
                <w:rFonts w:hint="eastAsia" w:ascii="宋体" w:hAnsi="宋体" w:eastAsia="宋体" w:cs="宋体"/>
                <w:color w:val="auto"/>
                <w:kern w:val="2"/>
                <w:sz w:val="21"/>
                <w:szCs w:val="21"/>
                <w:highlight w:val="none"/>
                <w:lang w:val="en-US" w:eastAsia="zh-CN"/>
              </w:rPr>
              <w:t>分包费</w:t>
            </w:r>
            <w:r>
              <w:rPr>
                <w:rFonts w:hint="eastAsia" w:ascii="宋体" w:hAnsi="宋体" w:eastAsia="宋体" w:cs="宋体"/>
                <w:color w:val="auto"/>
                <w:kern w:val="2"/>
                <w:sz w:val="21"/>
                <w:szCs w:val="21"/>
                <w:highlight w:val="none"/>
              </w:rPr>
              <w:t>、专家评审费等一切费用，投标人应考虑上述情况进行投标下浮率的报价</w:t>
            </w:r>
            <w:r>
              <w:rPr>
                <w:rFonts w:hint="eastAsia" w:ascii="宋体" w:hAnsi="宋体" w:eastAsia="宋体" w:cs="宋体"/>
                <w:color w:val="auto"/>
                <w:sz w:val="21"/>
                <w:szCs w:val="21"/>
                <w:highlight w:val="none"/>
                <w:lang w:val="en-US" w:eastAsia="zh-CN"/>
              </w:rPr>
              <w:t>，</w:t>
            </w:r>
            <w:r>
              <w:rPr>
                <w:rFonts w:hint="eastAsia" w:ascii="宋体" w:hAnsi="宋体" w:eastAsia="宋体" w:cs="宋体"/>
                <w:bCs w:val="0"/>
                <w:color w:val="auto"/>
                <w:sz w:val="21"/>
                <w:szCs w:val="21"/>
                <w:highlight w:val="none"/>
                <w:lang w:val="en-US" w:eastAsia="zh-CN"/>
              </w:rPr>
              <w:t>投标下浮率=（1-投标报价/</w:t>
            </w:r>
            <w:r>
              <w:rPr>
                <w:rFonts w:hint="eastAsia" w:ascii="宋体" w:hAnsi="宋体" w:eastAsia="宋体" w:cs="宋体"/>
                <w:color w:val="auto"/>
                <w:sz w:val="21"/>
                <w:szCs w:val="21"/>
                <w:highlight w:val="none"/>
              </w:rPr>
              <w:t>基本设计费用</w:t>
            </w:r>
            <w:r>
              <w:rPr>
                <w:rFonts w:hint="eastAsia" w:ascii="宋体" w:hAnsi="宋体" w:eastAsia="宋体" w:cs="宋体"/>
                <w:b w:val="0"/>
                <w:bCs w:val="0"/>
                <w:color w:val="auto"/>
                <w:sz w:val="21"/>
                <w:szCs w:val="21"/>
                <w:highlight w:val="none"/>
                <w:lang w:val="en-US" w:eastAsia="zh-CN"/>
              </w:rPr>
              <w:t>456,678.86</w:t>
            </w:r>
            <w:r>
              <w:rPr>
                <w:rFonts w:hint="eastAsia" w:ascii="宋体" w:hAnsi="宋体" w:eastAsia="宋体" w:cs="宋体"/>
                <w:color w:val="auto"/>
                <w:sz w:val="21"/>
                <w:szCs w:val="21"/>
                <w:highlight w:val="none"/>
                <w:lang w:val="en-US" w:eastAsia="zh-CN"/>
              </w:rPr>
              <w:t>元</w:t>
            </w:r>
            <w:r>
              <w:rPr>
                <w:rFonts w:hint="eastAsia" w:ascii="宋体" w:hAnsi="宋体" w:eastAsia="宋体" w:cs="宋体"/>
                <w:bCs w:val="0"/>
                <w:color w:val="auto"/>
                <w:sz w:val="21"/>
                <w:szCs w:val="21"/>
                <w:highlight w:val="none"/>
                <w:lang w:val="en-US" w:eastAsia="zh-CN"/>
              </w:rPr>
              <w:t>）*100%</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投标报价超过最高投标限价的为废标。</w:t>
            </w:r>
          </w:p>
          <w:p>
            <w:pPr>
              <w:pStyle w:val="2"/>
              <w:rPr>
                <w:rFonts w:hint="eastAsia" w:ascii="宋体" w:hAnsi="宋体" w:eastAsia="宋体" w:cs="宋体"/>
                <w:color w:val="auto"/>
                <w:sz w:val="21"/>
                <w:szCs w:val="21"/>
                <w:highlight w:val="none"/>
              </w:rPr>
            </w:pPr>
            <w:r>
              <w:rPr>
                <w:rFonts w:hint="eastAsia" w:ascii="宋体" w:hAnsi="宋体" w:eastAsia="宋体" w:cs="宋体"/>
                <w:snapToGrid/>
                <w:color w:val="auto"/>
                <w:sz w:val="21"/>
                <w:szCs w:val="21"/>
                <w:highlight w:val="none"/>
                <w:lang w:val="en-US" w:eastAsia="zh-CN"/>
              </w:rPr>
              <w:t>设计</w:t>
            </w:r>
            <w:r>
              <w:rPr>
                <w:rFonts w:hint="eastAsia" w:ascii="宋体" w:hAnsi="宋体" w:eastAsia="宋体" w:cs="宋体"/>
                <w:snapToGrid/>
                <w:color w:val="auto"/>
                <w:sz w:val="21"/>
                <w:szCs w:val="21"/>
                <w:highlight w:val="none"/>
              </w:rPr>
              <w:t>结算价以</w:t>
            </w:r>
            <w:r>
              <w:rPr>
                <w:rFonts w:hint="eastAsia" w:ascii="宋体" w:hAnsi="宋体" w:eastAsia="宋体" w:cs="宋体"/>
                <w:color w:val="auto"/>
                <w:kern w:val="0"/>
                <w:sz w:val="21"/>
                <w:szCs w:val="21"/>
                <w:highlight w:val="none"/>
                <w:lang w:val="en-US" w:eastAsia="zh-CN"/>
              </w:rPr>
              <w:t>甲方审定的施工图深度概算</w:t>
            </w:r>
            <w:r>
              <w:rPr>
                <w:rFonts w:hint="eastAsia" w:ascii="宋体" w:hAnsi="宋体" w:eastAsia="宋体" w:cs="宋体"/>
                <w:color w:val="auto"/>
                <w:kern w:val="0"/>
                <w:sz w:val="21"/>
                <w:szCs w:val="21"/>
                <w:highlight w:val="none"/>
                <w:lang w:eastAsia="zh-CN"/>
              </w:rPr>
              <w:t>建安工程费用</w:t>
            </w:r>
            <w:r>
              <w:rPr>
                <w:rFonts w:hint="eastAsia" w:ascii="宋体" w:hAnsi="宋体" w:eastAsia="宋体" w:cs="宋体"/>
                <w:snapToGrid/>
                <w:color w:val="auto"/>
                <w:sz w:val="21"/>
                <w:szCs w:val="21"/>
                <w:highlight w:val="none"/>
              </w:rPr>
              <w:t>为计费基数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参照国家发展计划委员会、建设部2002年颁布的《工程勘察设计收费标准》计价格【2002】10号文</w:t>
            </w:r>
            <w:r>
              <w:rPr>
                <w:rFonts w:hint="eastAsia" w:ascii="宋体" w:hAnsi="宋体" w:eastAsia="宋体" w:cs="宋体"/>
                <w:color w:val="auto"/>
                <w:sz w:val="21"/>
                <w:szCs w:val="21"/>
                <w:highlight w:val="none"/>
                <w:lang w:eastAsia="zh-CN"/>
              </w:rPr>
              <w:t>为计费标准</w:t>
            </w:r>
            <w:r>
              <w:rPr>
                <w:rFonts w:hint="eastAsia" w:ascii="宋体" w:hAnsi="宋体" w:eastAsia="宋体" w:cs="宋体"/>
                <w:color w:val="auto"/>
                <w:sz w:val="21"/>
                <w:szCs w:val="21"/>
                <w:highlight w:val="none"/>
              </w:rPr>
              <w:t>，计算出</w:t>
            </w:r>
            <w:r>
              <w:rPr>
                <w:rFonts w:hint="eastAsia" w:ascii="宋体" w:hAnsi="宋体" w:eastAsia="宋体" w:cs="宋体"/>
                <w:color w:val="auto"/>
                <w:sz w:val="21"/>
                <w:szCs w:val="21"/>
                <w:highlight w:val="none"/>
                <w:lang w:eastAsia="zh-CN"/>
              </w:rPr>
              <w:t>结算价的</w:t>
            </w:r>
            <w:r>
              <w:rPr>
                <w:rFonts w:hint="eastAsia" w:ascii="宋体" w:hAnsi="宋体" w:eastAsia="宋体" w:cs="宋体"/>
                <w:color w:val="auto"/>
                <w:sz w:val="21"/>
                <w:szCs w:val="21"/>
                <w:highlight w:val="none"/>
              </w:rPr>
              <w:t>基本设计费用，</w:t>
            </w:r>
            <w:r>
              <w:rPr>
                <w:rFonts w:hint="eastAsia" w:ascii="宋体" w:hAnsi="宋体" w:eastAsia="宋体" w:cs="宋体"/>
                <w:color w:val="auto"/>
                <w:sz w:val="21"/>
                <w:szCs w:val="21"/>
                <w:highlight w:val="none"/>
                <w:lang w:eastAsia="zh-CN"/>
              </w:rPr>
              <w:t>之后</w:t>
            </w:r>
            <w:r>
              <w:rPr>
                <w:rFonts w:hint="eastAsia" w:ascii="宋体" w:hAnsi="宋体" w:eastAsia="宋体" w:cs="宋体"/>
                <w:color w:val="auto"/>
                <w:sz w:val="21"/>
                <w:szCs w:val="21"/>
                <w:highlight w:val="none"/>
              </w:rPr>
              <w:t>乘以设计费调整系数（</w:t>
            </w:r>
            <w:r>
              <w:rPr>
                <w:rFonts w:hint="eastAsia" w:ascii="宋体" w:hAnsi="宋体" w:eastAsia="宋体" w:cs="宋体"/>
                <w:b w:val="0"/>
                <w:bCs w:val="0"/>
                <w:color w:val="auto"/>
                <w:kern w:val="2"/>
                <w:sz w:val="21"/>
                <w:szCs w:val="21"/>
                <w:highlight w:val="none"/>
                <w:lang w:val="en-US" w:eastAsia="zh-CN" w:bidi="ar-SA"/>
              </w:rPr>
              <w:t>专业调整系数1.0，工程复杂程度调整系数为0.85，附加</w:t>
            </w:r>
            <w:bookmarkStart w:id="48" w:name="_GoBack"/>
            <w:bookmarkEnd w:id="48"/>
            <w:r>
              <w:rPr>
                <w:rFonts w:hint="eastAsia" w:ascii="宋体" w:hAnsi="宋体" w:eastAsia="宋体" w:cs="宋体"/>
                <w:b w:val="0"/>
                <w:bCs w:val="0"/>
                <w:color w:val="auto"/>
                <w:kern w:val="2"/>
                <w:sz w:val="21"/>
                <w:szCs w:val="21"/>
                <w:highlight w:val="none"/>
                <w:lang w:val="en-US" w:eastAsia="zh-CN" w:bidi="ar-SA"/>
              </w:rPr>
              <w:t>调整系数为1.0</w:t>
            </w:r>
            <w:r>
              <w:rPr>
                <w:rFonts w:hint="eastAsia" w:ascii="宋体" w:hAnsi="宋体" w:eastAsia="宋体" w:cs="宋体"/>
                <w:color w:val="auto"/>
                <w:sz w:val="21"/>
                <w:szCs w:val="21"/>
                <w:highlight w:val="none"/>
              </w:rPr>
              <w:t>）再乘以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1-投标下浮率</w:t>
            </w:r>
            <w:r>
              <w:rPr>
                <w:rFonts w:hint="eastAsia" w:ascii="宋体" w:hAnsi="宋体" w:eastAsia="宋体" w:cs="宋体"/>
                <w:color w:val="auto"/>
                <w:sz w:val="21"/>
                <w:szCs w:val="21"/>
                <w:highlight w:val="none"/>
                <w:lang w:val="en-US" w:eastAsia="zh-CN"/>
              </w:rPr>
              <w:t>）</w:t>
            </w:r>
            <w:r>
              <w:rPr>
                <w:rFonts w:hint="eastAsia" w:ascii="宋体" w:hAnsi="宋体" w:eastAsia="宋体" w:cs="宋体"/>
                <w:bCs w:val="0"/>
                <w:color w:val="auto"/>
                <w:sz w:val="21"/>
                <w:szCs w:val="21"/>
                <w:highlight w:val="none"/>
                <w:lang w:val="en-US" w:eastAsia="zh-CN"/>
              </w:rPr>
              <w:t>。设计费结算价不得超过中标价，若超过，则以中标价进行结算。</w:t>
            </w:r>
          </w:p>
          <w:p>
            <w:pPr>
              <w:pStyle w:val="2"/>
              <w:widowControl/>
              <w:spacing w:before="0" w:line="360" w:lineRule="auto"/>
              <w:ind w:right="0" w:rightChars="0" w:firstLine="420" w:firstLineChars="200"/>
              <w:jc w:val="left"/>
              <w:rPr>
                <w:rFonts w:hint="eastAsia" w:ascii="宋体" w:hAnsi="宋体" w:eastAsia="宋体" w:cs="宋体"/>
                <w:color w:val="auto"/>
                <w:kern w:val="2"/>
                <w:sz w:val="21"/>
                <w:szCs w:val="21"/>
                <w:highlight w:val="none"/>
              </w:rPr>
            </w:pP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w:t>
            </w:r>
            <w:r>
              <w:rPr>
                <w:rFonts w:hint="eastAsia" w:ascii="宋体" w:hAnsi="宋体" w:eastAsia="宋体" w:cs="宋体"/>
                <w:color w:val="auto"/>
                <w:szCs w:val="21"/>
                <w:highlight w:val="none"/>
                <w:u w:val="single"/>
                <w:lang w:eastAsia="zh-CN"/>
              </w:rPr>
              <w:t>壹万</w:t>
            </w:r>
            <w:r>
              <w:rPr>
                <w:rFonts w:hint="eastAsia" w:ascii="宋体" w:hAnsi="宋体" w:eastAsia="宋体" w:cs="宋体"/>
                <w:color w:val="auto"/>
                <w:szCs w:val="21"/>
                <w:highlight w:val="none"/>
              </w:rPr>
              <w:t>元。</w:t>
            </w:r>
          </w:p>
          <w:p>
            <w:pPr>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账户名称：广州南沙建设维护管理有限公司</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开户银行：中国工商银行广东自由贸易试验区南沙分行 </w:t>
            </w:r>
          </w:p>
          <w:p>
            <w:pPr>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账号：3602056909200030855</w:t>
            </w:r>
          </w:p>
          <w:p>
            <w:pPr>
              <w:numPr>
                <w:ilvl w:val="0"/>
                <w:numId w:val="1"/>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w:t>
            </w:r>
            <w:r>
              <w:rPr>
                <w:rFonts w:hint="eastAsia" w:ascii="宋体" w:hAnsi="宋体" w:eastAsia="宋体" w:cs="宋体"/>
                <w:color w:val="auto"/>
                <w:szCs w:val="21"/>
                <w:highlight w:val="none"/>
                <w:lang w:eastAsia="zh-CN"/>
              </w:rPr>
              <w:t>2023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u w:val="single"/>
              </w:rPr>
              <w:t>前</w:t>
            </w:r>
            <w:r>
              <w:rPr>
                <w:rFonts w:hint="eastAsia" w:ascii="宋体" w:hAnsi="宋体" w:eastAsia="宋体" w:cs="宋体"/>
                <w:color w:val="auto"/>
                <w:szCs w:val="21"/>
                <w:highlight w:val="none"/>
              </w:rPr>
              <w:t>以投标人转出【以招标单位查询的信息为准，汇款时备注：</w:t>
            </w:r>
            <w:r>
              <w:rPr>
                <w:rFonts w:hint="eastAsia" w:ascii="宋体" w:hAnsi="宋体" w:eastAsia="宋体" w:cs="宋体"/>
                <w:color w:val="auto"/>
                <w:szCs w:val="21"/>
                <w:highlight w:val="none"/>
                <w:lang w:eastAsia="zh-CN"/>
              </w:rPr>
              <w:t>港口新鲜集市（A地块）项目设计服务</w:t>
            </w:r>
            <w:r>
              <w:rPr>
                <w:rFonts w:hint="eastAsia" w:ascii="宋体" w:hAnsi="宋体" w:eastAsia="宋体" w:cs="宋体"/>
                <w:color w:val="auto"/>
                <w:szCs w:val="21"/>
                <w:highlight w:val="none"/>
              </w:rPr>
              <w:t>投标保证金】</w:t>
            </w:r>
          </w:p>
          <w:p>
            <w:pPr>
              <w:pStyle w:val="12"/>
              <w:widowControl/>
              <w:spacing w:beforeAutospacing="0"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4、未按规定缴纳投标保证金的正式投标人将被视为自动放弃本工程的投标资格。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提交地点：广州南沙区金融大厦1807室</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eastAsia="zh-CN"/>
              </w:rPr>
              <w:t>2023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13</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分至</w:t>
            </w:r>
            <w:r>
              <w:rPr>
                <w:rFonts w:hint="eastAsia" w:ascii="宋体" w:hAnsi="宋体" w:eastAsia="宋体" w:cs="宋体"/>
                <w:color w:val="auto"/>
                <w:szCs w:val="21"/>
                <w:highlight w:val="none"/>
                <w:lang w:eastAsia="zh-CN"/>
              </w:rPr>
              <w:t>2023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13</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rPr>
              <w:t>前</w:t>
            </w:r>
          </w:p>
          <w:p>
            <w:pPr>
              <w:pStyle w:val="12"/>
              <w:widowControl/>
              <w:spacing w:after="0" w:line="320" w:lineRule="exact"/>
              <w:ind w:firstLine="0"/>
              <w:rPr>
                <w:rFonts w:hint="eastAsia" w:ascii="宋体" w:hAnsi="宋体" w:eastAsia="宋体" w:cs="宋体"/>
                <w:b/>
                <w:color w:val="auto"/>
                <w:highlight w:val="none"/>
              </w:rPr>
            </w:pPr>
            <w:r>
              <w:rPr>
                <w:rFonts w:hint="eastAsia" w:ascii="宋体" w:hAnsi="宋体" w:eastAsia="宋体" w:cs="宋体"/>
                <w:color w:val="auto"/>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Cs w:val="21"/>
                <w:highlight w:val="none"/>
                <w:lang w:eastAsia="zh-CN"/>
              </w:rPr>
              <w:t>2023</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13</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30分</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地点：广州南沙区金融大厦1807室</w:t>
            </w:r>
          </w:p>
          <w:p>
            <w:pPr>
              <w:spacing w:line="320" w:lineRule="exac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pStyle w:val="2"/>
        <w:ind w:firstLine="480" w:firstLineChars="200"/>
        <w:rPr>
          <w:rFonts w:eastAsia="宋体"/>
          <w:color w:val="auto"/>
          <w:highlight w:val="none"/>
        </w:rPr>
      </w:pPr>
      <w:r>
        <w:rPr>
          <w:rFonts w:ascii="宋体" w:hAnsi="宋体" w:eastAsia="宋体" w:cs="宋体"/>
          <w:color w:val="auto"/>
          <w:sz w:val="24"/>
          <w:highlight w:val="none"/>
        </w:rPr>
        <w:t xml:space="preserve">1.7 </w:t>
      </w:r>
      <w:r>
        <w:rPr>
          <w:rFonts w:hint="eastAsia" w:ascii="宋体" w:hAnsi="宋体" w:eastAsia="宋体" w:cs="宋体"/>
          <w:color w:val="auto"/>
          <w:sz w:val="24"/>
          <w:highlight w:val="none"/>
        </w:rPr>
        <w:t>“方案设计人”指</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 “投标文件”指投标人根据本招标文件向招标人提交的全部文件。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1.10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2.1本招标项目按照《中华人民共和国招标投标法》等有关法律、行政法规和部门规章，采取邀请招标的办法，选择有经验、有实力、社会信誉好的设计咨询单位承担设计服务，确保本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设计服务</w:t>
      </w:r>
      <w:r>
        <w:rPr>
          <w:rFonts w:hint="eastAsia" w:ascii="宋体" w:hAnsi="宋体" w:eastAsia="宋体" w:cs="宋体"/>
          <w:color w:val="auto"/>
          <w:sz w:val="24"/>
          <w:highlight w:val="none"/>
          <w:lang w:eastAsia="zh-CN"/>
        </w:rPr>
        <w:t>任务期限</w:t>
      </w:r>
      <w:r>
        <w:rPr>
          <w:rFonts w:hint="eastAsia" w:ascii="宋体" w:hAnsi="宋体" w:eastAsia="宋体" w:cs="宋体"/>
          <w:color w:val="auto"/>
          <w:sz w:val="24"/>
          <w:highlight w:val="none"/>
        </w:rPr>
        <w:t>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11.5公司法人营业执照及设计资质证书复印件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11.9企业自201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年1月1日至今企业承担的同类项目（按招标文件第2章格式填写）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w:t>
      </w:r>
      <w:r>
        <w:rPr>
          <w:rFonts w:hint="eastAsia" w:ascii="宋体" w:hAnsi="宋体" w:eastAsia="宋体" w:cs="宋体"/>
          <w:color w:val="auto"/>
          <w:sz w:val="24"/>
          <w:highlight w:val="none"/>
          <w:lang w:eastAsia="zh-CN"/>
        </w:rPr>
        <w:t>简介</w:t>
      </w:r>
      <w:r>
        <w:rPr>
          <w:rFonts w:hint="eastAsia" w:ascii="宋体" w:hAnsi="宋体" w:eastAsia="宋体" w:cs="宋体"/>
          <w:color w:val="auto"/>
          <w:sz w:val="24"/>
          <w:highlight w:val="none"/>
        </w:rPr>
        <w:t>（按招标文件第2章格式填写）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11.12报价表</w:t>
      </w:r>
    </w:p>
    <w:p>
      <w:pPr>
        <w:pStyle w:val="7"/>
        <w:ind w:firstLine="480" w:firstLineChars="200"/>
        <w:rPr>
          <w:rFonts w:hAnsi="宋体" w:cs="宋体"/>
          <w:color w:val="auto"/>
          <w:sz w:val="24"/>
          <w:highlight w:val="none"/>
        </w:rPr>
      </w:pPr>
      <w:r>
        <w:rPr>
          <w:rFonts w:hAnsi="宋体" w:cs="宋体"/>
          <w:color w:val="auto"/>
          <w:sz w:val="24"/>
          <w:highlight w:val="none"/>
        </w:rPr>
        <w:t xml:space="preserve">11.13 </w:t>
      </w:r>
      <w:r>
        <w:rPr>
          <w:rFonts w:hint="eastAsia" w:hAnsi="宋体" w:cs="宋体"/>
          <w:color w:val="auto"/>
          <w:sz w:val="24"/>
          <w:highlight w:val="none"/>
          <w:lang w:eastAsia="zh-CN"/>
        </w:rPr>
        <w:t>技术标文件（独立成册）</w:t>
      </w:r>
    </w:p>
    <w:p>
      <w:pPr>
        <w:pStyle w:val="7"/>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投标文件电子版（刻录光盘或提供U盘）</w:t>
      </w:r>
    </w:p>
    <w:p>
      <w:pPr>
        <w:pStyle w:val="7"/>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投标人认为需要提交的其他资料</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13.3投标报价方式：投标单位自行报价（总投标价不得超过最高投标限价，否则按废标处理）。（小数点后保留二位小数，第三位小数四舍五入）</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w:t>
      </w:r>
      <w:r>
        <w:rPr>
          <w:rFonts w:hint="eastAsia" w:ascii="宋体" w:hAnsi="宋体" w:eastAsia="宋体" w:cs="宋体"/>
          <w:color w:val="auto"/>
          <w:sz w:val="24"/>
          <w:highlight w:val="none"/>
          <w:lang w:eastAsia="zh-CN"/>
        </w:rPr>
        <w:t>、技术标</w:t>
      </w:r>
      <w:r>
        <w:rPr>
          <w:rFonts w:hint="eastAsia" w:ascii="宋体" w:hAnsi="宋体" w:eastAsia="宋体" w:cs="宋体"/>
          <w:color w:val="auto"/>
          <w:sz w:val="24"/>
          <w:highlight w:val="none"/>
        </w:rPr>
        <w:t>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本招标(项目)的设计咨询合同将授予按本须知第27.3款所确定的中标人。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32.3中标人在投标过程使用的投标人名称、银行名称和账号至项目完成竣工结算不得变更，否则，招标人有权停止设计服务款项的拨付及至解除合同，由此造成的一切责任由中标人承担。</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3"/>
        <w:widowControl/>
        <w:spacing w:before="0" w:after="0" w:line="360" w:lineRule="auto"/>
        <w:jc w:val="center"/>
        <w:rPr>
          <w:rFonts w:ascii="黑体" w:hAnsi="宋体" w:cs="黑体"/>
          <w:b/>
          <w:color w:val="auto"/>
          <w:kern w:val="44"/>
          <w:sz w:val="44"/>
          <w:szCs w:val="44"/>
          <w:highlight w:val="none"/>
        </w:rPr>
      </w:pPr>
      <w:bookmarkStart w:id="4" w:name="_Toc374128473"/>
      <w:bookmarkEnd w:id="4"/>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港口新鲜集市（A地块）项目设计服务</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1、我方经分析研究了贵方提供的招标文件中的项目介绍、投标人须知、合同条件以及本次招标答疑或澄清文件后，我公司愿意以投标报价表中承诺报价，完成贵方设计任务，并提供增值税专业发票税率为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%，并按合同条件的要求，承担并完成设计服务任务。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4、在正式签订设计服务合同之前，本投标书连同贵方的中标通知书应成为约束贵、我双方的合同文件。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1"/>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1"/>
        <w:widowControl/>
        <w:ind w:firstLine="496"/>
        <w:jc w:val="right"/>
        <w:rPr>
          <w:b/>
          <w:color w:val="auto"/>
          <w:highlight w:val="none"/>
        </w:rPr>
      </w:pPr>
      <w:r>
        <w:rPr>
          <w:color w:val="auto"/>
          <w:highlight w:val="none"/>
        </w:rPr>
        <w:t xml:space="preserve">                                      </w:t>
      </w:r>
    </w:p>
    <w:p>
      <w:pPr>
        <w:pStyle w:val="2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1"/>
        <w:widowControl/>
        <w:ind w:firstLine="618"/>
        <w:rPr>
          <w:b/>
          <w:color w:val="auto"/>
          <w:sz w:val="30"/>
          <w:szCs w:val="30"/>
          <w:highlight w:val="none"/>
        </w:rPr>
      </w:pPr>
      <w:r>
        <w:rPr>
          <w:b/>
          <w:color w:val="auto"/>
          <w:sz w:val="30"/>
          <w:szCs w:val="30"/>
          <w:highlight w:val="none"/>
        </w:rPr>
        <w:t xml:space="preserve"> </w:t>
      </w:r>
    </w:p>
    <w:p>
      <w:pPr>
        <w:pStyle w:val="2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1"/>
        <w:widowControl/>
        <w:ind w:firstLine="496"/>
        <w:jc w:val="right"/>
        <w:rPr>
          <w:color w:val="auto"/>
          <w:highlight w:val="none"/>
        </w:rPr>
      </w:pPr>
      <w:r>
        <w:rPr>
          <w:color w:val="auto"/>
          <w:highlight w:val="none"/>
        </w:rPr>
        <w:t xml:space="preserve">         </w:t>
      </w:r>
    </w:p>
    <w:p>
      <w:pPr>
        <w:pStyle w:val="2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1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1"/>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、广州南沙建设维护管理有限公司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港口新鲜集市（A地块）项目设计服务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不包括项目负责人）：建筑、结构、给排水、暖通空调、电气各配备1名负责人，具有相应专业中级或以上职称；各专业人员根据项目进度完成设计任务及施工配合服务。</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5728297"/>
      <w:bookmarkEnd w:id="11"/>
      <w:bookmarkStart w:id="12" w:name="_Toc196036941"/>
      <w:bookmarkEnd w:id="12"/>
      <w:bookmarkStart w:id="13" w:name="_Toc415833503"/>
      <w:bookmarkEnd w:id="13"/>
      <w:bookmarkStart w:id="14" w:name="_Toc196130013"/>
      <w:bookmarkEnd w:id="14"/>
      <w:bookmarkStart w:id="15" w:name="_Toc199647675"/>
      <w:bookmarkEnd w:id="15"/>
      <w:bookmarkStart w:id="16" w:name="_Toc196037097"/>
      <w:bookmarkEnd w:id="16"/>
      <w:bookmarkStart w:id="17" w:name="_Toc459403394"/>
      <w:bookmarkEnd w:id="17"/>
      <w:bookmarkStart w:id="18" w:name="_Toc41822703"/>
      <w:bookmarkEnd w:id="18"/>
      <w:bookmarkStart w:id="19" w:name="_Toc326909213"/>
      <w:bookmarkEnd w:id="19"/>
      <w:bookmarkStart w:id="20" w:name="_Toc196130110"/>
      <w:bookmarkEnd w:id="20"/>
      <w:bookmarkStart w:id="21" w:name="_Toc197235848"/>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9647676"/>
      <w:bookmarkEnd w:id="24"/>
      <w:bookmarkStart w:id="25" w:name="_Toc415833504"/>
      <w:bookmarkEnd w:id="25"/>
      <w:bookmarkStart w:id="26" w:name="_Toc459403395"/>
      <w:bookmarkEnd w:id="26"/>
      <w:bookmarkStart w:id="27" w:name="_Toc326909214"/>
      <w:bookmarkEnd w:id="27"/>
      <w:bookmarkStart w:id="28" w:name="_Toc197235849"/>
      <w:bookmarkEnd w:id="28"/>
      <w:bookmarkStart w:id="29" w:name="_Toc196130014"/>
      <w:bookmarkEnd w:id="29"/>
      <w:bookmarkStart w:id="30" w:name="_Toc196036942"/>
      <w:bookmarkEnd w:id="30"/>
      <w:bookmarkStart w:id="31" w:name="_Toc196130111"/>
      <w:bookmarkEnd w:id="31"/>
      <w:bookmarkStart w:id="32" w:name="_Toc196037098"/>
      <w:bookmarkEnd w:id="32"/>
      <w:bookmarkStart w:id="33" w:name="_Toc415728298"/>
      <w:bookmarkEnd w:id="33"/>
      <w:bookmarkStart w:id="34" w:name="_Toc462911099"/>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201</w:t>
      </w:r>
      <w:r>
        <w:rPr>
          <w:rFonts w:hint="eastAsia" w:ascii="仿宋" w:hAnsi="仿宋" w:eastAsia="仿宋" w:cs="仿宋"/>
          <w:color w:val="auto"/>
          <w:kern w:val="24"/>
          <w:sz w:val="24"/>
          <w:highlight w:val="none"/>
          <w:lang w:val="en-US" w:eastAsia="zh-CN"/>
        </w:rPr>
        <w:t>8</w:t>
      </w:r>
      <w:r>
        <w:rPr>
          <w:rFonts w:hint="eastAsia" w:ascii="仿宋" w:hAnsi="仿宋" w:eastAsia="仿宋" w:cs="仿宋"/>
          <w:color w:val="auto"/>
          <w:kern w:val="24"/>
          <w:sz w:val="24"/>
          <w:highlight w:val="none"/>
        </w:rPr>
        <w:t>年1月1日至今企业承担的同类项目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5" w:name="_Toc197235850"/>
      <w:bookmarkEnd w:id="35"/>
      <w:bookmarkStart w:id="36" w:name="_Toc196036943"/>
      <w:bookmarkEnd w:id="36"/>
      <w:bookmarkStart w:id="37" w:name="_Toc199647677"/>
      <w:bookmarkEnd w:id="37"/>
      <w:bookmarkStart w:id="38" w:name="_Toc196037099"/>
      <w:bookmarkEnd w:id="38"/>
      <w:bookmarkStart w:id="39" w:name="_Toc196130112"/>
      <w:bookmarkEnd w:id="39"/>
      <w:bookmarkStart w:id="40" w:name="_Toc41822705"/>
      <w:bookmarkEnd w:id="40"/>
      <w:bookmarkStart w:id="41" w:name="_Toc196130015"/>
      <w:bookmarkEnd w:id="41"/>
      <w:bookmarkStart w:id="42" w:name="_Toc326909215"/>
      <w:r>
        <w:rPr>
          <w:rFonts w:hint="eastAsia" w:ascii="仿宋" w:hAnsi="仿宋" w:eastAsia="仿宋" w:cs="仿宋"/>
          <w:b/>
          <w:bCs/>
          <w:color w:val="auto"/>
          <w:kern w:val="24"/>
          <w:sz w:val="36"/>
          <w:szCs w:val="36"/>
          <w:highlight w:val="none"/>
        </w:rPr>
        <w:t>业绩一览表</w:t>
      </w:r>
      <w:bookmarkEnd w:id="42"/>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注：1、投标人提供的同类项目业绩证明资料附于该表后面。业绩证明资料须提供：（1）合同；相关证明资料必须能反映出评标所需指标，否则相应子项不予计分；时间以合同文件签订时间为准。</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注：1、“拟承担工作”栏，应注明主要设计咨询人员（须注明项目负责人、各专业负责人）等。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hint="eastAsia" w:ascii="仿宋" w:hAnsi="仿宋" w:eastAsia="仿宋" w:cs="宋体"/>
          <w:b/>
          <w:color w:val="auto"/>
          <w:sz w:val="36"/>
          <w:szCs w:val="36"/>
          <w:highlight w:val="none"/>
          <w:lang w:eastAsia="zh-CN"/>
        </w:rPr>
      </w:pPr>
      <w:r>
        <w:rPr>
          <w:rFonts w:hint="eastAsia" w:ascii="仿宋" w:hAnsi="仿宋" w:eastAsia="仿宋" w:cs="宋体"/>
          <w:b/>
          <w:color w:val="auto"/>
          <w:sz w:val="36"/>
          <w:szCs w:val="36"/>
          <w:highlight w:val="none"/>
        </w:rPr>
        <w:t>项目负责人</w:t>
      </w:r>
      <w:r>
        <w:rPr>
          <w:rFonts w:hint="eastAsia" w:ascii="仿宋" w:hAnsi="仿宋" w:eastAsia="仿宋" w:cs="宋体"/>
          <w:b/>
          <w:color w:val="auto"/>
          <w:sz w:val="36"/>
          <w:szCs w:val="36"/>
          <w:highlight w:val="none"/>
          <w:lang w:eastAsia="zh-CN"/>
        </w:rPr>
        <w:t>简介</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2、须附执业证书及资格证书（如有）、身份证、职称证书等证明材料（复印件，加盖单位公章）。</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1"/>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3"/>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2711" w:type="dxa"/>
            <w:vMerge w:val="restart"/>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投标报价（元）</w:t>
            </w: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711" w:type="dxa"/>
            <w:vMerge w:val="continue"/>
            <w:vAlign w:val="center"/>
          </w:tcPr>
          <w:p>
            <w:pPr>
              <w:autoSpaceDE w:val="0"/>
              <w:autoSpaceDN w:val="0"/>
              <w:adjustRightInd w:val="0"/>
              <w:snapToGrid w:val="0"/>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lang w:val="zh-CN"/>
              </w:rPr>
              <w:t>投标下浮率（</w:t>
            </w:r>
            <w:r>
              <w:rPr>
                <w:rFonts w:ascii="宋体" w:hAnsi="宋体" w:cs="宋体"/>
                <w:bCs/>
                <w:color w:val="auto"/>
                <w:szCs w:val="21"/>
                <w:highlight w:val="none"/>
              </w:rPr>
              <w:t>%</w:t>
            </w:r>
            <w:r>
              <w:rPr>
                <w:rFonts w:hint="eastAsia" w:ascii="宋体" w:hAnsi="宋体" w:cs="宋体"/>
                <w:bCs/>
                <w:color w:val="auto"/>
                <w:szCs w:val="21"/>
                <w:highlight w:val="none"/>
                <w:lang w:val="zh-CN"/>
              </w:rPr>
              <w:t>）</w:t>
            </w:r>
          </w:p>
        </w:tc>
        <w:tc>
          <w:tcPr>
            <w:tcW w:w="6699" w:type="dxa"/>
            <w:vAlign w:val="center"/>
          </w:tcPr>
          <w:p>
            <w:pPr>
              <w:autoSpaceDE w:val="0"/>
              <w:autoSpaceDN w:val="0"/>
              <w:adjustRightInd w:val="0"/>
              <w:snapToGrid w:val="0"/>
              <w:jc w:val="left"/>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bl>
    <w:p>
      <w:pPr>
        <w:pStyle w:val="7"/>
        <w:spacing w:line="360" w:lineRule="auto"/>
        <w:ind w:firstLine="210" w:firstLineChars="100"/>
        <w:rPr>
          <w:rFonts w:hint="default" w:hAnsi="宋体" w:cs="宋体"/>
          <w:bCs/>
          <w:color w:val="auto"/>
          <w:highlight w:val="none"/>
        </w:rPr>
      </w:pPr>
      <w:r>
        <w:rPr>
          <w:rFonts w:hAnsi="宋体" w:cs="宋体"/>
          <w:bCs/>
          <w:color w:val="auto"/>
          <w:highlight w:val="none"/>
        </w:rPr>
        <w:t>注：</w:t>
      </w:r>
    </w:p>
    <w:p>
      <w:pPr>
        <w:pStyle w:val="7"/>
        <w:spacing w:line="360" w:lineRule="auto"/>
        <w:rPr>
          <w:rFonts w:hint="default" w:hAnsi="宋体" w:cs="宋体"/>
          <w:bCs/>
          <w:color w:val="auto"/>
          <w:highlight w:val="none"/>
        </w:rPr>
      </w:pPr>
      <w:r>
        <w:rPr>
          <w:rFonts w:hAnsi="宋体" w:cs="宋体"/>
          <w:bCs/>
          <w:color w:val="auto"/>
          <w:highlight w:val="none"/>
        </w:rPr>
        <w:t>（1）投标报价的大写金额和小写金额不一致的，以大写金额为准，投标报价精确到小数点后两位。</w:t>
      </w:r>
    </w:p>
    <w:p>
      <w:pPr>
        <w:spacing w:line="360" w:lineRule="auto"/>
        <w:rPr>
          <w:rFonts w:hint="eastAsia" w:ascii="宋体" w:hAnsi="宋体" w:cs="宋体"/>
          <w:bCs/>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Cs w:val="21"/>
          <w:highlight w:val="none"/>
        </w:rPr>
        <w:t>投标报价不得超过最高投标限价</w:t>
      </w:r>
      <w:r>
        <w:rPr>
          <w:rFonts w:hint="eastAsia" w:ascii="宋体" w:hAnsi="宋体" w:cs="宋体"/>
          <w:bCs/>
          <w:color w:val="auto"/>
          <w:szCs w:val="21"/>
          <w:highlight w:val="none"/>
        </w:rPr>
        <w:t>，否则按废标处理。</w:t>
      </w:r>
    </w:p>
    <w:p>
      <w:pPr>
        <w:spacing w:line="360" w:lineRule="auto"/>
        <w:rPr>
          <w:rFonts w:hint="eastAsia" w:ascii="宋体" w:hAnsi="宋体" w:eastAsia="宋体" w:cs="宋体"/>
          <w:bCs/>
          <w:snapToGrid/>
          <w:color w:val="auto"/>
          <w:kern w:val="2"/>
          <w:sz w:val="21"/>
          <w:szCs w:val="21"/>
          <w:highlight w:val="none"/>
          <w:lang w:val="en-US" w:eastAsia="zh-CN"/>
        </w:rPr>
      </w:pPr>
      <w:r>
        <w:rPr>
          <w:rFonts w:hint="eastAsia" w:ascii="宋体" w:hAnsi="宋体" w:eastAsia="宋体" w:cs="宋体"/>
          <w:bCs/>
          <w:color w:val="auto"/>
          <w:kern w:val="2"/>
          <w:sz w:val="21"/>
          <w:szCs w:val="21"/>
          <w:highlight w:val="none"/>
          <w:lang w:eastAsia="zh-CN"/>
        </w:rPr>
        <w:t>（</w:t>
      </w:r>
      <w:r>
        <w:rPr>
          <w:rFonts w:hint="eastAsia" w:ascii="宋体" w:hAnsi="宋体" w:eastAsia="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eastAsia="zh-CN"/>
        </w:rPr>
        <w:t>）</w:t>
      </w:r>
      <w:r>
        <w:rPr>
          <w:rFonts w:hint="eastAsia" w:ascii="宋体" w:hAnsi="宋体" w:eastAsia="宋体" w:cs="宋体"/>
          <w:bCs/>
          <w:color w:val="auto"/>
          <w:kern w:val="2"/>
          <w:sz w:val="21"/>
          <w:szCs w:val="21"/>
          <w:highlight w:val="none"/>
        </w:rPr>
        <w:t>本次</w:t>
      </w:r>
      <w:r>
        <w:rPr>
          <w:rFonts w:hint="eastAsia" w:ascii="宋体" w:hAnsi="宋体" w:eastAsia="宋体" w:cs="宋体"/>
          <w:bCs/>
          <w:color w:val="auto"/>
          <w:kern w:val="2"/>
          <w:sz w:val="21"/>
          <w:szCs w:val="21"/>
          <w:highlight w:val="none"/>
          <w:lang w:eastAsia="zh-CN"/>
        </w:rPr>
        <w:t>设计服务</w:t>
      </w:r>
      <w:r>
        <w:rPr>
          <w:rFonts w:hint="eastAsia" w:ascii="宋体" w:hAnsi="宋体" w:eastAsia="宋体" w:cs="宋体"/>
          <w:bCs/>
          <w:color w:val="auto"/>
          <w:kern w:val="2"/>
          <w:sz w:val="21"/>
          <w:szCs w:val="21"/>
          <w:highlight w:val="none"/>
        </w:rPr>
        <w:t>费包含完成该设计项目的成本、利润、税金、图纸资料文印费、</w:t>
      </w:r>
      <w:r>
        <w:rPr>
          <w:rFonts w:hint="eastAsia" w:ascii="宋体" w:hAnsi="宋体" w:eastAsia="宋体" w:cs="宋体"/>
          <w:bCs/>
          <w:color w:val="auto"/>
          <w:kern w:val="2"/>
          <w:sz w:val="21"/>
          <w:szCs w:val="21"/>
          <w:highlight w:val="none"/>
          <w:lang w:val="en-US" w:eastAsia="zh-CN"/>
        </w:rPr>
        <w:t>分包费</w:t>
      </w:r>
      <w:r>
        <w:rPr>
          <w:rFonts w:hint="eastAsia" w:ascii="宋体" w:hAnsi="宋体" w:eastAsia="宋体" w:cs="宋体"/>
          <w:bCs/>
          <w:color w:val="auto"/>
          <w:kern w:val="2"/>
          <w:sz w:val="21"/>
          <w:szCs w:val="21"/>
          <w:highlight w:val="none"/>
        </w:rPr>
        <w:t>、专家评审费等一切费用，投标人应考虑上述情况进行投标下浮率的报价</w:t>
      </w:r>
      <w:r>
        <w:rPr>
          <w:rFonts w:hint="eastAsia" w:ascii="宋体" w:hAnsi="宋体" w:eastAsia="宋体" w:cs="宋体"/>
          <w:bCs/>
          <w:color w:val="auto"/>
          <w:kern w:val="2"/>
          <w:sz w:val="21"/>
          <w:szCs w:val="21"/>
          <w:highlight w:val="none"/>
          <w:lang w:val="en-US" w:eastAsia="zh-CN"/>
        </w:rPr>
        <w:t>，投标下浮率=（1-投标报价/</w:t>
      </w:r>
      <w:r>
        <w:rPr>
          <w:rFonts w:hint="eastAsia" w:ascii="宋体" w:hAnsi="宋体" w:eastAsia="宋体" w:cs="宋体"/>
          <w:bCs/>
          <w:color w:val="auto"/>
          <w:kern w:val="2"/>
          <w:sz w:val="21"/>
          <w:szCs w:val="21"/>
          <w:highlight w:val="none"/>
        </w:rPr>
        <w:t>基本设计费用</w:t>
      </w:r>
      <w:r>
        <w:rPr>
          <w:rFonts w:hint="eastAsia" w:ascii="宋体" w:hAnsi="宋体" w:eastAsia="宋体" w:cs="宋体"/>
          <w:b w:val="0"/>
          <w:bCs/>
          <w:color w:val="auto"/>
          <w:sz w:val="21"/>
          <w:szCs w:val="21"/>
          <w:highlight w:val="none"/>
          <w:lang w:val="en-US" w:eastAsia="zh-CN"/>
        </w:rPr>
        <w:t>456,678.86</w:t>
      </w:r>
      <w:r>
        <w:rPr>
          <w:rFonts w:hint="eastAsia" w:ascii="宋体" w:hAnsi="宋体" w:eastAsia="宋体" w:cs="宋体"/>
          <w:bCs/>
          <w:color w:val="auto"/>
          <w:kern w:val="2"/>
          <w:sz w:val="21"/>
          <w:szCs w:val="21"/>
          <w:highlight w:val="none"/>
          <w:lang w:val="en-US" w:eastAsia="zh-CN"/>
        </w:rPr>
        <w:t>元）*100%</w:t>
      </w:r>
      <w:r>
        <w:rPr>
          <w:rFonts w:hint="eastAsia" w:ascii="宋体" w:hAnsi="宋体" w:eastAsia="宋体" w:cs="宋体"/>
          <w:bCs/>
          <w:color w:val="auto"/>
          <w:kern w:val="2"/>
          <w:sz w:val="21"/>
          <w:szCs w:val="21"/>
          <w:highlight w:val="none"/>
        </w:rPr>
        <w:t>。</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w:t>
      </w:r>
      <w:r>
        <w:rPr>
          <w:rFonts w:hint="eastAsia" w:ascii="宋体" w:hAnsi="宋体"/>
          <w:b/>
          <w:color w:val="auto"/>
          <w:sz w:val="24"/>
          <w:highlight w:val="none"/>
          <w:lang w:val="en-US" w:eastAsia="zh-CN"/>
        </w:rPr>
        <w:t>2</w:t>
      </w:r>
      <w:r>
        <w:rPr>
          <w:rFonts w:hint="eastAsia" w:ascii="宋体" w:hAnsi="宋体"/>
          <w:b/>
          <w:color w:val="auto"/>
          <w:sz w:val="24"/>
          <w:highlight w:val="none"/>
        </w:rPr>
        <w:t>：</w:t>
      </w:r>
    </w:p>
    <w:p>
      <w:pPr>
        <w:pStyle w:val="7"/>
        <w:rPr>
          <w:rFonts w:hint="default"/>
          <w:color w:val="auto"/>
          <w:highlight w:val="none"/>
        </w:rPr>
      </w:pPr>
    </w:p>
    <w:p>
      <w:pPr>
        <w:jc w:val="left"/>
        <w:rPr>
          <w:b/>
          <w:color w:val="auto"/>
          <w:sz w:val="24"/>
          <w:highlight w:val="none"/>
        </w:rPr>
      </w:pPr>
      <w:r>
        <w:rPr>
          <w:rFonts w:hint="eastAsia" w:ascii="宋体" w:hAnsi="宋体" w:eastAsia="宋体" w:cs="宋体"/>
          <w:color w:val="auto"/>
          <w:sz w:val="24"/>
          <w:highlight w:val="none"/>
        </w:rPr>
        <w:t xml:space="preserve"> </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lang w:eastAsia="zh-CN"/>
        </w:rPr>
        <w:t>技术</w:t>
      </w:r>
      <w:r>
        <w:rPr>
          <w:rFonts w:hint="eastAsia" w:eastAsia="黑体"/>
          <w:color w:val="auto"/>
          <w:sz w:val="52"/>
          <w:szCs w:val="52"/>
          <w:highlight w:val="none"/>
        </w:rPr>
        <w:t>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spacing w:line="240" w:lineRule="auto"/>
        <w:rPr>
          <w:rFonts w:hint="eastAsia" w:ascii="宋体" w:hAnsi="宋体" w:eastAsia="宋体" w:cs="宋体"/>
          <w:color w:val="auto"/>
          <w:sz w:val="24"/>
          <w:highlight w:val="none"/>
        </w:rPr>
      </w:pPr>
      <w:r>
        <w:rPr>
          <w:b/>
          <w:color w:val="auto"/>
          <w:sz w:val="24"/>
          <w:highlight w:val="none"/>
        </w:rPr>
        <w:br w:type="page"/>
      </w:r>
    </w:p>
    <w:p>
      <w:pPr>
        <w:pStyle w:val="2"/>
        <w:rPr>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w:t>
      </w:r>
      <w:r>
        <w:rPr>
          <w:rFonts w:hint="eastAsia" w:ascii="仿宋" w:hAnsi="仿宋" w:eastAsia="仿宋" w:cs="仿宋"/>
          <w:color w:val="auto"/>
          <w:sz w:val="28"/>
          <w:szCs w:val="28"/>
          <w:highlight w:val="none"/>
          <w:lang w:eastAsia="zh-CN"/>
        </w:rPr>
        <w:t>服务</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7"/>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7"/>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若中标人在实际工作中服务质量存在问题，未能表现出符合要求的设计水平，经招标人研究确定，可解除与中标人的合同关系，并按照中标候选人顺序依次选取新的中标人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pStyle w:val="7"/>
        <w:rPr>
          <w:rFonts w:hint="default" w:ascii="仿宋" w:hAnsi="仿宋" w:eastAsia="仿宋" w:cs="仿宋"/>
          <w:color w:val="auto"/>
          <w:sz w:val="28"/>
          <w:szCs w:val="28"/>
          <w:highlight w:val="none"/>
        </w:rPr>
      </w:pPr>
    </w:p>
    <w:p>
      <w:pPr>
        <w:pStyle w:val="7"/>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8"/>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pPr>
        <w:pStyle w:val="18"/>
        <w:widowControl/>
        <w:ind w:firstLine="562"/>
        <w:rPr>
          <w:rFonts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pStyle w:val="18"/>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4 设计任务书</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3"/>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highlight w:val="none"/>
                <w:lang w:val="en-US" w:eastAsia="zh-CN"/>
              </w:rPr>
            </w:pPr>
            <w:r>
              <w:rPr>
                <w:rFonts w:hint="eastAsia" w:ascii="仿宋" w:hAnsi="仿宋" w:eastAsia="仿宋" w:cs="仿宋"/>
                <w:color w:val="auto"/>
                <w:sz w:val="21"/>
                <w:szCs w:val="21"/>
                <w:highlight w:val="none"/>
                <w:lang w:val="en-US" w:eastAsia="zh-CN"/>
              </w:rPr>
              <w:t>投标报价不超过最高投标限价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pPr>
        <w:snapToGrid w:val="0"/>
        <w:ind w:left="74"/>
        <w:outlineLvl w:val="0"/>
        <w:rPr>
          <w:rFonts w:ascii="仿宋" w:hAnsi="仿宋" w:eastAsia="仿宋" w:cs="仿宋"/>
          <w:color w:val="auto"/>
          <w:sz w:val="24"/>
          <w:highlight w:val="none"/>
        </w:rPr>
      </w:pPr>
      <w:bookmarkStart w:id="47"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7"/>
    </w:p>
    <w:tbl>
      <w:tblPr>
        <w:tblStyle w:val="13"/>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101"/>
        <w:gridCol w:w="735"/>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1127"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评审内容</w:t>
            </w:r>
          </w:p>
        </w:tc>
        <w:tc>
          <w:tcPr>
            <w:tcW w:w="1101"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评分因素</w:t>
            </w:r>
          </w:p>
        </w:tc>
        <w:tc>
          <w:tcPr>
            <w:tcW w:w="735"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c>
          <w:tcPr>
            <w:tcW w:w="5428"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40</w:t>
            </w:r>
            <w:r>
              <w:rPr>
                <w:rFonts w:hint="eastAsia" w:ascii="宋体" w:hAnsi="宋体" w:eastAsia="宋体" w:cs="宋体"/>
                <w:color w:val="auto"/>
                <w:szCs w:val="21"/>
                <w:highlight w:val="none"/>
              </w:rPr>
              <w:t>分）</w:t>
            </w:r>
          </w:p>
        </w:tc>
        <w:tc>
          <w:tcPr>
            <w:tcW w:w="1101" w:type="dxa"/>
            <w:vAlign w:val="center"/>
          </w:tcPr>
          <w:p>
            <w:pPr>
              <w:spacing w:line="40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rPr>
              <w:t>企业</w:t>
            </w:r>
            <w:r>
              <w:rPr>
                <w:rFonts w:hint="eastAsia" w:ascii="宋体" w:hAnsi="宋体" w:eastAsia="宋体" w:cs="宋体"/>
                <w:color w:val="auto"/>
                <w:kern w:val="0"/>
                <w:szCs w:val="21"/>
                <w:highlight w:val="none"/>
                <w:lang w:eastAsia="zh-CN"/>
              </w:rPr>
              <w:t>资质</w:t>
            </w:r>
          </w:p>
        </w:tc>
        <w:tc>
          <w:tcPr>
            <w:tcW w:w="735" w:type="dxa"/>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p>
        </w:tc>
        <w:tc>
          <w:tcPr>
            <w:tcW w:w="5428" w:type="dxa"/>
            <w:vAlign w:val="center"/>
          </w:tcPr>
          <w:p>
            <w:pPr>
              <w:keepNext w:val="0"/>
              <w:keepLines w:val="0"/>
              <w:pageBreakBefore w:val="0"/>
              <w:widowControl w:val="0"/>
              <w:numPr>
                <w:ilvl w:val="-1"/>
                <w:numId w:val="0"/>
              </w:numPr>
              <w:kinsoku/>
              <w:wordWrap/>
              <w:overflowPunct/>
              <w:topLinePunct w:val="0"/>
              <w:autoSpaceDE w:val="0"/>
              <w:autoSpaceDN w:val="0"/>
              <w:bidi w:val="0"/>
              <w:adjustRightInd w:val="0"/>
              <w:spacing w:line="264" w:lineRule="auto"/>
              <w:ind w:left="0" w:leftChars="0" w:right="-65" w:rightChars="-31"/>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1、具备工程设计综合资质甲级或建筑行业设计甲级资质</w:t>
            </w:r>
            <w:r>
              <w:rPr>
                <w:rFonts w:hint="eastAsia" w:ascii="宋体" w:hAnsi="宋体" w:eastAsia="宋体" w:cs="宋体"/>
                <w:color w:val="auto"/>
                <w:sz w:val="21"/>
                <w:szCs w:val="21"/>
                <w:highlight w:val="none"/>
              </w:rPr>
              <w:t>或建筑行业（建筑工程）专业</w:t>
            </w:r>
            <w:r>
              <w:rPr>
                <w:rFonts w:hint="eastAsia" w:ascii="宋体" w:hAnsi="宋体" w:eastAsia="宋体" w:cs="宋体"/>
                <w:color w:val="auto"/>
                <w:sz w:val="21"/>
                <w:szCs w:val="21"/>
                <w:highlight w:val="none"/>
                <w:lang w:eastAsia="zh-CN"/>
              </w:rPr>
              <w:t>设计甲级资质</w:t>
            </w:r>
            <w:r>
              <w:rPr>
                <w:rFonts w:hint="eastAsia" w:ascii="宋体" w:hAnsi="宋体" w:eastAsia="宋体" w:cs="宋体"/>
                <w:color w:val="auto"/>
                <w:szCs w:val="21"/>
                <w:highlight w:val="none"/>
                <w:lang w:val="en-US" w:eastAsia="zh-CN"/>
              </w:rPr>
              <w:t>的，得3分；具备建筑行业设计乙级资质</w:t>
            </w:r>
            <w:r>
              <w:rPr>
                <w:rFonts w:hint="eastAsia" w:ascii="宋体" w:hAnsi="宋体" w:eastAsia="宋体" w:cs="宋体"/>
                <w:color w:val="auto"/>
                <w:sz w:val="21"/>
                <w:szCs w:val="21"/>
                <w:highlight w:val="none"/>
              </w:rPr>
              <w:t>或建筑行业（建筑工程）专业</w:t>
            </w:r>
            <w:r>
              <w:rPr>
                <w:rFonts w:hint="eastAsia" w:ascii="宋体" w:hAnsi="宋体" w:eastAsia="宋体" w:cs="宋体"/>
                <w:color w:val="auto"/>
                <w:sz w:val="21"/>
                <w:szCs w:val="21"/>
                <w:highlight w:val="none"/>
                <w:lang w:eastAsia="zh-CN"/>
              </w:rPr>
              <w:t>设计乙级资质</w:t>
            </w:r>
            <w:r>
              <w:rPr>
                <w:rFonts w:hint="eastAsia" w:ascii="宋体" w:hAnsi="宋体" w:eastAsia="宋体" w:cs="宋体"/>
                <w:color w:val="auto"/>
                <w:szCs w:val="21"/>
                <w:highlight w:val="none"/>
                <w:lang w:val="en-US" w:eastAsia="zh-CN"/>
              </w:rPr>
              <w:t>的，得1分。本小项最多得3分。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2、具备勘察设计企业信用AAA级等级证书的，得3分；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vAlign w:val="center"/>
          </w:tcPr>
          <w:p>
            <w:pPr>
              <w:jc w:val="center"/>
              <w:rPr>
                <w:rFonts w:hint="eastAsia" w:ascii="宋体" w:hAnsi="宋体" w:eastAsia="宋体" w:cs="宋体"/>
                <w:color w:val="auto"/>
                <w:szCs w:val="21"/>
                <w:highlight w:val="none"/>
              </w:rPr>
            </w:pPr>
          </w:p>
        </w:tc>
        <w:tc>
          <w:tcPr>
            <w:tcW w:w="1101" w:type="dxa"/>
            <w:vAlign w:val="center"/>
          </w:tcPr>
          <w:p>
            <w:pPr>
              <w:spacing w:line="400" w:lineRule="exact"/>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企业业绩</w:t>
            </w:r>
          </w:p>
        </w:tc>
        <w:tc>
          <w:tcPr>
            <w:tcW w:w="735" w:type="dxa"/>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w:t>
            </w:r>
          </w:p>
        </w:tc>
        <w:tc>
          <w:tcPr>
            <w:tcW w:w="5428" w:type="dxa"/>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年1月1日至今独立承担过</w:t>
            </w:r>
            <w:r>
              <w:rPr>
                <w:rFonts w:hint="eastAsia" w:ascii="宋体" w:hAnsi="宋体" w:eastAsia="宋体" w:cs="宋体"/>
                <w:color w:val="auto"/>
                <w:szCs w:val="21"/>
                <w:highlight w:val="none"/>
                <w:lang w:eastAsia="zh-CN"/>
              </w:rPr>
              <w:t>设计</w:t>
            </w:r>
            <w:r>
              <w:rPr>
                <w:rFonts w:hint="eastAsia" w:ascii="宋体" w:hAnsi="宋体" w:eastAsia="宋体" w:cs="宋体"/>
                <w:color w:val="auto"/>
                <w:szCs w:val="21"/>
                <w:highlight w:val="none"/>
              </w:rPr>
              <w:t>面积</w:t>
            </w:r>
            <w:r>
              <w:rPr>
                <w:rFonts w:hint="eastAsia" w:ascii="宋体" w:hAnsi="宋体" w:eastAsia="宋体" w:cs="宋体"/>
                <w:color w:val="auto"/>
                <w:szCs w:val="21"/>
                <w:highlight w:val="none"/>
                <w:lang w:val="en-US" w:eastAsia="zh-CN"/>
              </w:rPr>
              <w:t>1800</w:t>
            </w:r>
            <w:r>
              <w:rPr>
                <w:rFonts w:hint="eastAsia" w:ascii="宋体" w:hAnsi="宋体" w:eastAsia="宋体" w:cs="宋体"/>
                <w:color w:val="auto"/>
                <w:szCs w:val="21"/>
                <w:highlight w:val="none"/>
              </w:rPr>
              <w:t>平方米或以上的同类业绩，每项得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分，最高得分为</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注：同类业绩指建筑工程类</w:t>
            </w:r>
            <w:r>
              <w:rPr>
                <w:rFonts w:hint="eastAsia" w:ascii="宋体" w:hAnsi="宋体" w:eastAsia="宋体" w:cs="宋体"/>
                <w:color w:val="auto"/>
                <w:szCs w:val="21"/>
                <w:highlight w:val="none"/>
                <w:lang w:eastAsia="zh-CN"/>
              </w:rPr>
              <w:t>项目设计业绩</w:t>
            </w:r>
            <w:r>
              <w:rPr>
                <w:rFonts w:hint="eastAsia" w:ascii="宋体" w:hAnsi="宋体" w:eastAsia="宋体" w:cs="宋体"/>
                <w:color w:val="auto"/>
                <w:szCs w:val="21"/>
                <w:highlight w:val="none"/>
              </w:rPr>
              <w:t>，企业业绩认定证明材料需提供设计合同复印件；业绩认定时间以设计合同签订时间为准。如业绩资料不能证明评标所需指标，须另提供经业主确认的证明资料复印件，无证明材料不计分。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vAlign w:val="center"/>
          </w:tcPr>
          <w:p>
            <w:pPr>
              <w:jc w:val="center"/>
              <w:rPr>
                <w:rFonts w:hint="eastAsia" w:ascii="宋体" w:hAnsi="宋体" w:eastAsia="宋体" w:cs="宋体"/>
                <w:color w:val="auto"/>
                <w:szCs w:val="21"/>
                <w:highlight w:val="none"/>
              </w:rPr>
            </w:pPr>
          </w:p>
        </w:tc>
        <w:tc>
          <w:tcPr>
            <w:tcW w:w="1101"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企业业绩获奖</w:t>
            </w:r>
          </w:p>
        </w:tc>
        <w:tc>
          <w:tcPr>
            <w:tcW w:w="735" w:type="dxa"/>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6</w:t>
            </w:r>
          </w:p>
        </w:tc>
        <w:tc>
          <w:tcPr>
            <w:tcW w:w="5428" w:type="dxa"/>
            <w:vAlign w:val="center"/>
          </w:tcPr>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年1月1日至今完成的建筑工程类设计项目作为独立获奖单位获得建设行政主管部门或</w:t>
            </w:r>
            <w:r>
              <w:rPr>
                <w:rFonts w:hint="eastAsia" w:ascii="宋体" w:hAnsi="宋体" w:eastAsia="宋体" w:cs="宋体"/>
                <w:color w:val="auto"/>
                <w:szCs w:val="21"/>
                <w:highlight w:val="none"/>
                <w:lang w:eastAsia="zh-CN"/>
              </w:rPr>
              <w:t>相关</w:t>
            </w:r>
            <w:r>
              <w:rPr>
                <w:rFonts w:hint="eastAsia" w:ascii="宋体" w:hAnsi="宋体" w:eastAsia="宋体" w:cs="宋体"/>
                <w:color w:val="auto"/>
                <w:szCs w:val="21"/>
                <w:highlight w:val="none"/>
              </w:rPr>
              <w:t>行业协会颁发的工程设计奖项</w:t>
            </w:r>
            <w:r>
              <w:rPr>
                <w:rFonts w:hint="eastAsia" w:ascii="宋体" w:hAnsi="宋体" w:eastAsia="宋体" w:cs="宋体"/>
                <w:color w:val="auto"/>
                <w:szCs w:val="21"/>
                <w:highlight w:val="none"/>
                <w:lang w:eastAsia="zh-CN"/>
              </w:rPr>
              <w:t>或优秀勘察设计奖项</w:t>
            </w:r>
            <w:r>
              <w:rPr>
                <w:rFonts w:hint="eastAsia" w:ascii="宋体" w:hAnsi="宋体" w:eastAsia="宋体" w:cs="宋体"/>
                <w:color w:val="auto"/>
                <w:szCs w:val="21"/>
                <w:highlight w:val="none"/>
              </w:rPr>
              <w:t>的，市级每项得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分，省级每项得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分，国家级每项得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分，最高得分为</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vAlign w:val="center"/>
          </w:tcPr>
          <w:p>
            <w:pPr>
              <w:jc w:val="center"/>
              <w:rPr>
                <w:rFonts w:hint="eastAsia" w:ascii="宋体" w:hAnsi="宋体" w:eastAsia="宋体" w:cs="宋体"/>
                <w:color w:val="auto"/>
                <w:szCs w:val="21"/>
                <w:highlight w:val="none"/>
              </w:rPr>
            </w:pPr>
          </w:p>
        </w:tc>
        <w:tc>
          <w:tcPr>
            <w:tcW w:w="1101" w:type="dxa"/>
            <w:vAlign w:val="center"/>
          </w:tcPr>
          <w:p>
            <w:pPr>
              <w:spacing w:line="40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认证体系</w:t>
            </w:r>
          </w:p>
        </w:tc>
        <w:tc>
          <w:tcPr>
            <w:tcW w:w="735" w:type="dxa"/>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c>
          <w:tcPr>
            <w:tcW w:w="5428" w:type="dxa"/>
            <w:vAlign w:val="center"/>
          </w:tcPr>
          <w:p>
            <w:pPr>
              <w:widowControl/>
              <w:snapToGrid w:val="0"/>
              <w:jc w:val="left"/>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具有</w:t>
            </w:r>
            <w:r>
              <w:rPr>
                <w:rFonts w:hint="eastAsia" w:ascii="宋体" w:hAnsi="宋体" w:eastAsia="宋体" w:cs="宋体"/>
                <w:color w:val="auto"/>
                <w:szCs w:val="21"/>
                <w:highlight w:val="none"/>
                <w:lang w:val="en-US" w:eastAsia="zh-CN" w:bidi="ar"/>
              </w:rPr>
              <w:t>ISO的</w:t>
            </w:r>
            <w:r>
              <w:rPr>
                <w:rFonts w:hint="eastAsia" w:ascii="宋体" w:hAnsi="宋体" w:eastAsia="宋体" w:cs="宋体"/>
                <w:color w:val="auto"/>
                <w:szCs w:val="21"/>
                <w:highlight w:val="none"/>
                <w:lang w:eastAsia="zh-CN" w:bidi="ar"/>
              </w:rPr>
              <w:t>国际</w:t>
            </w:r>
            <w:r>
              <w:rPr>
                <w:rFonts w:hint="eastAsia" w:ascii="宋体" w:hAnsi="宋体" w:eastAsia="宋体" w:cs="宋体"/>
                <w:color w:val="auto"/>
                <w:szCs w:val="21"/>
                <w:highlight w:val="none"/>
                <w:lang w:bidi="ar"/>
              </w:rPr>
              <w:t>质量管理体系认证、环境管理体系认证、职业健康安全管理体系认证的，每</w:t>
            </w:r>
            <w:r>
              <w:rPr>
                <w:rFonts w:hint="eastAsia" w:ascii="宋体" w:hAnsi="宋体" w:eastAsia="宋体" w:cs="宋体"/>
                <w:color w:val="auto"/>
                <w:szCs w:val="21"/>
                <w:highlight w:val="none"/>
                <w:lang w:eastAsia="zh-CN" w:bidi="ar"/>
              </w:rPr>
              <w:t>有一项体系认证</w:t>
            </w:r>
            <w:r>
              <w:rPr>
                <w:rFonts w:hint="eastAsia" w:ascii="宋体" w:hAnsi="宋体" w:eastAsia="宋体" w:cs="宋体"/>
                <w:color w:val="auto"/>
                <w:szCs w:val="21"/>
                <w:highlight w:val="none"/>
                <w:lang w:bidi="ar"/>
              </w:rPr>
              <w:t>得</w:t>
            </w:r>
            <w:r>
              <w:rPr>
                <w:rFonts w:hint="eastAsia" w:ascii="宋体" w:hAnsi="宋体" w:eastAsia="宋体" w:cs="宋体"/>
                <w:color w:val="auto"/>
                <w:szCs w:val="21"/>
                <w:highlight w:val="none"/>
                <w:lang w:val="en-US" w:eastAsia="zh-CN" w:bidi="ar"/>
              </w:rPr>
              <w:t>1</w:t>
            </w:r>
            <w:r>
              <w:rPr>
                <w:rFonts w:hint="eastAsia" w:ascii="宋体" w:hAnsi="宋体" w:eastAsia="宋体" w:cs="宋体"/>
                <w:color w:val="auto"/>
                <w:szCs w:val="21"/>
                <w:highlight w:val="none"/>
                <w:lang w:bidi="ar"/>
              </w:rPr>
              <w:t>分，最高</w:t>
            </w:r>
            <w:r>
              <w:rPr>
                <w:rFonts w:hint="eastAsia" w:ascii="宋体" w:hAnsi="宋体" w:eastAsia="宋体" w:cs="宋体"/>
                <w:color w:val="auto"/>
                <w:szCs w:val="21"/>
                <w:highlight w:val="none"/>
                <w:lang w:eastAsia="zh-CN" w:bidi="ar"/>
              </w:rPr>
              <w:t>得</w:t>
            </w:r>
            <w:r>
              <w:rPr>
                <w:rFonts w:hint="eastAsia" w:ascii="宋体" w:hAnsi="宋体" w:eastAsia="宋体" w:cs="宋体"/>
                <w:color w:val="auto"/>
                <w:szCs w:val="21"/>
                <w:highlight w:val="none"/>
                <w:lang w:val="en-US" w:eastAsia="zh-CN" w:bidi="ar"/>
              </w:rPr>
              <w:t>3</w:t>
            </w:r>
            <w:r>
              <w:rPr>
                <w:rFonts w:hint="eastAsia" w:ascii="宋体" w:hAnsi="宋体" w:eastAsia="宋体" w:cs="宋体"/>
                <w:color w:val="auto"/>
                <w:szCs w:val="21"/>
                <w:highlight w:val="none"/>
                <w:lang w:bidi="ar"/>
              </w:rPr>
              <w:t>分。</w:t>
            </w:r>
          </w:p>
          <w:p>
            <w:pPr>
              <w:widowControl/>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注：提供证书原件扫描件</w:t>
            </w:r>
            <w:r>
              <w:rPr>
                <w:rFonts w:hint="eastAsia" w:ascii="宋体" w:hAnsi="宋体" w:eastAsia="宋体" w:cs="宋体"/>
                <w:color w:val="auto"/>
                <w:szCs w:val="21"/>
                <w:highlight w:val="none"/>
              </w:rPr>
              <w:t>，无证明材料则不计分</w:t>
            </w:r>
            <w:r>
              <w:rPr>
                <w:rFonts w:hint="eastAsia" w:ascii="宋体" w:hAnsi="宋体" w:eastAsia="宋体" w:cs="宋体"/>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vAlign w:val="center"/>
          </w:tcPr>
          <w:p>
            <w:pPr>
              <w:jc w:val="center"/>
              <w:rPr>
                <w:rFonts w:hint="eastAsia" w:ascii="宋体" w:hAnsi="宋体" w:eastAsia="宋体" w:cs="宋体"/>
                <w:color w:val="auto"/>
                <w:szCs w:val="21"/>
                <w:highlight w:val="none"/>
              </w:rPr>
            </w:pPr>
          </w:p>
        </w:tc>
        <w:tc>
          <w:tcPr>
            <w:tcW w:w="1101" w:type="dxa"/>
            <w:vAlign w:val="center"/>
          </w:tcPr>
          <w:p>
            <w:pPr>
              <w:keepNext w:val="0"/>
              <w:keepLines w:val="0"/>
              <w:widowControl/>
              <w:suppressLineNumbers w:val="0"/>
              <w:spacing w:line="240" w:lineRule="auto"/>
              <w:jc w:val="center"/>
              <w:textAlignment w:val="center"/>
              <w:rPr>
                <w:rFonts w:hint="eastAsia" w:ascii="宋体" w:hAnsi="宋体" w:eastAsia="宋体" w:cs="宋体"/>
                <w:color w:val="auto"/>
                <w:szCs w:val="21"/>
                <w:highlight w:val="none"/>
              </w:rPr>
            </w:pPr>
            <w:r>
              <w:rPr>
                <w:rFonts w:hint="eastAsia" w:ascii="宋体" w:hAnsi="宋体" w:eastAsia="宋体" w:cs="宋体"/>
                <w:i w:val="0"/>
                <w:iCs w:val="0"/>
                <w:color w:val="auto"/>
                <w:kern w:val="0"/>
                <w:sz w:val="21"/>
                <w:szCs w:val="21"/>
                <w:highlight w:val="none"/>
                <w:u w:val="none"/>
                <w:lang w:val="en-US" w:eastAsia="zh-CN" w:bidi="ar"/>
              </w:rPr>
              <w:t>纳税信用</w:t>
            </w:r>
          </w:p>
        </w:tc>
        <w:tc>
          <w:tcPr>
            <w:tcW w:w="735" w:type="dxa"/>
            <w:vAlign w:val="center"/>
          </w:tcPr>
          <w:p>
            <w:pPr>
              <w:keepNext w:val="0"/>
              <w:keepLines w:val="0"/>
              <w:widowControl/>
              <w:suppressLineNumbers w:val="0"/>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w:t>
            </w:r>
          </w:p>
        </w:tc>
        <w:tc>
          <w:tcPr>
            <w:tcW w:w="5428" w:type="dxa"/>
            <w:vAlign w:val="center"/>
          </w:tcPr>
          <w:p>
            <w:pPr>
              <w:keepNext w:val="0"/>
              <w:keepLines w:val="0"/>
              <w:widowControl/>
              <w:suppressLineNumbers w:val="0"/>
              <w:spacing w:line="240" w:lineRule="auto"/>
              <w:jc w:val="left"/>
              <w:textAlignment w:val="center"/>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至投标截止日前，</w:t>
            </w:r>
            <w:r>
              <w:rPr>
                <w:rFonts w:hint="eastAsia" w:ascii="宋体" w:hAnsi="宋体" w:eastAsia="宋体" w:cs="宋体"/>
                <w:i w:val="0"/>
                <w:iCs w:val="0"/>
                <w:color w:val="auto"/>
                <w:kern w:val="0"/>
                <w:sz w:val="21"/>
                <w:szCs w:val="21"/>
                <w:highlight w:val="none"/>
                <w:u w:val="none"/>
                <w:lang w:val="en-US" w:eastAsia="zh-CN" w:bidi="ar"/>
              </w:rPr>
              <w:t>投标人被评为“纳税信用A级纳税人”称号的次数：每获得1次得1分，最多得3分，没有的不得分。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注：A级纳税人以国家税务总局或下属各省（市）级税务部门颁发的“纳税信用A级”证书，或以国家税务总局或下属各省（市）级税务部门网站的查询结果为准，纳税人登记只计算投标人自身（不计算投标人的分公司和子公司）。投标人须提供证书扫描件或在上述网站的查询结果网页打印页（截图）（不符合条件或无提交上述证明文件的不计分）。时间以税务部门网站公布的获奖年度（评价年度）或证书评价年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1127" w:type="dxa"/>
            <w:vMerge w:val="continue"/>
            <w:vAlign w:val="center"/>
          </w:tcPr>
          <w:p>
            <w:pPr>
              <w:jc w:val="center"/>
              <w:rPr>
                <w:rFonts w:hint="eastAsia" w:ascii="宋体" w:hAnsi="宋体" w:eastAsia="宋体" w:cs="宋体"/>
                <w:color w:val="auto"/>
                <w:szCs w:val="21"/>
                <w:highlight w:val="none"/>
              </w:rPr>
            </w:pPr>
          </w:p>
        </w:tc>
        <w:tc>
          <w:tcPr>
            <w:tcW w:w="1101"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项目负责人</w:t>
            </w:r>
          </w:p>
        </w:tc>
        <w:tc>
          <w:tcPr>
            <w:tcW w:w="735" w:type="dxa"/>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p>
        </w:tc>
        <w:tc>
          <w:tcPr>
            <w:tcW w:w="5428" w:type="dxa"/>
            <w:vAlign w:val="center"/>
          </w:tcPr>
          <w:p>
            <w:pPr>
              <w:widowControl/>
              <w:numPr>
                <w:ilvl w:val="-1"/>
                <w:numId w:val="0"/>
              </w:num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具有一级注册建筑师资格证书</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p>
          <w:p>
            <w:pPr>
              <w:widowControl/>
              <w:numPr>
                <w:ilvl w:val="-1"/>
                <w:numId w:val="0"/>
              </w:numPr>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具有</w:t>
            </w:r>
            <w:r>
              <w:rPr>
                <w:rFonts w:hint="eastAsia" w:ascii="宋体" w:hAnsi="宋体" w:eastAsia="宋体" w:cs="宋体"/>
                <w:color w:val="auto"/>
                <w:szCs w:val="21"/>
                <w:highlight w:val="none"/>
                <w:lang w:eastAsia="zh-CN"/>
              </w:rPr>
              <w:t>中级</w:t>
            </w:r>
            <w:r>
              <w:rPr>
                <w:rFonts w:hint="eastAsia" w:ascii="宋体" w:hAnsi="宋体" w:eastAsia="宋体" w:cs="宋体"/>
                <w:color w:val="auto"/>
                <w:szCs w:val="21"/>
                <w:highlight w:val="none"/>
              </w:rPr>
              <w:t>工程师资质的，得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；具有高</w:t>
            </w:r>
            <w:r>
              <w:rPr>
                <w:rFonts w:hint="eastAsia" w:ascii="宋体" w:hAnsi="宋体" w:eastAsia="宋体" w:cs="宋体"/>
                <w:color w:val="auto"/>
                <w:szCs w:val="21"/>
                <w:highlight w:val="none"/>
              </w:rPr>
              <w:t>级</w:t>
            </w:r>
            <w:r>
              <w:rPr>
                <w:rFonts w:hint="eastAsia" w:ascii="宋体" w:hAnsi="宋体" w:eastAsia="宋体" w:cs="宋体"/>
                <w:color w:val="auto"/>
                <w:szCs w:val="21"/>
                <w:highlight w:val="none"/>
                <w:lang w:eastAsia="zh-CN"/>
              </w:rPr>
              <w:t>或以上</w:t>
            </w:r>
            <w:r>
              <w:rPr>
                <w:rFonts w:hint="eastAsia" w:ascii="宋体" w:hAnsi="宋体" w:eastAsia="宋体" w:cs="宋体"/>
                <w:color w:val="auto"/>
                <w:szCs w:val="21"/>
                <w:highlight w:val="none"/>
              </w:rPr>
              <w:t>工程师资质的，得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。本小项最多得</w:t>
            </w:r>
            <w:r>
              <w:rPr>
                <w:rFonts w:hint="eastAsia" w:ascii="宋体" w:hAnsi="宋体" w:eastAsia="宋体" w:cs="宋体"/>
                <w:color w:val="auto"/>
                <w:szCs w:val="21"/>
                <w:highlight w:val="none"/>
                <w:lang w:val="en-US" w:eastAsia="zh-CN"/>
              </w:rPr>
              <w:t>3分。</w:t>
            </w:r>
          </w:p>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注：提供职称证、注册证书等证明材料，无证明材料则不计分。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127" w:type="dxa"/>
            <w:vMerge w:val="continue"/>
            <w:vAlign w:val="center"/>
          </w:tcPr>
          <w:p>
            <w:pPr>
              <w:jc w:val="center"/>
              <w:rPr>
                <w:rFonts w:hint="eastAsia" w:ascii="宋体" w:hAnsi="宋体" w:eastAsia="宋体" w:cs="宋体"/>
                <w:color w:val="auto"/>
                <w:szCs w:val="21"/>
                <w:highlight w:val="none"/>
              </w:rPr>
            </w:pPr>
          </w:p>
        </w:tc>
        <w:tc>
          <w:tcPr>
            <w:tcW w:w="1101" w:type="dxa"/>
            <w:vAlign w:val="center"/>
          </w:tcPr>
          <w:p>
            <w:pPr>
              <w:spacing w:line="40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各专业</w:t>
            </w:r>
            <w:r>
              <w:rPr>
                <w:rFonts w:hint="eastAsia" w:ascii="宋体" w:hAnsi="宋体" w:eastAsia="宋体" w:cs="宋体"/>
                <w:color w:val="auto"/>
                <w:szCs w:val="21"/>
                <w:highlight w:val="none"/>
                <w:lang w:eastAsia="zh-CN"/>
              </w:rPr>
              <w:t>负责人</w:t>
            </w:r>
          </w:p>
        </w:tc>
        <w:tc>
          <w:tcPr>
            <w:tcW w:w="735" w:type="dxa"/>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w:t>
            </w:r>
          </w:p>
        </w:tc>
        <w:tc>
          <w:tcPr>
            <w:tcW w:w="5428" w:type="dxa"/>
            <w:vAlign w:val="center"/>
          </w:tcPr>
          <w:p>
            <w:pPr>
              <w:widowControl/>
              <w:jc w:val="left"/>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
              </w:rPr>
              <w:t>拟派往项目团队专业：建筑，结构、给排水、电气、暖通专业负责人中，具备专业注册资格或高级（或以上）工程师的每个得2分</w:t>
            </w:r>
            <w:r>
              <w:rPr>
                <w:rFonts w:hint="eastAsia" w:ascii="宋体" w:hAnsi="宋体" w:eastAsia="宋体" w:cs="宋体"/>
                <w:color w:val="auto"/>
                <w:szCs w:val="21"/>
                <w:highlight w:val="none"/>
              </w:rPr>
              <w:t>，本项最高得</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分。</w:t>
            </w:r>
          </w:p>
          <w:p>
            <w:pPr>
              <w:widowControl/>
              <w:snapToGrid w:val="0"/>
              <w:jc w:val="left"/>
              <w:rPr>
                <w:rFonts w:hint="eastAsia" w:ascii="宋体" w:hAnsi="宋体" w:eastAsia="宋体" w:cs="宋体"/>
                <w:b/>
                <w:color w:val="auto"/>
                <w:szCs w:val="21"/>
                <w:highlight w:val="none"/>
                <w:u w:val="single"/>
              </w:rPr>
            </w:pPr>
            <w:r>
              <w:rPr>
                <w:rFonts w:hint="eastAsia" w:ascii="宋体" w:hAnsi="宋体" w:eastAsia="宋体" w:cs="宋体"/>
                <w:color w:val="auto"/>
                <w:szCs w:val="21"/>
                <w:highlight w:val="none"/>
              </w:rPr>
              <w:t>注：提供职称证、注册证书等证明材料，无证明材料则不计分。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3" w:hRule="atLeast"/>
          <w:jc w:val="center"/>
        </w:trPr>
        <w:tc>
          <w:tcPr>
            <w:tcW w:w="1127" w:type="dxa"/>
            <w:vMerge w:val="restart"/>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技术部分（</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1101" w:type="dxa"/>
            <w:vAlign w:val="center"/>
          </w:tcPr>
          <w:p>
            <w:pPr>
              <w:spacing w:line="320" w:lineRule="exact"/>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sz w:val="21"/>
                <w:szCs w:val="21"/>
                <w:highlight w:val="none"/>
              </w:rPr>
              <w:t>后续服务方案</w:t>
            </w:r>
          </w:p>
        </w:tc>
        <w:tc>
          <w:tcPr>
            <w:tcW w:w="735" w:type="dxa"/>
            <w:vAlign w:val="center"/>
          </w:tcPr>
          <w:p>
            <w:pPr>
              <w:spacing w:line="40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Cs w:val="21"/>
                <w:highlight w:val="none"/>
                <w:lang w:val="en-US" w:eastAsia="zh-CN"/>
              </w:rPr>
              <w:t>5</w:t>
            </w:r>
          </w:p>
        </w:tc>
        <w:tc>
          <w:tcPr>
            <w:tcW w:w="5428" w:type="dxa"/>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优</w:t>
            </w:r>
            <w:r>
              <w:rPr>
                <w:rFonts w:hint="eastAsia" w:ascii="宋体" w:hAnsi="宋体" w:eastAsia="宋体" w:cs="宋体"/>
                <w:color w:val="auto"/>
                <w:szCs w:val="21"/>
                <w:highlight w:val="none"/>
              </w:rPr>
              <w:t>）投标人制定的</w:t>
            </w:r>
            <w:r>
              <w:rPr>
                <w:rFonts w:hint="eastAsia" w:ascii="宋体" w:hAnsi="宋体" w:eastAsia="宋体" w:cs="宋体"/>
                <w:color w:val="auto"/>
                <w:szCs w:val="21"/>
                <w:highlight w:val="none"/>
                <w:lang w:eastAsia="zh-CN"/>
              </w:rPr>
              <w:t>后续服务</w:t>
            </w:r>
            <w:r>
              <w:rPr>
                <w:rFonts w:hint="eastAsia" w:ascii="宋体" w:hAnsi="宋体" w:eastAsia="宋体" w:cs="宋体"/>
                <w:color w:val="auto"/>
                <w:szCs w:val="21"/>
                <w:highlight w:val="none"/>
              </w:rPr>
              <w:t>措施齐全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保障方法到位、目标明确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4-5</w:t>
            </w:r>
            <w:r>
              <w:rPr>
                <w:rFonts w:hint="eastAsia" w:ascii="宋体" w:hAnsi="宋体" w:eastAsia="宋体" w:cs="宋体"/>
                <w:color w:val="auto"/>
                <w:szCs w:val="21"/>
                <w:highlight w:val="none"/>
              </w:rPr>
              <w:t>分；</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（中）投标人制定的</w:t>
            </w:r>
            <w:r>
              <w:rPr>
                <w:rFonts w:hint="eastAsia" w:ascii="宋体" w:hAnsi="宋体" w:eastAsia="宋体" w:cs="宋体"/>
                <w:color w:val="auto"/>
                <w:szCs w:val="21"/>
                <w:highlight w:val="none"/>
                <w:lang w:eastAsia="zh-CN"/>
              </w:rPr>
              <w:t>后续服务</w:t>
            </w:r>
            <w:r>
              <w:rPr>
                <w:rFonts w:hint="eastAsia" w:ascii="宋体" w:hAnsi="宋体" w:eastAsia="宋体" w:cs="宋体"/>
                <w:color w:val="auto"/>
                <w:szCs w:val="21"/>
                <w:highlight w:val="none"/>
              </w:rPr>
              <w:t>措施基本齐全、保障方法基本到位、目标基本明确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2-3</w:t>
            </w:r>
            <w:r>
              <w:rPr>
                <w:rFonts w:hint="eastAsia" w:ascii="宋体" w:hAnsi="宋体" w:eastAsia="宋体" w:cs="宋体"/>
                <w:color w:val="auto"/>
                <w:szCs w:val="21"/>
                <w:highlight w:val="none"/>
              </w:rPr>
              <w:t>分；</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（差）投标人制定的</w:t>
            </w:r>
            <w:r>
              <w:rPr>
                <w:rFonts w:hint="eastAsia" w:ascii="宋体" w:hAnsi="宋体" w:eastAsia="宋体" w:cs="宋体"/>
                <w:color w:val="auto"/>
                <w:szCs w:val="21"/>
                <w:highlight w:val="none"/>
                <w:lang w:eastAsia="zh-CN"/>
              </w:rPr>
              <w:t>后续服务</w:t>
            </w:r>
            <w:r>
              <w:rPr>
                <w:rFonts w:hint="eastAsia" w:ascii="宋体" w:hAnsi="宋体" w:eastAsia="宋体" w:cs="宋体"/>
                <w:color w:val="auto"/>
                <w:szCs w:val="21"/>
                <w:highlight w:val="none"/>
              </w:rPr>
              <w:t>措施不齐全、体系不完整、保障方法不到位、目标不明确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0-1</w:t>
            </w:r>
            <w:r>
              <w:rPr>
                <w:rFonts w:hint="eastAsia" w:ascii="宋体" w:hAnsi="宋体" w:eastAsia="宋体" w:cs="宋体"/>
                <w:color w:val="auto"/>
                <w:szCs w:val="21"/>
                <w:highlight w:val="none"/>
              </w:rPr>
              <w:t>分。</w:t>
            </w:r>
          </w:p>
          <w:p>
            <w:pPr>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spacing w:line="320" w:lineRule="exact"/>
              <w:rPr>
                <w:rFonts w:hint="eastAsia" w:ascii="宋体" w:hAnsi="宋体" w:eastAsia="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vAlign w:val="center"/>
          </w:tcPr>
          <w:p>
            <w:pPr>
              <w:jc w:val="center"/>
              <w:rPr>
                <w:rFonts w:hint="eastAsia" w:ascii="宋体" w:hAnsi="宋体" w:eastAsia="宋体" w:cs="宋体"/>
                <w:color w:val="auto"/>
                <w:szCs w:val="21"/>
                <w:highlight w:val="none"/>
              </w:rPr>
            </w:pPr>
          </w:p>
        </w:tc>
        <w:tc>
          <w:tcPr>
            <w:tcW w:w="1101" w:type="dxa"/>
            <w:vAlign w:val="center"/>
          </w:tcPr>
          <w:p>
            <w:pPr>
              <w:spacing w:line="32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项目进度控制</w:t>
            </w:r>
          </w:p>
        </w:tc>
        <w:tc>
          <w:tcPr>
            <w:tcW w:w="735" w:type="dxa"/>
            <w:vAlign w:val="center"/>
          </w:tcPr>
          <w:p>
            <w:pPr>
              <w:spacing w:line="400" w:lineRule="exact"/>
              <w:jc w:val="center"/>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15</w:t>
            </w:r>
          </w:p>
        </w:tc>
        <w:tc>
          <w:tcPr>
            <w:tcW w:w="5428" w:type="dxa"/>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优</w:t>
            </w:r>
            <w:r>
              <w:rPr>
                <w:rFonts w:hint="eastAsia" w:ascii="宋体" w:hAnsi="宋体" w:eastAsia="宋体" w:cs="宋体"/>
                <w:color w:val="auto"/>
                <w:szCs w:val="21"/>
                <w:highlight w:val="none"/>
              </w:rPr>
              <w:t>）投标人制定的工作计划安排合理，进度控制措施准确、合理，能在规定的时间内按要求高质量、高效地完成项目服务。得</w:t>
            </w:r>
            <w:r>
              <w:rPr>
                <w:rFonts w:hint="eastAsia" w:ascii="宋体" w:hAnsi="宋体" w:eastAsia="宋体" w:cs="宋体"/>
                <w:color w:val="auto"/>
                <w:szCs w:val="21"/>
                <w:highlight w:val="none"/>
                <w:lang w:val="en-US" w:eastAsia="zh-CN"/>
              </w:rPr>
              <w:t>10-15</w:t>
            </w:r>
            <w:r>
              <w:rPr>
                <w:rFonts w:hint="eastAsia" w:ascii="宋体" w:hAnsi="宋体" w:eastAsia="宋体" w:cs="宋体"/>
                <w:color w:val="auto"/>
                <w:szCs w:val="21"/>
                <w:highlight w:val="none"/>
              </w:rPr>
              <w:t>分；</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（中）投标人制定的工作计划安排基本合理，进度控制措施基本准确、基本合理，基本能在规定的时间内按要求高质量、高效地完成项目服务。得</w:t>
            </w:r>
            <w:r>
              <w:rPr>
                <w:rFonts w:hint="eastAsia" w:ascii="宋体" w:hAnsi="宋体" w:eastAsia="宋体" w:cs="宋体"/>
                <w:color w:val="auto"/>
                <w:szCs w:val="21"/>
                <w:highlight w:val="none"/>
                <w:lang w:val="en-US" w:eastAsia="zh-CN"/>
              </w:rPr>
              <w:t>6-9</w:t>
            </w:r>
            <w:r>
              <w:rPr>
                <w:rFonts w:hint="eastAsia" w:ascii="宋体" w:hAnsi="宋体" w:eastAsia="宋体" w:cs="宋体"/>
                <w:color w:val="auto"/>
                <w:szCs w:val="21"/>
                <w:highlight w:val="none"/>
              </w:rPr>
              <w:t>分；</w:t>
            </w:r>
          </w:p>
          <w:p>
            <w:pPr>
              <w:spacing w:line="320" w:lineRule="exact"/>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rPr>
              <w:t>（差）投标人制定的工作计划安排不合理，进度控制措施不准确、不合理，不能在规定的时间内按要求高质量、高效地完成项目服务。得</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vAlign w:val="center"/>
          </w:tcPr>
          <w:p>
            <w:pPr>
              <w:jc w:val="center"/>
              <w:rPr>
                <w:rFonts w:hint="eastAsia" w:ascii="宋体" w:hAnsi="宋体" w:eastAsia="宋体" w:cs="宋体"/>
                <w:color w:val="auto"/>
                <w:szCs w:val="21"/>
                <w:highlight w:val="none"/>
              </w:rPr>
            </w:pPr>
          </w:p>
        </w:tc>
        <w:tc>
          <w:tcPr>
            <w:tcW w:w="1101" w:type="dxa"/>
            <w:vAlign w:val="center"/>
          </w:tcPr>
          <w:p>
            <w:pPr>
              <w:spacing w:line="32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质量保证</w:t>
            </w:r>
          </w:p>
        </w:tc>
        <w:tc>
          <w:tcPr>
            <w:tcW w:w="735" w:type="dxa"/>
            <w:vAlign w:val="center"/>
          </w:tcPr>
          <w:p>
            <w:pPr>
              <w:spacing w:line="40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5428" w:type="dxa"/>
            <w:vAlign w:val="center"/>
          </w:tcPr>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优</w:t>
            </w:r>
            <w:r>
              <w:rPr>
                <w:rFonts w:hint="eastAsia" w:ascii="宋体" w:hAnsi="宋体" w:eastAsia="宋体" w:cs="宋体"/>
                <w:color w:val="auto"/>
                <w:szCs w:val="21"/>
                <w:highlight w:val="none"/>
              </w:rPr>
              <w:t>）投标人制定的服务质量控制措施齐全、体系完整、保障方法到位、目标明确、有针对性。得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zCs w:val="21"/>
                <w:highlight w:val="none"/>
              </w:rPr>
              <w:t>分；</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（中）投标人制定的服务质量控制措施基本齐全、体系基本完整、保障方法基本到位、目标基本明确、有一定针对性。得</w:t>
            </w:r>
            <w:r>
              <w:rPr>
                <w:rFonts w:hint="eastAsia" w:ascii="宋体" w:hAnsi="宋体" w:eastAsia="宋体" w:cs="宋体"/>
                <w:color w:val="auto"/>
                <w:szCs w:val="21"/>
                <w:highlight w:val="none"/>
                <w:lang w:val="en-US" w:eastAsia="zh-CN"/>
              </w:rPr>
              <w:t>4-7</w:t>
            </w:r>
            <w:r>
              <w:rPr>
                <w:rFonts w:hint="eastAsia" w:ascii="宋体" w:hAnsi="宋体" w:eastAsia="宋体" w:cs="宋体"/>
                <w:color w:val="auto"/>
                <w:szCs w:val="21"/>
                <w:highlight w:val="none"/>
              </w:rPr>
              <w:t>分；</w:t>
            </w:r>
          </w:p>
          <w:p>
            <w:pPr>
              <w:spacing w:line="32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（差）投标人制定的服务质量控制措施不齐全、体系不完整、保障方法不到位、目标不明确、没有针对性。得</w:t>
            </w:r>
            <w:r>
              <w:rPr>
                <w:rFonts w:hint="eastAsia" w:ascii="宋体" w:hAnsi="宋体" w:eastAsia="宋体" w:cs="宋体"/>
                <w:color w:val="auto"/>
                <w:szCs w:val="21"/>
                <w:highlight w:val="none"/>
                <w:lang w:val="en-US" w:eastAsia="zh-CN"/>
              </w:rPr>
              <w:t>0-3</w:t>
            </w:r>
            <w:r>
              <w:rPr>
                <w:rFonts w:hint="eastAsia" w:ascii="宋体" w:hAnsi="宋体" w:eastAsia="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价格部分</w:t>
            </w:r>
          </w:p>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tc>
        <w:tc>
          <w:tcPr>
            <w:tcW w:w="1101" w:type="dxa"/>
            <w:vAlign w:val="center"/>
          </w:tcPr>
          <w:p>
            <w:pPr>
              <w:spacing w:line="4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w:t>
            </w:r>
          </w:p>
        </w:tc>
        <w:tc>
          <w:tcPr>
            <w:tcW w:w="735" w:type="dxa"/>
            <w:vAlign w:val="center"/>
          </w:tcPr>
          <w:p>
            <w:pPr>
              <w:spacing w:line="40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30</w:t>
            </w:r>
          </w:p>
        </w:tc>
        <w:tc>
          <w:tcPr>
            <w:tcW w:w="5428" w:type="dxa"/>
          </w:tcPr>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6家或以上的，则去掉一家最高报价、一家最低报价后，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val="en-US" w:eastAsia="zh-CN"/>
              </w:rPr>
              <w:t>剩余</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7"/>
              <w:numPr>
                <w:ilvl w:val="0"/>
                <w:numId w:val="4"/>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报价等于基准价的，得分=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w:t>
            </w:r>
          </w:p>
          <w:p>
            <w:pPr>
              <w:pStyle w:val="7"/>
              <w:numPr>
                <w:ilvl w:val="0"/>
                <w:numId w:val="4"/>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报价高于基准价的，得分=</w:t>
            </w:r>
            <w:r>
              <w:rPr>
                <w:rFonts w:hint="eastAsia" w:hAnsi="宋体" w:cs="宋体"/>
                <w:color w:val="auto"/>
                <w:highlight w:val="none"/>
                <w:lang w:val="en-US" w:eastAsia="zh-CN"/>
              </w:rPr>
              <w:t>3</w:t>
            </w:r>
            <w:r>
              <w:rPr>
                <w:rFonts w:hint="eastAsia" w:ascii="宋体" w:hAnsi="宋体" w:eastAsia="宋体" w:cs="宋体"/>
                <w:color w:val="auto"/>
                <w:highlight w:val="none"/>
                <w:lang w:val="en-US" w:eastAsia="zh-CN"/>
              </w:rPr>
              <w:t>0-[（报价-基准价）/基准价]×100×1</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3、报价低于基准价的，得分=30-[（基准价-报价）/基准价]×100×0.5</w:t>
            </w: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、国家级奖项指国家协会、国家建设行政主管部门颁发的设计奖项，省级（含副省级）奖指省级（含副省级）协会或省级（含副省级）行政主管部门颁发的设计奖项。</w:t>
      </w:r>
      <w:r>
        <w:rPr>
          <w:rFonts w:hint="eastAsia" w:ascii="宋体" w:hAnsi="宋体"/>
          <w:color w:val="auto"/>
          <w:szCs w:val="21"/>
          <w:highlight w:val="none"/>
          <w:lang w:val="zh-CN"/>
        </w:rPr>
        <w:t>业绩获奖的按最高奖项只计算一次，不重复计算。业绩获奖确认时间以证书发证日期为准。</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w:t>
      </w: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w:t>
      </w:r>
      <w:r>
        <w:rPr>
          <w:rFonts w:hint="eastAsia" w:ascii="宋体" w:hAnsi="宋体" w:cs="宋体"/>
          <w:color w:val="auto"/>
          <w:szCs w:val="18"/>
          <w:highlight w:val="none"/>
          <w:lang w:eastAsia="zh-CN"/>
        </w:rPr>
        <w:t>三</w:t>
      </w:r>
      <w:r>
        <w:rPr>
          <w:rFonts w:hint="eastAsia" w:ascii="宋体" w:hAnsi="宋体" w:cs="宋体"/>
          <w:color w:val="auto"/>
          <w:szCs w:val="18"/>
          <w:highlight w:val="none"/>
        </w:rPr>
        <w:t>个月</w:t>
      </w:r>
      <w:r>
        <w:rPr>
          <w:rFonts w:hint="eastAsia" w:ascii="宋体" w:hAnsi="宋体" w:cs="宋体"/>
          <w:color w:val="auto"/>
          <w:szCs w:val="18"/>
          <w:highlight w:val="none"/>
          <w:lang w:eastAsia="zh-CN"/>
        </w:rPr>
        <w:t>中任意一个月</w:t>
      </w:r>
      <w:r>
        <w:rPr>
          <w:rFonts w:hint="eastAsia" w:ascii="宋体" w:hAnsi="宋体" w:cs="宋体"/>
          <w:color w:val="auto"/>
          <w:szCs w:val="18"/>
          <w:highlight w:val="none"/>
        </w:rPr>
        <w:t>的</w:t>
      </w:r>
      <w:r>
        <w:rPr>
          <w:rFonts w:ascii="宋体" w:hAnsi="宋体" w:cs="宋体"/>
          <w:color w:val="auto"/>
          <w:szCs w:val="18"/>
          <w:highlight w:val="none"/>
        </w:rPr>
        <w:t>社保证明为准。</w:t>
      </w:r>
      <w:r>
        <w:rPr>
          <w:rFonts w:hint="eastAsia" w:ascii="宋体" w:hAnsi="宋体" w:cs="宋体"/>
          <w:color w:val="auto"/>
          <w:szCs w:val="18"/>
          <w:highlight w:val="none"/>
        </w:rPr>
        <w:t>项目负责人、各专业负责人注册关系必须在本单位，以上注册及职称均需提供相应证明材料。</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val="0"/>
        <w:ind w:left="74"/>
        <w:rPr>
          <w:rFonts w:ascii="仿宋" w:hAnsi="仿宋" w:eastAsia="仿宋" w:cs="仿宋"/>
          <w:color w:val="auto"/>
          <w:szCs w:val="21"/>
          <w:highlight w:val="none"/>
        </w:rPr>
      </w:pPr>
    </w:p>
    <w:p>
      <w:pPr>
        <w:rPr>
          <w:color w:val="auto"/>
          <w:highlight w:val="none"/>
        </w:rPr>
      </w:pPr>
      <w:r>
        <w:rPr>
          <w:rFonts w:hint="eastAsia"/>
          <w:color w:val="auto"/>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2"/>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广州南沙国际物流有限公司</w:t>
      </w:r>
      <w:r>
        <w:rPr>
          <w:rFonts w:hint="eastAsia" w:ascii="宋体" w:hAnsi="宋体" w:eastAsia="宋体"/>
          <w:color w:val="auto"/>
          <w:sz w:val="24"/>
          <w:szCs w:val="24"/>
          <w:highlight w:val="none"/>
          <w:u w:val="single"/>
        </w:rPr>
        <w:t xml:space="preserve">、广州南沙建设维护管理有限公司 </w:t>
      </w:r>
    </w:p>
    <w:p>
      <w:pPr>
        <w:pStyle w:val="32"/>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港口新鲜集市（A地块）项目设计服务</w:t>
      </w:r>
      <w:r>
        <w:rPr>
          <w:rFonts w:hint="eastAsia" w:ascii="宋体" w:hAnsi="宋体" w:eastAsia="宋体"/>
          <w:color w:val="auto"/>
          <w:sz w:val="24"/>
          <w:szCs w:val="24"/>
          <w:highlight w:val="none"/>
        </w:rPr>
        <w:t>投标工作，做出郑重声明：</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四、本公司及其有隶属关系的机构没有参加本项目的招标文件编写、监理工作；本公司与承担本招标项目监理业务的单位没有隶属关系或其他利害关系。</w:t>
      </w:r>
    </w:p>
    <w:p>
      <w:pPr>
        <w:pStyle w:val="32"/>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3"/>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2"/>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2"/>
        <w:snapToGrid w:val="0"/>
        <w:ind w:firstLine="4080" w:firstLineChars="1700"/>
        <w:jc w:val="righ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年   月   日</w:t>
      </w:r>
    </w:p>
    <w:p>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br w:type="page"/>
      </w:r>
    </w:p>
    <w:p>
      <w:pPr>
        <w:pStyle w:val="2"/>
        <w:ind w:firstLine="0" w:firstLineChars="0"/>
        <w:rPr>
          <w:rFonts w:hint="default" w:eastAsia="宋体"/>
          <w:color w:val="auto"/>
          <w:highlight w:val="none"/>
          <w:lang w:val="en-US" w:eastAsia="zh-CN"/>
        </w:rPr>
      </w:pPr>
      <w:r>
        <w:rPr>
          <w:rFonts w:hint="eastAsia" w:ascii="宋体" w:hAnsi="宋体" w:eastAsia="宋体"/>
          <w:color w:val="auto"/>
          <w:sz w:val="24"/>
          <w:szCs w:val="24"/>
          <w:highlight w:val="none"/>
          <w:lang w:eastAsia="zh-CN"/>
        </w:rPr>
        <w:t>附件</w:t>
      </w:r>
      <w:r>
        <w:rPr>
          <w:rFonts w:hint="eastAsia" w:ascii="宋体" w:hAnsi="宋体" w:eastAsia="宋体"/>
          <w:color w:val="auto"/>
          <w:sz w:val="24"/>
          <w:szCs w:val="24"/>
          <w:highlight w:val="none"/>
          <w:lang w:val="en-US" w:eastAsia="zh-CN"/>
        </w:rPr>
        <w:t>4：</w:t>
      </w:r>
    </w:p>
    <w:p>
      <w:pPr>
        <w:pStyle w:val="32"/>
        <w:snapToGrid w:val="0"/>
        <w:ind w:firstLine="4080" w:firstLineChars="1700"/>
        <w:jc w:val="right"/>
        <w:rPr>
          <w:color w:val="auto"/>
          <w:sz w:val="24"/>
          <w:szCs w:val="24"/>
          <w:highlight w:val="none"/>
        </w:rPr>
      </w:pPr>
    </w:p>
    <w:p>
      <w:pPr>
        <w:ind w:firstLine="181" w:firstLineChars="50"/>
        <w:jc w:val="center"/>
        <w:rPr>
          <w:rFonts w:hint="eastAsia" w:ascii="宋体" w:hAnsi="宋体"/>
          <w:b/>
          <w:color w:val="auto"/>
          <w:sz w:val="36"/>
          <w:szCs w:val="36"/>
          <w:highlight w:val="none"/>
        </w:rPr>
      </w:pPr>
      <w:r>
        <w:rPr>
          <w:rFonts w:hint="eastAsia" w:ascii="宋体" w:hAnsi="宋体"/>
          <w:b/>
          <w:color w:val="auto"/>
          <w:sz w:val="36"/>
          <w:szCs w:val="36"/>
          <w:highlight w:val="none"/>
        </w:rPr>
        <w:t>设计任务书</w:t>
      </w:r>
    </w:p>
    <w:p>
      <w:pPr>
        <w:spacing w:line="360" w:lineRule="auto"/>
        <w:rPr>
          <w:rFonts w:hint="eastAsia" w:ascii="宋体" w:hAnsi="宋体"/>
          <w:color w:val="auto"/>
          <w:sz w:val="24"/>
          <w:highlight w:val="none"/>
        </w:rPr>
      </w:pPr>
      <w:r>
        <w:rPr>
          <w:rFonts w:ascii="宋体" w:hAnsi="宋体"/>
          <w:color w:val="auto"/>
          <w:sz w:val="24"/>
          <w:highlight w:val="none"/>
        </w:rPr>
        <w:t xml:space="preserve"> </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一、项目概况：</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1、项目名称：</w:t>
      </w:r>
      <w:r>
        <w:rPr>
          <w:color w:val="auto"/>
          <w:sz w:val="24"/>
          <w:highlight w:val="none"/>
        </w:rPr>
        <w:t>港口新鲜集市（A地块）项目</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2、项目位置：位于南沙区龙穴岛西南侧，毗邻南沙港一期、南沙港四期码头</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3、建设单位：广州南沙国际物流有限公司</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4、建设管理单位：广州南沙建设维护管理有限公司</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二、建筑规模及功能：</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项目规划总面积约27950平方米，其中权属土地约1.2万平方米(剔除市政路不可用面积)，铁路和土发中心权属土地分别约8000平方米。项目整体策划，分期开发，其中第一期位于地块东南侧，用地面积约15600平方米。一期主要打造进出口水果海鲜商品集市，同时配备餐饮及消费街区，包括箱式建筑（约884平方米）、集市广场、公共卫生间、绿化景观及配套的给排水、强弱电、灯光照明等;项目二期分布在一期西北侧，用地面积约5700平方米，预计在项目运营后第二年开始投入约1200平方米的建筑；项目三期分布在二期西侧，用地面积约6650平方米，预计在项目运营第四年开始投入约900平方米的建筑。项目（一、二、三期）投资约1666.55万元</w:t>
      </w:r>
      <w:r>
        <w:rPr>
          <w:rFonts w:hint="eastAsia" w:ascii="宋体" w:hAnsi="宋体" w:eastAsiaTheme="minorEastAsia" w:cstheme="minorBidi"/>
          <w:color w:val="auto"/>
          <w:sz w:val="24"/>
          <w:szCs w:val="24"/>
          <w:highlight w:val="none"/>
          <w:lang w:val="en-US" w:eastAsia="zh-CN"/>
        </w:rPr>
        <w:t>，其中一期投资1150.37万元</w:t>
      </w:r>
      <w:r>
        <w:rPr>
          <w:rFonts w:hint="eastAsia" w:ascii="宋体" w:hAnsi="宋体" w:eastAsiaTheme="minorEastAsia" w:cstheme="minorBidi"/>
          <w:b w:val="0"/>
          <w:bCs w:val="0"/>
          <w:color w:val="auto"/>
          <w:sz w:val="24"/>
          <w:szCs w:val="24"/>
          <w:highlight w:val="none"/>
          <w:lang w:val="en-US" w:eastAsia="zh-CN"/>
        </w:rPr>
        <w:t>，二期投资280.35万元，三期投资235.83万元</w:t>
      </w:r>
      <w:r>
        <w:rPr>
          <w:rFonts w:hint="eastAsia"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场地分期示意图：</w:t>
      </w:r>
    </w:p>
    <w:p>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drawing>
          <wp:inline distT="0" distB="0" distL="114300" distR="114300">
            <wp:extent cx="4321810" cy="2578735"/>
            <wp:effectExtent l="0" t="0" r="2540" b="12065"/>
            <wp:docPr id="5" name="图片 1" descr="168819333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688193338038"/>
                    <pic:cNvPicPr>
                      <a:picLocks noChangeAspect="1"/>
                    </pic:cNvPicPr>
                  </pic:nvPicPr>
                  <pic:blipFill>
                    <a:blip r:embed="rId10"/>
                    <a:stretch>
                      <a:fillRect/>
                    </a:stretch>
                  </pic:blipFill>
                  <pic:spPr>
                    <a:xfrm>
                      <a:off x="0" y="0"/>
                      <a:ext cx="4321810" cy="2578735"/>
                    </a:xfrm>
                    <a:prstGeom prst="rect">
                      <a:avLst/>
                    </a:prstGeom>
                    <a:noFill/>
                    <a:ln>
                      <a:noFill/>
                    </a:ln>
                  </pic:spPr>
                </pic:pic>
              </a:graphicData>
            </a:graphic>
          </wp:inline>
        </w:drawing>
      </w:r>
    </w:p>
    <w:p>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t>三、港口新鲜集市（A地块）项目</w:t>
      </w:r>
      <w:r>
        <w:rPr>
          <w:rFonts w:hint="eastAsia" w:ascii="宋体" w:hAnsi="宋体"/>
          <w:color w:val="auto"/>
          <w:sz w:val="24"/>
          <w:highlight w:val="none"/>
        </w:rPr>
        <w:t>设计工作内容</w:t>
      </w:r>
    </w:p>
    <w:p>
      <w:pPr>
        <w:pStyle w:val="35"/>
        <w:spacing w:line="360" w:lineRule="auto"/>
        <w:ind w:firstLine="465" w:firstLineChars="0"/>
        <w:rPr>
          <w:rFonts w:hint="eastAsia" w:ascii="宋体" w:hAnsi="宋体"/>
          <w:color w:val="auto"/>
          <w:sz w:val="24"/>
          <w:highlight w:val="none"/>
        </w:rPr>
      </w:pPr>
      <w:r>
        <w:rPr>
          <w:rFonts w:hint="eastAsia" w:ascii="宋体" w:hAnsi="宋体"/>
          <w:color w:val="auto"/>
          <w:sz w:val="24"/>
          <w:highlight w:val="none"/>
        </w:rPr>
        <w:t>总体要求：完成项目</w:t>
      </w:r>
      <w:r>
        <w:rPr>
          <w:rFonts w:hint="eastAsia" w:ascii="宋体" w:hAnsi="宋体"/>
          <w:color w:val="auto"/>
          <w:sz w:val="24"/>
          <w:highlight w:val="none"/>
          <w:lang w:eastAsia="zh-CN"/>
        </w:rPr>
        <w:t>（</w:t>
      </w:r>
      <w:r>
        <w:rPr>
          <w:rFonts w:hint="eastAsia" w:ascii="宋体" w:hAnsi="宋体"/>
          <w:color w:val="auto"/>
          <w:sz w:val="24"/>
          <w:highlight w:val="none"/>
        </w:rPr>
        <w:t>一</w:t>
      </w:r>
      <w:r>
        <w:rPr>
          <w:rFonts w:hint="eastAsia" w:ascii="宋体" w:hAnsi="宋体"/>
          <w:color w:val="auto"/>
          <w:sz w:val="24"/>
          <w:highlight w:val="none"/>
          <w:lang w:eastAsia="zh-CN"/>
        </w:rPr>
        <w:t>、二、三</w:t>
      </w:r>
      <w:r>
        <w:rPr>
          <w:rFonts w:hint="eastAsia" w:ascii="宋体" w:hAnsi="宋体"/>
          <w:color w:val="auto"/>
          <w:sz w:val="24"/>
          <w:highlight w:val="none"/>
        </w:rPr>
        <w:t>期</w:t>
      </w:r>
      <w:r>
        <w:rPr>
          <w:rFonts w:hint="eastAsia" w:ascii="宋体" w:hAnsi="宋体"/>
          <w:color w:val="auto"/>
          <w:sz w:val="24"/>
          <w:highlight w:val="none"/>
          <w:lang w:eastAsia="zh-CN"/>
        </w:rPr>
        <w:t>）</w:t>
      </w:r>
      <w:r>
        <w:rPr>
          <w:rFonts w:hint="eastAsia" w:ascii="宋体" w:hAnsi="宋体"/>
          <w:color w:val="auto"/>
          <w:sz w:val="24"/>
          <w:highlight w:val="none"/>
        </w:rPr>
        <w:t>的</w:t>
      </w:r>
      <w:r>
        <w:rPr>
          <w:rFonts w:hint="eastAsia" w:ascii="宋体" w:hAnsi="宋体" w:eastAsiaTheme="minorEastAsia" w:cstheme="minorBidi"/>
          <w:color w:val="auto"/>
          <w:sz w:val="24"/>
          <w:szCs w:val="24"/>
          <w:highlight w:val="none"/>
        </w:rPr>
        <w:t>工程可行性研究报告</w:t>
      </w:r>
      <w:r>
        <w:rPr>
          <w:rFonts w:hint="eastAsia" w:ascii="宋体" w:hAnsi="宋体" w:eastAsiaTheme="minorEastAsia" w:cstheme="minorBidi"/>
          <w:color w:val="auto"/>
          <w:sz w:val="24"/>
          <w:szCs w:val="24"/>
          <w:highlight w:val="none"/>
          <w:lang w:eastAsia="zh-CN"/>
        </w:rPr>
        <w:t>、</w:t>
      </w:r>
      <w:r>
        <w:rPr>
          <w:rFonts w:hint="eastAsia" w:ascii="宋体" w:hAnsi="宋体"/>
          <w:color w:val="auto"/>
          <w:sz w:val="24"/>
          <w:highlight w:val="none"/>
        </w:rPr>
        <w:t>竖向设计、管网综合方案、初步设计及评审、施工图设计工作，具体如下：</w:t>
      </w:r>
    </w:p>
    <w:p>
      <w:pPr>
        <w:pStyle w:val="35"/>
        <w:spacing w:line="360" w:lineRule="auto"/>
        <w:ind w:firstLine="460" w:firstLineChars="192"/>
        <w:rPr>
          <w:rFonts w:ascii="宋体" w:hAnsi="宋体"/>
          <w:color w:val="auto"/>
          <w:sz w:val="24"/>
          <w:highlight w:val="none"/>
        </w:rPr>
      </w:pPr>
      <w:r>
        <w:rPr>
          <w:rFonts w:hint="eastAsia" w:ascii="宋体" w:hAnsi="宋体"/>
          <w:color w:val="auto"/>
          <w:sz w:val="24"/>
          <w:highlight w:val="none"/>
        </w:rPr>
        <w:t>1、根据概念方案设计，优化项目总平面空间布局；</w:t>
      </w:r>
    </w:p>
    <w:p>
      <w:pPr>
        <w:pStyle w:val="35"/>
        <w:spacing w:line="360" w:lineRule="auto"/>
        <w:ind w:firstLine="460" w:firstLineChars="192"/>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、根据项目要求，完成项目各专业的设计工作，包括建筑、结构、给排水、电气、暖通、防雷、消防、室内装修装饰、园林景观等。</w:t>
      </w:r>
    </w:p>
    <w:p>
      <w:pPr>
        <w:pStyle w:val="35"/>
        <w:spacing w:line="360" w:lineRule="auto"/>
        <w:ind w:firstLine="460" w:firstLineChars="192"/>
        <w:rPr>
          <w:rFonts w:ascii="宋体" w:hAnsi="宋体"/>
          <w:color w:val="auto"/>
          <w:sz w:val="24"/>
          <w:highlight w:val="none"/>
        </w:rPr>
      </w:pPr>
      <w:r>
        <w:rPr>
          <w:rFonts w:hint="eastAsia" w:ascii="宋体" w:hAnsi="宋体"/>
          <w:color w:val="auto"/>
          <w:sz w:val="24"/>
          <w:highlight w:val="none"/>
        </w:rPr>
        <w:t xml:space="preserve">3、完成地上构筑物的设计工作，包括但不限于平面布置、立面设计、剖面设计、室内装修装饰设计等。（1）确定构筑物材料、材质、颜色、规格、尺寸等设计参数，提供的设计参数必须能满足厂家完成深化设计的要求；（2）完成地上构筑物的装修装饰设计工作，主要包括箱式建筑的外立面及室内的装修、照明、暖通、给排水、排污、强弱电、智能化、灯光亮化、软装等设计工作。 </w:t>
      </w:r>
    </w:p>
    <w:p>
      <w:pPr>
        <w:pStyle w:val="35"/>
        <w:spacing w:line="360" w:lineRule="auto"/>
        <w:ind w:firstLine="460" w:firstLineChars="192"/>
        <w:rPr>
          <w:rFonts w:hint="eastAsia"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、完成室外广场的道路、停车场、园林景观设计，包括但不限于场地平整、标高关系处理、地砖铺设、道路设计、停车场、园林绿化景观、强弱电、给排水、排污、智能化、灯光亮化等设计工作。</w:t>
      </w:r>
    </w:p>
    <w:p>
      <w:pPr>
        <w:pStyle w:val="35"/>
        <w:spacing w:line="360" w:lineRule="auto"/>
        <w:ind w:firstLine="460" w:firstLineChars="192"/>
        <w:rPr>
          <w:rFonts w:hint="eastAsia" w:ascii="宋体" w:hAnsi="宋体"/>
          <w:color w:val="auto"/>
          <w:sz w:val="24"/>
          <w:highlight w:val="none"/>
        </w:rPr>
      </w:pPr>
      <w:r>
        <w:rPr>
          <w:rFonts w:hint="eastAsia" w:ascii="宋体" w:hAnsi="宋体"/>
          <w:color w:val="auto"/>
          <w:sz w:val="24"/>
          <w:highlight w:val="none"/>
        </w:rPr>
        <w:t>4、按照概念方案及建设单位要求，完成公共卫生间及儿童乐园的设计工作。</w:t>
      </w:r>
    </w:p>
    <w:p>
      <w:pPr>
        <w:pStyle w:val="35"/>
        <w:spacing w:line="360" w:lineRule="auto"/>
        <w:ind w:firstLine="460" w:firstLineChars="192"/>
        <w:rPr>
          <w:rFonts w:hint="eastAsia" w:ascii="宋体" w:hAnsi="宋体"/>
          <w:color w:val="auto"/>
          <w:sz w:val="24"/>
          <w:highlight w:val="none"/>
        </w:rPr>
      </w:pPr>
      <w:r>
        <w:rPr>
          <w:rFonts w:hint="eastAsia" w:ascii="宋体" w:hAnsi="宋体"/>
          <w:color w:val="auto"/>
          <w:sz w:val="24"/>
          <w:highlight w:val="none"/>
        </w:rPr>
        <w:t>5、完成项目的结构设计工作，包括但不限于集市广场遮阳区的结构设计工作、项目所有地上构筑物地基及基础部分的结构设计工作、项目所有园林景观的结构设计工作。</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6、完成公共区域艺术设计、公共区域标识的设计工作。</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7、需按照施工图审查单位要求修改、完善图纸。</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8、配合完成项目财评的工作，配合完成并提供财评所需的工程可行性研究报告、初步设计及评审的资料，并能按照南沙区财评中心要求迅速做出回复。</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9、及时完成施工过程现场服务及设计变更工作，并能按照建设单位要求迅速做出回复。施工过程提供材料样板的颜色、规格、尺寸等选型建议，必要时须驻场和参加项目例会。</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10、配合完成竣工图审核工作。</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1</w:t>
      </w:r>
      <w:r>
        <w:rPr>
          <w:rFonts w:hint="eastAsia" w:ascii="宋体" w:hAnsi="宋体"/>
          <w:color w:val="auto"/>
          <w:sz w:val="24"/>
          <w:highlight w:val="none"/>
        </w:rPr>
        <w:t>、图纸深度应达到国家建设部颁布的《建筑工程设计文件编制深度规定》（2016版）、《民用建筑工程施工图设计深度图样》(2009版)中相关条款的规定要求深度。</w:t>
      </w:r>
    </w:p>
    <w:p>
      <w:pPr>
        <w:spacing w:line="360" w:lineRule="auto"/>
        <w:ind w:firstLine="480" w:firstLineChars="200"/>
        <w:rPr>
          <w:rFonts w:hint="eastAsia" w:ascii="宋体" w:hAnsi="宋体"/>
          <w:color w:val="auto"/>
          <w:sz w:val="24"/>
          <w:highlight w:val="none"/>
        </w:rPr>
      </w:pPr>
      <w:r>
        <w:rPr>
          <w:rFonts w:ascii="宋体" w:hAnsi="宋体"/>
          <w:color w:val="auto"/>
          <w:sz w:val="24"/>
          <w:highlight w:val="none"/>
        </w:rPr>
        <w:t>三、港口新鲜集市（A地块）项目</w:t>
      </w:r>
      <w:r>
        <w:rPr>
          <w:rFonts w:hint="eastAsia" w:ascii="宋体" w:hAnsi="宋体"/>
          <w:color w:val="auto"/>
          <w:sz w:val="24"/>
          <w:highlight w:val="none"/>
        </w:rPr>
        <w:t>设计工期要求</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初步设计及评审的工期要求：发出中标通知书后</w:t>
      </w:r>
      <w:r>
        <w:rPr>
          <w:rFonts w:hint="eastAsia" w:ascii="宋体" w:hAnsi="宋体"/>
          <w:color w:val="auto"/>
          <w:sz w:val="24"/>
          <w:highlight w:val="none"/>
          <w:lang w:val="en-US" w:eastAsia="zh-CN"/>
        </w:rPr>
        <w:t>1</w:t>
      </w:r>
      <w:r>
        <w:rPr>
          <w:rFonts w:hint="eastAsia" w:ascii="宋体" w:hAnsi="宋体"/>
          <w:color w:val="auto"/>
          <w:sz w:val="24"/>
          <w:highlight w:val="none"/>
        </w:rPr>
        <w:t>0日历天内完成。</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2、施工图设计</w:t>
      </w:r>
      <w:r>
        <w:rPr>
          <w:rFonts w:ascii="宋体" w:hAnsi="宋体"/>
          <w:color w:val="auto"/>
          <w:sz w:val="24"/>
          <w:highlight w:val="none"/>
        </w:rPr>
        <w:t>的工期要求</w:t>
      </w:r>
      <w:r>
        <w:rPr>
          <w:rFonts w:hint="eastAsia" w:ascii="宋体" w:hAnsi="宋体"/>
          <w:color w:val="auto"/>
          <w:sz w:val="24"/>
          <w:highlight w:val="none"/>
        </w:rPr>
        <w:t>：由于项目内容简单，在开展初步设计的同时开展施工图设计工作，</w:t>
      </w:r>
      <w:r>
        <w:rPr>
          <w:rFonts w:ascii="宋体" w:hAnsi="宋体"/>
          <w:color w:val="auto"/>
          <w:sz w:val="24"/>
          <w:highlight w:val="none"/>
        </w:rPr>
        <w:t>发出中标通知书后</w:t>
      </w:r>
      <w:r>
        <w:rPr>
          <w:rFonts w:hint="eastAsia" w:ascii="宋体" w:hAnsi="宋体"/>
          <w:color w:val="auto"/>
          <w:sz w:val="24"/>
          <w:highlight w:val="none"/>
          <w:lang w:val="en-US" w:eastAsia="zh-CN"/>
        </w:rPr>
        <w:t>1</w:t>
      </w:r>
      <w:r>
        <w:rPr>
          <w:rFonts w:hint="eastAsia" w:ascii="宋体" w:hAnsi="宋体"/>
          <w:color w:val="auto"/>
          <w:sz w:val="24"/>
          <w:highlight w:val="none"/>
        </w:rPr>
        <w:t>0日历天内完成。</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3、在收到建设单位发出的财评中心对图纸疑问及补充修改等要求后，需在24小时内完成回复。</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4、在收到建设单位发出的有关设计变更等工作联系函后，需在48小时内完成回复。</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四、提交成果</w:t>
      </w:r>
    </w:p>
    <w:p>
      <w:pPr>
        <w:spacing w:line="360" w:lineRule="auto"/>
        <w:ind w:firstLine="480" w:firstLineChars="200"/>
        <w:rPr>
          <w:rFonts w:hint="eastAsia" w:ascii="宋体" w:hAnsi="宋体" w:eastAsiaTheme="minorEastAsia"/>
          <w:color w:val="auto"/>
          <w:sz w:val="24"/>
          <w:highlight w:val="none"/>
          <w:lang w:eastAsia="zh-CN"/>
        </w:rPr>
      </w:pPr>
      <w:r>
        <w:rPr>
          <w:rFonts w:hint="eastAsia" w:ascii="宋体" w:hAnsi="宋体"/>
          <w:color w:val="auto"/>
          <w:sz w:val="24"/>
          <w:highlight w:val="none"/>
        </w:rPr>
        <w:t xml:space="preserve">1.工程可行性研究报告（电子文件格式为word、PDF，纸质文件 8 套） </w:t>
      </w:r>
      <w:r>
        <w:rPr>
          <w:rFonts w:hint="eastAsia" w:ascii="宋体" w:hAnsi="宋体"/>
          <w:color w:val="auto"/>
          <w:sz w:val="24"/>
          <w:highlight w:val="none"/>
          <w:lang w:eastAsia="zh-CN"/>
        </w:rPr>
        <w:t>；</w:t>
      </w:r>
    </w:p>
    <w:p>
      <w:pPr>
        <w:spacing w:line="360" w:lineRule="auto"/>
        <w:ind w:firstLine="480" w:firstLineChars="200"/>
        <w:rPr>
          <w:rFonts w:hint="eastAsia" w:ascii="宋体" w:hAnsi="宋体" w:eastAsiaTheme="minorEastAsia"/>
          <w:color w:val="auto"/>
          <w:sz w:val="24"/>
          <w:highlight w:val="none"/>
          <w:lang w:eastAsia="zh-CN"/>
        </w:rPr>
      </w:pPr>
      <w:r>
        <w:rPr>
          <w:rFonts w:hint="eastAsia" w:ascii="宋体" w:hAnsi="宋体"/>
          <w:color w:val="auto"/>
          <w:sz w:val="24"/>
          <w:highlight w:val="none"/>
        </w:rPr>
        <w:t>2.竖向设计、管网综合方案 (电子文件格式为DWG、PDF，纸质文件 8 套)</w:t>
      </w:r>
      <w:r>
        <w:rPr>
          <w:rFonts w:hint="eastAsia" w:ascii="宋体" w:hAnsi="宋体"/>
          <w:color w:val="auto"/>
          <w:sz w:val="24"/>
          <w:highlight w:val="none"/>
          <w:lang w:eastAsia="zh-CN"/>
        </w:rPr>
        <w:t>；</w:t>
      </w:r>
    </w:p>
    <w:p>
      <w:pPr>
        <w:spacing w:line="360" w:lineRule="auto"/>
        <w:ind w:firstLine="480" w:firstLineChars="200"/>
        <w:rPr>
          <w:rFonts w:hint="eastAsia" w:ascii="宋体" w:hAnsi="宋体" w:eastAsiaTheme="minorEastAsia"/>
          <w:color w:val="auto"/>
          <w:sz w:val="24"/>
          <w:highlight w:val="none"/>
          <w:lang w:eastAsia="zh-CN"/>
        </w:rPr>
      </w:pPr>
      <w:r>
        <w:rPr>
          <w:rFonts w:hint="eastAsia" w:ascii="宋体" w:hAnsi="宋体"/>
          <w:color w:val="auto"/>
          <w:sz w:val="24"/>
          <w:highlight w:val="none"/>
        </w:rPr>
        <w:t>3.初步设计及评审文件 (电子文件格式为 DWG、PDF，纸质文件 8 套)</w:t>
      </w:r>
      <w:r>
        <w:rPr>
          <w:rFonts w:hint="eastAsia" w:ascii="宋体" w:hAnsi="宋体"/>
          <w:color w:val="auto"/>
          <w:sz w:val="24"/>
          <w:highlight w:val="none"/>
          <w:lang w:eastAsia="zh-CN"/>
        </w:rPr>
        <w:t>；</w:t>
      </w:r>
    </w:p>
    <w:p>
      <w:pPr>
        <w:spacing w:line="360" w:lineRule="auto"/>
        <w:ind w:firstLine="480" w:firstLineChars="200"/>
        <w:rPr>
          <w:rFonts w:hint="eastAsia" w:ascii="宋体" w:hAnsi="宋体" w:eastAsiaTheme="minorEastAsia"/>
          <w:color w:val="auto"/>
          <w:sz w:val="24"/>
          <w:highlight w:val="none"/>
          <w:lang w:eastAsia="zh-CN"/>
        </w:rPr>
      </w:pPr>
      <w:r>
        <w:rPr>
          <w:rFonts w:hint="eastAsia" w:ascii="宋体" w:hAnsi="宋体"/>
          <w:color w:val="auto"/>
          <w:sz w:val="24"/>
          <w:highlight w:val="none"/>
        </w:rPr>
        <w:t>4.施工图文件(电子文件格式为 DWG、PDF，纸质文件 8 套)</w:t>
      </w:r>
      <w:r>
        <w:rPr>
          <w:rFonts w:hint="eastAsia" w:ascii="宋体" w:hAnsi="宋体"/>
          <w:color w:val="auto"/>
          <w:sz w:val="24"/>
          <w:highlight w:val="none"/>
          <w:lang w:eastAsia="zh-CN"/>
        </w:rPr>
        <w:t>。</w:t>
      </w:r>
    </w:p>
    <w:p>
      <w:pPr>
        <w:pStyle w:val="7"/>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1CFF"/>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6F6986"/>
    <w:rsid w:val="02F7533D"/>
    <w:rsid w:val="03562994"/>
    <w:rsid w:val="035A0EDE"/>
    <w:rsid w:val="03C11D9E"/>
    <w:rsid w:val="03CB6D70"/>
    <w:rsid w:val="03D5206B"/>
    <w:rsid w:val="04364A4F"/>
    <w:rsid w:val="043A0F20"/>
    <w:rsid w:val="04754D24"/>
    <w:rsid w:val="04A60B94"/>
    <w:rsid w:val="04E40895"/>
    <w:rsid w:val="050B0AD1"/>
    <w:rsid w:val="051B7598"/>
    <w:rsid w:val="05577B55"/>
    <w:rsid w:val="06EA58D8"/>
    <w:rsid w:val="080F2686"/>
    <w:rsid w:val="083B43B1"/>
    <w:rsid w:val="08757A2C"/>
    <w:rsid w:val="08A86F0A"/>
    <w:rsid w:val="08BE0C1E"/>
    <w:rsid w:val="09A667E8"/>
    <w:rsid w:val="09C053E7"/>
    <w:rsid w:val="0B093D1A"/>
    <w:rsid w:val="0B372B92"/>
    <w:rsid w:val="0B3B76F5"/>
    <w:rsid w:val="0B6E5C7D"/>
    <w:rsid w:val="0C855B7E"/>
    <w:rsid w:val="0C87037B"/>
    <w:rsid w:val="0CEF0CD8"/>
    <w:rsid w:val="0D4F2C69"/>
    <w:rsid w:val="0E1B10A8"/>
    <w:rsid w:val="0E80564C"/>
    <w:rsid w:val="0EA03B8A"/>
    <w:rsid w:val="0EAC0C18"/>
    <w:rsid w:val="0EB25F9A"/>
    <w:rsid w:val="0F0E1360"/>
    <w:rsid w:val="0F8D0176"/>
    <w:rsid w:val="115626A3"/>
    <w:rsid w:val="12E86716"/>
    <w:rsid w:val="14082F52"/>
    <w:rsid w:val="14085DAD"/>
    <w:rsid w:val="14233C6D"/>
    <w:rsid w:val="14452035"/>
    <w:rsid w:val="145B3800"/>
    <w:rsid w:val="147E4E1C"/>
    <w:rsid w:val="16007AF5"/>
    <w:rsid w:val="163A203A"/>
    <w:rsid w:val="16ED47B4"/>
    <w:rsid w:val="17BF20B0"/>
    <w:rsid w:val="17E977C8"/>
    <w:rsid w:val="17F91071"/>
    <w:rsid w:val="1873680D"/>
    <w:rsid w:val="18AF3306"/>
    <w:rsid w:val="18F12637"/>
    <w:rsid w:val="1922150A"/>
    <w:rsid w:val="19880595"/>
    <w:rsid w:val="1A781745"/>
    <w:rsid w:val="1AB46DAB"/>
    <w:rsid w:val="1AEC2AF0"/>
    <w:rsid w:val="1B6C2995"/>
    <w:rsid w:val="1BC44893"/>
    <w:rsid w:val="1BC65F54"/>
    <w:rsid w:val="1BDF2274"/>
    <w:rsid w:val="1C05708F"/>
    <w:rsid w:val="1C307374"/>
    <w:rsid w:val="1C9203A6"/>
    <w:rsid w:val="1E8832A2"/>
    <w:rsid w:val="1F1C5732"/>
    <w:rsid w:val="1FC2316E"/>
    <w:rsid w:val="1FF32F87"/>
    <w:rsid w:val="20336A96"/>
    <w:rsid w:val="21424D60"/>
    <w:rsid w:val="220D3E3F"/>
    <w:rsid w:val="224A02E7"/>
    <w:rsid w:val="227411DF"/>
    <w:rsid w:val="22803312"/>
    <w:rsid w:val="2339347D"/>
    <w:rsid w:val="2385628C"/>
    <w:rsid w:val="238E7B64"/>
    <w:rsid w:val="24856237"/>
    <w:rsid w:val="24FE116D"/>
    <w:rsid w:val="25053D8A"/>
    <w:rsid w:val="25791876"/>
    <w:rsid w:val="25CC2205"/>
    <w:rsid w:val="2627219D"/>
    <w:rsid w:val="26B94C66"/>
    <w:rsid w:val="26FF6942"/>
    <w:rsid w:val="272B74FA"/>
    <w:rsid w:val="2865301D"/>
    <w:rsid w:val="28732366"/>
    <w:rsid w:val="28C86C87"/>
    <w:rsid w:val="28FB65E3"/>
    <w:rsid w:val="296119D7"/>
    <w:rsid w:val="297D19A3"/>
    <w:rsid w:val="29D32A7E"/>
    <w:rsid w:val="2A97100B"/>
    <w:rsid w:val="2B1E0B4E"/>
    <w:rsid w:val="2B401296"/>
    <w:rsid w:val="2B9F277C"/>
    <w:rsid w:val="2D0635AD"/>
    <w:rsid w:val="2D0E0BB5"/>
    <w:rsid w:val="2DCC5B6B"/>
    <w:rsid w:val="2DDB1EBF"/>
    <w:rsid w:val="2DF963B5"/>
    <w:rsid w:val="2E6961DD"/>
    <w:rsid w:val="2EA67F31"/>
    <w:rsid w:val="2EC40C57"/>
    <w:rsid w:val="2EE433BF"/>
    <w:rsid w:val="30334755"/>
    <w:rsid w:val="309A6C96"/>
    <w:rsid w:val="311233CC"/>
    <w:rsid w:val="332E1E50"/>
    <w:rsid w:val="34375C94"/>
    <w:rsid w:val="34935BA4"/>
    <w:rsid w:val="34A264CA"/>
    <w:rsid w:val="35F920FC"/>
    <w:rsid w:val="36BA638E"/>
    <w:rsid w:val="36F76710"/>
    <w:rsid w:val="3703456E"/>
    <w:rsid w:val="37A26BD4"/>
    <w:rsid w:val="38623FA7"/>
    <w:rsid w:val="386E2C1B"/>
    <w:rsid w:val="39FC703A"/>
    <w:rsid w:val="3A4968CA"/>
    <w:rsid w:val="3B352BB2"/>
    <w:rsid w:val="3B57188A"/>
    <w:rsid w:val="3B6D4312"/>
    <w:rsid w:val="3B7D5E2D"/>
    <w:rsid w:val="3BB466CB"/>
    <w:rsid w:val="3BB9179A"/>
    <w:rsid w:val="3C536A33"/>
    <w:rsid w:val="3CB7521C"/>
    <w:rsid w:val="3CDD03CB"/>
    <w:rsid w:val="3CE76215"/>
    <w:rsid w:val="3CFF0303"/>
    <w:rsid w:val="3D7619F9"/>
    <w:rsid w:val="3D96007A"/>
    <w:rsid w:val="3E512B11"/>
    <w:rsid w:val="3E9F1660"/>
    <w:rsid w:val="3F5F332B"/>
    <w:rsid w:val="3F8502F8"/>
    <w:rsid w:val="3FD704B2"/>
    <w:rsid w:val="3FE0447A"/>
    <w:rsid w:val="405854B3"/>
    <w:rsid w:val="40866C82"/>
    <w:rsid w:val="409313F9"/>
    <w:rsid w:val="40CA2819"/>
    <w:rsid w:val="40CC6241"/>
    <w:rsid w:val="40DE71F5"/>
    <w:rsid w:val="40F706D6"/>
    <w:rsid w:val="418C72E5"/>
    <w:rsid w:val="41EC3A6C"/>
    <w:rsid w:val="42A2655E"/>
    <w:rsid w:val="42E71D47"/>
    <w:rsid w:val="436C5E0D"/>
    <w:rsid w:val="440F6ACF"/>
    <w:rsid w:val="44631084"/>
    <w:rsid w:val="446A549B"/>
    <w:rsid w:val="44800368"/>
    <w:rsid w:val="45C40D74"/>
    <w:rsid w:val="46871AD6"/>
    <w:rsid w:val="46AE0CE1"/>
    <w:rsid w:val="46E31443"/>
    <w:rsid w:val="4735560E"/>
    <w:rsid w:val="47413F22"/>
    <w:rsid w:val="47D55FFA"/>
    <w:rsid w:val="481D5A38"/>
    <w:rsid w:val="487975A7"/>
    <w:rsid w:val="48E72086"/>
    <w:rsid w:val="494D5092"/>
    <w:rsid w:val="49732ED5"/>
    <w:rsid w:val="4A1079FD"/>
    <w:rsid w:val="4A1D620C"/>
    <w:rsid w:val="4A312D2C"/>
    <w:rsid w:val="4A440632"/>
    <w:rsid w:val="4AE21D6F"/>
    <w:rsid w:val="4AEE0F2F"/>
    <w:rsid w:val="4BC136D0"/>
    <w:rsid w:val="4C2E17B4"/>
    <w:rsid w:val="4D904DD7"/>
    <w:rsid w:val="4D9C287D"/>
    <w:rsid w:val="4DC53F66"/>
    <w:rsid w:val="4E4F4497"/>
    <w:rsid w:val="50932EAD"/>
    <w:rsid w:val="51552F81"/>
    <w:rsid w:val="5174053C"/>
    <w:rsid w:val="51AB2104"/>
    <w:rsid w:val="525C5CD6"/>
    <w:rsid w:val="52840C61"/>
    <w:rsid w:val="53427976"/>
    <w:rsid w:val="53A63423"/>
    <w:rsid w:val="53CE29C2"/>
    <w:rsid w:val="54386D63"/>
    <w:rsid w:val="54A36172"/>
    <w:rsid w:val="54B0714A"/>
    <w:rsid w:val="54BC0EE8"/>
    <w:rsid w:val="54FB6B5D"/>
    <w:rsid w:val="55D41C4B"/>
    <w:rsid w:val="55FB7BEA"/>
    <w:rsid w:val="562E1696"/>
    <w:rsid w:val="594F1692"/>
    <w:rsid w:val="59566C52"/>
    <w:rsid w:val="5AAF5CCA"/>
    <w:rsid w:val="5AD32383"/>
    <w:rsid w:val="5AD75A27"/>
    <w:rsid w:val="5B6E68B8"/>
    <w:rsid w:val="5B8D6C19"/>
    <w:rsid w:val="5BCE61FA"/>
    <w:rsid w:val="5C9B134E"/>
    <w:rsid w:val="5CE91666"/>
    <w:rsid w:val="5D580334"/>
    <w:rsid w:val="5DAA1580"/>
    <w:rsid w:val="5E1A6FB5"/>
    <w:rsid w:val="5E1C4EC0"/>
    <w:rsid w:val="5E3329AB"/>
    <w:rsid w:val="5E7A3CE2"/>
    <w:rsid w:val="5F355496"/>
    <w:rsid w:val="5F857532"/>
    <w:rsid w:val="60083F26"/>
    <w:rsid w:val="613C2115"/>
    <w:rsid w:val="61A7533B"/>
    <w:rsid w:val="62B2296D"/>
    <w:rsid w:val="62C266BA"/>
    <w:rsid w:val="636147EE"/>
    <w:rsid w:val="63677EFB"/>
    <w:rsid w:val="63DB6B9E"/>
    <w:rsid w:val="63F47577"/>
    <w:rsid w:val="64E503DB"/>
    <w:rsid w:val="65B441A4"/>
    <w:rsid w:val="65F0038C"/>
    <w:rsid w:val="66373494"/>
    <w:rsid w:val="66591B82"/>
    <w:rsid w:val="66790C75"/>
    <w:rsid w:val="66B0223C"/>
    <w:rsid w:val="67110541"/>
    <w:rsid w:val="674F15EA"/>
    <w:rsid w:val="67A63985"/>
    <w:rsid w:val="684C1CAB"/>
    <w:rsid w:val="686731DA"/>
    <w:rsid w:val="6898637C"/>
    <w:rsid w:val="68B16D7B"/>
    <w:rsid w:val="68BA7003"/>
    <w:rsid w:val="68C057C9"/>
    <w:rsid w:val="6A364F93"/>
    <w:rsid w:val="6BE11926"/>
    <w:rsid w:val="6C450EF0"/>
    <w:rsid w:val="6C920572"/>
    <w:rsid w:val="6D7E6398"/>
    <w:rsid w:val="6D827B87"/>
    <w:rsid w:val="6DC31ECB"/>
    <w:rsid w:val="6E25305D"/>
    <w:rsid w:val="6E656845"/>
    <w:rsid w:val="6EA64B45"/>
    <w:rsid w:val="6F471F5D"/>
    <w:rsid w:val="70D42DED"/>
    <w:rsid w:val="710F157A"/>
    <w:rsid w:val="718C3480"/>
    <w:rsid w:val="726F354B"/>
    <w:rsid w:val="72B9765A"/>
    <w:rsid w:val="72F3401B"/>
    <w:rsid w:val="731416B4"/>
    <w:rsid w:val="73712518"/>
    <w:rsid w:val="738E7AB2"/>
    <w:rsid w:val="73A54F01"/>
    <w:rsid w:val="73DF2037"/>
    <w:rsid w:val="73F47C56"/>
    <w:rsid w:val="74624F7D"/>
    <w:rsid w:val="7546516B"/>
    <w:rsid w:val="758F20BE"/>
    <w:rsid w:val="75AF555B"/>
    <w:rsid w:val="761162D7"/>
    <w:rsid w:val="76F3488A"/>
    <w:rsid w:val="77281C38"/>
    <w:rsid w:val="781828A1"/>
    <w:rsid w:val="78780B98"/>
    <w:rsid w:val="788E06C1"/>
    <w:rsid w:val="78D76423"/>
    <w:rsid w:val="79E02BD8"/>
    <w:rsid w:val="7A3458D0"/>
    <w:rsid w:val="7A4B048B"/>
    <w:rsid w:val="7A635363"/>
    <w:rsid w:val="7A96669D"/>
    <w:rsid w:val="7B4F6DFC"/>
    <w:rsid w:val="7B667A30"/>
    <w:rsid w:val="7B672810"/>
    <w:rsid w:val="7B681B66"/>
    <w:rsid w:val="7C6B2EC5"/>
    <w:rsid w:val="7D9571CC"/>
    <w:rsid w:val="7E300909"/>
    <w:rsid w:val="7EC84C80"/>
    <w:rsid w:val="7ECB654D"/>
    <w:rsid w:val="7ED83F50"/>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5">
    <w:name w:val="annotation text"/>
    <w:basedOn w:val="1"/>
    <w:semiHidden/>
    <w:unhideWhenUsed/>
    <w:qFormat/>
    <w:uiPriority w:val="0"/>
    <w:pPr>
      <w:jc w:val="left"/>
    </w:pPr>
  </w:style>
  <w:style w:type="paragraph" w:styleId="6">
    <w:name w:val="Body Text"/>
    <w:basedOn w:val="1"/>
    <w:next w:val="1"/>
    <w:qFormat/>
    <w:uiPriority w:val="0"/>
  </w:style>
  <w:style w:type="paragraph" w:styleId="7">
    <w:name w:val="Plain Text"/>
    <w:basedOn w:val="1"/>
    <w:next w:val="1"/>
    <w:link w:val="29"/>
    <w:qFormat/>
    <w:uiPriority w:val="0"/>
    <w:rPr>
      <w:rFonts w:hint="eastAsia" w:ascii="宋体" w:hAnsi="Courier New" w:eastAsia="宋体" w:cs="Times New Roman"/>
      <w:szCs w:val="21"/>
    </w:rPr>
  </w:style>
  <w:style w:type="paragraph" w:styleId="8">
    <w:name w:val="Balloon Text"/>
    <w:basedOn w:val="1"/>
    <w:link w:val="27"/>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rPr>
      <w:rFonts w:ascii="Times New Roman" w:hAnsi="Times New Roman" w:eastAsia="宋体" w:cs="Times New Roman"/>
      <w:szCs w:val="21"/>
    </w:rPr>
  </w:style>
  <w:style w:type="paragraph" w:styleId="12">
    <w:name w:val="Body Text First Indent"/>
    <w:basedOn w:val="6"/>
    <w:link w:val="30"/>
    <w:qFormat/>
    <w:uiPriority w:val="0"/>
    <w:pPr>
      <w:spacing w:beforeAutospacing="1" w:after="120"/>
      <w:ind w:firstLine="420"/>
    </w:pPr>
    <w:rPr>
      <w:rFonts w:ascii="Times New Roman" w:hAnsi="Times New Roman" w:eastAsia="宋体" w:cs="Times New Roman"/>
      <w:szCs w:val="21"/>
    </w:rPr>
  </w:style>
  <w:style w:type="character" w:styleId="15">
    <w:name w:val="page number"/>
    <w:basedOn w:val="14"/>
    <w:qFormat/>
    <w:uiPriority w:val="0"/>
  </w:style>
  <w:style w:type="character" w:styleId="16">
    <w:name w:val="FollowedHyperlink"/>
    <w:basedOn w:val="14"/>
    <w:qFormat/>
    <w:uiPriority w:val="0"/>
    <w:rPr>
      <w:color w:val="0000FF"/>
      <w:u w:val="single"/>
    </w:rPr>
  </w:style>
  <w:style w:type="character" w:styleId="17">
    <w:name w:val="Hyperlink"/>
    <w:basedOn w:val="14"/>
    <w:qFormat/>
    <w:uiPriority w:val="0"/>
    <w:rPr>
      <w:color w:val="0000FF"/>
      <w:u w:val="single"/>
    </w:rPr>
  </w:style>
  <w:style w:type="paragraph" w:customStyle="1" w:styleId="1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1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0">
    <w:name w:val="列出段落1"/>
    <w:basedOn w:val="1"/>
    <w:qFormat/>
    <w:uiPriority w:val="0"/>
    <w:pPr>
      <w:ind w:firstLine="420" w:firstLineChars="200"/>
    </w:pPr>
    <w:rPr>
      <w:rFonts w:ascii="Calibri" w:hAnsi="Calibri" w:eastAsia="宋体" w:cs="Times New Roman"/>
      <w:szCs w:val="21"/>
    </w:rPr>
  </w:style>
  <w:style w:type="paragraph" w:customStyle="1" w:styleId="2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2">
    <w:name w:val="10"/>
    <w:basedOn w:val="14"/>
    <w:qFormat/>
    <w:uiPriority w:val="0"/>
    <w:rPr>
      <w:rFonts w:hint="default" w:ascii="Times New Roman" w:hAnsi="Times New Roman" w:cs="Times New Roman"/>
    </w:rPr>
  </w:style>
  <w:style w:type="character" w:customStyle="1" w:styleId="23">
    <w:name w:val="15"/>
    <w:basedOn w:val="14"/>
    <w:qFormat/>
    <w:uiPriority w:val="0"/>
    <w:rPr>
      <w:rFonts w:hint="default" w:ascii="Times New Roman" w:hAnsi="Times New Roman" w:cs="Times New Roman"/>
    </w:rPr>
  </w:style>
  <w:style w:type="character" w:customStyle="1" w:styleId="24">
    <w:name w:val="16"/>
    <w:basedOn w:val="14"/>
    <w:qFormat/>
    <w:uiPriority w:val="0"/>
    <w:rPr>
      <w:rFonts w:hint="default" w:ascii="Times New Roman" w:hAnsi="Times New Roman" w:cs="Times New Roman"/>
      <w:color w:val="0000FF"/>
      <w:u w:val="single"/>
    </w:rPr>
  </w:style>
  <w:style w:type="character" w:customStyle="1" w:styleId="25">
    <w:name w:val="页眉 Char"/>
    <w:basedOn w:val="14"/>
    <w:link w:val="10"/>
    <w:qFormat/>
    <w:uiPriority w:val="0"/>
    <w:rPr>
      <w:rFonts w:asciiTheme="minorHAnsi" w:hAnsiTheme="minorHAnsi" w:eastAsiaTheme="minorEastAsia" w:cstheme="minorBidi"/>
      <w:kern w:val="2"/>
      <w:sz w:val="18"/>
      <w:szCs w:val="18"/>
    </w:rPr>
  </w:style>
  <w:style w:type="character" w:customStyle="1" w:styleId="26">
    <w:name w:val="页脚 Char"/>
    <w:basedOn w:val="14"/>
    <w:link w:val="9"/>
    <w:qFormat/>
    <w:uiPriority w:val="0"/>
    <w:rPr>
      <w:rFonts w:asciiTheme="minorHAnsi" w:hAnsiTheme="minorHAnsi" w:eastAsiaTheme="minorEastAsia" w:cstheme="minorBidi"/>
      <w:kern w:val="2"/>
      <w:sz w:val="18"/>
      <w:szCs w:val="18"/>
    </w:rPr>
  </w:style>
  <w:style w:type="character" w:customStyle="1" w:styleId="27">
    <w:name w:val="批注框文本 Char"/>
    <w:basedOn w:val="14"/>
    <w:link w:val="8"/>
    <w:qFormat/>
    <w:uiPriority w:val="0"/>
    <w:rPr>
      <w:rFonts w:asciiTheme="minorHAnsi" w:hAnsiTheme="minorHAnsi" w:eastAsiaTheme="minorEastAsia" w:cstheme="minorBidi"/>
      <w:kern w:val="2"/>
      <w:sz w:val="18"/>
      <w:szCs w:val="18"/>
    </w:rPr>
  </w:style>
  <w:style w:type="paragraph" w:customStyle="1" w:styleId="28">
    <w:name w:val="WPSOffice手动目录 1"/>
    <w:qFormat/>
    <w:uiPriority w:val="0"/>
    <w:rPr>
      <w:rFonts w:ascii="Times New Roman" w:hAnsi="Times New Roman" w:eastAsia="宋体" w:cs="Times New Roman"/>
      <w:lang w:val="en-US" w:eastAsia="zh-CN" w:bidi="ar-SA"/>
    </w:rPr>
  </w:style>
  <w:style w:type="character" w:customStyle="1" w:styleId="29">
    <w:name w:val="纯文本 Char"/>
    <w:link w:val="7"/>
    <w:qFormat/>
    <w:uiPriority w:val="0"/>
    <w:rPr>
      <w:rFonts w:ascii="宋体" w:hAnsi="Courier New"/>
      <w:kern w:val="2"/>
      <w:sz w:val="21"/>
      <w:szCs w:val="21"/>
    </w:rPr>
  </w:style>
  <w:style w:type="character" w:customStyle="1" w:styleId="30">
    <w:name w:val="正文首行缩进 Char"/>
    <w:basedOn w:val="14"/>
    <w:link w:val="12"/>
    <w:qFormat/>
    <w:uiPriority w:val="0"/>
    <w:rPr>
      <w:kern w:val="2"/>
      <w:sz w:val="21"/>
      <w:szCs w:val="21"/>
    </w:rPr>
  </w:style>
  <w:style w:type="paragraph" w:styleId="31">
    <w:name w:val="List Paragraph"/>
    <w:basedOn w:val="1"/>
    <w:unhideWhenUsed/>
    <w:qFormat/>
    <w:uiPriority w:val="99"/>
    <w:pPr>
      <w:ind w:firstLine="420" w:firstLineChars="200"/>
    </w:pPr>
  </w:style>
  <w:style w:type="paragraph" w:customStyle="1" w:styleId="32">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3">
    <w:name w:val="发文落款"/>
    <w:basedOn w:val="32"/>
    <w:qFormat/>
    <w:uiPriority w:val="0"/>
    <w:pPr>
      <w:ind w:left="4094" w:right="607" w:firstLine="0"/>
      <w:jc w:val="center"/>
    </w:pPr>
  </w:style>
  <w:style w:type="paragraph" w:customStyle="1" w:styleId="34">
    <w:name w:val="样式 小四 行距: 1.5 倍行距"/>
    <w:basedOn w:val="1"/>
    <w:qFormat/>
    <w:uiPriority w:val="0"/>
    <w:pPr>
      <w:ind w:firstLine="480"/>
    </w:pPr>
    <w:rPr>
      <w:rFonts w:cs="宋体"/>
    </w:rPr>
  </w:style>
  <w:style w:type="paragraph" w:customStyle="1" w:styleId="35">
    <w:name w:val="_Style 2"/>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46</Pages>
  <Words>18513</Words>
  <Characters>19479</Characters>
  <Lines>139</Lines>
  <Paragraphs>39</Paragraphs>
  <TotalTime>0</TotalTime>
  <ScaleCrop>false</ScaleCrop>
  <LinksUpToDate>false</LinksUpToDate>
  <CharactersWithSpaces>20351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2023-07-10T05:23:43Z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34A582031BBD4A8392FE98AAD5F97DA6</vt:lpwstr>
  </property>
</Properties>
</file>